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BA00D">
      <w:pPr>
        <w:spacing w:before="156" w:beforeLines="50" w:line="360" w:lineRule="auto"/>
        <w:jc w:val="center"/>
        <w:rPr>
          <w:rFonts w:hint="eastAsia" w:ascii="宋体" w:hAnsi="宋体" w:eastAsia="宋体"/>
          <w:color w:val="000000"/>
          <w:sz w:val="52"/>
          <w:szCs w:val="52"/>
          <w:highlight w:val="none"/>
          <w:lang w:eastAsia="zh-CN"/>
        </w:rPr>
      </w:pPr>
      <w:r>
        <w:rPr>
          <w:rFonts w:hint="eastAsia" w:ascii="宋体" w:hAnsi="宋体" w:eastAsia="宋体"/>
          <w:color w:val="000000"/>
          <w:sz w:val="52"/>
          <w:szCs w:val="52"/>
          <w:highlight w:val="none"/>
          <w:lang w:eastAsia="zh-CN"/>
        </w:rPr>
        <w:drawing>
          <wp:inline distT="0" distB="0" distL="114300" distR="114300">
            <wp:extent cx="6148070" cy="8693150"/>
            <wp:effectExtent l="0" t="0" r="5080" b="12700"/>
            <wp:docPr id="5" name="图片 5" descr="提取自SCAN0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提取自SCAN0035(1)"/>
                    <pic:cNvPicPr>
                      <a:picLocks noChangeAspect="1"/>
                    </pic:cNvPicPr>
                  </pic:nvPicPr>
                  <pic:blipFill>
                    <a:blip r:embed="rId18"/>
                    <a:stretch>
                      <a:fillRect/>
                    </a:stretch>
                  </pic:blipFill>
                  <pic:spPr>
                    <a:xfrm>
                      <a:off x="0" y="0"/>
                      <a:ext cx="6148070" cy="8693150"/>
                    </a:xfrm>
                    <a:prstGeom prst="rect">
                      <a:avLst/>
                    </a:prstGeom>
                  </pic:spPr>
                </pic:pic>
              </a:graphicData>
            </a:graphic>
          </wp:inline>
        </w:drawing>
      </w:r>
    </w:p>
    <w:p w14:paraId="4194F20E">
      <w:pPr>
        <w:pStyle w:val="9"/>
        <w:rPr>
          <w:rFonts w:hint="eastAsia" w:ascii="宋体" w:hAnsi="宋体" w:cs="宋体"/>
          <w:b/>
          <w:color w:val="auto"/>
          <w:sz w:val="72"/>
          <w:szCs w:val="72"/>
          <w:highlight w:val="none"/>
          <w:lang w:eastAsia="zh-CN"/>
        </w:rPr>
      </w:pPr>
    </w:p>
    <w:p w14:paraId="4FA266EC">
      <w:pPr>
        <w:pStyle w:val="9"/>
        <w:rPr>
          <w:rFonts w:hint="eastAsia" w:ascii="宋体" w:hAnsi="宋体" w:eastAsia="宋体" w:cs="宋体"/>
          <w:b/>
          <w:bCs/>
          <w:color w:val="auto"/>
          <w:sz w:val="10"/>
          <w:highlight w:val="none"/>
          <w:lang w:eastAsia="zh-CN"/>
        </w:rPr>
      </w:pPr>
      <w:r>
        <w:rPr>
          <w:rFonts w:hint="eastAsia" w:ascii="宋体" w:hAnsi="宋体" w:cs="宋体"/>
          <w:b/>
          <w:color w:val="auto"/>
          <w:sz w:val="72"/>
          <w:szCs w:val="72"/>
          <w:highlight w:val="none"/>
          <w:lang w:eastAsia="zh-CN"/>
        </w:rPr>
        <w:t>广西政投项目咨询有限公司</w:t>
      </w:r>
    </w:p>
    <w:p w14:paraId="4FD5AA08">
      <w:pPr>
        <w:spacing w:before="156" w:beforeLines="50" w:line="360" w:lineRule="auto"/>
        <w:jc w:val="both"/>
        <w:rPr>
          <w:rFonts w:ascii="宋体" w:hAnsi="宋体"/>
          <w:color w:val="000000"/>
          <w:sz w:val="36"/>
          <w:szCs w:val="36"/>
          <w:highlight w:val="none"/>
        </w:rPr>
      </w:pPr>
    </w:p>
    <w:p w14:paraId="5BFF5915">
      <w:pPr>
        <w:spacing w:before="156" w:beforeLines="50" w:line="360" w:lineRule="auto"/>
        <w:jc w:val="center"/>
        <w:rPr>
          <w:rFonts w:ascii="宋体" w:hAnsi="宋体"/>
          <w:color w:val="000000"/>
          <w:sz w:val="36"/>
          <w:szCs w:val="36"/>
          <w:highlight w:val="none"/>
        </w:rPr>
      </w:pPr>
    </w:p>
    <w:p w14:paraId="1B91E1A8">
      <w:pPr>
        <w:snapToGrid w:val="0"/>
        <w:spacing w:before="156" w:beforeLines="50" w:line="360" w:lineRule="auto"/>
        <w:jc w:val="center"/>
        <w:rPr>
          <w:rFonts w:ascii="宋体" w:hAnsi="宋体" w:cs="方正小标宋简体"/>
          <w:b/>
          <w:bCs/>
          <w:color w:val="000000"/>
          <w:sz w:val="44"/>
          <w:szCs w:val="44"/>
          <w:highlight w:val="none"/>
        </w:rPr>
      </w:pPr>
      <w:r>
        <w:rPr>
          <w:rFonts w:hint="eastAsia" w:ascii="宋体" w:hAnsi="宋体"/>
          <w:b/>
          <w:bCs/>
          <w:color w:val="000000"/>
          <w:sz w:val="72"/>
          <w:szCs w:val="72"/>
          <w:highlight w:val="none"/>
        </w:rPr>
        <w:t>竞争性磋商文件</w:t>
      </w:r>
    </w:p>
    <w:p w14:paraId="3C363A07">
      <w:pPr>
        <w:spacing w:before="312" w:beforeLines="100" w:after="156" w:afterLines="50" w:line="360" w:lineRule="auto"/>
        <w:jc w:val="center"/>
        <w:rPr>
          <w:rFonts w:ascii="宋体" w:hAnsi="宋体"/>
          <w:b/>
          <w:color w:val="000000"/>
          <w:sz w:val="24"/>
          <w:szCs w:val="24"/>
          <w:highlight w:val="none"/>
        </w:rPr>
      </w:pPr>
      <w:r>
        <w:rPr>
          <w:rFonts w:hint="eastAsia" w:ascii="宋体" w:hAnsi="宋体"/>
          <w:color w:val="000000"/>
          <w:sz w:val="24"/>
          <w:szCs w:val="24"/>
          <w:highlight w:val="none"/>
        </w:rPr>
        <w:t>（全流程电子化评标）</w:t>
      </w:r>
    </w:p>
    <w:p w14:paraId="36CEB278">
      <w:pPr>
        <w:spacing w:line="360" w:lineRule="auto"/>
        <w:jc w:val="center"/>
        <w:rPr>
          <w:rFonts w:ascii="宋体" w:hAnsi="宋体"/>
          <w:b/>
          <w:color w:val="000000"/>
          <w:sz w:val="32"/>
          <w:szCs w:val="32"/>
          <w:highlight w:val="none"/>
        </w:rPr>
      </w:pPr>
    </w:p>
    <w:p w14:paraId="5A28E952">
      <w:pPr>
        <w:keepNext w:val="0"/>
        <w:keepLines w:val="0"/>
        <w:pageBreakBefore w:val="0"/>
        <w:widowControl w:val="0"/>
        <w:kinsoku/>
        <w:wordWrap/>
        <w:overflowPunct/>
        <w:topLinePunct w:val="0"/>
        <w:autoSpaceDE/>
        <w:autoSpaceDN/>
        <w:bidi w:val="0"/>
        <w:adjustRightInd/>
        <w:snapToGrid/>
        <w:spacing w:line="700" w:lineRule="exact"/>
        <w:ind w:left="2564" w:leftChars="456" w:hanging="1606" w:hangingChars="500"/>
        <w:textAlignment w:val="auto"/>
        <w:rPr>
          <w:rFonts w:hint="default" w:ascii="宋体" w:hAnsi="宋体" w:eastAsia="宋体"/>
          <w:b/>
          <w:color w:val="000000"/>
          <w:sz w:val="32"/>
          <w:szCs w:val="32"/>
          <w:highlight w:val="none"/>
          <w:lang w:val="en-US" w:eastAsia="zh-CN"/>
        </w:rPr>
      </w:pPr>
      <w:r>
        <w:rPr>
          <w:rFonts w:hint="eastAsia" w:ascii="宋体" w:hAnsi="宋体"/>
          <w:b/>
          <w:color w:val="000000"/>
          <w:sz w:val="32"/>
          <w:szCs w:val="32"/>
          <w:highlight w:val="none"/>
        </w:rPr>
        <w:t>项目名称：扶隆镇那农村那雪组香料产业粪污资源化利用项目</w:t>
      </w:r>
    </w:p>
    <w:p w14:paraId="67916ACD">
      <w:pPr>
        <w:keepNext w:val="0"/>
        <w:keepLines w:val="0"/>
        <w:pageBreakBefore w:val="0"/>
        <w:widowControl w:val="0"/>
        <w:kinsoku/>
        <w:wordWrap/>
        <w:overflowPunct/>
        <w:topLinePunct w:val="0"/>
        <w:autoSpaceDE/>
        <w:autoSpaceDN/>
        <w:bidi w:val="0"/>
        <w:adjustRightInd/>
        <w:snapToGrid/>
        <w:spacing w:line="900" w:lineRule="exact"/>
        <w:ind w:firstLine="964" w:firstLineChars="300"/>
        <w:textAlignment w:val="auto"/>
        <w:rPr>
          <w:rFonts w:hint="default" w:ascii="宋体" w:hAnsi="宋体" w:eastAsia="宋体"/>
          <w:b/>
          <w:color w:val="000000"/>
          <w:sz w:val="32"/>
          <w:szCs w:val="32"/>
          <w:highlight w:val="none"/>
          <w:lang w:val="en-US" w:eastAsia="zh-CN"/>
        </w:rPr>
      </w:pPr>
      <w:r>
        <w:rPr>
          <w:rFonts w:hint="eastAsia" w:ascii="宋体" w:hAnsi="宋体"/>
          <w:b/>
          <w:color w:val="000000"/>
          <w:sz w:val="32"/>
          <w:szCs w:val="32"/>
          <w:highlight w:val="none"/>
        </w:rPr>
        <w:t>项目编号：FCZC2025-C2-030146-ZTZX</w:t>
      </w:r>
    </w:p>
    <w:p w14:paraId="0778F8BC">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b/>
          <w:color w:val="000000"/>
          <w:sz w:val="32"/>
          <w:szCs w:val="32"/>
          <w:highlight w:val="none"/>
        </w:rPr>
      </w:pPr>
    </w:p>
    <w:p w14:paraId="5831E7F0">
      <w:pPr>
        <w:keepNext w:val="0"/>
        <w:keepLines w:val="0"/>
        <w:pageBreakBefore w:val="0"/>
        <w:widowControl w:val="0"/>
        <w:kinsoku/>
        <w:wordWrap/>
        <w:overflowPunct/>
        <w:topLinePunct w:val="0"/>
        <w:autoSpaceDE/>
        <w:autoSpaceDN/>
        <w:bidi w:val="0"/>
        <w:adjustRightInd/>
        <w:snapToGrid/>
        <w:spacing w:line="900" w:lineRule="exact"/>
        <w:ind w:firstLine="964" w:firstLineChars="300"/>
        <w:textAlignment w:val="auto"/>
        <w:rPr>
          <w:rFonts w:hint="default" w:ascii="宋体" w:hAnsi="宋体" w:eastAsia="宋体"/>
          <w:b/>
          <w:color w:val="000000"/>
          <w:sz w:val="32"/>
          <w:szCs w:val="32"/>
          <w:highlight w:val="none"/>
          <w:lang w:val="en-US" w:eastAsia="zh-CN"/>
        </w:rPr>
      </w:pPr>
      <w:r>
        <w:rPr>
          <w:rFonts w:hint="eastAsia" w:ascii="宋体" w:hAnsi="宋体"/>
          <w:b/>
          <w:color w:val="000000"/>
          <w:sz w:val="32"/>
          <w:szCs w:val="32"/>
          <w:highlight w:val="none"/>
        </w:rPr>
        <w:t>采购人：广西防城港市防城区农业农村局</w:t>
      </w:r>
    </w:p>
    <w:p w14:paraId="78C7DD0B">
      <w:pPr>
        <w:keepNext w:val="0"/>
        <w:keepLines w:val="0"/>
        <w:pageBreakBefore w:val="0"/>
        <w:widowControl w:val="0"/>
        <w:kinsoku/>
        <w:wordWrap/>
        <w:overflowPunct/>
        <w:topLinePunct w:val="0"/>
        <w:autoSpaceDE/>
        <w:autoSpaceDN/>
        <w:bidi w:val="0"/>
        <w:adjustRightInd/>
        <w:snapToGrid/>
        <w:spacing w:line="900" w:lineRule="exact"/>
        <w:ind w:firstLine="964" w:firstLineChars="300"/>
        <w:textAlignment w:val="auto"/>
        <w:rPr>
          <w:rFonts w:ascii="宋体" w:hAnsi="宋体"/>
          <w:b/>
          <w:color w:val="000000"/>
          <w:sz w:val="32"/>
          <w:szCs w:val="32"/>
          <w:highlight w:val="none"/>
        </w:rPr>
      </w:pPr>
      <w:r>
        <w:rPr>
          <w:rFonts w:hint="eastAsia" w:ascii="宋体" w:hAnsi="宋体"/>
          <w:b/>
          <w:color w:val="000000"/>
          <w:sz w:val="32"/>
          <w:szCs w:val="32"/>
          <w:highlight w:val="none"/>
        </w:rPr>
        <w:t>采购代理机构：</w:t>
      </w:r>
      <w:r>
        <w:rPr>
          <w:rFonts w:hint="eastAsia" w:ascii="宋体" w:hAnsi="宋体"/>
          <w:b/>
          <w:color w:val="000000"/>
          <w:sz w:val="32"/>
          <w:szCs w:val="32"/>
          <w:highlight w:val="none"/>
          <w:lang w:eastAsia="zh-CN"/>
        </w:rPr>
        <w:t>广西政投项目咨询有限公司</w:t>
      </w:r>
    </w:p>
    <w:p w14:paraId="3DB89DBE">
      <w:pPr>
        <w:spacing w:line="360" w:lineRule="auto"/>
        <w:jc w:val="center"/>
        <w:rPr>
          <w:rFonts w:ascii="宋体" w:hAnsi="宋体"/>
          <w:b/>
          <w:color w:val="000000"/>
          <w:sz w:val="32"/>
          <w:szCs w:val="32"/>
          <w:highlight w:val="none"/>
        </w:rPr>
      </w:pPr>
    </w:p>
    <w:p w14:paraId="5450DBC7">
      <w:pPr>
        <w:spacing w:line="360" w:lineRule="auto"/>
        <w:jc w:val="center"/>
        <w:rPr>
          <w:rFonts w:hint="eastAsia" w:ascii="宋体" w:hAnsi="宋体" w:eastAsia="宋体"/>
          <w:b/>
          <w:color w:val="000000"/>
          <w:sz w:val="32"/>
          <w:szCs w:val="32"/>
          <w:highlight w:val="none"/>
          <w:lang w:val="en-US" w:eastAsia="zh-CN"/>
        </w:rPr>
        <w:sectPr>
          <w:footerReference r:id="rId5" w:type="first"/>
          <w:headerReference r:id="rId3" w:type="default"/>
          <w:footerReference r:id="rId4" w:type="default"/>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b/>
          <w:color w:val="000000"/>
          <w:sz w:val="32"/>
          <w:szCs w:val="32"/>
          <w:highlight w:val="none"/>
          <w:lang w:eastAsia="zh-CN"/>
        </w:rPr>
        <w:t>2025年</w:t>
      </w:r>
      <w:r>
        <w:rPr>
          <w:rFonts w:hint="eastAsia" w:ascii="宋体" w:hAnsi="宋体"/>
          <w:b/>
          <w:color w:val="000000"/>
          <w:sz w:val="32"/>
          <w:szCs w:val="32"/>
          <w:highlight w:val="none"/>
          <w:lang w:val="en-US" w:eastAsia="zh-CN"/>
        </w:rPr>
        <w:t>9</w:t>
      </w:r>
      <w:r>
        <w:rPr>
          <w:rFonts w:hint="eastAsia" w:ascii="宋体" w:hAnsi="宋体" w:eastAsia="宋体"/>
          <w:b/>
          <w:color w:val="000000"/>
          <w:sz w:val="32"/>
          <w:szCs w:val="32"/>
          <w:highlight w:val="none"/>
          <w:lang w:eastAsia="zh-CN"/>
        </w:rPr>
        <w:t>月</w:t>
      </w:r>
    </w:p>
    <w:p w14:paraId="3CABA125">
      <w:pPr>
        <w:spacing w:line="360" w:lineRule="auto"/>
        <w:jc w:val="center"/>
        <w:rPr>
          <w:rFonts w:ascii="宋体" w:hAnsi="宋体"/>
          <w:b/>
          <w:color w:val="000000"/>
          <w:sz w:val="44"/>
          <w:szCs w:val="44"/>
          <w:highlight w:val="none"/>
        </w:rPr>
      </w:pPr>
      <w:r>
        <w:rPr>
          <w:rFonts w:hint="eastAsia" w:ascii="宋体" w:hAnsi="宋体"/>
          <w:b/>
          <w:color w:val="000000"/>
          <w:sz w:val="44"/>
          <w:szCs w:val="44"/>
          <w:highlight w:val="none"/>
        </w:rPr>
        <w:t>目   录</w:t>
      </w:r>
    </w:p>
    <w:p w14:paraId="6E534E3D">
      <w:pPr>
        <w:spacing w:line="400" w:lineRule="exact"/>
        <w:jc w:val="center"/>
        <w:rPr>
          <w:rFonts w:ascii="宋体" w:hAnsi="宋体"/>
          <w:b/>
          <w:color w:val="000000"/>
          <w:sz w:val="44"/>
          <w:szCs w:val="44"/>
          <w:highlight w:val="none"/>
        </w:rPr>
      </w:pPr>
    </w:p>
    <w:p w14:paraId="555C64C9">
      <w:pPr>
        <w:pStyle w:val="17"/>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color w:val="000000"/>
          <w:sz w:val="24"/>
          <w:szCs w:val="24"/>
          <w:highlight w:val="none"/>
        </w:rPr>
        <w:fldChar w:fldCharType="begin"/>
      </w:r>
      <w:r>
        <w:rPr>
          <w:rFonts w:hint="eastAsia" w:ascii="宋体" w:hAnsi="宋体" w:eastAsia="宋体" w:cs="宋体"/>
          <w:b/>
          <w:color w:val="000000"/>
          <w:sz w:val="24"/>
          <w:szCs w:val="24"/>
          <w:highlight w:val="none"/>
        </w:rPr>
        <w:instrText xml:space="preserve">TOC \o "1-3" \h \z \u</w:instrText>
      </w:r>
      <w:r>
        <w:rPr>
          <w:rFonts w:hint="eastAsia" w:ascii="宋体" w:hAnsi="宋体" w:eastAsia="宋体" w:cs="宋体"/>
          <w:b/>
          <w:color w:val="000000"/>
          <w:sz w:val="24"/>
          <w:szCs w:val="24"/>
          <w:highlight w:val="none"/>
        </w:rPr>
        <w:fldChar w:fldCharType="separate"/>
      </w: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_Toc645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2A8100ED">
      <w:pPr>
        <w:pStyle w:val="17"/>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_Toc22763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_Toc22763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7CF6C805">
      <w:pPr>
        <w:pStyle w:val="17"/>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_Toc9100 </w:instrText>
      </w:r>
      <w:r>
        <w:rPr>
          <w:rFonts w:hint="eastAsia" w:ascii="宋体" w:hAnsi="宋体" w:eastAsia="宋体" w:cs="宋体"/>
          <w:sz w:val="24"/>
          <w:szCs w:val="24"/>
          <w:highlight w:val="none"/>
        </w:rPr>
        <w:fldChar w:fldCharType="separate"/>
      </w:r>
      <w:r>
        <w:rPr>
          <w:rFonts w:hint="eastAsia" w:ascii="宋体" w:hAnsi="宋体" w:eastAsia="宋体" w:cs="宋体"/>
          <w:kern w:val="44"/>
          <w:sz w:val="24"/>
          <w:szCs w:val="24"/>
        </w:rPr>
        <w:t xml:space="preserve">第三章 </w:t>
      </w:r>
      <w:r>
        <w:rPr>
          <w:rFonts w:hint="eastAsia" w:ascii="宋体" w:hAnsi="宋体" w:eastAsia="宋体" w:cs="宋体"/>
          <w:kern w:val="44"/>
          <w:sz w:val="24"/>
          <w:szCs w:val="24"/>
          <w:highlight w:val="none"/>
        </w:rPr>
        <w:t>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_Toc9100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2B7C4951">
      <w:pPr>
        <w:pStyle w:val="19"/>
        <w:keepNext w:val="0"/>
        <w:keepLines w:val="0"/>
        <w:pageBreakBefore w:val="0"/>
        <w:widowControl w:val="0"/>
        <w:tabs>
          <w:tab w:val="right" w:leader="dot" w:pos="9072"/>
          <w:tab w:val="clear" w:pos="8296"/>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_Toc16798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第一节 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_Toc16798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02B3043D">
      <w:pPr>
        <w:pStyle w:val="19"/>
        <w:keepNext w:val="0"/>
        <w:keepLines w:val="0"/>
        <w:pageBreakBefore w:val="0"/>
        <w:widowControl w:val="0"/>
        <w:tabs>
          <w:tab w:val="right" w:leader="dot" w:pos="9072"/>
          <w:tab w:val="clear" w:pos="8296"/>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_Toc30518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第二节 供应商须知正文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_Toc30518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3A19A581">
      <w:pPr>
        <w:pStyle w:val="17"/>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_Toc10035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第四章  评审程序、评审方法和评审标准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_Toc10035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41F35485">
      <w:pPr>
        <w:pStyle w:val="19"/>
        <w:keepNext w:val="0"/>
        <w:keepLines w:val="0"/>
        <w:pageBreakBefore w:val="0"/>
        <w:widowControl w:val="0"/>
        <w:tabs>
          <w:tab w:val="right" w:leader="dot" w:pos="9072"/>
          <w:tab w:val="clear" w:pos="8296"/>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_Toc14409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第一节 评审程序和评审方法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_Toc14409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2F0ECA5D">
      <w:pPr>
        <w:pStyle w:val="19"/>
        <w:keepNext w:val="0"/>
        <w:keepLines w:val="0"/>
        <w:pageBreakBefore w:val="0"/>
        <w:widowControl w:val="0"/>
        <w:tabs>
          <w:tab w:val="right" w:leader="dot" w:pos="9072"/>
          <w:tab w:val="clear" w:pos="8296"/>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_Toc10999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第二节 评标报告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_Toc10999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4F08AD69">
      <w:pPr>
        <w:pStyle w:val="19"/>
        <w:keepNext w:val="0"/>
        <w:keepLines w:val="0"/>
        <w:pageBreakBefore w:val="0"/>
        <w:widowControl w:val="0"/>
        <w:tabs>
          <w:tab w:val="right" w:leader="dot" w:pos="9072"/>
          <w:tab w:val="clear" w:pos="8296"/>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_Toc4491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第三节 评审过程的保密与录像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_Toc4491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008A67B6">
      <w:pPr>
        <w:pStyle w:val="17"/>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_Toc20650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第五章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_Toc20650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7DC8530F">
      <w:pPr>
        <w:pStyle w:val="19"/>
        <w:keepNext w:val="0"/>
        <w:keepLines w:val="0"/>
        <w:pageBreakBefore w:val="0"/>
        <w:widowControl w:val="0"/>
        <w:tabs>
          <w:tab w:val="right" w:leader="dot" w:pos="9072"/>
          <w:tab w:val="clear" w:pos="8296"/>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_Toc28327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第一节 封面格式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_Toc28327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0038F7D8">
      <w:pPr>
        <w:pStyle w:val="19"/>
        <w:keepNext w:val="0"/>
        <w:keepLines w:val="0"/>
        <w:pageBreakBefore w:val="0"/>
        <w:widowControl w:val="0"/>
        <w:tabs>
          <w:tab w:val="right" w:leader="dot" w:pos="9072"/>
          <w:tab w:val="clear" w:pos="8296"/>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_Toc9936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第二节 资格证明文件格式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_Toc9936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32702E45">
      <w:pPr>
        <w:pStyle w:val="19"/>
        <w:keepNext w:val="0"/>
        <w:keepLines w:val="0"/>
        <w:pageBreakBefore w:val="0"/>
        <w:widowControl w:val="0"/>
        <w:tabs>
          <w:tab w:val="right" w:leader="dot" w:pos="9072"/>
          <w:tab w:val="clear" w:pos="8296"/>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_Toc11274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第三节 </w:t>
      </w:r>
      <w:r>
        <w:rPr>
          <w:rFonts w:hint="eastAsia" w:ascii="宋体" w:hAnsi="宋体" w:eastAsia="宋体" w:cs="宋体"/>
          <w:bCs/>
          <w:sz w:val="24"/>
          <w:szCs w:val="24"/>
          <w:highlight w:val="none"/>
        </w:rPr>
        <w:t>商务技术文件格式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_Toc11274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36A4E64D">
      <w:pPr>
        <w:pStyle w:val="19"/>
        <w:keepNext w:val="0"/>
        <w:keepLines w:val="0"/>
        <w:pageBreakBefore w:val="0"/>
        <w:widowControl w:val="0"/>
        <w:tabs>
          <w:tab w:val="right" w:leader="dot" w:pos="9072"/>
          <w:tab w:val="clear" w:pos="8296"/>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_Toc7630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第四节 报价文件格式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_Toc7630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0578F3D0">
      <w:pPr>
        <w:pStyle w:val="17"/>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_Toc20680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rPr>
        <w:t>第六章 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_Toc20680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7266891C">
      <w:pPr>
        <w:pStyle w:val="17"/>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_Toc10274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图纸和</w:t>
      </w:r>
      <w:r>
        <w:rPr>
          <w:rFonts w:hint="eastAsia" w:ascii="宋体" w:hAnsi="宋体" w:cs="宋体"/>
          <w:bCs/>
          <w:kern w:val="44"/>
          <w:sz w:val="24"/>
          <w:szCs w:val="24"/>
          <w:highlight w:val="none"/>
          <w:lang w:val="en-US" w:eastAsia="zh-CN" w:bidi="ar-SA"/>
        </w:rPr>
        <w:t>招标控制价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_Toc10274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119</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52A94BA3">
      <w:pPr>
        <w:pStyle w:val="17"/>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_Toc14536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lang w:val="en-US" w:eastAsia="zh-CN" w:bidi="ar-SA"/>
        </w:rPr>
        <w:t xml:space="preserve">第八章 </w:t>
      </w:r>
      <w:r>
        <w:rPr>
          <w:rFonts w:hint="eastAsia" w:ascii="宋体" w:hAnsi="宋体" w:eastAsia="宋体" w:cs="宋体"/>
          <w:sz w:val="24"/>
          <w:szCs w:val="24"/>
          <w:highlight w:val="none"/>
        </w:rPr>
        <w:t>质疑、投诉材料格式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_Toc14536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color w:val="000000"/>
          <w:sz w:val="24"/>
          <w:szCs w:val="24"/>
          <w:highlight w:val="none"/>
        </w:rPr>
        <w:fldChar w:fldCharType="end"/>
      </w:r>
    </w:p>
    <w:p w14:paraId="771A5026">
      <w:pPr>
        <w:keepNext w:val="0"/>
        <w:keepLines w:val="0"/>
        <w:pageBreakBefore w:val="0"/>
        <w:widowControl w:val="0"/>
        <w:tabs>
          <w:tab w:val="right" w:leader="dot" w:pos="8296"/>
        </w:tabs>
        <w:kinsoku/>
        <w:wordWrap/>
        <w:overflowPunct/>
        <w:topLinePunct w:val="0"/>
        <w:autoSpaceDE/>
        <w:autoSpaceDN/>
        <w:bidi w:val="0"/>
        <w:adjustRightInd/>
        <w:snapToGrid/>
        <w:spacing w:line="480" w:lineRule="exact"/>
        <w:ind w:left="420" w:leftChars="200"/>
        <w:textAlignment w:val="auto"/>
        <w:rPr>
          <w:rFonts w:ascii="宋体" w:hAnsi="宋体"/>
          <w:b/>
          <w:color w:val="000000"/>
          <w:sz w:val="32"/>
          <w:szCs w:val="32"/>
          <w:highlight w:val="none"/>
        </w:rPr>
        <w:sectPr>
          <w:footerReference r:id="rId7" w:type="first"/>
          <w:footerReference r:id="rId6" w:type="default"/>
          <w:pgSz w:w="11906" w:h="16838"/>
          <w:pgMar w:top="1417" w:right="1417" w:bottom="1417" w:left="1417" w:header="851" w:footer="992" w:gutter="0"/>
          <w:pgNumType w:start="1"/>
          <w:cols w:space="720" w:num="1"/>
          <w:titlePg/>
          <w:rtlGutter w:val="0"/>
          <w:docGrid w:type="lines" w:linePitch="312" w:charSpace="0"/>
        </w:sectPr>
      </w:pPr>
      <w:r>
        <w:rPr>
          <w:rFonts w:hint="eastAsia" w:ascii="宋体" w:hAnsi="宋体" w:eastAsia="宋体" w:cs="宋体"/>
          <w:color w:val="000000"/>
          <w:szCs w:val="24"/>
          <w:highlight w:val="none"/>
        </w:rPr>
        <w:fldChar w:fldCharType="end"/>
      </w:r>
    </w:p>
    <w:p w14:paraId="5032C341">
      <w:pPr>
        <w:pStyle w:val="2"/>
        <w:numPr>
          <w:ilvl w:val="0"/>
          <w:numId w:val="1"/>
        </w:numPr>
        <w:bidi w:val="0"/>
        <w:spacing w:line="240" w:lineRule="auto"/>
        <w:jc w:val="center"/>
        <w:rPr>
          <w:sz w:val="36"/>
          <w:szCs w:val="36"/>
        </w:rPr>
      </w:pPr>
      <w:bookmarkStart w:id="0" w:name="_Toc645"/>
      <w:r>
        <w:rPr>
          <w:rFonts w:hint="eastAsia"/>
          <w:sz w:val="36"/>
          <w:szCs w:val="36"/>
        </w:rPr>
        <w:t>竞争性磋商公告</w:t>
      </w:r>
      <w:bookmarkEnd w:id="0"/>
      <w:bookmarkStart w:id="1" w:name="_Toc44229878"/>
      <w:bookmarkStart w:id="2" w:name="_Toc28359089"/>
      <w:bookmarkStart w:id="3" w:name="_Toc35393629"/>
      <w:bookmarkStart w:id="4" w:name="_Toc28359012"/>
      <w:bookmarkStart w:id="5" w:name="_Toc35393798"/>
      <w:bookmarkStart w:id="6" w:name="_Toc28359081"/>
      <w:bookmarkStart w:id="7" w:name="_Toc35393623"/>
      <w:bookmarkStart w:id="8" w:name="_Toc35393792"/>
      <w:bookmarkStart w:id="9" w:name="_Toc28359004"/>
    </w:p>
    <w:p w14:paraId="199540FF">
      <w:pPr>
        <w:spacing w:line="240" w:lineRule="auto"/>
        <w:jc w:val="center"/>
        <w:rPr>
          <w:rFonts w:hint="eastAsia" w:ascii="宋体" w:hAnsi="宋体"/>
          <w:b/>
          <w:color w:val="000000"/>
          <w:sz w:val="32"/>
          <w:szCs w:val="32"/>
          <w:highlight w:val="none"/>
          <w:lang w:eastAsia="zh-CN"/>
        </w:rPr>
      </w:pPr>
      <w:r>
        <w:rPr>
          <w:rFonts w:hint="eastAsia" w:ascii="宋体" w:hAnsi="宋体"/>
          <w:b/>
          <w:color w:val="000000"/>
          <w:sz w:val="32"/>
          <w:szCs w:val="32"/>
          <w:highlight w:val="none"/>
          <w:lang w:eastAsia="zh-CN"/>
        </w:rPr>
        <w:t>广西政投项目咨询有限公司</w:t>
      </w:r>
      <w:r>
        <w:rPr>
          <w:rFonts w:hint="eastAsia" w:ascii="宋体" w:hAnsi="宋体"/>
          <w:b/>
          <w:color w:val="000000"/>
          <w:sz w:val="32"/>
          <w:szCs w:val="32"/>
          <w:highlight w:val="none"/>
          <w:lang w:val="en-US" w:eastAsia="zh-CN"/>
        </w:rPr>
        <w:t>关于</w:t>
      </w:r>
      <w:r>
        <w:rPr>
          <w:rFonts w:hint="eastAsia" w:ascii="宋体" w:hAnsi="宋体"/>
          <w:b/>
          <w:color w:val="000000"/>
          <w:sz w:val="32"/>
          <w:szCs w:val="32"/>
          <w:highlight w:val="none"/>
          <w:lang w:eastAsia="zh-CN"/>
        </w:rPr>
        <w:t>扶隆镇那农村那雪组香料产业粪污资源化利用项目的竞争性磋商公告</w:t>
      </w:r>
    </w:p>
    <w:p w14:paraId="7CF9CDC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74476C9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b/>
          <w:color w:val="000000"/>
          <w:kern w:val="44"/>
          <w:sz w:val="24"/>
          <w:highlight w:val="none"/>
        </w:rPr>
      </w:pPr>
      <w:bookmarkStart w:id="10" w:name="_Toc71365905"/>
      <w:r>
        <w:rPr>
          <w:rFonts w:hint="eastAsia" w:ascii="宋体" w:hAnsi="宋体"/>
          <w:color w:val="auto"/>
          <w:szCs w:val="21"/>
          <w:highlight w:val="none"/>
          <w:u w:val="single"/>
        </w:rPr>
        <w:t>扶隆镇那农村那雪组香料产业粪污资源化利用项目</w:t>
      </w:r>
      <w:r>
        <w:rPr>
          <w:rFonts w:hint="eastAsia" w:ascii="宋体" w:hAnsi="宋体"/>
          <w:color w:val="auto"/>
          <w:szCs w:val="21"/>
          <w:highlight w:val="none"/>
        </w:rPr>
        <w:t>的潜在供应商应在广西政府采购云平台</w:t>
      </w:r>
      <w:r>
        <w:rPr>
          <w:rFonts w:hint="eastAsia" w:ascii="宋体" w:hAnsi="宋体"/>
          <w:snapToGrid w:val="0"/>
          <w:color w:val="auto"/>
          <w:szCs w:val="21"/>
          <w:highlight w:val="none"/>
        </w:rPr>
        <w:t>获取（下载）</w:t>
      </w:r>
      <w:r>
        <w:rPr>
          <w:rFonts w:hint="eastAsia" w:ascii="宋体" w:hAnsi="宋体"/>
          <w:color w:val="auto"/>
          <w:szCs w:val="21"/>
          <w:highlight w:val="none"/>
        </w:rPr>
        <w:t>竞争性磋商文件，并于</w:t>
      </w:r>
      <w:r>
        <w:rPr>
          <w:rFonts w:hint="eastAsia" w:ascii="宋体" w:hAnsi="宋体"/>
          <w:color w:val="auto"/>
          <w:szCs w:val="21"/>
          <w:highlight w:val="none"/>
          <w:u w:val="none"/>
          <w:lang w:eastAsia="zh-CN"/>
        </w:rPr>
        <w:t>2025年</w:t>
      </w:r>
      <w:r>
        <w:rPr>
          <w:rFonts w:hint="eastAsia" w:ascii="宋体" w:hAnsi="宋体"/>
          <w:color w:val="auto"/>
          <w:szCs w:val="21"/>
          <w:highlight w:val="none"/>
          <w:u w:val="none"/>
          <w:lang w:val="en-US" w:eastAsia="zh-CN"/>
        </w:rPr>
        <w:t>10</w:t>
      </w:r>
      <w:r>
        <w:rPr>
          <w:rFonts w:hint="eastAsia" w:ascii="宋体" w:hAnsi="宋体"/>
          <w:color w:val="auto"/>
          <w:szCs w:val="21"/>
          <w:highlight w:val="none"/>
          <w:u w:val="none"/>
          <w:lang w:eastAsia="zh-CN"/>
        </w:rPr>
        <w:t>月</w:t>
      </w:r>
      <w:r>
        <w:rPr>
          <w:rFonts w:hint="eastAsia" w:ascii="宋体" w:hAnsi="宋体"/>
          <w:color w:val="auto"/>
          <w:szCs w:val="21"/>
          <w:highlight w:val="none"/>
          <w:u w:val="none"/>
          <w:lang w:val="en-US" w:eastAsia="zh-CN"/>
        </w:rPr>
        <w:t xml:space="preserve"> 15日09</w:t>
      </w:r>
      <w:r>
        <w:rPr>
          <w:rFonts w:hint="eastAsia" w:ascii="宋体" w:hAnsi="宋体"/>
          <w:color w:val="auto"/>
          <w:szCs w:val="21"/>
          <w:highlight w:val="none"/>
          <w:u w:val="none"/>
          <w:lang w:eastAsia="zh-CN"/>
        </w:rPr>
        <w:t>时</w:t>
      </w:r>
      <w:r>
        <w:rPr>
          <w:rFonts w:hint="eastAsia" w:ascii="宋体" w:hAnsi="宋体"/>
          <w:color w:val="auto"/>
          <w:szCs w:val="21"/>
          <w:highlight w:val="none"/>
          <w:u w:val="none"/>
          <w:lang w:val="en-US" w:eastAsia="zh-CN"/>
        </w:rPr>
        <w:t>30</w:t>
      </w:r>
      <w:r>
        <w:rPr>
          <w:rFonts w:hint="eastAsia" w:ascii="宋体" w:hAnsi="宋体"/>
          <w:color w:val="auto"/>
          <w:szCs w:val="21"/>
          <w:highlight w:val="none"/>
          <w:u w:val="none"/>
          <w:lang w:eastAsia="zh-CN"/>
        </w:rPr>
        <w:t>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bookmarkEnd w:id="10"/>
    </w:p>
    <w:p w14:paraId="783852DD">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bCs w:val="0"/>
          <w:color w:val="000000"/>
          <w:sz w:val="21"/>
          <w:szCs w:val="21"/>
          <w:highlight w:val="none"/>
        </w:rPr>
        <w:t>一、项目基本情况</w:t>
      </w:r>
      <w:bookmarkEnd w:id="1"/>
      <w:bookmarkEnd w:id="2"/>
      <w:bookmarkEnd w:id="3"/>
      <w:bookmarkEnd w:id="4"/>
      <w:bookmarkEnd w:id="5"/>
    </w:p>
    <w:p w14:paraId="036E523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1.项目编号：FCZC2025-C2-030146-ZTZX</w:t>
      </w:r>
    </w:p>
    <w:p w14:paraId="20C24B2A">
      <w:pPr>
        <w:keepNext w:val="0"/>
        <w:keepLines w:val="0"/>
        <w:pageBreakBefore w:val="0"/>
        <w:kinsoku/>
        <w:wordWrap/>
        <w:overflowPunct/>
        <w:topLinePunct w:val="0"/>
        <w:autoSpaceDE/>
        <w:autoSpaceDN/>
        <w:bidi w:val="0"/>
        <w:spacing w:line="400" w:lineRule="exact"/>
        <w:ind w:left="1680" w:leftChars="200" w:hanging="1260" w:hangingChars="600"/>
        <w:textAlignment w:val="auto"/>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rPr>
        <w:t>2.项目名称：扶隆镇那农村那雪组香料产业粪污资源化利用项目</w:t>
      </w:r>
      <w:r>
        <w:rPr>
          <w:rFonts w:hint="eastAsia" w:ascii="宋体" w:hAnsi="宋体" w:eastAsia="宋体" w:cs="宋体"/>
          <w:color w:val="000000"/>
          <w:spacing w:val="-4"/>
          <w:sz w:val="21"/>
          <w:szCs w:val="21"/>
          <w:highlight w:val="none"/>
          <w:lang w:eastAsia="zh-CN"/>
        </w:rPr>
        <w:t xml:space="preserve"> </w:t>
      </w:r>
    </w:p>
    <w:p w14:paraId="0D97524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3.采购方式：竞争性磋商</w:t>
      </w:r>
    </w:p>
    <w:p w14:paraId="166BF4D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4.预算金额：</w:t>
      </w:r>
      <w:r>
        <w:rPr>
          <w:rFonts w:hint="eastAsia" w:ascii="宋体" w:hAnsi="宋体" w:eastAsia="宋体" w:cs="宋体"/>
          <w:color w:val="000000"/>
          <w:sz w:val="21"/>
          <w:szCs w:val="21"/>
          <w:highlight w:val="none"/>
          <w:lang w:val="en-US" w:eastAsia="zh-CN"/>
        </w:rPr>
        <w:t>人民币玖拾伍万伍仟陆佰玖拾捌元伍角贰分（¥</w:t>
      </w:r>
      <w:r>
        <w:rPr>
          <w:rFonts w:hint="eastAsia" w:ascii="宋体" w:hAnsi="宋体" w:eastAsia="宋体" w:cs="宋体"/>
          <w:color w:val="000000"/>
          <w:sz w:val="21"/>
          <w:szCs w:val="21"/>
          <w:highlight w:val="none"/>
        </w:rPr>
        <w:t>955698.52</w:t>
      </w:r>
      <w:r>
        <w:rPr>
          <w:rFonts w:hint="eastAsia" w:ascii="宋体" w:hAnsi="宋体" w:eastAsia="宋体" w:cs="宋体"/>
          <w:color w:val="000000"/>
          <w:sz w:val="21"/>
          <w:szCs w:val="21"/>
          <w:highlight w:val="none"/>
          <w:lang w:val="en-US" w:eastAsia="zh-CN"/>
        </w:rPr>
        <w:t>）</w:t>
      </w:r>
    </w:p>
    <w:p w14:paraId="287DB34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5.最高限价：</w:t>
      </w:r>
      <w:r>
        <w:rPr>
          <w:rFonts w:hint="eastAsia" w:ascii="宋体" w:hAnsi="宋体" w:eastAsia="宋体" w:cs="宋体"/>
          <w:color w:val="000000"/>
          <w:sz w:val="21"/>
          <w:szCs w:val="21"/>
          <w:highlight w:val="none"/>
          <w:lang w:val="en-US" w:eastAsia="zh-CN"/>
        </w:rPr>
        <w:t>人民币玖拾伍万伍仟陆佰玖拾捌元伍角贰分（¥</w:t>
      </w:r>
      <w:r>
        <w:rPr>
          <w:rFonts w:hint="eastAsia" w:ascii="宋体" w:hAnsi="宋体" w:eastAsia="宋体" w:cs="宋体"/>
          <w:color w:val="000000"/>
          <w:sz w:val="21"/>
          <w:szCs w:val="21"/>
          <w:highlight w:val="none"/>
        </w:rPr>
        <w:t>955698.52</w:t>
      </w:r>
      <w:r>
        <w:rPr>
          <w:rFonts w:hint="eastAsia" w:ascii="宋体" w:hAnsi="宋体" w:eastAsia="宋体" w:cs="宋体"/>
          <w:color w:val="000000"/>
          <w:sz w:val="21"/>
          <w:szCs w:val="21"/>
          <w:highlight w:val="none"/>
          <w:lang w:val="en-US" w:eastAsia="zh-CN"/>
        </w:rPr>
        <w:t>）</w:t>
      </w:r>
    </w:p>
    <w:p w14:paraId="6DB8283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6.采购需求：本项目为新建工程：厌氧消化沼气池1座，沉砂池1座，调节池1座，沉淀池、清水池、好氧池、贮液池1座、管理用房、入户道路、沼气、沼肥利用设施一套，具体内容详见施工图纸及</w:t>
      </w:r>
      <w:r>
        <w:rPr>
          <w:rFonts w:hint="eastAsia" w:ascii="宋体" w:hAnsi="宋体" w:cs="宋体"/>
          <w:color w:val="000000"/>
          <w:sz w:val="21"/>
          <w:szCs w:val="21"/>
          <w:highlight w:val="none"/>
          <w:lang w:val="en-US" w:eastAsia="zh-CN"/>
        </w:rPr>
        <w:t>招标控制价</w:t>
      </w:r>
      <w:r>
        <w:rPr>
          <w:rFonts w:hint="eastAsia" w:ascii="宋体" w:hAnsi="宋体" w:eastAsia="宋体" w:cs="宋体"/>
          <w:color w:val="000000"/>
          <w:sz w:val="21"/>
          <w:szCs w:val="21"/>
          <w:highlight w:val="none"/>
          <w:lang w:val="en-US" w:eastAsia="zh-CN"/>
        </w:rPr>
        <w:t>。</w:t>
      </w:r>
    </w:p>
    <w:p w14:paraId="0DA321C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7.合同履行期限</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工期</w:t>
      </w:r>
      <w:r>
        <w:rPr>
          <w:rFonts w:hint="eastAsia" w:ascii="宋体" w:hAnsi="宋体" w:cs="宋体"/>
          <w:color w:val="000000"/>
          <w:sz w:val="21"/>
          <w:szCs w:val="21"/>
          <w:highlight w:val="none"/>
          <w:lang w:val="en-US" w:eastAsia="zh-CN"/>
        </w:rPr>
        <w:t>60</w:t>
      </w:r>
      <w:r>
        <w:rPr>
          <w:rFonts w:hint="eastAsia" w:ascii="宋体" w:hAnsi="宋体" w:eastAsia="宋体" w:cs="宋体"/>
          <w:color w:val="000000"/>
          <w:sz w:val="21"/>
          <w:szCs w:val="21"/>
          <w:highlight w:val="none"/>
        </w:rPr>
        <w:t>日历天</w:t>
      </w:r>
    </w:p>
    <w:p w14:paraId="115E0CB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8.本项目是否接受联合体：□是，</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否。</w:t>
      </w:r>
    </w:p>
    <w:p w14:paraId="436BDAC3">
      <w:pPr>
        <w:keepNext w:val="0"/>
        <w:keepLines w:val="0"/>
        <w:pageBreakBefore w:val="0"/>
        <w:kinsoku/>
        <w:wordWrap/>
        <w:overflowPunct/>
        <w:topLinePunct w:val="0"/>
        <w:autoSpaceDE/>
        <w:autoSpaceDN/>
        <w:bidi w:val="0"/>
        <w:spacing w:line="400" w:lineRule="exact"/>
        <w:ind w:firstLine="422" w:firstLineChars="200"/>
        <w:textAlignment w:val="auto"/>
        <w:rPr>
          <w:rFonts w:hint="default" w:ascii="宋体" w:hAnsi="宋体" w:eastAsia="宋体" w:cs="宋体"/>
          <w:bCs/>
          <w:color w:val="000000"/>
          <w:sz w:val="21"/>
          <w:szCs w:val="21"/>
          <w:highlight w:val="none"/>
          <w:lang w:val="en-US" w:eastAsia="zh-CN"/>
        </w:rPr>
      </w:pPr>
      <w:bookmarkStart w:id="11" w:name="_Toc35393630"/>
      <w:bookmarkStart w:id="12" w:name="_Toc35393799"/>
      <w:bookmarkStart w:id="13" w:name="_Toc28359013"/>
      <w:bookmarkStart w:id="14" w:name="_Toc44229879"/>
      <w:bookmarkStart w:id="15" w:name="_Toc28359090"/>
      <w:r>
        <w:rPr>
          <w:rFonts w:hint="eastAsia" w:ascii="宋体" w:hAnsi="宋体" w:eastAsia="宋体" w:cs="宋体"/>
          <w:b/>
          <w:color w:val="000000"/>
          <w:kern w:val="44"/>
          <w:sz w:val="21"/>
          <w:szCs w:val="21"/>
          <w:highlight w:val="none"/>
        </w:rPr>
        <w:t>二、</w:t>
      </w:r>
      <w:bookmarkEnd w:id="11"/>
      <w:bookmarkEnd w:id="12"/>
      <w:bookmarkEnd w:id="13"/>
      <w:bookmarkEnd w:id="14"/>
      <w:bookmarkEnd w:id="15"/>
      <w:r>
        <w:rPr>
          <w:rFonts w:hint="eastAsia" w:ascii="宋体" w:hAnsi="宋体" w:eastAsia="宋体" w:cs="宋体"/>
          <w:b/>
          <w:color w:val="000000"/>
          <w:kern w:val="44"/>
          <w:sz w:val="21"/>
          <w:szCs w:val="21"/>
          <w:highlight w:val="none"/>
          <w:lang w:val="en-US" w:eastAsia="zh-CN"/>
        </w:rPr>
        <w:t>申请人的资格要求</w:t>
      </w:r>
    </w:p>
    <w:p w14:paraId="3C670FA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1.满足《中华人民共和国政府采购法》第二十二条规定。</w:t>
      </w:r>
    </w:p>
    <w:p w14:paraId="0AD05408">
      <w:pPr>
        <w:keepNext w:val="0"/>
        <w:keepLines w:val="0"/>
        <w:pageBreakBefore w:val="0"/>
        <w:kinsoku/>
        <w:wordWrap/>
        <w:overflowPunct/>
        <w:topLinePunct w:val="0"/>
        <w:autoSpaceDE/>
        <w:autoSpaceDN/>
        <w:bidi w:val="0"/>
        <w:spacing w:line="400" w:lineRule="exact"/>
        <w:ind w:firstLine="420" w:firstLine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color w:val="000000"/>
          <w:sz w:val="21"/>
          <w:szCs w:val="21"/>
          <w:highlight w:val="none"/>
        </w:rPr>
        <w:t>2.落实政府采购政策需满足的资格要求：</w:t>
      </w:r>
      <w:r>
        <w:rPr>
          <w:rFonts w:hint="eastAsia" w:ascii="宋体" w:hAnsi="宋体" w:eastAsia="宋体" w:cs="宋体"/>
          <w:b w:val="0"/>
          <w:bCs w:val="0"/>
          <w:color w:val="000000"/>
          <w:sz w:val="21"/>
          <w:szCs w:val="21"/>
          <w:highlight w:val="none"/>
          <w:lang w:val="en-US" w:eastAsia="zh-CN"/>
        </w:rPr>
        <w:t>本项目为</w:t>
      </w:r>
      <w:r>
        <w:rPr>
          <w:rFonts w:hint="eastAsia" w:ascii="宋体" w:hAnsi="宋体" w:eastAsia="宋体" w:cs="宋体"/>
          <w:b w:val="0"/>
          <w:bCs w:val="0"/>
          <w:color w:val="000000"/>
          <w:sz w:val="21"/>
          <w:szCs w:val="21"/>
          <w:highlight w:val="none"/>
        </w:rPr>
        <w:t>专门面向中小企业采购的项目</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rPr>
        <w:t>供应商</w:t>
      </w:r>
      <w:r>
        <w:rPr>
          <w:rFonts w:hint="eastAsia" w:ascii="宋体" w:hAnsi="宋体" w:eastAsia="宋体" w:cs="宋体"/>
          <w:b w:val="0"/>
          <w:bCs w:val="0"/>
          <w:color w:val="000000"/>
          <w:sz w:val="21"/>
          <w:szCs w:val="21"/>
          <w:highlight w:val="none"/>
          <w:lang w:val="en-US" w:eastAsia="zh-CN"/>
        </w:rPr>
        <w:t>必须</w:t>
      </w:r>
      <w:r>
        <w:rPr>
          <w:rFonts w:hint="eastAsia" w:ascii="宋体" w:hAnsi="宋体" w:eastAsia="宋体" w:cs="宋体"/>
          <w:b w:val="0"/>
          <w:bCs w:val="0"/>
          <w:color w:val="000000"/>
          <w:sz w:val="21"/>
          <w:szCs w:val="21"/>
          <w:highlight w:val="none"/>
        </w:rPr>
        <w:t>为中小</w:t>
      </w:r>
      <w:r>
        <w:rPr>
          <w:rFonts w:hint="eastAsia" w:ascii="宋体" w:hAnsi="宋体" w:eastAsia="宋体" w:cs="宋体"/>
          <w:b w:val="0"/>
          <w:bCs w:val="0"/>
          <w:color w:val="000000"/>
          <w:sz w:val="21"/>
          <w:szCs w:val="21"/>
          <w:highlight w:val="none"/>
          <w:lang w:val="en-US" w:eastAsia="zh-CN"/>
        </w:rPr>
        <w:t>微</w:t>
      </w:r>
      <w:r>
        <w:rPr>
          <w:rFonts w:hint="eastAsia" w:ascii="宋体" w:hAnsi="宋体" w:eastAsia="宋体" w:cs="宋体"/>
          <w:b w:val="0"/>
          <w:bCs w:val="0"/>
          <w:color w:val="000000"/>
          <w:sz w:val="21"/>
          <w:szCs w:val="21"/>
          <w:highlight w:val="none"/>
        </w:rPr>
        <w:t>企业</w:t>
      </w:r>
      <w:r>
        <w:rPr>
          <w:rFonts w:hint="eastAsia" w:ascii="宋体" w:hAnsi="宋体" w:eastAsia="宋体" w:cs="宋体"/>
          <w:b w:val="0"/>
          <w:bCs w:val="0"/>
          <w:color w:val="000000"/>
          <w:sz w:val="21"/>
          <w:szCs w:val="21"/>
          <w:highlight w:val="none"/>
          <w:lang w:val="en-US" w:eastAsia="zh-CN"/>
        </w:rPr>
        <w:t>或</w:t>
      </w:r>
      <w:r>
        <w:rPr>
          <w:rFonts w:hint="eastAsia" w:ascii="宋体" w:hAnsi="宋体" w:eastAsia="宋体" w:cs="宋体"/>
          <w:b w:val="0"/>
          <w:bCs w:val="0"/>
          <w:color w:val="000000"/>
          <w:sz w:val="21"/>
          <w:szCs w:val="21"/>
          <w:highlight w:val="none"/>
        </w:rPr>
        <w:t>监狱企业</w:t>
      </w:r>
      <w:r>
        <w:rPr>
          <w:rFonts w:hint="eastAsia" w:ascii="宋体" w:hAnsi="宋体" w:eastAsia="宋体" w:cs="宋体"/>
          <w:b w:val="0"/>
          <w:bCs w:val="0"/>
          <w:color w:val="000000"/>
          <w:sz w:val="21"/>
          <w:szCs w:val="21"/>
          <w:highlight w:val="none"/>
          <w:lang w:val="en-US" w:eastAsia="zh-CN"/>
        </w:rPr>
        <w:t>或</w:t>
      </w:r>
      <w:r>
        <w:rPr>
          <w:rFonts w:hint="eastAsia" w:ascii="宋体" w:hAnsi="宋体" w:eastAsia="宋体" w:cs="宋体"/>
          <w:b w:val="0"/>
          <w:bCs w:val="0"/>
          <w:color w:val="000000"/>
          <w:sz w:val="21"/>
          <w:szCs w:val="21"/>
          <w:highlight w:val="none"/>
        </w:rPr>
        <w:t>残疾人福利性单位</w:t>
      </w:r>
      <w:r>
        <w:rPr>
          <w:rFonts w:hint="eastAsia" w:ascii="宋体" w:hAnsi="宋体" w:eastAsia="宋体" w:cs="宋体"/>
          <w:b w:val="0"/>
          <w:bCs w:val="0"/>
          <w:color w:val="auto"/>
          <w:sz w:val="21"/>
          <w:szCs w:val="21"/>
          <w:highlight w:val="none"/>
          <w:lang w:val="en-US" w:eastAsia="zh-CN"/>
        </w:rPr>
        <w:t>。</w:t>
      </w:r>
    </w:p>
    <w:p w14:paraId="41D2E397">
      <w:pPr>
        <w:keepNext w:val="0"/>
        <w:keepLines w:val="0"/>
        <w:pageBreakBefore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b w:val="0"/>
          <w:bCs w:val="0"/>
          <w:color w:val="auto"/>
          <w:sz w:val="21"/>
          <w:szCs w:val="21"/>
          <w:highlight w:val="none"/>
        </w:rPr>
        <w:t>（1）供应商具</w:t>
      </w:r>
      <w:r>
        <w:rPr>
          <w:rFonts w:hint="eastAsia" w:ascii="宋体" w:hAnsi="宋体" w:cs="宋体"/>
          <w:b w:val="0"/>
          <w:bCs w:val="0"/>
          <w:color w:val="auto"/>
          <w:sz w:val="21"/>
          <w:szCs w:val="21"/>
          <w:highlight w:val="none"/>
          <w:lang w:val="en-US" w:eastAsia="zh-CN"/>
        </w:rPr>
        <w:t>备市政公用工程</w:t>
      </w:r>
      <w:r>
        <w:rPr>
          <w:rFonts w:hint="eastAsia" w:ascii="宋体" w:hAnsi="宋体" w:eastAsia="宋体" w:cs="宋体"/>
          <w:b w:val="0"/>
          <w:bCs w:val="0"/>
          <w:color w:val="auto"/>
          <w:sz w:val="21"/>
          <w:szCs w:val="21"/>
          <w:highlight w:val="none"/>
        </w:rPr>
        <w:t>施工总承包三级（含三级）以上资质，</w:t>
      </w:r>
      <w:r>
        <w:rPr>
          <w:rFonts w:hint="eastAsia" w:ascii="宋体" w:hAnsi="宋体" w:cs="宋体"/>
          <w:b w:val="0"/>
          <w:bCs w:val="0"/>
          <w:color w:val="auto"/>
          <w:sz w:val="21"/>
          <w:szCs w:val="21"/>
          <w:highlight w:val="none"/>
          <w:lang w:val="en-US" w:eastAsia="zh-CN"/>
        </w:rPr>
        <w:t>同时</w:t>
      </w:r>
      <w:r>
        <w:rPr>
          <w:rFonts w:hint="eastAsia" w:ascii="宋体" w:hAnsi="宋体" w:eastAsia="宋体" w:cs="宋体"/>
          <w:b w:val="0"/>
          <w:bCs w:val="0"/>
          <w:color w:val="auto"/>
          <w:sz w:val="21"/>
          <w:szCs w:val="21"/>
          <w:highlight w:val="none"/>
        </w:rPr>
        <w:t>具有有效的安全生产许可证，并在人员、设备、资金等方面具备相应施工能力；（2）拟派项目经理须具备</w:t>
      </w:r>
      <w:r>
        <w:rPr>
          <w:rFonts w:hint="eastAsia" w:ascii="宋体" w:hAnsi="宋体" w:cs="宋体"/>
          <w:b w:val="0"/>
          <w:bCs w:val="0"/>
          <w:color w:val="auto"/>
          <w:sz w:val="21"/>
          <w:szCs w:val="21"/>
          <w:highlight w:val="none"/>
          <w:lang w:val="en-US" w:eastAsia="zh-CN"/>
        </w:rPr>
        <w:t>市政公用</w:t>
      </w:r>
      <w:r>
        <w:rPr>
          <w:rFonts w:hint="eastAsia" w:ascii="宋体" w:hAnsi="宋体" w:eastAsia="宋体" w:cs="宋体"/>
          <w:b w:val="0"/>
          <w:bCs w:val="0"/>
          <w:color w:val="auto"/>
          <w:sz w:val="21"/>
          <w:szCs w:val="21"/>
          <w:highlight w:val="none"/>
        </w:rPr>
        <w:t>工程专业</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级以上(含</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级)注册建造师执业资格和具备有效的安全生产考核合格证书（B类）。</w:t>
      </w:r>
    </w:p>
    <w:p w14:paraId="47970A95">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三、获取竞争性磋商文件</w:t>
      </w:r>
      <w:bookmarkEnd w:id="6"/>
      <w:bookmarkEnd w:id="7"/>
      <w:bookmarkEnd w:id="8"/>
      <w:bookmarkEnd w:id="9"/>
    </w:p>
    <w:p w14:paraId="112D1C7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rPr>
      </w:pPr>
      <w:bookmarkStart w:id="16" w:name="_Toc28359082"/>
      <w:bookmarkStart w:id="17" w:name="_Toc35393793"/>
      <w:bookmarkStart w:id="18" w:name="_Toc28359005"/>
      <w:bookmarkStart w:id="19" w:name="_Toc35393624"/>
      <w:r>
        <w:rPr>
          <w:rFonts w:hint="eastAsia" w:ascii="宋体" w:hAnsi="宋体" w:eastAsia="宋体" w:cs="宋体"/>
          <w:color w:val="000000"/>
          <w:sz w:val="21"/>
          <w:szCs w:val="21"/>
          <w:highlight w:val="none"/>
        </w:rPr>
        <w:t>时间：202</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 xml:space="preserve">9 </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30</w:t>
      </w:r>
      <w:r>
        <w:rPr>
          <w:rFonts w:hint="eastAsia" w:ascii="宋体" w:hAnsi="宋体" w:eastAsia="宋体" w:cs="宋体"/>
          <w:color w:val="000000"/>
          <w:sz w:val="21"/>
          <w:szCs w:val="21"/>
          <w:highlight w:val="none"/>
        </w:rPr>
        <w:t>日至202</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14</w:t>
      </w:r>
      <w:r>
        <w:rPr>
          <w:rFonts w:hint="eastAsia" w:ascii="宋体" w:hAnsi="宋体" w:eastAsia="宋体" w:cs="宋体"/>
          <w:color w:val="000000"/>
          <w:sz w:val="21"/>
          <w:szCs w:val="21"/>
          <w:highlight w:val="none"/>
        </w:rPr>
        <w:t>日，每天08:00至12:00，</w:t>
      </w: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:00至</w:t>
      </w:r>
      <w:r>
        <w:rPr>
          <w:rFonts w:hint="eastAsia" w:ascii="宋体" w:hAnsi="宋体" w:eastAsia="宋体" w:cs="宋体"/>
          <w:color w:val="000000"/>
          <w:sz w:val="21"/>
          <w:szCs w:val="21"/>
          <w:highlight w:val="none"/>
          <w:lang w:val="en-US" w:eastAsia="zh-CN"/>
        </w:rPr>
        <w:t>18</w:t>
      </w:r>
      <w:r>
        <w:rPr>
          <w:rFonts w:hint="eastAsia" w:ascii="宋体" w:hAnsi="宋体" w:eastAsia="宋体" w:cs="宋体"/>
          <w:color w:val="000000"/>
          <w:sz w:val="21"/>
          <w:szCs w:val="21"/>
          <w:highlight w:val="none"/>
        </w:rPr>
        <w:t>:00（北京时间，法定节假日除外）。</w:t>
      </w:r>
    </w:p>
    <w:p w14:paraId="06D0345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获取方式:网上下载。本项目不发放纸质文件，供应商自行在</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 </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lang w:val="en-US" w:eastAsia="zh-CN"/>
        </w:rPr>
        <w:t>广西政府采购云平台</w:t>
      </w:r>
      <w:r>
        <w:rPr>
          <w:rFonts w:hint="eastAsia" w:ascii="宋体" w:hAnsi="宋体" w:eastAsia="宋体" w:cs="宋体"/>
          <w:color w:val="000000"/>
          <w:sz w:val="21"/>
          <w:szCs w:val="21"/>
          <w:highlight w:val="none"/>
        </w:rPr>
        <w:t>下载采购文件（操作路径：登录“</w:t>
      </w:r>
      <w:r>
        <w:rPr>
          <w:rFonts w:hint="eastAsia" w:ascii="宋体" w:hAnsi="宋体" w:eastAsia="宋体" w:cs="宋体"/>
          <w:color w:val="000000"/>
          <w:sz w:val="21"/>
          <w:szCs w:val="21"/>
          <w:highlight w:val="none"/>
          <w:lang w:val="en-US" w:eastAsia="zh-CN"/>
        </w:rPr>
        <w:t>广西政府采购云平台</w:t>
      </w:r>
      <w:r>
        <w:rPr>
          <w:rFonts w:hint="eastAsia" w:ascii="宋体" w:hAnsi="宋体" w:eastAsia="宋体" w:cs="宋体"/>
          <w:color w:val="000000"/>
          <w:sz w:val="21"/>
          <w:szCs w:val="21"/>
          <w:highlight w:val="none"/>
        </w:rPr>
        <w:t>”-项目采购-获取采购文件-找到本项目-点击“申请获取采购文件”），电子响应文件制作需要基于“</w:t>
      </w:r>
      <w:r>
        <w:rPr>
          <w:rFonts w:hint="eastAsia" w:ascii="宋体" w:hAnsi="宋体" w:eastAsia="宋体" w:cs="宋体"/>
          <w:color w:val="000000"/>
          <w:sz w:val="21"/>
          <w:szCs w:val="21"/>
          <w:highlight w:val="none"/>
          <w:lang w:val="en-US" w:eastAsia="zh-CN"/>
        </w:rPr>
        <w:t>广西政府采购云平台</w:t>
      </w:r>
      <w:r>
        <w:rPr>
          <w:rFonts w:hint="eastAsia" w:ascii="宋体" w:hAnsi="宋体" w:eastAsia="宋体" w:cs="宋体"/>
          <w:color w:val="000000"/>
          <w:sz w:val="21"/>
          <w:szCs w:val="21"/>
          <w:highlight w:val="none"/>
        </w:rPr>
        <w:t>”获取的采购文件编制，通过其他方式获取采购文件的，将有可能导致供应商无法在“</w:t>
      </w:r>
      <w:r>
        <w:rPr>
          <w:rFonts w:hint="eastAsia" w:ascii="宋体" w:hAnsi="宋体" w:eastAsia="宋体" w:cs="宋体"/>
          <w:color w:val="000000"/>
          <w:sz w:val="21"/>
          <w:szCs w:val="21"/>
          <w:highlight w:val="none"/>
          <w:lang w:val="en-US" w:eastAsia="zh-CN"/>
        </w:rPr>
        <w:t>广西政府采购云平台</w:t>
      </w:r>
      <w:r>
        <w:rPr>
          <w:rFonts w:hint="eastAsia" w:ascii="宋体" w:hAnsi="宋体" w:eastAsia="宋体" w:cs="宋体"/>
          <w:color w:val="000000"/>
          <w:sz w:val="21"/>
          <w:szCs w:val="21"/>
          <w:highlight w:val="none"/>
        </w:rPr>
        <w:t>”编制及上传响应文件。</w:t>
      </w:r>
    </w:p>
    <w:p w14:paraId="3D3B267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售价：0元。</w:t>
      </w:r>
    </w:p>
    <w:p w14:paraId="310E37DA">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四、</w:t>
      </w:r>
      <w:bookmarkEnd w:id="16"/>
      <w:bookmarkEnd w:id="17"/>
      <w:bookmarkEnd w:id="18"/>
      <w:bookmarkEnd w:id="19"/>
      <w:r>
        <w:rPr>
          <w:rFonts w:hint="eastAsia" w:ascii="宋体" w:hAnsi="宋体" w:eastAsia="宋体" w:cs="宋体"/>
          <w:b/>
          <w:bCs/>
          <w:color w:val="000000"/>
          <w:sz w:val="21"/>
          <w:szCs w:val="21"/>
          <w:highlight w:val="none"/>
        </w:rPr>
        <w:t>响应文件提交</w:t>
      </w:r>
    </w:p>
    <w:p w14:paraId="38209E3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截止时间：202</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15</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lang w:val="en-US" w:eastAsia="zh-CN"/>
        </w:rPr>
        <w:t>09</w:t>
      </w:r>
      <w:r>
        <w:rPr>
          <w:rFonts w:hint="eastAsia" w:ascii="宋体" w:hAnsi="宋体" w:cs="宋体"/>
          <w:color w:val="000000"/>
          <w:sz w:val="21"/>
          <w:szCs w:val="21"/>
          <w:highlight w:val="none"/>
          <w:lang w:val="en-US" w:eastAsia="zh-CN"/>
        </w:rPr>
        <w:t>时</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分（北京时间）</w:t>
      </w:r>
    </w:p>
    <w:p w14:paraId="75E880D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地点：</w:t>
      </w:r>
      <w:r>
        <w:rPr>
          <w:rFonts w:hint="eastAsia" w:ascii="宋体" w:hAnsi="宋体" w:eastAsia="宋体" w:cs="宋体"/>
          <w:color w:val="000000"/>
          <w:sz w:val="21"/>
          <w:szCs w:val="21"/>
          <w:highlight w:val="none"/>
          <w:lang w:val="en-US" w:eastAsia="zh-CN"/>
        </w:rPr>
        <w:t>广西政府采购云平台</w:t>
      </w:r>
    </w:p>
    <w:p w14:paraId="67750BB0">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五、开启</w:t>
      </w:r>
    </w:p>
    <w:p w14:paraId="4EA282A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时间：</w:t>
      </w:r>
      <w:r>
        <w:rPr>
          <w:rFonts w:hint="eastAsia" w:ascii="宋体" w:hAnsi="宋体" w:eastAsia="宋体" w:cs="宋体"/>
          <w:color w:val="000000"/>
          <w:sz w:val="21"/>
          <w:szCs w:val="21"/>
          <w:highlight w:val="none"/>
        </w:rPr>
        <w:t>202</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 xml:space="preserve">15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lang w:val="en-US" w:eastAsia="zh-CN"/>
        </w:rPr>
        <w:t>09</w:t>
      </w:r>
      <w:r>
        <w:rPr>
          <w:rFonts w:hint="eastAsia" w:ascii="宋体" w:hAnsi="宋体" w:cs="宋体"/>
          <w:color w:val="000000"/>
          <w:sz w:val="21"/>
          <w:szCs w:val="21"/>
          <w:highlight w:val="none"/>
          <w:lang w:val="en-US" w:eastAsia="zh-CN"/>
        </w:rPr>
        <w:t>时</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分（北京时间）</w:t>
      </w:r>
    </w:p>
    <w:p w14:paraId="4AB06C0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地点：广西壮族自治区防城港市开标室1政府采购开标室1</w:t>
      </w:r>
    </w:p>
    <w:p w14:paraId="1AF46126">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000000"/>
          <w:sz w:val="21"/>
          <w:szCs w:val="21"/>
          <w:highlight w:val="none"/>
        </w:rPr>
      </w:pPr>
      <w:bookmarkStart w:id="20" w:name="_Toc35393794"/>
      <w:bookmarkStart w:id="21" w:name="_Toc28359084"/>
      <w:bookmarkStart w:id="22" w:name="_Toc28359007"/>
      <w:bookmarkStart w:id="23" w:name="_Toc35393625"/>
      <w:r>
        <w:rPr>
          <w:rFonts w:hint="eastAsia" w:ascii="宋体" w:hAnsi="宋体" w:eastAsia="宋体" w:cs="宋体"/>
          <w:b/>
          <w:bCs/>
          <w:color w:val="000000"/>
          <w:sz w:val="21"/>
          <w:szCs w:val="21"/>
          <w:highlight w:val="none"/>
        </w:rPr>
        <w:t>六、公告期限</w:t>
      </w:r>
      <w:bookmarkEnd w:id="20"/>
      <w:bookmarkEnd w:id="21"/>
      <w:bookmarkEnd w:id="22"/>
      <w:bookmarkEnd w:id="23"/>
    </w:p>
    <w:p w14:paraId="3297DE8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自本公告发布之日起</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个工作日。</w:t>
      </w:r>
    </w:p>
    <w:p w14:paraId="73B00E50">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000000"/>
          <w:sz w:val="21"/>
          <w:szCs w:val="21"/>
          <w:highlight w:val="none"/>
        </w:rPr>
      </w:pPr>
      <w:bookmarkStart w:id="24" w:name="_Toc35393795"/>
      <w:bookmarkStart w:id="25" w:name="_Toc35393626"/>
      <w:r>
        <w:rPr>
          <w:rFonts w:hint="eastAsia" w:ascii="宋体" w:hAnsi="宋体" w:eastAsia="宋体" w:cs="宋体"/>
          <w:b/>
          <w:bCs/>
          <w:color w:val="000000"/>
          <w:sz w:val="21"/>
          <w:szCs w:val="21"/>
          <w:highlight w:val="none"/>
        </w:rPr>
        <w:t>七、其他补充事宜</w:t>
      </w:r>
      <w:bookmarkEnd w:id="24"/>
      <w:bookmarkEnd w:id="25"/>
    </w:p>
    <w:p w14:paraId="2A4D0B9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.申请人的其他资格要求</w:t>
      </w:r>
    </w:p>
    <w:p w14:paraId="076A9E7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353E7E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14:paraId="2BC34C1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.磋商保证金：本项目不收取磋商保证金</w:t>
      </w:r>
      <w:r>
        <w:rPr>
          <w:rFonts w:hint="eastAsia" w:ascii="宋体" w:hAnsi="宋体" w:eastAsia="宋体" w:cs="宋体"/>
          <w:color w:val="000000"/>
          <w:kern w:val="0"/>
          <w:sz w:val="21"/>
          <w:szCs w:val="21"/>
          <w:highlight w:val="none"/>
          <w:lang w:eastAsia="zh-CN"/>
        </w:rPr>
        <w:t>。</w:t>
      </w:r>
    </w:p>
    <w:p w14:paraId="066B0EC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lang w:eastAsia="zh-CN"/>
        </w:rPr>
      </w:pPr>
      <w:bookmarkStart w:id="26" w:name="_Hlk37429585"/>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bookmarkStart w:id="27" w:name="_Hlk37429595"/>
      <w:r>
        <w:rPr>
          <w:rFonts w:hint="eastAsia" w:ascii="宋体" w:hAnsi="宋体" w:eastAsia="宋体" w:cs="宋体"/>
          <w:color w:val="000000"/>
          <w:kern w:val="0"/>
          <w:sz w:val="21"/>
          <w:szCs w:val="21"/>
          <w:highlight w:val="none"/>
        </w:rPr>
        <w:t>网上查询地址</w:t>
      </w:r>
      <w:bookmarkEnd w:id="26"/>
      <w:bookmarkEnd w:id="27"/>
      <w:bookmarkStart w:id="28" w:name="_Hlk37429674"/>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中国政府采购网、 广西政府采购网、全国公共资源交易平台（广西•防城港）</w:t>
      </w:r>
      <w:r>
        <w:rPr>
          <w:rFonts w:hint="eastAsia" w:ascii="宋体" w:hAnsi="宋体" w:eastAsia="宋体" w:cs="宋体"/>
          <w:color w:val="000000"/>
          <w:kern w:val="0"/>
          <w:sz w:val="21"/>
          <w:szCs w:val="21"/>
          <w:highlight w:val="none"/>
          <w:lang w:eastAsia="zh-CN"/>
        </w:rPr>
        <w:t>。</w:t>
      </w:r>
    </w:p>
    <w:p w14:paraId="55E996E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本项目需要落实的政府采购政策</w:t>
      </w:r>
    </w:p>
    <w:bookmarkEnd w:id="28"/>
    <w:p w14:paraId="5D8E0F0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（1）政府采购促进中小企业发展。</w:t>
      </w:r>
    </w:p>
    <w:p w14:paraId="4D1C6FC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（2）政府采购支持采用本国产品的政策。</w:t>
      </w:r>
    </w:p>
    <w:p w14:paraId="028DD60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（3）强制采购节能产品；优先采购节能产品、环境标志产品。</w:t>
      </w:r>
    </w:p>
    <w:p w14:paraId="0CB1E47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（4）政府采购促进残疾人就业政策。</w:t>
      </w:r>
    </w:p>
    <w:p w14:paraId="6ABFBBA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（5）政府采购支持监狱企业发展。</w:t>
      </w:r>
    </w:p>
    <w:p w14:paraId="43554D3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落实政府绿色采购政策</w:t>
      </w:r>
      <w:r>
        <w:rPr>
          <w:rFonts w:hint="eastAsia" w:ascii="宋体" w:hAnsi="宋体" w:eastAsia="宋体" w:cs="宋体"/>
          <w:color w:val="000000"/>
          <w:kern w:val="0"/>
          <w:sz w:val="21"/>
          <w:szCs w:val="21"/>
          <w:highlight w:val="none"/>
          <w:lang w:eastAsia="zh-CN"/>
        </w:rPr>
        <w:t>。</w:t>
      </w:r>
    </w:p>
    <w:p w14:paraId="398658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.若对项目采购电子交易系统操作有疑问，可登录</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广西政府采购云平台</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 xml:space="preserve">，点击右侧咨询小采，获取采小蜜智能服务管家帮助，或拨打服务热线95763获取热线服务帮助。 </w:t>
      </w:r>
    </w:p>
    <w:p w14:paraId="2C1828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Times New Roman"/>
          <w:color w:val="auto"/>
          <w:szCs w:val="21"/>
          <w:lang w:val="en-US" w:eastAsia="zh-CN"/>
        </w:rPr>
        <w:t>6</w:t>
      </w:r>
      <w:r>
        <w:rPr>
          <w:rFonts w:hint="eastAsia" w:ascii="宋体" w:hAnsi="宋体" w:eastAsia="宋体" w:cs="Times New Roman"/>
          <w:color w:val="auto"/>
          <w:szCs w:val="21"/>
        </w:rPr>
        <w:t>.监督部门:</w:t>
      </w:r>
      <w:r>
        <w:rPr>
          <w:rFonts w:hint="eastAsia" w:ascii="宋体" w:hAnsi="宋体" w:eastAsia="宋体" w:cs="Times New Roman"/>
          <w:color w:val="auto"/>
          <w:szCs w:val="21"/>
          <w:lang w:eastAsia="zh-CN"/>
        </w:rPr>
        <w:t>防城港市防城区政府采购中心</w:t>
      </w:r>
      <w:r>
        <w:rPr>
          <w:rFonts w:hint="eastAsia" w:ascii="宋体" w:hAnsi="宋体" w:eastAsia="宋体" w:cs="Times New Roman"/>
          <w:color w:val="auto"/>
          <w:szCs w:val="21"/>
        </w:rPr>
        <w:t>；联系电话：</w:t>
      </w:r>
      <w:r>
        <w:rPr>
          <w:rFonts w:hint="eastAsia" w:ascii="宋体" w:hAnsi="宋体" w:eastAsia="宋体" w:cs="Times New Roman"/>
          <w:color w:val="auto"/>
          <w:szCs w:val="21"/>
          <w:lang w:eastAsia="zh-CN"/>
        </w:rPr>
        <w:t>0770-2213681</w:t>
      </w:r>
      <w:r>
        <w:rPr>
          <w:rFonts w:hint="eastAsia" w:ascii="宋体" w:hAnsi="宋体" w:eastAsia="宋体" w:cs="Times New Roman"/>
          <w:color w:val="auto"/>
          <w:szCs w:val="21"/>
        </w:rPr>
        <w:t>。</w:t>
      </w:r>
    </w:p>
    <w:p w14:paraId="620CC126">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
          <w:color w:val="000000"/>
          <w:kern w:val="44"/>
          <w:sz w:val="21"/>
          <w:szCs w:val="21"/>
          <w:highlight w:val="none"/>
        </w:rPr>
        <w:t>八、凡对本次采购提出询问，请按以下方式联系</w:t>
      </w:r>
    </w:p>
    <w:p w14:paraId="6C59403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1.采购人信息</w:t>
      </w:r>
    </w:p>
    <w:p w14:paraId="25459C5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rPr>
        <w:t>名称：广西防城港市防城区农业农村局</w:t>
      </w:r>
    </w:p>
    <w:p w14:paraId="6EF965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none"/>
        </w:rPr>
        <w:t>地址：防城港市防城区防东路南二里1号</w:t>
      </w:r>
    </w:p>
    <w:p w14:paraId="20F1D82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none"/>
        </w:rPr>
        <w:t>联系方式：钱子棚</w:t>
      </w:r>
      <w:r>
        <w:rPr>
          <w:rFonts w:hint="eastAsia" w:ascii="宋体" w:hAnsi="宋体" w:eastAsia="宋体" w:cs="Times New Roman"/>
          <w:color w:val="auto"/>
          <w:szCs w:val="21"/>
          <w:lang w:eastAsia="zh-CN"/>
        </w:rPr>
        <w:t>；0770-3262218</w:t>
      </w:r>
    </w:p>
    <w:p w14:paraId="75EC0A8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2.采购代理机构信息</w:t>
      </w:r>
    </w:p>
    <w:p w14:paraId="085B593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广西政投项目咨询有限公司</w:t>
      </w:r>
    </w:p>
    <w:p w14:paraId="548CC17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地址：中国（广西）自由贸易试验区南宁片区凯旋路16号广西裕达集团南宁五象总部基地广东大厦二十六层2602、2603、2605号房</w:t>
      </w:r>
    </w:p>
    <w:p w14:paraId="75E623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联系方式：0771-5891216</w:t>
      </w:r>
    </w:p>
    <w:p w14:paraId="02B8E60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u w:val="none"/>
          <w:lang w:val="en-US" w:eastAsia="zh-CN"/>
        </w:rPr>
      </w:pPr>
      <w:bookmarkStart w:id="29" w:name="_Toc35393639"/>
      <w:bookmarkStart w:id="30" w:name="_Toc35393808"/>
      <w:bookmarkStart w:id="31" w:name="_Toc28359098"/>
      <w:bookmarkStart w:id="32" w:name="_Toc28359021"/>
      <w:r>
        <w:rPr>
          <w:rFonts w:hint="eastAsia" w:ascii="宋体" w:hAnsi="宋体" w:eastAsia="宋体" w:cs="宋体"/>
          <w:color w:val="000000"/>
          <w:sz w:val="21"/>
          <w:szCs w:val="21"/>
          <w:highlight w:val="none"/>
          <w:u w:val="none"/>
          <w:lang w:val="en-US" w:eastAsia="zh-CN"/>
        </w:rPr>
        <w:t>3.项目联系方式</w:t>
      </w:r>
      <w:bookmarkEnd w:id="29"/>
      <w:bookmarkEnd w:id="30"/>
      <w:bookmarkEnd w:id="31"/>
      <w:bookmarkEnd w:id="32"/>
    </w:p>
    <w:p w14:paraId="00B3D9D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项目联系人：</w:t>
      </w:r>
      <w:r>
        <w:rPr>
          <w:rFonts w:hint="eastAsia" w:ascii="宋体" w:hAnsi="宋体" w:cs="宋体"/>
          <w:color w:val="000000"/>
          <w:sz w:val="21"/>
          <w:szCs w:val="21"/>
          <w:highlight w:val="none"/>
          <w:u w:val="none"/>
          <w:lang w:val="en-US" w:eastAsia="zh-CN"/>
        </w:rPr>
        <w:t>玉积</w:t>
      </w:r>
    </w:p>
    <w:p w14:paraId="27459B4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电话：0771-5891216</w:t>
      </w:r>
    </w:p>
    <w:p w14:paraId="5CC87D21">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sz w:val="21"/>
          <w:szCs w:val="21"/>
          <w:highlight w:val="none"/>
        </w:rPr>
      </w:pPr>
    </w:p>
    <w:p w14:paraId="2CE9E623">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sz w:val="21"/>
          <w:szCs w:val="21"/>
          <w:highlight w:val="none"/>
        </w:rPr>
      </w:pPr>
    </w:p>
    <w:p w14:paraId="575A9A41">
      <w:pPr>
        <w:keepNext w:val="0"/>
        <w:keepLines w:val="0"/>
        <w:pageBreakBefore w:val="0"/>
        <w:kinsoku/>
        <w:wordWrap/>
        <w:overflowPunct/>
        <w:topLinePunct w:val="0"/>
        <w:autoSpaceDE/>
        <w:autoSpaceDN/>
        <w:bidi w:val="0"/>
        <w:spacing w:line="400" w:lineRule="exact"/>
        <w:ind w:firstLine="420" w:firstLineChars="200"/>
        <w:jc w:val="right"/>
        <w:textAlignment w:val="auto"/>
        <w:rPr>
          <w:rFonts w:hint="eastAsia" w:ascii="宋体" w:hAnsi="宋体" w:eastAsia="宋体" w:cs="宋体"/>
          <w:color w:val="000000"/>
          <w:sz w:val="21"/>
          <w:szCs w:val="21"/>
          <w:highlight w:val="none"/>
          <w:lang w:eastAsia="zh-CN"/>
        </w:rPr>
      </w:pPr>
    </w:p>
    <w:p w14:paraId="0F7A34EF">
      <w:pPr>
        <w:pStyle w:val="13"/>
        <w:keepNext w:val="0"/>
        <w:keepLines w:val="0"/>
        <w:pageBreakBefore w:val="0"/>
        <w:widowControl w:val="0"/>
        <w:kinsoku/>
        <w:wordWrap/>
        <w:overflowPunct/>
        <w:topLinePunct w:val="0"/>
        <w:autoSpaceDE/>
        <w:autoSpaceDN/>
        <w:bidi w:val="0"/>
        <w:adjustRightInd/>
        <w:snapToGrid/>
        <w:spacing w:line="460" w:lineRule="exact"/>
        <w:ind w:firstLine="200"/>
        <w:jc w:val="righ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采购人：广西防城港市防城区农业农村局</w:t>
      </w:r>
    </w:p>
    <w:p w14:paraId="4C2DEE37">
      <w:pPr>
        <w:keepNext w:val="0"/>
        <w:keepLines w:val="0"/>
        <w:pageBreakBefore w:val="0"/>
        <w:widowControl w:val="0"/>
        <w:kinsoku/>
        <w:wordWrap/>
        <w:overflowPunct/>
        <w:topLinePunct w:val="0"/>
        <w:autoSpaceDE/>
        <w:autoSpaceDN/>
        <w:bidi w:val="0"/>
        <w:adjustRightInd/>
        <w:snapToGrid/>
        <w:spacing w:line="460" w:lineRule="exact"/>
        <w:jc w:val="righ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广西政投项目咨询有限公司</w:t>
      </w:r>
    </w:p>
    <w:p w14:paraId="733D43B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26C1BD2B">
      <w:pPr>
        <w:keepNext w:val="0"/>
        <w:keepLines w:val="0"/>
        <w:pageBreakBefore w:val="0"/>
        <w:widowControl w:val="0"/>
        <w:kinsoku/>
        <w:wordWrap/>
        <w:overflowPunct/>
        <w:topLinePunct w:val="0"/>
        <w:autoSpaceDE/>
        <w:autoSpaceDN/>
        <w:bidi w:val="0"/>
        <w:adjustRightInd/>
        <w:snapToGrid/>
        <w:ind w:firstLine="7350" w:firstLineChars="35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p>
    <w:p w14:paraId="259B0365">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b/>
          <w:bCs/>
          <w:color w:val="000000"/>
          <w:kern w:val="44"/>
          <w:sz w:val="44"/>
          <w:szCs w:val="44"/>
          <w:highlight w:val="none"/>
        </w:rPr>
      </w:pPr>
      <w:r>
        <w:rPr>
          <w:rFonts w:hint="eastAsia" w:ascii="宋体" w:hAnsi="宋体" w:eastAsia="宋体" w:cs="宋体"/>
          <w:color w:val="auto"/>
          <w:sz w:val="21"/>
          <w:szCs w:val="21"/>
          <w:highlight w:val="none"/>
        </w:rPr>
        <w:br w:type="page"/>
      </w:r>
      <w:bookmarkStart w:id="33" w:name="_Toc22763"/>
      <w:r>
        <w:rPr>
          <w:rStyle w:val="25"/>
          <w:rFonts w:hint="eastAsia"/>
          <w:color w:val="000000"/>
          <w:highlight w:val="none"/>
        </w:rPr>
        <w:t>第二章 采购需求</w:t>
      </w:r>
      <w:bookmarkEnd w:id="33"/>
    </w:p>
    <w:p w14:paraId="610FE47E">
      <w:pPr>
        <w:spacing w:line="420" w:lineRule="exact"/>
        <w:jc w:val="left"/>
        <w:rPr>
          <w:rFonts w:ascii="宋体" w:hAnsi="宋体" w:cs="宋体"/>
          <w:color w:val="000000"/>
          <w:szCs w:val="21"/>
          <w:highlight w:val="none"/>
        </w:rPr>
      </w:pPr>
      <w:r>
        <w:rPr>
          <w:rFonts w:hint="eastAsia" w:ascii="宋体" w:hAnsi="宋体" w:cs="宋体"/>
          <w:color w:val="000000"/>
          <w:szCs w:val="21"/>
          <w:highlight w:val="none"/>
        </w:rPr>
        <w:t>说明：</w:t>
      </w:r>
    </w:p>
    <w:p w14:paraId="5820DDF9">
      <w:pPr>
        <w:spacing w:line="420" w:lineRule="exact"/>
        <w:ind w:firstLine="420" w:firstLineChars="200"/>
        <w:jc w:val="left"/>
        <w:rPr>
          <w:rFonts w:ascii="宋体" w:hAnsi="宋体" w:cs="宋体"/>
          <w:color w:val="000000"/>
          <w:szCs w:val="21"/>
          <w:highlight w:val="none"/>
        </w:rPr>
      </w:pPr>
      <w:r>
        <w:rPr>
          <w:rFonts w:hint="eastAsia" w:ascii="宋体" w:hAnsi="宋体"/>
          <w:color w:val="000000"/>
          <w:highlight w:val="none"/>
        </w:rPr>
        <w:t>1. 为落实政府采购政策需满足的要求</w:t>
      </w:r>
    </w:p>
    <w:p w14:paraId="2EB415B6">
      <w:pPr>
        <w:spacing w:line="4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（1）本竞争性磋商采购文件所称中小企业必须符合《政府采购促进中小企业发展管理办法》（财库〔2020〕46号）的规定。</w:t>
      </w:r>
    </w:p>
    <w:p w14:paraId="4E9FA0C3">
      <w:pPr>
        <w:tabs>
          <w:tab w:val="left" w:pos="180"/>
          <w:tab w:val="left" w:pos="1620"/>
        </w:tabs>
        <w:spacing w:line="420" w:lineRule="exact"/>
        <w:ind w:firstLine="420" w:firstLineChars="200"/>
        <w:rPr>
          <w:rFonts w:ascii="宋体" w:hAnsi="宋体" w:cs="宋体"/>
          <w:b/>
          <w:bCs/>
          <w:color w:val="000000"/>
          <w:szCs w:val="21"/>
          <w:highlight w:val="none"/>
        </w:rPr>
      </w:pPr>
      <w:r>
        <w:rPr>
          <w:rFonts w:hint="eastAsia" w:ascii="宋体" w:hAnsi="宋体" w:cs="宋体"/>
          <w:color w:val="00000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w:t>
      </w:r>
    </w:p>
    <w:p w14:paraId="50EB7CD4">
      <w:pPr>
        <w:spacing w:line="4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166AFBD5">
      <w:pPr>
        <w:spacing w:line="420" w:lineRule="exact"/>
        <w:ind w:firstLine="413" w:firstLineChars="196"/>
        <w:rPr>
          <w:rFonts w:ascii="宋体" w:hAnsi="宋体" w:cs="宋体"/>
          <w:b/>
          <w:bCs/>
          <w:color w:val="000000"/>
          <w:szCs w:val="21"/>
          <w:highlight w:val="none"/>
        </w:rPr>
      </w:pPr>
      <w:r>
        <w:rPr>
          <w:rFonts w:hint="eastAsia" w:ascii="宋体" w:hAnsi="宋体" w:cs="宋体"/>
          <w:b/>
          <w:bCs/>
          <w:color w:val="000000"/>
          <w:szCs w:val="21"/>
          <w:highlight w:val="none"/>
        </w:rPr>
        <w:t>2.“实质性要求”是指采购需求中带“▲”的条款或者不能负偏离的条款或者已经指明不满足按响应文件作无效处理的条款。</w:t>
      </w:r>
      <w:r>
        <w:rPr>
          <w:rFonts w:hint="eastAsia" w:ascii="宋体" w:hAnsi="宋体" w:cs="宋体"/>
          <w:b/>
          <w:color w:val="000000"/>
          <w:szCs w:val="21"/>
          <w:highlight w:val="none"/>
          <w:lang w:val="en-US" w:eastAsia="zh-CN"/>
        </w:rPr>
        <w:t>本章</w:t>
      </w:r>
      <w:r>
        <w:rPr>
          <w:rFonts w:hint="eastAsia" w:ascii="宋体" w:hAnsi="宋体" w:cs="宋体"/>
          <w:b/>
          <w:color w:val="000000"/>
          <w:szCs w:val="21"/>
          <w:highlight w:val="none"/>
        </w:rPr>
        <w:t>凡标注“▲”的条款或要求不响应或不满足的，其响应文件即作无效竞标处理。</w:t>
      </w:r>
    </w:p>
    <w:p w14:paraId="640FE07D">
      <w:pPr>
        <w:spacing w:line="420" w:lineRule="exact"/>
        <w:ind w:firstLine="420" w:firstLineChars="200"/>
        <w:jc w:val="left"/>
        <w:rPr>
          <w:rFonts w:ascii="宋体" w:hAnsi="宋体"/>
          <w:color w:val="000000"/>
          <w:highlight w:val="none"/>
        </w:rPr>
      </w:pPr>
      <w:r>
        <w:rPr>
          <w:rFonts w:hint="eastAsia" w:ascii="宋体" w:hAnsi="宋体" w:cs="宋体"/>
          <w:color w:val="000000"/>
          <w:szCs w:val="21"/>
          <w:highlight w:val="none"/>
        </w:rPr>
        <w:t>3.</w:t>
      </w:r>
      <w:r>
        <w:rPr>
          <w:rFonts w:hint="eastAsia" w:ascii="宋体" w:hAnsi="宋体"/>
          <w:color w:val="000000"/>
          <w:highlight w:val="none"/>
        </w:rPr>
        <w:t>如投标人投标</w:t>
      </w:r>
      <w:r>
        <w:rPr>
          <w:rFonts w:ascii="宋体" w:hAnsi="宋体"/>
          <w:color w:val="000000"/>
          <w:highlight w:val="none"/>
        </w:rPr>
        <w:t>产品</w:t>
      </w:r>
      <w:r>
        <w:rPr>
          <w:rFonts w:hint="eastAsia" w:ascii="宋体" w:hAnsi="宋体"/>
          <w:color w:val="000000"/>
          <w:highlight w:val="none"/>
        </w:rPr>
        <w:t>存在</w:t>
      </w:r>
      <w:r>
        <w:rPr>
          <w:rFonts w:ascii="宋体" w:hAnsi="宋体"/>
          <w:color w:val="000000"/>
          <w:highlight w:val="none"/>
        </w:rPr>
        <w:t>侵犯</w:t>
      </w:r>
      <w:r>
        <w:rPr>
          <w:rFonts w:hint="eastAsia" w:ascii="宋体" w:hAnsi="宋体"/>
          <w:color w:val="000000"/>
          <w:highlight w:val="none"/>
        </w:rPr>
        <w:t>他人的知识产权或者专利成果行为的，应</w:t>
      </w:r>
      <w:r>
        <w:rPr>
          <w:rFonts w:ascii="宋体" w:hAnsi="宋体"/>
          <w:color w:val="000000"/>
          <w:highlight w:val="none"/>
        </w:rPr>
        <w:t>承担相应法律责任</w:t>
      </w:r>
      <w:r>
        <w:rPr>
          <w:rFonts w:hint="eastAsia" w:ascii="宋体" w:hAnsi="宋体"/>
          <w:color w:val="000000"/>
          <w:highlight w:val="none"/>
        </w:rPr>
        <w:t>。</w:t>
      </w:r>
    </w:p>
    <w:tbl>
      <w:tblPr>
        <w:tblStyle w:val="22"/>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45"/>
        <w:gridCol w:w="1314"/>
        <w:gridCol w:w="422"/>
        <w:gridCol w:w="474"/>
        <w:gridCol w:w="4120"/>
        <w:gridCol w:w="1170"/>
        <w:gridCol w:w="1333"/>
      </w:tblGrid>
      <w:tr w14:paraId="5F0C4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3" w:type="dxa"/>
            <w:gridSpan w:val="8"/>
            <w:tcBorders>
              <w:top w:val="single" w:color="auto" w:sz="4" w:space="0"/>
              <w:left w:val="single" w:color="auto" w:sz="4" w:space="0"/>
              <w:right w:val="single" w:color="auto" w:sz="4" w:space="0"/>
            </w:tcBorders>
            <w:noWrap w:val="0"/>
            <w:vAlign w:val="center"/>
          </w:tcPr>
          <w:p w14:paraId="5089FBC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采购需求一览表</w:t>
            </w:r>
          </w:p>
        </w:tc>
      </w:tr>
      <w:tr w14:paraId="53E23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50E79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采购清单及技术参数</w:t>
            </w:r>
          </w:p>
        </w:tc>
        <w:tc>
          <w:tcPr>
            <w:tcW w:w="6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23CB88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9A6F1E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标的的名称</w:t>
            </w:r>
          </w:p>
        </w:tc>
        <w:tc>
          <w:tcPr>
            <w:tcW w:w="422" w:type="dxa"/>
            <w:tcBorders>
              <w:top w:val="single" w:color="auto" w:sz="4" w:space="0"/>
              <w:left w:val="single" w:color="auto" w:sz="4" w:space="0"/>
              <w:bottom w:val="single" w:color="auto" w:sz="4" w:space="0"/>
              <w:right w:val="single" w:color="auto" w:sz="4" w:space="0"/>
            </w:tcBorders>
            <w:noWrap w:val="0"/>
            <w:vAlign w:val="center"/>
          </w:tcPr>
          <w:p w14:paraId="530426D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w:t>
            </w:r>
          </w:p>
        </w:tc>
        <w:tc>
          <w:tcPr>
            <w:tcW w:w="474" w:type="dxa"/>
            <w:tcBorders>
              <w:top w:val="single" w:color="auto" w:sz="4" w:space="0"/>
              <w:left w:val="single" w:color="auto" w:sz="4" w:space="0"/>
              <w:bottom w:val="single" w:color="auto" w:sz="4" w:space="0"/>
              <w:right w:val="single" w:color="auto" w:sz="4" w:space="0"/>
            </w:tcBorders>
            <w:noWrap w:val="0"/>
            <w:vAlign w:val="center"/>
          </w:tcPr>
          <w:p w14:paraId="2328162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4120" w:type="dxa"/>
            <w:tcBorders>
              <w:top w:val="single" w:color="auto" w:sz="4" w:space="0"/>
              <w:left w:val="single" w:color="auto" w:sz="4" w:space="0"/>
              <w:bottom w:val="single" w:color="auto" w:sz="4" w:space="0"/>
              <w:right w:val="single" w:color="auto" w:sz="4" w:space="0"/>
            </w:tcBorders>
            <w:noWrap w:val="0"/>
            <w:vAlign w:val="center"/>
          </w:tcPr>
          <w:p w14:paraId="7166F12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工程概况及采购范围</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D9515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val="0"/>
                <w:bCs/>
                <w:color w:val="000000"/>
                <w:sz w:val="21"/>
                <w:szCs w:val="21"/>
                <w:highlight w:val="none"/>
              </w:rPr>
              <w:t>最高限价</w:t>
            </w:r>
            <w:r>
              <w:rPr>
                <w:rFonts w:hint="eastAsia" w:ascii="宋体" w:hAnsi="宋体" w:eastAsia="宋体" w:cs="宋体"/>
                <w:b w:val="0"/>
                <w:bCs/>
                <w:color w:val="000000"/>
                <w:sz w:val="21"/>
                <w:szCs w:val="21"/>
                <w:highlight w:val="none"/>
                <w:lang w:val="en-US" w:eastAsia="zh-CN"/>
              </w:rPr>
              <w:t>（</w:t>
            </w:r>
            <w:r>
              <w:rPr>
                <w:rFonts w:hint="eastAsia" w:ascii="宋体" w:hAnsi="宋体" w:eastAsia="宋体" w:cs="宋体"/>
                <w:b w:val="0"/>
                <w:bCs/>
                <w:color w:val="000000"/>
                <w:sz w:val="21"/>
                <w:szCs w:val="21"/>
                <w:highlight w:val="none"/>
                <w:lang w:eastAsia="zh-CN"/>
              </w:rPr>
              <w:t>招标控制价</w:t>
            </w:r>
            <w:r>
              <w:rPr>
                <w:rFonts w:hint="eastAsia" w:ascii="宋体" w:hAnsi="宋体" w:eastAsia="宋体" w:cs="宋体"/>
                <w:b w:val="0"/>
                <w:bCs/>
                <w:color w:val="000000"/>
                <w:sz w:val="21"/>
                <w:szCs w:val="21"/>
                <w:highlight w:val="none"/>
                <w:lang w:val="en-US" w:eastAsia="zh-CN"/>
              </w:rPr>
              <w:t>）（元）</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FA7D80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中小企业划分标准所属行业名称</w:t>
            </w:r>
          </w:p>
        </w:tc>
      </w:tr>
      <w:tr w14:paraId="4A280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1712C8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7DC229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BE3BDD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pacing w:val="-4"/>
                <w:sz w:val="21"/>
                <w:szCs w:val="21"/>
                <w:highlight w:val="none"/>
                <w:lang w:eastAsia="zh-CN"/>
              </w:rPr>
              <w:t xml:space="preserve">扶隆镇那农村那雪组香料产业粪污资源化利用项目 </w:t>
            </w:r>
          </w:p>
        </w:tc>
        <w:tc>
          <w:tcPr>
            <w:tcW w:w="422" w:type="dxa"/>
            <w:tcBorders>
              <w:top w:val="single" w:color="auto" w:sz="4" w:space="0"/>
              <w:left w:val="single" w:color="auto" w:sz="4" w:space="0"/>
              <w:bottom w:val="single" w:color="auto" w:sz="4" w:space="0"/>
              <w:right w:val="single" w:color="auto" w:sz="4" w:space="0"/>
            </w:tcBorders>
            <w:noWrap w:val="0"/>
            <w:vAlign w:val="center"/>
          </w:tcPr>
          <w:p w14:paraId="41BA2C7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w:t>
            </w:r>
          </w:p>
        </w:tc>
        <w:tc>
          <w:tcPr>
            <w:tcW w:w="474" w:type="dxa"/>
            <w:tcBorders>
              <w:top w:val="single" w:color="auto" w:sz="4" w:space="0"/>
              <w:left w:val="single" w:color="auto" w:sz="4" w:space="0"/>
              <w:bottom w:val="single" w:color="auto" w:sz="4" w:space="0"/>
              <w:right w:val="single" w:color="auto" w:sz="4" w:space="0"/>
            </w:tcBorders>
            <w:noWrap w:val="0"/>
            <w:vAlign w:val="center"/>
          </w:tcPr>
          <w:p w14:paraId="40DE416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4120" w:type="dxa"/>
            <w:tcBorders>
              <w:top w:val="single" w:color="auto" w:sz="4" w:space="0"/>
              <w:left w:val="single" w:color="auto" w:sz="4" w:space="0"/>
              <w:bottom w:val="single" w:color="auto" w:sz="4" w:space="0"/>
              <w:right w:val="single" w:color="auto" w:sz="4" w:space="0"/>
            </w:tcBorders>
            <w:noWrap w:val="0"/>
            <w:vAlign w:val="center"/>
          </w:tcPr>
          <w:p w14:paraId="1AEB7AA2">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1"/>
                <w:szCs w:val="21"/>
                <w:highlight w:val="none"/>
                <w:u w:val="none"/>
                <w:shd w:val="clear" w:color="auto" w:fill="FFFFFF"/>
                <w:lang w:val="en-US" w:eastAsia="zh-CN"/>
              </w:rPr>
            </w:pPr>
            <w:r>
              <w:rPr>
                <w:rFonts w:hint="eastAsia" w:ascii="宋体" w:hAnsi="宋体" w:cs="宋体"/>
                <w:color w:val="000000"/>
                <w:sz w:val="21"/>
                <w:szCs w:val="21"/>
                <w:highlight w:val="none"/>
                <w:u w:val="none"/>
                <w:shd w:val="clear" w:color="auto" w:fill="FFFFFF"/>
                <w:lang w:val="en-US" w:eastAsia="zh-CN"/>
              </w:rPr>
              <w:t>1.</w:t>
            </w:r>
            <w:r>
              <w:rPr>
                <w:rFonts w:hint="eastAsia" w:ascii="宋体" w:hAnsi="宋体" w:eastAsia="宋体" w:cs="宋体"/>
                <w:color w:val="000000"/>
                <w:sz w:val="21"/>
                <w:szCs w:val="21"/>
                <w:highlight w:val="none"/>
                <w:u w:val="none"/>
                <w:shd w:val="clear" w:color="auto" w:fill="FFFFFF"/>
                <w:lang w:val="en-US" w:eastAsia="zh-CN"/>
              </w:rPr>
              <w:t>工程名称：扶隆镇那农村那雪组香料产业粪污资源化利用项目</w:t>
            </w:r>
          </w:p>
          <w:p w14:paraId="21896D64">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1"/>
                <w:szCs w:val="21"/>
                <w:highlight w:val="none"/>
                <w:u w:val="none"/>
                <w:shd w:val="clear" w:color="auto" w:fill="FFFFFF"/>
                <w:lang w:val="en-US" w:eastAsia="zh-CN"/>
              </w:rPr>
            </w:pPr>
            <w:r>
              <w:rPr>
                <w:rFonts w:hint="eastAsia" w:ascii="宋体" w:hAnsi="宋体" w:cs="宋体"/>
                <w:color w:val="000000"/>
                <w:kern w:val="2"/>
                <w:sz w:val="21"/>
                <w:szCs w:val="21"/>
                <w:highlight w:val="none"/>
                <w:shd w:val="clear" w:color="auto" w:fill="FFFFFF"/>
                <w:lang w:val="en-US" w:eastAsia="zh-CN" w:bidi="ar-SA"/>
              </w:rPr>
              <w:t>2.</w:t>
            </w:r>
            <w:r>
              <w:rPr>
                <w:rFonts w:hint="eastAsia" w:ascii="宋体" w:hAnsi="宋体" w:eastAsia="宋体" w:cs="宋体"/>
                <w:color w:val="000000"/>
                <w:sz w:val="21"/>
                <w:szCs w:val="21"/>
                <w:highlight w:val="none"/>
                <w:lang w:val="en-US" w:eastAsia="zh-CN"/>
              </w:rPr>
              <w:t>建设地点：广西防城港市防城区扶隆镇那农村。</w:t>
            </w:r>
          </w:p>
          <w:p w14:paraId="0FD1DA38">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1"/>
                <w:szCs w:val="21"/>
                <w:highlight w:val="none"/>
                <w:u w:val="none"/>
                <w:shd w:val="clear" w:color="auto" w:fill="FFFFFF"/>
                <w:lang w:val="en-US" w:eastAsia="zh-CN"/>
              </w:rPr>
            </w:pPr>
            <w:r>
              <w:rPr>
                <w:rFonts w:hint="eastAsia" w:ascii="宋体" w:hAnsi="宋体" w:cs="宋体"/>
                <w:color w:val="000000"/>
                <w:kern w:val="2"/>
                <w:sz w:val="21"/>
                <w:szCs w:val="21"/>
                <w:highlight w:val="none"/>
                <w:shd w:val="clear" w:color="auto" w:fill="FFFFFF"/>
                <w:lang w:val="en-US" w:eastAsia="zh-CN" w:bidi="ar-SA"/>
              </w:rPr>
              <w:t>3.</w:t>
            </w:r>
            <w:r>
              <w:rPr>
                <w:rFonts w:hint="eastAsia" w:ascii="宋体" w:hAnsi="宋体" w:eastAsia="宋体" w:cs="宋体"/>
                <w:color w:val="000000"/>
                <w:sz w:val="21"/>
                <w:szCs w:val="21"/>
                <w:highlight w:val="none"/>
                <w:u w:val="none"/>
                <w:shd w:val="clear" w:color="auto" w:fill="FFFFFF"/>
                <w:lang w:val="en-US" w:eastAsia="zh-CN"/>
              </w:rPr>
              <w:t>发包方式：固定综合单价，包工包料。</w:t>
            </w:r>
          </w:p>
          <w:p w14:paraId="71484F33">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1"/>
                <w:szCs w:val="21"/>
                <w:highlight w:val="none"/>
                <w:u w:val="none"/>
                <w:shd w:val="clear" w:color="auto" w:fill="FFFFFF"/>
                <w:lang w:val="en-US" w:eastAsia="zh-CN"/>
              </w:rPr>
            </w:pPr>
            <w:r>
              <w:rPr>
                <w:rFonts w:hint="eastAsia" w:ascii="宋体" w:hAnsi="宋体" w:eastAsia="宋体" w:cs="宋体"/>
                <w:color w:val="000000"/>
                <w:kern w:val="2"/>
                <w:sz w:val="21"/>
                <w:szCs w:val="21"/>
                <w:highlight w:val="none"/>
                <w:shd w:val="clear" w:color="auto" w:fill="FFFFFF"/>
                <w:lang w:val="en-US" w:eastAsia="zh-CN" w:bidi="ar-SA"/>
              </w:rPr>
              <w:t>4</w:t>
            </w:r>
            <w:r>
              <w:rPr>
                <w:rFonts w:hint="eastAsia" w:ascii="宋体" w:hAnsi="宋体" w:cs="宋体"/>
                <w:color w:val="000000"/>
                <w:kern w:val="2"/>
                <w:sz w:val="21"/>
                <w:szCs w:val="21"/>
                <w:highlight w:val="none"/>
                <w:shd w:val="clear" w:color="auto" w:fill="FFFFFF"/>
                <w:lang w:val="en-US" w:eastAsia="zh-CN" w:bidi="ar-SA"/>
              </w:rPr>
              <w:t>.</w:t>
            </w:r>
            <w:r>
              <w:rPr>
                <w:rFonts w:hint="eastAsia" w:ascii="宋体" w:hAnsi="宋体" w:eastAsia="宋体" w:cs="宋体"/>
                <w:color w:val="000000"/>
                <w:sz w:val="21"/>
                <w:szCs w:val="21"/>
                <w:highlight w:val="none"/>
                <w:lang w:val="en-US" w:eastAsia="zh-CN"/>
              </w:rPr>
              <w:t>质量等级：施工质量达到合格标准，工程质量标准必须符合现行国家有关工程施工质量验收规范和标准</w:t>
            </w:r>
            <w:r>
              <w:rPr>
                <w:rFonts w:hint="eastAsia" w:ascii="宋体" w:hAnsi="宋体" w:eastAsia="宋体" w:cs="宋体"/>
                <w:color w:val="000000"/>
                <w:sz w:val="21"/>
                <w:szCs w:val="21"/>
                <w:highlight w:val="none"/>
                <w:u w:val="none"/>
                <w:shd w:val="clear" w:color="auto" w:fill="FFFFFF"/>
                <w:lang w:val="en-US" w:eastAsia="zh-CN"/>
              </w:rPr>
              <w:t>。</w:t>
            </w:r>
          </w:p>
          <w:p w14:paraId="7E0C2A2C">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1"/>
                <w:szCs w:val="21"/>
                <w:highlight w:val="none"/>
                <w:u w:val="none"/>
                <w:shd w:val="clear" w:color="auto" w:fill="FFFFFF"/>
                <w:lang w:val="en-US" w:eastAsia="zh-CN"/>
              </w:rPr>
            </w:pPr>
            <w:r>
              <w:rPr>
                <w:rFonts w:hint="eastAsia" w:ascii="宋体" w:hAnsi="宋体" w:eastAsia="宋体" w:cs="宋体"/>
                <w:color w:val="000000"/>
                <w:kern w:val="2"/>
                <w:sz w:val="21"/>
                <w:szCs w:val="21"/>
                <w:highlight w:val="none"/>
                <w:shd w:val="clear" w:color="auto" w:fill="FFFFFF"/>
                <w:lang w:val="en-US" w:eastAsia="zh-CN" w:bidi="ar-SA"/>
              </w:rPr>
              <w:t>5</w:t>
            </w:r>
            <w:r>
              <w:rPr>
                <w:rFonts w:hint="eastAsia" w:ascii="宋体" w:hAnsi="宋体" w:cs="宋体"/>
                <w:color w:val="000000"/>
                <w:kern w:val="2"/>
                <w:sz w:val="21"/>
                <w:szCs w:val="21"/>
                <w:highlight w:val="none"/>
                <w:shd w:val="clear" w:color="auto" w:fill="FFFFFF"/>
                <w:lang w:val="en-US" w:eastAsia="zh-CN" w:bidi="ar-SA"/>
              </w:rPr>
              <w:t>.</w:t>
            </w:r>
            <w:r>
              <w:rPr>
                <w:rFonts w:hint="eastAsia" w:ascii="宋体" w:hAnsi="宋体" w:eastAsia="宋体" w:cs="宋体"/>
                <w:color w:val="000000"/>
                <w:sz w:val="21"/>
                <w:szCs w:val="21"/>
                <w:highlight w:val="none"/>
                <w:u w:val="none"/>
                <w:shd w:val="clear" w:color="auto" w:fill="FFFFFF"/>
                <w:lang w:val="en-US" w:eastAsia="zh-CN"/>
              </w:rPr>
              <w:t>开工时间：</w:t>
            </w:r>
            <w:r>
              <w:rPr>
                <w:rFonts w:hint="eastAsia" w:ascii="宋体" w:hAnsi="宋体" w:eastAsia="宋体" w:cs="宋体"/>
                <w:bCs/>
                <w:color w:val="auto"/>
                <w:szCs w:val="21"/>
                <w:shd w:val="clear" w:color="auto" w:fill="FFFFFF"/>
              </w:rPr>
              <w:t>签订合同后，</w:t>
            </w:r>
            <w:r>
              <w:rPr>
                <w:rFonts w:hint="eastAsia" w:ascii="宋体" w:hAnsi="宋体" w:eastAsia="宋体" w:cs="宋体"/>
                <w:color w:val="000000"/>
                <w:sz w:val="21"/>
                <w:szCs w:val="21"/>
                <w:highlight w:val="none"/>
                <w:u w:val="none"/>
                <w:shd w:val="clear" w:color="auto" w:fill="FFFFFF"/>
                <w:lang w:val="en-US" w:eastAsia="zh-CN"/>
              </w:rPr>
              <w:t>具体以采购人（监理）开工令为准。</w:t>
            </w:r>
          </w:p>
          <w:p w14:paraId="61CCC234">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bCs/>
                <w:color w:val="auto"/>
                <w:szCs w:val="21"/>
                <w:highlight w:val="yellow"/>
                <w:shd w:val="clear" w:color="auto" w:fill="FFFFFF"/>
                <w:lang w:val="en-US" w:eastAsia="zh-CN"/>
              </w:rPr>
            </w:pPr>
            <w:r>
              <w:rPr>
                <w:rFonts w:hint="eastAsia" w:ascii="宋体" w:hAnsi="宋体" w:eastAsia="宋体" w:cs="宋体"/>
                <w:bCs/>
                <w:color w:val="auto"/>
                <w:szCs w:val="21"/>
                <w:highlight w:val="none"/>
                <w:shd w:val="clear" w:color="auto" w:fill="FFFFFF"/>
                <w:lang w:val="en-US" w:eastAsia="zh-CN"/>
              </w:rPr>
              <w:t>6</w:t>
            </w:r>
            <w:r>
              <w:rPr>
                <w:rFonts w:hint="eastAsia" w:ascii="宋体" w:hAnsi="宋体" w:cs="宋体"/>
                <w:bCs/>
                <w:color w:val="auto"/>
                <w:szCs w:val="21"/>
                <w:highlight w:val="none"/>
                <w:shd w:val="clear" w:color="auto" w:fill="FFFFFF"/>
                <w:lang w:val="en-US" w:eastAsia="zh-CN"/>
              </w:rPr>
              <w:t>.</w:t>
            </w:r>
            <w:r>
              <w:rPr>
                <w:rFonts w:hint="eastAsia" w:ascii="宋体" w:hAnsi="宋体" w:eastAsia="宋体" w:cs="宋体"/>
                <w:bCs/>
                <w:color w:val="auto"/>
                <w:szCs w:val="21"/>
                <w:highlight w:val="none"/>
                <w:shd w:val="clear" w:color="auto" w:fill="FFFFFF"/>
                <w:lang w:val="en-US" w:eastAsia="zh-CN"/>
              </w:rPr>
              <w:t>建设</w:t>
            </w:r>
            <w:r>
              <w:rPr>
                <w:rFonts w:hint="eastAsia" w:ascii="宋体" w:hAnsi="宋体" w:eastAsia="宋体" w:cs="宋体"/>
                <w:bCs/>
                <w:color w:val="auto"/>
                <w:szCs w:val="21"/>
                <w:highlight w:val="none"/>
                <w:shd w:val="clear" w:color="auto" w:fill="FFFFFF"/>
              </w:rPr>
              <w:t>规模及采购范围：</w:t>
            </w:r>
            <w:r>
              <w:rPr>
                <w:rFonts w:hint="eastAsia" w:ascii="宋体" w:hAnsi="宋体" w:eastAsia="宋体" w:cs="宋体"/>
                <w:bCs/>
                <w:color w:val="auto"/>
                <w:szCs w:val="21"/>
                <w:highlight w:val="none"/>
                <w:shd w:val="clear" w:color="auto" w:fill="FFFFFF"/>
                <w:lang w:val="en-US" w:eastAsia="zh-CN"/>
              </w:rPr>
              <w:t>本项目为新建工程：厌氧消化沼气池1座，沉砂池1座，调节池1座，沉淀池、清水池、好氧池、贮液池1座、管理用房、入户道路、沼气、沼肥利用设施一套，具体内容详见施工图纸及招标控制价。</w:t>
            </w:r>
          </w:p>
          <w:p w14:paraId="0AA8C431">
            <w:pPr>
              <w:pStyle w:val="26"/>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7.</w:t>
            </w:r>
            <w:r>
              <w:rPr>
                <w:rStyle w:val="24"/>
                <w:rFonts w:hint="eastAsia" w:ascii="宋体" w:hAnsi="宋体" w:eastAsia="宋体" w:cs="Times New Roman"/>
                <w:b w:val="0"/>
                <w:bCs w:val="0"/>
                <w:color w:val="auto"/>
                <w:kern w:val="2"/>
                <w:sz w:val="21"/>
                <w:szCs w:val="22"/>
                <w:highlight w:val="none"/>
                <w:lang w:val="en-US" w:eastAsia="zh-CN" w:bidi="ar-SA"/>
              </w:rPr>
              <w:t>按照《关于政府采购支持绿色建材促进建筑品质提升试点工作的通知》(财库〔2O2O〕31号)和《防城港市财政局关于加强政府绿色采购有关事项的通知》防财监〔2023〕59号规定“供应商在政府采购工程中优先采购可循环可利用建材、高强度高耐久建材、绿色产品部件、绿色装饰装修材料、节水节能建材等绿色建材产品”。</w:t>
            </w:r>
          </w:p>
          <w:p w14:paraId="0A49B952">
            <w:pPr>
              <w:keepNext w:val="0"/>
              <w:keepLines w:val="0"/>
              <w:pageBreakBefore w:val="0"/>
              <w:widowControl/>
              <w:kinsoku/>
              <w:overflowPunct/>
              <w:topLinePunct w:val="0"/>
              <w:autoSpaceDE/>
              <w:autoSpaceDN/>
              <w:bidi w:val="0"/>
              <w:spacing w:line="312"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人员配置要求：</w:t>
            </w:r>
          </w:p>
          <w:p w14:paraId="0959BE0C">
            <w:pPr>
              <w:keepNext w:val="0"/>
              <w:keepLines w:val="0"/>
              <w:pageBreakBefore w:val="0"/>
              <w:numPr>
                <w:ilvl w:val="0"/>
                <w:numId w:val="2"/>
              </w:numPr>
              <w:kinsoku/>
              <w:overflowPunct/>
              <w:topLinePunct w:val="0"/>
              <w:autoSpaceDE/>
              <w:autoSpaceDN/>
              <w:bidi w:val="0"/>
              <w:spacing w:line="312"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拟投入项目经理具有</w:t>
            </w:r>
            <w:r>
              <w:rPr>
                <w:rFonts w:hint="eastAsia" w:ascii="宋体" w:hAnsi="宋体" w:cs="宋体"/>
                <w:bCs/>
                <w:color w:val="auto"/>
                <w:kern w:val="0"/>
                <w:sz w:val="21"/>
                <w:szCs w:val="21"/>
                <w:highlight w:val="none"/>
                <w:lang w:val="en-US" w:eastAsia="zh-CN"/>
              </w:rPr>
              <w:t>市政公用</w:t>
            </w:r>
            <w:r>
              <w:rPr>
                <w:rFonts w:hint="eastAsia" w:ascii="宋体" w:hAnsi="宋体" w:eastAsia="宋体" w:cs="宋体"/>
                <w:bCs/>
                <w:color w:val="auto"/>
                <w:kern w:val="0"/>
                <w:sz w:val="21"/>
                <w:szCs w:val="21"/>
                <w:highlight w:val="none"/>
                <w:lang w:val="en-US" w:eastAsia="zh-CN"/>
              </w:rPr>
              <w:t>工程专业二级及以上注册建造师证书，具备有效的安全生产考核合格证书（B类）。</w:t>
            </w:r>
          </w:p>
          <w:p w14:paraId="58749A6D">
            <w:pPr>
              <w:keepNext w:val="0"/>
              <w:keepLines w:val="0"/>
              <w:pageBreakBefore w:val="0"/>
              <w:numPr>
                <w:ilvl w:val="0"/>
                <w:numId w:val="0"/>
              </w:numPr>
              <w:kinsoku/>
              <w:overflowPunct/>
              <w:topLinePunct w:val="0"/>
              <w:autoSpaceDE/>
              <w:autoSpaceDN/>
              <w:bidi w:val="0"/>
              <w:spacing w:line="312" w:lineRule="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val="en-US" w:eastAsia="zh-CN"/>
              </w:rPr>
              <w:t>拟投入技术负责人须具备工程类专业中级（含中级）及以上职称资格</w:t>
            </w:r>
            <w:r>
              <w:rPr>
                <w:rFonts w:hint="eastAsia" w:ascii="宋体" w:hAnsi="宋体" w:cs="宋体"/>
                <w:bCs/>
                <w:color w:val="auto"/>
                <w:kern w:val="0"/>
                <w:sz w:val="21"/>
                <w:szCs w:val="21"/>
                <w:highlight w:val="none"/>
                <w:lang w:val="en-US" w:eastAsia="zh-CN"/>
              </w:rPr>
              <w:t>。</w:t>
            </w:r>
          </w:p>
          <w:p w14:paraId="486E3BF8">
            <w:pPr>
              <w:keepNext w:val="0"/>
              <w:keepLines w:val="0"/>
              <w:pageBreakBefore w:val="0"/>
              <w:kinsoku/>
              <w:wordWrap/>
              <w:overflowPunct/>
              <w:topLinePunct w:val="0"/>
              <w:autoSpaceDE/>
              <w:autoSpaceDN/>
              <w:bidi w:val="0"/>
              <w:adjustRightInd/>
              <w:snapToGrid/>
              <w:spacing w:line="440" w:lineRule="exact"/>
              <w:jc w:val="left"/>
              <w:textAlignment w:val="baseline"/>
              <w:rPr>
                <w:rFonts w:hint="eastAsia" w:ascii="宋体" w:hAnsi="宋体" w:eastAsia="宋体" w:cs="宋体"/>
                <w:color w:val="000000"/>
                <w:sz w:val="21"/>
                <w:szCs w:val="21"/>
                <w:highlight w:val="none"/>
                <w:lang w:val="en-US" w:eastAsia="zh-CN"/>
              </w:rPr>
            </w:pP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val="en-US" w:eastAsia="zh-CN"/>
              </w:rPr>
              <w:t>专职安全生产管理人员具备有效的安全生产考核合格证 C 证，人数符合住房和城乡建设部《建筑施工企业安全生产管理机构设置及专职安全生产管理人员配备办法》（建质〔2008〕91 号）的规定不少于 1 人</w:t>
            </w:r>
          </w:p>
          <w:p w14:paraId="74F93771">
            <w:pPr>
              <w:keepNext w:val="0"/>
              <w:keepLines w:val="0"/>
              <w:pageBreakBefore w:val="0"/>
              <w:kinsoku/>
              <w:wordWrap/>
              <w:overflowPunct/>
              <w:topLinePunct w:val="0"/>
              <w:autoSpaceDE/>
              <w:autoSpaceDN/>
              <w:bidi w:val="0"/>
              <w:adjustRightInd/>
              <w:snapToGrid/>
              <w:spacing w:line="440" w:lineRule="exact"/>
              <w:jc w:val="left"/>
              <w:textAlignment w:val="baseline"/>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rPr>
              <w:t>工程建设地点的现场条件：</w:t>
            </w:r>
          </w:p>
          <w:p w14:paraId="2193F1E3">
            <w:pPr>
              <w:keepNext w:val="0"/>
              <w:keepLines w:val="0"/>
              <w:pageBreakBefore w:val="0"/>
              <w:kinsoku/>
              <w:wordWrap/>
              <w:overflowPunct/>
              <w:topLinePunct w:val="0"/>
              <w:autoSpaceDE/>
              <w:autoSpaceDN/>
              <w:bidi w:val="0"/>
              <w:adjustRightInd/>
              <w:snapToGrid/>
              <w:spacing w:line="440" w:lineRule="exact"/>
              <w:jc w:val="left"/>
              <w:textAlignment w:val="baseline"/>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（1）现场自然条件：满足施工要求</w:t>
            </w:r>
            <w:r>
              <w:rPr>
                <w:rFonts w:hint="eastAsia" w:ascii="宋体" w:hAnsi="宋体" w:eastAsia="宋体" w:cs="宋体"/>
                <w:color w:val="000000"/>
                <w:sz w:val="21"/>
                <w:szCs w:val="21"/>
                <w:highlight w:val="none"/>
                <w:lang w:eastAsia="zh-CN"/>
              </w:rPr>
              <w:t>；</w:t>
            </w:r>
          </w:p>
          <w:p w14:paraId="696C70AD">
            <w:pPr>
              <w:keepNext w:val="0"/>
              <w:keepLines w:val="0"/>
              <w:pageBreakBefore w:val="0"/>
              <w:kinsoku/>
              <w:wordWrap/>
              <w:overflowPunct/>
              <w:topLinePunct w:val="0"/>
              <w:autoSpaceDE/>
              <w:autoSpaceDN/>
              <w:bidi w:val="0"/>
              <w:adjustRightInd/>
              <w:snapToGrid/>
              <w:spacing w:line="440" w:lineRule="exact"/>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（2）现场施工条件：符合施工要求。</w:t>
            </w:r>
          </w:p>
          <w:p w14:paraId="3BC894C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000000"/>
                <w:kern w:val="0"/>
                <w:sz w:val="21"/>
                <w:szCs w:val="21"/>
                <w:highlight w:val="none"/>
              </w:rPr>
            </w:pP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根据施工图以及</w:t>
            </w:r>
            <w:r>
              <w:rPr>
                <w:rFonts w:hint="eastAsia" w:ascii="宋体" w:hAnsi="宋体" w:cs="宋体"/>
                <w:color w:val="000000"/>
                <w:sz w:val="21"/>
                <w:szCs w:val="21"/>
                <w:highlight w:val="none"/>
                <w:lang w:val="en-US" w:eastAsia="zh-CN"/>
              </w:rPr>
              <w:t>招标控制价</w:t>
            </w:r>
            <w:r>
              <w:rPr>
                <w:rFonts w:hint="eastAsia" w:ascii="宋体" w:hAnsi="宋体" w:eastAsia="宋体" w:cs="宋体"/>
                <w:color w:val="000000"/>
                <w:sz w:val="21"/>
                <w:szCs w:val="21"/>
                <w:highlight w:val="none"/>
              </w:rPr>
              <w:t>提供工程进度计划与措施；工程施工的重点和难点及保证措施、主要的施工方法。</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BADFFD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955698.52</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138763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r>
      <w:tr w14:paraId="35C62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7679210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▲商务条款</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716A915B">
            <w:pPr>
              <w:keepNext w:val="0"/>
              <w:keepLines w:val="0"/>
              <w:pageBreakBefore w:val="0"/>
              <w:widowControl w:val="0"/>
              <w:kinsoku/>
              <w:wordWrap w:val="0"/>
              <w:overflowPunct/>
              <w:topLinePunct w:val="0"/>
              <w:autoSpaceDE/>
              <w:autoSpaceDN/>
              <w:bidi w:val="0"/>
              <w:snapToGrid/>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合同签订期：自成交通知书发出之日起25日内。</w:t>
            </w:r>
          </w:p>
          <w:p w14:paraId="61F4D85C">
            <w:pPr>
              <w:keepNext w:val="0"/>
              <w:keepLines w:val="0"/>
              <w:pageBreakBefore w:val="0"/>
              <w:widowControl w:val="0"/>
              <w:kinsoku/>
              <w:overflowPunct/>
              <w:topLinePunct w:val="0"/>
              <w:autoSpaceDE/>
              <w:autoSpaceDN/>
              <w:bidi w:val="0"/>
              <w:snapToGrid/>
              <w:spacing w:line="312" w:lineRule="auto"/>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2</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合同履行期限(工期)：</w:t>
            </w:r>
            <w:r>
              <w:rPr>
                <w:rFonts w:hint="eastAsia" w:ascii="宋体" w:hAnsi="宋体" w:cs="宋体"/>
                <w:color w:val="000000"/>
                <w:sz w:val="21"/>
                <w:szCs w:val="21"/>
                <w:highlight w:val="none"/>
                <w:lang w:val="en-US" w:eastAsia="zh-CN"/>
              </w:rPr>
              <w:t>60</w:t>
            </w:r>
            <w:r>
              <w:rPr>
                <w:rFonts w:hint="eastAsia" w:ascii="宋体" w:hAnsi="宋体" w:eastAsia="宋体" w:cs="宋体"/>
                <w:color w:val="000000"/>
                <w:sz w:val="21"/>
                <w:szCs w:val="21"/>
                <w:highlight w:val="none"/>
                <w:u w:val="none"/>
                <w:shd w:val="clear" w:color="auto" w:fill="FFFFFF"/>
                <w:lang w:val="en-US" w:eastAsia="zh-CN"/>
              </w:rPr>
              <w:t>日历天。</w:t>
            </w:r>
          </w:p>
          <w:p w14:paraId="782F78F5">
            <w:pPr>
              <w:keepNext w:val="0"/>
              <w:keepLines w:val="0"/>
              <w:pageBreakBefore w:val="0"/>
              <w:widowControl w:val="0"/>
              <w:kinsoku/>
              <w:wordWrap w:val="0"/>
              <w:overflowPunct/>
              <w:topLinePunct w:val="0"/>
              <w:autoSpaceDE/>
              <w:autoSpaceDN/>
              <w:bidi w:val="0"/>
              <w:adjustRightInd w:val="0"/>
              <w:snapToGrid/>
              <w:spacing w:line="312" w:lineRule="auto"/>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3</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建设地点：</w:t>
            </w:r>
            <w:r>
              <w:rPr>
                <w:rFonts w:hint="eastAsia" w:ascii="宋体" w:hAnsi="宋体" w:eastAsia="宋体" w:cs="宋体"/>
                <w:color w:val="000000"/>
                <w:sz w:val="21"/>
                <w:szCs w:val="21"/>
                <w:highlight w:val="none"/>
                <w:lang w:val="en-US" w:eastAsia="zh-CN"/>
              </w:rPr>
              <w:t>广西防城港市防城区扶隆镇那农村。</w:t>
            </w:r>
          </w:p>
          <w:p w14:paraId="257325EB">
            <w:pPr>
              <w:keepNext w:val="0"/>
              <w:keepLines w:val="0"/>
              <w:pageBreakBefore w:val="0"/>
              <w:widowControl w:val="0"/>
              <w:kinsoku/>
              <w:wordWrap w:val="0"/>
              <w:overflowPunct/>
              <w:topLinePunct w:val="0"/>
              <w:autoSpaceDE/>
              <w:autoSpaceDN/>
              <w:bidi w:val="0"/>
              <w:adjustRightInd w:val="0"/>
              <w:snapToGrid/>
              <w:spacing w:line="312"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项目管理机构配备要求：供应商必须配备足够的项目管理机构人员，</w:t>
            </w:r>
            <w:r>
              <w:rPr>
                <w:rFonts w:hint="eastAsia" w:ascii="宋体" w:hAnsi="宋体" w:eastAsia="宋体" w:cs="宋体"/>
                <w:color w:val="000000"/>
                <w:sz w:val="21"/>
                <w:szCs w:val="21"/>
                <w:highlight w:val="none"/>
                <w:lang w:eastAsia="zh-CN"/>
              </w:rPr>
              <w:t>包括</w:t>
            </w:r>
            <w:r>
              <w:rPr>
                <w:rFonts w:hint="eastAsia" w:ascii="宋体" w:hAnsi="宋体" w:eastAsia="宋体" w:cs="宋体"/>
                <w:color w:val="000000"/>
                <w:sz w:val="21"/>
                <w:szCs w:val="21"/>
                <w:highlight w:val="none"/>
              </w:rPr>
              <w:t>项目经理、技术负责人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专职安全生产管理人员和主要管理人员情况</w:t>
            </w:r>
            <w:r>
              <w:rPr>
                <w:rFonts w:hint="eastAsia" w:ascii="宋体" w:hAnsi="宋体" w:eastAsia="宋体" w:cs="宋体"/>
                <w:color w:val="000000"/>
                <w:sz w:val="21"/>
                <w:szCs w:val="21"/>
                <w:highlight w:val="none"/>
                <w:lang w:eastAsia="zh-CN"/>
              </w:rPr>
              <w:t>（含</w:t>
            </w:r>
            <w:r>
              <w:rPr>
                <w:rFonts w:hint="eastAsia" w:ascii="宋体" w:hAnsi="宋体" w:eastAsia="宋体" w:cs="宋体"/>
                <w:b w:val="0"/>
                <w:bCs w:val="0"/>
                <w:color w:val="000000"/>
                <w:kern w:val="2"/>
                <w:sz w:val="21"/>
                <w:szCs w:val="21"/>
                <w:highlight w:val="none"/>
                <w:lang w:val="en-US" w:eastAsia="zh-CN" w:bidi="ar-SA"/>
              </w:rPr>
              <w:t>施工员、质量员、材料员</w:t>
            </w:r>
            <w:r>
              <w:rPr>
                <w:rFonts w:hint="eastAsia" w:ascii="宋体" w:hAnsi="宋体" w:eastAsia="宋体" w:cs="宋体"/>
                <w:color w:val="000000"/>
                <w:sz w:val="21"/>
                <w:szCs w:val="21"/>
                <w:highlight w:val="none"/>
              </w:rPr>
              <w:t>）</w:t>
            </w:r>
            <w:r>
              <w:rPr>
                <w:rFonts w:hint="eastAsia" w:ascii="宋体" w:hAnsi="宋体" w:cs="宋体"/>
                <w:color w:val="auto"/>
                <w:sz w:val="24"/>
                <w:szCs w:val="24"/>
                <w:highlight w:val="none"/>
                <w:lang w:eastAsia="zh-CN"/>
              </w:rPr>
              <w:t>。</w:t>
            </w:r>
          </w:p>
          <w:p w14:paraId="4D180474">
            <w:pPr>
              <w:keepNext w:val="0"/>
              <w:keepLines w:val="0"/>
              <w:pageBreakBefore w:val="0"/>
              <w:widowControl w:val="0"/>
              <w:kinsoku/>
              <w:overflowPunct/>
              <w:topLinePunct w:val="0"/>
              <w:autoSpaceDE/>
              <w:autoSpaceDN/>
              <w:bidi w:val="0"/>
              <w:snapToGrid/>
              <w:spacing w:line="312" w:lineRule="auto"/>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缺陷责任期：自实际竣（交）工日期起计算 1 年。缺陷责任期自工程竣工验收合格之日起计算。单位工程先于全部工程进行验收，单位工程缺陷责任期自单位工程验收合格之日起算。</w:t>
            </w:r>
          </w:p>
          <w:p w14:paraId="57FDC877">
            <w:pPr>
              <w:keepNext w:val="0"/>
              <w:keepLines w:val="0"/>
              <w:pageBreakBefore w:val="0"/>
              <w:widowControl w:val="0"/>
              <w:kinsoku/>
              <w:overflowPunct/>
              <w:topLinePunct w:val="0"/>
              <w:autoSpaceDE/>
              <w:autoSpaceDN/>
              <w:bidi w:val="0"/>
              <w:snapToGrid/>
              <w:spacing w:line="312" w:lineRule="auto"/>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其他要求</w:t>
            </w:r>
            <w:r>
              <w:rPr>
                <w:rFonts w:hint="eastAsia" w:ascii="宋体" w:hAnsi="宋体" w:eastAsia="宋体" w:cs="宋体"/>
                <w:color w:val="000000"/>
                <w:sz w:val="21"/>
                <w:szCs w:val="21"/>
                <w:highlight w:val="none"/>
              </w:rPr>
              <w:t>：</w:t>
            </w:r>
          </w:p>
          <w:p w14:paraId="06C8F95B">
            <w:pPr>
              <w:keepNext w:val="0"/>
              <w:keepLines w:val="0"/>
              <w:pageBreakBefore w:val="0"/>
              <w:widowControl w:val="0"/>
              <w:kinsoku/>
              <w:overflowPunct/>
              <w:topLinePunct w:val="0"/>
              <w:autoSpaceDE/>
              <w:autoSpaceDN/>
              <w:bidi w:val="0"/>
              <w:snapToGrid/>
              <w:spacing w:line="312" w:lineRule="auto"/>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（1）使用年限应符合国家建设相关要求。</w:t>
            </w:r>
          </w:p>
          <w:p w14:paraId="3ADB1195">
            <w:pPr>
              <w:keepNext w:val="0"/>
              <w:keepLines w:val="0"/>
              <w:pageBreakBefore w:val="0"/>
              <w:widowControl w:val="0"/>
              <w:kinsoku/>
              <w:overflowPunct/>
              <w:topLinePunct w:val="0"/>
              <w:autoSpaceDE/>
              <w:autoSpaceDN/>
              <w:bidi w:val="0"/>
              <w:snapToGrid/>
              <w:spacing w:line="312" w:lineRule="auto"/>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（2）响应时间：接到采购人处理问题通知后4小时内到达采购人指定现场，8小时内提出解决方案。在工程质量保修期期限内发生质量问题，必须在收到通知后的3个日历天内整改完毕。</w:t>
            </w:r>
          </w:p>
          <w:p w14:paraId="18A1EDD6">
            <w:pPr>
              <w:keepNext w:val="0"/>
              <w:keepLines w:val="0"/>
              <w:pageBreakBefore w:val="0"/>
              <w:widowControl w:val="0"/>
              <w:kinsoku/>
              <w:overflowPunct/>
              <w:topLinePunct w:val="0"/>
              <w:autoSpaceDE/>
              <w:autoSpaceDN/>
              <w:bidi w:val="0"/>
              <w:snapToGrid/>
              <w:spacing w:line="312" w:lineRule="auto"/>
              <w:textAlignment w:val="baseline"/>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指定</w:t>
            </w:r>
            <w:r>
              <w:rPr>
                <w:rFonts w:hint="eastAsia" w:ascii="宋体" w:hAnsi="宋体" w:eastAsia="宋体" w:cs="宋体"/>
                <w:color w:val="000000"/>
                <w:sz w:val="21"/>
                <w:szCs w:val="21"/>
                <w:highlight w:val="none"/>
              </w:rPr>
              <w:t>服务技术人员要求：专职人员</w:t>
            </w:r>
            <w:r>
              <w:rPr>
                <w:rFonts w:hint="eastAsia" w:ascii="宋体" w:hAnsi="宋体" w:eastAsia="宋体" w:cs="宋体"/>
                <w:color w:val="000000"/>
                <w:sz w:val="21"/>
                <w:szCs w:val="21"/>
                <w:highlight w:val="none"/>
                <w:lang w:eastAsia="zh-CN"/>
              </w:rPr>
              <w:t>。</w:t>
            </w:r>
          </w:p>
          <w:p w14:paraId="3A55235E">
            <w:pPr>
              <w:keepNext w:val="0"/>
              <w:keepLines w:val="0"/>
              <w:pageBreakBefore w:val="0"/>
              <w:widowControl w:val="0"/>
              <w:kinsoku/>
              <w:overflowPunct/>
              <w:topLinePunct w:val="0"/>
              <w:autoSpaceDE/>
              <w:autoSpaceDN/>
              <w:bidi w:val="0"/>
              <w:snapToGrid/>
              <w:spacing w:line="312" w:lineRule="auto"/>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付款方式及条件</w:t>
            </w:r>
          </w:p>
          <w:p w14:paraId="33312435">
            <w:pPr>
              <w:keepNext w:val="0"/>
              <w:keepLines w:val="0"/>
              <w:pageBreakBefore w:val="0"/>
              <w:widowControl w:val="0"/>
              <w:kinsoku/>
              <w:overflowPunct/>
              <w:topLinePunct w:val="0"/>
              <w:autoSpaceDE/>
              <w:autoSpaceDN/>
              <w:bidi w:val="0"/>
              <w:snapToGrid/>
              <w:spacing w:line="312"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甲乙</w:t>
            </w:r>
            <w:r>
              <w:rPr>
                <w:rFonts w:hint="eastAsia" w:ascii="宋体" w:hAnsi="宋体" w:eastAsia="宋体" w:cs="宋体"/>
                <w:color w:val="000000"/>
                <w:sz w:val="21"/>
                <w:szCs w:val="21"/>
                <w:highlight w:val="none"/>
              </w:rPr>
              <w:t>双方签订施工合同后，乙方接到开工令之日起一个星期内，施工项目人员、机械、材料进场且达到施工条件后，乙方凭工程支出有效票据（税票）向甲方申请合同价30%的项目启动资金。</w:t>
            </w:r>
          </w:p>
          <w:p w14:paraId="0EA9CB82">
            <w:pPr>
              <w:keepNext w:val="0"/>
              <w:keepLines w:val="0"/>
              <w:pageBreakBefore w:val="0"/>
              <w:widowControl w:val="0"/>
              <w:kinsoku/>
              <w:overflowPunct/>
              <w:topLinePunct w:val="0"/>
              <w:autoSpaceDE/>
              <w:autoSpaceDN/>
              <w:bidi w:val="0"/>
              <w:snapToGrid/>
              <w:spacing w:line="312" w:lineRule="auto"/>
              <w:ind w:firstLine="420" w:firstLineChars="200"/>
              <w:textAlignment w:val="baseline"/>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r>
              <w:rPr>
                <w:rFonts w:hint="eastAsia" w:ascii="宋体" w:hAnsi="宋体" w:eastAsia="宋体" w:cs="宋体"/>
                <w:color w:val="000000"/>
                <w:sz w:val="21"/>
                <w:szCs w:val="21"/>
                <w:highlight w:val="none"/>
              </w:rPr>
              <w:t>项目进度款按照工程进度支付相应的进度款，合同内进度款支付限额为已完成工程量的80%，工程完工验收达到质量合格要求后，结算经区财政局审定后乙方凭工程支出有效票据（税票）向甲方申请工程款支付至结算总价的97%。</w:t>
            </w:r>
          </w:p>
          <w:p w14:paraId="4C3CC7C6">
            <w:pPr>
              <w:keepNext w:val="0"/>
              <w:keepLines w:val="0"/>
              <w:pageBreakBefore w:val="0"/>
              <w:widowControl w:val="0"/>
              <w:kinsoku/>
              <w:overflowPunct/>
              <w:topLinePunct w:val="0"/>
              <w:autoSpaceDE/>
              <w:autoSpaceDN/>
              <w:bidi w:val="0"/>
              <w:snapToGrid/>
              <w:spacing w:line="312" w:lineRule="auto"/>
              <w:ind w:firstLine="420" w:firstLineChars="200"/>
              <w:textAlignment w:val="baseline"/>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（3）甲方按工程价款结算总额3%预留工程质量保证金，如未发生工程质量问题的，在质保期满后1月内一次付清。</w:t>
            </w:r>
          </w:p>
          <w:p w14:paraId="067A7A4B">
            <w:pPr>
              <w:keepNext w:val="0"/>
              <w:keepLines w:val="0"/>
              <w:pageBreakBefore w:val="0"/>
              <w:widowControl w:val="0"/>
              <w:kinsoku/>
              <w:overflowPunct/>
              <w:topLinePunct w:val="0"/>
              <w:autoSpaceDE/>
              <w:autoSpaceDN/>
              <w:bidi w:val="0"/>
              <w:snapToGrid/>
              <w:spacing w:line="312" w:lineRule="auto"/>
              <w:ind w:firstLine="420" w:firstLineChars="200"/>
              <w:textAlignment w:val="baseline"/>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（4）乙方不得以任何理由拒付农民工工资。</w:t>
            </w:r>
          </w:p>
          <w:p w14:paraId="74221DD8">
            <w:pPr>
              <w:keepNext w:val="0"/>
              <w:keepLines w:val="0"/>
              <w:pageBreakBefore w:val="0"/>
              <w:widowControl w:val="0"/>
              <w:kinsoku/>
              <w:overflowPunct/>
              <w:topLinePunct w:val="0"/>
              <w:autoSpaceDE/>
              <w:autoSpaceDN/>
              <w:bidi w:val="0"/>
              <w:snapToGrid/>
              <w:spacing w:line="312" w:lineRule="auto"/>
              <w:ind w:firstLine="420" w:firstLineChars="200"/>
              <w:textAlignment w:val="baseline"/>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（5）结算（付款）方式</w:t>
            </w:r>
          </w:p>
          <w:p w14:paraId="1AC1D61D">
            <w:pPr>
              <w:keepNext w:val="0"/>
              <w:keepLines w:val="0"/>
              <w:pageBreakBefore w:val="0"/>
              <w:widowControl w:val="0"/>
              <w:kinsoku/>
              <w:overflowPunct/>
              <w:topLinePunct w:val="0"/>
              <w:autoSpaceDE/>
              <w:autoSpaceDN/>
              <w:bidi w:val="0"/>
              <w:snapToGrid/>
              <w:spacing w:line="312"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甲方以银行转账方式，项目验收合格</w:t>
            </w:r>
            <w:r>
              <w:rPr>
                <w:rFonts w:hint="eastAsia" w:ascii="宋体" w:hAnsi="宋体" w:eastAsia="宋体" w:cs="宋体"/>
                <w:color w:val="000000"/>
                <w:kern w:val="2"/>
                <w:sz w:val="21"/>
                <w:szCs w:val="21"/>
                <w:highlight w:val="none"/>
                <w:lang w:val="en-US" w:eastAsia="zh-CN"/>
              </w:rPr>
              <w:t>并</w:t>
            </w:r>
            <w:r>
              <w:rPr>
                <w:rFonts w:hint="eastAsia" w:ascii="宋体" w:hAnsi="宋体" w:eastAsia="宋体" w:cs="宋体"/>
                <w:color w:val="000000"/>
                <w:kern w:val="2"/>
                <w:sz w:val="21"/>
                <w:szCs w:val="21"/>
                <w:highlight w:val="none"/>
              </w:rPr>
              <w:t>经业主管理部门审核后、再按照相关程序结算拨付。</w:t>
            </w:r>
          </w:p>
          <w:p w14:paraId="08BDFFE0">
            <w:pPr>
              <w:keepNext w:val="0"/>
              <w:keepLines w:val="0"/>
              <w:pageBreakBefore w:val="0"/>
              <w:widowControl w:val="0"/>
              <w:kinsoku/>
              <w:overflowPunct/>
              <w:topLinePunct w:val="0"/>
              <w:autoSpaceDE/>
              <w:autoSpaceDN/>
              <w:bidi w:val="0"/>
              <w:snapToGrid/>
              <w:spacing w:line="312" w:lineRule="auto"/>
              <w:textAlignment w:val="baseline"/>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8</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备品备件及耗材等要求：符合国家标准要求</w:t>
            </w:r>
            <w:r>
              <w:rPr>
                <w:rFonts w:hint="eastAsia" w:ascii="宋体" w:hAnsi="宋体" w:eastAsia="宋体" w:cs="宋体"/>
                <w:color w:val="000000"/>
                <w:sz w:val="21"/>
                <w:szCs w:val="21"/>
                <w:highlight w:val="none"/>
                <w:lang w:eastAsia="zh-CN"/>
              </w:rPr>
              <w:t>。</w:t>
            </w:r>
          </w:p>
          <w:p w14:paraId="2354AB22">
            <w:pPr>
              <w:keepNext w:val="0"/>
              <w:keepLines w:val="0"/>
              <w:pageBreakBefore w:val="0"/>
              <w:widowControl w:val="0"/>
              <w:kinsoku/>
              <w:overflowPunct/>
              <w:topLinePunct w:val="0"/>
              <w:autoSpaceDE/>
              <w:autoSpaceDN/>
              <w:bidi w:val="0"/>
              <w:snapToGrid/>
              <w:spacing w:line="312" w:lineRule="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none"/>
                <w:lang w:val="en-US" w:eastAsia="zh-CN"/>
              </w:rPr>
              <w:t>9</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验收条件及标准：</w:t>
            </w:r>
            <w:r>
              <w:rPr>
                <w:rFonts w:hint="eastAsia" w:ascii="宋体" w:hAnsi="宋体" w:eastAsia="宋体" w:cs="宋体"/>
                <w:color w:val="000000"/>
                <w:sz w:val="21"/>
                <w:szCs w:val="21"/>
                <w:highlight w:val="none"/>
                <w:lang w:val="en-US" w:eastAsia="zh-CN"/>
              </w:rPr>
              <w:t>施工质量达到合格要求，工程质量标准必须符合现行国家有关工程施工质量验收规范和标准的要求。严格执行广西住房和城乡自治区住建厅《关于严格实行房屋建筑和市政基础设施工程质量终身责任承诺、永久性质量责任标牌、终身责任信息档案等制度的通知》（桂建管【2014】96号）要求，落实建设工程质量终身责任</w:t>
            </w:r>
            <w:r>
              <w:rPr>
                <w:rFonts w:hint="eastAsia" w:ascii="宋体" w:hAnsi="宋体" w:eastAsia="宋体" w:cs="宋体"/>
                <w:color w:val="000000"/>
                <w:sz w:val="21"/>
                <w:szCs w:val="21"/>
                <w:highlight w:val="none"/>
              </w:rPr>
              <w:t>。</w:t>
            </w:r>
          </w:p>
          <w:p w14:paraId="4CD7CCB8">
            <w:pPr>
              <w:keepNext w:val="0"/>
              <w:keepLines w:val="0"/>
              <w:pageBreakBefore w:val="0"/>
              <w:widowControl w:val="0"/>
              <w:kinsoku/>
              <w:overflowPunct/>
              <w:topLinePunct w:val="0"/>
              <w:autoSpaceDE/>
              <w:autoSpaceDN/>
              <w:bidi w:val="0"/>
              <w:snapToGrid/>
              <w:spacing w:line="312" w:lineRule="auto"/>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10</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报价</w:t>
            </w:r>
            <w:r>
              <w:rPr>
                <w:rFonts w:hint="eastAsia" w:ascii="宋体" w:hAnsi="宋体" w:eastAsia="宋体" w:cs="宋体"/>
                <w:color w:val="000000"/>
                <w:sz w:val="21"/>
                <w:szCs w:val="21"/>
                <w:highlight w:val="none"/>
              </w:rPr>
              <w:t>要求</w:t>
            </w:r>
          </w:p>
          <w:p w14:paraId="7A806B00">
            <w:pPr>
              <w:keepNext w:val="0"/>
              <w:keepLines w:val="0"/>
              <w:pageBreakBefore w:val="0"/>
              <w:widowControl w:val="0"/>
              <w:kinsoku/>
              <w:wordWrap w:val="0"/>
              <w:overflowPunct/>
              <w:topLinePunct w:val="0"/>
              <w:autoSpaceDE/>
              <w:autoSpaceDN/>
              <w:bidi w:val="0"/>
              <w:adjustRightInd w:val="0"/>
              <w:snapToGrid/>
              <w:spacing w:line="312"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（1）本项目采用工程量清单报价方式。报价必须包含以下部分，包括：</w:t>
            </w:r>
          </w:p>
          <w:p w14:paraId="42526EC8">
            <w:pPr>
              <w:keepNext w:val="0"/>
              <w:keepLines w:val="0"/>
              <w:pageBreakBefore w:val="0"/>
              <w:widowControl w:val="0"/>
              <w:kinsoku/>
              <w:wordWrap w:val="0"/>
              <w:overflowPunct/>
              <w:topLinePunct w:val="0"/>
              <w:autoSpaceDE/>
              <w:autoSpaceDN/>
              <w:bidi w:val="0"/>
              <w:adjustRightInd w:val="0"/>
              <w:snapToGrid/>
              <w:spacing w:line="312"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①满足本次竞标全部采购需求</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工程实施和完成合同工程所需的劳务、材料、机械、质检（自检）、安装、缺陷修复、管理、保险、税费、利润等费用，以及合同明示的所有责任、义务和一般风险。</w:t>
            </w:r>
          </w:p>
          <w:p w14:paraId="7E136CBB">
            <w:pPr>
              <w:keepNext w:val="0"/>
              <w:keepLines w:val="0"/>
              <w:pageBreakBefore w:val="0"/>
              <w:widowControl w:val="0"/>
              <w:kinsoku/>
              <w:wordWrap w:val="0"/>
              <w:overflowPunct/>
              <w:topLinePunct w:val="0"/>
              <w:autoSpaceDE/>
              <w:autoSpaceDN/>
              <w:bidi w:val="0"/>
              <w:adjustRightInd w:val="0"/>
              <w:snapToGrid/>
              <w:spacing w:line="312"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②必要的保险费和各项税金（成交供应商需为该工程购买工程一切险）</w:t>
            </w:r>
          </w:p>
          <w:p w14:paraId="527E1846">
            <w:pPr>
              <w:keepNext w:val="0"/>
              <w:keepLines w:val="0"/>
              <w:pageBreakBefore w:val="0"/>
              <w:widowControl w:val="0"/>
              <w:numPr>
                <w:ilvl w:val="0"/>
                <w:numId w:val="0"/>
              </w:numPr>
              <w:kinsoku/>
              <w:wordWrap w:val="0"/>
              <w:overflowPunct/>
              <w:topLinePunct w:val="0"/>
              <w:autoSpaceDE/>
              <w:autoSpaceDN/>
              <w:bidi w:val="0"/>
              <w:adjustRightInd w:val="0"/>
              <w:snapToGrid/>
              <w:spacing w:line="312" w:lineRule="auto"/>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③</w:t>
            </w:r>
            <w:r>
              <w:rPr>
                <w:rFonts w:hint="eastAsia" w:ascii="宋体" w:hAnsi="宋体" w:eastAsia="宋体" w:cs="宋体"/>
                <w:color w:val="000000"/>
                <w:sz w:val="21"/>
                <w:szCs w:val="21"/>
                <w:highlight w:val="none"/>
                <w:lang w:eastAsia="zh-TW"/>
              </w:rPr>
              <w:t>必须就“第</w:t>
            </w:r>
            <w:r>
              <w:rPr>
                <w:rFonts w:hint="eastAsia" w:ascii="宋体" w:hAnsi="宋体" w:eastAsia="宋体" w:cs="宋体"/>
                <w:color w:val="000000"/>
                <w:sz w:val="21"/>
                <w:szCs w:val="21"/>
                <w:highlight w:val="none"/>
                <w:lang w:val="en-US" w:eastAsia="zh-CN"/>
              </w:rPr>
              <w:t>二</w:t>
            </w:r>
            <w:r>
              <w:rPr>
                <w:rFonts w:hint="eastAsia" w:ascii="宋体" w:hAnsi="宋体" w:eastAsia="宋体" w:cs="宋体"/>
                <w:color w:val="000000"/>
                <w:sz w:val="21"/>
                <w:szCs w:val="21"/>
                <w:highlight w:val="none"/>
                <w:lang w:eastAsia="zh-TW"/>
              </w:rPr>
              <w:t>章</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TW"/>
              </w:rPr>
              <w:t>采购需求”及采购人提供的</w:t>
            </w:r>
            <w:r>
              <w:rPr>
                <w:rFonts w:hint="eastAsia" w:ascii="宋体" w:hAnsi="宋体" w:cs="宋体"/>
                <w:color w:val="000000"/>
                <w:sz w:val="21"/>
                <w:szCs w:val="21"/>
                <w:highlight w:val="none"/>
                <w:lang w:val="en-US" w:eastAsia="zh-CN"/>
              </w:rPr>
              <w:t>招标控制价</w:t>
            </w:r>
            <w:r>
              <w:rPr>
                <w:rFonts w:hint="eastAsia" w:ascii="宋体" w:hAnsi="宋体" w:eastAsia="宋体" w:cs="宋体"/>
                <w:color w:val="000000"/>
                <w:sz w:val="21"/>
                <w:szCs w:val="21"/>
                <w:highlight w:val="none"/>
                <w:lang w:eastAsia="zh-TW"/>
              </w:rPr>
              <w:t>全部</w:t>
            </w:r>
            <w:r>
              <w:rPr>
                <w:rFonts w:hint="eastAsia" w:ascii="宋体" w:hAnsi="宋体" w:eastAsia="宋体" w:cs="宋体"/>
                <w:color w:val="000000"/>
                <w:sz w:val="21"/>
                <w:szCs w:val="21"/>
                <w:highlight w:val="none"/>
                <w:lang w:val="en-US" w:eastAsia="zh-CN"/>
              </w:rPr>
              <w:t>清单</w:t>
            </w:r>
            <w:r>
              <w:rPr>
                <w:rFonts w:hint="eastAsia" w:ascii="宋体" w:hAnsi="宋体" w:eastAsia="宋体" w:cs="宋体"/>
                <w:color w:val="000000"/>
                <w:sz w:val="21"/>
                <w:szCs w:val="21"/>
                <w:highlight w:val="none"/>
                <w:lang w:eastAsia="zh-TW"/>
              </w:rPr>
              <w:t>内容作完整唯一报价，不得存在漏项报价。</w:t>
            </w:r>
          </w:p>
          <w:p w14:paraId="1CFFFFE8">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（2）现场踏勘：</w:t>
            </w:r>
            <w:r>
              <w:rPr>
                <w:rFonts w:hint="eastAsia" w:ascii="宋体" w:hAnsi="宋体" w:eastAsia="宋体" w:cs="宋体"/>
                <w:color w:val="000000"/>
                <w:sz w:val="21"/>
                <w:szCs w:val="21"/>
                <w:highlight w:val="none"/>
                <w:lang w:val="en-US" w:eastAsia="zh-CN"/>
              </w:rPr>
              <w:t>不组织，由</w:t>
            </w:r>
            <w:r>
              <w:rPr>
                <w:rFonts w:hint="eastAsia" w:ascii="宋体" w:hAnsi="宋体" w:eastAsia="宋体" w:cs="宋体"/>
                <w:color w:val="000000"/>
                <w:sz w:val="21"/>
                <w:szCs w:val="21"/>
                <w:highlight w:val="none"/>
              </w:rPr>
              <w:t>具备响应资格的供应商自行到项目所在地进行现场勘察，否则由于对现场情况不了解或了解不透彻导致响应失误的后果由供应商自行承担。</w:t>
            </w:r>
          </w:p>
        </w:tc>
      </w:tr>
      <w:tr w14:paraId="65580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5BCA87C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其他说明</w:t>
            </w:r>
          </w:p>
        </w:tc>
        <w:tc>
          <w:tcPr>
            <w:tcW w:w="9478" w:type="dxa"/>
            <w:gridSpan w:val="7"/>
            <w:tcBorders>
              <w:top w:val="single" w:color="auto" w:sz="4" w:space="0"/>
              <w:left w:val="single" w:color="auto" w:sz="4" w:space="0"/>
              <w:bottom w:val="single" w:color="auto" w:sz="4" w:space="0"/>
              <w:right w:val="single" w:color="auto" w:sz="4" w:space="0"/>
            </w:tcBorders>
            <w:noWrap w:val="0"/>
            <w:vAlign w:val="center"/>
          </w:tcPr>
          <w:p w14:paraId="7DA19427">
            <w:pPr>
              <w:keepNext w:val="0"/>
              <w:keepLines w:val="0"/>
              <w:pageBreakBefore w:val="0"/>
              <w:widowControl w:val="0"/>
              <w:shd w:val="clear" w:color="auto" w:fill="FFFFFF"/>
              <w:kinsoku/>
              <w:overflowPunct/>
              <w:topLinePunct w:val="0"/>
              <w:autoSpaceDE/>
              <w:autoSpaceDN/>
              <w:bidi w:val="0"/>
              <w:snapToGrid/>
              <w:spacing w:line="312" w:lineRule="auto"/>
              <w:ind w:firstLine="422" w:firstLineChars="200"/>
              <w:rPr>
                <w:rFonts w:hint="eastAsia" w:ascii="宋体" w:hAnsi="宋体" w:eastAsia="宋体" w:cs="宋体"/>
                <w:b/>
                <w:bCs/>
                <w:color w:val="auto"/>
                <w:szCs w:val="21"/>
                <w:shd w:val="clear" w:color="auto" w:fill="FFFFFF"/>
                <w:lang w:eastAsia="zh-CN" w:bidi="ar"/>
              </w:rPr>
            </w:pPr>
            <w:r>
              <w:rPr>
                <w:rFonts w:hint="eastAsia" w:ascii="宋体" w:hAnsi="宋体" w:cs="宋体"/>
                <w:b/>
                <w:bCs/>
                <w:color w:val="auto"/>
                <w:szCs w:val="21"/>
                <w:shd w:val="clear" w:color="auto" w:fill="FFFFFF"/>
                <w:lang w:bidi="ar"/>
              </w:rPr>
              <w:t>1</w:t>
            </w:r>
            <w:r>
              <w:rPr>
                <w:rFonts w:hint="eastAsia" w:ascii="宋体" w:hAnsi="宋体" w:cs="宋体"/>
                <w:b/>
                <w:bCs/>
                <w:color w:val="auto"/>
                <w:szCs w:val="21"/>
                <w:shd w:val="clear" w:color="auto" w:fill="FFFFFF"/>
                <w:lang w:val="en-US" w:eastAsia="zh-CN" w:bidi="ar"/>
              </w:rPr>
              <w:t>.</w:t>
            </w:r>
            <w:r>
              <w:rPr>
                <w:rFonts w:hint="eastAsia" w:ascii="宋体" w:hAnsi="宋体" w:cs="宋体"/>
                <w:b/>
                <w:bCs/>
                <w:color w:val="auto"/>
                <w:szCs w:val="21"/>
                <w:shd w:val="clear" w:color="auto" w:fill="FFFFFF"/>
                <w:lang w:bidi="ar"/>
              </w:rPr>
              <w:t>与本项目有关的图纸、</w:t>
            </w:r>
            <w:r>
              <w:rPr>
                <w:rFonts w:hint="eastAsia" w:ascii="宋体" w:hAnsi="宋体" w:cs="宋体"/>
                <w:b/>
                <w:bCs/>
                <w:color w:val="auto"/>
                <w:szCs w:val="21"/>
                <w:shd w:val="clear" w:color="auto" w:fill="FFFFFF"/>
                <w:lang w:val="en-US" w:eastAsia="zh-CN" w:bidi="ar"/>
              </w:rPr>
              <w:t>招标控制价</w:t>
            </w:r>
            <w:r>
              <w:rPr>
                <w:rFonts w:hint="eastAsia" w:ascii="宋体" w:hAnsi="宋体" w:eastAsia="宋体" w:cs="宋体"/>
                <w:b/>
                <w:bCs/>
                <w:color w:val="auto"/>
                <w:szCs w:val="21"/>
                <w:shd w:val="clear" w:color="auto" w:fill="FFFFFF"/>
                <w:lang w:bidi="ar"/>
              </w:rPr>
              <w:t>等附件资料及其获取方式</w:t>
            </w:r>
            <w:r>
              <w:rPr>
                <w:rFonts w:hint="eastAsia" w:ascii="宋体" w:hAnsi="宋体" w:eastAsia="宋体" w:cs="宋体"/>
                <w:b/>
                <w:bCs/>
                <w:color w:val="auto"/>
                <w:szCs w:val="21"/>
                <w:shd w:val="clear" w:color="auto" w:fill="FFFFFF"/>
                <w:lang w:eastAsia="zh-CN" w:bidi="ar"/>
              </w:rPr>
              <w:t>：</w:t>
            </w:r>
            <w:bookmarkStart w:id="34" w:name="EB93347cabc37742158e942a873b169401"/>
            <w:r>
              <w:rPr>
                <w:rFonts w:hint="eastAsia" w:ascii="宋体" w:hAnsi="宋体" w:eastAsia="宋体" w:cs="宋体"/>
                <w:b/>
                <w:bCs/>
                <w:color w:val="auto"/>
                <w:kern w:val="2"/>
                <w:sz w:val="21"/>
                <w:szCs w:val="21"/>
                <w:highlight w:val="none"/>
                <w:u w:val="none"/>
                <w:shd w:val="clear" w:color="auto" w:fill="FFFFFF"/>
                <w:lang w:val="en-US" w:eastAsia="zh-CN" w:bidi="ar"/>
              </w:rPr>
              <w:t>在“广西政府采购云平台”</w:t>
            </w:r>
            <w:r>
              <w:rPr>
                <w:rFonts w:hint="eastAsia" w:ascii="宋体" w:hAnsi="宋体" w:eastAsia="宋体" w:cs="宋体"/>
                <w:b/>
                <w:bCs/>
                <w:color w:val="auto"/>
                <w:kern w:val="2"/>
                <w:sz w:val="21"/>
                <w:szCs w:val="21"/>
                <w:highlight w:val="none"/>
                <w:u w:val="none"/>
                <w:shd w:val="clear" w:color="auto" w:fill="FFFFFF"/>
                <w:lang w:bidi="ar"/>
              </w:rPr>
              <w:t>获取（下载）</w:t>
            </w:r>
            <w:bookmarkEnd w:id="34"/>
            <w:r>
              <w:rPr>
                <w:rFonts w:hint="eastAsia" w:ascii="宋体" w:hAnsi="宋体" w:eastAsia="宋体" w:cs="宋体"/>
                <w:b/>
                <w:bCs/>
                <w:color w:val="auto"/>
                <w:kern w:val="2"/>
                <w:sz w:val="21"/>
                <w:szCs w:val="21"/>
                <w:highlight w:val="none"/>
                <w:shd w:val="clear" w:color="auto" w:fill="FFFFFF"/>
                <w:lang w:bidi="ar"/>
              </w:rPr>
              <w:t>。</w:t>
            </w:r>
          </w:p>
          <w:p w14:paraId="163C8E5B">
            <w:pPr>
              <w:keepNext w:val="0"/>
              <w:keepLines w:val="0"/>
              <w:pageBreakBefore w:val="0"/>
              <w:widowControl w:val="0"/>
              <w:shd w:val="clear" w:color="auto" w:fill="FFFFFF"/>
              <w:kinsoku/>
              <w:overflowPunct/>
              <w:topLinePunct w:val="0"/>
              <w:autoSpaceDE/>
              <w:autoSpaceDN/>
              <w:bidi w:val="0"/>
              <w:snapToGrid/>
              <w:spacing w:line="312" w:lineRule="auto"/>
              <w:ind w:firstLine="420" w:firstLineChars="200"/>
              <w:rPr>
                <w:rFonts w:hint="eastAsia" w:ascii="宋体" w:hAnsi="宋体" w:cs="宋体"/>
                <w:color w:val="auto"/>
                <w:szCs w:val="21"/>
                <w:shd w:val="clear" w:color="auto" w:fill="FFFFFF"/>
                <w:lang w:bidi="ar"/>
              </w:rPr>
            </w:pPr>
            <w:r>
              <w:rPr>
                <w:rFonts w:hint="eastAsia" w:ascii="宋体" w:hAnsi="宋体" w:cs="宋体"/>
                <w:color w:val="auto"/>
                <w:szCs w:val="21"/>
                <w:shd w:val="clear" w:color="auto" w:fill="FFFFFF"/>
                <w:lang w:val="en-US" w:eastAsia="zh-CN" w:bidi="ar"/>
              </w:rPr>
              <w:t>2.</w:t>
            </w:r>
            <w:r>
              <w:rPr>
                <w:rFonts w:hint="eastAsia" w:ascii="宋体" w:hAnsi="宋体" w:cs="宋体"/>
                <w:color w:val="auto"/>
                <w:szCs w:val="21"/>
                <w:shd w:val="clear" w:color="auto" w:fill="FFFFFF"/>
                <w:lang w:bidi="ar"/>
              </w:rPr>
              <w:t>进口产品说明：</w:t>
            </w:r>
            <w:r>
              <w:rPr>
                <w:rFonts w:hint="eastAsia" w:ascii="宋体" w:hAnsi="宋体" w:cs="宋体"/>
                <w:color w:val="auto"/>
                <w:szCs w:val="21"/>
              </w:rPr>
              <w:t>本项目不涉及进口产品。</w:t>
            </w:r>
          </w:p>
          <w:p w14:paraId="60158CAA">
            <w:pPr>
              <w:keepNext w:val="0"/>
              <w:keepLines w:val="0"/>
              <w:pageBreakBefore w:val="0"/>
              <w:widowControl w:val="0"/>
              <w:shd w:val="clear" w:color="auto" w:fill="FFFFFF"/>
              <w:kinsoku/>
              <w:overflowPunct/>
              <w:topLinePunct w:val="0"/>
              <w:autoSpaceDE/>
              <w:autoSpaceDN/>
              <w:bidi w:val="0"/>
              <w:snapToGrid/>
              <w:spacing w:line="312" w:lineRule="auto"/>
              <w:ind w:firstLine="420" w:firstLineChars="200"/>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bidi="ar"/>
              </w:rPr>
              <w:t>3</w:t>
            </w:r>
            <w:bookmarkStart w:id="35" w:name="PO_3000001866_PM041"/>
            <w:r>
              <w:rPr>
                <w:rFonts w:hint="eastAsia" w:ascii="宋体" w:hAnsi="宋体" w:cs="宋体"/>
                <w:color w:val="auto"/>
                <w:szCs w:val="21"/>
                <w:shd w:val="clear" w:color="auto" w:fill="FFFFFF"/>
                <w:lang w:val="en-US" w:eastAsia="zh-CN" w:bidi="ar"/>
              </w:rPr>
              <w:t>.</w:t>
            </w:r>
            <w:r>
              <w:rPr>
                <w:rFonts w:hint="eastAsia" w:ascii="宋体" w:hAnsi="宋体" w:cs="宋体"/>
                <w:color w:val="auto"/>
                <w:szCs w:val="21"/>
                <w:shd w:val="clear" w:color="auto" w:fill="FFFFFF"/>
                <w:lang w:bidi="ar"/>
              </w:rPr>
              <w:t>演示：本项目不需要进行演示</w:t>
            </w:r>
            <w:bookmarkEnd w:id="35"/>
            <w:r>
              <w:rPr>
                <w:rFonts w:hint="eastAsia" w:ascii="宋体" w:hAnsi="宋体" w:cs="宋体"/>
                <w:color w:val="auto"/>
                <w:szCs w:val="21"/>
                <w:shd w:val="clear" w:color="auto" w:fill="FFFFFF"/>
                <w:lang w:bidi="ar"/>
              </w:rPr>
              <w:t>。</w:t>
            </w:r>
          </w:p>
          <w:p w14:paraId="1B3A6BFB">
            <w:pPr>
              <w:keepNext w:val="0"/>
              <w:keepLines w:val="0"/>
              <w:pageBreakBefore w:val="0"/>
              <w:widowControl w:val="0"/>
              <w:shd w:val="clear" w:color="auto" w:fill="FFFFFF"/>
              <w:kinsoku/>
              <w:overflowPunct/>
              <w:topLinePunct w:val="0"/>
              <w:autoSpaceDE/>
              <w:autoSpaceDN/>
              <w:bidi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cs="宋体"/>
                <w:color w:val="auto"/>
                <w:szCs w:val="21"/>
                <w:shd w:val="clear" w:color="auto" w:fill="FFFFFF"/>
                <w:lang w:val="en-US" w:eastAsia="zh-CN" w:bidi="ar"/>
              </w:rPr>
              <w:t>4</w:t>
            </w:r>
            <w:bookmarkStart w:id="36" w:name="PO_3000001866_PM043"/>
            <w:r>
              <w:rPr>
                <w:rFonts w:hint="eastAsia" w:ascii="宋体" w:hAnsi="宋体" w:cs="宋体"/>
                <w:color w:val="auto"/>
                <w:szCs w:val="21"/>
                <w:shd w:val="clear" w:color="auto" w:fill="FFFFFF"/>
                <w:lang w:val="en-US" w:eastAsia="zh-CN" w:bidi="ar"/>
              </w:rPr>
              <w:t>.</w:t>
            </w:r>
            <w:r>
              <w:rPr>
                <w:rFonts w:hint="eastAsia" w:ascii="宋体" w:hAnsi="宋体" w:cs="宋体"/>
                <w:color w:val="auto"/>
                <w:szCs w:val="21"/>
                <w:shd w:val="clear" w:color="auto" w:fill="FFFFFF"/>
                <w:lang w:bidi="ar"/>
              </w:rPr>
              <w:t>样品：本项目不要求提供样品</w:t>
            </w:r>
            <w:bookmarkEnd w:id="36"/>
            <w:r>
              <w:rPr>
                <w:rFonts w:hint="eastAsia" w:ascii="宋体" w:hAnsi="宋体" w:cs="宋体"/>
                <w:color w:val="auto"/>
                <w:szCs w:val="21"/>
                <w:shd w:val="clear" w:color="auto" w:fill="FFFFFF"/>
                <w:lang w:bidi="ar"/>
              </w:rPr>
              <w:t>。</w:t>
            </w:r>
          </w:p>
        </w:tc>
      </w:tr>
    </w:tbl>
    <w:p w14:paraId="4F7A99B8">
      <w:pPr>
        <w:rPr>
          <w:rFonts w:hint="eastAsia" w:ascii="宋体" w:hAnsi="宋体" w:cs="Arial Unicode MS"/>
          <w:color w:val="000000"/>
          <w:kern w:val="0"/>
          <w:sz w:val="32"/>
          <w:szCs w:val="32"/>
          <w:highlight w:val="none"/>
        </w:rPr>
      </w:pPr>
      <w:r>
        <w:rPr>
          <w:rFonts w:hint="eastAsia" w:ascii="宋体" w:hAnsi="宋体" w:cs="Arial Unicode MS"/>
          <w:color w:val="000000"/>
          <w:kern w:val="0"/>
          <w:sz w:val="32"/>
          <w:szCs w:val="32"/>
          <w:highlight w:val="none"/>
        </w:rPr>
        <w:br w:type="page"/>
      </w:r>
    </w:p>
    <w:p w14:paraId="0BF3ACF6">
      <w:pPr>
        <w:jc w:val="left"/>
        <w:rPr>
          <w:rFonts w:ascii="宋体" w:hAnsi="宋体" w:cs="Arial Unicode MS"/>
          <w:color w:val="000000"/>
          <w:kern w:val="0"/>
          <w:sz w:val="32"/>
          <w:szCs w:val="32"/>
          <w:highlight w:val="none"/>
        </w:rPr>
      </w:pPr>
      <w:r>
        <w:rPr>
          <w:rFonts w:hint="eastAsia" w:ascii="宋体" w:hAnsi="宋体" w:cs="Arial Unicode MS"/>
          <w:color w:val="000000"/>
          <w:kern w:val="0"/>
          <w:sz w:val="32"/>
          <w:szCs w:val="32"/>
          <w:highlight w:val="none"/>
        </w:rPr>
        <w:t>附件</w:t>
      </w:r>
      <w:r>
        <w:rPr>
          <w:rFonts w:hint="eastAsia" w:ascii="宋体" w:hAnsi="宋体" w:cs="Arial Unicode MS"/>
          <w:color w:val="000000"/>
          <w:kern w:val="0"/>
          <w:sz w:val="32"/>
          <w:szCs w:val="32"/>
          <w:highlight w:val="none"/>
          <w:lang w:val="en-US" w:eastAsia="zh-CN"/>
        </w:rPr>
        <w:t>1</w:t>
      </w:r>
      <w:r>
        <w:rPr>
          <w:rFonts w:hint="eastAsia" w:ascii="宋体" w:hAnsi="宋体" w:cs="Arial Unicode MS"/>
          <w:color w:val="000000"/>
          <w:kern w:val="0"/>
          <w:sz w:val="32"/>
          <w:szCs w:val="32"/>
          <w:highlight w:val="none"/>
        </w:rPr>
        <w:t>：</w:t>
      </w:r>
    </w:p>
    <w:p w14:paraId="66DD6437">
      <w:pPr>
        <w:spacing w:line="528" w:lineRule="exact"/>
        <w:jc w:val="center"/>
        <w:rPr>
          <w:rFonts w:ascii="宋体" w:hAnsi="宋体" w:cs="Arial Unicode MS"/>
          <w:color w:val="000000"/>
          <w:sz w:val="40"/>
          <w:szCs w:val="40"/>
          <w:highlight w:val="none"/>
        </w:rPr>
      </w:pPr>
      <w:r>
        <w:rPr>
          <w:rFonts w:hint="eastAsia" w:ascii="宋体" w:hAnsi="宋体" w:cs="Arial Unicode MS"/>
          <w:color w:val="000000"/>
          <w:sz w:val="40"/>
          <w:szCs w:val="40"/>
          <w:highlight w:val="none"/>
        </w:rPr>
        <w:t>中小微企业划型标准</w:t>
      </w:r>
    </w:p>
    <w:tbl>
      <w:tblPr>
        <w:tblStyle w:val="22"/>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7ED0223">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62A5815">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66473115">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467BBBF">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1DA0DD9C">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2395519F">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3E70B3DA">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微型</w:t>
            </w:r>
          </w:p>
        </w:tc>
      </w:tr>
      <w:tr w14:paraId="465AAC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4B7FE5">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658B70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8A72B6">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531F577">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1D75D7C">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11BB9E01">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Y＜50</w:t>
            </w:r>
          </w:p>
        </w:tc>
      </w:tr>
      <w:tr w14:paraId="343F8BE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E26259">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3E2D80C">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1C21A87">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06AB12D">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4A82DD4">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1897488">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4669BF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205A28">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F083E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68D8C7">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223B24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2713198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D52E08A">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Y＜300</w:t>
            </w:r>
          </w:p>
        </w:tc>
      </w:tr>
      <w:tr w14:paraId="263AABB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EABA499">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7907146">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75D00E">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2FF38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7CE0FF8A">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063F32FC">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Y＜300</w:t>
            </w:r>
          </w:p>
        </w:tc>
      </w:tr>
      <w:tr w14:paraId="110960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1EA5A5">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F65574E">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248F1F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D67AEB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5D8A7FF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3F5A82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Z＜300</w:t>
            </w:r>
          </w:p>
        </w:tc>
      </w:tr>
      <w:tr w14:paraId="652571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E0BEC2">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B20B0EC">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777B0A">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4FD5AA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42DAF681">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5594D8FA">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X＜5</w:t>
            </w:r>
          </w:p>
        </w:tc>
      </w:tr>
      <w:tr w14:paraId="7FE6605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5565BB">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4ECB5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7930FE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EB073D">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4DDA798C">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099FCC4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Y＜1000</w:t>
            </w:r>
          </w:p>
        </w:tc>
      </w:tr>
      <w:tr w14:paraId="149A98F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24E566B">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787F3E8">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A0F52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FB9DF8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2BA22041">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737040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00FFCD8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1DA82DA">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5ED6D7">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D5CAAA1">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7DB41EE">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CA3D8C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625D5CF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3D27623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4B1E047">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9E99E2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396A1B">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8113846">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33139D2">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ABC441A">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255CABA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F715E1">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BF6263E">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1EF75A">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28CDA1">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17E7771D">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BFEE28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Y＜200</w:t>
            </w:r>
          </w:p>
        </w:tc>
      </w:tr>
      <w:tr w14:paraId="6CE2298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E54075">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6677D5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BB1481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E95174">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75EC129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81893A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341AC6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3254D61">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EF7736">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612E11B">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6AD6E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2613208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16EC89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5044258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495683">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0154458">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883EBD8">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866848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E8F4E4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9E3D712">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4BE2DC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C6FB2D">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62924E">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8FF6FF4">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B4329E">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6DEF6E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93245CD">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4D2779F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4964C10">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C7E0A6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AE47432">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C3195D">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9A617A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071A6DC">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173C0E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1E0689C">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45F2AD">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49B362">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D316CD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3E26F7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6E70B6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2F82B9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681650C">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BD5CE9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7FA2C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676A04">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9A128A4">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7249424">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28C5090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8E0DD6">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E213EB">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DBE797">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52C16D">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B8D97D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7520A7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52C231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654CF0">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0DABED6">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D0180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558A8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3DCE4656">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3CDC69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3E39FC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34C76">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F67A6B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F62D16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4BABC58">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441CC38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16C3D8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13A57F1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C14000C">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E863638">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317F4B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B6B9F3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03E36CB">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5FA41B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328F53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495ED0">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3786734">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0E805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764B1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310344FB">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41E8017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Y＜50</w:t>
            </w:r>
          </w:p>
        </w:tc>
      </w:tr>
      <w:tr w14:paraId="11DFBCF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522779">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F3E018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DAC0CFB">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BFF76D">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4C0570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CC889E2">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X＜100</w:t>
            </w:r>
          </w:p>
        </w:tc>
      </w:tr>
      <w:tr w14:paraId="730A29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D3B3084">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393D916">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B6BDA9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9370DA8">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60C7A138">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41660846">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Y＜2000</w:t>
            </w:r>
          </w:p>
        </w:tc>
      </w:tr>
      <w:tr w14:paraId="208227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43B167D">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1945FEB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A071031">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77448EE">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8A33A2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EC5896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X＜100</w:t>
            </w:r>
          </w:p>
        </w:tc>
      </w:tr>
      <w:tr w14:paraId="3867CF1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85E1AB">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40713F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186A3E4">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C508D2D">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14C50717">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BF7F4A0">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Y＜500</w:t>
            </w:r>
          </w:p>
        </w:tc>
      </w:tr>
      <w:tr w14:paraId="2D2408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E82AC0">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3675BA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EEC59F">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88AC66D">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C715084">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77EC919">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1795EC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044EBC2">
            <w:pPr>
              <w:widowControl/>
              <w:jc w:val="left"/>
              <w:rPr>
                <w:rFonts w:ascii="宋体" w:hAnsi="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349105C">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A822BA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6683A57">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3269E04">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F3936FB">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43C3A56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58324E0">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949DF95">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AD74D8">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B3730C3">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16C4BA7">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FC728E1">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bl>
    <w:p w14:paraId="1FA9AEB6">
      <w:pPr>
        <w:spacing w:line="560" w:lineRule="exact"/>
        <w:ind w:firstLine="525" w:firstLineChars="250"/>
        <w:rPr>
          <w:rFonts w:ascii="宋体" w:hAnsi="宋体"/>
          <w:color w:val="000000"/>
          <w:szCs w:val="21"/>
          <w:highlight w:val="none"/>
        </w:rPr>
      </w:pPr>
      <w:r>
        <w:rPr>
          <w:rFonts w:hint="eastAsia" w:ascii="宋体" w:hAnsi="宋体"/>
          <w:color w:val="000000"/>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4600447">
      <w:pPr>
        <w:jc w:val="center"/>
        <w:outlineLvl w:val="0"/>
        <w:rPr>
          <w:rFonts w:ascii="宋体" w:hAnsi="宋体"/>
          <w:color w:val="000000"/>
          <w:kern w:val="0"/>
          <w:sz w:val="20"/>
          <w:szCs w:val="21"/>
          <w:highlight w:val="none"/>
        </w:rPr>
        <w:sectPr>
          <w:footerReference r:id="rId8" w:type="default"/>
          <w:pgSz w:w="11906" w:h="16838"/>
          <w:pgMar w:top="1440" w:right="1080" w:bottom="1440" w:left="1080" w:header="720" w:footer="720" w:gutter="0"/>
          <w:pgNumType w:fmt="decimal" w:start="1"/>
          <w:cols w:space="720" w:num="1"/>
          <w:rtlGutter w:val="0"/>
          <w:docGrid w:type="lines" w:linePitch="331" w:charSpace="0"/>
        </w:sectPr>
      </w:pPr>
    </w:p>
    <w:p w14:paraId="7D28DDBB">
      <w:pPr>
        <w:keepNext/>
        <w:keepLines/>
        <w:numPr>
          <w:ilvl w:val="0"/>
          <w:numId w:val="3"/>
        </w:numPr>
        <w:spacing w:before="340" w:after="330" w:line="240" w:lineRule="auto"/>
        <w:jc w:val="center"/>
        <w:outlineLvl w:val="0"/>
        <w:rPr>
          <w:rFonts w:hint="eastAsia" w:ascii="宋体" w:hAnsi="宋体"/>
          <w:b/>
          <w:color w:val="000000"/>
          <w:kern w:val="44"/>
          <w:sz w:val="44"/>
          <w:szCs w:val="44"/>
          <w:highlight w:val="none"/>
        </w:rPr>
      </w:pPr>
      <w:bookmarkStart w:id="37" w:name="_Toc9100"/>
      <w:r>
        <w:rPr>
          <w:rFonts w:hint="eastAsia" w:ascii="宋体" w:hAnsi="宋体"/>
          <w:b/>
          <w:color w:val="000000"/>
          <w:kern w:val="44"/>
          <w:sz w:val="44"/>
          <w:szCs w:val="44"/>
          <w:highlight w:val="none"/>
        </w:rPr>
        <w:t>供应商须知</w:t>
      </w:r>
      <w:bookmarkEnd w:id="37"/>
    </w:p>
    <w:p w14:paraId="1168A6D3">
      <w:pPr>
        <w:keepNext/>
        <w:keepLines/>
        <w:spacing w:before="260" w:after="260" w:line="240" w:lineRule="auto"/>
        <w:jc w:val="center"/>
        <w:outlineLvl w:val="1"/>
        <w:rPr>
          <w:rFonts w:ascii="宋体" w:hAnsi="宋体"/>
          <w:bCs/>
          <w:color w:val="000000"/>
          <w:sz w:val="32"/>
          <w:szCs w:val="32"/>
          <w:highlight w:val="none"/>
        </w:rPr>
      </w:pPr>
      <w:bookmarkStart w:id="38" w:name="_Toc16798"/>
      <w:r>
        <w:rPr>
          <w:rFonts w:hint="eastAsia" w:ascii="宋体" w:hAnsi="宋体"/>
          <w:bCs/>
          <w:color w:val="000000"/>
          <w:sz w:val="32"/>
          <w:szCs w:val="32"/>
          <w:highlight w:val="none"/>
        </w:rPr>
        <w:t>第一节 供应商须知前附表</w:t>
      </w:r>
      <w:bookmarkEnd w:id="38"/>
    </w:p>
    <w:tbl>
      <w:tblPr>
        <w:tblStyle w:val="22"/>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
        <w:gridCol w:w="1794"/>
        <w:gridCol w:w="6895"/>
      </w:tblGrid>
      <w:tr w14:paraId="30FBB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886" w:type="dxa"/>
            <w:noWrap w:val="0"/>
            <w:vAlign w:val="top"/>
          </w:tcPr>
          <w:p w14:paraId="7E9E824F">
            <w:pPr>
              <w:keepNext w:val="0"/>
              <w:keepLines w:val="0"/>
              <w:pageBreakBefore w:val="0"/>
              <w:widowControl w:val="0"/>
              <w:kinsoku/>
              <w:wordWrap/>
              <w:overflowPunct/>
              <w:topLinePunct w:val="0"/>
              <w:bidi w:val="0"/>
              <w:spacing w:line="44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条款号</w:t>
            </w:r>
          </w:p>
        </w:tc>
        <w:tc>
          <w:tcPr>
            <w:tcW w:w="1794" w:type="dxa"/>
            <w:noWrap w:val="0"/>
            <w:vAlign w:val="center"/>
          </w:tcPr>
          <w:p w14:paraId="2C6CC5B9">
            <w:pPr>
              <w:keepNext w:val="0"/>
              <w:keepLines w:val="0"/>
              <w:pageBreakBefore w:val="0"/>
              <w:widowControl w:val="0"/>
              <w:kinsoku/>
              <w:wordWrap/>
              <w:overflowPunct/>
              <w:topLinePunct w:val="0"/>
              <w:bidi w:val="0"/>
              <w:spacing w:line="44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条款内容</w:t>
            </w:r>
          </w:p>
        </w:tc>
        <w:tc>
          <w:tcPr>
            <w:tcW w:w="6895" w:type="dxa"/>
            <w:noWrap w:val="0"/>
            <w:vAlign w:val="top"/>
          </w:tcPr>
          <w:p w14:paraId="04AE3CBE">
            <w:pPr>
              <w:keepNext w:val="0"/>
              <w:keepLines w:val="0"/>
              <w:pageBreakBefore w:val="0"/>
              <w:widowControl w:val="0"/>
              <w:kinsoku/>
              <w:wordWrap/>
              <w:overflowPunct/>
              <w:topLinePunct w:val="0"/>
              <w:bidi w:val="0"/>
              <w:spacing w:line="44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具体要求</w:t>
            </w:r>
          </w:p>
        </w:tc>
      </w:tr>
      <w:tr w14:paraId="7AFC8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20D0B4FC">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w:t>
            </w:r>
          </w:p>
        </w:tc>
        <w:tc>
          <w:tcPr>
            <w:tcW w:w="1794" w:type="dxa"/>
            <w:noWrap w:val="0"/>
            <w:vAlign w:val="center"/>
          </w:tcPr>
          <w:p w14:paraId="54D08088">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供应商资格条件</w:t>
            </w:r>
          </w:p>
        </w:tc>
        <w:tc>
          <w:tcPr>
            <w:tcW w:w="6895" w:type="dxa"/>
            <w:noWrap w:val="0"/>
            <w:vAlign w:val="center"/>
          </w:tcPr>
          <w:p w14:paraId="74F60CFC">
            <w:pPr>
              <w:keepNext w:val="0"/>
              <w:keepLines w:val="0"/>
              <w:pageBreakBefore w:val="0"/>
              <w:widowControl w:val="0"/>
              <w:kinsoku/>
              <w:wordWrap/>
              <w:overflowPunct/>
              <w:topLinePunct w:val="0"/>
              <w:bidi w:val="0"/>
              <w:spacing w:line="4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供应商资格条件要求详见公告。</w:t>
            </w:r>
          </w:p>
        </w:tc>
      </w:tr>
      <w:tr w14:paraId="607FB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1CD6255E">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5.1</w:t>
            </w:r>
          </w:p>
        </w:tc>
        <w:tc>
          <w:tcPr>
            <w:tcW w:w="1794" w:type="dxa"/>
            <w:noWrap w:val="0"/>
            <w:vAlign w:val="center"/>
          </w:tcPr>
          <w:p w14:paraId="606D6FDC">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是否接受联合体竞标</w:t>
            </w:r>
          </w:p>
        </w:tc>
        <w:tc>
          <w:tcPr>
            <w:tcW w:w="6895" w:type="dxa"/>
            <w:noWrap w:val="0"/>
            <w:vAlign w:val="center"/>
          </w:tcPr>
          <w:p w14:paraId="042E188D">
            <w:pPr>
              <w:keepNext w:val="0"/>
              <w:keepLines w:val="0"/>
              <w:pageBreakBefore w:val="0"/>
              <w:widowControl w:val="0"/>
              <w:kinsoku/>
              <w:wordWrap/>
              <w:overflowPunct/>
              <w:topLinePunct w:val="0"/>
              <w:bidi w:val="0"/>
              <w:spacing w:line="4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不接受</w:t>
            </w:r>
          </w:p>
        </w:tc>
      </w:tr>
      <w:tr w14:paraId="30BA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43B16E82">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w:t>
            </w:r>
          </w:p>
        </w:tc>
        <w:tc>
          <w:tcPr>
            <w:tcW w:w="1794" w:type="dxa"/>
            <w:noWrap w:val="0"/>
            <w:vAlign w:val="center"/>
          </w:tcPr>
          <w:p w14:paraId="040BB35A">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联合体竞标要求</w:t>
            </w:r>
          </w:p>
        </w:tc>
        <w:tc>
          <w:tcPr>
            <w:tcW w:w="6895" w:type="dxa"/>
            <w:noWrap w:val="0"/>
            <w:vAlign w:val="center"/>
          </w:tcPr>
          <w:p w14:paraId="10EE08CF">
            <w:pPr>
              <w:keepNext w:val="0"/>
              <w:keepLines w:val="0"/>
              <w:pageBreakBefore w:val="0"/>
              <w:widowControl w:val="0"/>
              <w:kinsoku/>
              <w:wordWrap/>
              <w:overflowPunct/>
              <w:topLinePunct w:val="0"/>
              <w:bidi w:val="0"/>
              <w:spacing w:line="4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w:t>
            </w:r>
          </w:p>
        </w:tc>
      </w:tr>
      <w:tr w14:paraId="7F843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34FC6488">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w:t>
            </w:r>
          </w:p>
        </w:tc>
        <w:tc>
          <w:tcPr>
            <w:tcW w:w="1794" w:type="dxa"/>
            <w:noWrap w:val="0"/>
            <w:vAlign w:val="center"/>
          </w:tcPr>
          <w:p w14:paraId="59C98C42">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是否允许分包</w:t>
            </w:r>
          </w:p>
        </w:tc>
        <w:tc>
          <w:tcPr>
            <w:tcW w:w="6895" w:type="dxa"/>
            <w:noWrap w:val="0"/>
            <w:vAlign w:val="center"/>
          </w:tcPr>
          <w:p w14:paraId="658E53F3">
            <w:pPr>
              <w:keepNext w:val="0"/>
              <w:keepLines w:val="0"/>
              <w:pageBreakBefore w:val="0"/>
              <w:widowControl w:val="0"/>
              <w:kinsoku/>
              <w:wordWrap/>
              <w:overflowPunct/>
              <w:topLinePunct w:val="0"/>
              <w:bidi w:val="0"/>
              <w:spacing w:line="4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不允许分包</w:t>
            </w:r>
          </w:p>
          <w:p w14:paraId="7E23B52A">
            <w:pPr>
              <w:keepNext w:val="0"/>
              <w:keepLines w:val="0"/>
              <w:pageBreakBefore w:val="0"/>
              <w:widowControl w:val="0"/>
              <w:kinsoku/>
              <w:wordWrap/>
              <w:overflowPunct/>
              <w:topLinePunct w:val="0"/>
              <w:bidi w:val="0"/>
              <w:spacing w:line="4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□允许分包</w:t>
            </w:r>
          </w:p>
          <w:p w14:paraId="7B6631B3">
            <w:pPr>
              <w:keepNext w:val="0"/>
              <w:keepLines w:val="0"/>
              <w:pageBreakBefore w:val="0"/>
              <w:widowControl w:val="0"/>
              <w:kinsoku/>
              <w:wordWrap/>
              <w:overflowPunct/>
              <w:topLinePunct w:val="0"/>
              <w:bidi w:val="0"/>
              <w:spacing w:line="440" w:lineRule="exact"/>
              <w:jc w:val="both"/>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分包内容：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u w:val="single"/>
              </w:rPr>
              <w:t xml:space="preserve">          。</w:t>
            </w:r>
          </w:p>
          <w:p w14:paraId="5F1224AE">
            <w:pPr>
              <w:keepNext w:val="0"/>
              <w:keepLines w:val="0"/>
              <w:pageBreakBefore w:val="0"/>
              <w:widowControl w:val="0"/>
              <w:kinsoku/>
              <w:wordWrap/>
              <w:overflowPunct/>
              <w:topLinePunct w:val="0"/>
              <w:bidi w:val="0"/>
              <w:spacing w:line="4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分包金额或者比例：</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u w:val="single"/>
              </w:rPr>
              <w:t xml:space="preserve">          。</w:t>
            </w:r>
          </w:p>
        </w:tc>
      </w:tr>
      <w:tr w14:paraId="7A9D2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886" w:type="dxa"/>
            <w:noWrap w:val="0"/>
            <w:vAlign w:val="center"/>
          </w:tcPr>
          <w:p w14:paraId="14F08B03">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12.1.1</w:t>
            </w:r>
          </w:p>
        </w:tc>
        <w:tc>
          <w:tcPr>
            <w:tcW w:w="1794" w:type="dxa"/>
            <w:noWrap w:val="0"/>
            <w:vAlign w:val="center"/>
          </w:tcPr>
          <w:p w14:paraId="1C118A7A">
            <w:pPr>
              <w:keepNext w:val="0"/>
              <w:keepLines w:val="0"/>
              <w:pageBreakBefore w:val="0"/>
              <w:widowControl w:val="0"/>
              <w:kinsoku/>
              <w:wordWrap/>
              <w:overflowPunct/>
              <w:topLinePunct w:val="0"/>
              <w:bidi w:val="0"/>
              <w:snapToGrid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资格证明文件组成</w:t>
            </w:r>
          </w:p>
        </w:tc>
        <w:tc>
          <w:tcPr>
            <w:tcW w:w="6895" w:type="dxa"/>
            <w:noWrap w:val="0"/>
            <w:vAlign w:val="center"/>
          </w:tcPr>
          <w:p w14:paraId="38D8310E">
            <w:pPr>
              <w:pStyle w:val="8"/>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1.供应商为法人或者其他组织的提供其营业执照等证明文件（如营业执照或者事业单位法人证书或者执业许可证等）；（</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51E577B">
            <w:pPr>
              <w:pStyle w:val="8"/>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防城港</w:t>
            </w:r>
            <w:r>
              <w:rPr>
                <w:rFonts w:hint="eastAsia" w:ascii="宋体" w:hAnsi="宋体" w:eastAsia="宋体" w:cs="宋体"/>
                <w:color w:val="auto"/>
                <w:sz w:val="21"/>
                <w:szCs w:val="21"/>
                <w:highlight w:val="none"/>
              </w:rPr>
              <w:t>市政府采购供应商信用承诺函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F92AB82">
            <w:pPr>
              <w:pStyle w:val="8"/>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供应商直</w:t>
            </w:r>
            <w:r>
              <w:rPr>
                <w:rFonts w:hint="eastAsia" w:ascii="宋体" w:hAnsi="宋体" w:eastAsia="宋体" w:cs="宋体"/>
                <w:color w:val="000000"/>
                <w:sz w:val="21"/>
                <w:szCs w:val="21"/>
                <w:highlight w:val="none"/>
              </w:rPr>
              <w:t>接控股、管理关系信息表；</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1779837">
            <w:pPr>
              <w:pStyle w:val="8"/>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资格</w:t>
            </w:r>
            <w:r>
              <w:rPr>
                <w:rFonts w:hint="eastAsia" w:ascii="宋体" w:hAnsi="宋体" w:eastAsia="宋体" w:cs="宋体"/>
                <w:color w:val="000000"/>
                <w:sz w:val="21"/>
                <w:szCs w:val="21"/>
                <w:highlight w:val="none"/>
              </w:rPr>
              <w:t>声明</w:t>
            </w:r>
            <w:r>
              <w:rPr>
                <w:rFonts w:hint="eastAsia" w:ascii="宋体" w:hAnsi="宋体" w:eastAsia="宋体" w:cs="宋体"/>
                <w:color w:val="000000"/>
                <w:sz w:val="21"/>
                <w:szCs w:val="21"/>
                <w:highlight w:val="none"/>
                <w:lang w:val="en-US" w:eastAsia="zh-CN"/>
              </w:rPr>
              <w:t>函</w:t>
            </w:r>
            <w:r>
              <w:rPr>
                <w:rFonts w:hint="eastAsia" w:ascii="宋体" w:hAnsi="宋体" w:eastAsia="宋体" w:cs="宋体"/>
                <w:color w:val="000000"/>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F104635">
            <w:pPr>
              <w:pStyle w:val="8"/>
              <w:pageBreakBefore w:val="0"/>
              <w:kinsoku/>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有效的</w:t>
            </w:r>
            <w:r>
              <w:rPr>
                <w:rFonts w:hint="eastAsia" w:ascii="宋体" w:hAnsi="宋体" w:cs="宋体"/>
                <w:color w:val="auto"/>
                <w:sz w:val="21"/>
                <w:szCs w:val="21"/>
                <w:highlight w:val="none"/>
                <w:lang w:val="en-US" w:eastAsia="zh-CN"/>
              </w:rPr>
              <w:t>市政公用</w:t>
            </w:r>
            <w:r>
              <w:rPr>
                <w:rFonts w:hint="eastAsia" w:ascii="宋体" w:hAnsi="宋体" w:eastAsia="宋体" w:cs="宋体"/>
                <w:color w:val="auto"/>
                <w:sz w:val="21"/>
                <w:szCs w:val="21"/>
                <w:highlight w:val="none"/>
              </w:rPr>
              <w:t>工程施工总承包</w:t>
            </w:r>
            <w:r>
              <w:rPr>
                <w:rFonts w:hint="eastAsia" w:ascii="宋体" w:hAnsi="宋体" w:eastAsia="宋体" w:cs="宋体"/>
                <w:color w:val="auto"/>
                <w:sz w:val="21"/>
                <w:szCs w:val="21"/>
                <w:highlight w:val="none"/>
                <w:lang w:eastAsia="zh-CN"/>
              </w:rPr>
              <w:t>三级以上（含三级）</w:t>
            </w:r>
            <w:r>
              <w:rPr>
                <w:rFonts w:hint="eastAsia" w:ascii="宋体" w:hAnsi="宋体" w:eastAsia="宋体" w:cs="宋体"/>
                <w:color w:val="auto"/>
                <w:sz w:val="21"/>
                <w:szCs w:val="21"/>
                <w:highlight w:val="none"/>
              </w:rPr>
              <w:t>资质且具有有效的安全生产许可证。（</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C9E4716">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供应商拟派</w:t>
            </w:r>
            <w:r>
              <w:rPr>
                <w:rFonts w:hint="eastAsia" w:ascii="宋体" w:hAnsi="宋体" w:eastAsia="宋体" w:cs="宋体"/>
                <w:color w:val="auto"/>
                <w:sz w:val="21"/>
                <w:szCs w:val="21"/>
                <w:highlight w:val="none"/>
              </w:rPr>
              <w:t>项目经理须具备</w:t>
            </w:r>
            <w:r>
              <w:rPr>
                <w:rFonts w:hint="eastAsia" w:ascii="宋体" w:hAnsi="宋体" w:eastAsia="宋体" w:cs="宋体"/>
                <w:color w:val="auto"/>
                <w:sz w:val="21"/>
                <w:szCs w:val="21"/>
                <w:highlight w:val="none"/>
                <w:lang w:val="en-US" w:eastAsia="zh-CN"/>
              </w:rPr>
              <w:t>市政公用</w:t>
            </w:r>
            <w:r>
              <w:rPr>
                <w:rFonts w:hint="eastAsia" w:ascii="宋体" w:hAnsi="宋体" w:eastAsia="宋体" w:cs="宋体"/>
                <w:color w:val="auto"/>
                <w:sz w:val="21"/>
                <w:szCs w:val="21"/>
                <w:highlight w:val="none"/>
              </w:rPr>
              <w:t>工程专业</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级以上（含</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eastAsia="zh-CN"/>
              </w:rPr>
              <w:t>注册</w:t>
            </w:r>
            <w:r>
              <w:rPr>
                <w:rFonts w:hint="eastAsia" w:ascii="宋体" w:hAnsi="宋体" w:eastAsia="宋体" w:cs="宋体"/>
                <w:color w:val="auto"/>
                <w:sz w:val="21"/>
                <w:szCs w:val="21"/>
                <w:highlight w:val="none"/>
              </w:rPr>
              <w:t>建造师执业资格，</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具备有效的安全生产考核合格证书（B类）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4A3906B">
            <w:pPr>
              <w:pStyle w:val="8"/>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企业声明函或残疾人福利性单位声明函</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由省级或以上监狱管理局、戒毒管理局（含新疆生产建设兵团）出具的属于监狱企业的证明文件复印件，供应商应符合以上其中一项，并根据情况提供材料。（</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2848D5A">
            <w:pPr>
              <w:pStyle w:val="8"/>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除磋商文件规定必须提供以外，供应商认为需要提供的其他证明材料。（如有请提供）</w:t>
            </w:r>
          </w:p>
          <w:p w14:paraId="44FCFFE8">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注：以上标明“必须提供”的材料属于复印件</w:t>
            </w:r>
            <w:r>
              <w:rPr>
                <w:rFonts w:hint="eastAsia" w:ascii="宋体" w:hAnsi="宋体" w:eastAsia="宋体" w:cs="宋体"/>
                <w:b/>
                <w:color w:val="000000"/>
                <w:sz w:val="21"/>
                <w:szCs w:val="21"/>
                <w:highlight w:val="none"/>
                <w:lang w:val="en-US" w:eastAsia="zh-CN"/>
              </w:rPr>
              <w:t>或</w:t>
            </w:r>
            <w:r>
              <w:rPr>
                <w:rFonts w:hint="eastAsia" w:ascii="宋体" w:hAnsi="宋体" w:eastAsia="宋体" w:cs="宋体"/>
                <w:b/>
                <w:color w:val="000000"/>
                <w:sz w:val="21"/>
                <w:szCs w:val="21"/>
                <w:highlight w:val="none"/>
              </w:rPr>
              <w:t>扫描件的，必须加盖供应商电子公章，否则响应文件按无效响应处理。</w:t>
            </w:r>
          </w:p>
        </w:tc>
      </w:tr>
      <w:tr w14:paraId="2CF83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7" w:hRule="atLeast"/>
        </w:trPr>
        <w:tc>
          <w:tcPr>
            <w:tcW w:w="886" w:type="dxa"/>
            <w:vMerge w:val="restart"/>
            <w:noWrap w:val="0"/>
            <w:vAlign w:val="center"/>
          </w:tcPr>
          <w:p w14:paraId="79990174">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12.1.2</w:t>
            </w:r>
          </w:p>
        </w:tc>
        <w:tc>
          <w:tcPr>
            <w:tcW w:w="1794" w:type="dxa"/>
            <w:noWrap w:val="0"/>
            <w:vAlign w:val="center"/>
          </w:tcPr>
          <w:p w14:paraId="32F7415C">
            <w:pPr>
              <w:keepNext w:val="0"/>
              <w:keepLines w:val="0"/>
              <w:pageBreakBefore w:val="0"/>
              <w:widowControl w:val="0"/>
              <w:kinsoku/>
              <w:wordWrap/>
              <w:overflowPunct/>
              <w:topLinePunct w:val="0"/>
              <w:bidi w:val="0"/>
              <w:spacing w:line="440" w:lineRule="exact"/>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商务文件组成</w:t>
            </w:r>
          </w:p>
        </w:tc>
        <w:tc>
          <w:tcPr>
            <w:tcW w:w="6895" w:type="dxa"/>
            <w:noWrap w:val="0"/>
            <w:vAlign w:val="center"/>
          </w:tcPr>
          <w:p w14:paraId="58799CD6">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kern w:val="0"/>
                <w:sz w:val="21"/>
                <w:szCs w:val="21"/>
                <w:lang w:val="en-US" w:eastAsia="zh-CN" w:bidi="ar"/>
              </w:rPr>
              <w:t>1.无串通竞标行为的承诺函；（</w:t>
            </w:r>
            <w:r>
              <w:rPr>
                <w:rFonts w:hint="eastAsia" w:ascii="宋体" w:hAnsi="宋体" w:eastAsia="宋体" w:cs="宋体"/>
                <w:b/>
                <w:bCs/>
                <w:color w:val="000000"/>
                <w:kern w:val="0"/>
                <w:sz w:val="21"/>
                <w:szCs w:val="21"/>
                <w:lang w:val="en-US" w:eastAsia="zh-CN" w:bidi="ar"/>
              </w:rPr>
              <w:t>必须提供，否则响应文件按无效响应处理</w:t>
            </w:r>
            <w:r>
              <w:rPr>
                <w:rFonts w:hint="eastAsia" w:ascii="宋体" w:hAnsi="宋体" w:eastAsia="宋体" w:cs="宋体"/>
                <w:color w:val="000000"/>
                <w:kern w:val="0"/>
                <w:sz w:val="21"/>
                <w:szCs w:val="21"/>
                <w:lang w:val="en-US" w:eastAsia="zh-CN" w:bidi="ar"/>
              </w:rPr>
              <w:t xml:space="preserve">） </w:t>
            </w:r>
          </w:p>
          <w:p w14:paraId="0083EA98">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kern w:val="0"/>
                <w:sz w:val="21"/>
                <w:szCs w:val="21"/>
                <w:lang w:val="en-US" w:eastAsia="zh-CN" w:bidi="ar"/>
              </w:rPr>
              <w:t>2.法定代表人身份证明书及法定代表人有效身份证正反面复印件；（</w:t>
            </w:r>
            <w:r>
              <w:rPr>
                <w:rFonts w:hint="eastAsia" w:ascii="宋体" w:hAnsi="宋体" w:eastAsia="宋体" w:cs="宋体"/>
                <w:b/>
                <w:bCs/>
                <w:color w:val="000000"/>
                <w:kern w:val="0"/>
                <w:sz w:val="21"/>
                <w:szCs w:val="21"/>
                <w:lang w:val="en-US" w:eastAsia="zh-CN" w:bidi="ar"/>
              </w:rPr>
              <w:t xml:space="preserve">除 </w:t>
            </w:r>
          </w:p>
          <w:p w14:paraId="49639923">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b/>
                <w:bCs/>
                <w:color w:val="000000"/>
                <w:kern w:val="0"/>
                <w:sz w:val="21"/>
                <w:szCs w:val="21"/>
                <w:lang w:val="en-US" w:eastAsia="zh-CN" w:bidi="ar"/>
              </w:rPr>
              <w:t>自然人竞标外必须提供，否则响应文件按无效响应处理</w:t>
            </w:r>
            <w:r>
              <w:rPr>
                <w:rFonts w:hint="eastAsia" w:ascii="宋体" w:hAnsi="宋体" w:eastAsia="宋体" w:cs="宋体"/>
                <w:color w:val="000000"/>
                <w:kern w:val="0"/>
                <w:sz w:val="21"/>
                <w:szCs w:val="21"/>
                <w:lang w:val="en-US" w:eastAsia="zh-CN" w:bidi="ar"/>
              </w:rPr>
              <w:t xml:space="preserve">） </w:t>
            </w:r>
          </w:p>
          <w:p w14:paraId="094681C7">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kern w:val="0"/>
                <w:sz w:val="21"/>
                <w:szCs w:val="21"/>
                <w:lang w:val="en-US" w:eastAsia="zh-CN" w:bidi="ar"/>
              </w:rPr>
              <w:t>3.法定代表人授权委托书及委托代理人有效身份证正反面复印件；（</w:t>
            </w:r>
            <w:r>
              <w:rPr>
                <w:rFonts w:hint="eastAsia" w:ascii="宋体" w:hAnsi="宋体" w:eastAsia="宋体" w:cs="宋体"/>
                <w:b/>
                <w:bCs/>
                <w:color w:val="000000"/>
                <w:kern w:val="0"/>
                <w:sz w:val="21"/>
                <w:szCs w:val="21"/>
                <w:lang w:val="en-US" w:eastAsia="zh-CN" w:bidi="ar"/>
              </w:rPr>
              <w:t xml:space="preserve">委 </w:t>
            </w:r>
          </w:p>
          <w:p w14:paraId="65248F95">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b/>
                <w:bCs/>
                <w:color w:val="000000"/>
                <w:kern w:val="0"/>
                <w:sz w:val="21"/>
                <w:szCs w:val="21"/>
                <w:lang w:val="en-US" w:eastAsia="zh-CN" w:bidi="ar"/>
              </w:rPr>
              <w:t>托时必须提供，否则响应文件按无效响应处理</w:t>
            </w:r>
            <w:r>
              <w:rPr>
                <w:rFonts w:hint="eastAsia" w:ascii="宋体" w:hAnsi="宋体" w:eastAsia="宋体" w:cs="宋体"/>
                <w:color w:val="000000"/>
                <w:kern w:val="0"/>
                <w:sz w:val="21"/>
                <w:szCs w:val="21"/>
                <w:lang w:val="en-US" w:eastAsia="zh-CN" w:bidi="ar"/>
              </w:rPr>
              <w:t xml:space="preserve">） </w:t>
            </w:r>
          </w:p>
          <w:p w14:paraId="0DC060E5">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kern w:val="0"/>
                <w:sz w:val="21"/>
                <w:szCs w:val="21"/>
                <w:lang w:val="en-US" w:eastAsia="zh-CN" w:bidi="ar"/>
              </w:rPr>
              <w:t>4.商务条款偏离表；（</w:t>
            </w:r>
            <w:r>
              <w:rPr>
                <w:rFonts w:hint="eastAsia" w:ascii="宋体" w:hAnsi="宋体" w:eastAsia="宋体" w:cs="宋体"/>
                <w:b/>
                <w:bCs/>
                <w:color w:val="000000"/>
                <w:kern w:val="0"/>
                <w:sz w:val="21"/>
                <w:szCs w:val="21"/>
                <w:lang w:val="en-US" w:eastAsia="zh-CN" w:bidi="ar"/>
              </w:rPr>
              <w:t>必须提供，否则响应文件按无效响应处理</w:t>
            </w:r>
            <w:r>
              <w:rPr>
                <w:rFonts w:hint="eastAsia" w:ascii="宋体" w:hAnsi="宋体" w:eastAsia="宋体" w:cs="宋体"/>
                <w:color w:val="000000"/>
                <w:kern w:val="0"/>
                <w:sz w:val="21"/>
                <w:szCs w:val="21"/>
                <w:lang w:val="en-US" w:eastAsia="zh-CN" w:bidi="ar"/>
              </w:rPr>
              <w:t xml:space="preserve">） </w:t>
            </w:r>
          </w:p>
          <w:p w14:paraId="5BC1390E">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kern w:val="0"/>
                <w:sz w:val="21"/>
                <w:szCs w:val="21"/>
                <w:lang w:val="en-US" w:eastAsia="zh-CN" w:bidi="ar"/>
              </w:rPr>
              <w:t>5.供应商基本情况表；</w:t>
            </w:r>
            <w:r>
              <w:rPr>
                <w:rFonts w:hint="eastAsia" w:ascii="宋体" w:hAnsi="宋体" w:eastAsia="宋体" w:cs="宋体"/>
                <w:b/>
                <w:bCs/>
                <w:color w:val="000000"/>
                <w:kern w:val="0"/>
                <w:sz w:val="21"/>
                <w:szCs w:val="21"/>
                <w:lang w:val="en-US" w:eastAsia="zh-CN" w:bidi="ar"/>
              </w:rPr>
              <w:t xml:space="preserve">（必须提供，否则响应文件按无效响应处理） </w:t>
            </w:r>
          </w:p>
          <w:p w14:paraId="474C6388">
            <w:pPr>
              <w:keepNext w:val="0"/>
              <w:keepLines w:val="0"/>
              <w:pageBreakBefore w:val="0"/>
              <w:widowControl/>
              <w:suppressLineNumbers w:val="0"/>
              <w:kinsoku/>
              <w:wordWrap/>
              <w:overflowPunct/>
              <w:topLinePunct w:val="0"/>
              <w:bidi w:val="0"/>
              <w:adjustRightInd/>
              <w:snapToGrid/>
              <w:spacing w:line="360" w:lineRule="auto"/>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6.供应商近三年内（指响应文件提交截止日期前三年内）承接或已完成的类似项目情况表；（如有请提供）；</w:t>
            </w:r>
            <w:r>
              <w:rPr>
                <w:rFonts w:hint="eastAsia" w:ascii="宋体" w:hAnsi="宋体" w:eastAsia="宋体" w:cs="宋体"/>
                <w:b/>
                <w:bCs/>
                <w:color w:val="000000"/>
                <w:kern w:val="0"/>
                <w:sz w:val="21"/>
                <w:szCs w:val="21"/>
                <w:lang w:val="en-US" w:eastAsia="zh-CN" w:bidi="ar"/>
              </w:rPr>
              <w:t xml:space="preserve">（如有，请提供） </w:t>
            </w:r>
          </w:p>
          <w:p w14:paraId="04C427B0">
            <w:pPr>
              <w:keepNext w:val="0"/>
              <w:keepLines w:val="0"/>
              <w:pageBreakBefore w:val="0"/>
              <w:widowControl/>
              <w:suppressLineNumbers w:val="0"/>
              <w:kinsoku/>
              <w:wordWrap/>
              <w:overflowPunct/>
              <w:topLinePunct w:val="0"/>
              <w:bidi w:val="0"/>
              <w:adjustRightInd/>
              <w:snapToGrid/>
              <w:spacing w:line="360" w:lineRule="auto"/>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7.供应商认为需要提供的其他有关资料。</w:t>
            </w:r>
          </w:p>
          <w:p w14:paraId="1C42F215">
            <w:pPr>
              <w:keepNext w:val="0"/>
              <w:keepLines w:val="0"/>
              <w:pageBreakBefore w:val="0"/>
              <w:widowControl w:val="0"/>
              <w:kinsoku/>
              <w:wordWrap/>
              <w:overflowPunct/>
              <w:topLinePunct w:val="0"/>
              <w:bidi w:val="0"/>
              <w:snapToGrid w:val="0"/>
              <w:spacing w:line="360" w:lineRule="auto"/>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注： </w:t>
            </w:r>
          </w:p>
          <w:p w14:paraId="74AE5921">
            <w:pPr>
              <w:keepNext w:val="0"/>
              <w:keepLines w:val="0"/>
              <w:pageBreakBefore w:val="0"/>
              <w:widowControl w:val="0"/>
              <w:kinsoku/>
              <w:wordWrap/>
              <w:overflowPunct/>
              <w:topLinePunct w:val="0"/>
              <w:bidi w:val="0"/>
              <w:snapToGrid w:val="0"/>
              <w:spacing w:line="360" w:lineRule="auto"/>
              <w:ind w:firstLine="413" w:firstLineChars="196"/>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1.法定代表人授权委托书必须由法定代表人及委托代理人签字，并加盖供应商</w:t>
            </w:r>
            <w:r>
              <w:rPr>
                <w:rFonts w:hint="eastAsia" w:ascii="宋体" w:hAnsi="宋体" w:eastAsia="宋体" w:cs="宋体"/>
                <w:b/>
                <w:color w:val="000000"/>
                <w:sz w:val="21"/>
                <w:szCs w:val="21"/>
                <w:highlight w:val="none"/>
                <w:lang w:val="en-US" w:eastAsia="zh-CN"/>
              </w:rPr>
              <w:t>电子</w:t>
            </w:r>
            <w:r>
              <w:rPr>
                <w:rFonts w:hint="eastAsia" w:ascii="宋体" w:hAnsi="宋体" w:eastAsia="宋体" w:cs="宋体"/>
                <w:b/>
                <w:color w:val="000000"/>
                <w:sz w:val="21"/>
                <w:szCs w:val="21"/>
                <w:highlight w:val="none"/>
              </w:rPr>
              <w:t>公章，否则响应文件按无效响应处理。</w:t>
            </w:r>
          </w:p>
          <w:p w14:paraId="3BD37105">
            <w:pPr>
              <w:keepNext w:val="0"/>
              <w:keepLines w:val="0"/>
              <w:pageBreakBefore w:val="0"/>
              <w:widowControl w:val="0"/>
              <w:kinsoku/>
              <w:wordWrap/>
              <w:overflowPunct/>
              <w:topLinePunct w:val="0"/>
              <w:bidi w:val="0"/>
              <w:spacing w:line="360" w:lineRule="auto"/>
              <w:ind w:firstLine="413" w:firstLineChars="196"/>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2.以上标明“必须提供”的材料属于复印件</w:t>
            </w:r>
            <w:r>
              <w:rPr>
                <w:rFonts w:hint="eastAsia" w:ascii="宋体" w:hAnsi="宋体" w:eastAsia="宋体" w:cs="宋体"/>
                <w:b/>
                <w:color w:val="000000"/>
                <w:sz w:val="21"/>
                <w:szCs w:val="21"/>
                <w:highlight w:val="none"/>
                <w:lang w:val="en-US" w:eastAsia="zh-CN"/>
              </w:rPr>
              <w:t>或</w:t>
            </w:r>
            <w:r>
              <w:rPr>
                <w:rFonts w:hint="eastAsia" w:ascii="宋体" w:hAnsi="宋体" w:eastAsia="宋体" w:cs="宋体"/>
                <w:b/>
                <w:color w:val="000000"/>
                <w:sz w:val="21"/>
                <w:szCs w:val="21"/>
                <w:highlight w:val="none"/>
              </w:rPr>
              <w:t>扫描件的，必须加盖供应商电子公章，否则响应文件按无效响应处理。</w:t>
            </w:r>
          </w:p>
        </w:tc>
      </w:tr>
      <w:tr w14:paraId="5D251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1" w:hRule="atLeast"/>
        </w:trPr>
        <w:tc>
          <w:tcPr>
            <w:tcW w:w="886" w:type="dxa"/>
            <w:vMerge w:val="continue"/>
            <w:noWrap w:val="0"/>
            <w:vAlign w:val="center"/>
          </w:tcPr>
          <w:p w14:paraId="3A784268">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p>
        </w:tc>
        <w:tc>
          <w:tcPr>
            <w:tcW w:w="1794" w:type="dxa"/>
            <w:noWrap w:val="0"/>
            <w:vAlign w:val="center"/>
          </w:tcPr>
          <w:p w14:paraId="2B8CF77C">
            <w:pPr>
              <w:keepNext w:val="0"/>
              <w:keepLines w:val="0"/>
              <w:pageBreakBefore w:val="0"/>
              <w:widowControl w:val="0"/>
              <w:kinsoku/>
              <w:wordWrap/>
              <w:overflowPunct/>
              <w:topLinePunct w:val="0"/>
              <w:bidi w:val="0"/>
              <w:spacing w:line="440" w:lineRule="exact"/>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技术文件组成</w:t>
            </w:r>
          </w:p>
        </w:tc>
        <w:tc>
          <w:tcPr>
            <w:tcW w:w="6895" w:type="dxa"/>
            <w:noWrap w:val="0"/>
            <w:vAlign w:val="center"/>
          </w:tcPr>
          <w:p w14:paraId="102B86B2">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w:t>
            </w:r>
            <w:r>
              <w:rPr>
                <w:rFonts w:hint="eastAsia" w:ascii="宋体" w:hAnsi="宋体" w:eastAsia="宋体" w:cs="宋体"/>
                <w:color w:val="000000"/>
                <w:kern w:val="0"/>
                <w:sz w:val="21"/>
                <w:szCs w:val="21"/>
                <w:lang w:val="en-US" w:eastAsia="zh-CN" w:bidi="ar"/>
              </w:rPr>
              <w:t>技术需求偏离表；</w:t>
            </w:r>
            <w:r>
              <w:rPr>
                <w:rFonts w:hint="eastAsia" w:ascii="宋体" w:hAnsi="宋体" w:eastAsia="宋体" w:cs="宋体"/>
                <w:b/>
                <w:bCs/>
                <w:color w:val="000000"/>
                <w:kern w:val="0"/>
                <w:sz w:val="21"/>
                <w:szCs w:val="21"/>
                <w:lang w:val="en-US" w:eastAsia="zh-CN" w:bidi="ar"/>
              </w:rPr>
              <w:t xml:space="preserve">（必须提供，否则响应文件按无效响应处理） </w:t>
            </w:r>
          </w:p>
          <w:p w14:paraId="6FD2086C">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kern w:val="0"/>
                <w:sz w:val="21"/>
                <w:szCs w:val="21"/>
                <w:lang w:val="en-US" w:eastAsia="zh-CN" w:bidi="ar"/>
              </w:rPr>
              <w:t>2.施工组织设计；</w:t>
            </w:r>
            <w:r>
              <w:rPr>
                <w:rFonts w:hint="eastAsia" w:ascii="宋体" w:hAnsi="宋体" w:eastAsia="宋体" w:cs="宋体"/>
                <w:b/>
                <w:bCs/>
                <w:color w:val="000000"/>
                <w:kern w:val="0"/>
                <w:sz w:val="21"/>
                <w:szCs w:val="21"/>
                <w:lang w:val="en-US" w:eastAsia="zh-CN" w:bidi="ar"/>
              </w:rPr>
              <w:t xml:space="preserve">（必须提供，否则响应文件按无效响应处理） </w:t>
            </w:r>
          </w:p>
          <w:p w14:paraId="3338CBC8">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kern w:val="0"/>
                <w:sz w:val="21"/>
                <w:szCs w:val="21"/>
                <w:lang w:val="en-US" w:eastAsia="zh-CN" w:bidi="ar"/>
              </w:rPr>
              <w:t>3.项目管理机构；</w:t>
            </w:r>
            <w:r>
              <w:rPr>
                <w:rFonts w:hint="eastAsia" w:ascii="宋体" w:hAnsi="宋体" w:eastAsia="宋体" w:cs="宋体"/>
                <w:b/>
                <w:bCs/>
                <w:color w:val="000000"/>
                <w:kern w:val="0"/>
                <w:sz w:val="21"/>
                <w:szCs w:val="21"/>
                <w:lang w:val="en-US" w:eastAsia="zh-CN" w:bidi="ar"/>
              </w:rPr>
              <w:t xml:space="preserve">（包括以下材料均按要求必须提供，否则响应文件按无效响应处理） </w:t>
            </w:r>
          </w:p>
          <w:p w14:paraId="60389028">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kern w:val="0"/>
                <w:sz w:val="21"/>
                <w:szCs w:val="21"/>
                <w:lang w:val="en-US" w:eastAsia="zh-CN" w:bidi="ar"/>
              </w:rPr>
              <w:t xml:space="preserve">3.1 项目经理简历表；（按资格要求提供有效的证书复印件） </w:t>
            </w:r>
          </w:p>
          <w:p w14:paraId="3556C75A">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kern w:val="0"/>
                <w:sz w:val="21"/>
                <w:szCs w:val="21"/>
                <w:lang w:val="en-US" w:eastAsia="zh-CN" w:bidi="ar"/>
              </w:rPr>
              <w:t xml:space="preserve">3.2 项目技术负责人简历表；（附中级及以上技术职称证书复印件） </w:t>
            </w:r>
          </w:p>
          <w:p w14:paraId="0CF41448">
            <w:pPr>
              <w:keepNext w:val="0"/>
              <w:keepLines w:val="0"/>
              <w:pageBreakBefore w:val="0"/>
              <w:widowControl/>
              <w:suppressLineNumbers w:val="0"/>
              <w:kinsoku/>
              <w:wordWrap/>
              <w:overflowPunct/>
              <w:topLinePunct w:val="0"/>
              <w:bidi w:val="0"/>
              <w:adjustRightInd/>
              <w:snapToGrid/>
              <w:spacing w:line="360" w:lineRule="auto"/>
              <w:jc w:val="both"/>
              <w:rPr>
                <w:sz w:val="21"/>
                <w:szCs w:val="21"/>
              </w:rPr>
            </w:pPr>
            <w:r>
              <w:rPr>
                <w:rFonts w:hint="eastAsia" w:ascii="宋体" w:hAnsi="宋体" w:eastAsia="宋体" w:cs="宋体"/>
                <w:color w:val="000000"/>
                <w:kern w:val="0"/>
                <w:sz w:val="21"/>
                <w:szCs w:val="21"/>
                <w:lang w:val="en-US" w:eastAsia="zh-CN" w:bidi="ar"/>
              </w:rPr>
              <w:t xml:space="preserve">3.3 项目管理机构配备情况表；[附安全员（具备有效专职安全生产管 </w:t>
            </w:r>
          </w:p>
          <w:p w14:paraId="6B161495">
            <w:pPr>
              <w:keepNext w:val="0"/>
              <w:keepLines w:val="0"/>
              <w:pageBreakBefore w:val="0"/>
              <w:widowControl/>
              <w:suppressLineNumbers w:val="0"/>
              <w:kinsoku/>
              <w:wordWrap/>
              <w:overflowPunct/>
              <w:topLinePunct w:val="0"/>
              <w:bidi w:val="0"/>
              <w:adjustRightInd/>
              <w:snapToGrid/>
              <w:spacing w:line="360" w:lineRule="auto"/>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理人员安全生产考核合格 C 类证书）、施工员、质量员、材料员应具有相应施工现场专业人员职业培训合格证书，且拟投入的项目管理人员符合国家及广西壮族自治区的规定]。 </w:t>
            </w:r>
          </w:p>
          <w:p w14:paraId="21D16068">
            <w:pPr>
              <w:keepNext w:val="0"/>
              <w:keepLines w:val="0"/>
              <w:pageBreakBefore w:val="0"/>
              <w:widowControl/>
              <w:suppressLineNumbers w:val="0"/>
              <w:kinsoku/>
              <w:wordWrap/>
              <w:overflowPunct/>
              <w:topLinePunct w:val="0"/>
              <w:bidi w:val="0"/>
              <w:adjustRightInd/>
              <w:snapToGrid/>
              <w:spacing w:line="360" w:lineRule="auto"/>
              <w:jc w:val="both"/>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4.建设工程项目管理承诺书（格式后附）</w:t>
            </w:r>
            <w:r>
              <w:rPr>
                <w:rFonts w:hint="eastAsia" w:ascii="宋体" w:hAnsi="宋体" w:eastAsia="宋体" w:cs="宋体"/>
                <w:b/>
                <w:bCs/>
                <w:color w:val="000000"/>
                <w:kern w:val="0"/>
                <w:sz w:val="21"/>
                <w:szCs w:val="21"/>
                <w:lang w:val="en-US" w:eastAsia="zh-CN" w:bidi="ar"/>
              </w:rPr>
              <w:t xml:space="preserve">（必须提供，否则响应文件 </w:t>
            </w:r>
          </w:p>
          <w:p w14:paraId="51010D34">
            <w:pPr>
              <w:keepNext w:val="0"/>
              <w:keepLines w:val="0"/>
              <w:pageBreakBefore w:val="0"/>
              <w:widowControl/>
              <w:suppressLineNumbers w:val="0"/>
              <w:kinsoku/>
              <w:wordWrap/>
              <w:overflowPunct/>
              <w:topLinePunct w:val="0"/>
              <w:bidi w:val="0"/>
              <w:adjustRightInd/>
              <w:snapToGrid/>
              <w:spacing w:line="360" w:lineRule="auto"/>
              <w:jc w:val="both"/>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按无效响应处理）</w:t>
            </w:r>
          </w:p>
          <w:p w14:paraId="258EAEC3">
            <w:pPr>
              <w:keepNext w:val="0"/>
              <w:keepLines w:val="0"/>
              <w:pageBreakBefore w:val="0"/>
              <w:widowControl/>
              <w:suppressLineNumbers w:val="0"/>
              <w:kinsoku/>
              <w:wordWrap/>
              <w:overflowPunct/>
              <w:topLinePunct w:val="0"/>
              <w:bidi w:val="0"/>
              <w:adjustRightInd/>
              <w:snapToGrid/>
              <w:spacing w:line="360" w:lineRule="auto"/>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5.供应商认为需要提供的其他有关资料。</w:t>
            </w:r>
          </w:p>
          <w:p w14:paraId="2AA7A921">
            <w:pPr>
              <w:keepNext w:val="0"/>
              <w:keepLines w:val="0"/>
              <w:pageBreakBefore w:val="0"/>
              <w:widowControl w:val="0"/>
              <w:kinsoku/>
              <w:wordWrap/>
              <w:overflowPunct/>
              <w:topLinePunct w:val="0"/>
              <w:bidi w:val="0"/>
              <w:spacing w:line="440" w:lineRule="exac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注：以上标明“必须提供”的材料属于复印件</w:t>
            </w:r>
            <w:r>
              <w:rPr>
                <w:rFonts w:hint="eastAsia" w:ascii="宋体" w:hAnsi="宋体" w:eastAsia="宋体" w:cs="宋体"/>
                <w:b/>
                <w:color w:val="000000"/>
                <w:sz w:val="21"/>
                <w:szCs w:val="21"/>
                <w:highlight w:val="none"/>
                <w:lang w:val="en-US" w:eastAsia="zh-CN"/>
              </w:rPr>
              <w:t>或</w:t>
            </w:r>
            <w:r>
              <w:rPr>
                <w:rFonts w:hint="eastAsia" w:ascii="宋体" w:hAnsi="宋体" w:eastAsia="宋体" w:cs="宋体"/>
                <w:b/>
                <w:color w:val="000000"/>
                <w:sz w:val="21"/>
                <w:szCs w:val="21"/>
                <w:highlight w:val="none"/>
              </w:rPr>
              <w:t>扫描件的，必须加盖供应商电子公章，否则响应文件按无效响应处理。</w:t>
            </w:r>
          </w:p>
        </w:tc>
      </w:tr>
      <w:tr w14:paraId="50FB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0" w:hRule="atLeast"/>
        </w:trPr>
        <w:tc>
          <w:tcPr>
            <w:tcW w:w="886" w:type="dxa"/>
            <w:noWrap w:val="0"/>
            <w:vAlign w:val="center"/>
          </w:tcPr>
          <w:p w14:paraId="7D7B3011">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12.1.</w:t>
            </w:r>
            <w:r>
              <w:rPr>
                <w:rFonts w:hint="eastAsia" w:ascii="宋体" w:hAnsi="宋体" w:eastAsia="宋体" w:cs="宋体"/>
                <w:color w:val="000000"/>
                <w:sz w:val="21"/>
                <w:szCs w:val="21"/>
                <w:highlight w:val="none"/>
                <w:lang w:val="en-US" w:eastAsia="zh-CN"/>
              </w:rPr>
              <w:t>3</w:t>
            </w:r>
          </w:p>
        </w:tc>
        <w:tc>
          <w:tcPr>
            <w:tcW w:w="1794" w:type="dxa"/>
            <w:noWrap w:val="0"/>
            <w:vAlign w:val="center"/>
          </w:tcPr>
          <w:p w14:paraId="532F222B">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报价文件组成</w:t>
            </w:r>
          </w:p>
        </w:tc>
        <w:tc>
          <w:tcPr>
            <w:tcW w:w="6895" w:type="dxa"/>
            <w:noWrap w:val="0"/>
            <w:vAlign w:val="center"/>
          </w:tcPr>
          <w:p w14:paraId="2FF9DDFC">
            <w:pPr>
              <w:keepNext w:val="0"/>
              <w:keepLines w:val="0"/>
              <w:pageBreakBefore w:val="0"/>
              <w:widowControl w:val="0"/>
              <w:kinsoku/>
              <w:wordWrap/>
              <w:overflowPunct/>
              <w:topLinePunct w:val="0"/>
              <w:bidi w:val="0"/>
              <w:spacing w:line="44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响应函；</w:t>
            </w:r>
            <w:r>
              <w:rPr>
                <w:rFonts w:hint="eastAsia" w:ascii="宋体" w:hAnsi="宋体" w:eastAsia="宋体" w:cs="宋体"/>
                <w:b/>
                <w:bCs/>
                <w:color w:val="000000"/>
                <w:sz w:val="21"/>
                <w:szCs w:val="21"/>
                <w:highlight w:val="none"/>
                <w:lang w:val="en-US" w:eastAsia="zh-CN"/>
              </w:rPr>
              <w:t>（必须提供，否则响应文件按无效响应处理）</w:t>
            </w:r>
          </w:p>
          <w:p w14:paraId="054951C2">
            <w:pPr>
              <w:keepNext w:val="0"/>
              <w:keepLines w:val="0"/>
              <w:pageBreakBefore w:val="0"/>
              <w:widowControl w:val="0"/>
              <w:kinsoku/>
              <w:wordWrap/>
              <w:overflowPunct/>
              <w:topLinePunct w:val="0"/>
              <w:bidi w:val="0"/>
              <w:spacing w:line="440" w:lineRule="exact"/>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响应报价表；</w:t>
            </w:r>
            <w:r>
              <w:rPr>
                <w:rFonts w:hint="eastAsia" w:ascii="宋体" w:hAnsi="宋体" w:eastAsia="宋体" w:cs="宋体"/>
                <w:b/>
                <w:bCs/>
                <w:color w:val="000000"/>
                <w:sz w:val="21"/>
                <w:szCs w:val="21"/>
                <w:highlight w:val="none"/>
                <w:lang w:val="en-US" w:eastAsia="zh-CN"/>
              </w:rPr>
              <w:t>（必须提供，否则响应文件按无效响应处理）</w:t>
            </w:r>
          </w:p>
          <w:p w14:paraId="0D180FEA">
            <w:pPr>
              <w:keepNext w:val="0"/>
              <w:keepLines w:val="0"/>
              <w:pageBreakBefore w:val="0"/>
              <w:widowControl w:val="0"/>
              <w:kinsoku/>
              <w:wordWrap/>
              <w:overflowPunct/>
              <w:topLinePunct w:val="0"/>
              <w:bidi w:val="0"/>
              <w:spacing w:line="440" w:lineRule="exact"/>
              <w:rPr>
                <w:rFonts w:hint="eastAsia" w:ascii="宋体" w:hAnsi="宋体" w:eastAsia="宋体" w:cs="宋体"/>
                <w:b/>
                <w:bCs/>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已标价工程量清单有关资料</w:t>
            </w:r>
            <w:r>
              <w:rPr>
                <w:rFonts w:hint="eastAsia" w:ascii="宋体" w:hAnsi="宋体" w:eastAsia="宋体" w:cs="宋体"/>
                <w:color w:val="000000"/>
                <w:sz w:val="21"/>
                <w:szCs w:val="21"/>
                <w:highlight w:val="none"/>
                <w:lang w:eastAsia="zh-CN"/>
              </w:rPr>
              <w:t>。</w:t>
            </w:r>
            <w:r>
              <w:rPr>
                <w:rFonts w:hint="eastAsia" w:ascii="宋体" w:hAnsi="宋体" w:eastAsia="宋体" w:cs="宋体"/>
                <w:b/>
                <w:bCs/>
                <w:color w:val="000000"/>
                <w:sz w:val="21"/>
                <w:szCs w:val="21"/>
                <w:highlight w:val="none"/>
              </w:rPr>
              <w:t>（必须提供，否则响应文件按无效响应处理）</w:t>
            </w:r>
          </w:p>
          <w:p w14:paraId="68962455">
            <w:pPr>
              <w:keepNext w:val="0"/>
              <w:keepLines w:val="0"/>
              <w:pageBreakBefore w:val="0"/>
              <w:widowControl w:val="0"/>
              <w:kinsoku/>
              <w:wordWrap/>
              <w:overflowPunct/>
              <w:topLinePunct w:val="0"/>
              <w:bidi w:val="0"/>
              <w:spacing w:line="440" w:lineRule="exact"/>
              <w:rPr>
                <w:rFonts w:hint="eastAsia" w:ascii="宋体" w:hAnsi="宋体" w:eastAsia="宋体" w:cs="宋体"/>
                <w:b/>
                <w:bCs/>
                <w:color w:val="000000"/>
                <w:sz w:val="21"/>
                <w:szCs w:val="21"/>
                <w:highlight w:val="none"/>
              </w:rPr>
            </w:pPr>
            <w:r>
              <w:rPr>
                <w:rFonts w:hint="eastAsia" w:ascii="宋体" w:hAnsi="宋体" w:eastAsia="宋体" w:cs="宋体"/>
                <w:b/>
                <w:bCs/>
                <w:color w:val="auto"/>
                <w:kern w:val="2"/>
                <w:sz w:val="21"/>
                <w:szCs w:val="21"/>
                <w:highlight w:val="none"/>
                <w:lang w:val="zh-CN" w:eastAsia="zh-CN" w:bidi="ar-SA"/>
              </w:rPr>
              <w:t>注：</w:t>
            </w:r>
            <w:r>
              <w:rPr>
                <w:rFonts w:hint="eastAsia" w:ascii="宋体" w:hAnsi="宋体" w:eastAsia="宋体" w:cs="宋体"/>
                <w:b/>
                <w:bCs/>
                <w:color w:val="auto"/>
                <w:kern w:val="2"/>
                <w:sz w:val="21"/>
                <w:szCs w:val="21"/>
                <w:highlight w:val="none"/>
                <w:lang w:val="en-US" w:eastAsia="zh-CN" w:bidi="ar-SA"/>
              </w:rPr>
              <w:t>供应商的报价文件应上传磋商总价封面的原件扫描件。磋商总价封面，必须经供应商加盖公章，并</w:t>
            </w:r>
            <w:bookmarkStart w:id="966" w:name="_GoBack"/>
            <w:bookmarkEnd w:id="966"/>
            <w:r>
              <w:rPr>
                <w:rFonts w:hint="eastAsia" w:ascii="宋体" w:hAnsi="宋体" w:eastAsia="宋体" w:cs="宋体"/>
                <w:b/>
                <w:bCs/>
                <w:color w:val="auto"/>
                <w:kern w:val="2"/>
                <w:sz w:val="21"/>
                <w:szCs w:val="21"/>
                <w:highlight w:val="none"/>
                <w:lang w:val="en-US" w:eastAsia="zh-CN" w:bidi="ar-SA"/>
              </w:rPr>
              <w:t>由法定代表人（或其授权人）签字（或盖章），同时由造价编制人员签字并加盖执业章。</w:t>
            </w:r>
          </w:p>
        </w:tc>
      </w:tr>
      <w:tr w14:paraId="78549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trPr>
        <w:tc>
          <w:tcPr>
            <w:tcW w:w="886" w:type="dxa"/>
            <w:noWrap w:val="0"/>
            <w:vAlign w:val="center"/>
          </w:tcPr>
          <w:p w14:paraId="2DB33071">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12.2</w:t>
            </w:r>
          </w:p>
        </w:tc>
        <w:tc>
          <w:tcPr>
            <w:tcW w:w="1794" w:type="dxa"/>
            <w:noWrap w:val="0"/>
            <w:vAlign w:val="center"/>
          </w:tcPr>
          <w:p w14:paraId="58072F4B">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响应文件电子版要求</w:t>
            </w:r>
          </w:p>
        </w:tc>
        <w:tc>
          <w:tcPr>
            <w:tcW w:w="6895" w:type="dxa"/>
            <w:noWrap w:val="0"/>
            <w:vAlign w:val="center"/>
          </w:tcPr>
          <w:p w14:paraId="4AA14493">
            <w:pPr>
              <w:keepNext w:val="0"/>
              <w:keepLines w:val="0"/>
              <w:pageBreakBefore w:val="0"/>
              <w:widowControl w:val="0"/>
              <w:kinsoku/>
              <w:wordWrap/>
              <w:overflowPunct/>
              <w:topLinePunct w:val="0"/>
              <w:bidi w:val="0"/>
              <w:snapToGrid w:val="0"/>
              <w:spacing w:line="4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000000"/>
                <w:sz w:val="21"/>
                <w:szCs w:val="21"/>
                <w:highlight w:val="none"/>
              </w:rPr>
              <w:t>否则响应文件按无效响应处理</w:t>
            </w:r>
            <w:r>
              <w:rPr>
                <w:rFonts w:hint="eastAsia" w:ascii="宋体" w:hAnsi="宋体" w:eastAsia="宋体" w:cs="宋体"/>
                <w:color w:val="000000"/>
                <w:sz w:val="21"/>
                <w:szCs w:val="21"/>
                <w:highlight w:val="none"/>
              </w:rPr>
              <w:t>。</w:t>
            </w:r>
          </w:p>
          <w:p w14:paraId="7E66A77C">
            <w:pPr>
              <w:keepNext w:val="0"/>
              <w:keepLines w:val="0"/>
              <w:pageBreakBefore w:val="0"/>
              <w:widowControl w:val="0"/>
              <w:kinsoku/>
              <w:wordWrap/>
              <w:overflowPunct/>
              <w:topLinePunct w:val="0"/>
              <w:bidi w:val="0"/>
              <w:snapToGrid w:val="0"/>
              <w:spacing w:line="4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2.响应文件通过有效CA加密后在“</w:t>
            </w:r>
            <w:r>
              <w:rPr>
                <w:rFonts w:hint="eastAsia" w:ascii="宋体" w:hAnsi="宋体" w:eastAsia="宋体" w:cs="宋体"/>
                <w:color w:val="000000"/>
                <w:sz w:val="21"/>
                <w:szCs w:val="21"/>
                <w:highlight w:val="none"/>
                <w:lang w:val="en-US" w:eastAsia="zh-CN"/>
              </w:rPr>
              <w:t>广西政府采购云平台</w:t>
            </w:r>
            <w:r>
              <w:rPr>
                <w:rFonts w:hint="eastAsia" w:ascii="宋体" w:hAnsi="宋体" w:eastAsia="宋体" w:cs="宋体"/>
                <w:color w:val="000000"/>
                <w:sz w:val="21"/>
                <w:szCs w:val="21"/>
                <w:highlight w:val="none"/>
              </w:rPr>
              <w:t>”投送。</w:t>
            </w:r>
          </w:p>
        </w:tc>
      </w:tr>
      <w:tr w14:paraId="650D5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trPr>
        <w:tc>
          <w:tcPr>
            <w:tcW w:w="886" w:type="dxa"/>
            <w:noWrap w:val="0"/>
            <w:vAlign w:val="center"/>
          </w:tcPr>
          <w:p w14:paraId="184983EF">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15.2</w:t>
            </w:r>
          </w:p>
        </w:tc>
        <w:tc>
          <w:tcPr>
            <w:tcW w:w="1794" w:type="dxa"/>
            <w:noWrap w:val="0"/>
            <w:vAlign w:val="center"/>
          </w:tcPr>
          <w:p w14:paraId="2E0B548E">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响应报价要求</w:t>
            </w:r>
          </w:p>
        </w:tc>
        <w:tc>
          <w:tcPr>
            <w:tcW w:w="6895" w:type="dxa"/>
            <w:noWrap w:val="0"/>
            <w:vAlign w:val="center"/>
          </w:tcPr>
          <w:p w14:paraId="02079BC3">
            <w:pPr>
              <w:pStyle w:val="28"/>
              <w:keepNext w:val="0"/>
              <w:keepLines w:val="0"/>
              <w:pageBreakBefore w:val="0"/>
              <w:widowControl w:val="0"/>
              <w:kinsoku/>
              <w:wordWrap/>
              <w:overflowPunct/>
              <w:topLinePunct w:val="0"/>
              <w:bidi w:val="0"/>
              <w:spacing w:line="440" w:lineRule="exact"/>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1</w:t>
            </w:r>
            <w:r>
              <w:rPr>
                <w:rFonts w:hint="eastAsia" w:ascii="宋体" w:hAnsi="宋体" w:cs="宋体"/>
                <w:b w:val="0"/>
                <w:bCs/>
                <w:color w:val="000000"/>
                <w:kern w:val="2"/>
                <w:sz w:val="21"/>
                <w:szCs w:val="21"/>
                <w:highlight w:val="none"/>
                <w:lang w:val="en-US" w:eastAsia="zh-CN"/>
              </w:rPr>
              <w:t>.</w:t>
            </w:r>
            <w:r>
              <w:rPr>
                <w:rFonts w:hint="eastAsia" w:ascii="宋体" w:hAnsi="宋体" w:eastAsia="宋体" w:cs="宋体"/>
                <w:b w:val="0"/>
                <w:bCs/>
                <w:color w:val="000000"/>
                <w:kern w:val="2"/>
                <w:sz w:val="21"/>
                <w:szCs w:val="21"/>
                <w:highlight w:val="none"/>
                <w:lang w:val="en-US" w:eastAsia="zh-CN"/>
              </w:rPr>
              <w:t>本项目采用工程量清单报价方式。</w:t>
            </w:r>
          </w:p>
          <w:p w14:paraId="12DB8CD4">
            <w:pPr>
              <w:pStyle w:val="28"/>
              <w:keepNext w:val="0"/>
              <w:keepLines w:val="0"/>
              <w:pageBreakBefore w:val="0"/>
              <w:widowControl w:val="0"/>
              <w:kinsoku/>
              <w:wordWrap/>
              <w:overflowPunct/>
              <w:topLinePunct w:val="0"/>
              <w:bidi w:val="0"/>
              <w:spacing w:line="440" w:lineRule="exact"/>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2</w:t>
            </w:r>
            <w:r>
              <w:rPr>
                <w:rFonts w:hint="eastAsia" w:ascii="宋体" w:hAnsi="宋体" w:cs="宋体"/>
                <w:b w:val="0"/>
                <w:bCs/>
                <w:color w:val="000000"/>
                <w:kern w:val="2"/>
                <w:sz w:val="21"/>
                <w:szCs w:val="21"/>
                <w:highlight w:val="none"/>
                <w:lang w:val="en-US" w:eastAsia="zh-CN"/>
              </w:rPr>
              <w:t>.</w:t>
            </w:r>
            <w:r>
              <w:rPr>
                <w:rFonts w:hint="eastAsia" w:ascii="宋体" w:hAnsi="宋体" w:eastAsia="宋体" w:cs="宋体"/>
                <w:b w:val="0"/>
                <w:bCs/>
                <w:color w:val="000000"/>
                <w:kern w:val="2"/>
                <w:sz w:val="21"/>
                <w:szCs w:val="21"/>
                <w:highlight w:val="none"/>
                <w:lang w:val="en-US" w:eastAsia="zh-CN"/>
              </w:rPr>
              <w:t>报价说明：</w:t>
            </w:r>
          </w:p>
          <w:p w14:paraId="195203B6">
            <w:pPr>
              <w:pStyle w:val="28"/>
              <w:keepNext w:val="0"/>
              <w:keepLines w:val="0"/>
              <w:pageBreakBefore w:val="0"/>
              <w:widowControl w:val="0"/>
              <w:kinsoku/>
              <w:wordWrap/>
              <w:overflowPunct/>
              <w:topLinePunct w:val="0"/>
              <w:bidi w:val="0"/>
              <w:spacing w:line="440" w:lineRule="exact"/>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（1）工程量清单应与磋商须知、合同条件、合同协议条款、技术规范一起使用。</w:t>
            </w:r>
          </w:p>
          <w:p w14:paraId="0E2007B4">
            <w:pPr>
              <w:pStyle w:val="28"/>
              <w:keepNext w:val="0"/>
              <w:keepLines w:val="0"/>
              <w:pageBreakBefore w:val="0"/>
              <w:widowControl w:val="0"/>
              <w:kinsoku/>
              <w:wordWrap/>
              <w:overflowPunct/>
              <w:topLinePunct w:val="0"/>
              <w:bidi w:val="0"/>
              <w:spacing w:line="440" w:lineRule="exact"/>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（2）工程量清单所列的工程量作为磋商报价的共同基础。成交供应商必须完成图纸规定的工程量，付款时以设计图纸规定的工程量和因设计变更引起增减的并经审定的工程量为依据。</w:t>
            </w:r>
          </w:p>
          <w:p w14:paraId="4181ED00">
            <w:pPr>
              <w:pStyle w:val="28"/>
              <w:keepNext w:val="0"/>
              <w:keepLines w:val="0"/>
              <w:pageBreakBefore w:val="0"/>
              <w:widowControl w:val="0"/>
              <w:kinsoku/>
              <w:wordWrap/>
              <w:overflowPunct/>
              <w:topLinePunct w:val="0"/>
              <w:bidi w:val="0"/>
              <w:spacing w:line="440" w:lineRule="exact"/>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3）工程量清单所填入的综合单价和合价，应包括施工设备、劳务管理、维护、保险、利润、运输、税金、工艺损耗、政策性文件规定以及合同所包含的所有风险、责任等应用费用，不因市场价格因素等情况而变动。</w:t>
            </w:r>
          </w:p>
          <w:p w14:paraId="07A58007">
            <w:pPr>
              <w:pStyle w:val="28"/>
              <w:keepNext w:val="0"/>
              <w:keepLines w:val="0"/>
              <w:pageBreakBefore w:val="0"/>
              <w:widowControl w:val="0"/>
              <w:kinsoku/>
              <w:wordWrap/>
              <w:overflowPunct/>
              <w:topLinePunct w:val="0"/>
              <w:bidi w:val="0"/>
              <w:spacing w:line="440" w:lineRule="exact"/>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（4）工程量清单中的每一单项均应做出综合单价分析，并填写综合单价和合价，对没有填写综合单价或合价的项目的费用，应视为已包括在工程量清单的其他综合单价或合价之中。</w:t>
            </w:r>
          </w:p>
          <w:p w14:paraId="38322C69">
            <w:pPr>
              <w:pStyle w:val="28"/>
              <w:keepNext w:val="0"/>
              <w:keepLines w:val="0"/>
              <w:pageBreakBefore w:val="0"/>
              <w:widowControl w:val="0"/>
              <w:kinsoku/>
              <w:wordWrap/>
              <w:overflowPunct/>
              <w:topLinePunct w:val="0"/>
              <w:bidi w:val="0"/>
              <w:spacing w:line="440" w:lineRule="exact"/>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（5）工程量清单不再重复或概括工程及材料的一般说明，在编制和填写工程量清单的每一项的综合单价和合价时应参考竞标须知和合同文件的有关条款。</w:t>
            </w:r>
          </w:p>
          <w:p w14:paraId="640BE624">
            <w:pPr>
              <w:pStyle w:val="28"/>
              <w:keepNext w:val="0"/>
              <w:keepLines w:val="0"/>
              <w:pageBreakBefore w:val="0"/>
              <w:widowControl w:val="0"/>
              <w:kinsoku/>
              <w:wordWrap/>
              <w:overflowPunct/>
              <w:topLinePunct w:val="0"/>
              <w:bidi w:val="0"/>
              <w:spacing w:line="440" w:lineRule="exact"/>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（6）所有报价均以人民币表示。</w:t>
            </w:r>
          </w:p>
          <w:p w14:paraId="08AC49EE">
            <w:pPr>
              <w:pStyle w:val="28"/>
              <w:keepNext w:val="0"/>
              <w:keepLines w:val="0"/>
              <w:pageBreakBefore w:val="0"/>
              <w:widowControl w:val="0"/>
              <w:kinsoku/>
              <w:wordWrap/>
              <w:overflowPunct/>
              <w:topLinePunct w:val="0"/>
              <w:bidi w:val="0"/>
              <w:spacing w:line="440" w:lineRule="exact"/>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（7）工程量清单中的各分项工程的综合单价为本工程包干单价，不管供应商今后施工方案如何，均按包干单价执行。</w:t>
            </w:r>
          </w:p>
          <w:p w14:paraId="04CC16FA">
            <w:pPr>
              <w:pStyle w:val="28"/>
              <w:keepNext w:val="0"/>
              <w:keepLines w:val="0"/>
              <w:pageBreakBefore w:val="0"/>
              <w:widowControl w:val="0"/>
              <w:kinsoku/>
              <w:wordWrap/>
              <w:overflowPunct/>
              <w:topLinePunct w:val="0"/>
              <w:bidi w:val="0"/>
              <w:spacing w:line="440" w:lineRule="exact"/>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（8）本工程采用一般计税法。</w:t>
            </w:r>
          </w:p>
          <w:p w14:paraId="7291FC91">
            <w:pPr>
              <w:pStyle w:val="28"/>
              <w:keepNext w:val="0"/>
              <w:keepLines w:val="0"/>
              <w:pageBreakBefore w:val="0"/>
              <w:widowControl w:val="0"/>
              <w:kinsoku/>
              <w:wordWrap/>
              <w:overflowPunct/>
              <w:topLinePunct w:val="0"/>
              <w:bidi w:val="0"/>
              <w:spacing w:line="440" w:lineRule="exact"/>
              <w:rPr>
                <w:rFonts w:hint="eastAsia" w:ascii="宋体" w:hAnsi="宋体" w:eastAsia="宋体" w:cs="宋体"/>
                <w:color w:val="000000"/>
                <w:sz w:val="21"/>
                <w:szCs w:val="21"/>
                <w:highlight w:val="none"/>
              </w:rPr>
            </w:pPr>
            <w:r>
              <w:rPr>
                <w:rFonts w:hint="eastAsia" w:ascii="宋体" w:hAnsi="宋体" w:cs="宋体"/>
                <w:b/>
                <w:bCs w:val="0"/>
                <w:color w:val="000000"/>
                <w:kern w:val="2"/>
                <w:sz w:val="21"/>
                <w:szCs w:val="21"/>
                <w:highlight w:val="none"/>
                <w:lang w:val="en-US" w:eastAsia="zh-CN"/>
              </w:rPr>
              <w:t>注：</w:t>
            </w:r>
            <w:r>
              <w:rPr>
                <w:rFonts w:hint="eastAsia" w:ascii="宋体" w:hAnsi="宋体" w:eastAsia="宋体" w:cs="宋体"/>
                <w:b/>
                <w:bCs w:val="0"/>
                <w:color w:val="000000"/>
                <w:kern w:val="2"/>
                <w:sz w:val="21"/>
                <w:szCs w:val="21"/>
                <w:highlight w:val="none"/>
              </w:rPr>
              <w:t>最终报价时，供应商的最终报价如有变动</w:t>
            </w:r>
            <w:r>
              <w:rPr>
                <w:rFonts w:hint="eastAsia" w:ascii="宋体" w:hAnsi="宋体" w:eastAsia="宋体" w:cs="宋体"/>
                <w:b/>
                <w:bCs w:val="0"/>
                <w:color w:val="000000"/>
                <w:kern w:val="2"/>
                <w:sz w:val="21"/>
                <w:szCs w:val="21"/>
                <w:highlight w:val="none"/>
                <w:lang w:eastAsia="zh-CN"/>
              </w:rPr>
              <w:t>（</w:t>
            </w:r>
            <w:r>
              <w:rPr>
                <w:rFonts w:hint="eastAsia" w:ascii="宋体" w:hAnsi="宋体" w:eastAsia="宋体" w:cs="宋体"/>
                <w:b/>
                <w:bCs w:val="0"/>
                <w:color w:val="000000"/>
                <w:kern w:val="2"/>
                <w:sz w:val="21"/>
                <w:szCs w:val="21"/>
                <w:highlight w:val="none"/>
                <w:lang w:val="en-US" w:eastAsia="zh-CN"/>
              </w:rPr>
              <w:t>最终报价</w:t>
            </w:r>
            <w:r>
              <w:rPr>
                <w:rFonts w:hint="eastAsia" w:ascii="宋体" w:hAnsi="宋体" w:eastAsia="宋体" w:cs="宋体"/>
                <w:b/>
                <w:bCs w:val="0"/>
                <w:color w:val="000000"/>
                <w:kern w:val="2"/>
                <w:sz w:val="21"/>
                <w:szCs w:val="21"/>
                <w:highlight w:val="none"/>
              </w:rPr>
              <w:t>与首次报价相比有调整</w:t>
            </w:r>
            <w:r>
              <w:rPr>
                <w:rFonts w:hint="eastAsia" w:ascii="宋体" w:hAnsi="宋体" w:eastAsia="宋体" w:cs="宋体"/>
                <w:b/>
                <w:bCs w:val="0"/>
                <w:color w:val="000000"/>
                <w:kern w:val="2"/>
                <w:sz w:val="21"/>
                <w:szCs w:val="21"/>
                <w:highlight w:val="none"/>
                <w:lang w:eastAsia="zh-CN"/>
              </w:rPr>
              <w:t>）</w:t>
            </w:r>
            <w:r>
              <w:rPr>
                <w:rFonts w:hint="eastAsia" w:ascii="宋体" w:hAnsi="宋体" w:eastAsia="宋体" w:cs="宋体"/>
                <w:b/>
                <w:bCs w:val="0"/>
                <w:color w:val="000000"/>
                <w:kern w:val="2"/>
                <w:sz w:val="21"/>
                <w:szCs w:val="21"/>
                <w:highlight w:val="none"/>
              </w:rPr>
              <w:t>，则必须以完整的工程量清单报价表的格式（按</w:t>
            </w:r>
            <w:r>
              <w:rPr>
                <w:rFonts w:hint="eastAsia" w:ascii="宋体" w:hAnsi="宋体" w:eastAsia="宋体" w:cs="宋体"/>
                <w:b/>
                <w:bCs w:val="0"/>
                <w:color w:val="000000"/>
                <w:kern w:val="2"/>
                <w:sz w:val="21"/>
                <w:szCs w:val="21"/>
                <w:highlight w:val="none"/>
                <w:lang w:val="en-US" w:eastAsia="zh-CN"/>
              </w:rPr>
              <w:t>竞争性</w:t>
            </w:r>
            <w:r>
              <w:rPr>
                <w:rFonts w:hint="eastAsia" w:ascii="宋体" w:hAnsi="宋体" w:eastAsia="宋体" w:cs="宋体"/>
                <w:b/>
                <w:bCs w:val="0"/>
                <w:color w:val="000000"/>
                <w:kern w:val="2"/>
                <w:sz w:val="21"/>
                <w:szCs w:val="21"/>
                <w:highlight w:val="none"/>
              </w:rPr>
              <w:t>磋商文件中的相关规定签字盖章）编制提交</w:t>
            </w:r>
            <w:r>
              <w:rPr>
                <w:rFonts w:hint="eastAsia" w:ascii="宋体" w:hAnsi="宋体" w:eastAsia="宋体" w:cs="宋体"/>
                <w:b/>
                <w:bCs w:val="0"/>
                <w:color w:val="000000"/>
                <w:kern w:val="2"/>
                <w:sz w:val="21"/>
                <w:szCs w:val="21"/>
                <w:highlight w:val="none"/>
                <w:lang w:val="en-US" w:eastAsia="zh-CN"/>
              </w:rPr>
              <w:t>上传（</w:t>
            </w:r>
            <w:r>
              <w:rPr>
                <w:rFonts w:hint="eastAsia" w:ascii="宋体" w:hAnsi="宋体" w:eastAsia="宋体" w:cs="宋体"/>
                <w:b/>
                <w:bCs w:val="0"/>
                <w:color w:val="000000"/>
                <w:kern w:val="2"/>
                <w:sz w:val="21"/>
                <w:szCs w:val="21"/>
                <w:highlight w:val="none"/>
              </w:rPr>
              <w:t>已标价工程量清单合计金额须与相对应的竞标总报价金额保持一致</w:t>
            </w:r>
            <w:r>
              <w:rPr>
                <w:rFonts w:hint="eastAsia" w:ascii="宋体" w:hAnsi="宋体" w:eastAsia="宋体" w:cs="宋体"/>
                <w:b/>
                <w:bCs w:val="0"/>
                <w:color w:val="000000"/>
                <w:kern w:val="2"/>
                <w:sz w:val="21"/>
                <w:szCs w:val="21"/>
                <w:highlight w:val="none"/>
                <w:lang w:val="en-US" w:eastAsia="zh-CN"/>
              </w:rPr>
              <w:t>）</w:t>
            </w:r>
            <w:r>
              <w:rPr>
                <w:rFonts w:hint="eastAsia" w:ascii="宋体" w:hAnsi="宋体" w:eastAsia="宋体" w:cs="宋体"/>
                <w:b/>
                <w:bCs w:val="0"/>
                <w:color w:val="000000"/>
                <w:kern w:val="2"/>
                <w:sz w:val="21"/>
                <w:szCs w:val="21"/>
                <w:highlight w:val="none"/>
              </w:rPr>
              <w:t>，供应商须提前准备好调整后的已标价工程量清单</w:t>
            </w:r>
            <w:r>
              <w:rPr>
                <w:rFonts w:hint="eastAsia" w:ascii="宋体" w:hAnsi="宋体" w:eastAsia="宋体" w:cs="宋体"/>
                <w:b/>
                <w:bCs w:val="0"/>
                <w:color w:val="000000"/>
                <w:kern w:val="2"/>
                <w:sz w:val="21"/>
                <w:szCs w:val="21"/>
                <w:highlight w:val="none"/>
                <w:lang w:eastAsia="zh-CN"/>
              </w:rPr>
              <w:t>，</w:t>
            </w:r>
            <w:r>
              <w:rPr>
                <w:rFonts w:hint="eastAsia" w:ascii="宋体" w:hAnsi="宋体" w:eastAsia="宋体" w:cs="宋体"/>
                <w:b/>
                <w:bCs w:val="0"/>
                <w:color w:val="000000"/>
                <w:kern w:val="2"/>
                <w:sz w:val="21"/>
                <w:szCs w:val="21"/>
                <w:highlight w:val="none"/>
              </w:rPr>
              <w:t>并按时递交最终报价文件，否则按竞标无效处理。</w:t>
            </w:r>
          </w:p>
        </w:tc>
      </w:tr>
      <w:tr w14:paraId="2364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31E18141">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16.2</w:t>
            </w:r>
          </w:p>
        </w:tc>
        <w:tc>
          <w:tcPr>
            <w:tcW w:w="1794" w:type="dxa"/>
            <w:noWrap w:val="0"/>
            <w:vAlign w:val="center"/>
          </w:tcPr>
          <w:p w14:paraId="41AC4DFC">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竞标有效期</w:t>
            </w:r>
          </w:p>
        </w:tc>
        <w:tc>
          <w:tcPr>
            <w:tcW w:w="6895" w:type="dxa"/>
            <w:noWrap w:val="0"/>
            <w:vAlign w:val="center"/>
          </w:tcPr>
          <w:p w14:paraId="4D45CCBF">
            <w:pPr>
              <w:keepNext w:val="0"/>
              <w:keepLines w:val="0"/>
              <w:pageBreakBefore w:val="0"/>
              <w:widowControl w:val="0"/>
              <w:tabs>
                <w:tab w:val="left" w:pos="720"/>
                <w:tab w:val="left" w:pos="840"/>
              </w:tabs>
              <w:kinsoku/>
              <w:wordWrap/>
              <w:overflowPunct/>
              <w:topLinePunct w:val="0"/>
              <w:bidi w:val="0"/>
              <w:snapToGrid w:val="0"/>
              <w:spacing w:line="440" w:lineRule="exact"/>
              <w:ind w:left="283" w:hanging="283" w:hangingChars="135"/>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自首次响应文件提交截止之日起</w:t>
            </w:r>
            <w:r>
              <w:rPr>
                <w:rFonts w:hint="eastAsia" w:ascii="宋体" w:hAnsi="宋体" w:cs="宋体"/>
                <w:color w:val="000000"/>
                <w:sz w:val="21"/>
                <w:szCs w:val="21"/>
                <w:highlight w:val="none"/>
                <w:u w:val="single"/>
                <w:lang w:val="en-US" w:eastAsia="zh-CN"/>
              </w:rPr>
              <w:t>9</w:t>
            </w:r>
            <w:r>
              <w:rPr>
                <w:rFonts w:hint="eastAsia" w:ascii="宋体" w:hAnsi="宋体" w:eastAsia="宋体" w:cs="宋体"/>
                <w:color w:val="000000"/>
                <w:sz w:val="21"/>
                <w:szCs w:val="21"/>
                <w:highlight w:val="none"/>
                <w:u w:val="single"/>
              </w:rPr>
              <w:t>0</w:t>
            </w:r>
            <w:r>
              <w:rPr>
                <w:rFonts w:hint="eastAsia" w:ascii="宋体" w:hAnsi="宋体" w:eastAsia="宋体" w:cs="宋体"/>
                <w:color w:val="000000"/>
                <w:sz w:val="21"/>
                <w:szCs w:val="21"/>
                <w:highlight w:val="none"/>
              </w:rPr>
              <w:t>日。</w:t>
            </w:r>
          </w:p>
        </w:tc>
      </w:tr>
      <w:tr w14:paraId="52FE8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2DB3905D">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17.1</w:t>
            </w:r>
          </w:p>
        </w:tc>
        <w:tc>
          <w:tcPr>
            <w:tcW w:w="1794" w:type="dxa"/>
            <w:noWrap w:val="0"/>
            <w:vAlign w:val="center"/>
          </w:tcPr>
          <w:p w14:paraId="358978AD">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磋商保证金</w:t>
            </w:r>
          </w:p>
        </w:tc>
        <w:tc>
          <w:tcPr>
            <w:tcW w:w="6895" w:type="dxa"/>
            <w:noWrap w:val="0"/>
            <w:vAlign w:val="center"/>
          </w:tcPr>
          <w:p w14:paraId="1B07B01E">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本项目不收取磋商保证金。</w:t>
            </w:r>
          </w:p>
        </w:tc>
      </w:tr>
      <w:tr w14:paraId="45B22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886" w:type="dxa"/>
            <w:vMerge w:val="restart"/>
            <w:noWrap w:val="0"/>
            <w:vAlign w:val="center"/>
          </w:tcPr>
          <w:p w14:paraId="43B4402B">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20.1</w:t>
            </w:r>
          </w:p>
        </w:tc>
        <w:tc>
          <w:tcPr>
            <w:tcW w:w="1794" w:type="dxa"/>
            <w:noWrap w:val="0"/>
            <w:vAlign w:val="center"/>
          </w:tcPr>
          <w:p w14:paraId="3AA6107C">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响应文件提交截止时间</w:t>
            </w:r>
          </w:p>
        </w:tc>
        <w:tc>
          <w:tcPr>
            <w:tcW w:w="6895" w:type="dxa"/>
            <w:noWrap w:val="0"/>
            <w:vAlign w:val="center"/>
          </w:tcPr>
          <w:p w14:paraId="26189ECC">
            <w:pPr>
              <w:keepNext w:val="0"/>
              <w:keepLines w:val="0"/>
              <w:pageBreakBefore w:val="0"/>
              <w:widowControl w:val="0"/>
              <w:kinsoku/>
              <w:wordWrap/>
              <w:overflowPunct/>
              <w:topLinePunct w:val="0"/>
              <w:bidi w:val="0"/>
              <w:snapToGrid w:val="0"/>
              <w:spacing w:line="440" w:lineRule="exact"/>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详见竞争性磋商公告。</w:t>
            </w:r>
          </w:p>
        </w:tc>
      </w:tr>
      <w:tr w14:paraId="5C0BD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86" w:type="dxa"/>
            <w:vMerge w:val="continue"/>
            <w:noWrap w:val="0"/>
            <w:vAlign w:val="center"/>
          </w:tcPr>
          <w:p w14:paraId="6447D578">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p>
        </w:tc>
        <w:tc>
          <w:tcPr>
            <w:tcW w:w="1794" w:type="dxa"/>
            <w:noWrap w:val="0"/>
            <w:vAlign w:val="center"/>
          </w:tcPr>
          <w:p w14:paraId="18EB7605">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响应文件提交地点</w:t>
            </w:r>
          </w:p>
        </w:tc>
        <w:tc>
          <w:tcPr>
            <w:tcW w:w="6895" w:type="dxa"/>
            <w:noWrap w:val="0"/>
            <w:vAlign w:val="center"/>
          </w:tcPr>
          <w:p w14:paraId="64480605">
            <w:pPr>
              <w:keepNext w:val="0"/>
              <w:keepLines w:val="0"/>
              <w:pageBreakBefore w:val="0"/>
              <w:widowControl w:val="0"/>
              <w:kinsoku/>
              <w:wordWrap/>
              <w:overflowPunct/>
              <w:topLinePunct w:val="0"/>
              <w:bidi w:val="0"/>
              <w:snapToGrid w:val="0"/>
              <w:spacing w:line="440" w:lineRule="exact"/>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详见竞争性磋商公告。</w:t>
            </w:r>
          </w:p>
        </w:tc>
      </w:tr>
      <w:tr w14:paraId="267B9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86" w:type="dxa"/>
            <w:noWrap w:val="0"/>
            <w:vAlign w:val="center"/>
          </w:tcPr>
          <w:p w14:paraId="146E7AAD">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20.6</w:t>
            </w:r>
          </w:p>
        </w:tc>
        <w:tc>
          <w:tcPr>
            <w:tcW w:w="1794" w:type="dxa"/>
            <w:noWrap w:val="0"/>
            <w:vAlign w:val="center"/>
          </w:tcPr>
          <w:p w14:paraId="3260F423">
            <w:pPr>
              <w:keepNext w:val="0"/>
              <w:keepLines w:val="0"/>
              <w:pageBreakBefore w:val="0"/>
              <w:widowControl w:val="0"/>
              <w:kinsoku/>
              <w:wordWrap/>
              <w:overflowPunct/>
              <w:topLinePunct w:val="0"/>
              <w:bidi w:val="0"/>
              <w:spacing w:line="44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备份响应文件</w:t>
            </w:r>
          </w:p>
        </w:tc>
        <w:tc>
          <w:tcPr>
            <w:tcW w:w="6895" w:type="dxa"/>
            <w:noWrap w:val="0"/>
            <w:vAlign w:val="center"/>
          </w:tcPr>
          <w:p w14:paraId="06FE4BA1">
            <w:pPr>
              <w:keepNext w:val="0"/>
              <w:keepLines w:val="0"/>
              <w:pageBreakBefore w:val="0"/>
              <w:widowControl w:val="0"/>
              <w:kinsoku/>
              <w:wordWrap/>
              <w:overflowPunct/>
              <w:topLinePunct w:val="0"/>
              <w:bidi w:val="0"/>
              <w:snapToGrid w:val="0"/>
              <w:spacing w:line="440" w:lineRule="exact"/>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本项目不接受备份响应文件。</w:t>
            </w:r>
          </w:p>
        </w:tc>
      </w:tr>
      <w:tr w14:paraId="7629D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7" w:hRule="atLeast"/>
        </w:trPr>
        <w:tc>
          <w:tcPr>
            <w:tcW w:w="886" w:type="dxa"/>
            <w:noWrap w:val="0"/>
            <w:vAlign w:val="center"/>
          </w:tcPr>
          <w:p w14:paraId="25BC0090">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w:t>
            </w:r>
          </w:p>
        </w:tc>
        <w:tc>
          <w:tcPr>
            <w:tcW w:w="1794" w:type="dxa"/>
            <w:noWrap w:val="0"/>
            <w:vAlign w:val="center"/>
          </w:tcPr>
          <w:p w14:paraId="1667446B">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rPr>
              <w:t>响应文件的补充、修改与撤回</w:t>
            </w:r>
          </w:p>
        </w:tc>
        <w:tc>
          <w:tcPr>
            <w:tcW w:w="6895" w:type="dxa"/>
            <w:noWrap w:val="0"/>
            <w:vAlign w:val="center"/>
          </w:tcPr>
          <w:p w14:paraId="3349030C">
            <w:pPr>
              <w:keepNext w:val="0"/>
              <w:keepLines w:val="0"/>
              <w:pageBreakBefore w:val="0"/>
              <w:widowControl w:val="0"/>
              <w:kinsoku/>
              <w:wordWrap/>
              <w:overflowPunct/>
              <w:topLinePunct w:val="0"/>
              <w:bidi w:val="0"/>
              <w:spacing w:line="440" w:lineRule="exact"/>
              <w:rPr>
                <w:rFonts w:hint="eastAsia" w:ascii="宋体" w:hAnsi="宋体" w:eastAsia="宋体" w:cs="宋体"/>
                <w:color w:val="000000"/>
                <w:sz w:val="21"/>
                <w:szCs w:val="21"/>
                <w:highlight w:val="yellow"/>
              </w:rPr>
            </w:pPr>
            <w:r>
              <w:rPr>
                <w:rFonts w:hint="eastAsia" w:ascii="宋体" w:hAnsi="宋体" w:eastAsia="宋体" w:cs="宋体"/>
                <w:color w:val="000000"/>
                <w:szCs w:val="21"/>
                <w:highlight w:val="none"/>
              </w:rPr>
              <w:t>供应商应当在响应文件提交截止时间前完成电子</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文件的</w:t>
            </w:r>
            <w:r>
              <w:rPr>
                <w:rFonts w:hint="eastAsia" w:ascii="宋体" w:hAnsi="宋体" w:eastAsia="宋体" w:cs="宋体"/>
                <w:color w:val="000000"/>
                <w:szCs w:val="21"/>
                <w:highlight w:val="none"/>
                <w:lang w:eastAsia="zh-CN"/>
              </w:rPr>
              <w:t>提交（</w:t>
            </w:r>
            <w:r>
              <w:rPr>
                <w:rFonts w:hint="eastAsia" w:ascii="宋体" w:hAnsi="宋体" w:eastAsia="宋体" w:cs="宋体"/>
                <w:color w:val="000000"/>
                <w:szCs w:val="21"/>
                <w:highlight w:val="none"/>
              </w:rPr>
              <w:t>上传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，响应文件提交截止时间前可以补充、修改或者撤回</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文件。补充或者修改</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文件的，应当先行撤回原</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文件，补充、修改后重新</w:t>
            </w:r>
            <w:r>
              <w:rPr>
                <w:rFonts w:hint="eastAsia" w:ascii="宋体" w:hAnsi="宋体" w:eastAsia="宋体" w:cs="宋体"/>
                <w:color w:val="000000"/>
                <w:szCs w:val="21"/>
                <w:highlight w:val="none"/>
                <w:lang w:eastAsia="zh-CN"/>
              </w:rPr>
              <w:t>提交（</w:t>
            </w:r>
            <w:r>
              <w:rPr>
                <w:rFonts w:hint="eastAsia" w:ascii="宋体" w:hAnsi="宋体" w:eastAsia="宋体" w:cs="宋体"/>
                <w:color w:val="000000"/>
                <w:szCs w:val="21"/>
                <w:highlight w:val="none"/>
              </w:rPr>
              <w:t>上传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。响应文件提交截止时间前未完成</w:t>
            </w:r>
            <w:r>
              <w:rPr>
                <w:rFonts w:hint="eastAsia" w:ascii="宋体" w:hAnsi="宋体" w:eastAsia="宋体" w:cs="宋体"/>
                <w:color w:val="000000"/>
                <w:szCs w:val="21"/>
                <w:highlight w:val="none"/>
                <w:lang w:eastAsia="zh-CN"/>
              </w:rPr>
              <w:t>提交（</w:t>
            </w:r>
            <w:r>
              <w:rPr>
                <w:rFonts w:hint="eastAsia" w:ascii="宋体" w:hAnsi="宋体" w:eastAsia="宋体" w:cs="宋体"/>
                <w:color w:val="000000"/>
                <w:szCs w:val="21"/>
                <w:highlight w:val="none"/>
              </w:rPr>
              <w:t>上传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的，视为撤回</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文件。响应文件提交截止时间以后</w:t>
            </w:r>
            <w:r>
              <w:rPr>
                <w:rFonts w:hint="eastAsia" w:ascii="宋体" w:hAnsi="宋体" w:eastAsia="宋体" w:cs="宋体"/>
                <w:color w:val="000000"/>
                <w:szCs w:val="21"/>
                <w:highlight w:val="none"/>
                <w:lang w:eastAsia="zh-CN"/>
              </w:rPr>
              <w:t>提交（</w:t>
            </w:r>
            <w:r>
              <w:rPr>
                <w:rFonts w:hint="eastAsia" w:ascii="宋体" w:hAnsi="宋体" w:eastAsia="宋体" w:cs="宋体"/>
                <w:color w:val="000000"/>
                <w:szCs w:val="21"/>
                <w:highlight w:val="none"/>
              </w:rPr>
              <w:t>上传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w:t>
            </w:r>
            <w:r>
              <w:rPr>
                <w:rFonts w:hint="eastAsia" w:ascii="宋体" w:hAnsi="宋体" w:eastAsia="宋体" w:cs="宋体"/>
                <w:color w:val="000000"/>
                <w:szCs w:val="21"/>
                <w:highlight w:val="none"/>
                <w:lang w:val="en-US" w:eastAsia="zh-CN"/>
              </w:rPr>
              <w:t>广西政府采购</w:t>
            </w:r>
            <w:r>
              <w:rPr>
                <w:rFonts w:hint="eastAsia" w:ascii="宋体" w:hAnsi="宋体" w:eastAsia="宋体" w:cs="宋体"/>
                <w:color w:val="000000"/>
                <w:szCs w:val="21"/>
                <w:highlight w:val="none"/>
              </w:rPr>
              <w:t>云平台将予以拒收。</w:t>
            </w:r>
          </w:p>
        </w:tc>
      </w:tr>
      <w:tr w14:paraId="2D266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trPr>
        <w:tc>
          <w:tcPr>
            <w:tcW w:w="886" w:type="dxa"/>
            <w:noWrap w:val="0"/>
            <w:vAlign w:val="center"/>
          </w:tcPr>
          <w:p w14:paraId="52FC64BA">
            <w:pPr>
              <w:keepNext w:val="0"/>
              <w:keepLines w:val="0"/>
              <w:pageBreakBefore w:val="0"/>
              <w:widowControl w:val="0"/>
              <w:kinsoku/>
              <w:wordWrap/>
              <w:overflowPunct/>
              <w:topLinePunct w:val="0"/>
              <w:bidi w:val="0"/>
              <w:spacing w:line="440" w:lineRule="exact"/>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22</w:t>
            </w:r>
          </w:p>
        </w:tc>
        <w:tc>
          <w:tcPr>
            <w:tcW w:w="1794" w:type="dxa"/>
            <w:noWrap w:val="0"/>
            <w:vAlign w:val="center"/>
          </w:tcPr>
          <w:p w14:paraId="2B5A35D3">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rPr>
              <w:t>首次响应文件的退回</w:t>
            </w:r>
          </w:p>
        </w:tc>
        <w:tc>
          <w:tcPr>
            <w:tcW w:w="6895" w:type="dxa"/>
            <w:noWrap w:val="0"/>
            <w:vAlign w:val="center"/>
          </w:tcPr>
          <w:p w14:paraId="5ED7A51E">
            <w:pPr>
              <w:keepNext w:val="0"/>
              <w:keepLines w:val="0"/>
              <w:pageBreakBefore w:val="0"/>
              <w:widowControl w:val="0"/>
              <w:kinsoku/>
              <w:wordWrap/>
              <w:overflowPunct/>
              <w:topLinePunct w:val="0"/>
              <w:bidi w:val="0"/>
              <w:spacing w:line="440" w:lineRule="exact"/>
              <w:rPr>
                <w:rFonts w:hint="eastAsia" w:ascii="宋体" w:hAnsi="宋体" w:eastAsia="宋体" w:cs="宋体"/>
                <w:color w:val="000000"/>
                <w:sz w:val="21"/>
                <w:szCs w:val="21"/>
                <w:highlight w:val="yellow"/>
              </w:rPr>
            </w:pPr>
            <w:r>
              <w:rPr>
                <w:rFonts w:hint="eastAsia" w:ascii="宋体" w:hAnsi="宋体" w:cs="宋体"/>
                <w:color w:val="000000"/>
                <w:szCs w:val="21"/>
                <w:highlight w:val="none"/>
              </w:rPr>
              <w:t>在首次响应文件提交截止时间止提交响应文件的供应商不足3家时电子响应文件由代理机构在</w:t>
            </w:r>
            <w:r>
              <w:rPr>
                <w:rFonts w:hint="eastAsia" w:ascii="宋体" w:hAnsi="宋体" w:eastAsia="宋体" w:cs="宋体"/>
                <w:color w:val="000000"/>
                <w:szCs w:val="21"/>
                <w:highlight w:val="none"/>
                <w:lang w:val="en-US" w:eastAsia="zh-CN"/>
              </w:rPr>
              <w:t>广西政府采购</w:t>
            </w:r>
            <w:r>
              <w:rPr>
                <w:rFonts w:hint="eastAsia" w:ascii="宋体" w:hAnsi="宋体" w:eastAsia="宋体" w:cs="宋体"/>
                <w:color w:val="000000"/>
                <w:szCs w:val="21"/>
                <w:highlight w:val="none"/>
              </w:rPr>
              <w:t>云平台</w:t>
            </w:r>
            <w:r>
              <w:rPr>
                <w:rFonts w:hint="eastAsia" w:ascii="宋体" w:hAnsi="宋体" w:cs="宋体"/>
                <w:color w:val="000000"/>
                <w:szCs w:val="21"/>
                <w:highlight w:val="none"/>
              </w:rPr>
              <w:t>操作退回，除此之外采购人和采购代理机构对已提交的电子响应文件概不退回。</w:t>
            </w:r>
          </w:p>
        </w:tc>
      </w:tr>
      <w:tr w14:paraId="4421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886" w:type="dxa"/>
            <w:vMerge w:val="restart"/>
            <w:noWrap w:val="0"/>
            <w:vAlign w:val="center"/>
          </w:tcPr>
          <w:p w14:paraId="6995AAB3">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26.2</w:t>
            </w:r>
          </w:p>
        </w:tc>
        <w:tc>
          <w:tcPr>
            <w:tcW w:w="1794" w:type="dxa"/>
            <w:noWrap w:val="0"/>
            <w:vAlign w:val="center"/>
          </w:tcPr>
          <w:p w14:paraId="1709792E">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负偏离要求</w:t>
            </w:r>
          </w:p>
        </w:tc>
        <w:tc>
          <w:tcPr>
            <w:tcW w:w="6895" w:type="dxa"/>
            <w:noWrap w:val="0"/>
            <w:vAlign w:val="center"/>
          </w:tcPr>
          <w:p w14:paraId="084490B3">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商务条款评审中允许负偏离的条款数为</w:t>
            </w:r>
            <w:r>
              <w:rPr>
                <w:rFonts w:hint="eastAsia" w:ascii="宋体" w:hAnsi="宋体" w:eastAsia="宋体" w:cs="宋体"/>
                <w:color w:val="000000"/>
                <w:sz w:val="21"/>
                <w:szCs w:val="21"/>
                <w:highlight w:val="none"/>
                <w:u w:val="single"/>
              </w:rPr>
              <w:t xml:space="preserve"> 0 </w:t>
            </w:r>
            <w:r>
              <w:rPr>
                <w:rFonts w:hint="eastAsia" w:ascii="宋体" w:hAnsi="宋体" w:eastAsia="宋体" w:cs="宋体"/>
                <w:color w:val="000000"/>
                <w:sz w:val="21"/>
                <w:szCs w:val="21"/>
                <w:highlight w:val="none"/>
              </w:rPr>
              <w:t>项。</w:t>
            </w:r>
          </w:p>
          <w:p w14:paraId="656577FA">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采购需求评审中允许负偏离的条款数为</w:t>
            </w:r>
            <w:r>
              <w:rPr>
                <w:rFonts w:hint="eastAsia" w:ascii="宋体" w:hAnsi="宋体" w:eastAsia="宋体" w:cs="宋体"/>
                <w:color w:val="000000"/>
                <w:sz w:val="21"/>
                <w:szCs w:val="21"/>
                <w:highlight w:val="none"/>
                <w:u w:val="single"/>
              </w:rPr>
              <w:t xml:space="preserve"> 0 </w:t>
            </w:r>
            <w:r>
              <w:rPr>
                <w:rFonts w:hint="eastAsia" w:ascii="宋体" w:hAnsi="宋体" w:eastAsia="宋体" w:cs="宋体"/>
                <w:color w:val="000000"/>
                <w:sz w:val="21"/>
                <w:szCs w:val="21"/>
                <w:highlight w:val="none"/>
              </w:rPr>
              <w:t>项。</w:t>
            </w:r>
          </w:p>
        </w:tc>
      </w:tr>
      <w:tr w14:paraId="67479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trPr>
        <w:tc>
          <w:tcPr>
            <w:tcW w:w="886" w:type="dxa"/>
            <w:vMerge w:val="continue"/>
            <w:noWrap w:val="0"/>
            <w:vAlign w:val="center"/>
          </w:tcPr>
          <w:p w14:paraId="7EE44B4E">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p>
        </w:tc>
        <w:tc>
          <w:tcPr>
            <w:tcW w:w="1794" w:type="dxa"/>
            <w:noWrap w:val="0"/>
            <w:vAlign w:val="center"/>
          </w:tcPr>
          <w:p w14:paraId="6221021C">
            <w:pPr>
              <w:keepNext w:val="0"/>
              <w:keepLines w:val="0"/>
              <w:pageBreakBefore w:val="0"/>
              <w:widowControl w:val="0"/>
              <w:kinsoku/>
              <w:wordWrap/>
              <w:overflowPunct/>
              <w:topLinePunct w:val="0"/>
              <w:bidi w:val="0"/>
              <w:snapToGrid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磋商的顺序</w:t>
            </w:r>
          </w:p>
        </w:tc>
        <w:tc>
          <w:tcPr>
            <w:tcW w:w="6895" w:type="dxa"/>
            <w:noWrap w:val="0"/>
            <w:vAlign w:val="center"/>
          </w:tcPr>
          <w:p w14:paraId="613AA1A3">
            <w:pPr>
              <w:keepNext w:val="0"/>
              <w:keepLines w:val="0"/>
              <w:pageBreakBefore w:val="0"/>
              <w:widowControl w:val="0"/>
              <w:kinsoku/>
              <w:wordWrap/>
              <w:overflowPunct/>
              <w:topLinePunct w:val="0"/>
              <w:bidi w:val="0"/>
              <w:spacing w:line="4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按照提交首次响应文件的顺序，通知磋商时，若某供应商不在通知现场时，该供应商排序到最后磋商，按照签到的顺序由其下一位供应商先参与磋商。</w:t>
            </w:r>
          </w:p>
          <w:p w14:paraId="60DB2459">
            <w:pPr>
              <w:keepNext w:val="0"/>
              <w:keepLines w:val="0"/>
              <w:pageBreakBefore w:val="0"/>
              <w:widowControl w:val="0"/>
              <w:kinsoku/>
              <w:wordWrap/>
              <w:overflowPunct/>
              <w:topLinePunct w:val="0"/>
              <w:bidi w:val="0"/>
              <w:snapToGrid w:val="0"/>
              <w:spacing w:line="440" w:lineRule="exact"/>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随机排序。</w:t>
            </w:r>
          </w:p>
        </w:tc>
      </w:tr>
      <w:tr w14:paraId="62C4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757F6F4D">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w:t>
            </w:r>
          </w:p>
        </w:tc>
        <w:tc>
          <w:tcPr>
            <w:tcW w:w="1794" w:type="dxa"/>
            <w:noWrap w:val="0"/>
            <w:vAlign w:val="center"/>
          </w:tcPr>
          <w:p w14:paraId="3AB878AD">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w:t>
            </w:r>
          </w:p>
        </w:tc>
        <w:tc>
          <w:tcPr>
            <w:tcW w:w="6895" w:type="dxa"/>
            <w:noWrap w:val="0"/>
            <w:vAlign w:val="center"/>
          </w:tcPr>
          <w:p w14:paraId="0C0E5B55">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lang w:eastAsia="zh-CN"/>
              </w:rPr>
            </w:pPr>
            <w:r>
              <w:rPr>
                <w:rFonts w:hint="eastAsia" w:ascii="宋体" w:hAnsi="宋体" w:eastAsia="宋体" w:cs="宋体"/>
                <w:color w:val="000000"/>
                <w:szCs w:val="21"/>
                <w:highlight w:val="none"/>
              </w:rPr>
              <w:t>本项目不收取履约保证金</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 xml:space="preserve"> </w:t>
            </w:r>
          </w:p>
        </w:tc>
      </w:tr>
      <w:tr w14:paraId="07A0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6BF7048C">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w:t>
            </w:r>
          </w:p>
        </w:tc>
        <w:tc>
          <w:tcPr>
            <w:tcW w:w="1794" w:type="dxa"/>
            <w:noWrap w:val="0"/>
            <w:vAlign w:val="center"/>
          </w:tcPr>
          <w:p w14:paraId="685E2159">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签订合同携带的材料</w:t>
            </w:r>
          </w:p>
        </w:tc>
        <w:tc>
          <w:tcPr>
            <w:tcW w:w="6895" w:type="dxa"/>
            <w:noWrap w:val="0"/>
            <w:vAlign w:val="center"/>
          </w:tcPr>
          <w:p w14:paraId="1ED71A00">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使用的有效CA证书加盖单位电子公章</w:t>
            </w:r>
            <w:r>
              <w:rPr>
                <w:rFonts w:hint="eastAsia" w:ascii="宋体" w:hAnsi="宋体" w:eastAsia="宋体" w:cs="宋体"/>
                <w:color w:val="000000"/>
                <w:sz w:val="21"/>
                <w:szCs w:val="21"/>
                <w:highlight w:val="none"/>
                <w:lang w:eastAsia="zh-CN"/>
              </w:rPr>
              <w:t>。</w:t>
            </w:r>
          </w:p>
        </w:tc>
      </w:tr>
      <w:tr w14:paraId="1AEBE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vMerge w:val="restart"/>
            <w:noWrap w:val="0"/>
            <w:vAlign w:val="center"/>
          </w:tcPr>
          <w:p w14:paraId="6FDD90FB">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31.2</w:t>
            </w:r>
          </w:p>
        </w:tc>
        <w:tc>
          <w:tcPr>
            <w:tcW w:w="1794" w:type="dxa"/>
            <w:noWrap w:val="0"/>
            <w:vAlign w:val="center"/>
          </w:tcPr>
          <w:p w14:paraId="2B8070F4">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接收质疑函方式</w:t>
            </w:r>
          </w:p>
        </w:tc>
        <w:tc>
          <w:tcPr>
            <w:tcW w:w="6895" w:type="dxa"/>
            <w:noWrap w:val="0"/>
            <w:vAlign w:val="center"/>
          </w:tcPr>
          <w:p w14:paraId="24E613B1">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以书面形式</w:t>
            </w:r>
          </w:p>
        </w:tc>
      </w:tr>
      <w:tr w14:paraId="6D498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8" w:hRule="atLeast"/>
        </w:trPr>
        <w:tc>
          <w:tcPr>
            <w:tcW w:w="886" w:type="dxa"/>
            <w:vMerge w:val="continue"/>
            <w:noWrap w:val="0"/>
            <w:vAlign w:val="center"/>
          </w:tcPr>
          <w:p w14:paraId="06745C4C">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p>
        </w:tc>
        <w:tc>
          <w:tcPr>
            <w:tcW w:w="1794" w:type="dxa"/>
            <w:noWrap w:val="0"/>
            <w:vAlign w:val="center"/>
          </w:tcPr>
          <w:p w14:paraId="5318FDAF">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质疑联系部门及联系方式</w:t>
            </w:r>
          </w:p>
        </w:tc>
        <w:tc>
          <w:tcPr>
            <w:tcW w:w="6895" w:type="dxa"/>
            <w:noWrap w:val="0"/>
            <w:vAlign w:val="center"/>
          </w:tcPr>
          <w:p w14:paraId="228C4109">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（1）</w:t>
            </w:r>
            <w:r>
              <w:rPr>
                <w:rFonts w:hint="eastAsia" w:ascii="宋体" w:hAnsi="宋体" w:eastAsia="宋体" w:cs="宋体"/>
                <w:color w:val="000000"/>
                <w:sz w:val="21"/>
                <w:szCs w:val="21"/>
                <w:highlight w:val="none"/>
                <w:u w:val="none"/>
                <w:lang w:eastAsia="zh-CN"/>
              </w:rPr>
              <w:t>广西政投项目咨询有限公司</w:t>
            </w:r>
            <w:r>
              <w:rPr>
                <w:rFonts w:hint="eastAsia" w:ascii="宋体" w:hAnsi="宋体" w:eastAsia="宋体" w:cs="宋体"/>
                <w:color w:val="000000"/>
                <w:sz w:val="21"/>
                <w:szCs w:val="21"/>
                <w:highlight w:val="none"/>
                <w:u w:val="none"/>
              </w:rPr>
              <w:t>；</w:t>
            </w:r>
          </w:p>
          <w:p w14:paraId="2809FE94">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rPr>
              <w:t>联系电话：</w:t>
            </w:r>
            <w:r>
              <w:rPr>
                <w:rFonts w:hint="eastAsia" w:ascii="宋体" w:hAnsi="宋体" w:eastAsia="宋体" w:cs="宋体"/>
                <w:color w:val="000000"/>
                <w:sz w:val="21"/>
                <w:szCs w:val="21"/>
                <w:highlight w:val="none"/>
                <w:u w:val="none"/>
                <w:lang w:val="en-US" w:eastAsia="zh-CN"/>
              </w:rPr>
              <w:t>0771-5891216</w:t>
            </w:r>
          </w:p>
          <w:p w14:paraId="2280D380">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rPr>
              <w:t>通讯地址：</w:t>
            </w:r>
            <w:r>
              <w:rPr>
                <w:rFonts w:hint="eastAsia" w:ascii="宋体" w:hAnsi="宋体" w:eastAsia="宋体" w:cs="宋体"/>
                <w:color w:val="000000"/>
                <w:sz w:val="21"/>
                <w:szCs w:val="21"/>
                <w:highlight w:val="none"/>
                <w:u w:val="none"/>
                <w:lang w:val="en-US" w:eastAsia="zh-CN"/>
              </w:rPr>
              <w:t>中国（广西）自由贸易试验区南宁片区凯旋路16号广西裕达集团南宁五象总部基地广东大厦二十六层2602、2603、2605号房</w:t>
            </w:r>
          </w:p>
          <w:p w14:paraId="6747E252">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（2）广西防城港市防城区农业农村局；</w:t>
            </w:r>
          </w:p>
          <w:p w14:paraId="21652CBB">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none"/>
              </w:rPr>
              <w:t>联系电话：0770-3262218</w:t>
            </w:r>
          </w:p>
          <w:p w14:paraId="2978EBCF">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u w:val="none"/>
              </w:rPr>
              <w:t>通讯地址：防城港市防城区防东路南二里1号</w:t>
            </w:r>
          </w:p>
        </w:tc>
      </w:tr>
      <w:tr w14:paraId="457C0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vMerge w:val="continue"/>
            <w:noWrap w:val="0"/>
            <w:vAlign w:val="center"/>
          </w:tcPr>
          <w:p w14:paraId="76BDBB3C">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p>
        </w:tc>
        <w:tc>
          <w:tcPr>
            <w:tcW w:w="1794" w:type="dxa"/>
            <w:noWrap w:val="0"/>
            <w:vAlign w:val="center"/>
          </w:tcPr>
          <w:p w14:paraId="176E1D03">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现场提交质疑办理业务时间</w:t>
            </w:r>
          </w:p>
        </w:tc>
        <w:tc>
          <w:tcPr>
            <w:tcW w:w="6895" w:type="dxa"/>
            <w:noWrap w:val="0"/>
            <w:vAlign w:val="center"/>
          </w:tcPr>
          <w:p w14:paraId="60733C4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质疑期内每个工作日</w:t>
            </w:r>
            <w:r>
              <w:rPr>
                <w:rFonts w:hint="eastAsia" w:ascii="宋体" w:hAnsi="宋体" w:eastAsia="宋体" w:cs="宋体"/>
                <w:color w:val="000000"/>
                <w:sz w:val="21"/>
                <w:szCs w:val="21"/>
                <w:highlight w:val="none"/>
                <w:u w:val="single"/>
              </w:rPr>
              <w:t>8</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00</w:t>
            </w:r>
            <w:r>
              <w:rPr>
                <w:rFonts w:hint="eastAsia" w:ascii="宋体" w:hAnsi="宋体" w:eastAsia="宋体" w:cs="宋体"/>
                <w:color w:val="000000"/>
                <w:sz w:val="21"/>
                <w:szCs w:val="21"/>
                <w:highlight w:val="none"/>
              </w:rPr>
              <w:t>分到</w:t>
            </w:r>
            <w:r>
              <w:rPr>
                <w:rFonts w:hint="eastAsia" w:ascii="宋体" w:hAnsi="宋体" w:eastAsia="宋体" w:cs="宋体"/>
                <w:color w:val="000000"/>
                <w:sz w:val="21"/>
                <w:szCs w:val="21"/>
                <w:highlight w:val="none"/>
                <w:u w:val="single"/>
              </w:rPr>
              <w:t>12</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00</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u w:val="single"/>
              </w:rPr>
              <w:t>15</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00</w:t>
            </w:r>
            <w:r>
              <w:rPr>
                <w:rFonts w:hint="eastAsia" w:ascii="宋体" w:hAnsi="宋体" w:eastAsia="宋体" w:cs="宋体"/>
                <w:color w:val="000000"/>
                <w:sz w:val="21"/>
                <w:szCs w:val="21"/>
                <w:highlight w:val="none"/>
              </w:rPr>
              <w:t>分到</w:t>
            </w:r>
            <w:r>
              <w:rPr>
                <w:rFonts w:hint="eastAsia" w:ascii="宋体" w:hAnsi="宋体" w:eastAsia="宋体" w:cs="宋体"/>
                <w:color w:val="000000"/>
                <w:sz w:val="21"/>
                <w:szCs w:val="21"/>
                <w:highlight w:val="none"/>
                <w:u w:val="single"/>
              </w:rPr>
              <w:t>18</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00</w:t>
            </w:r>
            <w:r>
              <w:rPr>
                <w:rFonts w:hint="eastAsia" w:ascii="宋体" w:hAnsi="宋体" w:eastAsia="宋体" w:cs="宋体"/>
                <w:color w:val="000000"/>
                <w:sz w:val="21"/>
                <w:szCs w:val="21"/>
                <w:highlight w:val="none"/>
              </w:rPr>
              <w:t>分</w:t>
            </w:r>
          </w:p>
        </w:tc>
      </w:tr>
      <w:tr w14:paraId="313DB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886" w:type="dxa"/>
            <w:noWrap w:val="0"/>
            <w:vAlign w:val="center"/>
          </w:tcPr>
          <w:p w14:paraId="22D700AC">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31.6</w:t>
            </w:r>
          </w:p>
        </w:tc>
        <w:tc>
          <w:tcPr>
            <w:tcW w:w="1794" w:type="dxa"/>
            <w:noWrap w:val="0"/>
            <w:vAlign w:val="center"/>
          </w:tcPr>
          <w:p w14:paraId="07123F61">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受理投诉方式</w:t>
            </w:r>
          </w:p>
        </w:tc>
        <w:tc>
          <w:tcPr>
            <w:tcW w:w="6895" w:type="dxa"/>
            <w:noWrap w:val="0"/>
            <w:vAlign w:val="center"/>
          </w:tcPr>
          <w:p w14:paraId="703C9B6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1.受理方式：纸质方式受理，投诉书正、副本（经过质疑的事项才可投诉）。</w:t>
            </w:r>
          </w:p>
          <w:p w14:paraId="1596E86B">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2.邮寄地址：</w:t>
            </w:r>
          </w:p>
          <w:p w14:paraId="3A9FD77E">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防城港市防城区政府采购中心</w:t>
            </w:r>
          </w:p>
          <w:p w14:paraId="411FEE3E">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olor w:val="auto"/>
                <w:szCs w:val="21"/>
              </w:rPr>
              <w:t>防城港市防城区大坡路5号</w:t>
            </w:r>
          </w:p>
          <w:p w14:paraId="599959AA">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Times New Roman"/>
                <w:color w:val="auto"/>
                <w:szCs w:val="21"/>
                <w:lang w:eastAsia="zh-CN"/>
              </w:rPr>
              <w:t>0770-2213681</w:t>
            </w:r>
          </w:p>
        </w:tc>
      </w:tr>
      <w:tr w14:paraId="76676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36D7EA50">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w:t>
            </w:r>
          </w:p>
        </w:tc>
        <w:tc>
          <w:tcPr>
            <w:tcW w:w="1794" w:type="dxa"/>
            <w:noWrap w:val="0"/>
            <w:vAlign w:val="center"/>
          </w:tcPr>
          <w:p w14:paraId="49ECDC6F">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采购代理费</w:t>
            </w:r>
          </w:p>
        </w:tc>
        <w:tc>
          <w:tcPr>
            <w:tcW w:w="6895" w:type="dxa"/>
            <w:noWrap w:val="0"/>
            <w:vAlign w:val="center"/>
          </w:tcPr>
          <w:p w14:paraId="1DC18D2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 是否收取采购代理费：</w:t>
            </w:r>
          </w:p>
          <w:p w14:paraId="7175B09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是    □ 否</w:t>
            </w:r>
          </w:p>
          <w:p w14:paraId="28D194E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2.采购代理费支付方式：</w:t>
            </w:r>
          </w:p>
          <w:p w14:paraId="23162B56">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本项目代理服务费由</w:t>
            </w:r>
            <w:r>
              <w:rPr>
                <w:rFonts w:hint="eastAsia" w:ascii="宋体" w:hAnsi="宋体" w:eastAsia="宋体" w:cs="宋体"/>
                <w:color w:val="000000"/>
                <w:kern w:val="0"/>
                <w:sz w:val="21"/>
                <w:szCs w:val="21"/>
                <w:highlight w:val="none"/>
                <w:u w:val="single"/>
              </w:rPr>
              <w:t>成交供应商</w:t>
            </w:r>
            <w:r>
              <w:rPr>
                <w:rFonts w:hint="eastAsia" w:ascii="宋体" w:hAnsi="宋体" w:eastAsia="宋体" w:cs="宋体"/>
                <w:color w:val="000000"/>
                <w:kern w:val="0"/>
                <w:sz w:val="21"/>
                <w:szCs w:val="21"/>
                <w:highlight w:val="none"/>
              </w:rPr>
              <w:t>领取成交通知书前，一次性向采购代理机构支付。</w:t>
            </w:r>
          </w:p>
          <w:p w14:paraId="7DD87A8F">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□采购人支付。</w:t>
            </w:r>
          </w:p>
          <w:p w14:paraId="2624A81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3.采购代理费收取标准：</w:t>
            </w:r>
          </w:p>
          <w:p w14:paraId="420B550D">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pacing w:val="0"/>
                <w:kern w:val="0"/>
                <w:sz w:val="21"/>
                <w:szCs w:val="21"/>
                <w:highlight w:val="none"/>
              </w:rPr>
            </w:pPr>
            <w:r>
              <w:rPr>
                <w:rFonts w:hint="eastAsia" w:ascii="宋体" w:hAnsi="宋体" w:eastAsia="宋体" w:cs="宋体"/>
                <w:color w:val="000000"/>
                <w:spacing w:val="0"/>
                <w:kern w:val="0"/>
                <w:sz w:val="21"/>
                <w:szCs w:val="21"/>
                <w:highlight w:val="none"/>
              </w:rPr>
              <w:t>参照原国家发展计划委员会《招标代理服务费管理暂行办法》 (计价格[2002]1980号)规定收费标准</w:t>
            </w:r>
            <w:r>
              <w:rPr>
                <w:rFonts w:hint="eastAsia" w:ascii="宋体" w:hAnsi="宋体" w:eastAsia="宋体" w:cs="宋体"/>
                <w:color w:val="000000"/>
                <w:spacing w:val="0"/>
                <w:kern w:val="0"/>
                <w:sz w:val="21"/>
                <w:szCs w:val="21"/>
                <w:highlight w:val="none"/>
                <w:lang w:eastAsia="zh-CN"/>
              </w:rPr>
              <w:t>（</w:t>
            </w:r>
            <w:r>
              <w:rPr>
                <w:rFonts w:hint="eastAsia" w:ascii="宋体" w:hAnsi="宋体" w:eastAsia="宋体" w:cs="宋体"/>
                <w:color w:val="000000"/>
                <w:spacing w:val="0"/>
                <w:kern w:val="0"/>
                <w:sz w:val="21"/>
                <w:szCs w:val="21"/>
                <w:highlight w:val="none"/>
                <w:lang w:val="en-US" w:eastAsia="zh-CN"/>
              </w:rPr>
              <w:t>工程</w:t>
            </w:r>
            <w:r>
              <w:rPr>
                <w:rFonts w:hint="eastAsia" w:ascii="宋体" w:hAnsi="宋体" w:cs="宋体"/>
                <w:color w:val="000000"/>
                <w:spacing w:val="0"/>
                <w:kern w:val="0"/>
                <w:sz w:val="21"/>
                <w:szCs w:val="21"/>
                <w:highlight w:val="none"/>
                <w:lang w:val="en-US" w:eastAsia="zh-CN"/>
              </w:rPr>
              <w:t>招标</w:t>
            </w:r>
            <w:r>
              <w:rPr>
                <w:rFonts w:hint="eastAsia" w:ascii="宋体" w:hAnsi="宋体" w:eastAsia="宋体" w:cs="宋体"/>
                <w:color w:val="000000"/>
                <w:spacing w:val="0"/>
                <w:kern w:val="0"/>
                <w:sz w:val="21"/>
                <w:szCs w:val="21"/>
                <w:highlight w:val="none"/>
                <w:lang w:eastAsia="zh-CN"/>
              </w:rPr>
              <w:t>）</w:t>
            </w:r>
            <w:r>
              <w:rPr>
                <w:rFonts w:hint="eastAsia" w:ascii="宋体" w:hAnsi="宋体" w:eastAsia="宋体" w:cs="宋体"/>
                <w:color w:val="000000"/>
                <w:spacing w:val="0"/>
                <w:kern w:val="0"/>
                <w:sz w:val="21"/>
                <w:szCs w:val="21"/>
                <w:highlight w:val="none"/>
              </w:rPr>
              <w:t>收取。</w:t>
            </w:r>
          </w:p>
          <w:p w14:paraId="3CAB393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4.采购代理费收取银行账户</w:t>
            </w:r>
          </w:p>
          <w:p w14:paraId="70FAD0BF">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账户名称：</w:t>
            </w:r>
            <w:r>
              <w:rPr>
                <w:rFonts w:hint="eastAsia" w:ascii="宋体" w:hAnsi="宋体" w:eastAsia="宋体" w:cs="宋体"/>
                <w:color w:val="000000"/>
                <w:kern w:val="0"/>
                <w:sz w:val="21"/>
                <w:szCs w:val="21"/>
                <w:highlight w:val="none"/>
                <w:lang w:eastAsia="zh-CN"/>
              </w:rPr>
              <w:t>广西政投项目咨询有限公司</w:t>
            </w:r>
          </w:p>
          <w:p w14:paraId="18101C10">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开户银行：</w:t>
            </w:r>
            <w:r>
              <w:rPr>
                <w:rFonts w:hint="eastAsia" w:ascii="宋体" w:hAnsi="宋体" w:eastAsia="宋体" w:cs="宋体"/>
                <w:color w:val="000000"/>
                <w:kern w:val="0"/>
                <w:sz w:val="21"/>
                <w:szCs w:val="21"/>
                <w:highlight w:val="none"/>
                <w:lang w:val="en-US" w:eastAsia="zh-CN"/>
              </w:rPr>
              <w:t>中国工商银行股份有限公司南宁市民族支行</w:t>
            </w:r>
            <w:r>
              <w:rPr>
                <w:rFonts w:hint="eastAsia" w:ascii="宋体" w:hAnsi="宋体" w:eastAsia="宋体" w:cs="宋体"/>
                <w:color w:val="000000"/>
                <w:kern w:val="0"/>
                <w:sz w:val="21"/>
                <w:szCs w:val="21"/>
                <w:highlight w:val="none"/>
              </w:rPr>
              <w:t xml:space="preserve">      </w:t>
            </w:r>
          </w:p>
          <w:p w14:paraId="23F4A1A7">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银行账号：</w:t>
            </w:r>
            <w:r>
              <w:rPr>
                <w:rFonts w:hint="eastAsia" w:ascii="宋体" w:hAnsi="宋体" w:eastAsia="宋体" w:cs="宋体"/>
                <w:color w:val="000000"/>
                <w:kern w:val="0"/>
                <w:sz w:val="21"/>
                <w:szCs w:val="21"/>
                <w:highlight w:val="none"/>
                <w:lang w:val="en-US" w:eastAsia="zh-CN"/>
              </w:rPr>
              <w:t>2102109009300404148</w:t>
            </w:r>
          </w:p>
        </w:tc>
      </w:tr>
      <w:tr w14:paraId="4CD8D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5FDD482D">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34.1</w:t>
            </w:r>
          </w:p>
        </w:tc>
        <w:tc>
          <w:tcPr>
            <w:tcW w:w="1794" w:type="dxa"/>
            <w:noWrap w:val="0"/>
            <w:vAlign w:val="center"/>
          </w:tcPr>
          <w:p w14:paraId="5518916B">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解释</w:t>
            </w:r>
          </w:p>
        </w:tc>
        <w:tc>
          <w:tcPr>
            <w:tcW w:w="6895" w:type="dxa"/>
            <w:noWrap w:val="0"/>
            <w:vAlign w:val="center"/>
          </w:tcPr>
          <w:p w14:paraId="30633A37">
            <w:pPr>
              <w:keepNext w:val="0"/>
              <w:keepLines w:val="0"/>
              <w:pageBreakBefore w:val="0"/>
              <w:widowControl w:val="0"/>
              <w:kinsoku/>
              <w:wordWrap/>
              <w:overflowPunct/>
              <w:topLinePunct w:val="0"/>
              <w:bidi w:val="0"/>
              <w:snapToGrid w:val="0"/>
              <w:spacing w:line="440" w:lineRule="exact"/>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解释权：</w:t>
            </w:r>
            <w:r>
              <w:rPr>
                <w:rFonts w:hint="eastAsia" w:ascii="宋体" w:hAnsi="宋体" w:eastAsia="宋体" w:cs="宋体"/>
                <w:color w:val="000000"/>
                <w:kern w:val="0"/>
                <w:sz w:val="21"/>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000000"/>
                <w:kern w:val="0"/>
                <w:sz w:val="21"/>
                <w:szCs w:val="21"/>
                <w:highlight w:val="none"/>
              </w:rPr>
              <w:t>由采购人或者采购代理机构负责解释。</w:t>
            </w:r>
          </w:p>
          <w:p w14:paraId="45E6F849">
            <w:pPr>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000000"/>
                <w:sz w:val="21"/>
                <w:szCs w:val="21"/>
                <w:highlight w:val="none"/>
              </w:rPr>
            </w:pPr>
            <w:r>
              <w:rPr>
                <w:rFonts w:hint="eastAsia" w:ascii="宋体" w:hAnsi="宋体" w:eastAsia="宋体" w:cs="宋体"/>
                <w:b/>
                <w:color w:val="000000"/>
                <w:kern w:val="0"/>
                <w:sz w:val="21"/>
                <w:szCs w:val="21"/>
                <w:highlight w:val="none"/>
              </w:rPr>
              <w:t>法律责任：</w:t>
            </w:r>
            <w:r>
              <w:rPr>
                <w:rFonts w:hint="eastAsia" w:ascii="宋体" w:hAnsi="宋体" w:eastAsia="宋体" w:cs="宋体"/>
                <w:color w:val="000000"/>
                <w:kern w:val="0"/>
                <w:sz w:val="21"/>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815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368B935D">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w:t>
            </w:r>
          </w:p>
        </w:tc>
        <w:tc>
          <w:tcPr>
            <w:tcW w:w="1794" w:type="dxa"/>
            <w:noWrap w:val="0"/>
            <w:vAlign w:val="center"/>
          </w:tcPr>
          <w:p w14:paraId="01DBBB46">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w:t>
            </w:r>
          </w:p>
        </w:tc>
        <w:tc>
          <w:tcPr>
            <w:tcW w:w="6895" w:type="dxa"/>
            <w:noWrap w:val="0"/>
            <w:vAlign w:val="center"/>
          </w:tcPr>
          <w:p w14:paraId="540455A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915C52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93E251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F3E848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4.自然人竞标的，磋商文件规定盖公章处由自然人摁手指指印。</w:t>
            </w:r>
          </w:p>
          <w:p w14:paraId="2F7839F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5.本磋商文件所称的“以上”“以下”“以内”“届满”，包括本数；所称的“不满”“超过”“以外”，不包括本数。</w:t>
            </w:r>
          </w:p>
        </w:tc>
      </w:tr>
      <w:tr w14:paraId="1F082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6" w:type="dxa"/>
            <w:noWrap w:val="0"/>
            <w:vAlign w:val="center"/>
          </w:tcPr>
          <w:p w14:paraId="5A355442">
            <w:pPr>
              <w:keepNext w:val="0"/>
              <w:keepLines w:val="0"/>
              <w:pageBreakBefore w:val="0"/>
              <w:widowControl w:val="0"/>
              <w:kinsoku/>
              <w:wordWrap/>
              <w:overflowPunct/>
              <w:topLinePunct w:val="0"/>
              <w:bidi w:val="0"/>
              <w:spacing w:line="440" w:lineRule="exact"/>
              <w:jc w:val="center"/>
              <w:rPr>
                <w:rFonts w:hint="eastAsia" w:ascii="宋体" w:hAnsi="宋体" w:eastAsia="宋体" w:cs="宋体"/>
                <w:color w:val="000000"/>
                <w:sz w:val="21"/>
                <w:szCs w:val="21"/>
                <w:highlight w:val="none"/>
              </w:rPr>
            </w:pPr>
          </w:p>
        </w:tc>
        <w:tc>
          <w:tcPr>
            <w:tcW w:w="1794" w:type="dxa"/>
            <w:shd w:val="clear" w:color="auto" w:fill="auto"/>
            <w:noWrap w:val="0"/>
            <w:vAlign w:val="center"/>
          </w:tcPr>
          <w:p w14:paraId="7D30D1CB">
            <w:pPr>
              <w:pageBreakBefore w:val="0"/>
              <w:kinsoku/>
              <w:wordWrap/>
              <w:overflowPunct/>
              <w:topLinePunct w:val="0"/>
              <w:bidi w:val="0"/>
              <w:adjustRightInd/>
              <w:snapToGrid/>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关于响应文件的其他要求</w:t>
            </w:r>
          </w:p>
        </w:tc>
        <w:tc>
          <w:tcPr>
            <w:tcW w:w="6895" w:type="dxa"/>
            <w:shd w:val="clear" w:color="auto" w:fill="auto"/>
            <w:noWrap w:val="0"/>
            <w:vAlign w:val="center"/>
          </w:tcPr>
          <w:p w14:paraId="6DA24C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纸质</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rPr>
              <w:t>文</w:t>
            </w:r>
            <w:r>
              <w:rPr>
                <w:rFonts w:hint="eastAsia" w:ascii="宋体" w:hAnsi="宋体" w:eastAsia="宋体" w:cs="宋体"/>
                <w:b/>
                <w:color w:val="auto"/>
                <w:sz w:val="21"/>
                <w:szCs w:val="21"/>
                <w:highlight w:val="none"/>
                <w:u w:val="none"/>
                <w:lang w:val="en-US" w:eastAsia="zh-CN"/>
              </w:rPr>
              <w:t>件：成交供应商</w:t>
            </w:r>
            <w:r>
              <w:rPr>
                <w:rFonts w:hint="eastAsia" w:ascii="宋体" w:hAnsi="宋体" w:eastAsia="宋体" w:cs="宋体"/>
                <w:b/>
                <w:color w:val="auto"/>
                <w:sz w:val="21"/>
                <w:szCs w:val="21"/>
                <w:highlight w:val="none"/>
                <w:u w:val="none"/>
              </w:rPr>
              <w:t>在</w:t>
            </w:r>
            <w:r>
              <w:rPr>
                <w:rFonts w:hint="eastAsia" w:ascii="宋体" w:hAnsi="宋体" w:eastAsia="宋体" w:cs="宋体"/>
                <w:b/>
                <w:color w:val="auto"/>
                <w:sz w:val="21"/>
                <w:szCs w:val="21"/>
                <w:highlight w:val="none"/>
                <w:u w:val="none"/>
                <w:lang w:val="en-US" w:eastAsia="zh-CN"/>
              </w:rPr>
              <w:t>成交</w:t>
            </w:r>
            <w:r>
              <w:rPr>
                <w:rFonts w:hint="eastAsia" w:ascii="宋体" w:hAnsi="宋体" w:eastAsia="宋体" w:cs="宋体"/>
                <w:b/>
                <w:color w:val="auto"/>
                <w:sz w:val="21"/>
                <w:szCs w:val="21"/>
                <w:highlight w:val="none"/>
                <w:u w:val="none"/>
              </w:rPr>
              <w:t>通知书发出后5</w:t>
            </w:r>
            <w:r>
              <w:rPr>
                <w:rFonts w:hint="eastAsia" w:ascii="宋体" w:hAnsi="宋体" w:cs="宋体"/>
                <w:b/>
                <w:color w:val="auto"/>
                <w:sz w:val="21"/>
                <w:szCs w:val="21"/>
                <w:highlight w:val="none"/>
                <w:u w:val="none"/>
                <w:lang w:val="en-US" w:eastAsia="zh-CN"/>
              </w:rPr>
              <w:t>个工作日</w:t>
            </w:r>
            <w:r>
              <w:rPr>
                <w:rFonts w:hint="eastAsia" w:ascii="宋体" w:hAnsi="宋体" w:eastAsia="宋体" w:cs="宋体"/>
                <w:b/>
                <w:color w:val="auto"/>
                <w:sz w:val="21"/>
                <w:szCs w:val="21"/>
                <w:highlight w:val="none"/>
                <w:u w:val="none"/>
              </w:rPr>
              <w:t>内须提交</w:t>
            </w:r>
            <w:r>
              <w:rPr>
                <w:rFonts w:hint="eastAsia" w:ascii="宋体" w:hAnsi="宋体" w:cs="宋体"/>
                <w:b/>
                <w:color w:val="auto"/>
                <w:sz w:val="21"/>
                <w:szCs w:val="21"/>
                <w:highlight w:val="none"/>
                <w:u w:val="none"/>
                <w:lang w:val="en-US" w:eastAsia="zh-CN"/>
              </w:rPr>
              <w:t>2</w:t>
            </w:r>
            <w:r>
              <w:rPr>
                <w:rFonts w:hint="eastAsia" w:ascii="宋体" w:hAnsi="宋体" w:eastAsia="宋体" w:cs="宋体"/>
                <w:b/>
                <w:color w:val="auto"/>
                <w:sz w:val="21"/>
                <w:szCs w:val="21"/>
                <w:highlight w:val="none"/>
                <w:u w:val="none"/>
              </w:rPr>
              <w:t>套纸质版</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rPr>
              <w:t>文件（含</w:t>
            </w:r>
            <w:r>
              <w:rPr>
                <w:rFonts w:hint="eastAsia" w:ascii="宋体" w:hAnsi="宋体" w:eastAsia="宋体" w:cs="宋体"/>
                <w:b/>
                <w:color w:val="auto"/>
                <w:sz w:val="21"/>
                <w:szCs w:val="21"/>
                <w:highlight w:val="none"/>
                <w:u w:val="none"/>
                <w:lang w:val="en-US" w:eastAsia="zh-CN"/>
              </w:rPr>
              <w:t>首次</w:t>
            </w:r>
            <w:r>
              <w:rPr>
                <w:rFonts w:hint="eastAsia" w:ascii="宋体" w:hAnsi="宋体" w:eastAsia="宋体" w:cs="宋体"/>
                <w:b/>
                <w:color w:val="auto"/>
                <w:sz w:val="21"/>
                <w:szCs w:val="21"/>
                <w:highlight w:val="none"/>
                <w:u w:val="none"/>
              </w:rPr>
              <w:t>报价文件、资格证明文件、商务技术文件。按要求加盖公章）给</w:t>
            </w:r>
            <w:r>
              <w:rPr>
                <w:rFonts w:hint="eastAsia" w:ascii="宋体" w:hAnsi="宋体" w:eastAsia="宋体" w:cs="宋体"/>
                <w:b/>
                <w:color w:val="auto"/>
                <w:sz w:val="21"/>
                <w:szCs w:val="21"/>
                <w:highlight w:val="none"/>
                <w:u w:val="none"/>
                <w:lang w:val="en-US" w:eastAsia="zh-CN"/>
              </w:rPr>
              <w:t>采购</w:t>
            </w:r>
            <w:r>
              <w:rPr>
                <w:rFonts w:hint="eastAsia" w:ascii="宋体" w:hAnsi="宋体" w:eastAsia="宋体" w:cs="宋体"/>
                <w:b/>
                <w:color w:val="auto"/>
                <w:sz w:val="21"/>
                <w:szCs w:val="21"/>
                <w:highlight w:val="none"/>
                <w:u w:val="none"/>
              </w:rPr>
              <w:t>代理机构，一正</w:t>
            </w:r>
            <w:r>
              <w:rPr>
                <w:rFonts w:hint="eastAsia" w:ascii="宋体" w:hAnsi="宋体" w:cs="宋体"/>
                <w:b/>
                <w:color w:val="auto"/>
                <w:sz w:val="21"/>
                <w:szCs w:val="21"/>
                <w:highlight w:val="none"/>
                <w:u w:val="none"/>
                <w:lang w:val="en-US" w:eastAsia="zh-CN"/>
              </w:rPr>
              <w:t>一</w:t>
            </w:r>
            <w:r>
              <w:rPr>
                <w:rFonts w:hint="eastAsia" w:ascii="宋体" w:hAnsi="宋体" w:eastAsia="宋体" w:cs="宋体"/>
                <w:b/>
                <w:color w:val="auto"/>
                <w:sz w:val="21"/>
                <w:szCs w:val="21"/>
                <w:highlight w:val="none"/>
                <w:u w:val="none"/>
              </w:rPr>
              <w:t xml:space="preserve">副。 </w:t>
            </w:r>
          </w:p>
          <w:p w14:paraId="129457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u w:val="none"/>
              </w:rPr>
              <w:t>提交的纸质版</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rPr>
              <w:t>文件文本必须与其上传到</w:t>
            </w:r>
            <w:r>
              <w:rPr>
                <w:rFonts w:hint="eastAsia" w:ascii="宋体" w:hAnsi="宋体" w:eastAsia="宋体" w:cs="宋体"/>
                <w:b/>
                <w:color w:val="auto"/>
                <w:sz w:val="21"/>
                <w:szCs w:val="21"/>
                <w:highlight w:val="none"/>
                <w:u w:val="none"/>
                <w:lang w:eastAsia="zh-CN"/>
              </w:rPr>
              <w:t>广西政府采购云平台</w:t>
            </w:r>
            <w:r>
              <w:rPr>
                <w:rFonts w:hint="eastAsia" w:ascii="宋体" w:hAnsi="宋体" w:eastAsia="宋体" w:cs="宋体"/>
                <w:b/>
                <w:color w:val="auto"/>
                <w:sz w:val="21"/>
                <w:szCs w:val="21"/>
                <w:highlight w:val="none"/>
                <w:u w:val="none"/>
              </w:rPr>
              <w:t>系统的电子</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rPr>
              <w:t>文件内容一致，不允许有篡改。如项目验收时因所提供的纸质</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rPr>
              <w:t>文件与</w:t>
            </w:r>
            <w:r>
              <w:rPr>
                <w:rFonts w:hint="eastAsia" w:ascii="宋体" w:hAnsi="宋体" w:eastAsia="宋体" w:cs="宋体"/>
                <w:b/>
                <w:color w:val="auto"/>
                <w:sz w:val="21"/>
                <w:szCs w:val="21"/>
                <w:highlight w:val="none"/>
                <w:u w:val="none"/>
                <w:lang w:val="en-US" w:eastAsia="zh-CN"/>
              </w:rPr>
              <w:t>评审</w:t>
            </w:r>
            <w:r>
              <w:rPr>
                <w:rFonts w:hint="eastAsia" w:ascii="宋体" w:hAnsi="宋体" w:eastAsia="宋体" w:cs="宋体"/>
                <w:b/>
                <w:color w:val="auto"/>
                <w:sz w:val="21"/>
                <w:szCs w:val="21"/>
                <w:highlight w:val="none"/>
                <w:u w:val="none"/>
              </w:rPr>
              <w:t>的</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rPr>
              <w:t>文件不一致造成纠纷时，所有责任由</w:t>
            </w:r>
            <w:r>
              <w:rPr>
                <w:rFonts w:hint="eastAsia" w:ascii="宋体" w:hAnsi="宋体" w:eastAsia="宋体" w:cs="宋体"/>
                <w:b/>
                <w:color w:val="auto"/>
                <w:sz w:val="21"/>
                <w:szCs w:val="21"/>
                <w:highlight w:val="none"/>
                <w:u w:val="none"/>
                <w:lang w:val="en-US" w:eastAsia="zh-CN"/>
              </w:rPr>
              <w:t>成交供应商</w:t>
            </w:r>
            <w:r>
              <w:rPr>
                <w:rFonts w:hint="eastAsia" w:ascii="宋体" w:hAnsi="宋体" w:eastAsia="宋体" w:cs="宋体"/>
                <w:b/>
                <w:color w:val="auto"/>
                <w:sz w:val="21"/>
                <w:szCs w:val="21"/>
                <w:highlight w:val="none"/>
                <w:u w:val="none"/>
              </w:rPr>
              <w:t>承担。</w:t>
            </w:r>
          </w:p>
        </w:tc>
      </w:tr>
    </w:tbl>
    <w:p w14:paraId="5D4AB790">
      <w:pPr>
        <w:keepNext/>
        <w:keepLines/>
        <w:spacing w:before="260" w:after="260" w:line="420" w:lineRule="exact"/>
        <w:jc w:val="center"/>
        <w:outlineLvl w:val="1"/>
        <w:rPr>
          <w:rFonts w:ascii="宋体" w:hAnsi="宋体"/>
          <w:bCs/>
          <w:color w:val="000000"/>
          <w:sz w:val="32"/>
          <w:szCs w:val="32"/>
          <w:highlight w:val="none"/>
        </w:rPr>
      </w:pPr>
      <w:r>
        <w:rPr>
          <w:rFonts w:ascii="宋体" w:hAnsi="宋体"/>
          <w:bCs/>
          <w:color w:val="000000"/>
          <w:sz w:val="32"/>
          <w:szCs w:val="32"/>
          <w:highlight w:val="none"/>
        </w:rPr>
        <w:br w:type="page"/>
      </w:r>
      <w:bookmarkStart w:id="39" w:name="_Toc30518"/>
      <w:r>
        <w:rPr>
          <w:rFonts w:hint="eastAsia" w:ascii="宋体" w:hAnsi="宋体"/>
          <w:bCs/>
          <w:color w:val="000000"/>
          <w:sz w:val="32"/>
          <w:szCs w:val="32"/>
          <w:highlight w:val="none"/>
        </w:rPr>
        <w:t>第二节 供应商须知正文</w:t>
      </w:r>
      <w:bookmarkEnd w:id="39"/>
    </w:p>
    <w:p w14:paraId="6557C82D">
      <w:pPr>
        <w:keepNext/>
        <w:keepLines/>
        <w:spacing w:line="360" w:lineRule="auto"/>
        <w:ind w:firstLine="640" w:firstLineChars="200"/>
        <w:outlineLvl w:val="2"/>
        <w:rPr>
          <w:rFonts w:ascii="宋体" w:hAnsi="宋体"/>
          <w:bCs/>
          <w:color w:val="000000"/>
          <w:sz w:val="32"/>
          <w:szCs w:val="32"/>
          <w:highlight w:val="none"/>
        </w:rPr>
      </w:pPr>
      <w:bookmarkStart w:id="40" w:name="_Toc18937"/>
      <w:r>
        <w:rPr>
          <w:rFonts w:hint="eastAsia" w:ascii="宋体" w:hAnsi="宋体"/>
          <w:bCs/>
          <w:color w:val="000000"/>
          <w:sz w:val="32"/>
          <w:szCs w:val="32"/>
          <w:highlight w:val="none"/>
        </w:rPr>
        <w:t>一、总则</w:t>
      </w:r>
      <w:bookmarkEnd w:id="40"/>
    </w:p>
    <w:p w14:paraId="119416B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1.适用范围</w:t>
      </w:r>
    </w:p>
    <w:p w14:paraId="750533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1.1本项目采购人、采购代理机构、供应商、磋商小组的相关行为均受《中华人民共和国政府采购法》《中华人民共和国政府采购法实施条例》</w:t>
      </w:r>
      <w:r>
        <w:rPr>
          <w:rFonts w:hint="eastAsia" w:ascii="宋体" w:hAnsi="宋体"/>
          <w:color w:val="000000"/>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000000"/>
          <w:szCs w:val="21"/>
          <w:highlight w:val="none"/>
        </w:rPr>
        <w:t>及本项目本级和上级财政部门政府采购有关规定的约束和保护。</w:t>
      </w:r>
    </w:p>
    <w:p w14:paraId="3259C3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1.2</w:t>
      </w:r>
      <w:r>
        <w:rPr>
          <w:rFonts w:hint="eastAsia" w:ascii="宋体" w:hAnsi="宋体" w:cs="宋体"/>
          <w:color w:val="000000"/>
          <w:spacing w:val="-6"/>
          <w:szCs w:val="21"/>
          <w:highlight w:val="none"/>
        </w:rPr>
        <w:t>本竞争性磋商文件（以下简称磋商文件）适用于本项目的所有采购程序和环节（法律、法规另有规定的，从其规定）。</w:t>
      </w:r>
    </w:p>
    <w:p w14:paraId="474908D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2.定义</w:t>
      </w:r>
    </w:p>
    <w:p w14:paraId="049780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2.1“采购人”是指依法进行政府采购的国家机关、事业单位、团体组织。</w:t>
      </w:r>
    </w:p>
    <w:p w14:paraId="103216F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u w:val="single"/>
        </w:rPr>
      </w:pPr>
      <w:r>
        <w:rPr>
          <w:rFonts w:hint="eastAsia" w:ascii="宋体" w:hAnsi="宋体" w:cs="宋体"/>
          <w:color w:val="000000"/>
          <w:szCs w:val="21"/>
          <w:highlight w:val="none"/>
        </w:rPr>
        <w:t>2.2“采购代理机构”是指政府采购集中采购机构和集中采购机构以外的采购代理机构。</w:t>
      </w:r>
    </w:p>
    <w:p w14:paraId="154D27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2.3“供应商”是指向采购人提供货物、工程或者服务的法人、其他组织或者自然人。</w:t>
      </w:r>
    </w:p>
    <w:p w14:paraId="62CAAF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olor w:val="000000"/>
          <w:szCs w:val="21"/>
          <w:highlight w:val="none"/>
        </w:rPr>
        <w:t>2.4“工程”是指政府采购工程。</w:t>
      </w:r>
    </w:p>
    <w:p w14:paraId="6676D2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5</w:t>
      </w:r>
      <w:r>
        <w:rPr>
          <w:rFonts w:hint="eastAsia" w:ascii="宋体" w:hAnsi="宋体" w:cs="宋体"/>
          <w:color w:val="000000"/>
          <w:szCs w:val="21"/>
          <w:highlight w:val="none"/>
        </w:rPr>
        <w:t>“竞标”是指供应商按照本项目竞争性磋商公告或者邀请函规定的方式获取磋商文件、提交响应文件并希望获得标的的行为。</w:t>
      </w:r>
    </w:p>
    <w:p w14:paraId="2B31B0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6</w:t>
      </w:r>
      <w:r>
        <w:rPr>
          <w:rFonts w:hint="eastAsia" w:ascii="宋体" w:hAnsi="宋体" w:cs="宋体"/>
          <w:color w:val="000000"/>
          <w:szCs w:val="21"/>
          <w:highlight w:val="none"/>
        </w:rPr>
        <w:t>“响应文件”</w:t>
      </w:r>
      <w:r>
        <w:rPr>
          <w:rFonts w:hint="eastAsia" w:ascii="宋体" w:hAnsi="宋体" w:cs="宋体"/>
          <w:color w:val="000000"/>
          <w:spacing w:val="-6"/>
          <w:szCs w:val="21"/>
          <w:highlight w:val="none"/>
        </w:rPr>
        <w:t>是指供应商根据本磋商文件要求，编制包含资格证明、商务技术</w:t>
      </w:r>
      <w:r>
        <w:rPr>
          <w:rFonts w:hint="eastAsia" w:ascii="宋体" w:hAnsi="宋体" w:cs="宋体"/>
          <w:color w:val="000000"/>
          <w:spacing w:val="-6"/>
          <w:szCs w:val="21"/>
          <w:highlight w:val="none"/>
          <w:lang w:eastAsia="zh-CN"/>
        </w:rPr>
        <w:t>、</w:t>
      </w:r>
      <w:r>
        <w:rPr>
          <w:rFonts w:hint="eastAsia" w:ascii="宋体" w:hAnsi="宋体" w:cs="宋体"/>
          <w:color w:val="000000"/>
          <w:spacing w:val="-6"/>
          <w:szCs w:val="21"/>
          <w:highlight w:val="none"/>
        </w:rPr>
        <w:t>报价等所有内容的文件。</w:t>
      </w:r>
    </w:p>
    <w:p w14:paraId="45B90E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7</w:t>
      </w:r>
      <w:r>
        <w:rPr>
          <w:rFonts w:hint="eastAsia" w:ascii="宋体" w:hAnsi="宋体" w:cs="宋体"/>
          <w:color w:val="000000"/>
          <w:szCs w:val="21"/>
          <w:highlight w:val="none"/>
        </w:rPr>
        <w:t>“实质性要求”是指磋商文件中已经指明不满足则响应文件按无效响应处理的条款，或者不能负偏离的条款，或者采购需求中带“▲”的条款。</w:t>
      </w:r>
    </w:p>
    <w:p w14:paraId="639D3A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8</w:t>
      </w:r>
      <w:r>
        <w:rPr>
          <w:rFonts w:hint="eastAsia" w:ascii="宋体" w:hAnsi="宋体" w:cs="宋体"/>
          <w:color w:val="000000"/>
          <w:szCs w:val="21"/>
          <w:highlight w:val="none"/>
        </w:rPr>
        <w:t>“正偏离”是指响应文件对磋商文件“采购需求”中有关条款作出的响应优于条款要求并有利于采购人的情形。</w:t>
      </w:r>
    </w:p>
    <w:p w14:paraId="15EBA8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ascii="宋体" w:hAnsi="宋体" w:cs="宋体"/>
          <w:color w:val="000000"/>
          <w:szCs w:val="21"/>
          <w:highlight w:val="none"/>
        </w:rPr>
        <w:t>2.9</w:t>
      </w:r>
      <w:r>
        <w:rPr>
          <w:rFonts w:hint="eastAsia" w:ascii="宋体" w:hAnsi="宋体" w:cs="宋体"/>
          <w:color w:val="000000"/>
          <w:szCs w:val="21"/>
          <w:highlight w:val="none"/>
        </w:rPr>
        <w:t>“负偏离”是指响应文件对磋商文件“采购需求”中有关条款作出的响应不满足条款要求，导致采购人要求不能得到满足的情形。</w:t>
      </w:r>
    </w:p>
    <w:p w14:paraId="67908C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2.10“允许负偏离的条款”是指采购需求中的不属于“实质性要求”的条款。</w:t>
      </w:r>
    </w:p>
    <w:p w14:paraId="371297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11</w:t>
      </w:r>
      <w:r>
        <w:rPr>
          <w:rFonts w:hint="eastAsia" w:ascii="宋体" w:hAnsi="宋体" w:cs="宋体"/>
          <w:color w:val="000000"/>
          <w:szCs w:val="21"/>
          <w:highlight w:val="none"/>
        </w:rPr>
        <w:t>“书面形式”是指合同书、信件和数据电文（包括电报、电传、传真、电子数据交换和电子邮件）等可以有形地表现所载内容的形式。</w:t>
      </w:r>
    </w:p>
    <w:p w14:paraId="54B1C8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12</w:t>
      </w:r>
      <w:r>
        <w:rPr>
          <w:rFonts w:hint="eastAsia" w:ascii="宋体" w:hAnsi="宋体" w:cs="宋体"/>
          <w:color w:val="000000"/>
          <w:szCs w:val="21"/>
          <w:highlight w:val="none"/>
        </w:rPr>
        <w:t>“首次报价”是指供应商提交的首次响应文件中的报价。</w:t>
      </w:r>
    </w:p>
    <w:p w14:paraId="197253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2.1</w:t>
      </w:r>
      <w:r>
        <w:rPr>
          <w:rFonts w:ascii="宋体" w:hAnsi="宋体" w:cs="宋体"/>
          <w:color w:val="000000"/>
          <w:szCs w:val="21"/>
          <w:highlight w:val="none"/>
        </w:rPr>
        <w:t>3</w:t>
      </w:r>
      <w:r>
        <w:rPr>
          <w:rFonts w:hint="eastAsia" w:ascii="宋体" w:hAnsi="宋体" w:cs="宋体"/>
          <w:color w:val="000000"/>
          <w:szCs w:val="21"/>
          <w:highlight w:val="none"/>
        </w:rPr>
        <w:t>“评审报价”是指供应商提交的最后报价并经修正（如有）和政策功能价格扣除（如有）后的价格。</w:t>
      </w:r>
    </w:p>
    <w:p w14:paraId="638AB6D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3.供应商的资格条件</w:t>
      </w:r>
    </w:p>
    <w:p w14:paraId="07FA0A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3.1</w:t>
      </w:r>
      <w:r>
        <w:rPr>
          <w:rFonts w:hint="eastAsia" w:ascii="宋体" w:hAnsi="宋体" w:cs="宋体"/>
          <w:color w:val="000000"/>
          <w:szCs w:val="21"/>
          <w:highlight w:val="none"/>
        </w:rPr>
        <w:t>供应商的资格条件详见“供应商须知前附表”。</w:t>
      </w:r>
    </w:p>
    <w:p w14:paraId="0AAD699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4.磋商费用</w:t>
      </w:r>
    </w:p>
    <w:p w14:paraId="19D860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供应商应承担参与本次采购活动有关的所有费用，包括但不限于勘查现场、编制和提交响应文件、参加磋商与应答、签订合同等，不论竞标结果如何，均应自行承担。</w:t>
      </w:r>
    </w:p>
    <w:p w14:paraId="59AE0A3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5.联合体竞标</w:t>
      </w:r>
    </w:p>
    <w:p w14:paraId="7F3D8D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5.1本项目是否接受联合体竞标，详见“供应商须知前附表”。</w:t>
      </w:r>
    </w:p>
    <w:p w14:paraId="2DA799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5.2如接受联合体竞标，联合体竞标要求详见“供应商须知前附表”。</w:t>
      </w:r>
    </w:p>
    <w:p w14:paraId="74C754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rPr>
        <w:t>5.</w:t>
      </w:r>
      <w:r>
        <w:rPr>
          <w:rFonts w:hint="eastAsia" w:ascii="宋体" w:hAnsi="宋体" w:cs="宋体"/>
          <w:color w:val="000000"/>
          <w:szCs w:val="21"/>
          <w:highlight w:val="none"/>
          <w:lang w:val="en-US" w:eastAsia="zh-CN"/>
        </w:rPr>
        <w:t>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4B5DE39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 xml:space="preserve">6.转包与分包             </w:t>
      </w:r>
    </w:p>
    <w:p w14:paraId="7520F57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6.1本项目是否允许分包详见“供应商须知前附表”，本项目不允许</w:t>
      </w:r>
      <w:r>
        <w:rPr>
          <w:rFonts w:hint="eastAsia" w:ascii="宋体" w:hAnsi="宋体" w:cs="宋体"/>
          <w:color w:val="000000"/>
          <w:szCs w:val="21"/>
          <w:highlight w:val="none"/>
          <w:lang w:val="en-US" w:eastAsia="zh-CN"/>
        </w:rPr>
        <w:t>违法</w:t>
      </w:r>
      <w:r>
        <w:rPr>
          <w:rFonts w:hint="eastAsia" w:ascii="宋体" w:hAnsi="宋体" w:cs="宋体"/>
          <w:color w:val="000000"/>
          <w:szCs w:val="21"/>
          <w:highlight w:val="none"/>
        </w:rPr>
        <w:t>分包。</w:t>
      </w:r>
    </w:p>
    <w:p w14:paraId="238107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6.2</w:t>
      </w:r>
      <w:bookmarkStart w:id="41" w:name="_Toc254970673"/>
      <w:bookmarkStart w:id="42" w:name="_Toc254970532"/>
      <w:r>
        <w:rPr>
          <w:rFonts w:hint="eastAsia" w:ascii="宋体" w:hAnsi="宋体" w:cs="宋体"/>
          <w:color w:val="000000"/>
          <w:szCs w:val="21"/>
          <w:highlight w:val="none"/>
        </w:rPr>
        <w:t>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p>
    <w:p w14:paraId="1EC2A2F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7.特别说明</w:t>
      </w:r>
      <w:bookmarkEnd w:id="41"/>
      <w:bookmarkEnd w:id="42"/>
    </w:p>
    <w:p w14:paraId="1904A1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bookmarkStart w:id="43" w:name="_8.1提供相同品牌产品且通过资格审查、符合性审查的不同投标人参加同一合"/>
      <w:bookmarkEnd w:id="43"/>
      <w:r>
        <w:rPr>
          <w:rFonts w:hint="eastAsia" w:ascii="宋体" w:hAnsi="宋体" w:cs="宋体"/>
          <w:color w:val="000000"/>
          <w:szCs w:val="21"/>
          <w:highlight w:val="none"/>
        </w:rPr>
        <w:t>7.</w:t>
      </w:r>
      <w:r>
        <w:rPr>
          <w:rFonts w:ascii="宋体" w:hAnsi="宋体" w:cs="宋体"/>
          <w:color w:val="000000"/>
          <w:szCs w:val="21"/>
          <w:highlight w:val="none"/>
        </w:rPr>
        <w:t>1</w:t>
      </w:r>
      <w:bookmarkStart w:id="44" w:name="_Hlk65832145"/>
      <w:r>
        <w:rPr>
          <w:rFonts w:hint="eastAsia" w:ascii="宋体" w:hAnsi="宋体"/>
          <w:color w:val="000000"/>
          <w:szCs w:val="21"/>
          <w:highlight w:val="none"/>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szCs w:val="21"/>
          <w:highlight w:val="none"/>
        </w:rPr>
        <w:t>。</w:t>
      </w:r>
    </w:p>
    <w:bookmarkEnd w:id="44"/>
    <w:p w14:paraId="42B4D2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cs="宋体"/>
          <w:color w:val="000000"/>
          <w:szCs w:val="21"/>
          <w:highlight w:val="none"/>
        </w:rPr>
        <w:t>2</w:t>
      </w:r>
      <w:r>
        <w:rPr>
          <w:rFonts w:hint="eastAsia" w:ascii="宋体" w:hAnsi="宋体" w:cs="宋体"/>
          <w:color w:val="000000"/>
          <w:szCs w:val="21"/>
          <w:highlight w:val="none"/>
        </w:rPr>
        <w:t>供应商应仔细阅读磋商文件的所有内容，按照磋商文件的要求提交响应文件，并对所提供的全部资料的真实性承担法律责任。</w:t>
      </w:r>
    </w:p>
    <w:p w14:paraId="0477E6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cs="宋体"/>
          <w:color w:val="000000"/>
          <w:szCs w:val="21"/>
          <w:highlight w:val="none"/>
        </w:rPr>
        <w:t>3</w:t>
      </w:r>
      <w:r>
        <w:rPr>
          <w:rFonts w:hint="eastAsia" w:ascii="宋体" w:hAnsi="宋体" w:cs="宋体"/>
          <w:color w:val="000000"/>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45F7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cs="宋体"/>
          <w:color w:val="000000"/>
          <w:szCs w:val="21"/>
          <w:highlight w:val="none"/>
        </w:rPr>
        <w:t>4</w:t>
      </w:r>
      <w:r>
        <w:rPr>
          <w:rFonts w:hint="eastAsia" w:ascii="宋体" w:hAnsi="宋体" w:cs="宋体"/>
          <w:color w:val="000000"/>
          <w:szCs w:val="21"/>
          <w:highlight w:val="none"/>
        </w:rPr>
        <w:t>在政府采购活动中，采购人员及相关人员与供应商有下列利害关系之一的，应当回避：</w:t>
      </w:r>
    </w:p>
    <w:p w14:paraId="4BBDB0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（1）参加采购活动前3年内与供应商存在劳动关系；</w:t>
      </w:r>
    </w:p>
    <w:p w14:paraId="3EC45E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（2）参加采购活动前3年内担任供应商的董事、监事；</w:t>
      </w:r>
    </w:p>
    <w:p w14:paraId="00F6D8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（3）参加采购活动前3年内是供应商的控股股东或者实际控制人；</w:t>
      </w:r>
    </w:p>
    <w:p w14:paraId="562CE7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（4）与供应商的法定代表人或者负责人有夫妻、直系血亲、三代以内旁系血亲或者近姻亲关系；</w:t>
      </w:r>
    </w:p>
    <w:p w14:paraId="6EE9ED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（5）与供应商有其他可能影响政府采购活动公平、公正进行的关系。</w:t>
      </w:r>
    </w:p>
    <w:p w14:paraId="381E80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53F06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cs="宋体"/>
          <w:color w:val="000000"/>
          <w:szCs w:val="21"/>
          <w:highlight w:val="none"/>
        </w:rPr>
        <w:t>5</w:t>
      </w:r>
      <w:r>
        <w:rPr>
          <w:rFonts w:hint="eastAsia" w:ascii="宋体" w:hAnsi="宋体" w:cs="宋体"/>
          <w:color w:val="000000"/>
          <w:szCs w:val="21"/>
          <w:highlight w:val="none"/>
        </w:rPr>
        <w:t>有下列情形之一的视为供应商相互串通竞标，响应文件将被视为无效：</w:t>
      </w:r>
    </w:p>
    <w:p w14:paraId="628AA2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 xml:space="preserve">（1）不同供应商的响应文件由同一单位或者个人编制；或者不同供应商报名的IP地址一致的；或者编制响应文件硬件设备CPU编号、硬盘编号、网卡地址一致的情况； </w:t>
      </w:r>
    </w:p>
    <w:p w14:paraId="61E6CE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（2）不同供应商委托同一单位或者个人办理竞标事宜；</w:t>
      </w:r>
    </w:p>
    <w:p w14:paraId="5CE223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（3）不同的供应商的响应文件载明的项目管理员为同一个人；</w:t>
      </w:r>
    </w:p>
    <w:p w14:paraId="0303EA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（4）不同供应商的响应文件异常一致或者报价呈规律性差异；</w:t>
      </w:r>
    </w:p>
    <w:p w14:paraId="4EFC0D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（5）不同供应商的响应文件相互混装；</w:t>
      </w:r>
    </w:p>
    <w:p w14:paraId="0FF9BCE7">
      <w:pPr>
        <w:keepNext w:val="0"/>
        <w:keepLines w:val="0"/>
        <w:pageBreakBefore w:val="0"/>
        <w:widowControl w:val="0"/>
        <w:tabs>
          <w:tab w:val="left" w:pos="6931"/>
        </w:tabs>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（6）不同供应商的磋商保证金从同一单位或者个人账户转出。</w:t>
      </w:r>
      <w:r>
        <w:rPr>
          <w:rFonts w:ascii="宋体" w:hAnsi="宋体" w:cs="宋体"/>
          <w:color w:val="000000"/>
          <w:szCs w:val="21"/>
          <w:highlight w:val="none"/>
        </w:rPr>
        <w:tab/>
      </w:r>
    </w:p>
    <w:p w14:paraId="7A7BD9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cs="宋体"/>
          <w:color w:val="000000"/>
          <w:szCs w:val="21"/>
          <w:highlight w:val="none"/>
        </w:rPr>
        <w:t>6</w:t>
      </w:r>
      <w:r>
        <w:rPr>
          <w:rFonts w:hint="eastAsia" w:ascii="宋体" w:hAnsi="宋体" w:cs="宋体"/>
          <w:color w:val="000000"/>
          <w:szCs w:val="21"/>
          <w:highlight w:val="none"/>
        </w:rPr>
        <w:t>供应商有下列情形之一的，属于恶意串通行为，将报同级监督管理部门：</w:t>
      </w:r>
    </w:p>
    <w:p w14:paraId="4748A7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（1）供应商直接或者间接从采购人或者采购代理机构处获得其他供应商的相关信息并修改其响应文件；</w:t>
      </w:r>
    </w:p>
    <w:p w14:paraId="68DD76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（2）供应商按照采购人或者采购代理机构的授意撤换、修改响应文件；</w:t>
      </w:r>
    </w:p>
    <w:p w14:paraId="58AB15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（3）供应商之间协商报价、技术方案等响应文件或者响应文件的实质性内容；</w:t>
      </w:r>
    </w:p>
    <w:p w14:paraId="1BEEAC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（4）属于同一集团、协会、商会等组织成员的供应商按照该组织要求协同参加政府采购活动；</w:t>
      </w:r>
    </w:p>
    <w:p w14:paraId="11CC5C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（5）供应商之间事先约定一致抬高或者压低报价，或者在政府采购活动中事先约定轮流以高价位或者低价位成交，或者事先约定由某一特定供应商成交，然后再参加竞标；</w:t>
      </w:r>
    </w:p>
    <w:p w14:paraId="52E112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（6）供应商之间商定部分供应商放弃参加政府采购活动或者放弃成交；</w:t>
      </w:r>
    </w:p>
    <w:p w14:paraId="64270F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（7）供应商与采购人或者采购代理机构之间、供应商相互之间，为谋求特定供应商成交或者排斥其他供应商的其他串通行为。</w:t>
      </w:r>
    </w:p>
    <w:p w14:paraId="6F2D4A38">
      <w:pPr>
        <w:keepNext/>
        <w:keepLines/>
        <w:spacing w:line="360" w:lineRule="auto"/>
        <w:ind w:firstLine="640" w:firstLineChars="200"/>
        <w:outlineLvl w:val="2"/>
        <w:rPr>
          <w:rFonts w:ascii="宋体" w:hAnsi="宋体"/>
          <w:color w:val="000000"/>
          <w:sz w:val="32"/>
          <w:szCs w:val="32"/>
          <w:highlight w:val="none"/>
        </w:rPr>
      </w:pPr>
      <w:bookmarkStart w:id="45" w:name="_Toc20029"/>
      <w:bookmarkStart w:id="46" w:name="_Toc254970534"/>
      <w:bookmarkStart w:id="47" w:name="_Toc254970675"/>
      <w:r>
        <w:rPr>
          <w:rFonts w:hint="eastAsia" w:ascii="宋体" w:hAnsi="宋体"/>
          <w:color w:val="000000"/>
          <w:sz w:val="32"/>
          <w:szCs w:val="32"/>
          <w:highlight w:val="none"/>
        </w:rPr>
        <w:t>二、磋商文件</w:t>
      </w:r>
      <w:bookmarkEnd w:id="45"/>
      <w:bookmarkEnd w:id="46"/>
      <w:bookmarkEnd w:id="47"/>
    </w:p>
    <w:p w14:paraId="7AD1F48F">
      <w:pPr>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8.磋商文件的构成</w:t>
      </w:r>
    </w:p>
    <w:p w14:paraId="29172F14">
      <w:pPr>
        <w:spacing w:line="44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第一章 竞争性磋商公告；</w:t>
      </w:r>
    </w:p>
    <w:p w14:paraId="49FB8D6F">
      <w:pPr>
        <w:spacing w:line="44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第二章 采购需求；</w:t>
      </w:r>
    </w:p>
    <w:p w14:paraId="7740CB59">
      <w:pPr>
        <w:spacing w:line="44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 xml:space="preserve">第三章 供应商须知； </w:t>
      </w:r>
    </w:p>
    <w:p w14:paraId="240D3B4E">
      <w:pPr>
        <w:spacing w:line="44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第四章 评审程序、评审方法和评审标准；</w:t>
      </w:r>
    </w:p>
    <w:p w14:paraId="58B5D963">
      <w:pPr>
        <w:spacing w:line="44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第五章 响应文件格式；</w:t>
      </w:r>
    </w:p>
    <w:p w14:paraId="3D908077">
      <w:pPr>
        <w:spacing w:line="44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第六章 合同文本；</w:t>
      </w:r>
    </w:p>
    <w:p w14:paraId="6F4C5F7D">
      <w:pPr>
        <w:spacing w:line="440" w:lineRule="exact"/>
        <w:ind w:firstLine="420" w:firstLineChars="200"/>
        <w:jc w:val="left"/>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第七章 图纸和招标控制价；</w:t>
      </w:r>
    </w:p>
    <w:p w14:paraId="2FCA5F96">
      <w:pPr>
        <w:spacing w:line="44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第</w:t>
      </w:r>
      <w:r>
        <w:rPr>
          <w:rFonts w:hint="eastAsia" w:ascii="宋体" w:hAnsi="宋体"/>
          <w:color w:val="000000"/>
          <w:szCs w:val="21"/>
          <w:highlight w:val="none"/>
          <w:lang w:val="en-US" w:eastAsia="zh-CN"/>
        </w:rPr>
        <w:t>八</w:t>
      </w:r>
      <w:r>
        <w:rPr>
          <w:rFonts w:hint="eastAsia" w:ascii="宋体" w:hAnsi="宋体"/>
          <w:color w:val="000000"/>
          <w:szCs w:val="21"/>
          <w:highlight w:val="none"/>
        </w:rPr>
        <w:t>章 质疑、投诉材料格式。</w:t>
      </w:r>
    </w:p>
    <w:p w14:paraId="3633A288">
      <w:pPr>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9.供应商的询问</w:t>
      </w:r>
    </w:p>
    <w:p w14:paraId="5C50105C">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供应商应认真阅读磋商文件的采购需求，如供应商对磋商文件有疑问的，如要求采购人作出澄清或者修改的，供应商应在</w:t>
      </w:r>
      <w:r>
        <w:rPr>
          <w:rFonts w:ascii="宋体" w:hAnsi="宋体"/>
          <w:color w:val="000000"/>
          <w:szCs w:val="21"/>
          <w:highlight w:val="none"/>
        </w:rPr>
        <w:t>提交首次响应文件截止之日前</w:t>
      </w:r>
      <w:r>
        <w:rPr>
          <w:rFonts w:hint="eastAsia" w:ascii="宋体" w:hAnsi="宋体"/>
          <w:color w:val="000000"/>
          <w:szCs w:val="21"/>
          <w:highlight w:val="none"/>
        </w:rPr>
        <w:t>，以书面形式向</w:t>
      </w:r>
      <w:r>
        <w:rPr>
          <w:rFonts w:ascii="宋体" w:hAnsi="宋体"/>
          <w:color w:val="000000"/>
          <w:szCs w:val="21"/>
          <w:highlight w:val="none"/>
        </w:rPr>
        <w:t>采购人、采购代理机构</w:t>
      </w:r>
      <w:r>
        <w:rPr>
          <w:rFonts w:hint="eastAsia" w:ascii="宋体" w:hAnsi="宋体"/>
          <w:color w:val="000000"/>
          <w:szCs w:val="21"/>
          <w:highlight w:val="none"/>
        </w:rPr>
        <w:t>提出。</w:t>
      </w:r>
    </w:p>
    <w:p w14:paraId="7DF9DEAE">
      <w:pPr>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10.磋商文件的澄清和修改</w:t>
      </w:r>
    </w:p>
    <w:p w14:paraId="48429EDF">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10.1已获取磋商文件的潜在供应商，若有问题需要澄清，应于</w:t>
      </w:r>
      <w:r>
        <w:rPr>
          <w:rFonts w:hint="eastAsia" w:ascii="宋体" w:hAnsi="宋体"/>
          <w:color w:val="000000"/>
          <w:szCs w:val="21"/>
          <w:highlight w:val="none"/>
          <w:lang w:val="en-US" w:eastAsia="zh-CN"/>
        </w:rPr>
        <w:t>提交</w:t>
      </w:r>
      <w:r>
        <w:rPr>
          <w:rFonts w:ascii="宋体" w:hAnsi="宋体"/>
          <w:color w:val="000000"/>
          <w:szCs w:val="21"/>
          <w:highlight w:val="none"/>
        </w:rPr>
        <w:t>响应文件截止之日</w:t>
      </w:r>
      <w:r>
        <w:rPr>
          <w:rFonts w:hint="eastAsia" w:ascii="宋体" w:hAnsi="宋体"/>
          <w:color w:val="000000"/>
          <w:szCs w:val="21"/>
          <w:highlight w:val="none"/>
        </w:rPr>
        <w:t>前，以书面形式向采购代理机构提出，采购代理机构与采购人研究后，对认为有必要回答的问题，按照本章10.3的内容处理。</w:t>
      </w:r>
    </w:p>
    <w:p w14:paraId="5DAE8ABB">
      <w:pPr>
        <w:spacing w:line="440" w:lineRule="exact"/>
        <w:ind w:firstLine="422" w:firstLineChars="200"/>
        <w:rPr>
          <w:rFonts w:ascii="宋体" w:hAnsi="宋体"/>
          <w:b/>
          <w:color w:val="000000"/>
          <w:szCs w:val="21"/>
          <w:highlight w:val="none"/>
        </w:rPr>
      </w:pPr>
      <w:r>
        <w:rPr>
          <w:rFonts w:hint="eastAsia" w:ascii="宋体" w:hAnsi="宋体"/>
          <w:b/>
          <w:color w:val="000000"/>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F98D392">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0.</w:t>
      </w:r>
      <w:r>
        <w:rPr>
          <w:rFonts w:hint="eastAsia" w:ascii="宋体" w:hAnsi="宋体"/>
          <w:color w:val="000000"/>
          <w:szCs w:val="21"/>
          <w:highlight w:val="none"/>
        </w:rPr>
        <w:t>3</w:t>
      </w:r>
      <w:r>
        <w:rPr>
          <w:rFonts w:ascii="宋体" w:hAnsi="宋体"/>
          <w:color w:val="000000"/>
          <w:szCs w:val="21"/>
          <w:highlight w:val="none"/>
        </w:rPr>
        <w:t>提交首次响应文件截止之日前，采购人、采购代理机构或者</w:t>
      </w:r>
      <w:r>
        <w:rPr>
          <w:rFonts w:hint="eastAsia" w:ascii="宋体" w:hAnsi="宋体"/>
          <w:color w:val="000000"/>
          <w:szCs w:val="21"/>
          <w:highlight w:val="none"/>
        </w:rPr>
        <w:t>磋商</w:t>
      </w:r>
      <w:r>
        <w:rPr>
          <w:rFonts w:ascii="宋体" w:hAnsi="宋体"/>
          <w:color w:val="000000"/>
          <w:szCs w:val="21"/>
          <w:highlight w:val="none"/>
        </w:rPr>
        <w:t>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000000"/>
          <w:szCs w:val="21"/>
          <w:highlight w:val="none"/>
          <w:lang w:val="en-US" w:eastAsia="zh-CN"/>
        </w:rPr>
        <w:t>5</w:t>
      </w:r>
      <w:r>
        <w:rPr>
          <w:rFonts w:ascii="宋体" w:hAnsi="宋体"/>
          <w:color w:val="000000"/>
          <w:szCs w:val="21"/>
          <w:highlight w:val="none"/>
        </w:rPr>
        <w:t>个工作日前，以</w:t>
      </w:r>
      <w:r>
        <w:rPr>
          <w:rFonts w:hint="eastAsia" w:ascii="宋体" w:hAnsi="宋体"/>
          <w:color w:val="000000"/>
          <w:szCs w:val="21"/>
          <w:highlight w:val="none"/>
        </w:rPr>
        <w:t>书面</w:t>
      </w:r>
      <w:r>
        <w:rPr>
          <w:rFonts w:ascii="宋体" w:hAnsi="宋体"/>
          <w:color w:val="000000"/>
          <w:szCs w:val="21"/>
          <w:highlight w:val="none"/>
        </w:rPr>
        <w:t>形式</w:t>
      </w:r>
      <w:r>
        <w:rPr>
          <w:rFonts w:hint="eastAsia" w:ascii="宋体" w:hAnsi="宋体"/>
          <w:color w:val="000000"/>
          <w:szCs w:val="21"/>
          <w:highlight w:val="none"/>
        </w:rPr>
        <w:t>（目前为网上公告和系统短信等形式）</w:t>
      </w:r>
      <w:r>
        <w:rPr>
          <w:rFonts w:ascii="宋体" w:hAnsi="宋体"/>
          <w:color w:val="000000"/>
          <w:szCs w:val="21"/>
          <w:highlight w:val="none"/>
        </w:rPr>
        <w:t>通知所有</w:t>
      </w:r>
      <w:r>
        <w:rPr>
          <w:rFonts w:hint="eastAsia" w:ascii="宋体" w:hAnsi="宋体"/>
          <w:color w:val="000000"/>
          <w:szCs w:val="21"/>
          <w:highlight w:val="none"/>
        </w:rPr>
        <w:t>获取</w:t>
      </w:r>
      <w:r>
        <w:rPr>
          <w:rFonts w:ascii="宋体" w:hAnsi="宋体"/>
          <w:color w:val="000000"/>
          <w:szCs w:val="21"/>
          <w:highlight w:val="none"/>
        </w:rPr>
        <w:t>磋商文件的供应商，不足</w:t>
      </w:r>
      <w:r>
        <w:rPr>
          <w:rFonts w:hint="eastAsia" w:ascii="宋体" w:hAnsi="宋体"/>
          <w:color w:val="000000"/>
          <w:szCs w:val="21"/>
          <w:highlight w:val="none"/>
          <w:lang w:val="en-US" w:eastAsia="zh-CN"/>
        </w:rPr>
        <w:t>5</w:t>
      </w:r>
      <w:r>
        <w:rPr>
          <w:rFonts w:ascii="宋体" w:hAnsi="宋体"/>
          <w:color w:val="000000"/>
          <w:szCs w:val="21"/>
          <w:highlight w:val="none"/>
        </w:rPr>
        <w:t>个工作日的，应当顺延提交首次响应文件截止之日。</w:t>
      </w:r>
    </w:p>
    <w:p w14:paraId="2A8D8551">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0.</w:t>
      </w:r>
      <w:r>
        <w:rPr>
          <w:rFonts w:hint="eastAsia" w:ascii="宋体" w:hAnsi="宋体"/>
          <w:color w:val="000000"/>
          <w:szCs w:val="21"/>
          <w:highlight w:val="none"/>
        </w:rPr>
        <w:t>4</w:t>
      </w:r>
      <w:r>
        <w:rPr>
          <w:rFonts w:ascii="宋体" w:hAnsi="宋体" w:cs="Arial"/>
          <w:color w:val="000000"/>
          <w:highlight w:val="none"/>
          <w:shd w:val="clear" w:color="auto" w:fill="FFFFFF"/>
        </w:rPr>
        <w:t>采购信息更正公告的内容应当包括采购人和采购代理机构名称、地址、联系方式，原</w:t>
      </w:r>
      <w:r>
        <w:rPr>
          <w:rFonts w:ascii="宋体" w:hAnsi="宋体"/>
          <w:color w:val="000000"/>
          <w:szCs w:val="21"/>
          <w:highlight w:val="none"/>
        </w:rPr>
        <w:t>公告的采购项目名称及首次公告日期，更正事项、内容及日期，采购项目联系人和电话。</w:t>
      </w:r>
    </w:p>
    <w:p w14:paraId="4AAD34AC">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10.5 采购人和采购代理机构可以视采购具体情况，变更</w:t>
      </w:r>
      <w:r>
        <w:rPr>
          <w:rFonts w:ascii="宋体" w:hAnsi="宋体"/>
          <w:color w:val="000000"/>
          <w:szCs w:val="21"/>
          <w:highlight w:val="none"/>
        </w:rPr>
        <w:t>提交首次响应文件</w:t>
      </w:r>
      <w:r>
        <w:rPr>
          <w:rFonts w:hint="eastAsia" w:ascii="宋体" w:hAnsi="宋体"/>
          <w:color w:val="000000"/>
          <w:szCs w:val="21"/>
          <w:highlight w:val="none"/>
        </w:rPr>
        <w:t>截止时间和</w:t>
      </w:r>
      <w:r>
        <w:rPr>
          <w:rFonts w:hint="eastAsia" w:ascii="宋体" w:hAnsi="宋体"/>
          <w:color w:val="000000"/>
          <w:szCs w:val="21"/>
          <w:highlight w:val="none"/>
          <w:lang w:val="en-US" w:eastAsia="zh-CN"/>
        </w:rPr>
        <w:t>磋商</w:t>
      </w:r>
      <w:r>
        <w:rPr>
          <w:rFonts w:hint="eastAsia" w:ascii="宋体" w:hAnsi="宋体"/>
          <w:color w:val="000000"/>
          <w:szCs w:val="21"/>
          <w:highlight w:val="none"/>
        </w:rPr>
        <w:t>时间，将变更时间将在“采购文件公告</w:t>
      </w:r>
      <w:r>
        <w:rPr>
          <w:rFonts w:ascii="宋体" w:hAnsi="宋体"/>
          <w:color w:val="000000"/>
          <w:szCs w:val="21"/>
          <w:highlight w:val="none"/>
        </w:rPr>
        <w:t>”</w:t>
      </w:r>
      <w:r>
        <w:rPr>
          <w:rFonts w:hint="eastAsia" w:ascii="宋体" w:hAnsi="宋体"/>
          <w:color w:val="000000"/>
          <w:szCs w:val="21"/>
          <w:highlight w:val="none"/>
        </w:rPr>
        <w:t>中“七、其他补充事宜</w:t>
      </w:r>
      <w:r>
        <w:rPr>
          <w:rFonts w:hint="eastAsia" w:ascii="宋体" w:hAnsi="宋体"/>
          <w:color w:val="000000"/>
          <w:szCs w:val="21"/>
          <w:highlight w:val="none"/>
          <w:lang w:val="en-US" w:eastAsia="zh-CN"/>
        </w:rPr>
        <w:t>3</w:t>
      </w:r>
      <w:r>
        <w:rPr>
          <w:rFonts w:hint="eastAsia" w:ascii="宋体" w:hAnsi="宋体"/>
          <w:color w:val="000000"/>
          <w:szCs w:val="21"/>
          <w:highlight w:val="none"/>
        </w:rPr>
        <w:t>.网上查询地址”规定的政府采购信息发布媒体上发布更正公告。</w:t>
      </w:r>
    </w:p>
    <w:p w14:paraId="56D27630">
      <w:pPr>
        <w:spacing w:line="440" w:lineRule="exact"/>
        <w:ind w:firstLine="420" w:firstLineChars="200"/>
        <w:rPr>
          <w:rFonts w:ascii="宋体" w:hAnsi="宋体"/>
          <w:color w:val="000000"/>
          <w:kern w:val="0"/>
          <w:szCs w:val="21"/>
          <w:highlight w:val="none"/>
        </w:rPr>
      </w:pPr>
      <w:r>
        <w:rPr>
          <w:rFonts w:hint="eastAsia" w:ascii="宋体" w:hAnsi="宋体"/>
          <w:color w:val="000000"/>
          <w:kern w:val="0"/>
          <w:szCs w:val="21"/>
          <w:highlight w:val="none"/>
        </w:rPr>
        <w:t>▲</w:t>
      </w:r>
      <w:r>
        <w:rPr>
          <w:rFonts w:hint="eastAsia" w:ascii="宋体" w:hAnsi="宋体"/>
          <w:b/>
          <w:color w:val="000000"/>
          <w:kern w:val="0"/>
          <w:szCs w:val="21"/>
          <w:highlight w:val="none"/>
        </w:rPr>
        <w:t>响应文件未按磋商文件的澄清、修改的内容编制，又不符合实质性要求的，其响应文件作无效处理。</w:t>
      </w:r>
    </w:p>
    <w:p w14:paraId="374B7F9F">
      <w:pPr>
        <w:keepNext/>
        <w:keepLines/>
        <w:spacing w:line="360" w:lineRule="auto"/>
        <w:ind w:firstLine="640" w:firstLineChars="200"/>
        <w:outlineLvl w:val="2"/>
        <w:rPr>
          <w:rFonts w:ascii="宋体" w:hAnsi="宋体"/>
          <w:color w:val="000000"/>
          <w:sz w:val="32"/>
          <w:szCs w:val="32"/>
          <w:highlight w:val="none"/>
        </w:rPr>
      </w:pPr>
      <w:bookmarkStart w:id="48" w:name="_Toc1597"/>
      <w:r>
        <w:rPr>
          <w:rFonts w:hint="eastAsia" w:ascii="宋体" w:hAnsi="宋体"/>
          <w:color w:val="000000"/>
          <w:sz w:val="32"/>
          <w:szCs w:val="32"/>
          <w:highlight w:val="none"/>
        </w:rPr>
        <w:t>三、响应文件的编制</w:t>
      </w:r>
      <w:bookmarkEnd w:id="48"/>
    </w:p>
    <w:p w14:paraId="7726F6B7">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11.响应文件的编制原则</w:t>
      </w:r>
    </w:p>
    <w:p w14:paraId="3C8CB87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供应商必须按照磋商文件的要求编制响应文件，并对其提交的响应文件的真实性、合法性承担法律责任。响应文件必须对磋商文件作出实质性响应。</w:t>
      </w:r>
    </w:p>
    <w:p w14:paraId="038F62A7">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12.响应文件的组成</w:t>
      </w:r>
    </w:p>
    <w:p w14:paraId="0632304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12.1响应文件由资格证明文件、报价文件、商务和技术文件三部分组成。</w:t>
      </w:r>
    </w:p>
    <w:p w14:paraId="5636803A">
      <w:pPr>
        <w:spacing w:line="360" w:lineRule="auto"/>
        <w:ind w:left="420" w:leftChars="200"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2.1.1</w:t>
      </w:r>
      <w:r>
        <w:rPr>
          <w:rFonts w:hint="eastAsia" w:ascii="宋体" w:hAnsi="宋体" w:cs="宋体"/>
          <w:color w:val="000000"/>
          <w:szCs w:val="21"/>
          <w:highlight w:val="none"/>
        </w:rPr>
        <w:t>资格证明文件：详见</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须知前附表</w:t>
      </w:r>
      <w:r>
        <w:rPr>
          <w:rFonts w:hint="eastAsia" w:ascii="宋体" w:hAnsi="宋体" w:cs="宋体"/>
          <w:color w:val="000000"/>
          <w:szCs w:val="21"/>
          <w:highlight w:val="none"/>
          <w:lang w:eastAsia="zh-CN"/>
        </w:rPr>
        <w:t>”</w:t>
      </w:r>
    </w:p>
    <w:p w14:paraId="31A84A3A">
      <w:pPr>
        <w:spacing w:line="360" w:lineRule="auto"/>
        <w:ind w:left="420" w:leftChars="200" w:firstLine="420" w:firstLineChars="200"/>
        <w:rPr>
          <w:rFonts w:ascii="宋体" w:hAnsi="宋体" w:cs="宋体"/>
          <w:color w:val="000000"/>
          <w:szCs w:val="21"/>
          <w:highlight w:val="none"/>
        </w:rPr>
      </w:pPr>
      <w:r>
        <w:rPr>
          <w:rFonts w:hint="eastAsia" w:ascii="宋体" w:hAnsi="宋体" w:cs="宋体"/>
          <w:color w:val="000000"/>
          <w:szCs w:val="21"/>
          <w:highlight w:val="none"/>
        </w:rPr>
        <w:t>12.1.2商务技术文件：详见</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须知前附表</w:t>
      </w:r>
      <w:r>
        <w:rPr>
          <w:rFonts w:hint="eastAsia" w:ascii="宋体" w:hAnsi="宋体" w:cs="宋体"/>
          <w:color w:val="000000"/>
          <w:szCs w:val="21"/>
          <w:highlight w:val="none"/>
          <w:lang w:eastAsia="zh-CN"/>
        </w:rPr>
        <w:t>”</w:t>
      </w:r>
    </w:p>
    <w:p w14:paraId="2183F361">
      <w:pPr>
        <w:spacing w:line="360" w:lineRule="auto"/>
        <w:ind w:left="420" w:leftChars="200"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2.1.</w:t>
      </w:r>
      <w:r>
        <w:rPr>
          <w:rFonts w:hint="eastAsia" w:ascii="宋体" w:hAnsi="宋体" w:cs="宋体"/>
          <w:color w:val="000000"/>
          <w:szCs w:val="21"/>
          <w:highlight w:val="none"/>
        </w:rPr>
        <w:t>3报价文件：详见</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须知前附表</w:t>
      </w:r>
      <w:r>
        <w:rPr>
          <w:rFonts w:hint="eastAsia" w:ascii="宋体" w:hAnsi="宋体" w:cs="宋体"/>
          <w:color w:val="000000"/>
          <w:szCs w:val="21"/>
          <w:highlight w:val="none"/>
          <w:lang w:eastAsia="zh-CN"/>
        </w:rPr>
        <w:t>”</w:t>
      </w:r>
    </w:p>
    <w:p w14:paraId="167E76E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12.</w:t>
      </w:r>
      <w:r>
        <w:rPr>
          <w:rFonts w:ascii="宋体" w:hAnsi="宋体" w:cs="宋体"/>
          <w:color w:val="000000"/>
          <w:szCs w:val="21"/>
          <w:highlight w:val="none"/>
        </w:rPr>
        <w:t>2</w:t>
      </w:r>
      <w:r>
        <w:rPr>
          <w:rFonts w:hint="eastAsia" w:ascii="宋体" w:hAnsi="宋体" w:cs="宋体"/>
          <w:color w:val="000000"/>
          <w:szCs w:val="21"/>
          <w:highlight w:val="none"/>
        </w:rPr>
        <w:t>响应文件电子版：详见</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须知前附表</w:t>
      </w:r>
      <w:r>
        <w:rPr>
          <w:rFonts w:hint="eastAsia" w:ascii="宋体" w:hAnsi="宋体" w:cs="宋体"/>
          <w:color w:val="000000"/>
          <w:szCs w:val="21"/>
          <w:highlight w:val="none"/>
          <w:lang w:eastAsia="zh-CN"/>
        </w:rPr>
        <w:t>”</w:t>
      </w:r>
    </w:p>
    <w:p w14:paraId="0D7AA10D">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13.计量单位</w:t>
      </w:r>
    </w:p>
    <w:p w14:paraId="0555A5F8">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磋商文件已有明确规定的，使用磋商文件规定的计量单位；磋商文件没有规定的，应采用中华人民共和国法定计量单位，货币种类为人民币，否则视同未响应。</w:t>
      </w:r>
    </w:p>
    <w:p w14:paraId="1A1EFA17">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14.竞标的风险</w:t>
      </w:r>
    </w:p>
    <w:p w14:paraId="210563AC">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供应商没有按照磋商文件要求提供全部资料，或者供应商没有对磋商文件在各方面作出实质性响应可能导致其响应无效，是供应商应当考虑的风险。</w:t>
      </w:r>
    </w:p>
    <w:p w14:paraId="7DFE55FC">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15.响应报价要求和构成</w:t>
      </w:r>
    </w:p>
    <w:p w14:paraId="7432CADA">
      <w:pPr>
        <w:tabs>
          <w:tab w:val="left" w:pos="2492"/>
        </w:tabs>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15.1响应报价应按“第五章 响应文件格式”中“响应报价表”格式填写。</w:t>
      </w:r>
    </w:p>
    <w:p w14:paraId="2A3CDEC7">
      <w:pPr>
        <w:tabs>
          <w:tab w:val="left" w:pos="2492"/>
        </w:tabs>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15.2响应报价的价格构成见“供应商须知前附表”。</w:t>
      </w:r>
    </w:p>
    <w:p w14:paraId="3538AFC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15.3响应报价要求</w:t>
      </w:r>
    </w:p>
    <w:p w14:paraId="47BB4F0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5.3.1</w:t>
      </w:r>
      <w:r>
        <w:rPr>
          <w:rFonts w:hint="eastAsia" w:ascii="宋体" w:hAnsi="宋体" w:cs="宋体"/>
          <w:color w:val="000000"/>
          <w:szCs w:val="21"/>
          <w:highlight w:val="none"/>
        </w:rPr>
        <w:t>供应商的响应报价应符合以下要求，否则响应文件按无效响应处理：</w:t>
      </w:r>
    </w:p>
    <w:p w14:paraId="3C24BB59">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（1）供应商必须就“采购需求”中所竞标的全部内容分别作完整唯一总价报价，不得存在漏项报价；</w:t>
      </w:r>
    </w:p>
    <w:p w14:paraId="2F10E2F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）供应商必须就所竞标的单项内容作唯一报价。</w:t>
      </w:r>
    </w:p>
    <w:p w14:paraId="7BAD410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15.3.</w:t>
      </w:r>
      <w:r>
        <w:rPr>
          <w:rFonts w:ascii="宋体" w:hAnsi="宋体" w:cs="宋体"/>
          <w:color w:val="000000"/>
          <w:szCs w:val="21"/>
          <w:highlight w:val="none"/>
        </w:rPr>
        <w:t>2</w:t>
      </w:r>
      <w:r>
        <w:rPr>
          <w:rFonts w:hint="eastAsia" w:ascii="宋体" w:hAnsi="宋体" w:cs="宋体"/>
          <w:color w:val="000000"/>
          <w:szCs w:val="21"/>
          <w:highlight w:val="none"/>
        </w:rPr>
        <w:t>响应报价（包含首次报价、最后报价）超过所竞标分标规定的采购预算金额或者最高限价的，其响应文件将作无效处理。</w:t>
      </w:r>
    </w:p>
    <w:p w14:paraId="7A21D7E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15.3.</w:t>
      </w:r>
      <w:r>
        <w:rPr>
          <w:rFonts w:ascii="宋体" w:hAnsi="宋体" w:cs="宋体"/>
          <w:color w:val="000000"/>
          <w:szCs w:val="21"/>
          <w:highlight w:val="none"/>
        </w:rPr>
        <w:t>3</w:t>
      </w:r>
      <w:bookmarkStart w:id="49" w:name="_Hlk42592874"/>
      <w:r>
        <w:rPr>
          <w:rFonts w:hint="eastAsia" w:ascii="宋体" w:hAnsi="宋体" w:cs="宋体"/>
          <w:color w:val="000000"/>
          <w:szCs w:val="21"/>
          <w:highlight w:val="none"/>
        </w:rPr>
        <w:t>响应报价（包含首次报价、最后报价）超过分项采购预算金额或者最高限价的，其响应文件将作无效处理。</w:t>
      </w:r>
    </w:p>
    <w:bookmarkEnd w:id="49"/>
    <w:p w14:paraId="665C8315">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16.竞标有效期</w:t>
      </w:r>
    </w:p>
    <w:p w14:paraId="6C4FD7C3">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16.1竞标有效期是指为保证采购人有足够的时间在提交响应文件后完成评审、确定成交供应商、合同签订等工作而要求供应商提交的响应文件在一定时间内保持有效的期限。</w:t>
      </w:r>
    </w:p>
    <w:p w14:paraId="1BA2E173">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16.2 竞标有效期应由供应商按“供应商须知前附表”规定的期限作出响应。</w:t>
      </w:r>
    </w:p>
    <w:p w14:paraId="3437FA3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16.3供应商的响应文件在竞标有效期内均保持有效。</w:t>
      </w:r>
    </w:p>
    <w:p w14:paraId="37C1967E">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17.磋商保证金</w:t>
      </w:r>
    </w:p>
    <w:p w14:paraId="4B40836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详见“供应商须知前附表”。</w:t>
      </w:r>
    </w:p>
    <w:p w14:paraId="51728735">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18.响应文件编制的要求</w:t>
      </w:r>
    </w:p>
    <w:p w14:paraId="41ACF0A3">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000000"/>
          <w:highlight w:val="none"/>
        </w:rPr>
        <w:t>由此引发的</w:t>
      </w:r>
      <w:r>
        <w:rPr>
          <w:rFonts w:hint="eastAsia" w:ascii="宋体" w:hAnsi="宋体" w:cs="宋体"/>
          <w:color w:val="000000"/>
          <w:szCs w:val="21"/>
          <w:highlight w:val="none"/>
        </w:rPr>
        <w:t>后果由供应商承担。</w:t>
      </w:r>
    </w:p>
    <w:p w14:paraId="494E65B9">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18.2响应文件应按资格证明、报价分别编制，商务技术文件合并编制，本磋商只接受电子版响应文件，要求见本章“12.2响应文件电子版要求”。</w:t>
      </w:r>
    </w:p>
    <w:p w14:paraId="687B8CCF">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18.</w:t>
      </w:r>
      <w:bookmarkStart w:id="50" w:name="_Hlk65832699"/>
      <w:r>
        <w:rPr>
          <w:rFonts w:hint="eastAsia" w:ascii="宋体" w:hAnsi="宋体" w:cs="宋体"/>
          <w:color w:val="000000"/>
          <w:szCs w:val="21"/>
          <w:highlight w:val="none"/>
        </w:rPr>
        <w:t>3</w:t>
      </w:r>
      <w:r>
        <w:rPr>
          <w:rFonts w:hint="eastAsia" w:ascii="宋体" w:hAnsi="宋体"/>
          <w:color w:val="000000"/>
          <w:szCs w:val="21"/>
          <w:highlight w:val="none"/>
        </w:rPr>
        <w:t>响应文件须由供应商在</w:t>
      </w:r>
      <w:r>
        <w:rPr>
          <w:rFonts w:hint="eastAsia" w:ascii="宋体" w:hAnsi="宋体" w:cs="仿宋_GB2312"/>
          <w:color w:val="000000"/>
          <w:kern w:val="0"/>
          <w:szCs w:val="21"/>
          <w:highlight w:val="none"/>
          <w:lang w:val="zh-CN"/>
        </w:rPr>
        <w:t>“</w:t>
      </w:r>
      <w:r>
        <w:rPr>
          <w:rFonts w:hint="eastAsia" w:ascii="宋体" w:hAnsi="宋体"/>
          <w:color w:val="000000"/>
          <w:szCs w:val="21"/>
          <w:highlight w:val="none"/>
        </w:rPr>
        <w:t>第五章 响应文件格式</w:t>
      </w:r>
      <w:r>
        <w:rPr>
          <w:rFonts w:hint="eastAsia" w:ascii="宋体" w:hAnsi="宋体" w:cs="仿宋_GB2312"/>
          <w:color w:val="000000"/>
          <w:kern w:val="0"/>
          <w:szCs w:val="21"/>
          <w:highlight w:val="none"/>
          <w:lang w:val="zh-CN"/>
        </w:rPr>
        <w:t>”</w:t>
      </w:r>
      <w:r>
        <w:rPr>
          <w:rFonts w:hint="eastAsia" w:ascii="宋体" w:hAnsi="宋体"/>
          <w:color w:val="000000"/>
          <w:szCs w:val="21"/>
          <w:highlight w:val="none"/>
        </w:rPr>
        <w:t>规定位置</w:t>
      </w:r>
      <w:r>
        <w:rPr>
          <w:rFonts w:hint="eastAsia" w:ascii="宋体" w:hAnsi="宋体" w:cs="仿宋_GB2312"/>
          <w:color w:val="000000"/>
          <w:szCs w:val="21"/>
          <w:highlight w:val="none"/>
        </w:rPr>
        <w:t>进行签署、盖章</w:t>
      </w:r>
      <w:bookmarkEnd w:id="50"/>
      <w:r>
        <w:rPr>
          <w:rFonts w:hint="eastAsia" w:ascii="宋体" w:hAnsi="宋体" w:cs="宋体"/>
          <w:color w:val="000000"/>
          <w:szCs w:val="21"/>
          <w:highlight w:val="none"/>
        </w:rPr>
        <w:t>，否则其响应文件按无效响应处理。骑缝盖公章不视为在规定位置盖章。</w:t>
      </w:r>
    </w:p>
    <w:p w14:paraId="02488BB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18.4响应文件中标注的供应商名称应与营业执照（事业单位法人证书、执业许可证、自然人身份证）及电子公章一致，否则其响应文件按无效响应处理。</w:t>
      </w:r>
    </w:p>
    <w:p w14:paraId="43E166D7">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18.5响应文件应避免涂改、行间插字或者删除，否则其响应文件按无效响应处理。</w:t>
      </w:r>
    </w:p>
    <w:p w14:paraId="555D5A06">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19.响应文件的密封和标记</w:t>
      </w:r>
    </w:p>
    <w:p w14:paraId="6E83B30D">
      <w:pPr>
        <w:spacing w:line="360" w:lineRule="auto"/>
        <w:ind w:firstLine="420" w:firstLineChars="200"/>
        <w:rPr>
          <w:rFonts w:ascii="宋体" w:hAnsi="宋体" w:cs="仿宋_GB2312"/>
          <w:color w:val="000000"/>
          <w:kern w:val="0"/>
          <w:szCs w:val="21"/>
          <w:highlight w:val="none"/>
          <w:lang w:val="zh-CN"/>
        </w:rPr>
      </w:pPr>
      <w:r>
        <w:rPr>
          <w:rFonts w:hint="eastAsia" w:ascii="宋体" w:hAnsi="宋体" w:cs="仿宋_GB2312"/>
          <w:color w:val="000000"/>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5C3DC672">
      <w:pPr>
        <w:spacing w:line="360" w:lineRule="auto"/>
        <w:ind w:firstLine="420" w:firstLineChars="200"/>
        <w:rPr>
          <w:rFonts w:ascii="宋体" w:hAnsi="宋体" w:cs="仿宋_GB2312"/>
          <w:color w:val="000000"/>
          <w:kern w:val="0"/>
          <w:szCs w:val="21"/>
          <w:highlight w:val="none"/>
          <w:lang w:val="zh-CN"/>
        </w:rPr>
      </w:pPr>
      <w:r>
        <w:rPr>
          <w:rFonts w:hint="eastAsia" w:ascii="宋体" w:hAnsi="宋体" w:cs="仿宋_GB2312"/>
          <w:color w:val="000000"/>
          <w:kern w:val="0"/>
          <w:szCs w:val="21"/>
          <w:highlight w:val="none"/>
          <w:lang w:val="zh-CN"/>
        </w:rPr>
        <w:t>19.2使用“政采云电子交易客户端”需要提前申领CA数字证书。</w:t>
      </w:r>
    </w:p>
    <w:p w14:paraId="41621DD4">
      <w:pPr>
        <w:spacing w:line="360" w:lineRule="auto"/>
        <w:ind w:firstLine="420" w:firstLineChars="200"/>
        <w:rPr>
          <w:rFonts w:ascii="宋体" w:hAnsi="宋体" w:cs="仿宋_GB2312"/>
          <w:color w:val="000000"/>
          <w:kern w:val="0"/>
          <w:szCs w:val="21"/>
          <w:highlight w:val="none"/>
        </w:rPr>
      </w:pPr>
      <w:r>
        <w:rPr>
          <w:rFonts w:hint="eastAsia" w:ascii="宋体" w:hAnsi="宋体" w:cs="仿宋_GB2312"/>
          <w:color w:val="000000"/>
          <w:kern w:val="0"/>
          <w:szCs w:val="21"/>
          <w:highlight w:val="none"/>
        </w:rPr>
        <w:t>19.3为确保网上操作合法、有效和安全，供应商应当在响应文件提交截止时间前完成在“</w:t>
      </w:r>
      <w:r>
        <w:rPr>
          <w:rFonts w:hint="eastAsia" w:ascii="宋体" w:hAnsi="宋体" w:cs="仿宋_GB2312"/>
          <w:color w:val="000000"/>
          <w:kern w:val="0"/>
          <w:szCs w:val="21"/>
          <w:highlight w:val="none"/>
          <w:lang w:val="en-US" w:eastAsia="zh-CN"/>
        </w:rPr>
        <w:t>广西</w:t>
      </w:r>
      <w:r>
        <w:rPr>
          <w:rFonts w:hint="eastAsia" w:ascii="宋体" w:hAnsi="宋体" w:cs="仿宋_GB2312"/>
          <w:color w:val="000000"/>
          <w:kern w:val="0"/>
          <w:szCs w:val="21"/>
          <w:highlight w:val="none"/>
        </w:rPr>
        <w:t>政府采购云平台”的身份认证，确保在电子交易过程中能够对相关数据电文进行加密和使用电子签名。</w:t>
      </w:r>
    </w:p>
    <w:p w14:paraId="0F3A8DD6">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20.响应文件的提交</w:t>
      </w:r>
    </w:p>
    <w:p w14:paraId="5E1D4BA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20.1供应商必须在“供应商须知前附表”规定的时间和地点提交响应文件。</w:t>
      </w:r>
    </w:p>
    <w:p w14:paraId="1FA39839">
      <w:pPr>
        <w:spacing w:line="360" w:lineRule="auto"/>
        <w:ind w:firstLine="420" w:firstLineChars="200"/>
        <w:rPr>
          <w:rFonts w:ascii="宋体" w:hAnsi="宋体"/>
          <w:color w:val="000000"/>
          <w:szCs w:val="21"/>
          <w:highlight w:val="none"/>
        </w:rPr>
      </w:pPr>
      <w:r>
        <w:rPr>
          <w:rFonts w:hint="eastAsia" w:ascii="宋体" w:hAnsi="宋体" w:cs="宋体"/>
          <w:color w:val="000000"/>
          <w:szCs w:val="21"/>
          <w:highlight w:val="none"/>
        </w:rPr>
        <w:t>20</w:t>
      </w:r>
      <w:r>
        <w:rPr>
          <w:rFonts w:hint="eastAsia" w:ascii="宋体" w:hAnsi="宋体"/>
          <w:color w:val="000000"/>
          <w:szCs w:val="21"/>
          <w:highlight w:val="none"/>
        </w:rPr>
        <w:t>.2 在响应文件提交截止时间以后，不能补充、修改响应文件。</w:t>
      </w:r>
    </w:p>
    <w:p w14:paraId="67E4205B">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20.3 在提交“最后报价”后，供应商不能退出</w:t>
      </w:r>
      <w:r>
        <w:rPr>
          <w:rFonts w:hint="eastAsia" w:ascii="宋体" w:hAnsi="宋体"/>
          <w:color w:val="000000"/>
          <w:szCs w:val="21"/>
          <w:highlight w:val="none"/>
          <w:lang w:val="en-US" w:eastAsia="zh-CN"/>
        </w:rPr>
        <w:t>磋商</w:t>
      </w:r>
      <w:r>
        <w:rPr>
          <w:rFonts w:hint="eastAsia" w:ascii="宋体" w:hAnsi="宋体"/>
          <w:color w:val="000000"/>
          <w:szCs w:val="21"/>
          <w:highlight w:val="none"/>
        </w:rPr>
        <w:t>。</w:t>
      </w:r>
    </w:p>
    <w:p w14:paraId="118392FD">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0EBED9A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20.5 采购</w:t>
      </w:r>
      <w:r>
        <w:rPr>
          <w:rFonts w:hint="eastAsia" w:ascii="宋体" w:hAnsi="宋体"/>
          <w:color w:val="000000"/>
          <w:szCs w:val="21"/>
          <w:highlight w:val="none"/>
          <w:lang w:val="en-US" w:eastAsia="zh-CN"/>
        </w:rPr>
        <w:t>代理</w:t>
      </w:r>
      <w:r>
        <w:rPr>
          <w:rFonts w:hint="eastAsia" w:ascii="宋体" w:hAnsi="宋体"/>
          <w:color w:val="000000"/>
          <w:szCs w:val="21"/>
          <w:highlight w:val="none"/>
        </w:rPr>
        <w:t>机构不可视情况延长提交响应文件的截止时间。</w:t>
      </w:r>
    </w:p>
    <w:p w14:paraId="19C46CA4">
      <w:pPr>
        <w:spacing w:line="360" w:lineRule="auto"/>
        <w:ind w:firstLine="420" w:firstLineChars="200"/>
        <w:rPr>
          <w:rFonts w:ascii="宋体" w:hAnsi="宋体"/>
          <w:color w:val="000000"/>
          <w:sz w:val="24"/>
          <w:highlight w:val="none"/>
        </w:rPr>
      </w:pPr>
      <w:r>
        <w:rPr>
          <w:rFonts w:hint="eastAsia" w:ascii="宋体" w:hAnsi="宋体"/>
          <w:color w:val="000000"/>
          <w:szCs w:val="21"/>
          <w:highlight w:val="none"/>
        </w:rPr>
        <w:t>20.6备份响应文件。</w:t>
      </w:r>
      <w:r>
        <w:rPr>
          <w:rFonts w:hint="eastAsia" w:ascii="宋体" w:hAnsi="宋体"/>
          <w:bCs/>
          <w:color w:val="000000"/>
          <w:szCs w:val="21"/>
          <w:highlight w:val="none"/>
        </w:rPr>
        <w:t>详见在“供应商须知前附表”。</w:t>
      </w:r>
    </w:p>
    <w:p w14:paraId="2221C4A0">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21.首次响应文件的补充、修改与撤回</w:t>
      </w:r>
    </w:p>
    <w:p w14:paraId="0BEC07A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详见“供应商须知前附表”。</w:t>
      </w:r>
    </w:p>
    <w:p w14:paraId="23871CAA">
      <w:pPr>
        <w:spacing w:line="360" w:lineRule="auto"/>
        <w:ind w:firstLine="482" w:firstLineChars="200"/>
        <w:rPr>
          <w:rFonts w:ascii="宋体" w:hAnsi="宋体" w:cs="宋体"/>
          <w:b/>
          <w:bCs/>
          <w:color w:val="000000"/>
          <w:sz w:val="24"/>
          <w:highlight w:val="none"/>
        </w:rPr>
      </w:pPr>
      <w:bookmarkStart w:id="51" w:name="_Hlk45702405"/>
      <w:r>
        <w:rPr>
          <w:rFonts w:hint="eastAsia" w:ascii="宋体" w:hAnsi="宋体" w:cs="宋体"/>
          <w:b/>
          <w:bCs/>
          <w:color w:val="000000"/>
          <w:sz w:val="24"/>
          <w:highlight w:val="none"/>
        </w:rPr>
        <w:t>22.首次响应文件的退回</w:t>
      </w:r>
    </w:p>
    <w:p w14:paraId="4FD7C57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在首次响应文件提交截止时间止提交响应文件的供应商不足3家时电子响应文件由</w:t>
      </w:r>
      <w:r>
        <w:rPr>
          <w:rFonts w:hint="eastAsia" w:ascii="宋体" w:hAnsi="宋体" w:cs="宋体"/>
          <w:color w:val="000000"/>
          <w:szCs w:val="21"/>
          <w:highlight w:val="none"/>
          <w:lang w:val="en-US" w:eastAsia="zh-CN"/>
        </w:rPr>
        <w:t>采购</w:t>
      </w:r>
      <w:r>
        <w:rPr>
          <w:rFonts w:hint="eastAsia" w:ascii="宋体" w:hAnsi="宋体" w:cs="宋体"/>
          <w:color w:val="000000"/>
          <w:szCs w:val="21"/>
          <w:highlight w:val="none"/>
        </w:rPr>
        <w:t>代理机构在</w:t>
      </w:r>
      <w:r>
        <w:rPr>
          <w:rFonts w:hint="eastAsia" w:ascii="宋体" w:hAnsi="宋体" w:cs="宋体"/>
          <w:color w:val="000000"/>
          <w:szCs w:val="21"/>
          <w:highlight w:val="none"/>
          <w:lang w:val="en-US" w:eastAsia="zh-CN"/>
        </w:rPr>
        <w:t>广西政府采购</w:t>
      </w:r>
      <w:r>
        <w:rPr>
          <w:rFonts w:hint="eastAsia" w:ascii="宋体" w:hAnsi="宋体" w:cs="宋体"/>
          <w:color w:val="000000"/>
          <w:szCs w:val="21"/>
          <w:highlight w:val="none"/>
        </w:rPr>
        <w:t>云平台操作退回，除此之外采购人和采购代理机构对已提交的电子响应文件概不退回。</w:t>
      </w:r>
    </w:p>
    <w:p w14:paraId="33B2860F">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23.截止时间后的撤回</w:t>
      </w:r>
    </w:p>
    <w:p w14:paraId="54CB2586">
      <w:pPr>
        <w:spacing w:line="360" w:lineRule="auto"/>
        <w:ind w:firstLine="420" w:firstLineChars="200"/>
        <w:rPr>
          <w:rFonts w:ascii="宋体" w:hAnsi="宋体"/>
          <w:color w:val="000000"/>
          <w:szCs w:val="21"/>
          <w:highlight w:val="none"/>
        </w:rPr>
      </w:pPr>
      <w:r>
        <w:rPr>
          <w:rFonts w:hint="eastAsia" w:ascii="宋体" w:hAnsi="宋体" w:cs="宋体"/>
          <w:color w:val="000000"/>
          <w:szCs w:val="21"/>
          <w:highlight w:val="none"/>
        </w:rPr>
        <w:t>本项目不收取磋商保证金，供应商在首次响应文件提交截止时间后可向采购人、采购代理机构书面申请撤回电子响应文件。</w:t>
      </w:r>
      <w:bookmarkEnd w:id="51"/>
    </w:p>
    <w:p w14:paraId="182DDB1B">
      <w:pPr>
        <w:keepNext/>
        <w:keepLines/>
        <w:spacing w:line="360" w:lineRule="auto"/>
        <w:ind w:firstLine="643" w:firstLineChars="200"/>
        <w:outlineLvl w:val="2"/>
        <w:rPr>
          <w:rFonts w:ascii="宋体" w:hAnsi="宋体"/>
          <w:b/>
          <w:bCs/>
          <w:color w:val="000000"/>
          <w:sz w:val="32"/>
          <w:szCs w:val="32"/>
          <w:highlight w:val="none"/>
        </w:rPr>
      </w:pPr>
      <w:bookmarkStart w:id="52" w:name="_Toc8327"/>
      <w:r>
        <w:rPr>
          <w:rFonts w:hint="eastAsia" w:ascii="宋体" w:hAnsi="宋体"/>
          <w:b/>
          <w:bCs/>
          <w:color w:val="000000"/>
          <w:sz w:val="32"/>
          <w:szCs w:val="32"/>
          <w:highlight w:val="none"/>
        </w:rPr>
        <w:t>四、评审及磋商</w:t>
      </w:r>
      <w:bookmarkEnd w:id="52"/>
    </w:p>
    <w:p w14:paraId="40D0B209">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24.磋商小组成立</w:t>
      </w:r>
    </w:p>
    <w:p w14:paraId="46C7548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F9AEE3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FFA2A3C">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cs="宋体"/>
          <w:b/>
          <w:bCs/>
          <w:color w:val="000000"/>
          <w:sz w:val="24"/>
          <w:highlight w:val="none"/>
        </w:rPr>
      </w:pPr>
      <w:r>
        <w:rPr>
          <w:rFonts w:ascii="宋体" w:hAnsi="宋体" w:cs="宋体"/>
          <w:b/>
          <w:bCs/>
          <w:color w:val="000000"/>
          <w:sz w:val="24"/>
          <w:highlight w:val="none"/>
        </w:rPr>
        <w:t>25.</w:t>
      </w:r>
      <w:r>
        <w:rPr>
          <w:rFonts w:hint="eastAsia" w:ascii="宋体" w:hAnsi="宋体" w:cs="宋体"/>
          <w:b/>
          <w:bCs/>
          <w:color w:val="000000"/>
          <w:sz w:val="24"/>
          <w:highlight w:val="none"/>
        </w:rPr>
        <w:t>首次响应文件的开启</w:t>
      </w:r>
    </w:p>
    <w:p w14:paraId="08C8CF4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5.1</w:t>
      </w:r>
      <w:r>
        <w:rPr>
          <w:rFonts w:hint="eastAsia" w:ascii="宋体" w:hAnsi="宋体" w:cs="宋体"/>
          <w:color w:val="000000"/>
          <w:szCs w:val="21"/>
          <w:highlight w:val="none"/>
        </w:rPr>
        <w:t>首次响应文件由磋商小组或者采购代理机构在“供应商须知前附表”规定的时间开启。</w:t>
      </w:r>
    </w:p>
    <w:p w14:paraId="31E73ED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bCs/>
          <w:color w:val="000000"/>
          <w:kern w:val="0"/>
          <w:szCs w:val="21"/>
          <w:highlight w:val="none"/>
        </w:rPr>
      </w:pPr>
      <w:r>
        <w:rPr>
          <w:rFonts w:ascii="宋体" w:hAnsi="宋体" w:cs="宋体"/>
          <w:color w:val="000000"/>
          <w:kern w:val="0"/>
          <w:szCs w:val="21"/>
          <w:highlight w:val="none"/>
        </w:rPr>
        <w:t xml:space="preserve">25.2 </w:t>
      </w:r>
      <w:r>
        <w:rPr>
          <w:rFonts w:hint="eastAsia" w:ascii="宋体" w:hAnsi="宋体"/>
          <w:bCs/>
          <w:color w:val="000000"/>
          <w:kern w:val="0"/>
          <w:szCs w:val="21"/>
          <w:highlight w:val="none"/>
        </w:rPr>
        <w:t>响应文件解密</w:t>
      </w:r>
    </w:p>
    <w:p w14:paraId="72ABAC5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olor w:val="000000"/>
          <w:kern w:val="0"/>
          <w:szCs w:val="21"/>
          <w:highlight w:val="none"/>
        </w:rPr>
      </w:pPr>
      <w:r>
        <w:rPr>
          <w:rFonts w:hint="eastAsia" w:ascii="宋体" w:hAnsi="宋体"/>
          <w:bCs/>
          <w:color w:val="000000"/>
          <w:kern w:val="0"/>
          <w:szCs w:val="21"/>
          <w:highlight w:val="none"/>
        </w:rPr>
        <w:t>采购代理机构将在“供应商须知前附表”规定的时</w:t>
      </w:r>
      <w:r>
        <w:rPr>
          <w:rFonts w:hint="eastAsia" w:ascii="宋体" w:hAnsi="宋体"/>
          <w:color w:val="000000"/>
          <w:kern w:val="0"/>
          <w:szCs w:val="21"/>
          <w:highlight w:val="none"/>
        </w:rPr>
        <w:t>间通过电子交易平台组织响应文件开启，采购机构依托电子交易平台发起开始解密指令，供应商的法定代表人或其委托代理人</w:t>
      </w:r>
      <w:r>
        <w:rPr>
          <w:rFonts w:hint="eastAsia" w:ascii="宋体" w:hAnsi="宋体"/>
          <w:b/>
          <w:color w:val="000000"/>
          <w:kern w:val="0"/>
          <w:szCs w:val="21"/>
          <w:highlight w:val="none"/>
        </w:rPr>
        <w:t>须携带加密时所用的CA锁按平台提示和采购文件的规定登录到“</w:t>
      </w:r>
      <w:r>
        <w:rPr>
          <w:rFonts w:hint="eastAsia" w:ascii="宋体" w:hAnsi="宋体"/>
          <w:b/>
          <w:color w:val="000000"/>
          <w:kern w:val="0"/>
          <w:szCs w:val="21"/>
          <w:highlight w:val="none"/>
          <w:lang w:val="en-US" w:eastAsia="zh-CN"/>
        </w:rPr>
        <w:t>广西政府采购云</w:t>
      </w:r>
      <w:r>
        <w:rPr>
          <w:rFonts w:hint="eastAsia" w:ascii="宋体" w:hAnsi="宋体"/>
          <w:b/>
          <w:color w:val="000000"/>
          <w:kern w:val="0"/>
          <w:szCs w:val="21"/>
          <w:highlight w:val="none"/>
        </w:rPr>
        <w:t>平台”电子开标大厅签到并在发起解密指令之时起30分钟内完成对电子响应文件在线解密</w:t>
      </w:r>
      <w:r>
        <w:rPr>
          <w:rFonts w:hint="eastAsia" w:ascii="宋体" w:hAnsi="宋体"/>
          <w:color w:val="000000"/>
          <w:kern w:val="0"/>
          <w:szCs w:val="21"/>
          <w:highlight w:val="none"/>
        </w:rPr>
        <w:t>。供应商没预留联系方式或预留联系方式无效，导致</w:t>
      </w:r>
      <w:r>
        <w:rPr>
          <w:rFonts w:hint="eastAsia" w:ascii="宋体" w:hAnsi="宋体"/>
          <w:color w:val="000000"/>
          <w:kern w:val="0"/>
          <w:szCs w:val="21"/>
          <w:highlight w:val="none"/>
          <w:lang w:val="en-US" w:eastAsia="zh-CN"/>
        </w:rPr>
        <w:t>采购</w:t>
      </w:r>
      <w:r>
        <w:rPr>
          <w:rFonts w:hint="eastAsia" w:ascii="宋体" w:hAnsi="宋体"/>
          <w:color w:val="000000"/>
          <w:kern w:val="0"/>
          <w:szCs w:val="21"/>
          <w:highlight w:val="none"/>
        </w:rPr>
        <w:t>代理机构无法联系到供应商进行解密的，</w:t>
      </w:r>
      <w:r>
        <w:rPr>
          <w:rFonts w:hint="eastAsia" w:ascii="宋体" w:hAnsi="宋体"/>
          <w:b/>
          <w:color w:val="000000"/>
          <w:kern w:val="0"/>
          <w:szCs w:val="21"/>
          <w:highlight w:val="none"/>
        </w:rPr>
        <w:t>视为响应文件无效。</w:t>
      </w:r>
      <w:r>
        <w:rPr>
          <w:rFonts w:hint="eastAsia" w:ascii="宋体" w:hAnsi="宋体"/>
          <w:color w:val="000000"/>
          <w:kern w:val="0"/>
          <w:szCs w:val="21"/>
          <w:highlight w:val="none"/>
        </w:rPr>
        <w:t>（解密</w:t>
      </w:r>
      <w:r>
        <w:rPr>
          <w:rFonts w:hint="eastAsia" w:ascii="宋体" w:hAnsi="宋体"/>
          <w:bCs/>
          <w:color w:val="000000"/>
          <w:kern w:val="0"/>
          <w:szCs w:val="21"/>
          <w:highlight w:val="none"/>
        </w:rPr>
        <w:t>异常情况处理：详见本章</w:t>
      </w:r>
      <w:r>
        <w:rPr>
          <w:rFonts w:hint="eastAsia" w:ascii="宋体" w:hAnsi="宋体"/>
          <w:color w:val="000000"/>
          <w:kern w:val="0"/>
          <w:szCs w:val="21"/>
          <w:highlight w:val="none"/>
        </w:rPr>
        <w:t>26.</w:t>
      </w:r>
      <w:r>
        <w:rPr>
          <w:rFonts w:hint="eastAsia" w:ascii="宋体" w:hAnsi="宋体"/>
          <w:color w:val="000000"/>
          <w:kern w:val="0"/>
          <w:szCs w:val="21"/>
          <w:highlight w:val="none"/>
          <w:lang w:val="en-US" w:eastAsia="zh-CN"/>
        </w:rPr>
        <w:t>4</w:t>
      </w:r>
      <w:r>
        <w:rPr>
          <w:rFonts w:hint="eastAsia" w:ascii="宋体" w:hAnsi="宋体"/>
          <w:color w:val="000000"/>
          <w:kern w:val="0"/>
          <w:szCs w:val="21"/>
          <w:highlight w:val="none"/>
        </w:rPr>
        <w:t xml:space="preserve"> 电子交易活动的中止。）</w:t>
      </w:r>
    </w:p>
    <w:p w14:paraId="138A8E8B">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olor w:val="000000"/>
          <w:kern w:val="0"/>
          <w:szCs w:val="21"/>
          <w:highlight w:val="none"/>
        </w:rPr>
      </w:pPr>
      <w:r>
        <w:rPr>
          <w:rFonts w:hint="eastAsia" w:ascii="宋体" w:hAnsi="宋体"/>
          <w:color w:val="000000"/>
          <w:kern w:val="0"/>
          <w:szCs w:val="21"/>
          <w:highlight w:val="none"/>
        </w:rPr>
        <w:t>如</w:t>
      </w:r>
      <w:r>
        <w:rPr>
          <w:rFonts w:hint="eastAsia" w:ascii="宋体" w:hAnsi="宋体"/>
          <w:bCs/>
          <w:color w:val="000000"/>
          <w:kern w:val="0"/>
          <w:szCs w:val="21"/>
          <w:highlight w:val="none"/>
        </w:rPr>
        <w:t>供应商成功解密响应文件，但未在“</w:t>
      </w:r>
      <w:r>
        <w:rPr>
          <w:rFonts w:hint="eastAsia" w:ascii="宋体" w:hAnsi="宋体"/>
          <w:bCs/>
          <w:color w:val="000000"/>
          <w:kern w:val="0"/>
          <w:szCs w:val="21"/>
          <w:highlight w:val="none"/>
          <w:lang w:val="en-US" w:eastAsia="zh-CN"/>
        </w:rPr>
        <w:t>广西政府采购</w:t>
      </w:r>
      <w:r>
        <w:rPr>
          <w:rFonts w:hint="eastAsia" w:ascii="宋体" w:hAnsi="宋体"/>
          <w:bCs/>
          <w:color w:val="000000"/>
          <w:kern w:val="0"/>
          <w:szCs w:val="21"/>
          <w:highlight w:val="none"/>
        </w:rPr>
        <w:t>云</w:t>
      </w:r>
      <w:r>
        <w:rPr>
          <w:rFonts w:hint="eastAsia" w:ascii="宋体" w:hAnsi="宋体"/>
          <w:bCs/>
          <w:color w:val="000000"/>
          <w:kern w:val="0"/>
          <w:szCs w:val="21"/>
          <w:highlight w:val="none"/>
          <w:lang w:val="en-US" w:eastAsia="zh-CN"/>
        </w:rPr>
        <w:t>平台</w:t>
      </w:r>
      <w:r>
        <w:rPr>
          <w:rFonts w:hint="eastAsia" w:ascii="宋体" w:hAnsi="宋体"/>
          <w:bCs/>
          <w:color w:val="000000"/>
          <w:kern w:val="0"/>
          <w:szCs w:val="21"/>
          <w:highlight w:val="none"/>
        </w:rPr>
        <w:t>”电子开标大厅参加</w:t>
      </w:r>
      <w:r>
        <w:rPr>
          <w:rFonts w:hint="eastAsia" w:ascii="宋体" w:hAnsi="宋体"/>
          <w:bCs/>
          <w:color w:val="000000"/>
          <w:kern w:val="0"/>
          <w:szCs w:val="21"/>
          <w:highlight w:val="none"/>
          <w:lang w:val="en-US" w:eastAsia="zh-CN"/>
        </w:rPr>
        <w:t>磋商</w:t>
      </w:r>
      <w:r>
        <w:rPr>
          <w:rFonts w:hint="eastAsia" w:ascii="宋体" w:hAnsi="宋体"/>
          <w:bCs/>
          <w:color w:val="000000"/>
          <w:kern w:val="0"/>
          <w:szCs w:val="21"/>
          <w:highlight w:val="none"/>
        </w:rPr>
        <w:t>的，视同认可</w:t>
      </w:r>
      <w:r>
        <w:rPr>
          <w:rFonts w:hint="eastAsia" w:ascii="宋体" w:hAnsi="宋体"/>
          <w:bCs/>
          <w:color w:val="000000"/>
          <w:kern w:val="0"/>
          <w:szCs w:val="21"/>
          <w:highlight w:val="none"/>
          <w:lang w:val="en-US" w:eastAsia="zh-CN"/>
        </w:rPr>
        <w:t>磋商</w:t>
      </w:r>
      <w:r>
        <w:rPr>
          <w:rFonts w:hint="eastAsia" w:ascii="宋体" w:hAnsi="宋体"/>
          <w:bCs/>
          <w:color w:val="000000"/>
          <w:kern w:val="0"/>
          <w:szCs w:val="21"/>
          <w:highlight w:val="none"/>
        </w:rPr>
        <w:t>过程和结果，</w:t>
      </w:r>
      <w:r>
        <w:rPr>
          <w:rFonts w:hint="eastAsia" w:ascii="宋体" w:hAnsi="宋体"/>
          <w:color w:val="000000"/>
          <w:kern w:val="0"/>
          <w:szCs w:val="21"/>
          <w:highlight w:val="none"/>
        </w:rPr>
        <w:t>由此产生的后果由供应商自行负责。 参与</w:t>
      </w:r>
      <w:r>
        <w:rPr>
          <w:rFonts w:hint="eastAsia" w:ascii="宋体" w:hAnsi="宋体"/>
          <w:bCs/>
          <w:color w:val="000000"/>
          <w:kern w:val="0"/>
          <w:szCs w:val="21"/>
          <w:highlight w:val="none"/>
          <w:lang w:val="en-US" w:eastAsia="zh-CN"/>
        </w:rPr>
        <w:t>磋商</w:t>
      </w:r>
      <w:r>
        <w:rPr>
          <w:rFonts w:hint="eastAsia" w:ascii="宋体" w:hAnsi="宋体"/>
          <w:color w:val="000000"/>
          <w:kern w:val="0"/>
          <w:szCs w:val="21"/>
          <w:highlight w:val="none"/>
        </w:rPr>
        <w:t>的供应商不足3家的，不得</w:t>
      </w:r>
      <w:r>
        <w:rPr>
          <w:rFonts w:hint="eastAsia" w:ascii="宋体" w:hAnsi="宋体"/>
          <w:bCs/>
          <w:color w:val="000000"/>
          <w:kern w:val="0"/>
          <w:szCs w:val="21"/>
          <w:highlight w:val="none"/>
          <w:lang w:val="en-US" w:eastAsia="zh-CN"/>
        </w:rPr>
        <w:t>磋商</w:t>
      </w:r>
      <w:r>
        <w:rPr>
          <w:rFonts w:hint="eastAsia" w:ascii="宋体" w:hAnsi="宋体"/>
          <w:color w:val="000000"/>
          <w:kern w:val="0"/>
          <w:szCs w:val="21"/>
          <w:highlight w:val="none"/>
        </w:rPr>
        <w:t>。</w:t>
      </w:r>
    </w:p>
    <w:p w14:paraId="6A8DEAE8">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cs="宋体"/>
          <w:b/>
          <w:bCs/>
          <w:color w:val="000000"/>
          <w:sz w:val="24"/>
          <w:highlight w:val="none"/>
        </w:rPr>
      </w:pPr>
      <w:r>
        <w:rPr>
          <w:rFonts w:ascii="宋体" w:hAnsi="宋体" w:cs="宋体"/>
          <w:b/>
          <w:bCs/>
          <w:color w:val="000000"/>
          <w:sz w:val="24"/>
          <w:highlight w:val="none"/>
        </w:rPr>
        <w:t>26</w:t>
      </w:r>
      <w:r>
        <w:rPr>
          <w:rFonts w:hint="eastAsia" w:ascii="宋体" w:hAnsi="宋体" w:cs="宋体"/>
          <w:b/>
          <w:bCs/>
          <w:color w:val="000000"/>
          <w:sz w:val="24"/>
          <w:highlight w:val="none"/>
        </w:rPr>
        <w:t>.评审程序、评审方法和评审标准</w:t>
      </w:r>
    </w:p>
    <w:p w14:paraId="47A343C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000000"/>
          <w:szCs w:val="21"/>
          <w:highlight w:val="none"/>
        </w:rPr>
      </w:pPr>
      <w:r>
        <w:rPr>
          <w:rFonts w:ascii="宋体" w:hAnsi="宋体" w:cs="宋体"/>
          <w:color w:val="000000"/>
          <w:szCs w:val="21"/>
          <w:highlight w:val="none"/>
        </w:rPr>
        <w:t>26.1</w:t>
      </w:r>
      <w:r>
        <w:rPr>
          <w:rFonts w:hint="eastAsia" w:ascii="宋体" w:hAnsi="宋体" w:cs="宋体"/>
          <w:color w:val="000000"/>
          <w:szCs w:val="21"/>
          <w:highlight w:val="none"/>
        </w:rPr>
        <w:t>磋商小组</w:t>
      </w:r>
      <w:r>
        <w:rPr>
          <w:rFonts w:ascii="宋体" w:hAnsi="宋体" w:cs="宋体"/>
          <w:color w:val="000000"/>
          <w:szCs w:val="21"/>
          <w:highlight w:val="none"/>
        </w:rPr>
        <w:t>按照</w:t>
      </w:r>
      <w:r>
        <w:rPr>
          <w:rFonts w:hint="eastAsia" w:ascii="宋体" w:hAnsi="宋体" w:cs="宋体"/>
          <w:color w:val="000000"/>
          <w:szCs w:val="21"/>
          <w:highlight w:val="none"/>
        </w:rPr>
        <w:t>“第四章 评审程序、评审方法和评审标准”</w:t>
      </w:r>
      <w:r>
        <w:rPr>
          <w:rFonts w:ascii="宋体" w:hAnsi="宋体" w:cs="宋体"/>
          <w:color w:val="000000"/>
          <w:szCs w:val="21"/>
          <w:highlight w:val="none"/>
        </w:rPr>
        <w:t>规定的方法、评审因素、标准和程序对</w:t>
      </w:r>
      <w:r>
        <w:rPr>
          <w:rFonts w:hint="eastAsia" w:ascii="宋体" w:hAnsi="宋体" w:cs="宋体"/>
          <w:color w:val="000000"/>
          <w:szCs w:val="21"/>
          <w:highlight w:val="none"/>
        </w:rPr>
        <w:t>响应</w:t>
      </w:r>
      <w:r>
        <w:rPr>
          <w:rFonts w:ascii="宋体" w:hAnsi="宋体" w:cs="宋体"/>
          <w:color w:val="000000"/>
          <w:szCs w:val="21"/>
          <w:highlight w:val="none"/>
        </w:rPr>
        <w:t>文件进行评审。</w:t>
      </w:r>
    </w:p>
    <w:p w14:paraId="38581F3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26.2 磋商文件内容违反国家有关强制性规定的，磋商小组应当停止评审并向采购人或者采购代理机构说明情况，并在评审报告中书面体现。</w:t>
      </w:r>
    </w:p>
    <w:p w14:paraId="5AE6950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 xml:space="preserve">6.3 </w:t>
      </w:r>
      <w:r>
        <w:rPr>
          <w:rFonts w:hint="eastAsia" w:ascii="宋体" w:hAnsi="宋体"/>
          <w:color w:val="000000"/>
          <w:szCs w:val="21"/>
          <w:highlight w:val="none"/>
        </w:rPr>
        <w:t>采购需求负偏离要求及磋商顺序详见“供应商须知前附表”。</w:t>
      </w:r>
    </w:p>
    <w:p w14:paraId="78C00C9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olor w:val="000000"/>
          <w:highlight w:val="none"/>
        </w:rPr>
      </w:pPr>
      <w:r>
        <w:rPr>
          <w:rFonts w:hint="eastAsia" w:ascii="宋体" w:hAnsi="宋体"/>
          <w:color w:val="000000"/>
          <w:highlight w:val="none"/>
        </w:rPr>
        <w:t>2</w:t>
      </w:r>
      <w:r>
        <w:rPr>
          <w:rFonts w:ascii="宋体" w:hAnsi="宋体"/>
          <w:color w:val="000000"/>
          <w:highlight w:val="none"/>
        </w:rPr>
        <w:t>6.4</w:t>
      </w:r>
      <w:r>
        <w:rPr>
          <w:rFonts w:hint="eastAsia" w:ascii="宋体" w:hAnsi="宋体"/>
          <w:color w:val="000000"/>
          <w:highlight w:val="none"/>
        </w:rPr>
        <w:t>电子交易活动的中止。采购过程中出现以下情形，导致电子交易平台无法正常运行，或者无法保证电子交易的公平、公正和安全时，采购</w:t>
      </w:r>
      <w:r>
        <w:rPr>
          <w:rFonts w:hint="eastAsia" w:ascii="宋体" w:hAnsi="宋体"/>
          <w:color w:val="000000"/>
          <w:highlight w:val="none"/>
          <w:lang w:val="en-US" w:eastAsia="zh-CN"/>
        </w:rPr>
        <w:t>代理</w:t>
      </w:r>
      <w:r>
        <w:rPr>
          <w:rFonts w:hint="eastAsia" w:ascii="宋体" w:hAnsi="宋体"/>
          <w:color w:val="000000"/>
          <w:highlight w:val="none"/>
        </w:rPr>
        <w:t>机构可中止电子交易活动：</w:t>
      </w:r>
    </w:p>
    <w:p w14:paraId="4BD4DFE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olor w:val="000000"/>
          <w:highlight w:val="none"/>
        </w:rPr>
      </w:pPr>
      <w:r>
        <w:rPr>
          <w:rFonts w:hint="eastAsia" w:ascii="宋体" w:hAnsi="宋体"/>
          <w:color w:val="000000"/>
          <w:highlight w:val="none"/>
        </w:rPr>
        <w:t xml:space="preserve">（1）电子交易平台发生故障而无法登录访问的； </w:t>
      </w:r>
    </w:p>
    <w:p w14:paraId="779B90E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olor w:val="000000"/>
          <w:highlight w:val="none"/>
        </w:rPr>
      </w:pPr>
      <w:r>
        <w:rPr>
          <w:rFonts w:hint="eastAsia" w:ascii="宋体" w:hAnsi="宋体"/>
          <w:color w:val="000000"/>
          <w:highlight w:val="none"/>
        </w:rPr>
        <w:t>（2）电子交易平台应用或数据库出现错误，不能进行正常操作的；</w:t>
      </w:r>
    </w:p>
    <w:p w14:paraId="1794DFE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olor w:val="000000"/>
          <w:highlight w:val="none"/>
        </w:rPr>
      </w:pPr>
      <w:r>
        <w:rPr>
          <w:rFonts w:hint="eastAsia" w:ascii="宋体" w:hAnsi="宋体"/>
          <w:color w:val="000000"/>
          <w:highlight w:val="none"/>
        </w:rPr>
        <w:t>（3）电子交易平台发现严重安全漏洞，有潜在泄密危险的；</w:t>
      </w:r>
    </w:p>
    <w:p w14:paraId="42D87F4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olor w:val="000000"/>
          <w:highlight w:val="none"/>
        </w:rPr>
      </w:pPr>
      <w:r>
        <w:rPr>
          <w:rFonts w:hint="eastAsia" w:ascii="宋体" w:hAnsi="宋体"/>
          <w:color w:val="000000"/>
          <w:highlight w:val="none"/>
        </w:rPr>
        <w:t xml:space="preserve">（4）病毒发作导致不能进行正常操作的； </w:t>
      </w:r>
    </w:p>
    <w:p w14:paraId="5762584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olor w:val="000000"/>
          <w:highlight w:val="none"/>
        </w:rPr>
      </w:pPr>
      <w:r>
        <w:rPr>
          <w:rFonts w:hint="eastAsia" w:ascii="宋体" w:hAnsi="宋体"/>
          <w:color w:val="000000"/>
          <w:highlight w:val="none"/>
        </w:rPr>
        <w:t>（5）其他无法保证电子交易的公平、公正和安全的情况。</w:t>
      </w:r>
    </w:p>
    <w:p w14:paraId="7D430D3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olor w:val="000000"/>
          <w:highlight w:val="none"/>
        </w:rPr>
      </w:pPr>
      <w:r>
        <w:rPr>
          <w:rFonts w:hint="eastAsia" w:ascii="宋体" w:hAnsi="宋体"/>
          <w:color w:val="000000"/>
          <w:highlight w:val="none"/>
        </w:rPr>
        <w:t>26.</w:t>
      </w:r>
      <w:r>
        <w:rPr>
          <w:rFonts w:hint="eastAsia" w:ascii="宋体" w:hAnsi="宋体"/>
          <w:color w:val="000000"/>
          <w:highlight w:val="none"/>
          <w:lang w:val="en-US" w:eastAsia="zh-CN"/>
        </w:rPr>
        <w:t>5</w:t>
      </w:r>
      <w:r>
        <w:rPr>
          <w:rFonts w:hint="eastAsia" w:ascii="宋体" w:hAnsi="宋体"/>
          <w:color w:val="000000"/>
          <w:highlight w:val="none"/>
        </w:rPr>
        <w:t>出现以上情形，不影响采购公平、公正性的，采购</w:t>
      </w:r>
      <w:r>
        <w:rPr>
          <w:rFonts w:hint="eastAsia" w:ascii="宋体" w:hAnsi="宋体"/>
          <w:color w:val="000000"/>
          <w:highlight w:val="none"/>
          <w:lang w:val="en-US" w:eastAsia="zh-CN"/>
        </w:rPr>
        <w:t>代理</w:t>
      </w:r>
      <w:r>
        <w:rPr>
          <w:rFonts w:hint="eastAsia" w:ascii="宋体" w:hAnsi="宋体"/>
          <w:color w:val="000000"/>
          <w:highlight w:val="none"/>
        </w:rPr>
        <w:t>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E308278">
      <w:pPr>
        <w:keepNext/>
        <w:keepLines/>
        <w:spacing w:line="360" w:lineRule="auto"/>
        <w:ind w:firstLine="482" w:firstLineChars="150"/>
        <w:outlineLvl w:val="2"/>
        <w:rPr>
          <w:rFonts w:ascii="宋体" w:hAnsi="宋体"/>
          <w:b/>
          <w:bCs/>
          <w:color w:val="000000"/>
          <w:sz w:val="32"/>
          <w:szCs w:val="32"/>
          <w:highlight w:val="none"/>
        </w:rPr>
      </w:pPr>
      <w:bookmarkStart w:id="53" w:name="_Toc6329"/>
      <w:r>
        <w:rPr>
          <w:rFonts w:hint="eastAsia" w:ascii="宋体" w:hAnsi="宋体"/>
          <w:b/>
          <w:bCs/>
          <w:color w:val="000000"/>
          <w:sz w:val="32"/>
          <w:szCs w:val="32"/>
          <w:highlight w:val="none"/>
        </w:rPr>
        <w:t>五、成交及合同</w:t>
      </w:r>
      <w:bookmarkEnd w:id="53"/>
    </w:p>
    <w:p w14:paraId="43F06B1C">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ascii="宋体" w:hAnsi="宋体" w:cs="宋体"/>
          <w:b/>
          <w:bCs/>
          <w:color w:val="000000"/>
          <w:sz w:val="24"/>
          <w:highlight w:val="none"/>
        </w:rPr>
      </w:pPr>
      <w:r>
        <w:rPr>
          <w:rFonts w:ascii="宋体" w:hAnsi="宋体" w:cs="宋体"/>
          <w:b/>
          <w:bCs/>
          <w:color w:val="000000"/>
          <w:sz w:val="24"/>
          <w:highlight w:val="none"/>
        </w:rPr>
        <w:t>27</w:t>
      </w:r>
      <w:r>
        <w:rPr>
          <w:rFonts w:hint="eastAsia" w:ascii="宋体" w:hAnsi="宋体" w:cs="宋体"/>
          <w:b/>
          <w:bCs/>
          <w:color w:val="000000"/>
          <w:sz w:val="24"/>
          <w:highlight w:val="none"/>
        </w:rPr>
        <w:t>.确定成交供应商及结果公告</w:t>
      </w:r>
    </w:p>
    <w:p w14:paraId="4218AD4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ascii="宋体" w:hAnsi="宋体" w:cs="宋体"/>
          <w:color w:val="000000"/>
          <w:szCs w:val="21"/>
          <w:highlight w:val="none"/>
        </w:rPr>
        <w:t>27</w:t>
      </w:r>
      <w:r>
        <w:rPr>
          <w:rFonts w:hint="eastAsia" w:ascii="宋体" w:hAnsi="宋体" w:cs="宋体"/>
          <w:color w:val="000000"/>
          <w:szCs w:val="21"/>
          <w:highlight w:val="none"/>
        </w:rPr>
        <w:t>.1确定成交供应商。</w:t>
      </w:r>
      <w:r>
        <w:rPr>
          <w:rFonts w:hint="eastAsia" w:ascii="宋体" w:hAnsi="宋体" w:cs="宋体"/>
          <w:color w:val="000000"/>
          <w:kern w:val="0"/>
          <w:szCs w:val="21"/>
          <w:highlight w:val="none"/>
          <w:u w:val="single"/>
        </w:rPr>
        <w:t>由采购人直接委托评审专家确定</w:t>
      </w:r>
      <w:r>
        <w:rPr>
          <w:rFonts w:hint="eastAsia" w:ascii="宋体" w:hAnsi="宋体" w:cs="宋体"/>
          <w:color w:val="000000"/>
          <w:szCs w:val="21"/>
          <w:highlight w:val="none"/>
          <w:u w:val="single"/>
        </w:rPr>
        <w:t>，评审报告提出的排序第一的供应商为成交供应商。</w:t>
      </w:r>
    </w:p>
    <w:p w14:paraId="28C1776B">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ascii="宋体" w:hAnsi="宋体" w:cs="宋体"/>
          <w:color w:val="000000"/>
          <w:szCs w:val="21"/>
          <w:highlight w:val="none"/>
        </w:rPr>
        <w:t>27</w:t>
      </w:r>
      <w:r>
        <w:rPr>
          <w:rFonts w:hint="eastAsia" w:ascii="宋体" w:hAnsi="宋体" w:cs="宋体"/>
          <w:color w:val="000000"/>
          <w:szCs w:val="21"/>
          <w:highlight w:val="none"/>
        </w:rPr>
        <w:t>.2成交通知及成交结果公告。成交供应商确定后2个工作日内，在省级以上财政部门指定的媒体上公告成交结果，同时向成交供应商发出成交通知书，成交通知书规定签订合同的时间不得超过25日。</w:t>
      </w:r>
    </w:p>
    <w:p w14:paraId="64AFF44F">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Courier New"/>
          <w:color w:val="000000"/>
          <w:szCs w:val="21"/>
          <w:highlight w:val="none"/>
        </w:rPr>
      </w:pPr>
      <w:r>
        <w:rPr>
          <w:rFonts w:hint="eastAsia" w:ascii="宋体" w:hAnsi="宋体" w:cs="宋体"/>
          <w:color w:val="000000"/>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w:t>
      </w:r>
      <w:r>
        <w:rPr>
          <w:rFonts w:hint="eastAsia" w:ascii="宋体" w:hAnsi="宋体" w:cs="宋体"/>
          <w:color w:val="000000"/>
          <w:szCs w:val="21"/>
          <w:highlight w:val="none"/>
          <w:lang w:val="en-US" w:eastAsia="zh-CN"/>
        </w:rPr>
        <w:t>竞争性磋商</w:t>
      </w:r>
      <w:r>
        <w:rPr>
          <w:rFonts w:hint="eastAsia" w:ascii="宋体" w:hAnsi="宋体" w:cs="宋体"/>
          <w:color w:val="000000"/>
          <w:szCs w:val="21"/>
          <w:highlight w:val="none"/>
        </w:rPr>
        <w:t>文件一并保存。</w:t>
      </w:r>
      <w:r>
        <w:rPr>
          <w:rFonts w:hint="eastAsia" w:ascii="宋体" w:hAnsi="宋体" w:cs="Courier New"/>
          <w:color w:val="000000"/>
          <w:szCs w:val="21"/>
          <w:highlight w:val="none"/>
        </w:rPr>
        <w:t>成交供应商享受</w:t>
      </w:r>
      <w:r>
        <w:rPr>
          <w:rFonts w:hint="eastAsia" w:ascii="宋体" w:hAnsi="宋体"/>
          <w:color w:val="000000"/>
          <w:szCs w:val="21"/>
          <w:highlight w:val="none"/>
        </w:rPr>
        <w:t>《政府采购促进中小企业发展管理办法》（财库〔2020〕46号）规定的中小企业扶持</w:t>
      </w:r>
      <w:r>
        <w:rPr>
          <w:rFonts w:hint="eastAsia" w:ascii="宋体" w:hAnsi="宋体" w:cs="Courier New"/>
          <w:color w:val="000000"/>
          <w:szCs w:val="21"/>
          <w:highlight w:val="none"/>
        </w:rPr>
        <w:t>政策的，采购人、采购代理机构应当随成交结果公开成交供应商的《中小企业声明函》。</w:t>
      </w:r>
    </w:p>
    <w:p w14:paraId="635D99CF">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7.</w:t>
      </w:r>
      <w:r>
        <w:rPr>
          <w:rFonts w:hint="eastAsia" w:ascii="宋体" w:hAnsi="宋体" w:cs="宋体"/>
          <w:color w:val="000000"/>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E2F7AB8">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Cs w:val="21"/>
          <w:highlight w:val="yellow"/>
          <w:lang w:eastAsia="zh-CN"/>
        </w:rPr>
      </w:pPr>
      <w:r>
        <w:rPr>
          <w:rFonts w:hint="eastAsia" w:ascii="宋体" w:hAnsi="宋体" w:eastAsia="宋体" w:cs="宋体"/>
          <w:color w:val="000000"/>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r>
        <w:rPr>
          <w:rFonts w:hint="eastAsia" w:ascii="宋体" w:hAnsi="宋体" w:eastAsia="宋体" w:cs="宋体"/>
          <w:color w:val="000000"/>
          <w:szCs w:val="21"/>
          <w:highlight w:val="none"/>
          <w:lang w:val="en-US" w:eastAsia="zh-CN"/>
        </w:rPr>
        <w:t>。</w:t>
      </w:r>
    </w:p>
    <w:p w14:paraId="7B799596">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ascii="宋体" w:hAnsi="宋体" w:cs="宋体"/>
          <w:b/>
          <w:bCs/>
          <w:color w:val="000000"/>
          <w:sz w:val="24"/>
          <w:highlight w:val="none"/>
        </w:rPr>
      </w:pPr>
      <w:r>
        <w:rPr>
          <w:rFonts w:ascii="宋体" w:hAnsi="宋体" w:cs="宋体"/>
          <w:b/>
          <w:bCs/>
          <w:color w:val="000000"/>
          <w:sz w:val="24"/>
          <w:highlight w:val="none"/>
        </w:rPr>
        <w:t>28</w:t>
      </w:r>
      <w:r>
        <w:rPr>
          <w:rFonts w:hint="eastAsia" w:ascii="宋体" w:hAnsi="宋体" w:cs="宋体"/>
          <w:b/>
          <w:bCs/>
          <w:color w:val="000000"/>
          <w:sz w:val="24"/>
          <w:highlight w:val="none"/>
        </w:rPr>
        <w:t>.履约保证金</w:t>
      </w:r>
    </w:p>
    <w:p w14:paraId="57E41F44">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b/>
          <w:bCs/>
          <w:color w:val="000000"/>
          <w:sz w:val="24"/>
          <w:highlight w:val="none"/>
          <w:lang w:eastAsia="zh-CN"/>
        </w:rPr>
      </w:pPr>
      <w:r>
        <w:rPr>
          <w:rFonts w:hint="eastAsia" w:ascii="宋体" w:hAnsi="宋体" w:cs="宋体"/>
          <w:color w:val="000000"/>
          <w:szCs w:val="21"/>
          <w:highlight w:val="none"/>
        </w:rPr>
        <w:t>详见“供应商须知前附表”</w:t>
      </w:r>
      <w:r>
        <w:rPr>
          <w:rFonts w:hint="eastAsia" w:ascii="宋体" w:hAnsi="宋体" w:cs="宋体"/>
          <w:color w:val="000000"/>
          <w:szCs w:val="21"/>
          <w:highlight w:val="none"/>
          <w:lang w:eastAsia="zh-CN"/>
        </w:rPr>
        <w:t>。</w:t>
      </w:r>
    </w:p>
    <w:p w14:paraId="791369AF">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ascii="宋体" w:hAnsi="宋体" w:cs="宋体"/>
          <w:b/>
          <w:bCs/>
          <w:color w:val="000000"/>
          <w:sz w:val="24"/>
          <w:highlight w:val="none"/>
        </w:rPr>
      </w:pPr>
      <w:r>
        <w:rPr>
          <w:rFonts w:ascii="宋体" w:hAnsi="宋体" w:cs="宋体"/>
          <w:b/>
          <w:bCs/>
          <w:color w:val="000000"/>
          <w:sz w:val="24"/>
          <w:highlight w:val="none"/>
        </w:rPr>
        <w:t>29</w:t>
      </w:r>
      <w:r>
        <w:rPr>
          <w:rFonts w:hint="eastAsia" w:ascii="宋体" w:hAnsi="宋体" w:cs="宋体"/>
          <w:b/>
          <w:bCs/>
          <w:color w:val="000000"/>
          <w:sz w:val="24"/>
          <w:highlight w:val="none"/>
        </w:rPr>
        <w:t>.签订合同</w:t>
      </w:r>
    </w:p>
    <w:p w14:paraId="1A6943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000000"/>
          <w:kern w:val="0"/>
          <w:szCs w:val="21"/>
          <w:highlight w:val="none"/>
          <w:lang w:val="zh-CN"/>
        </w:rPr>
      </w:pPr>
      <w:r>
        <w:rPr>
          <w:rFonts w:ascii="宋体" w:hAnsi="宋体" w:cs="宋体"/>
          <w:color w:val="000000"/>
          <w:kern w:val="0"/>
          <w:szCs w:val="21"/>
          <w:highlight w:val="none"/>
        </w:rPr>
        <w:t>29.1</w:t>
      </w:r>
      <w:r>
        <w:rPr>
          <w:rFonts w:hint="eastAsia" w:ascii="宋体" w:hAnsi="宋体"/>
          <w:color w:val="000000"/>
          <w:kern w:val="0"/>
          <w:szCs w:val="21"/>
          <w:highlight w:val="none"/>
        </w:rPr>
        <w:t>采购人与成交供应商应当在</w:t>
      </w:r>
      <w:r>
        <w:rPr>
          <w:rFonts w:hint="eastAsia" w:ascii="宋体" w:hAnsi="宋体" w:cs="宋体"/>
          <w:color w:val="000000"/>
          <w:kern w:val="0"/>
          <w:szCs w:val="21"/>
          <w:highlight w:val="none"/>
        </w:rPr>
        <w:t>成交通知书规定的时间内</w:t>
      </w:r>
      <w:r>
        <w:rPr>
          <w:rFonts w:hint="eastAsia" w:ascii="宋体" w:hAnsi="宋体"/>
          <w:color w:val="000000"/>
          <w:kern w:val="0"/>
          <w:szCs w:val="21"/>
          <w:highlight w:val="none"/>
        </w:rPr>
        <w:t>，按照磋商文件确定的合同文本以及采购标的、服务技术、采购金额、采购数量、技术和服务要求等事项签订政府采购合同。</w:t>
      </w:r>
      <w:r>
        <w:rPr>
          <w:rFonts w:hint="eastAsia" w:ascii="宋体" w:hAnsi="宋体"/>
          <w:color w:val="000000"/>
          <w:kern w:val="0"/>
          <w:szCs w:val="21"/>
          <w:highlight w:val="none"/>
          <w:lang w:val="zh-CN"/>
        </w:rPr>
        <w:t>如成交供应商为联合体的，由联合体成员各方法定代表人或其授权代表与采购人代表签订合同。</w:t>
      </w:r>
    </w:p>
    <w:p w14:paraId="453AC320">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AB9FF50">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29.3成交供应商拒绝签订政府采购合同的，</w:t>
      </w:r>
      <w:r>
        <w:rPr>
          <w:rFonts w:hint="eastAsia" w:ascii="宋体" w:hAnsi="宋体" w:cs="宋体"/>
          <w:color w:val="000000"/>
          <w:szCs w:val="21"/>
          <w:highlight w:val="none"/>
        </w:rPr>
        <w:t>采购人可以按照评审报告推荐的成交候选人名单排序，确定下一候选人为成交供应商</w:t>
      </w:r>
      <w:r>
        <w:rPr>
          <w:rFonts w:hint="eastAsia" w:ascii="宋体" w:hAnsi="宋体"/>
          <w:color w:val="000000"/>
          <w:szCs w:val="21"/>
          <w:highlight w:val="none"/>
        </w:rPr>
        <w:t>，也可以重新开展采购活动。拒绝签订政府采购合同的成交供应商不得参加对该项目重新开展的采购活动。</w:t>
      </w:r>
    </w:p>
    <w:p w14:paraId="297AE254">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29.4如签订合同并生效后，供应商无故拒绝或延期，除按照合同条款处理外，列入不良行为记录，并给予通报。</w:t>
      </w:r>
    </w:p>
    <w:p w14:paraId="57164B21">
      <w:pPr>
        <w:keepNext w:val="0"/>
        <w:keepLines w:val="0"/>
        <w:pageBreakBefore w:val="0"/>
        <w:widowControl w:val="0"/>
        <w:kinsoku/>
        <w:wordWrap/>
        <w:overflowPunct/>
        <w:topLinePunct w:val="0"/>
        <w:autoSpaceDE/>
        <w:autoSpaceDN/>
        <w:bidi w:val="0"/>
        <w:adjustRightInd w:val="0"/>
        <w:spacing w:line="440" w:lineRule="exact"/>
        <w:ind w:firstLine="420" w:firstLineChars="200"/>
        <w:textAlignment w:val="auto"/>
        <w:rPr>
          <w:rFonts w:ascii="宋体" w:hAnsi="宋体" w:cs="宋体"/>
          <w:color w:val="000000"/>
          <w:kern w:val="0"/>
          <w:sz w:val="24"/>
          <w:szCs w:val="21"/>
          <w:highlight w:val="none"/>
        </w:rPr>
      </w:pPr>
      <w:r>
        <w:rPr>
          <w:rFonts w:hint="eastAsia" w:ascii="宋体" w:hAnsi="宋体" w:cs="仿宋_GB2312"/>
          <w:color w:val="000000"/>
          <w:kern w:val="0"/>
          <w:szCs w:val="21"/>
          <w:highlight w:val="none"/>
        </w:rPr>
        <w:t>29</w:t>
      </w:r>
      <w:r>
        <w:rPr>
          <w:rFonts w:ascii="宋体" w:hAnsi="宋体" w:cs="仿宋_GB2312"/>
          <w:color w:val="000000"/>
          <w:kern w:val="0"/>
          <w:szCs w:val="21"/>
          <w:highlight w:val="none"/>
        </w:rPr>
        <w:t>.5采购合同由采购人与</w:t>
      </w:r>
      <w:r>
        <w:rPr>
          <w:rFonts w:hint="eastAsia" w:ascii="宋体" w:hAnsi="宋体" w:cs="仿宋_GB2312"/>
          <w:color w:val="000000"/>
          <w:kern w:val="0"/>
          <w:szCs w:val="21"/>
          <w:highlight w:val="none"/>
        </w:rPr>
        <w:t>成交</w:t>
      </w:r>
      <w:r>
        <w:rPr>
          <w:rFonts w:ascii="宋体" w:hAnsi="宋体" w:cs="仿宋_GB2312"/>
          <w:color w:val="000000"/>
          <w:kern w:val="0"/>
          <w:szCs w:val="21"/>
          <w:highlight w:val="none"/>
        </w:rPr>
        <w:t>供应商根据</w:t>
      </w:r>
      <w:r>
        <w:rPr>
          <w:rFonts w:hint="eastAsia" w:ascii="宋体" w:hAnsi="宋体"/>
          <w:color w:val="000000"/>
          <w:kern w:val="0"/>
          <w:szCs w:val="21"/>
          <w:highlight w:val="none"/>
        </w:rPr>
        <w:t>磋商文件</w:t>
      </w:r>
      <w:r>
        <w:rPr>
          <w:rFonts w:hint="eastAsia" w:ascii="宋体" w:hAnsi="宋体" w:cs="仿宋_GB2312"/>
          <w:color w:val="000000"/>
          <w:kern w:val="0"/>
          <w:szCs w:val="21"/>
          <w:highlight w:val="none"/>
        </w:rPr>
        <w:t>、响应文件等内容通过政府采购电子交易平台在线签订，自动备案，在线签订须携带的材料见“供应商须</w:t>
      </w:r>
      <w:r>
        <w:rPr>
          <w:rFonts w:hint="eastAsia" w:ascii="宋体" w:hAnsi="宋体"/>
          <w:color w:val="000000"/>
          <w:kern w:val="0"/>
          <w:szCs w:val="21"/>
          <w:highlight w:val="none"/>
        </w:rPr>
        <w:t>知前附表</w:t>
      </w:r>
      <w:r>
        <w:rPr>
          <w:rFonts w:hint="eastAsia" w:ascii="宋体" w:hAnsi="宋体" w:cs="仿宋_GB2312"/>
          <w:color w:val="000000"/>
          <w:kern w:val="0"/>
          <w:szCs w:val="21"/>
          <w:highlight w:val="none"/>
        </w:rPr>
        <w:t>”。</w:t>
      </w:r>
    </w:p>
    <w:p w14:paraId="1DE04FD4">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ascii="宋体" w:hAnsi="宋体" w:cs="宋体"/>
          <w:b/>
          <w:bCs/>
          <w:color w:val="000000"/>
          <w:sz w:val="24"/>
          <w:highlight w:val="none"/>
        </w:rPr>
      </w:pPr>
      <w:r>
        <w:rPr>
          <w:rFonts w:ascii="宋体" w:hAnsi="宋体" w:cs="宋体"/>
          <w:b/>
          <w:bCs/>
          <w:color w:val="000000"/>
          <w:sz w:val="24"/>
          <w:highlight w:val="none"/>
        </w:rPr>
        <w:t>30</w:t>
      </w:r>
      <w:r>
        <w:rPr>
          <w:rFonts w:hint="eastAsia" w:ascii="宋体" w:hAnsi="宋体" w:cs="宋体"/>
          <w:b/>
          <w:bCs/>
          <w:color w:val="000000"/>
          <w:sz w:val="24"/>
          <w:highlight w:val="none"/>
        </w:rPr>
        <w:t>.政府采购合同公告</w:t>
      </w:r>
    </w:p>
    <w:p w14:paraId="75530260">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olor w:val="000000"/>
          <w:highlight w:val="none"/>
        </w:rPr>
      </w:pPr>
      <w:r>
        <w:rPr>
          <w:rFonts w:hint="eastAsia" w:ascii="宋体" w:hAnsi="宋体"/>
          <w:color w:val="000000"/>
          <w:highlight w:val="none"/>
        </w:rPr>
        <w:t>采购人或者受托采购代理机构应当自政府采购合同签订之日起2个工作日内，将政府采购合同</w:t>
      </w:r>
      <w:r>
        <w:rPr>
          <w:rFonts w:hint="eastAsia" w:ascii="宋体" w:hAnsi="宋体"/>
          <w:bCs/>
          <w:color w:val="000000"/>
          <w:highlight w:val="none"/>
        </w:rPr>
        <w:t>在</w:t>
      </w:r>
      <w:r>
        <w:rPr>
          <w:rFonts w:hint="eastAsia" w:ascii="宋体" w:hAnsi="宋体" w:cs="宋体"/>
          <w:color w:val="000000"/>
          <w:kern w:val="0"/>
          <w:szCs w:val="21"/>
          <w:highlight w:val="none"/>
        </w:rPr>
        <w:t>“广西政府采购网”（http://zfcg.gxzf.gov.cn）</w:t>
      </w:r>
      <w:r>
        <w:rPr>
          <w:rFonts w:hint="eastAsia" w:ascii="宋体" w:hAnsi="宋体"/>
          <w:color w:val="000000"/>
          <w:highlight w:val="none"/>
        </w:rPr>
        <w:t>上公告，</w:t>
      </w:r>
      <w:r>
        <w:rPr>
          <w:rFonts w:ascii="宋体" w:hAnsi="宋体"/>
          <w:color w:val="000000"/>
          <w:highlight w:val="none"/>
        </w:rPr>
        <w:t>但政府采购合同中涉及国家秘密、商业秘密的内容除外。</w:t>
      </w:r>
    </w:p>
    <w:p w14:paraId="1509D5EF">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ascii="宋体" w:hAnsi="宋体" w:cs="宋体"/>
          <w:b/>
          <w:bCs/>
          <w:color w:val="000000"/>
          <w:sz w:val="24"/>
          <w:highlight w:val="none"/>
        </w:rPr>
      </w:pPr>
      <w:r>
        <w:rPr>
          <w:rFonts w:ascii="宋体" w:hAnsi="宋体" w:cs="宋体"/>
          <w:b/>
          <w:bCs/>
          <w:color w:val="000000"/>
          <w:sz w:val="24"/>
          <w:highlight w:val="none"/>
        </w:rPr>
        <w:t>31</w:t>
      </w:r>
      <w:r>
        <w:rPr>
          <w:rFonts w:hint="eastAsia" w:ascii="宋体" w:hAnsi="宋体" w:cs="宋体"/>
          <w:b/>
          <w:bCs/>
          <w:color w:val="000000"/>
          <w:sz w:val="24"/>
          <w:highlight w:val="none"/>
        </w:rPr>
        <w:t>.询问、质疑和投诉</w:t>
      </w:r>
    </w:p>
    <w:p w14:paraId="61C43525">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3</w:t>
      </w:r>
      <w:r>
        <w:rPr>
          <w:rFonts w:ascii="宋体" w:hAnsi="宋体" w:cs="宋体"/>
          <w:color w:val="000000"/>
          <w:highlight w:val="none"/>
        </w:rPr>
        <w:t>1</w:t>
      </w:r>
      <w:r>
        <w:rPr>
          <w:rFonts w:hint="eastAsia" w:ascii="宋体" w:hAnsi="宋体" w:cs="宋体"/>
          <w:color w:val="000000"/>
          <w:highlight w:val="none"/>
        </w:rPr>
        <w:t>.1供应商对政府采购活动事项有疑问的，可以向采购人、采购代理机构提出询问，采购人或者采购代理机构应当在3个工作日内对供应商依法提出的询问作出答复。</w:t>
      </w:r>
    </w:p>
    <w:p w14:paraId="2F6D29B8">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b/>
          <w:color w:val="000000"/>
          <w:szCs w:val="21"/>
          <w:highlight w:val="none"/>
        </w:rPr>
      </w:pPr>
      <w:r>
        <w:rPr>
          <w:rFonts w:hint="eastAsia" w:ascii="宋体" w:hAnsi="宋体" w:cs="宋体"/>
          <w:color w:val="000000"/>
          <w:highlight w:val="none"/>
        </w:rPr>
        <w:t>3</w:t>
      </w:r>
      <w:r>
        <w:rPr>
          <w:rFonts w:ascii="宋体" w:hAnsi="宋体" w:cs="宋体"/>
          <w:color w:val="000000"/>
          <w:highlight w:val="none"/>
        </w:rPr>
        <w:t>1</w:t>
      </w:r>
      <w:r>
        <w:rPr>
          <w:rFonts w:hint="eastAsia" w:ascii="宋体" w:hAnsi="宋体" w:cs="宋体"/>
          <w:color w:val="000000"/>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highlight w:val="none"/>
          <w:shd w:val="clear" w:color="auto" w:fill="FFFFFF"/>
        </w:rPr>
        <w:t>接收质疑函的方式、联系部门、联系电话和通讯地址等信息</w:t>
      </w:r>
      <w:r>
        <w:rPr>
          <w:rFonts w:hint="eastAsia" w:ascii="宋体" w:hAnsi="宋体" w:cs="Arial"/>
          <w:color w:val="000000"/>
          <w:highlight w:val="none"/>
          <w:shd w:val="clear" w:color="auto" w:fill="FFFFFF"/>
        </w:rPr>
        <w:t>详见</w:t>
      </w:r>
      <w:r>
        <w:rPr>
          <w:rFonts w:hint="eastAsia" w:ascii="宋体" w:hAnsi="宋体" w:cs="宋体"/>
          <w:color w:val="000000"/>
          <w:szCs w:val="21"/>
          <w:highlight w:val="none"/>
        </w:rPr>
        <w:t>“供应商须知前附表”</w:t>
      </w:r>
      <w:r>
        <w:rPr>
          <w:rFonts w:hint="eastAsia" w:ascii="宋体" w:hAnsi="宋体" w:cs="宋体"/>
          <w:color w:val="000000"/>
          <w:highlight w:val="none"/>
        </w:rPr>
        <w:t>。</w:t>
      </w:r>
      <w:r>
        <w:rPr>
          <w:rFonts w:hint="eastAsia" w:ascii="宋体" w:hAnsi="宋体"/>
          <w:b/>
          <w:color w:val="000000"/>
          <w:szCs w:val="21"/>
          <w:highlight w:val="none"/>
        </w:rPr>
        <w:t xml:space="preserve">具体质疑起算时间及处理方式如下： </w:t>
      </w:r>
    </w:p>
    <w:p w14:paraId="4B1FB8F4">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bCs/>
          <w:color w:val="000000"/>
          <w:highlight w:val="none"/>
        </w:rPr>
      </w:pPr>
      <w:r>
        <w:rPr>
          <w:rFonts w:hint="eastAsia" w:ascii="宋体" w:hAnsi="宋体"/>
          <w:bCs/>
          <w:color w:val="000000"/>
          <w:highlight w:val="none"/>
        </w:rPr>
        <w:t>（1）潜在供应商依法获取采购文件后，认为采购文件使自己的权益受到损害的，应当在竞争性磋商采购文件公告期限届满之日起7个工作日内提出质疑。</w:t>
      </w:r>
    </w:p>
    <w:p w14:paraId="1A2D4F50">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bCs/>
          <w:color w:val="000000"/>
          <w:highlight w:val="none"/>
        </w:rPr>
      </w:pPr>
      <w:r>
        <w:rPr>
          <w:rFonts w:hint="eastAsia" w:ascii="宋体" w:hAnsi="宋体"/>
          <w:bCs/>
          <w:color w:val="000000"/>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5E4CFE8">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bCs/>
          <w:color w:val="000000"/>
          <w:highlight w:val="none"/>
        </w:rPr>
        <w:t>（3）供应商认为成交结果使自己的权益受到损害的，应当在成交结果公告期限届满之日起7个工作日内提出质疑，由采购人受理并负责答复</w:t>
      </w:r>
      <w:r>
        <w:rPr>
          <w:rFonts w:hint="eastAsia" w:ascii="宋体" w:hAnsi="宋体" w:cs="宋体"/>
          <w:color w:val="000000"/>
          <w:highlight w:val="none"/>
        </w:rPr>
        <w:t>。</w:t>
      </w:r>
    </w:p>
    <w:p w14:paraId="4C832D5E">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3</w:t>
      </w:r>
      <w:r>
        <w:rPr>
          <w:rFonts w:ascii="宋体" w:hAnsi="宋体" w:cs="宋体"/>
          <w:color w:val="000000"/>
          <w:highlight w:val="none"/>
        </w:rPr>
        <w:t>1</w:t>
      </w:r>
      <w:r>
        <w:rPr>
          <w:rFonts w:hint="eastAsia" w:ascii="宋体" w:hAnsi="宋体" w:cs="宋体"/>
          <w:color w:val="000000"/>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0D535CE">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3</w:t>
      </w:r>
      <w:r>
        <w:rPr>
          <w:rFonts w:ascii="宋体" w:hAnsi="宋体" w:cs="宋体"/>
          <w:color w:val="000000"/>
          <w:highlight w:val="none"/>
        </w:rPr>
        <w:t>1</w:t>
      </w:r>
      <w:r>
        <w:rPr>
          <w:rFonts w:hint="eastAsia" w:ascii="宋体" w:hAnsi="宋体" w:cs="宋体"/>
          <w:color w:val="000000"/>
          <w:highlight w:val="none"/>
        </w:rPr>
        <w:t>.4 供应商提出质疑应当提交质疑函和必要的证明材料，针对同一采购程序环节的质疑必须在法定质疑期内一次性提出。质疑函应当包括下列内容</w:t>
      </w:r>
      <w:r>
        <w:rPr>
          <w:rFonts w:hint="eastAsia" w:ascii="宋体" w:hAnsi="宋体"/>
          <w:bCs/>
          <w:color w:val="000000"/>
          <w:highlight w:val="none"/>
        </w:rPr>
        <w:t>（质疑函格式后附）</w:t>
      </w:r>
      <w:r>
        <w:rPr>
          <w:rFonts w:hint="eastAsia" w:ascii="宋体" w:hAnsi="宋体" w:cs="宋体"/>
          <w:color w:val="000000"/>
          <w:highlight w:val="none"/>
        </w:rPr>
        <w:t>：</w:t>
      </w:r>
    </w:p>
    <w:p w14:paraId="17D772C0">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（1）供应商的姓名或者名称、地址、邮编、联系人及联系电话；</w:t>
      </w:r>
    </w:p>
    <w:p w14:paraId="25D0E4D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（2）质疑项目的名称、编号；</w:t>
      </w:r>
    </w:p>
    <w:p w14:paraId="369AFD18">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（3）具体、明确的质疑事项和与质疑事项相关的请求；</w:t>
      </w:r>
    </w:p>
    <w:p w14:paraId="026E0A7F">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（4）事实依据；</w:t>
      </w:r>
    </w:p>
    <w:p w14:paraId="729F4A01">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（5）必要的法律依据；</w:t>
      </w:r>
    </w:p>
    <w:p w14:paraId="122B5C9D">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（6）提出质疑的日期。</w:t>
      </w:r>
    </w:p>
    <w:p w14:paraId="78078613">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供应商为自然人的，应当由本人签字；供应商为法人或者其他组织的，应当由法定代表人、主要负责人，或者其委托代理人签字或者盖章，并加盖公章。</w:t>
      </w:r>
    </w:p>
    <w:p w14:paraId="3EB9B851">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3</w:t>
      </w:r>
      <w:r>
        <w:rPr>
          <w:rFonts w:ascii="宋体" w:hAnsi="宋体" w:cs="宋体"/>
          <w:color w:val="000000"/>
          <w:highlight w:val="none"/>
        </w:rPr>
        <w:t>1.5</w:t>
      </w:r>
      <w:r>
        <w:rPr>
          <w:rFonts w:hint="eastAsia" w:ascii="宋体" w:hAnsi="宋体" w:cs="宋体"/>
          <w:color w:val="000000"/>
          <w:highlight w:val="none"/>
        </w:rPr>
        <w:t>采购人、采购代理机构认为供应商质疑不成立，或者成立但未对成交结果构成影响的，继续开展采购活动；认为供应商质疑成立且影响或者可能影响成交结果的，按照下列情况处理：</w:t>
      </w:r>
    </w:p>
    <w:p w14:paraId="409B657A">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（一）对采购文件提出的质疑，依法通过澄清或者修改可以继续开展采购活动的，澄清或者修改采购文件后继续开展采购活动；否则应当修改采购文件后重新开展采购活动。</w:t>
      </w:r>
    </w:p>
    <w:p w14:paraId="056B299D">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（二）对采购过程或者成交结果提出的质疑，合格供应商符合法定数量时，可以从合格的成交候选人中另行确定成交供应商的，应当依法另行确定成交供应商；否则应当重新开展采购活动。</w:t>
      </w:r>
    </w:p>
    <w:p w14:paraId="2FF2CDF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hint="eastAsia" w:ascii="宋体" w:hAnsi="宋体" w:cs="宋体"/>
          <w:color w:val="000000"/>
          <w:highlight w:val="none"/>
        </w:rPr>
        <w:t>质疑答复导致成交结果改变的，采购人或者采购代理机构应当将有关情况书面报告本级财政部门。</w:t>
      </w:r>
    </w:p>
    <w:p w14:paraId="6067BB60">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000000"/>
          <w:highlight w:val="none"/>
        </w:rPr>
      </w:pPr>
      <w:r>
        <w:rPr>
          <w:rFonts w:ascii="宋体" w:hAnsi="宋体" w:cs="宋体"/>
          <w:color w:val="000000"/>
          <w:highlight w:val="none"/>
        </w:rPr>
        <w:t>31</w:t>
      </w:r>
      <w:r>
        <w:rPr>
          <w:rFonts w:hint="eastAsia" w:ascii="宋体" w:hAnsi="宋体" w:cs="宋体"/>
          <w:color w:val="000000"/>
          <w:highlight w:val="none"/>
        </w:rPr>
        <w:t>.</w:t>
      </w:r>
      <w:r>
        <w:rPr>
          <w:rFonts w:ascii="宋体" w:hAnsi="宋体" w:cs="宋体"/>
          <w:color w:val="000000"/>
          <w:highlight w:val="none"/>
        </w:rPr>
        <w:t>6</w:t>
      </w:r>
      <w:r>
        <w:rPr>
          <w:rFonts w:hint="eastAsia" w:ascii="宋体" w:hAnsi="宋体" w:cs="宋体"/>
          <w:color w:val="000000"/>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受理投诉方式见“供应商须知前附表”。</w:t>
      </w:r>
      <w:bookmarkStart w:id="54" w:name="_Toc80205930"/>
    </w:p>
    <w:p w14:paraId="573B0E40">
      <w:pPr>
        <w:keepNext/>
        <w:keepLines/>
        <w:spacing w:line="360" w:lineRule="auto"/>
        <w:ind w:firstLine="315" w:firstLineChars="98"/>
        <w:outlineLvl w:val="2"/>
        <w:rPr>
          <w:rFonts w:ascii="宋体" w:hAnsi="宋体"/>
          <w:b/>
          <w:bCs/>
          <w:color w:val="000000"/>
          <w:sz w:val="32"/>
          <w:szCs w:val="32"/>
          <w:highlight w:val="none"/>
        </w:rPr>
      </w:pPr>
      <w:bookmarkStart w:id="55" w:name="_Toc28964"/>
      <w:r>
        <w:rPr>
          <w:rFonts w:hint="eastAsia" w:ascii="宋体" w:hAnsi="宋体"/>
          <w:b/>
          <w:bCs/>
          <w:color w:val="000000"/>
          <w:sz w:val="32"/>
          <w:szCs w:val="32"/>
          <w:highlight w:val="none"/>
        </w:rPr>
        <w:t>六、验收</w:t>
      </w:r>
      <w:bookmarkEnd w:id="54"/>
      <w:bookmarkEnd w:id="55"/>
    </w:p>
    <w:p w14:paraId="12B18A18">
      <w:pPr>
        <w:tabs>
          <w:tab w:val="left" w:pos="0"/>
        </w:tabs>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32.验收</w:t>
      </w:r>
    </w:p>
    <w:p w14:paraId="293831A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default" w:ascii="宋体" w:hAnsi="宋体" w:cs="Helvetica"/>
          <w:color w:val="auto"/>
          <w:kern w:val="0"/>
          <w:sz w:val="21"/>
          <w:szCs w:val="21"/>
          <w:highlight w:val="none"/>
        </w:rPr>
      </w:pPr>
      <w:r>
        <w:rPr>
          <w:rFonts w:hint="eastAsia" w:ascii="宋体" w:hAnsi="宋体" w:cs="Helvetica"/>
          <w:color w:val="auto"/>
          <w:kern w:val="0"/>
          <w:sz w:val="21"/>
          <w:szCs w:val="21"/>
          <w:highlight w:val="none"/>
        </w:rPr>
        <w:t>32.1</w:t>
      </w:r>
      <w:r>
        <w:rPr>
          <w:rFonts w:hint="eastAsia" w:ascii="宋体" w:hAnsi="宋体" w:cs="Helvetica"/>
          <w:color w:val="auto"/>
          <w:kern w:val="0"/>
          <w:sz w:val="21"/>
          <w:szCs w:val="21"/>
          <w:highlight w:val="none"/>
          <w:lang w:eastAsia="zh-CN"/>
        </w:rPr>
        <w:t>按第二章 采购需求</w:t>
      </w:r>
      <w:r>
        <w:rPr>
          <w:rFonts w:hint="eastAsia" w:ascii="宋体" w:hAnsi="宋体" w:cs="Helvetica"/>
          <w:color w:val="auto"/>
          <w:kern w:val="0"/>
          <w:sz w:val="21"/>
          <w:szCs w:val="21"/>
          <w:highlight w:val="none"/>
          <w:lang w:val="en-US" w:eastAsia="zh-CN"/>
        </w:rPr>
        <w:t>和</w:t>
      </w:r>
      <w:r>
        <w:rPr>
          <w:rFonts w:hint="eastAsia" w:ascii="宋体" w:hAnsi="宋体" w:cs="Helvetica"/>
          <w:color w:val="auto"/>
          <w:kern w:val="0"/>
          <w:sz w:val="21"/>
          <w:szCs w:val="21"/>
          <w:highlight w:val="none"/>
          <w:lang w:eastAsia="zh-CN"/>
        </w:rPr>
        <w:t>第六章 合同文本</w:t>
      </w:r>
      <w:r>
        <w:rPr>
          <w:rFonts w:hint="eastAsia" w:ascii="宋体" w:hAnsi="宋体" w:cs="Helvetica"/>
          <w:color w:val="auto"/>
          <w:kern w:val="0"/>
          <w:sz w:val="21"/>
          <w:szCs w:val="21"/>
          <w:highlight w:val="none"/>
          <w:lang w:val="en-US" w:eastAsia="zh-CN"/>
        </w:rPr>
        <w:t>关于验收的相关规定执行。</w:t>
      </w:r>
    </w:p>
    <w:p w14:paraId="25CFD7C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Helvetica"/>
          <w:color w:val="auto"/>
          <w:kern w:val="0"/>
          <w:sz w:val="21"/>
          <w:szCs w:val="21"/>
          <w:highlight w:val="none"/>
        </w:rPr>
        <w:t>32.</w:t>
      </w:r>
      <w:r>
        <w:rPr>
          <w:rFonts w:hint="eastAsia" w:ascii="宋体" w:hAnsi="宋体" w:cs="Helvetica"/>
          <w:color w:val="auto"/>
          <w:kern w:val="0"/>
          <w:sz w:val="21"/>
          <w:szCs w:val="21"/>
          <w:highlight w:val="none"/>
          <w:lang w:val="en-US" w:eastAsia="zh-CN"/>
        </w:rPr>
        <w:t>2</w:t>
      </w:r>
      <w:r>
        <w:rPr>
          <w:rFonts w:hint="eastAsia" w:ascii="宋体" w:hAnsi="宋体" w:cs="Helvetica"/>
          <w:color w:val="auto"/>
          <w:kern w:val="0"/>
          <w:sz w:val="21"/>
          <w:szCs w:val="21"/>
          <w:highlight w:val="none"/>
        </w:rPr>
        <w:t>验收合格的项目，实际使用人将根据采购合同的约定及时向</w:t>
      </w:r>
      <w:r>
        <w:rPr>
          <w:rFonts w:hint="eastAsia" w:ascii="宋体" w:hAnsi="宋体" w:cs="Helvetica"/>
          <w:color w:val="auto"/>
          <w:kern w:val="0"/>
          <w:sz w:val="21"/>
          <w:szCs w:val="21"/>
          <w:highlight w:val="none"/>
          <w:lang w:val="en-US" w:eastAsia="zh-CN"/>
        </w:rPr>
        <w:t>承包人</w:t>
      </w:r>
      <w:r>
        <w:rPr>
          <w:rFonts w:hint="eastAsia" w:ascii="宋体" w:hAnsi="宋体" w:cs="Helvetica"/>
          <w:color w:val="auto"/>
          <w:kern w:val="0"/>
          <w:sz w:val="21"/>
          <w:szCs w:val="21"/>
          <w:highlight w:val="none"/>
        </w:rPr>
        <w:t>支付采购资金。验收不合格的项目，</w:t>
      </w:r>
      <w:r>
        <w:rPr>
          <w:rFonts w:hint="eastAsia" w:ascii="宋体" w:hAnsi="宋体" w:cs="Helvetica"/>
          <w:color w:val="auto"/>
          <w:kern w:val="0"/>
          <w:sz w:val="21"/>
          <w:szCs w:val="21"/>
          <w:highlight w:val="none"/>
          <w:lang w:val="en-US" w:eastAsia="zh-CN"/>
        </w:rPr>
        <w:t>发包人</w:t>
      </w:r>
      <w:r>
        <w:rPr>
          <w:rFonts w:hint="eastAsia" w:ascii="宋体" w:hAnsi="宋体" w:cs="Helvetica"/>
          <w:color w:val="auto"/>
          <w:kern w:val="0"/>
          <w:sz w:val="21"/>
          <w:szCs w:val="21"/>
          <w:highlight w:val="none"/>
        </w:rPr>
        <w:t>将依法及时处理。采购合同的履行、违约责任和解决争议的方式等适用《中华人民共和国民法典》。</w:t>
      </w:r>
    </w:p>
    <w:p w14:paraId="066D06F0">
      <w:pPr>
        <w:keepNext/>
        <w:keepLines/>
        <w:spacing w:line="360" w:lineRule="auto"/>
        <w:ind w:firstLine="321" w:firstLineChars="100"/>
        <w:outlineLvl w:val="2"/>
        <w:rPr>
          <w:rFonts w:ascii="宋体" w:hAnsi="宋体"/>
          <w:b/>
          <w:bCs/>
          <w:color w:val="000000"/>
          <w:sz w:val="32"/>
          <w:szCs w:val="32"/>
          <w:highlight w:val="none"/>
        </w:rPr>
      </w:pPr>
      <w:bookmarkStart w:id="56" w:name="_Toc8784"/>
      <w:r>
        <w:rPr>
          <w:rFonts w:hint="eastAsia" w:ascii="宋体" w:hAnsi="宋体"/>
          <w:b/>
          <w:bCs/>
          <w:color w:val="000000"/>
          <w:sz w:val="32"/>
          <w:szCs w:val="32"/>
          <w:highlight w:val="none"/>
        </w:rPr>
        <w:t>七、其他事项</w:t>
      </w:r>
      <w:bookmarkEnd w:id="56"/>
    </w:p>
    <w:p w14:paraId="40EAEE4A">
      <w:pPr>
        <w:spacing w:line="360" w:lineRule="auto"/>
        <w:ind w:firstLine="482" w:firstLineChars="200"/>
        <w:rPr>
          <w:rFonts w:ascii="宋体" w:hAnsi="宋体" w:cs="宋体"/>
          <w:b/>
          <w:bCs/>
          <w:color w:val="000000"/>
          <w:sz w:val="24"/>
          <w:highlight w:val="none"/>
        </w:rPr>
      </w:pPr>
      <w:r>
        <w:rPr>
          <w:rFonts w:ascii="宋体" w:hAnsi="宋体" w:cs="宋体"/>
          <w:b/>
          <w:bCs/>
          <w:color w:val="000000"/>
          <w:sz w:val="24"/>
          <w:highlight w:val="none"/>
        </w:rPr>
        <w:t>3</w:t>
      </w:r>
      <w:r>
        <w:rPr>
          <w:rFonts w:hint="eastAsia" w:ascii="宋体" w:hAnsi="宋体" w:cs="宋体"/>
          <w:b/>
          <w:bCs/>
          <w:color w:val="000000"/>
          <w:sz w:val="24"/>
          <w:highlight w:val="none"/>
        </w:rPr>
        <w:t>3.代理服务费</w:t>
      </w:r>
    </w:p>
    <w:p w14:paraId="2F3171CB">
      <w:pPr>
        <w:tabs>
          <w:tab w:val="left" w:pos="2835"/>
        </w:tabs>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代理服务收费标准及缴费账户详见“供应商须知前附表”。</w:t>
      </w:r>
    </w:p>
    <w:p w14:paraId="612D0625">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34</w:t>
      </w:r>
      <w:r>
        <w:rPr>
          <w:rFonts w:ascii="宋体" w:hAnsi="宋体" w:cs="宋体"/>
          <w:b/>
          <w:bCs/>
          <w:color w:val="000000"/>
          <w:sz w:val="24"/>
          <w:highlight w:val="none"/>
        </w:rPr>
        <w:t>.需要补充的其他内容</w:t>
      </w:r>
    </w:p>
    <w:p w14:paraId="2D57C63F">
      <w:pPr>
        <w:spacing w:line="360" w:lineRule="auto"/>
        <w:ind w:firstLine="420" w:firstLineChars="200"/>
        <w:textAlignment w:val="center"/>
        <w:rPr>
          <w:rFonts w:ascii="宋体" w:hAnsi="宋体" w:cs="宋体"/>
          <w:color w:val="000000"/>
          <w:szCs w:val="21"/>
          <w:highlight w:val="none"/>
        </w:rPr>
      </w:pPr>
      <w:r>
        <w:rPr>
          <w:rFonts w:hint="eastAsia" w:ascii="宋体" w:hAnsi="宋体" w:cs="宋体"/>
          <w:color w:val="000000"/>
          <w:szCs w:val="21"/>
          <w:highlight w:val="none"/>
        </w:rPr>
        <w:t>34</w:t>
      </w:r>
      <w:r>
        <w:rPr>
          <w:rFonts w:ascii="宋体" w:hAnsi="宋体" w:cs="宋体"/>
          <w:color w:val="000000"/>
          <w:szCs w:val="21"/>
          <w:highlight w:val="none"/>
        </w:rPr>
        <w:t>.1</w:t>
      </w:r>
      <w:r>
        <w:rPr>
          <w:rFonts w:hint="eastAsia" w:ascii="宋体" w:hAnsi="宋体" w:cs="宋体"/>
          <w:color w:val="000000"/>
          <w:szCs w:val="21"/>
          <w:highlight w:val="none"/>
        </w:rPr>
        <w:t>本磋商文件解释规则详见“供应商须知前附表”。</w:t>
      </w:r>
    </w:p>
    <w:p w14:paraId="6BA3F2A0">
      <w:pPr>
        <w:spacing w:line="360" w:lineRule="auto"/>
        <w:ind w:firstLine="420" w:firstLineChars="200"/>
        <w:textAlignment w:val="center"/>
        <w:rPr>
          <w:rFonts w:ascii="宋体" w:hAnsi="宋体" w:cs="宋体"/>
          <w:color w:val="000000"/>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4</w:t>
      </w:r>
      <w:r>
        <w:rPr>
          <w:rFonts w:ascii="宋体" w:hAnsi="宋体" w:cs="宋体"/>
          <w:color w:val="000000"/>
          <w:szCs w:val="21"/>
          <w:highlight w:val="none"/>
        </w:rPr>
        <w:t>.2</w:t>
      </w:r>
      <w:r>
        <w:rPr>
          <w:rFonts w:hint="eastAsia" w:ascii="宋体" w:hAnsi="宋体" w:cs="宋体"/>
          <w:color w:val="000000"/>
          <w:szCs w:val="21"/>
          <w:highlight w:val="none"/>
        </w:rPr>
        <w:t xml:space="preserve"> 其他事项详见“供应商须知前附表”。</w:t>
      </w:r>
    </w:p>
    <w:p w14:paraId="2F5513A4">
      <w:pPr>
        <w:spacing w:line="360" w:lineRule="auto"/>
        <w:ind w:firstLine="420" w:firstLineChars="200"/>
        <w:textAlignment w:val="center"/>
        <w:rPr>
          <w:rFonts w:ascii="宋体" w:hAnsi="宋体" w:cs="宋体"/>
          <w:color w:val="000000"/>
          <w:szCs w:val="21"/>
          <w:highlight w:val="none"/>
        </w:rPr>
      </w:pPr>
      <w:r>
        <w:rPr>
          <w:rFonts w:hint="eastAsia" w:ascii="宋体" w:hAnsi="宋体" w:cs="宋体"/>
          <w:color w:val="000000"/>
          <w:szCs w:val="21"/>
          <w:highlight w:val="none"/>
        </w:rPr>
        <w:t>34</w:t>
      </w:r>
      <w:r>
        <w:rPr>
          <w:rFonts w:ascii="宋体" w:hAnsi="宋体" w:cs="宋体"/>
          <w:color w:val="000000"/>
          <w:szCs w:val="21"/>
          <w:highlight w:val="none"/>
        </w:rPr>
        <w:t>.3</w:t>
      </w:r>
      <w:r>
        <w:rPr>
          <w:rFonts w:hint="eastAsia" w:ascii="宋体" w:hAnsi="宋体" w:cs="宋体"/>
          <w:color w:val="000000"/>
          <w:szCs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olor w:val="000000"/>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000000"/>
          <w:szCs w:val="21"/>
          <w:highlight w:val="none"/>
        </w:rPr>
        <w:t>，享受本文件规定的中小企业扶持政策。</w:t>
      </w:r>
    </w:p>
    <w:p w14:paraId="14643D65">
      <w:pPr>
        <w:spacing w:line="360" w:lineRule="auto"/>
        <w:ind w:firstLine="420" w:firstLineChars="200"/>
        <w:textAlignment w:val="center"/>
        <w:rPr>
          <w:rFonts w:ascii="宋体" w:hAnsi="宋体" w:cs="宋体"/>
          <w:color w:val="000000"/>
          <w:szCs w:val="21"/>
          <w:highlight w:val="none"/>
        </w:rPr>
      </w:pPr>
      <w:r>
        <w:rPr>
          <w:rFonts w:hint="eastAsia" w:ascii="宋体" w:hAnsi="宋体" w:cs="宋体"/>
          <w:color w:val="000000"/>
          <w:szCs w:val="21"/>
          <w:highlight w:val="none"/>
        </w:rPr>
        <w:t>以联合体形式参加政府采购活动，联合体各方均为中小企业的，联合体视同中小企业。其中，联合体各方均为小微企业的，联合体视同小微企业。</w:t>
      </w:r>
    </w:p>
    <w:p w14:paraId="5831D214">
      <w:pPr>
        <w:spacing w:line="360" w:lineRule="auto"/>
        <w:ind w:firstLine="420" w:firstLineChars="200"/>
        <w:textAlignment w:val="center"/>
        <w:rPr>
          <w:rFonts w:ascii="宋体" w:hAnsi="宋体" w:cs="宋体"/>
          <w:color w:val="000000"/>
          <w:szCs w:val="21"/>
          <w:highlight w:val="none"/>
        </w:rPr>
      </w:pPr>
      <w:r>
        <w:rPr>
          <w:rFonts w:hint="eastAsia" w:ascii="宋体" w:hAnsi="宋体" w:cs="宋体"/>
          <w:color w:val="000000"/>
          <w:szCs w:val="21"/>
          <w:highlight w:val="none"/>
        </w:rPr>
        <w:t>依据本文件规定享受扶持政策获得政府采购合同的，小微企业不得将合同分包给大中型企业，中型企业不得将合同分包给大型企业。</w:t>
      </w:r>
    </w:p>
    <w:p w14:paraId="0653B445">
      <w:pPr>
        <w:spacing w:line="360" w:lineRule="auto"/>
        <w:ind w:firstLine="402" w:firstLineChars="200"/>
        <w:textAlignment w:val="center"/>
        <w:rPr>
          <w:rFonts w:ascii="宋体" w:hAnsi="宋体"/>
          <w:color w:val="000000"/>
          <w:kern w:val="0"/>
          <w:sz w:val="20"/>
          <w:szCs w:val="21"/>
          <w:highlight w:val="yellow"/>
        </w:rPr>
      </w:pPr>
      <w:r>
        <w:rPr>
          <w:rFonts w:ascii="宋体" w:hAnsi="宋体"/>
          <w:b/>
          <w:color w:val="000000"/>
          <w:kern w:val="0"/>
          <w:sz w:val="20"/>
          <w:szCs w:val="21"/>
          <w:highlight w:val="yellow"/>
        </w:rPr>
        <w:br w:type="page"/>
      </w:r>
    </w:p>
    <w:p w14:paraId="7274FFF5">
      <w:pPr>
        <w:keepNext/>
        <w:keepLines/>
        <w:spacing w:before="340" w:after="330" w:line="240" w:lineRule="auto"/>
        <w:jc w:val="center"/>
        <w:outlineLvl w:val="0"/>
        <w:rPr>
          <w:rFonts w:ascii="宋体" w:hAnsi="宋体"/>
          <w:b/>
          <w:bCs/>
          <w:color w:val="000000"/>
          <w:kern w:val="44"/>
          <w:sz w:val="44"/>
          <w:szCs w:val="44"/>
          <w:highlight w:val="none"/>
        </w:rPr>
      </w:pPr>
      <w:bookmarkStart w:id="57" w:name="_Toc10035"/>
      <w:r>
        <w:rPr>
          <w:rFonts w:hint="eastAsia" w:ascii="宋体" w:hAnsi="宋体"/>
          <w:b/>
          <w:bCs/>
          <w:color w:val="000000"/>
          <w:kern w:val="44"/>
          <w:sz w:val="44"/>
          <w:szCs w:val="44"/>
          <w:highlight w:val="none"/>
        </w:rPr>
        <w:t>第四章  评审程序、评审方法和评审标准</w:t>
      </w:r>
      <w:bookmarkEnd w:id="57"/>
    </w:p>
    <w:p w14:paraId="6985F54C">
      <w:pPr>
        <w:keepNext/>
        <w:keepLines/>
        <w:spacing w:before="260" w:after="260" w:line="416" w:lineRule="auto"/>
        <w:jc w:val="center"/>
        <w:outlineLvl w:val="1"/>
        <w:rPr>
          <w:rFonts w:ascii="宋体" w:hAnsi="宋体"/>
          <w:bCs/>
          <w:color w:val="000000"/>
          <w:sz w:val="32"/>
          <w:szCs w:val="32"/>
          <w:highlight w:val="none"/>
        </w:rPr>
      </w:pPr>
      <w:bookmarkStart w:id="58" w:name="_Toc14409"/>
      <w:r>
        <w:rPr>
          <w:rFonts w:hint="eastAsia" w:ascii="宋体" w:hAnsi="宋体"/>
          <w:bCs/>
          <w:color w:val="000000"/>
          <w:sz w:val="32"/>
          <w:szCs w:val="32"/>
          <w:highlight w:val="none"/>
        </w:rPr>
        <w:t>第一节 评审程序和评审方法</w:t>
      </w:r>
      <w:bookmarkEnd w:id="58"/>
    </w:p>
    <w:p w14:paraId="57A9AA4F">
      <w:pPr>
        <w:keepNext w:val="0"/>
        <w:keepLines w:val="0"/>
        <w:pageBreakBefore w:val="0"/>
        <w:kinsoku/>
        <w:wordWrap/>
        <w:overflowPunct/>
        <w:topLinePunct w:val="0"/>
        <w:autoSpaceDE/>
        <w:autoSpaceDN/>
        <w:bidi w:val="0"/>
        <w:spacing w:line="440" w:lineRule="exact"/>
        <w:ind w:firstLine="482" w:firstLineChars="200"/>
        <w:textAlignment w:val="auto"/>
        <w:rPr>
          <w:rFonts w:ascii="宋体" w:hAnsi="宋体" w:cs="宋体"/>
          <w:b/>
          <w:bCs/>
          <w:color w:val="000000"/>
          <w:sz w:val="24"/>
          <w:highlight w:val="none"/>
        </w:rPr>
      </w:pPr>
      <w:r>
        <w:rPr>
          <w:rFonts w:ascii="宋体" w:hAnsi="宋体" w:cs="宋体"/>
          <w:b/>
          <w:bCs/>
          <w:color w:val="000000"/>
          <w:sz w:val="24"/>
          <w:highlight w:val="none"/>
        </w:rPr>
        <w:t>1</w:t>
      </w:r>
      <w:r>
        <w:rPr>
          <w:rFonts w:hint="eastAsia" w:ascii="宋体" w:hAnsi="宋体" w:cs="宋体"/>
          <w:b/>
          <w:bCs/>
          <w:color w:val="000000"/>
          <w:sz w:val="24"/>
          <w:highlight w:val="none"/>
        </w:rPr>
        <w:t>.确认磋商文件</w:t>
      </w:r>
    </w:p>
    <w:p w14:paraId="557045E0">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由磋商小组确认磋商文件。</w:t>
      </w:r>
    </w:p>
    <w:p w14:paraId="5300BB77">
      <w:pPr>
        <w:keepNext w:val="0"/>
        <w:keepLines w:val="0"/>
        <w:pageBreakBefore w:val="0"/>
        <w:kinsoku/>
        <w:wordWrap/>
        <w:overflowPunct/>
        <w:topLinePunct w:val="0"/>
        <w:autoSpaceDE/>
        <w:autoSpaceDN/>
        <w:bidi w:val="0"/>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2.资格审查</w:t>
      </w:r>
    </w:p>
    <w:p w14:paraId="0A239B70">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ascii="宋体" w:hAnsi="宋体"/>
          <w:color w:val="000000"/>
          <w:szCs w:val="21"/>
          <w:highlight w:val="none"/>
        </w:rPr>
      </w:pPr>
      <w:r>
        <w:rPr>
          <w:rFonts w:hint="eastAsia" w:ascii="宋体" w:hAnsi="宋体" w:cs="宋体"/>
          <w:color w:val="000000"/>
          <w:szCs w:val="21"/>
          <w:highlight w:val="none"/>
        </w:rPr>
        <w:t>2.1</w:t>
      </w:r>
      <w:r>
        <w:rPr>
          <w:rFonts w:hint="eastAsia" w:ascii="宋体" w:hAnsi="宋体"/>
          <w:color w:val="000000"/>
          <w:szCs w:val="21"/>
          <w:highlight w:val="none"/>
        </w:rPr>
        <w:t>响应文件开启后，磋商小组依法对供应商的资格证明文件进行审查。</w:t>
      </w:r>
    </w:p>
    <w:p w14:paraId="1DCC3B3A">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注：在资格审查结束前，对供应商进行信用查询。</w:t>
      </w:r>
    </w:p>
    <w:p w14:paraId="100846BD">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（1）查询渠道：“</w:t>
      </w:r>
      <w:r>
        <w:rPr>
          <w:rFonts w:hint="eastAsia" w:ascii="宋体" w:hAnsi="宋体" w:cs="宋体"/>
          <w:color w:val="000000"/>
          <w:szCs w:val="21"/>
          <w:highlight w:val="none"/>
          <w:lang w:val="en-US" w:eastAsia="zh-CN"/>
        </w:rPr>
        <w:t>广西政府采购</w:t>
      </w:r>
      <w:r>
        <w:rPr>
          <w:rFonts w:hint="eastAsia" w:ascii="宋体" w:hAnsi="宋体" w:cs="宋体"/>
          <w:color w:val="000000"/>
          <w:szCs w:val="21"/>
          <w:highlight w:val="none"/>
        </w:rPr>
        <w:t>云平台</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“信用中国”网站(</w:t>
      </w:r>
      <w:r>
        <w:rPr>
          <w:rFonts w:ascii="Calibri" w:hAnsi="Calibri"/>
          <w:color w:val="000000"/>
          <w:highlight w:val="none"/>
        </w:rPr>
        <w:fldChar w:fldCharType="begin"/>
      </w:r>
      <w:r>
        <w:rPr>
          <w:rFonts w:ascii="Calibri" w:hAnsi="Calibri"/>
          <w:color w:val="000000"/>
          <w:highlight w:val="none"/>
        </w:rPr>
        <w:instrText xml:space="preserve"> HYPERLINK "http://www.creditchina.gov.cn" </w:instrText>
      </w:r>
      <w:r>
        <w:rPr>
          <w:rFonts w:ascii="Calibri" w:hAnsi="Calibri"/>
          <w:color w:val="000000"/>
          <w:highlight w:val="none"/>
        </w:rPr>
        <w:fldChar w:fldCharType="separate"/>
      </w:r>
      <w:r>
        <w:rPr>
          <w:rFonts w:hint="eastAsia" w:ascii="宋体" w:hAnsi="宋体" w:cs="宋体"/>
          <w:color w:val="000000"/>
          <w:highlight w:val="none"/>
        </w:rPr>
        <w:t>www.creditchina.gov.cn</w:t>
      </w:r>
      <w:r>
        <w:rPr>
          <w:rFonts w:ascii="宋体" w:hAnsi="宋体" w:cs="宋体"/>
          <w:color w:val="000000"/>
          <w:highlight w:val="none"/>
        </w:rPr>
        <w:fldChar w:fldCharType="end"/>
      </w:r>
      <w:r>
        <w:rPr>
          <w:rFonts w:hint="eastAsia" w:ascii="宋体" w:hAnsi="宋体" w:cs="宋体"/>
          <w:color w:val="000000"/>
          <w:szCs w:val="21"/>
          <w:highlight w:val="none"/>
        </w:rPr>
        <w:t>)、中国政府采购网(</w:t>
      </w:r>
      <w:r>
        <w:rPr>
          <w:rFonts w:ascii="Calibri" w:hAnsi="Calibri"/>
          <w:color w:val="000000"/>
          <w:highlight w:val="none"/>
        </w:rPr>
        <w:fldChar w:fldCharType="begin"/>
      </w:r>
      <w:r>
        <w:rPr>
          <w:rFonts w:ascii="Calibri" w:hAnsi="Calibri"/>
          <w:color w:val="000000"/>
          <w:highlight w:val="none"/>
        </w:rPr>
        <w:instrText xml:space="preserve"> HYPERLINK "http://www.ccgp.gov.cn" </w:instrText>
      </w:r>
      <w:r>
        <w:rPr>
          <w:rFonts w:ascii="Calibri" w:hAnsi="Calibri"/>
          <w:color w:val="000000"/>
          <w:highlight w:val="none"/>
        </w:rPr>
        <w:fldChar w:fldCharType="separate"/>
      </w:r>
      <w:r>
        <w:rPr>
          <w:rFonts w:hint="eastAsia" w:ascii="宋体" w:hAnsi="宋体" w:cs="宋体"/>
          <w:color w:val="000000"/>
          <w:highlight w:val="none"/>
        </w:rPr>
        <w:t>www.ccgp.gov.cn</w:t>
      </w:r>
      <w:r>
        <w:rPr>
          <w:rFonts w:ascii="宋体" w:hAnsi="宋体" w:cs="宋体"/>
          <w:color w:val="000000"/>
          <w:highlight w:val="none"/>
        </w:rPr>
        <w:fldChar w:fldCharType="end"/>
      </w:r>
      <w:r>
        <w:rPr>
          <w:rFonts w:hint="eastAsia" w:ascii="宋体" w:hAnsi="宋体" w:cs="宋体"/>
          <w:color w:val="000000"/>
          <w:szCs w:val="21"/>
          <w:highlight w:val="none"/>
        </w:rPr>
        <w:t>)链接入口。</w:t>
      </w:r>
    </w:p>
    <w:p w14:paraId="6FA3F1BF">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（2）信用查询截止时点：资格审查结束前。</w:t>
      </w:r>
    </w:p>
    <w:p w14:paraId="59AD7E43">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查询记录和证据留存方式：在查询网站中直接打印查询记录，另存为电子文档作为评审资料保存。</w:t>
      </w:r>
    </w:p>
    <w:p w14:paraId="6718D1DD">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3AE2C3">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2.2资格审查标准为本磋商文件中载明对供应商资格要求的条件。资格审查采用合格制，凡符合磋商文件规定的供应商资格要求的响应文件均通过资格审查。</w:t>
      </w:r>
    </w:p>
    <w:p w14:paraId="0FA3242C">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2.3供应商有下列情形之一的，资格审查不通过，其响应文件按无效响应处理：</w:t>
      </w:r>
    </w:p>
    <w:p w14:paraId="7431E8D0">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w:t>
      </w:r>
      <w:r>
        <w:rPr>
          <w:rFonts w:hint="eastAsia" w:ascii="宋体" w:hAnsi="宋体" w:cs="宋体"/>
          <w:color w:val="000000"/>
          <w:szCs w:val="21"/>
          <w:highlight w:val="none"/>
        </w:rPr>
        <w:t>）不具备磋商文件中规定的资格要求的；</w:t>
      </w:r>
    </w:p>
    <w:p w14:paraId="1D4126E3">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）响应文件未提供任一项“供应商须知前附表”资格证明文件规定的“必须提供”的文件资料的；</w:t>
      </w:r>
    </w:p>
    <w:p w14:paraId="227BB594">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3</w:t>
      </w:r>
      <w:r>
        <w:rPr>
          <w:rFonts w:hint="eastAsia" w:ascii="宋体" w:hAnsi="宋体" w:cs="宋体"/>
          <w:color w:val="000000"/>
          <w:szCs w:val="21"/>
          <w:highlight w:val="none"/>
        </w:rPr>
        <w:t>）响应文件提供的资格证明文件出现任一项不符合“供应商须知前附表”资格证明文件规定的“必须提供”的文件资料要求或者无效的。</w:t>
      </w:r>
    </w:p>
    <w:p w14:paraId="741A5FDE">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bookmarkStart w:id="59" w:name="_Hlk68601553"/>
      <w:r>
        <w:rPr>
          <w:rFonts w:hint="eastAsia" w:ascii="宋体" w:hAnsi="宋体" w:cs="宋体"/>
          <w:color w:val="000000"/>
          <w:szCs w:val="21"/>
          <w:highlight w:val="none"/>
        </w:rPr>
        <w:t>（4）同一合同项下的不同供应商，单位负责人为同一人或者存在直接控股、管理关系的；为本项目提供过整体设计、规范编制或者项目管理、监理、检测等服务的。</w:t>
      </w:r>
      <w:bookmarkEnd w:id="59"/>
    </w:p>
    <w:p w14:paraId="363650A6">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2.4通过资格审查的合格供应商不足3家的，不得进入符合性审查环节，</w:t>
      </w:r>
      <w:r>
        <w:rPr>
          <w:rFonts w:hint="eastAsia" w:ascii="宋体" w:hAnsi="宋体"/>
          <w:color w:val="000000"/>
          <w:szCs w:val="21"/>
          <w:highlight w:val="none"/>
        </w:rPr>
        <w:t>采购人或者采购代理机构应当重新开展采购活动。</w:t>
      </w:r>
    </w:p>
    <w:p w14:paraId="07976D3C">
      <w:pPr>
        <w:keepNext w:val="0"/>
        <w:keepLines w:val="0"/>
        <w:pageBreakBefore w:val="0"/>
        <w:kinsoku/>
        <w:wordWrap/>
        <w:overflowPunct/>
        <w:topLinePunct w:val="0"/>
        <w:autoSpaceDE/>
        <w:autoSpaceDN/>
        <w:bidi w:val="0"/>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3.符合性审查</w:t>
      </w:r>
    </w:p>
    <w:p w14:paraId="3AE79487">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.1</w:t>
      </w:r>
      <w:r>
        <w:rPr>
          <w:rFonts w:hint="eastAsia" w:ascii="宋体" w:hAnsi="宋体" w:cs="宋体"/>
          <w:color w:val="000000"/>
          <w:szCs w:val="21"/>
          <w:highlight w:val="none"/>
        </w:rPr>
        <w:t>由磋商小组对</w:t>
      </w:r>
      <w:r>
        <w:rPr>
          <w:rFonts w:hint="eastAsia" w:ascii="宋体" w:hAnsi="宋体"/>
          <w:color w:val="000000"/>
          <w:szCs w:val="21"/>
          <w:highlight w:val="none"/>
        </w:rPr>
        <w:t>通过资格审查的合格供应商</w:t>
      </w:r>
      <w:r>
        <w:rPr>
          <w:rFonts w:hint="eastAsia" w:ascii="宋体" w:hAnsi="宋体" w:cs="宋体"/>
          <w:color w:val="000000"/>
          <w:szCs w:val="21"/>
          <w:highlight w:val="none"/>
        </w:rPr>
        <w:t>的响应文件的响应报价、商务、技术等实质性要求进行符合性审查，以确定其是否满足磋商文件的实质性要求。</w:t>
      </w:r>
    </w:p>
    <w:p w14:paraId="3F62FD06">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.2</w:t>
      </w:r>
      <w:r>
        <w:rPr>
          <w:rFonts w:hint="eastAsia" w:ascii="宋体" w:hAnsi="宋体" w:cs="宋体"/>
          <w:color w:val="000000"/>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B210B38">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pacing w:val="-6"/>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3</w:t>
      </w:r>
      <w:r>
        <w:rPr>
          <w:rFonts w:hint="eastAsia" w:ascii="宋体" w:hAnsi="宋体" w:cs="宋体"/>
          <w:color w:val="000000"/>
          <w:szCs w:val="21"/>
          <w:highlight w:val="none"/>
        </w:rPr>
        <w:t>磋商小组要求供应商澄清、说明或者更正响应文件应当以电子澄清函形式作出。供应商的澄清、说明或者更正应当</w:t>
      </w:r>
      <w:r>
        <w:rPr>
          <w:rFonts w:hint="eastAsia" w:ascii="宋体" w:hAnsi="宋体" w:cs="宋体"/>
          <w:color w:val="000000"/>
          <w:szCs w:val="21"/>
          <w:highlight w:val="none"/>
          <w:lang w:val="en-US" w:eastAsia="zh-CN"/>
        </w:rPr>
        <w:t>以</w:t>
      </w:r>
      <w:r>
        <w:rPr>
          <w:rFonts w:hint="eastAsia" w:ascii="宋体" w:hAnsi="宋体" w:cs="宋体"/>
          <w:color w:val="000000"/>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000000"/>
          <w:spacing w:val="-6"/>
          <w:szCs w:val="21"/>
          <w:highlight w:val="none"/>
        </w:rPr>
        <w:t>。供应商为自然人的，必须由本人签字并附身份证明。</w:t>
      </w:r>
    </w:p>
    <w:p w14:paraId="4AB380CA">
      <w:pPr>
        <w:keepNext w:val="0"/>
        <w:keepLines w:val="0"/>
        <w:pageBreakBefore w:val="0"/>
        <w:kinsoku/>
        <w:wordWrap/>
        <w:overflowPunct/>
        <w:topLinePunct w:val="0"/>
        <w:autoSpaceDE/>
        <w:autoSpaceDN/>
        <w:bidi w:val="0"/>
        <w:spacing w:line="440" w:lineRule="exact"/>
        <w:ind w:firstLine="396" w:firstLineChars="200"/>
        <w:textAlignment w:val="auto"/>
        <w:rPr>
          <w:rFonts w:ascii="宋体" w:hAnsi="宋体" w:cs="宋体"/>
          <w:color w:val="000000"/>
          <w:szCs w:val="21"/>
          <w:highlight w:val="none"/>
        </w:rPr>
      </w:pPr>
      <w:r>
        <w:rPr>
          <w:rFonts w:hint="eastAsia" w:ascii="宋体" w:hAnsi="宋体" w:cs="宋体"/>
          <w:color w:val="000000"/>
          <w:spacing w:val="-6"/>
          <w:szCs w:val="21"/>
          <w:highlight w:val="none"/>
        </w:rPr>
        <w:t>3</w:t>
      </w:r>
      <w:r>
        <w:rPr>
          <w:rFonts w:ascii="宋体" w:hAnsi="宋体" w:cs="宋体"/>
          <w:color w:val="000000"/>
          <w:spacing w:val="-6"/>
          <w:szCs w:val="21"/>
          <w:highlight w:val="none"/>
        </w:rPr>
        <w:t>.4</w:t>
      </w:r>
      <w:r>
        <w:rPr>
          <w:rFonts w:hint="eastAsia" w:ascii="宋体" w:hAnsi="宋体" w:cs="宋体"/>
          <w:color w:val="000000"/>
          <w:szCs w:val="21"/>
          <w:highlight w:val="none"/>
        </w:rPr>
        <w:t xml:space="preserve">首次响应文件报价出现前后不一致的，按照下列规定修正： </w:t>
      </w:r>
    </w:p>
    <w:p w14:paraId="0058AE9D">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（1）响应文件中报价表内容与响应文件中相应内容不一致的，以报价表为准；</w:t>
      </w:r>
    </w:p>
    <w:p w14:paraId="18B09A3F">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（2）大写金额和小写金额不一致的，以大写金额为准；</w:t>
      </w:r>
    </w:p>
    <w:p w14:paraId="33235706">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（3）单价金额小数点或者百分比有明显错位的，以报价表的总价为准，并修改单价；</w:t>
      </w:r>
    </w:p>
    <w:p w14:paraId="55DF57A4">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（4）总价金额与按单价汇总金额不一致的，以单价金额计算结果为准。</w:t>
      </w:r>
    </w:p>
    <w:p w14:paraId="513DC2BF">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同时出现两种以上不一致的，按照以上（1）-（4）规定的顺序逐条进行修正。修正后的报价经供应商确认后产生约束力，供应商不确认的，其响应文件按无效响应处理。</w:t>
      </w:r>
    </w:p>
    <w:p w14:paraId="1C95A504">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5</w:t>
      </w:r>
      <w:r>
        <w:rPr>
          <w:rFonts w:hint="eastAsia" w:ascii="宋体" w:hAnsi="宋体" w:cs="宋体"/>
          <w:color w:val="000000"/>
          <w:szCs w:val="21"/>
          <w:highlight w:val="none"/>
        </w:rPr>
        <w:t>商务技术、报价评审</w:t>
      </w:r>
    </w:p>
    <w:p w14:paraId="1E08BDC6">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在评审时，如发现下列情形之一的，将被视为响应文件无效处理：</w:t>
      </w:r>
    </w:p>
    <w:p w14:paraId="6EC4B567">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（1）商务技术评审</w:t>
      </w:r>
    </w:p>
    <w:p w14:paraId="055B2914">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1）响应文件未按磋商文件要求签署、盖章；</w:t>
      </w:r>
    </w:p>
    <w:p w14:paraId="3ECA4BDE">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 xml:space="preserve">2）委托代理人未能出具有效身份证明或者出具的身份证明与授权委托书中的信息不符； </w:t>
      </w:r>
    </w:p>
    <w:p w14:paraId="37178E50">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D5924D7">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4）商务条款中标“▲”的条款发生负偏离的或者允许负偏离的条款数超过“供应商须知前附表”规定项数的或者标明实质性的要求发生负偏离；</w:t>
      </w:r>
    </w:p>
    <w:p w14:paraId="754C7BB2">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5）未对竞标有效期作出响应或者响应文件承诺的竞标有效期不满足磋商文件要求；</w:t>
      </w:r>
    </w:p>
    <w:p w14:paraId="0B4E5139">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6）响应文件的实质性内容未使用中文表述、使用计量单位不符合磋商文件要求；</w:t>
      </w:r>
    </w:p>
    <w:p w14:paraId="5334A2A0">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7）响应文件中的文件资料因填写不齐全或者内容虚假或者出现其他情形而导致被磋商小组认定无效；</w:t>
      </w:r>
    </w:p>
    <w:p w14:paraId="119A81BD">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8）响应文件含有采购人不能接受的附加条件；</w:t>
      </w:r>
    </w:p>
    <w:p w14:paraId="2F0E6273">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9）属于“供应商须知正文”第7.</w:t>
      </w:r>
      <w:r>
        <w:rPr>
          <w:rFonts w:ascii="宋体" w:hAnsi="宋体" w:cs="宋体"/>
          <w:color w:val="000000"/>
          <w:szCs w:val="21"/>
          <w:highlight w:val="none"/>
        </w:rPr>
        <w:t>5</w:t>
      </w:r>
      <w:r>
        <w:rPr>
          <w:rFonts w:hint="eastAsia" w:ascii="宋体" w:hAnsi="宋体" w:cs="宋体"/>
          <w:color w:val="000000"/>
          <w:szCs w:val="21"/>
          <w:highlight w:val="none"/>
        </w:rPr>
        <w:t>条情形；</w:t>
      </w:r>
    </w:p>
    <w:p w14:paraId="75397D26">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10）技术需求允许负偏离的条款数超过“供应商须知前附表”规定项数；</w:t>
      </w:r>
    </w:p>
    <w:p w14:paraId="5D3014CA">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11）虚假竞标，或者出现其他情形而导致被磋商小组认定无效；</w:t>
      </w:r>
    </w:p>
    <w:p w14:paraId="44FD48DC">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12）竞标技术方案不明确，磋商文件未允许</w:t>
      </w:r>
      <w:r>
        <w:rPr>
          <w:rFonts w:hint="eastAsia" w:ascii="宋体" w:hAnsi="宋体"/>
          <w:color w:val="000000"/>
          <w:szCs w:val="21"/>
          <w:highlight w:val="none"/>
        </w:rPr>
        <w:t>但响应文件中</w:t>
      </w:r>
      <w:r>
        <w:rPr>
          <w:rFonts w:hint="eastAsia" w:ascii="宋体" w:hAnsi="宋体" w:cs="宋体"/>
          <w:color w:val="000000"/>
          <w:szCs w:val="21"/>
          <w:highlight w:val="none"/>
        </w:rPr>
        <w:t>存在一个或者一个以上备选（替代）竞标方案；</w:t>
      </w:r>
    </w:p>
    <w:p w14:paraId="6738F8D2">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13）响应文件标注的项目名称或者项目编号与竞争性磋商文件标注的项目名称或者项目编号不一致的；</w:t>
      </w:r>
    </w:p>
    <w:p w14:paraId="0A0F0226">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14）未响应磋商文件实质性要求；</w:t>
      </w:r>
    </w:p>
    <w:p w14:paraId="07023F32">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15）法律、法规和磋商文件规定的其他无效情形。</w:t>
      </w:r>
    </w:p>
    <w:p w14:paraId="18E4194C">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）报价评审</w:t>
      </w:r>
    </w:p>
    <w:p w14:paraId="4B89E05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响应文件未提供“供应商须知前附表”报价文件中规定的“响应报价表”；</w:t>
      </w:r>
    </w:p>
    <w:p w14:paraId="18DC1720">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2）未采用人民币报价或者未按照磋商文件标明的币种报价；</w:t>
      </w:r>
    </w:p>
    <w:p w14:paraId="69D5BC2B">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3）供应商未就所竞标</w:t>
      </w:r>
      <w:r>
        <w:rPr>
          <w:rFonts w:hint="eastAsia" w:ascii="宋体" w:hAnsi="宋体" w:eastAsia="宋体" w:cs="宋体"/>
          <w:color w:val="000000"/>
          <w:sz w:val="21"/>
          <w:szCs w:val="21"/>
          <w:highlight w:val="none"/>
          <w:lang w:eastAsia="zh-CN"/>
        </w:rPr>
        <w:t>的全部内容</w:t>
      </w:r>
      <w:r>
        <w:rPr>
          <w:rFonts w:hint="eastAsia" w:ascii="宋体" w:hAnsi="宋体" w:eastAsia="宋体" w:cs="宋体"/>
          <w:color w:val="000000"/>
          <w:sz w:val="21"/>
          <w:szCs w:val="21"/>
          <w:highlight w:val="none"/>
        </w:rPr>
        <w:t>进行报价或者存在漏项报价；供应商未就所竞标的全部内容作唯一总价报价；供应商响应文件中存在有选择、有条件报价的（磋商文件允许有备选方案或者其他约定的除外）；</w:t>
      </w:r>
    </w:p>
    <w:p w14:paraId="511A8F1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4）响应报价（包含首次报价、最后报价）超过所竞标规定的采购预算金额或者最高限价的（如本项目公布了最高限价）；</w:t>
      </w:r>
    </w:p>
    <w:p w14:paraId="13AE222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5）修正后的报价，供应商不确认的；或者经供应商确认修正后的响应报价（包含首次报价、最后报价）超过所竞标规定的采购预算金额或者最高限价（如本项目公布了最高限价）。</w:t>
      </w:r>
    </w:p>
    <w:p w14:paraId="4B6C3A33">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6）响应文件响应的标的数量及单位与竞争性磋商采购文件要求实质性不一致的。</w:t>
      </w:r>
    </w:p>
    <w:p w14:paraId="291CA5D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7）供应商采用总价优惠或以总价百分比优惠的方式进行响应报价的；</w:t>
      </w:r>
    </w:p>
    <w:p w14:paraId="2F3671D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）供应商已标价工程量清单的项目</w:t>
      </w:r>
      <w:r>
        <w:rPr>
          <w:rFonts w:hint="eastAsia" w:ascii="宋体" w:hAnsi="宋体" w:eastAsia="宋体" w:cs="宋体"/>
          <w:color w:val="000000"/>
          <w:sz w:val="21"/>
          <w:szCs w:val="21"/>
          <w:highlight w:val="none"/>
          <w:lang w:val="en-US" w:eastAsia="zh-CN"/>
        </w:rPr>
        <w:t>名称、项目</w:t>
      </w:r>
      <w:r>
        <w:rPr>
          <w:rFonts w:hint="eastAsia" w:ascii="宋体" w:hAnsi="宋体" w:eastAsia="宋体" w:cs="宋体"/>
          <w:color w:val="000000"/>
          <w:sz w:val="21"/>
          <w:szCs w:val="21"/>
          <w:highlight w:val="none"/>
        </w:rPr>
        <w:t>编码</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或代号</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、计量单位、工程量任何一处与</w:t>
      </w:r>
      <w:r>
        <w:rPr>
          <w:rFonts w:hint="eastAsia" w:ascii="宋体" w:hAnsi="宋体" w:cs="宋体"/>
          <w:color w:val="000000"/>
          <w:sz w:val="21"/>
          <w:szCs w:val="21"/>
          <w:highlight w:val="none"/>
          <w:lang w:val="en-US" w:eastAsia="zh-CN"/>
        </w:rPr>
        <w:t>招标控制价</w:t>
      </w:r>
      <w:r>
        <w:rPr>
          <w:rFonts w:hint="eastAsia" w:ascii="宋体" w:hAnsi="宋体" w:eastAsia="宋体" w:cs="宋体"/>
          <w:color w:val="000000"/>
          <w:sz w:val="21"/>
          <w:szCs w:val="21"/>
          <w:highlight w:val="none"/>
        </w:rPr>
        <w:t>不一致的；</w:t>
      </w:r>
    </w:p>
    <w:p w14:paraId="05AF41B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）供应商已标价工程量清单的项目名称或项目特征与</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控制价</w:t>
      </w:r>
      <w:r>
        <w:rPr>
          <w:rFonts w:hint="eastAsia" w:ascii="宋体" w:hAnsi="宋体" w:eastAsia="宋体" w:cs="宋体"/>
          <w:color w:val="auto"/>
          <w:sz w:val="21"/>
          <w:szCs w:val="21"/>
          <w:highlight w:val="none"/>
        </w:rPr>
        <w:t>不一致，磋商小组要求澄清、说明或补正，但供应商拒绝澄清、说明或补正的；</w:t>
      </w:r>
    </w:p>
    <w:p w14:paraId="35F4549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11）响应函中的报价与已标价的工程量清单汇总表不一致的；</w:t>
      </w:r>
    </w:p>
    <w:p w14:paraId="5FB535E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12）设有暂估价、暂列金额的，响应时未按</w:t>
      </w:r>
      <w:r>
        <w:rPr>
          <w:rFonts w:hint="eastAsia" w:ascii="宋体" w:hAnsi="宋体" w:cs="宋体"/>
          <w:color w:val="auto"/>
          <w:sz w:val="21"/>
          <w:szCs w:val="21"/>
          <w:highlight w:val="none"/>
          <w:lang w:val="en-US" w:eastAsia="zh-CN"/>
        </w:rPr>
        <w:t>招标控制价</w:t>
      </w:r>
      <w:r>
        <w:rPr>
          <w:rFonts w:hint="eastAsia" w:ascii="宋体" w:hAnsi="宋体" w:eastAsia="宋体" w:cs="宋体"/>
          <w:color w:val="auto"/>
          <w:sz w:val="21"/>
          <w:szCs w:val="21"/>
          <w:highlight w:val="none"/>
        </w:rPr>
        <w:t>给出的暂估价总价、暂列金额总价计入</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中的。</w:t>
      </w:r>
    </w:p>
    <w:p w14:paraId="397A6CCE">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8F43767">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rFonts w:hint="eastAsia" w:ascii="宋体" w:hAnsi="宋体" w:cs="宋体"/>
          <w:color w:val="auto"/>
          <w:szCs w:val="21"/>
          <w:highlight w:val="none"/>
        </w:rPr>
        <w:t>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w:t>
      </w:r>
      <w:r>
        <w:rPr>
          <w:rFonts w:hint="eastAsia" w:ascii="宋体" w:hAnsi="宋体"/>
          <w:color w:val="000000"/>
          <w:szCs w:val="21"/>
          <w:highlight w:val="none"/>
        </w:rPr>
        <w:t>《财政部关于政府采购竞争性磋商采购方式管理暂行办法有关问题的补充通知》（财库〔2015〕124号）规定，采购过程中通过符合性审查的供应商（社会资本）只有2家的，磋商采购活动可以继续进行。</w:t>
      </w:r>
    </w:p>
    <w:p w14:paraId="1C1618C4">
      <w:pPr>
        <w:keepNext w:val="0"/>
        <w:keepLines w:val="0"/>
        <w:pageBreakBefore w:val="0"/>
        <w:kinsoku/>
        <w:wordWrap/>
        <w:overflowPunct/>
        <w:topLinePunct w:val="0"/>
        <w:autoSpaceDE/>
        <w:autoSpaceDN/>
        <w:bidi w:val="0"/>
        <w:spacing w:line="440" w:lineRule="exact"/>
        <w:ind w:firstLine="482" w:firstLineChars="200"/>
        <w:textAlignment w:val="auto"/>
        <w:rPr>
          <w:rFonts w:ascii="宋体" w:hAnsi="宋体" w:cs="宋体"/>
          <w:b/>
          <w:bCs/>
          <w:color w:val="000000"/>
          <w:sz w:val="24"/>
          <w:highlight w:val="none"/>
        </w:rPr>
      </w:pPr>
      <w:r>
        <w:rPr>
          <w:rFonts w:hint="eastAsia" w:ascii="宋体" w:hAnsi="宋体" w:cs="宋体"/>
          <w:b/>
          <w:bCs/>
          <w:color w:val="000000"/>
          <w:sz w:val="24"/>
          <w:highlight w:val="none"/>
        </w:rPr>
        <w:t>4.磋商程序</w:t>
      </w:r>
    </w:p>
    <w:p w14:paraId="4F055E69">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4</w:t>
      </w:r>
      <w:r>
        <w:rPr>
          <w:rFonts w:ascii="宋体" w:hAnsi="宋体" w:cs="宋体"/>
          <w:color w:val="000000"/>
          <w:kern w:val="0"/>
          <w:szCs w:val="21"/>
          <w:highlight w:val="none"/>
        </w:rPr>
        <w:t>.1</w:t>
      </w:r>
      <w:r>
        <w:rPr>
          <w:rFonts w:hint="eastAsia" w:ascii="宋体" w:hAnsi="宋体" w:cs="宋体"/>
          <w:color w:val="000000"/>
          <w:kern w:val="0"/>
          <w:szCs w:val="21"/>
          <w:highlight w:val="none"/>
        </w:rPr>
        <w:t>磋商小组按照“供应商须知前附表”确定的</w:t>
      </w:r>
      <w:r>
        <w:rPr>
          <w:rFonts w:hint="eastAsia" w:ascii="宋体" w:hAnsi="宋体" w:cs="宋体"/>
          <w:color w:val="000000"/>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8698855">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.2</w:t>
      </w:r>
      <w:r>
        <w:rPr>
          <w:rFonts w:hint="eastAsia" w:ascii="宋体" w:hAnsi="宋体" w:cs="宋体"/>
          <w:color w:val="000000"/>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92B46D">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.3</w:t>
      </w:r>
      <w:r>
        <w:rPr>
          <w:rFonts w:hint="eastAsia" w:ascii="宋体" w:hAnsi="宋体" w:cs="宋体"/>
          <w:color w:val="000000"/>
          <w:szCs w:val="21"/>
          <w:highlight w:val="none"/>
        </w:rPr>
        <w:t>对磋商文件作出的实质性变动是磋商文件的有效组成部分，由磋商小组及时以电子澄清函形式同时通知所有参加磋商的供应商。</w:t>
      </w:r>
    </w:p>
    <w:p w14:paraId="10F85FB8">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.4</w:t>
      </w:r>
      <w:r>
        <w:rPr>
          <w:rFonts w:hint="eastAsia" w:ascii="宋体" w:hAnsi="宋体" w:cs="宋体"/>
          <w:color w:val="000000"/>
          <w:szCs w:val="21"/>
          <w:highlight w:val="none"/>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01CEF84">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.5</w:t>
      </w:r>
      <w:r>
        <w:rPr>
          <w:rFonts w:hint="eastAsia" w:ascii="宋体" w:hAnsi="宋体" w:cs="宋体"/>
          <w:color w:val="000000"/>
          <w:szCs w:val="21"/>
          <w:highlight w:val="none"/>
        </w:rPr>
        <w:t>磋商中，</w:t>
      </w:r>
      <w:r>
        <w:rPr>
          <w:rFonts w:hint="eastAsia" w:ascii="宋体" w:hAnsi="宋体" w:cs="宋体"/>
          <w:color w:val="000000"/>
          <w:spacing w:val="-6"/>
          <w:szCs w:val="21"/>
          <w:highlight w:val="none"/>
        </w:rPr>
        <w:t>磋商的任何一方不得透露与磋商有关的其他供应商的技术资料、价格和其他信息。</w:t>
      </w:r>
    </w:p>
    <w:p w14:paraId="0F6EDBA7">
      <w:pPr>
        <w:keepNext w:val="0"/>
        <w:keepLines w:val="0"/>
        <w:pageBreakBefore w:val="0"/>
        <w:widowControl/>
        <w:tabs>
          <w:tab w:val="left" w:pos="540"/>
        </w:tabs>
        <w:kinsoku/>
        <w:wordWrap/>
        <w:overflowPunct/>
        <w:topLinePunct w:val="0"/>
        <w:autoSpaceDE/>
        <w:autoSpaceDN/>
        <w:bidi w:val="0"/>
        <w:spacing w:line="440" w:lineRule="exact"/>
        <w:ind w:firstLine="420" w:firstLineChars="200"/>
        <w:jc w:val="left"/>
        <w:textAlignment w:val="auto"/>
        <w:rPr>
          <w:rFonts w:ascii="宋体" w:hAnsi="宋体" w:cs="仿宋_GB2312"/>
          <w:b/>
          <w:color w:val="000000"/>
          <w:highlight w:val="none"/>
        </w:rPr>
      </w:pPr>
      <w:r>
        <w:rPr>
          <w:rFonts w:hint="eastAsia" w:ascii="宋体" w:hAnsi="宋体" w:cs="宋体"/>
          <w:color w:val="000000"/>
          <w:szCs w:val="21"/>
          <w:highlight w:val="none"/>
        </w:rPr>
        <w:t>4</w:t>
      </w:r>
      <w:r>
        <w:rPr>
          <w:rFonts w:ascii="宋体" w:hAnsi="宋体" w:cs="宋体"/>
          <w:color w:val="000000"/>
          <w:szCs w:val="21"/>
          <w:highlight w:val="none"/>
        </w:rPr>
        <w:t>.6</w:t>
      </w:r>
      <w:r>
        <w:rPr>
          <w:rFonts w:hint="eastAsia" w:ascii="宋体" w:hAnsi="宋体" w:cs="宋体"/>
          <w:color w:val="000000"/>
          <w:szCs w:val="21"/>
          <w:highlight w:val="none"/>
        </w:rPr>
        <w:t>磋商小组应对磋商过程和重要磋商内容进行记录，作为评标报告一部分，磋商小组在记录上签字确认。</w:t>
      </w:r>
      <w:r>
        <w:rPr>
          <w:rFonts w:hint="eastAsia" w:ascii="宋体" w:hAnsi="宋体" w:cs="仿宋_GB2312"/>
          <w:b/>
          <w:color w:val="000000"/>
          <w:highlight w:val="none"/>
        </w:rPr>
        <w:t>主要内容包括：</w:t>
      </w:r>
    </w:p>
    <w:p w14:paraId="0B236739">
      <w:pPr>
        <w:keepNext w:val="0"/>
        <w:keepLines w:val="0"/>
        <w:pageBreakBefore w:val="0"/>
        <w:kinsoku/>
        <w:wordWrap/>
        <w:overflowPunct/>
        <w:topLinePunct w:val="0"/>
        <w:autoSpaceDE/>
        <w:autoSpaceDN/>
        <w:bidi w:val="0"/>
        <w:adjustRightInd w:val="0"/>
        <w:spacing w:line="440" w:lineRule="exact"/>
        <w:ind w:firstLine="396" w:firstLineChars="200"/>
        <w:textAlignment w:val="auto"/>
        <w:rPr>
          <w:rFonts w:ascii="宋体" w:hAnsi="宋体" w:cs="宋体"/>
          <w:color w:val="000000"/>
          <w:spacing w:val="-6"/>
          <w:szCs w:val="21"/>
          <w:highlight w:val="none"/>
        </w:rPr>
      </w:pPr>
      <w:r>
        <w:rPr>
          <w:rFonts w:hint="eastAsia" w:ascii="宋体" w:hAnsi="宋体" w:cs="宋体"/>
          <w:color w:val="000000"/>
          <w:spacing w:val="-6"/>
          <w:szCs w:val="21"/>
          <w:highlight w:val="none"/>
        </w:rPr>
        <w:t>（1）按照相关规定进行公示的，公示情况说明；</w:t>
      </w:r>
    </w:p>
    <w:p w14:paraId="103273E9">
      <w:pPr>
        <w:keepNext w:val="0"/>
        <w:keepLines w:val="0"/>
        <w:pageBreakBefore w:val="0"/>
        <w:kinsoku/>
        <w:wordWrap/>
        <w:overflowPunct/>
        <w:topLinePunct w:val="0"/>
        <w:autoSpaceDE/>
        <w:autoSpaceDN/>
        <w:bidi w:val="0"/>
        <w:adjustRightInd w:val="0"/>
        <w:spacing w:line="440" w:lineRule="exact"/>
        <w:ind w:firstLine="396" w:firstLineChars="200"/>
        <w:textAlignment w:val="auto"/>
        <w:rPr>
          <w:rFonts w:ascii="宋体" w:hAnsi="宋体" w:cs="宋体"/>
          <w:color w:val="000000"/>
          <w:spacing w:val="-6"/>
          <w:szCs w:val="21"/>
          <w:highlight w:val="none"/>
        </w:rPr>
      </w:pPr>
      <w:r>
        <w:rPr>
          <w:rFonts w:hint="eastAsia" w:ascii="宋体" w:hAnsi="宋体" w:cs="宋体"/>
          <w:color w:val="000000"/>
          <w:spacing w:val="-6"/>
          <w:szCs w:val="21"/>
          <w:highlight w:val="none"/>
        </w:rPr>
        <w:t>（2）磋商日期和地点，磋商人员名单；</w:t>
      </w:r>
    </w:p>
    <w:p w14:paraId="28B24AE1">
      <w:pPr>
        <w:keepNext w:val="0"/>
        <w:keepLines w:val="0"/>
        <w:pageBreakBefore w:val="0"/>
        <w:kinsoku/>
        <w:wordWrap/>
        <w:overflowPunct/>
        <w:topLinePunct w:val="0"/>
        <w:autoSpaceDE/>
        <w:autoSpaceDN/>
        <w:bidi w:val="0"/>
        <w:adjustRightInd w:val="0"/>
        <w:spacing w:line="440" w:lineRule="exact"/>
        <w:ind w:firstLine="396" w:firstLineChars="200"/>
        <w:textAlignment w:val="auto"/>
        <w:rPr>
          <w:rFonts w:ascii="宋体" w:hAnsi="宋体" w:cs="宋体"/>
          <w:color w:val="000000"/>
          <w:spacing w:val="-6"/>
          <w:szCs w:val="21"/>
          <w:highlight w:val="none"/>
        </w:rPr>
      </w:pPr>
      <w:r>
        <w:rPr>
          <w:rFonts w:hint="eastAsia" w:ascii="宋体" w:hAnsi="宋体" w:cs="宋体"/>
          <w:color w:val="000000"/>
          <w:spacing w:val="-6"/>
          <w:szCs w:val="21"/>
          <w:highlight w:val="none"/>
        </w:rPr>
        <w:t>（3）合同主要条款及价格商定情况。</w:t>
      </w:r>
    </w:p>
    <w:p w14:paraId="1940993C">
      <w:pPr>
        <w:keepNext w:val="0"/>
        <w:keepLines w:val="0"/>
        <w:pageBreakBefore w:val="0"/>
        <w:widowControl/>
        <w:tabs>
          <w:tab w:val="left" w:pos="540"/>
        </w:tabs>
        <w:kinsoku/>
        <w:wordWrap/>
        <w:overflowPunct/>
        <w:topLinePunct w:val="0"/>
        <w:autoSpaceDE/>
        <w:autoSpaceDN/>
        <w:bidi w:val="0"/>
        <w:spacing w:line="440" w:lineRule="exact"/>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7</w:t>
      </w:r>
      <w:r>
        <w:rPr>
          <w:rFonts w:hint="eastAsia" w:ascii="宋体" w:hAnsi="宋体" w:cs="宋体"/>
          <w:color w:val="000000"/>
          <w:szCs w:val="21"/>
          <w:highlight w:val="none"/>
        </w:rPr>
        <w:t>磋商过程中重新提交的响应文件，供应商可以在开启前补充、修改。</w:t>
      </w:r>
    </w:p>
    <w:p w14:paraId="27B48C69">
      <w:pPr>
        <w:keepNext w:val="0"/>
        <w:keepLines w:val="0"/>
        <w:pageBreakBefore w:val="0"/>
        <w:tabs>
          <w:tab w:val="left" w:pos="2835"/>
        </w:tabs>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.8</w:t>
      </w:r>
      <w:r>
        <w:rPr>
          <w:rFonts w:hint="eastAsia" w:ascii="宋体" w:hAnsi="宋体"/>
          <w:color w:val="000000"/>
          <w:szCs w:val="21"/>
          <w:highlight w:val="none"/>
        </w:rPr>
        <w:t>对磋商过程提交的响应文件进行有效性、完整性和响应程度审查，通过审查的合格供应商不足3家的，采购人或者采购代理机构应当重新开展采购活动。</w:t>
      </w:r>
    </w:p>
    <w:p w14:paraId="751265BC">
      <w:pPr>
        <w:keepNext w:val="0"/>
        <w:keepLines w:val="0"/>
        <w:pageBreakBefore w:val="0"/>
        <w:kinsoku/>
        <w:wordWrap/>
        <w:overflowPunct/>
        <w:topLinePunct w:val="0"/>
        <w:autoSpaceDE/>
        <w:autoSpaceDN/>
        <w:bidi w:val="0"/>
        <w:spacing w:line="440" w:lineRule="exact"/>
        <w:ind w:firstLine="200"/>
        <w:textAlignment w:val="auto"/>
        <w:rPr>
          <w:rFonts w:ascii="宋体" w:hAnsi="宋体" w:cs="宋体"/>
          <w:color w:val="000000"/>
          <w:szCs w:val="21"/>
          <w:highlight w:val="none"/>
        </w:rPr>
      </w:pPr>
      <w:r>
        <w:rPr>
          <w:rFonts w:hint="eastAsia" w:ascii="宋体" w:hAnsi="宋体" w:cs="宋体"/>
          <w:b/>
          <w:bCs/>
          <w:color w:val="000000"/>
          <w:sz w:val="24"/>
          <w:highlight w:val="none"/>
        </w:rPr>
        <w:t>5</w:t>
      </w:r>
      <w:r>
        <w:rPr>
          <w:rFonts w:ascii="宋体" w:hAnsi="宋体" w:cs="宋体"/>
          <w:b/>
          <w:bCs/>
          <w:color w:val="000000"/>
          <w:sz w:val="24"/>
          <w:highlight w:val="none"/>
        </w:rPr>
        <w:t>.</w:t>
      </w:r>
      <w:r>
        <w:rPr>
          <w:rFonts w:hint="eastAsia" w:ascii="宋体" w:hAnsi="宋体" w:cs="宋体"/>
          <w:b/>
          <w:bCs/>
          <w:color w:val="000000"/>
          <w:sz w:val="24"/>
          <w:highlight w:val="none"/>
        </w:rPr>
        <w:t xml:space="preserve"> 最后报价</w:t>
      </w:r>
    </w:p>
    <w:p w14:paraId="52EF2E0B">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cs="宋体"/>
          <w:color w:val="000000"/>
          <w:szCs w:val="21"/>
          <w:highlight w:val="none"/>
        </w:rPr>
        <w:t>.1</w:t>
      </w:r>
      <w:r>
        <w:rPr>
          <w:rFonts w:hint="eastAsia" w:ascii="宋体" w:hAnsi="宋体" w:cs="宋体"/>
          <w:color w:val="000000"/>
          <w:szCs w:val="21"/>
          <w:highlight w:val="none"/>
        </w:rPr>
        <w:t>磋商文件能够详细列明采购标的的技术、服务要求的，磋商结束后，由磋商小组要求所有继续参加磋商的供应商在规定时间内密封提交最后报价，除本章第5</w:t>
      </w:r>
      <w:r>
        <w:rPr>
          <w:rFonts w:ascii="宋体" w:hAnsi="宋体" w:cs="宋体"/>
          <w:color w:val="000000"/>
          <w:szCs w:val="21"/>
          <w:highlight w:val="none"/>
        </w:rPr>
        <w:t>.3</w:t>
      </w:r>
      <w:r>
        <w:rPr>
          <w:rFonts w:hint="eastAsia" w:ascii="宋体" w:hAnsi="宋体" w:cs="宋体"/>
          <w:color w:val="000000"/>
          <w:szCs w:val="21"/>
          <w:highlight w:val="none"/>
        </w:rPr>
        <w:t>条外，提交最后报价的供应商不得少于3家，否则必须重新采购。</w:t>
      </w:r>
    </w:p>
    <w:p w14:paraId="649CC33B">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cs="宋体"/>
          <w:color w:val="000000"/>
          <w:szCs w:val="21"/>
          <w:highlight w:val="none"/>
        </w:rPr>
        <w:t>.2</w:t>
      </w:r>
      <w:r>
        <w:rPr>
          <w:rFonts w:hint="eastAsia" w:ascii="宋体" w:hAnsi="宋体" w:cs="宋体"/>
          <w:color w:val="000000"/>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B50A85E">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cs="宋体"/>
          <w:color w:val="000000"/>
          <w:szCs w:val="21"/>
          <w:highlight w:val="none"/>
        </w:rPr>
        <w:t>.3</w:t>
      </w:r>
      <w:r>
        <w:rPr>
          <w:rFonts w:hint="eastAsia" w:ascii="宋体" w:hAnsi="宋体" w:cs="宋体"/>
          <w:color w:val="000000"/>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9994327">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cs="宋体"/>
          <w:color w:val="000000"/>
          <w:szCs w:val="21"/>
          <w:highlight w:val="none"/>
        </w:rPr>
        <w:t>.4</w:t>
      </w:r>
      <w:r>
        <w:rPr>
          <w:rFonts w:hint="eastAsia" w:ascii="宋体" w:hAnsi="宋体" w:cs="宋体"/>
          <w:color w:val="000000"/>
          <w:szCs w:val="21"/>
          <w:highlight w:val="none"/>
        </w:rPr>
        <w:t>已经提交响应文件的供应商，在提交最后报价之前，可以根据磋商情况退出磋商，退出磋商的供应商的响应文件按无效响应处理。</w:t>
      </w:r>
    </w:p>
    <w:p w14:paraId="7E529BD8">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cs="宋体"/>
          <w:color w:val="000000"/>
          <w:szCs w:val="21"/>
          <w:highlight w:val="none"/>
        </w:rPr>
        <w:t>.5</w:t>
      </w:r>
      <w:r>
        <w:rPr>
          <w:rFonts w:hint="eastAsia" w:ascii="宋体" w:hAnsi="宋体" w:cs="宋体"/>
          <w:color w:val="000000"/>
          <w:szCs w:val="21"/>
          <w:highlight w:val="none"/>
        </w:rPr>
        <w:t>供应商未在规定时间内提交最后报价的，视同退出磋商。</w:t>
      </w:r>
    </w:p>
    <w:p w14:paraId="5BF8BF89">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cs="宋体"/>
          <w:color w:val="000000"/>
          <w:szCs w:val="21"/>
          <w:highlight w:val="none"/>
        </w:rPr>
        <w:t>.6</w:t>
      </w:r>
      <w:r>
        <w:rPr>
          <w:rFonts w:hint="eastAsia" w:ascii="宋体" w:hAnsi="宋体" w:cs="宋体"/>
          <w:color w:val="000000"/>
          <w:szCs w:val="21"/>
          <w:highlight w:val="none"/>
        </w:rPr>
        <w:t>磋商小组收齐某一分标最后报价后统一开启，磋商小组对最后报价进行有效性、完整性和响应程度的审查。</w:t>
      </w:r>
    </w:p>
    <w:p w14:paraId="7F6E09B0">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cs="宋体"/>
          <w:color w:val="000000"/>
          <w:szCs w:val="21"/>
          <w:highlight w:val="none"/>
        </w:rPr>
        <w:t>.7</w:t>
      </w:r>
      <w:r>
        <w:rPr>
          <w:rFonts w:hint="eastAsia" w:ascii="宋体" w:hAnsi="宋体" w:cs="宋体"/>
          <w:color w:val="000000"/>
          <w:szCs w:val="21"/>
          <w:highlight w:val="none"/>
        </w:rPr>
        <w:t>最终响应文件的报价出现前后不一致的，按照本章第3</w:t>
      </w:r>
      <w:r>
        <w:rPr>
          <w:rFonts w:ascii="宋体" w:hAnsi="宋体" w:cs="宋体"/>
          <w:color w:val="000000"/>
          <w:szCs w:val="21"/>
          <w:highlight w:val="none"/>
        </w:rPr>
        <w:t>.4</w:t>
      </w:r>
      <w:r>
        <w:rPr>
          <w:rFonts w:hint="eastAsia" w:ascii="宋体" w:hAnsi="宋体" w:cs="宋体"/>
          <w:color w:val="000000"/>
          <w:szCs w:val="21"/>
          <w:highlight w:val="none"/>
        </w:rPr>
        <w:t xml:space="preserve">条的规定修正。 </w:t>
      </w:r>
    </w:p>
    <w:p w14:paraId="1265F59C">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cs="宋体"/>
          <w:color w:val="000000"/>
          <w:szCs w:val="21"/>
          <w:highlight w:val="none"/>
        </w:rPr>
        <w:t>.8</w:t>
      </w:r>
      <w:r>
        <w:rPr>
          <w:rFonts w:hint="eastAsia" w:ascii="宋体" w:hAnsi="宋体" w:cs="宋体"/>
          <w:color w:val="000000"/>
          <w:szCs w:val="21"/>
          <w:highlight w:val="none"/>
        </w:rPr>
        <w:t>修正后的最终报价出现下列情形的，按无效响应处理：</w:t>
      </w:r>
    </w:p>
    <w:p w14:paraId="4CC79242">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（1）供应商不确认的（全流程电子化评标采取在线确认）；</w:t>
      </w:r>
    </w:p>
    <w:p w14:paraId="4452029A">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（2）经供应商确认修正后的响应报价（包含首次报价、最后报价）超过所竞标分标规定的采购预算金额或者最高限价的（如本项目公布了最高限价）；</w:t>
      </w:r>
    </w:p>
    <w:p w14:paraId="6EE98DF1">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（3）经供应商确认修正后的响应报价（包含首次报价、最后报价）超过分项采购预算金额或者最高限价的（如本项目公布了最高限价）。</w:t>
      </w:r>
    </w:p>
    <w:p w14:paraId="1079A496">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cs="宋体"/>
          <w:color w:val="000000"/>
          <w:szCs w:val="21"/>
          <w:highlight w:val="none"/>
        </w:rPr>
        <w:t>.9</w:t>
      </w:r>
      <w:r>
        <w:rPr>
          <w:rFonts w:hint="eastAsia" w:ascii="宋体" w:hAnsi="宋体" w:cs="宋体"/>
          <w:color w:val="000000"/>
          <w:szCs w:val="21"/>
          <w:highlight w:val="none"/>
        </w:rPr>
        <w:t>经供应商确认修正后的最后报价作为评审及签订合同的依据。</w:t>
      </w:r>
    </w:p>
    <w:p w14:paraId="2E70A1B3">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5.10供应商出现最后报价按无效响应处理或者响应文件按无效处理时</w:t>
      </w:r>
      <w:r>
        <w:rPr>
          <w:rFonts w:hint="eastAsia" w:ascii="宋体" w:hAnsi="宋体"/>
          <w:color w:val="000000"/>
          <w:sz w:val="22"/>
          <w:szCs w:val="22"/>
          <w:highlight w:val="none"/>
        </w:rPr>
        <w:t>，磋商小组应当告知有关供应商</w:t>
      </w:r>
      <w:r>
        <w:rPr>
          <w:rFonts w:hint="eastAsia" w:ascii="宋体" w:hAnsi="宋体" w:cs="宋体"/>
          <w:color w:val="000000"/>
          <w:szCs w:val="21"/>
          <w:highlight w:val="none"/>
        </w:rPr>
        <w:t>。</w:t>
      </w:r>
    </w:p>
    <w:p w14:paraId="783E8297">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ascii="宋体" w:hAnsi="宋体" w:cs="宋体"/>
          <w:color w:val="000000"/>
          <w:szCs w:val="21"/>
          <w:highlight w:val="none"/>
        </w:rPr>
        <w:t>5.1</w:t>
      </w:r>
      <w:r>
        <w:rPr>
          <w:rFonts w:hint="eastAsia" w:ascii="宋体" w:hAnsi="宋体" w:cs="宋体"/>
          <w:color w:val="000000"/>
          <w:szCs w:val="21"/>
          <w:highlight w:val="none"/>
        </w:rPr>
        <w:t>1最后报价结束后，磋商小组不得再与供应商进行任何形式的商谈。</w:t>
      </w:r>
    </w:p>
    <w:p w14:paraId="19F95DEC">
      <w:pPr>
        <w:keepNext w:val="0"/>
        <w:keepLines w:val="0"/>
        <w:pageBreakBefore w:val="0"/>
        <w:kinsoku/>
        <w:wordWrap/>
        <w:overflowPunct/>
        <w:topLinePunct w:val="0"/>
        <w:autoSpaceDE/>
        <w:autoSpaceDN/>
        <w:bidi w:val="0"/>
        <w:spacing w:line="440" w:lineRule="exact"/>
        <w:ind w:firstLine="200"/>
        <w:textAlignment w:val="auto"/>
        <w:rPr>
          <w:rFonts w:ascii="宋体" w:hAnsi="宋体" w:cs="宋体"/>
          <w:b/>
          <w:bCs/>
          <w:color w:val="000000"/>
          <w:sz w:val="24"/>
          <w:highlight w:val="none"/>
        </w:rPr>
      </w:pPr>
      <w:r>
        <w:rPr>
          <w:rFonts w:hint="eastAsia" w:ascii="宋体" w:hAnsi="宋体" w:cs="宋体"/>
          <w:b/>
          <w:bCs/>
          <w:color w:val="000000"/>
          <w:sz w:val="24"/>
          <w:highlight w:val="none"/>
        </w:rPr>
        <w:t>6</w:t>
      </w:r>
      <w:r>
        <w:rPr>
          <w:rFonts w:ascii="宋体" w:hAnsi="宋体" w:cs="宋体"/>
          <w:b/>
          <w:bCs/>
          <w:color w:val="000000"/>
          <w:sz w:val="24"/>
          <w:highlight w:val="none"/>
        </w:rPr>
        <w:t>.</w:t>
      </w:r>
      <w:r>
        <w:rPr>
          <w:rFonts w:hint="eastAsia" w:ascii="宋体" w:hAnsi="宋体" w:cs="宋体"/>
          <w:b/>
          <w:bCs/>
          <w:color w:val="000000"/>
          <w:sz w:val="24"/>
          <w:highlight w:val="none"/>
        </w:rPr>
        <w:t>比较与评价</w:t>
      </w:r>
    </w:p>
    <w:p w14:paraId="26005340">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6</w:t>
      </w:r>
      <w:r>
        <w:rPr>
          <w:rFonts w:ascii="宋体" w:hAnsi="宋体" w:cs="宋体"/>
          <w:color w:val="000000"/>
          <w:szCs w:val="21"/>
          <w:highlight w:val="none"/>
        </w:rPr>
        <w:t>.1</w:t>
      </w:r>
      <w:r>
        <w:rPr>
          <w:rFonts w:hint="eastAsia" w:ascii="宋体" w:hAnsi="宋体" w:cs="宋体"/>
          <w:color w:val="000000"/>
          <w:szCs w:val="21"/>
          <w:highlight w:val="none"/>
        </w:rPr>
        <w:t>评审方法：综合评分法。</w:t>
      </w:r>
    </w:p>
    <w:p w14:paraId="2EA8B16F">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ascii="宋体" w:hAnsi="宋体" w:cs="宋体"/>
          <w:color w:val="000000"/>
          <w:szCs w:val="21"/>
          <w:highlight w:val="none"/>
        </w:rPr>
        <w:t>6.2</w:t>
      </w:r>
      <w:r>
        <w:rPr>
          <w:rFonts w:hint="eastAsia" w:ascii="宋体" w:hAnsi="宋体" w:cs="宋体"/>
          <w:color w:val="000000"/>
          <w:szCs w:val="21"/>
          <w:highlight w:val="none"/>
        </w:rPr>
        <w:t>经磋商确定最终采购需求和提交最后报价的供应商后，由磋商小组采用综合评分法对提交最后报价的供应商的响应文件和最后报价进行综合评分。</w:t>
      </w:r>
    </w:p>
    <w:p w14:paraId="290ED622">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ascii="宋体" w:hAnsi="宋体" w:cs="宋体"/>
          <w:color w:val="000000"/>
          <w:szCs w:val="21"/>
          <w:highlight w:val="none"/>
        </w:rPr>
        <w:t>6.3</w:t>
      </w:r>
      <w:r>
        <w:rPr>
          <w:rFonts w:hint="eastAsia" w:ascii="宋体" w:hAnsi="宋体" w:cs="宋体"/>
          <w:color w:val="000000"/>
          <w:szCs w:val="21"/>
          <w:highlight w:val="none"/>
        </w:rPr>
        <w:t>评审时，磋商小组各成员应当独立对每个有效响应的文件进行评价、打分，然后汇总每个供应商每项评分因素的得分。</w:t>
      </w:r>
    </w:p>
    <w:p w14:paraId="75526C55">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FCEBE0D">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（2）磋商小组按照磋商文件中规定的评审标准计算各供应商的报价得分。项目评审过程中，不得去掉最后报价中的最高报价和最低报价。</w:t>
      </w:r>
    </w:p>
    <w:p w14:paraId="0634CB3F">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（3）各供应商的得分为磋商小组所有成员的有效评分的算术平均数。</w:t>
      </w:r>
    </w:p>
    <w:p w14:paraId="1ABB2300">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color w:val="000000"/>
          <w:szCs w:val="21"/>
          <w:highlight w:val="none"/>
        </w:rPr>
      </w:pPr>
      <w:r>
        <w:rPr>
          <w:rFonts w:ascii="宋体" w:hAnsi="宋体" w:cs="宋体"/>
          <w:color w:val="000000"/>
          <w:szCs w:val="21"/>
          <w:highlight w:val="none"/>
        </w:rPr>
        <w:t>6.4</w:t>
      </w:r>
      <w:r>
        <w:rPr>
          <w:rFonts w:hint="eastAsia" w:ascii="宋体" w:hAnsi="宋体" w:cs="宋体"/>
          <w:color w:val="000000"/>
          <w:szCs w:val="21"/>
          <w:highlight w:val="none"/>
        </w:rPr>
        <w:t>评审价为供应商的最后报价进行政策性扣除后的价格，评审价只是作为评审时使用。最终成交供应商的成交金额等于最后报价（如有修正，以确认修正后的最后报价为准）。</w:t>
      </w:r>
    </w:p>
    <w:p w14:paraId="3982CB35">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olor w:val="000000"/>
          <w:kern w:val="0"/>
          <w:szCs w:val="21"/>
          <w:highlight w:val="none"/>
        </w:rPr>
      </w:pPr>
      <w:r>
        <w:rPr>
          <w:rFonts w:ascii="宋体" w:hAnsi="宋体" w:cs="宋体"/>
          <w:color w:val="000000"/>
          <w:szCs w:val="21"/>
          <w:highlight w:val="none"/>
        </w:rPr>
        <w:t>6.5</w:t>
      </w:r>
      <w:r>
        <w:rPr>
          <w:rFonts w:hint="eastAsia" w:ascii="宋体" w:hAnsi="宋体" w:cs="宋体"/>
          <w:color w:val="000000"/>
          <w:szCs w:val="21"/>
          <w:highlight w:val="none"/>
        </w:rPr>
        <w:t>由磋商小组根据综合评分情况，按照评审得分由高到低顺序推荐3名以上成交候选供应商，并编写评</w:t>
      </w:r>
      <w:r>
        <w:rPr>
          <w:rFonts w:hint="eastAsia" w:ascii="宋体" w:hAnsi="宋体"/>
          <w:color w:val="000000"/>
          <w:kern w:val="0"/>
          <w:szCs w:val="21"/>
          <w:highlight w:val="none"/>
        </w:rPr>
        <w:t>审报告。符合本章第</w:t>
      </w:r>
      <w:r>
        <w:rPr>
          <w:rFonts w:ascii="宋体" w:hAnsi="宋体"/>
          <w:color w:val="000000"/>
          <w:kern w:val="0"/>
          <w:szCs w:val="21"/>
          <w:highlight w:val="none"/>
        </w:rPr>
        <w:t>5.3</w:t>
      </w:r>
      <w:r>
        <w:rPr>
          <w:rFonts w:hint="eastAsia" w:ascii="宋体" w:hAnsi="宋体"/>
          <w:color w:val="000000"/>
          <w:kern w:val="0"/>
          <w:szCs w:val="21"/>
          <w:highlight w:val="none"/>
        </w:rPr>
        <w:t>条情形的，可以推荐2家成交候选供应商。评审得分相同的，按照最后报价由低到高的顺序推荐。评审得分且最后报价相同的，按照技术指标优劣顺序推荐。</w:t>
      </w:r>
    </w:p>
    <w:p w14:paraId="6B10002C">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olor w:val="000000"/>
          <w:kern w:val="0"/>
          <w:szCs w:val="21"/>
          <w:highlight w:val="none"/>
        </w:rPr>
      </w:pPr>
      <w:r>
        <w:rPr>
          <w:rFonts w:ascii="宋体" w:hAnsi="宋体"/>
          <w:color w:val="000000"/>
          <w:kern w:val="0"/>
          <w:szCs w:val="21"/>
          <w:highlight w:val="none"/>
        </w:rPr>
        <w:t>6.6</w:t>
      </w:r>
      <w:r>
        <w:rPr>
          <w:rFonts w:hint="eastAsia" w:ascii="宋体" w:hAnsi="宋体"/>
          <w:color w:val="000000"/>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132489E">
      <w:pPr>
        <w:keepNext w:val="0"/>
        <w:keepLines w:val="0"/>
        <w:pageBreakBefore w:val="0"/>
        <w:kinsoku/>
        <w:wordWrap/>
        <w:overflowPunct/>
        <w:topLinePunct w:val="0"/>
        <w:autoSpaceDE/>
        <w:autoSpaceDN/>
        <w:bidi w:val="0"/>
        <w:spacing w:line="440" w:lineRule="exact"/>
        <w:ind w:firstLine="200"/>
        <w:textAlignment w:val="auto"/>
        <w:rPr>
          <w:rFonts w:ascii="宋体" w:hAnsi="宋体" w:cs="宋体"/>
          <w:b/>
          <w:bCs/>
          <w:color w:val="000000"/>
          <w:sz w:val="24"/>
          <w:highlight w:val="none"/>
        </w:rPr>
      </w:pPr>
      <w:r>
        <w:rPr>
          <w:rFonts w:hint="eastAsia" w:ascii="宋体" w:hAnsi="宋体" w:cs="宋体"/>
          <w:b/>
          <w:bCs/>
          <w:color w:val="000000"/>
          <w:sz w:val="24"/>
          <w:highlight w:val="none"/>
        </w:rPr>
        <w:t>7</w:t>
      </w:r>
      <w:r>
        <w:rPr>
          <w:rFonts w:ascii="宋体" w:hAnsi="宋体" w:cs="宋体"/>
          <w:b/>
          <w:bCs/>
          <w:color w:val="000000"/>
          <w:sz w:val="24"/>
          <w:highlight w:val="none"/>
        </w:rPr>
        <w:t>.</w:t>
      </w:r>
      <w:r>
        <w:rPr>
          <w:rFonts w:hint="eastAsia" w:ascii="宋体" w:hAnsi="宋体" w:cs="宋体"/>
          <w:b/>
          <w:bCs/>
          <w:color w:val="000000"/>
          <w:sz w:val="24"/>
          <w:highlight w:val="none"/>
        </w:rPr>
        <w:t>评审复核</w:t>
      </w:r>
    </w:p>
    <w:p w14:paraId="373C06CA">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7.1评审报告签署前，评审委员会要对评审结果进行复核，复核意见要体现在评审报告中。</w:t>
      </w:r>
    </w:p>
    <w:p w14:paraId="3202AF80">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ascii="宋体" w:hAnsi="宋体" w:cs="宋体"/>
          <w:color w:val="000000"/>
          <w:szCs w:val="21"/>
          <w:highlight w:val="none"/>
        </w:rPr>
      </w:pPr>
      <w:r>
        <w:rPr>
          <w:rFonts w:hint="eastAsia" w:ascii="宋体" w:hAnsi="宋体" w:cs="宋体"/>
          <w:color w:val="000000"/>
          <w:kern w:val="0"/>
          <w:szCs w:val="21"/>
          <w:highlight w:val="none"/>
        </w:rPr>
        <w:t>7.2</w:t>
      </w:r>
      <w:r>
        <w:rPr>
          <w:rFonts w:ascii="宋体" w:hAnsi="宋体" w:cs="宋体"/>
          <w:color w:val="000000"/>
          <w:kern w:val="0"/>
          <w:szCs w:val="21"/>
          <w:highlight w:val="none"/>
        </w:rPr>
        <w:t>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C839AC5">
      <w:pPr>
        <w:keepNext w:val="0"/>
        <w:keepLines w:val="0"/>
        <w:pageBreakBefore w:val="0"/>
        <w:kinsoku/>
        <w:wordWrap/>
        <w:overflowPunct/>
        <w:topLinePunct w:val="0"/>
        <w:autoSpaceDE/>
        <w:autoSpaceDN/>
        <w:bidi w:val="0"/>
        <w:spacing w:line="440" w:lineRule="exact"/>
        <w:ind w:firstLine="200"/>
        <w:textAlignment w:val="auto"/>
        <w:rPr>
          <w:rFonts w:ascii="宋体" w:hAnsi="宋体" w:cs="宋体"/>
          <w:b/>
          <w:bCs/>
          <w:color w:val="000000"/>
          <w:sz w:val="24"/>
          <w:highlight w:val="none"/>
        </w:rPr>
      </w:pPr>
      <w:r>
        <w:rPr>
          <w:rFonts w:ascii="宋体" w:hAnsi="宋体" w:cs="宋体"/>
          <w:b/>
          <w:bCs/>
          <w:color w:val="000000"/>
          <w:sz w:val="24"/>
          <w:highlight w:val="none"/>
        </w:rPr>
        <w:t>8.</w:t>
      </w:r>
      <w:r>
        <w:rPr>
          <w:rFonts w:hint="eastAsia" w:ascii="宋体" w:hAnsi="宋体" w:cs="宋体"/>
          <w:b/>
          <w:bCs/>
          <w:color w:val="000000"/>
          <w:sz w:val="24"/>
          <w:highlight w:val="none"/>
        </w:rPr>
        <w:t>评审标准</w:t>
      </w:r>
    </w:p>
    <w:p w14:paraId="62798DFB">
      <w:pPr>
        <w:keepNext w:val="0"/>
        <w:keepLines w:val="0"/>
        <w:pageBreakBefore w:val="0"/>
        <w:kinsoku/>
        <w:wordWrap/>
        <w:overflowPunct/>
        <w:topLinePunct w:val="0"/>
        <w:autoSpaceDE/>
        <w:autoSpaceDN/>
        <w:bidi w:val="0"/>
        <w:spacing w:line="440" w:lineRule="exact"/>
        <w:ind w:firstLine="422" w:firstLineChars="200"/>
        <w:textAlignment w:val="auto"/>
        <w:rPr>
          <w:rFonts w:hint="eastAsia" w:ascii="宋体" w:hAnsi="宋体"/>
          <w:bCs/>
          <w:color w:val="000000"/>
          <w:szCs w:val="21"/>
          <w:highlight w:val="none"/>
        </w:rPr>
      </w:pPr>
      <w:r>
        <w:rPr>
          <w:rFonts w:ascii="宋体" w:hAnsi="宋体"/>
          <w:b/>
          <w:color w:val="000000"/>
          <w:highlight w:val="none"/>
        </w:rPr>
        <w:t>8</w:t>
      </w:r>
      <w:r>
        <w:rPr>
          <w:rFonts w:hint="eastAsia" w:ascii="宋体" w:hAnsi="宋体"/>
          <w:b/>
          <w:color w:val="000000"/>
          <w:highlight w:val="none"/>
        </w:rPr>
        <w:t>.</w:t>
      </w:r>
      <w:r>
        <w:rPr>
          <w:rFonts w:hint="eastAsia" w:ascii="宋体" w:hAnsi="宋体"/>
          <w:bCs/>
          <w:color w:val="000000"/>
          <w:szCs w:val="21"/>
          <w:highlight w:val="none"/>
        </w:rPr>
        <w:t>1评审依据：磋商小组将以磋商响应文件为评审依据，对供应商的报价、技术、商务等方面内容按百分制打分。（计分方法按四舍五入取至百分位）</w:t>
      </w:r>
    </w:p>
    <w:tbl>
      <w:tblPr>
        <w:tblStyle w:val="2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53"/>
        <w:gridCol w:w="6647"/>
        <w:gridCol w:w="968"/>
      </w:tblGrid>
      <w:tr w14:paraId="5D0A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59" w:type="dxa"/>
            <w:noWrap w:val="0"/>
            <w:vAlign w:val="center"/>
          </w:tcPr>
          <w:p w14:paraId="441B375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21"/>
                <w:szCs w:val="21"/>
                <w:highlight w:val="none"/>
              </w:rPr>
            </w:pPr>
            <w:bookmarkStart w:id="60" w:name="PO_TDCUS_ITEM_SM_TABLE_1_0"/>
            <w:r>
              <w:rPr>
                <w:rFonts w:hint="eastAsia" w:ascii="宋体" w:hAnsi="宋体" w:eastAsia="宋体" w:cs="宋体"/>
                <w:b/>
                <w:bCs/>
                <w:color w:val="auto"/>
                <w:kern w:val="0"/>
                <w:sz w:val="21"/>
                <w:szCs w:val="21"/>
                <w:highlight w:val="none"/>
              </w:rPr>
              <w:t>序号</w:t>
            </w:r>
          </w:p>
        </w:tc>
        <w:tc>
          <w:tcPr>
            <w:tcW w:w="1453" w:type="dxa"/>
            <w:noWrap w:val="0"/>
            <w:vAlign w:val="center"/>
          </w:tcPr>
          <w:p w14:paraId="22B702D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647" w:type="dxa"/>
            <w:noWrap w:val="0"/>
            <w:vAlign w:val="center"/>
          </w:tcPr>
          <w:p w14:paraId="4E2D49B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968" w:type="dxa"/>
            <w:noWrap w:val="0"/>
            <w:vAlign w:val="center"/>
          </w:tcPr>
          <w:p w14:paraId="4FD37DD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4D4A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9" w:type="dxa"/>
            <w:noWrap w:val="0"/>
            <w:vAlign w:val="center"/>
          </w:tcPr>
          <w:p w14:paraId="5E1878B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53" w:type="dxa"/>
            <w:noWrap w:val="0"/>
            <w:vAlign w:val="center"/>
          </w:tcPr>
          <w:p w14:paraId="23FBE95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价格分</w:t>
            </w:r>
          </w:p>
        </w:tc>
        <w:tc>
          <w:tcPr>
            <w:tcW w:w="6647" w:type="dxa"/>
            <w:noWrap w:val="0"/>
            <w:vAlign w:val="center"/>
          </w:tcPr>
          <w:p w14:paraId="64082489">
            <w:pPr>
              <w:pStyle w:val="13"/>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（1）本项目为专门面向中小企业采购项目，不执行价格扣除优惠政策，参加本项目磋商的供应商必须为中小微企业，或监狱企业，或残疾人福利性单位，否则竞标无效。评审报价＝最后报价；</w:t>
            </w:r>
          </w:p>
          <w:p w14:paraId="517D0178">
            <w:pPr>
              <w:pStyle w:val="13"/>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eastAsia="zh-CN"/>
              </w:rPr>
              <w:t>供应商</w:t>
            </w:r>
            <w:r>
              <w:rPr>
                <w:rFonts w:hint="eastAsia" w:ascii="宋体" w:hAnsi="宋体" w:eastAsia="宋体" w:cs="宋体"/>
                <w:bCs/>
                <w:color w:val="auto"/>
                <w:kern w:val="2"/>
                <w:sz w:val="21"/>
                <w:szCs w:val="21"/>
                <w:highlight w:val="none"/>
              </w:rPr>
              <w:t>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35842846">
            <w:pPr>
              <w:pStyle w:val="13"/>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eastAsia="zh-CN"/>
              </w:rPr>
              <w:t>供应商</w:t>
            </w:r>
            <w:r>
              <w:rPr>
                <w:rFonts w:hint="eastAsia" w:ascii="宋体" w:hAnsi="宋体" w:eastAsia="宋体" w:cs="宋体"/>
                <w:bCs/>
                <w:color w:val="auto"/>
                <w:kern w:val="2"/>
                <w:sz w:val="21"/>
                <w:szCs w:val="21"/>
                <w:highlight w:val="none"/>
              </w:rPr>
              <w:t>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响应文件格式”）。</w:t>
            </w:r>
          </w:p>
          <w:p w14:paraId="7152F285">
            <w:pPr>
              <w:pStyle w:val="13"/>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（4）以进入比较与评价环节的最低的评审报价为基准价，基准价得分为</w:t>
            </w:r>
            <w:r>
              <w:rPr>
                <w:rFonts w:hint="eastAsia"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分。</w:t>
            </w:r>
          </w:p>
          <w:p w14:paraId="0B6BA118">
            <w:pPr>
              <w:pStyle w:val="13"/>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（5）价格分计算公式：</w:t>
            </w:r>
          </w:p>
          <w:p w14:paraId="0BB4F249">
            <w:pPr>
              <w:pStyle w:val="13"/>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某供应商价格分=基准价/某供应商评标价×</w:t>
            </w:r>
            <w:r>
              <w:rPr>
                <w:rFonts w:hint="eastAsia"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分。</w:t>
            </w:r>
          </w:p>
        </w:tc>
        <w:tc>
          <w:tcPr>
            <w:tcW w:w="968" w:type="dxa"/>
            <w:noWrap w:val="0"/>
            <w:vAlign w:val="center"/>
          </w:tcPr>
          <w:p w14:paraId="2DE2461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4BD4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9" w:type="dxa"/>
            <w:noWrap w:val="0"/>
            <w:vAlign w:val="center"/>
          </w:tcPr>
          <w:p w14:paraId="7207A30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2</w:t>
            </w:r>
          </w:p>
        </w:tc>
        <w:tc>
          <w:tcPr>
            <w:tcW w:w="1453" w:type="dxa"/>
            <w:noWrap w:val="0"/>
            <w:vAlign w:val="center"/>
          </w:tcPr>
          <w:p w14:paraId="417A802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技术分</w:t>
            </w:r>
          </w:p>
        </w:tc>
        <w:tc>
          <w:tcPr>
            <w:tcW w:w="6647" w:type="dxa"/>
            <w:noWrap w:val="0"/>
            <w:vAlign w:val="center"/>
          </w:tcPr>
          <w:p w14:paraId="0BF2B6C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评审因素具体内容</w:t>
            </w:r>
          </w:p>
        </w:tc>
        <w:tc>
          <w:tcPr>
            <w:tcW w:w="968" w:type="dxa"/>
            <w:noWrap w:val="0"/>
            <w:vAlign w:val="center"/>
          </w:tcPr>
          <w:p w14:paraId="1FE8835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8</w:t>
            </w:r>
            <w:r>
              <w:rPr>
                <w:rFonts w:hint="eastAsia" w:ascii="宋体" w:hAnsi="宋体" w:eastAsia="宋体" w:cs="宋体"/>
                <w:b/>
                <w:bCs w:val="0"/>
                <w:color w:val="auto"/>
                <w:kern w:val="0"/>
                <w:sz w:val="21"/>
                <w:szCs w:val="21"/>
                <w:highlight w:val="none"/>
                <w:lang w:val="en-US" w:eastAsia="zh-CN"/>
              </w:rPr>
              <w:t>0分</w:t>
            </w:r>
          </w:p>
        </w:tc>
      </w:tr>
      <w:tr w14:paraId="08B0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9" w:type="dxa"/>
            <w:noWrap w:val="0"/>
            <w:vAlign w:val="center"/>
          </w:tcPr>
          <w:p w14:paraId="35747F7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453" w:type="dxa"/>
            <w:noWrap w:val="0"/>
            <w:vAlign w:val="center"/>
          </w:tcPr>
          <w:p w14:paraId="564EFB0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主要施工方法</w:t>
            </w:r>
          </w:p>
          <w:p w14:paraId="20BB41F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Cs/>
                <w:color w:val="auto"/>
                <w:kern w:val="0"/>
                <w:sz w:val="21"/>
                <w:szCs w:val="21"/>
                <w:highlight w:val="none"/>
                <w:lang w:val="en-US" w:eastAsia="zh-CN"/>
              </w:rPr>
            </w:pPr>
          </w:p>
        </w:tc>
        <w:tc>
          <w:tcPr>
            <w:tcW w:w="6647" w:type="dxa"/>
            <w:noWrap w:val="0"/>
            <w:vAlign w:val="center"/>
          </w:tcPr>
          <w:p w14:paraId="43FD8BD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优（10分）：各主要分部施工方法符合项目实际、针对性强，施工技术方案详尽周密，工艺先进、方法科学、可行，能很好地指导具体施工和确保安全。</w:t>
            </w:r>
          </w:p>
          <w:p w14:paraId="7617AD8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良（7分）：各主要分部施工方法符合项目实际，施工技术方案齐全，工艺成熟、方法合理、可行，能指导具体施工并确保安全。</w:t>
            </w:r>
          </w:p>
          <w:p w14:paraId="46B3DBF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中（5分）：各主要分部施工方法基本符合项目实际，施工技术方案基本齐全，方法基本合理、基本可行，基本能指导具体施工并确保安全。</w:t>
            </w:r>
          </w:p>
          <w:p w14:paraId="56F3AF6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一般（3分）：各主要分部施工方法简单，施工技术方案基本齐全，基本能指导具体施工并确保安全。</w:t>
            </w:r>
          </w:p>
          <w:p w14:paraId="43D93BB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差（</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分）：各主要分部施工方法针对性差，施工技术方案差，工艺落后、方法不合理，不能指导具体施工和确保安全。</w:t>
            </w:r>
          </w:p>
        </w:tc>
        <w:tc>
          <w:tcPr>
            <w:tcW w:w="968" w:type="dxa"/>
            <w:noWrap w:val="0"/>
            <w:vAlign w:val="center"/>
          </w:tcPr>
          <w:p w14:paraId="027DF55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6ECD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noWrap w:val="0"/>
            <w:vAlign w:val="center"/>
          </w:tcPr>
          <w:p w14:paraId="7431DFD6">
            <w:pPr>
              <w:keepNext w:val="0"/>
              <w:keepLines w:val="0"/>
              <w:pageBreakBefore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w:t>
            </w:r>
          </w:p>
        </w:tc>
        <w:tc>
          <w:tcPr>
            <w:tcW w:w="1453" w:type="dxa"/>
            <w:noWrap w:val="0"/>
            <w:vAlign w:val="center"/>
          </w:tcPr>
          <w:p w14:paraId="3386DF2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kern w:val="0"/>
                <w:sz w:val="21"/>
                <w:szCs w:val="21"/>
                <w:highlight w:val="none"/>
              </w:rPr>
              <w:t>拟投入的主要物资计划</w:t>
            </w:r>
          </w:p>
        </w:tc>
        <w:tc>
          <w:tcPr>
            <w:tcW w:w="6647" w:type="dxa"/>
            <w:noWrap w:val="0"/>
            <w:vAlign w:val="center"/>
          </w:tcPr>
          <w:p w14:paraId="1D435A83">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优（</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分）：投入的施工材料有详细的组织计划且计划周密，投入计划与进度计划呼应，数量、选型配置、进场时间安排合理，完全满足施工需要，调配投入计划合理、准确</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同时承诺“</w:t>
            </w:r>
            <w:r>
              <w:rPr>
                <w:rStyle w:val="24"/>
                <w:rFonts w:hint="eastAsia" w:ascii="宋体" w:hAnsi="宋体" w:eastAsia="宋体" w:cs="Times New Roman"/>
                <w:b w:val="0"/>
                <w:bCs w:val="0"/>
                <w:color w:val="auto"/>
                <w:kern w:val="2"/>
                <w:sz w:val="21"/>
                <w:szCs w:val="22"/>
                <w:highlight w:val="none"/>
                <w:lang w:val="en-US" w:eastAsia="zh-CN" w:bidi="ar-SA"/>
              </w:rPr>
              <w:t>优先采购可循环可利用建材、高强度高耐久建材、绿色产品部件、绿色装饰装修材料、节水节能建材等绿色建材产品</w:t>
            </w:r>
            <w:r>
              <w:rPr>
                <w:rFonts w:hint="eastAsia" w:ascii="宋体" w:hAnsi="宋体" w:eastAsia="宋体" w:cs="宋体"/>
                <w:kern w:val="0"/>
                <w:sz w:val="21"/>
                <w:szCs w:val="21"/>
                <w:highlight w:val="none"/>
                <w:lang w:val="en-US" w:eastAsia="zh-CN"/>
              </w:rPr>
              <w:t>”</w:t>
            </w:r>
          </w:p>
          <w:p w14:paraId="283DE6AA">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良（</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分）：投入的施工材料有详细的组织计划，投入计划与进度计划呼应，数量、选型配置、进场时间安排合理，基本满足施工需要，调配投入计划基本合理、准确</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同时承诺在“</w:t>
            </w:r>
            <w:r>
              <w:rPr>
                <w:rStyle w:val="24"/>
                <w:rFonts w:hint="eastAsia" w:ascii="宋体" w:hAnsi="宋体" w:eastAsia="宋体" w:cs="Times New Roman"/>
                <w:b w:val="0"/>
                <w:bCs w:val="0"/>
                <w:color w:val="auto"/>
                <w:kern w:val="2"/>
                <w:sz w:val="21"/>
                <w:szCs w:val="22"/>
                <w:highlight w:val="none"/>
                <w:lang w:val="en-US" w:eastAsia="zh-CN" w:bidi="ar-SA"/>
              </w:rPr>
              <w:t>优先采购可循环可利用建材、高强度高耐久建材、绿色产品部件、绿色装饰装修材料、节水节能建材等绿色建材产品</w:t>
            </w:r>
            <w:r>
              <w:rPr>
                <w:rFonts w:hint="eastAsia" w:ascii="宋体" w:hAnsi="宋体" w:eastAsia="宋体" w:cs="宋体"/>
                <w:kern w:val="0"/>
                <w:sz w:val="21"/>
                <w:szCs w:val="21"/>
                <w:highlight w:val="none"/>
                <w:lang w:val="en-US" w:eastAsia="zh-CN"/>
              </w:rPr>
              <w:t>”。</w:t>
            </w:r>
          </w:p>
          <w:p w14:paraId="09600058">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中（</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分）：投入的施工材料组织计划基本合理，投入计划与进度计划基本合理，数量、选型配置、进场时间安排合理，基本满足施工需要，调配投入计划基本合理</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同时承诺“</w:t>
            </w:r>
            <w:r>
              <w:rPr>
                <w:rStyle w:val="24"/>
                <w:rFonts w:hint="eastAsia" w:ascii="宋体" w:hAnsi="宋体" w:eastAsia="宋体" w:cs="Times New Roman"/>
                <w:b w:val="0"/>
                <w:bCs w:val="0"/>
                <w:color w:val="auto"/>
                <w:kern w:val="2"/>
                <w:sz w:val="21"/>
                <w:szCs w:val="22"/>
                <w:highlight w:val="none"/>
                <w:lang w:val="en-US" w:eastAsia="zh-CN" w:bidi="ar-SA"/>
              </w:rPr>
              <w:t>优先采购可循环可利用建材、高强度高耐久建材、绿色产品部件、绿色装饰装修材料、节水节能建材等绿色建材产品</w:t>
            </w:r>
            <w:r>
              <w:rPr>
                <w:rFonts w:hint="eastAsia" w:ascii="宋体" w:hAnsi="宋体" w:eastAsia="宋体" w:cs="宋体"/>
                <w:kern w:val="0"/>
                <w:sz w:val="21"/>
                <w:szCs w:val="21"/>
                <w:highlight w:val="none"/>
                <w:lang w:val="en-US" w:eastAsia="zh-CN"/>
              </w:rPr>
              <w:t>”。</w:t>
            </w:r>
          </w:p>
          <w:p w14:paraId="3757E13F">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一般（</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分）：投入的施工材料组织计划简单，投入计划与进度计划简单，数量、选型配置、进场时间安排一般，基本满足施工需要</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同时承诺“</w:t>
            </w:r>
            <w:r>
              <w:rPr>
                <w:rStyle w:val="24"/>
                <w:rFonts w:hint="eastAsia" w:ascii="宋体" w:hAnsi="宋体" w:eastAsia="宋体" w:cs="Times New Roman"/>
                <w:b w:val="0"/>
                <w:bCs w:val="0"/>
                <w:color w:val="auto"/>
                <w:kern w:val="2"/>
                <w:sz w:val="21"/>
                <w:szCs w:val="22"/>
                <w:highlight w:val="none"/>
                <w:lang w:val="en-US" w:eastAsia="zh-CN" w:bidi="ar-SA"/>
              </w:rPr>
              <w:t>优先采购可循环可利用建材、高强度高耐久建材、绿色产品部件、绿色装饰装修材料、节水节能建材等绿色建材产品</w:t>
            </w:r>
            <w:r>
              <w:rPr>
                <w:rFonts w:hint="eastAsia" w:ascii="宋体" w:hAnsi="宋体" w:eastAsia="宋体" w:cs="宋体"/>
                <w:kern w:val="0"/>
                <w:sz w:val="21"/>
                <w:szCs w:val="21"/>
                <w:highlight w:val="none"/>
                <w:lang w:val="en-US" w:eastAsia="zh-CN"/>
              </w:rPr>
              <w:t>”。</w:t>
            </w:r>
          </w:p>
          <w:p w14:paraId="255A49A8">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差（</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分）：投入的施工材料的组织计划差，投入计划与进度计划不呼应，数量、选型配置、进场时间安排不合理，不能满足施工需要。</w:t>
            </w:r>
          </w:p>
        </w:tc>
        <w:tc>
          <w:tcPr>
            <w:tcW w:w="968" w:type="dxa"/>
            <w:noWrap w:val="0"/>
            <w:vAlign w:val="center"/>
          </w:tcPr>
          <w:p w14:paraId="420B946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r>
      <w:tr w14:paraId="78CF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noWrap w:val="0"/>
            <w:vAlign w:val="center"/>
          </w:tcPr>
          <w:p w14:paraId="271611FC">
            <w:pPr>
              <w:keepNext w:val="0"/>
              <w:keepLines w:val="0"/>
              <w:pageBreakBefore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2.3</w:t>
            </w:r>
          </w:p>
        </w:tc>
        <w:tc>
          <w:tcPr>
            <w:tcW w:w="1453" w:type="dxa"/>
            <w:noWrap w:val="0"/>
            <w:vAlign w:val="center"/>
          </w:tcPr>
          <w:p w14:paraId="1FE17E0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bCs/>
                <w:kern w:val="0"/>
                <w:sz w:val="21"/>
                <w:szCs w:val="21"/>
                <w:highlight w:val="none"/>
              </w:rPr>
              <w:t>劳动力安排计划</w:t>
            </w:r>
          </w:p>
        </w:tc>
        <w:tc>
          <w:tcPr>
            <w:tcW w:w="6647" w:type="dxa"/>
            <w:noWrap w:val="0"/>
            <w:vAlign w:val="center"/>
          </w:tcPr>
          <w:p w14:paraId="59A16E36">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优（</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分）：各主要施工工序有详细周密的劳动力安排计划，各工种劳动力安排计划齐全，劳动力投入与进度计划呼应合理，满足施工需要。</w:t>
            </w:r>
          </w:p>
          <w:p w14:paraId="2ED88A24">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良（</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分）：各主要施工工序有详细的劳动力安排计划，有各工种劳动力安排计划，劳动力投入合理，完全满足施工需要。</w:t>
            </w:r>
          </w:p>
          <w:p w14:paraId="2FCAC30D">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分）：各主要施工工序有劳动力安排计划，有各工种劳动力安排计划，劳动力投入基本合理，基本满足施工需要。</w:t>
            </w:r>
          </w:p>
          <w:p w14:paraId="3DAA98DE">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分）：各主要施工工序有劳动力安排计划，各工种劳动力安排计划简单，劳动力投入简单，基本满足施工需要。</w:t>
            </w:r>
          </w:p>
          <w:p w14:paraId="02793135">
            <w:pPr>
              <w:keepNext w:val="0"/>
              <w:keepLines w:val="0"/>
              <w:pageBreakBefore w:val="0"/>
              <w:kinsoku/>
              <w:wordWrap/>
              <w:overflowPunct/>
              <w:topLinePunct w:val="0"/>
              <w:autoSpaceDE/>
              <w:autoSpaceDN/>
              <w:bidi w:val="0"/>
              <w:adjustRightInd/>
              <w:snapToGrid/>
              <w:spacing w:line="460" w:lineRule="exact"/>
              <w:textAlignment w:val="auto"/>
              <w:rPr>
                <w:rFonts w:hint="eastAsia"/>
              </w:rPr>
            </w:pPr>
            <w:r>
              <w:rPr>
                <w:rFonts w:hint="eastAsia" w:ascii="宋体" w:hAnsi="宋体" w:eastAsia="宋体" w:cs="宋体"/>
                <w:kern w:val="0"/>
                <w:sz w:val="21"/>
                <w:szCs w:val="21"/>
                <w:highlight w:val="none"/>
              </w:rPr>
              <w:t>差（</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分）：各主要施工工序劳动力安排计划不全，无各工种劳动力安排计划或计划不全，劳动力投入不合理，不能满足施工需要。</w:t>
            </w:r>
          </w:p>
        </w:tc>
        <w:tc>
          <w:tcPr>
            <w:tcW w:w="968" w:type="dxa"/>
            <w:noWrap w:val="0"/>
            <w:vAlign w:val="center"/>
          </w:tcPr>
          <w:p w14:paraId="5707A54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r>
      <w:tr w14:paraId="77BB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noWrap w:val="0"/>
            <w:vAlign w:val="center"/>
          </w:tcPr>
          <w:p w14:paraId="3EA6B84E">
            <w:pPr>
              <w:keepNext w:val="0"/>
              <w:keepLines w:val="0"/>
              <w:pageBreakBefore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2.4</w:t>
            </w:r>
          </w:p>
        </w:tc>
        <w:tc>
          <w:tcPr>
            <w:tcW w:w="1453" w:type="dxa"/>
            <w:noWrap w:val="0"/>
            <w:vAlign w:val="center"/>
          </w:tcPr>
          <w:p w14:paraId="0A36878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确保工程质量的技术组织措施</w:t>
            </w:r>
          </w:p>
          <w:p w14:paraId="44E66D9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Cs/>
                <w:color w:val="auto"/>
                <w:sz w:val="21"/>
                <w:szCs w:val="21"/>
                <w:highlight w:val="none"/>
                <w:lang w:val="en-US" w:eastAsia="zh-CN"/>
              </w:rPr>
            </w:pPr>
          </w:p>
        </w:tc>
        <w:tc>
          <w:tcPr>
            <w:tcW w:w="6647" w:type="dxa"/>
            <w:noWrap w:val="0"/>
            <w:vAlign w:val="center"/>
          </w:tcPr>
          <w:p w14:paraId="6BDDFD3C">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优（</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分）：有专门的质量技术管理班子和制度，人员配备合理，制度健全。主要工序有质量技术保证措施和手段科学合理，且先进、可行、具体，自控体系完整，能有效保证技术质量，达到承诺的质量标准。</w:t>
            </w:r>
          </w:p>
          <w:p w14:paraId="66F250E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良（</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分）：有专门的质量技术管理班子和制度，人员配备合理，制度健全。主要工序有质量技术保证措施和手段合理，自控体系完整，能有效保证技术质量，达到承诺的质量标准。</w:t>
            </w:r>
          </w:p>
          <w:p w14:paraId="0052154D">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分）：质量技术管理班子人员配备基本合理，制度基本健全。主要工序有质量技术保证措施和手段基本合理，自控体系基本合理，能基本保证技术质量，基本达到承诺的质量标准。</w:t>
            </w:r>
          </w:p>
          <w:p w14:paraId="281F433D">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分）：质量技术管理班子人员配备简单，制度简单。主要工序有质量技术保证措施和手段简单，自控体系一般，能基本保证技术质量，基本达到承诺的质量标准。</w:t>
            </w:r>
          </w:p>
          <w:p w14:paraId="14BAF34B">
            <w:pPr>
              <w:pStyle w:val="28"/>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差（</w:t>
            </w:r>
            <w:r>
              <w:rPr>
                <w:rFonts w:hint="eastAsia" w:ascii="宋体" w:hAnsi="宋体" w:cs="宋体"/>
                <w:kern w:val="0"/>
                <w:sz w:val="21"/>
                <w:szCs w:val="21"/>
                <w:highlight w:val="none"/>
                <w:lang w:val="en-US" w:eastAsia="zh-CN"/>
              </w:rPr>
              <w:t>0</w:t>
            </w:r>
            <w:r>
              <w:rPr>
                <w:rFonts w:hint="eastAsia" w:ascii="宋体" w:hAnsi="宋体" w:eastAsia="宋体" w:cs="宋体"/>
                <w:kern w:val="0"/>
                <w:sz w:val="21"/>
                <w:szCs w:val="21"/>
                <w:highlight w:val="none"/>
              </w:rPr>
              <w:t>分）：质量技术管理班子人员配备不合理，制度不健全。质量技术保证措施和手段不可行，自控体系不完整，达不到承诺的质量标准。</w:t>
            </w:r>
          </w:p>
        </w:tc>
        <w:tc>
          <w:tcPr>
            <w:tcW w:w="968" w:type="dxa"/>
            <w:noWrap w:val="0"/>
            <w:vAlign w:val="center"/>
          </w:tcPr>
          <w:p w14:paraId="55CC366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r>
      <w:tr w14:paraId="1D55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noWrap w:val="0"/>
            <w:vAlign w:val="center"/>
          </w:tcPr>
          <w:p w14:paraId="78C437E8">
            <w:pPr>
              <w:keepNext w:val="0"/>
              <w:keepLines w:val="0"/>
              <w:pageBreakBefore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2.5</w:t>
            </w:r>
          </w:p>
        </w:tc>
        <w:tc>
          <w:tcPr>
            <w:tcW w:w="1453" w:type="dxa"/>
            <w:noWrap w:val="0"/>
            <w:vAlign w:val="center"/>
          </w:tcPr>
          <w:p w14:paraId="44354F1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确保安全生产的技术组织措施</w:t>
            </w:r>
          </w:p>
          <w:p w14:paraId="29F885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lang w:eastAsia="zh-CN"/>
              </w:rPr>
            </w:pPr>
          </w:p>
        </w:tc>
        <w:tc>
          <w:tcPr>
            <w:tcW w:w="6647" w:type="dxa"/>
            <w:noWrap w:val="0"/>
            <w:vAlign w:val="center"/>
          </w:tcPr>
          <w:p w14:paraId="70DDAF0A">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优（</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分）：有配备满足项目要求的安全管理人员，人员配备合理。有健全的安全管理制度，各道工序安全技术措施针对性强，符合实际且满足有关安全技术标准要求。现场防火、应急救援、社会治安安全措施得力。</w:t>
            </w:r>
          </w:p>
          <w:p w14:paraId="3C08ACBF">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良（</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分）：有配备满足项目要求的安全管理人员，人员配备合理，有健全的安全管理制度，各道工序安全技术措施符合实际且满足有关安全技术标准要求。现场防火、应急救援、社会治安安全措施合理。</w:t>
            </w:r>
          </w:p>
          <w:p w14:paraId="50F4BF29">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分）：有配备满足项目要求的安全管理人员，人员配备基本合理，安全管理制度基本健全，各道工序安全技术措施基本符合实际，基本满足有关安全技术标准要求。现场防火、应急救援、社会治安安全措施基本合理。</w:t>
            </w:r>
          </w:p>
          <w:p w14:paraId="6010358B">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分）：有配备满足项目要求的安全管理人员，人员配备基本合理，安全管理制度简单，各道工序安全技术措施简单，基本满足有关安全技术标准要求。现场防火、应急救援、社会治安安全措施一般。</w:t>
            </w:r>
          </w:p>
          <w:p w14:paraId="02AACBE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差（</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分）：有配备满足项目要求的安全管理人员，人员配备不合理，安全管理制度不健全，各道工序安全技术措施基本不符合实际，不能满足有关安全技术标准要求。现场防火、应急救援、社会治安安全措施不合理。</w:t>
            </w:r>
          </w:p>
        </w:tc>
        <w:tc>
          <w:tcPr>
            <w:tcW w:w="968" w:type="dxa"/>
            <w:noWrap w:val="0"/>
            <w:vAlign w:val="center"/>
          </w:tcPr>
          <w:p w14:paraId="7E7D83C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r>
      <w:tr w14:paraId="088A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noWrap w:val="0"/>
            <w:vAlign w:val="center"/>
          </w:tcPr>
          <w:p w14:paraId="2062791B">
            <w:pPr>
              <w:keepNext w:val="0"/>
              <w:keepLines w:val="0"/>
              <w:pageBreakBefore w:val="0"/>
              <w:kinsoku/>
              <w:wordWrap/>
              <w:overflowPunct/>
              <w:topLinePunct w:val="0"/>
              <w:autoSpaceDE/>
              <w:autoSpaceDN/>
              <w:bidi w:val="0"/>
              <w:adjustRightInd/>
              <w:snapToGrid/>
              <w:spacing w:line="460" w:lineRule="exact"/>
              <w:ind w:left="-105" w:leftChars="-50" w:right="-105" w:rightChars="-5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2.6</w:t>
            </w:r>
          </w:p>
        </w:tc>
        <w:tc>
          <w:tcPr>
            <w:tcW w:w="1453" w:type="dxa"/>
            <w:noWrap w:val="0"/>
            <w:vAlign w:val="center"/>
          </w:tcPr>
          <w:p w14:paraId="0A3C126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确保工期的技术组织措施</w:t>
            </w:r>
          </w:p>
        </w:tc>
        <w:tc>
          <w:tcPr>
            <w:tcW w:w="6647" w:type="dxa"/>
            <w:noWrap w:val="0"/>
            <w:vAlign w:val="center"/>
          </w:tcPr>
          <w:p w14:paraId="4237206A">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优（</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分）：在施工工艺、施工方法、材料选用、劳动力安排、技术等方面有保证工期的具体措施且措施得力。控制工期的施工进度计划科学合理，有施工总进度表或施工网络图，各项计划图表编制详尽周密，安排科学合理，符合本项目施工实际要求。</w:t>
            </w:r>
          </w:p>
          <w:p w14:paraId="12E38BD8">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良（</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分）：在施工工艺、施工方法、材料选用、劳动力安排、技术等方面有保证工期的具体措施且措施得当。控制工期的施工进度计划合理，有施工总进度表或施工网络图，各项计划图表编制完善，安排比较合理，符合本项目施工实际要求。</w:t>
            </w:r>
          </w:p>
          <w:p w14:paraId="42C45FD7">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分）：在施工工艺、施工方法、材料选用、劳动力安排、技术等方面有保证工期的具体措施，措施基本合理。控制工期的施工进度计划基本合理，有施工总进度表或施工网络图，各项计划图表编制基本齐全，安排基本合理，基本符合本项目施工实际要求。</w:t>
            </w:r>
          </w:p>
          <w:p w14:paraId="741AD691">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在施工工艺、施工方法、材料选用、劳动力安排、技术等方面有保证工期的具体措施但措施简单。控制工期的施工进度计划简单，有施工总进度表或施工网络图，各项计划图表编制简单，基本符合本项目施工要求。</w:t>
            </w:r>
          </w:p>
          <w:p w14:paraId="51F9CF55">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差（</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分）：在施工工艺、施工方法、材料选用、劳动力安排、技术等方面有保证工期的具体措施但措施较差，有控制工期的施工进度计划，有施工总进度表或施工网络图，各项计划图表编制不完善，安排不合理，不能满足本项目施工实际要求。</w:t>
            </w:r>
          </w:p>
        </w:tc>
        <w:tc>
          <w:tcPr>
            <w:tcW w:w="968" w:type="dxa"/>
            <w:noWrap w:val="0"/>
            <w:vAlign w:val="center"/>
          </w:tcPr>
          <w:p w14:paraId="4390902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r>
      <w:tr w14:paraId="2E0D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noWrap w:val="0"/>
            <w:vAlign w:val="center"/>
          </w:tcPr>
          <w:p w14:paraId="377758A6">
            <w:pPr>
              <w:keepNext w:val="0"/>
              <w:keepLines w:val="0"/>
              <w:pageBreakBefore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2.7</w:t>
            </w:r>
          </w:p>
        </w:tc>
        <w:tc>
          <w:tcPr>
            <w:tcW w:w="1453" w:type="dxa"/>
            <w:noWrap w:val="0"/>
            <w:vAlign w:val="center"/>
          </w:tcPr>
          <w:p w14:paraId="5D83A1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确保文明施工的技术组织措施</w:t>
            </w:r>
          </w:p>
        </w:tc>
        <w:tc>
          <w:tcPr>
            <w:tcW w:w="6647" w:type="dxa"/>
            <w:noWrap w:val="0"/>
            <w:vAlign w:val="center"/>
          </w:tcPr>
          <w:p w14:paraId="5715A90D">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优（</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分）：针对本工程的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08333C8F">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良（</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分）：针对本工程的特点，有现场文明施工、环境保护措施且措施内容达到《建筑施工安全生产检查标准》（JGJ59-2011）合格标准并符合《广西壮族自治区建筑工程文明施工导则》要求；各项措施具体、有效，有具体实现现场文明施工目标的承诺。</w:t>
            </w:r>
          </w:p>
          <w:p w14:paraId="0C3D334C">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分）：针对本工程的特点，有现场文明施工、环境保护措施且措施内容达到《建筑施工安全生产检查标准》（JGJ59-2011）合格标准并符合《广西壮族自治区建筑工程文明施工导则》要求；各项措施基本合理，有具体实现现场文明施工目标的承诺。</w:t>
            </w:r>
          </w:p>
          <w:p w14:paraId="4C67F8CC">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针对本工程的特点，有现场文明施工、环境保护措施且措施内容达到《建筑施工安全生产检查标准》（JGJ59-2011）合格标准并符合《广西壮族自治区建筑工程文明施工导则》要求；各项措施简单，无具体实现现场文明施工目标的承诺。</w:t>
            </w:r>
          </w:p>
          <w:p w14:paraId="6386B0E4">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差（</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分）: 针对本工程的特点，有现场文明施工、环境保护措施且措施内容达到《建筑施工安全生产检查标准》（JGJ59-2011）合格标准并符合《广西壮族自治区建筑工程文明施工导则》要求；各项措施不合理，无具体实现现场文明施工目标的承诺。</w:t>
            </w:r>
          </w:p>
        </w:tc>
        <w:tc>
          <w:tcPr>
            <w:tcW w:w="968" w:type="dxa"/>
            <w:noWrap w:val="0"/>
            <w:vAlign w:val="center"/>
          </w:tcPr>
          <w:p w14:paraId="58E056C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r>
      <w:tr w14:paraId="2CAB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noWrap w:val="0"/>
            <w:vAlign w:val="center"/>
          </w:tcPr>
          <w:p w14:paraId="67E09601">
            <w:pPr>
              <w:keepNext w:val="0"/>
              <w:keepLines w:val="0"/>
              <w:pageBreakBefore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2.8</w:t>
            </w:r>
          </w:p>
        </w:tc>
        <w:tc>
          <w:tcPr>
            <w:tcW w:w="1453" w:type="dxa"/>
            <w:noWrap w:val="0"/>
            <w:vAlign w:val="center"/>
          </w:tcPr>
          <w:p w14:paraId="578DF9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工程施工的重点和难点及保证措施</w:t>
            </w:r>
          </w:p>
        </w:tc>
        <w:tc>
          <w:tcPr>
            <w:tcW w:w="6647" w:type="dxa"/>
            <w:noWrap w:val="0"/>
            <w:vAlign w:val="center"/>
          </w:tcPr>
          <w:p w14:paraId="6E8F762C">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优（</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分）：针对本工程的特点，阐述本工程的重点和难点，解决重点和难点问题的方法完整、合理、安全、切实可行，措施得力，完全满足要求。</w:t>
            </w:r>
          </w:p>
          <w:p w14:paraId="0000FD11">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良（</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分）：针对本工程的特点，阐述本工程的重点和难点，解决重点和难点问题的方法，合理、安全、可行，满足要求。</w:t>
            </w:r>
          </w:p>
          <w:p w14:paraId="4566B104">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分）：针对本工程的特点，阐述本工程的重点和难点，解决重点和难点问题的方法基本合理，基本满足要求。</w:t>
            </w:r>
          </w:p>
          <w:p w14:paraId="268AF7C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分）：针对本工程的特点，简单阐述本工程的重点和难点，解决重点和难点问题的方法，方法简单，基本满足要求。</w:t>
            </w:r>
          </w:p>
          <w:p w14:paraId="4E7785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差（</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分）：针对本工程的特点，阐述本工程的重点和难点，解决重点和难点问题的方法不合理，不满足要求。</w:t>
            </w:r>
          </w:p>
        </w:tc>
        <w:tc>
          <w:tcPr>
            <w:tcW w:w="968" w:type="dxa"/>
            <w:noWrap w:val="0"/>
            <w:vAlign w:val="center"/>
          </w:tcPr>
          <w:p w14:paraId="6864A9F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r>
      <w:tr w14:paraId="7D3B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noWrap w:val="0"/>
            <w:vAlign w:val="center"/>
          </w:tcPr>
          <w:p w14:paraId="24C9374A">
            <w:pPr>
              <w:keepNext w:val="0"/>
              <w:keepLines w:val="0"/>
              <w:pageBreakBefore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2.9</w:t>
            </w:r>
          </w:p>
        </w:tc>
        <w:tc>
          <w:tcPr>
            <w:tcW w:w="1453" w:type="dxa"/>
            <w:noWrap w:val="0"/>
            <w:vAlign w:val="center"/>
          </w:tcPr>
          <w:p w14:paraId="2CAA96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施工总平面布置图</w:t>
            </w:r>
          </w:p>
        </w:tc>
        <w:tc>
          <w:tcPr>
            <w:tcW w:w="6647" w:type="dxa"/>
            <w:noWrap w:val="0"/>
            <w:vAlign w:val="center"/>
          </w:tcPr>
          <w:p w14:paraId="07782FE1">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优（</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rPr>
              <w:t>分）：有施工总平面布置图，安排科学合理，总体布置有针对性、合理，完全符合本项目施工实际要求。</w:t>
            </w:r>
          </w:p>
          <w:p w14:paraId="47CBA6BF">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良（</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分）：有施工总平面布置图，安排合理，总体布置合理，符合本项目施工实际要求。</w:t>
            </w:r>
          </w:p>
          <w:p w14:paraId="59F3996A">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中（3分）：有施工总平面布置图，安排基本合理，总体布置基本合理，基本符合本项目施工实际要求。</w:t>
            </w:r>
          </w:p>
          <w:p w14:paraId="1C015B66">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分）：有施工总平面布置图，施工总平面布置图总体布置简单，基本符合本项目施工要求。</w:t>
            </w:r>
          </w:p>
          <w:p w14:paraId="4AEBCF0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差（</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分）：有施工总平面布置图，总体布置不合理，不符合本项目施工实际要求。</w:t>
            </w:r>
          </w:p>
        </w:tc>
        <w:tc>
          <w:tcPr>
            <w:tcW w:w="968" w:type="dxa"/>
            <w:noWrap w:val="0"/>
            <w:vAlign w:val="center"/>
          </w:tcPr>
          <w:p w14:paraId="2F14CE6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7分</w:t>
            </w:r>
          </w:p>
        </w:tc>
      </w:tr>
      <w:tr w14:paraId="15BC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noWrap w:val="0"/>
            <w:vAlign w:val="center"/>
          </w:tcPr>
          <w:p w14:paraId="5EC380BF">
            <w:pPr>
              <w:keepNext w:val="0"/>
              <w:keepLines w:val="0"/>
              <w:pageBreakBefore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2.10</w:t>
            </w:r>
          </w:p>
        </w:tc>
        <w:tc>
          <w:tcPr>
            <w:tcW w:w="1453" w:type="dxa"/>
            <w:noWrap w:val="0"/>
            <w:vAlign w:val="center"/>
          </w:tcPr>
          <w:p w14:paraId="4D2B79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拟投入的主要施工机械、设备计划</w:t>
            </w:r>
          </w:p>
          <w:p w14:paraId="117DA7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0"/>
                <w:sz w:val="21"/>
                <w:szCs w:val="21"/>
                <w:highlight w:val="none"/>
              </w:rPr>
            </w:pPr>
          </w:p>
        </w:tc>
        <w:tc>
          <w:tcPr>
            <w:tcW w:w="6647" w:type="dxa"/>
            <w:noWrap w:val="0"/>
            <w:vAlign w:val="center"/>
          </w:tcPr>
          <w:p w14:paraId="0F9485E8">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优（</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分）：投入的施工机械、设备、机具有详细的组织计划且计划周密，设备数量、选型配置、进场时间安排合理，满足施工需要。</w:t>
            </w:r>
          </w:p>
          <w:p w14:paraId="6D5EEC9B">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良（</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分）：投入的施工机械、设备、机具有详细的组织计划，设备数量、选型配置、进场投入计划与进度计划呼应，基本满足施工需要。</w:t>
            </w:r>
          </w:p>
          <w:p w14:paraId="17E137BB">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中（3分）：投入的施工机械、设备、机具组织计划合理，设备数量、选型配置、进场投入计划与进度计划合理，基本满足施工需要。</w:t>
            </w:r>
          </w:p>
          <w:p w14:paraId="3E44FE73">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一般（</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分）：投入的施工机械、设备、机具组织计划简单，设备数量、选型配置、进场投入计划与进度计划一般，基本满足要求。</w:t>
            </w:r>
          </w:p>
          <w:p w14:paraId="61E1927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rPr>
              <w:t>差（</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分）：投入的施工机械、设备、机具组织计划差，投入计划与进度计划不呼应，不能满足施工需要。</w:t>
            </w:r>
          </w:p>
        </w:tc>
        <w:tc>
          <w:tcPr>
            <w:tcW w:w="968" w:type="dxa"/>
            <w:noWrap w:val="0"/>
            <w:vAlign w:val="center"/>
          </w:tcPr>
          <w:p w14:paraId="2E5358F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7分</w:t>
            </w:r>
          </w:p>
        </w:tc>
      </w:tr>
      <w:tr w14:paraId="5C20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59" w:type="dxa"/>
            <w:noWrap w:val="0"/>
            <w:vAlign w:val="center"/>
          </w:tcPr>
          <w:p w14:paraId="3A25633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1453" w:type="dxa"/>
            <w:noWrap w:val="0"/>
            <w:vAlign w:val="center"/>
          </w:tcPr>
          <w:p w14:paraId="1B50FE0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商务分</w:t>
            </w:r>
          </w:p>
        </w:tc>
        <w:tc>
          <w:tcPr>
            <w:tcW w:w="6647" w:type="dxa"/>
            <w:noWrap w:val="0"/>
            <w:vAlign w:val="center"/>
          </w:tcPr>
          <w:p w14:paraId="735DCBB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评审因素具体内容</w:t>
            </w:r>
          </w:p>
        </w:tc>
        <w:tc>
          <w:tcPr>
            <w:tcW w:w="968" w:type="dxa"/>
            <w:noWrap w:val="0"/>
            <w:vAlign w:val="center"/>
          </w:tcPr>
          <w:p w14:paraId="17420D9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10</w:t>
            </w:r>
            <w:r>
              <w:rPr>
                <w:rFonts w:hint="eastAsia" w:ascii="宋体" w:hAnsi="宋体" w:eastAsia="宋体" w:cs="宋体"/>
                <w:b/>
                <w:bCs w:val="0"/>
                <w:color w:val="auto"/>
                <w:kern w:val="0"/>
                <w:sz w:val="21"/>
                <w:szCs w:val="21"/>
                <w:highlight w:val="none"/>
                <w:lang w:val="en-US" w:eastAsia="zh-CN"/>
              </w:rPr>
              <w:t>分</w:t>
            </w:r>
          </w:p>
        </w:tc>
      </w:tr>
      <w:tr w14:paraId="7FD5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9" w:type="dxa"/>
            <w:noWrap w:val="0"/>
            <w:vAlign w:val="center"/>
          </w:tcPr>
          <w:p w14:paraId="6735681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1</w:t>
            </w:r>
          </w:p>
        </w:tc>
        <w:tc>
          <w:tcPr>
            <w:tcW w:w="1453" w:type="dxa"/>
            <w:noWrap w:val="0"/>
            <w:vAlign w:val="center"/>
          </w:tcPr>
          <w:p w14:paraId="7E68B8D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业绩分</w:t>
            </w:r>
          </w:p>
        </w:tc>
        <w:tc>
          <w:tcPr>
            <w:tcW w:w="6647" w:type="dxa"/>
            <w:noWrap w:val="0"/>
            <w:vAlign w:val="center"/>
          </w:tcPr>
          <w:p w14:paraId="57A9C7F5">
            <w:pPr>
              <w:pStyle w:val="13"/>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供应商在响应时间提交截止时间前三年内完成过类似</w:t>
            </w:r>
            <w:r>
              <w:rPr>
                <w:rFonts w:hint="eastAsia" w:hAnsi="宋体" w:cs="宋体"/>
                <w:bCs/>
                <w:color w:val="auto"/>
                <w:kern w:val="0"/>
                <w:sz w:val="21"/>
                <w:szCs w:val="21"/>
                <w:highlight w:val="none"/>
                <w:lang w:val="en-US" w:eastAsia="zh-CN" w:bidi="ar-SA"/>
              </w:rPr>
              <w:t>市政公用工程施工项目</w:t>
            </w:r>
            <w:r>
              <w:rPr>
                <w:rFonts w:hint="eastAsia" w:ascii="宋体" w:hAnsi="宋体" w:eastAsia="宋体" w:cs="宋体"/>
                <w:bCs/>
                <w:color w:val="auto"/>
                <w:kern w:val="0"/>
                <w:sz w:val="21"/>
                <w:szCs w:val="21"/>
                <w:highlight w:val="none"/>
                <w:lang w:val="en-US" w:eastAsia="zh-CN" w:bidi="ar-SA"/>
              </w:rPr>
              <w:t>业绩的，每项得5分，满分得10分。</w:t>
            </w:r>
          </w:p>
          <w:p w14:paraId="551E63BC">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须附上：中标（成交）通知书</w:t>
            </w:r>
            <w:r>
              <w:rPr>
                <w:rFonts w:hint="eastAsia" w:ascii="宋体" w:hAnsi="宋体" w:cs="宋体"/>
                <w:bCs/>
                <w:color w:val="auto"/>
                <w:kern w:val="0"/>
                <w:sz w:val="21"/>
                <w:szCs w:val="21"/>
                <w:highlight w:val="none"/>
                <w:lang w:val="en-US" w:eastAsia="zh-CN" w:bidi="ar-SA"/>
              </w:rPr>
              <w:t>和</w:t>
            </w:r>
            <w:r>
              <w:rPr>
                <w:rFonts w:hint="eastAsia" w:ascii="宋体" w:hAnsi="宋体" w:eastAsia="宋体" w:cs="宋体"/>
                <w:bCs/>
                <w:color w:val="auto"/>
                <w:kern w:val="0"/>
                <w:sz w:val="21"/>
                <w:szCs w:val="21"/>
                <w:highlight w:val="none"/>
                <w:lang w:val="en-US" w:eastAsia="zh-CN" w:bidi="ar-SA"/>
              </w:rPr>
              <w:t>施工合同（可放合同主要内容，包含项目名称、项目规模和相关盖章页）或竣工验收合格的相关证明材料，否则不予得分。</w:t>
            </w:r>
          </w:p>
        </w:tc>
        <w:tc>
          <w:tcPr>
            <w:tcW w:w="968" w:type="dxa"/>
            <w:noWrap w:val="0"/>
            <w:vAlign w:val="center"/>
          </w:tcPr>
          <w:p w14:paraId="413626F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r>
      <w:tr w14:paraId="55DD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727" w:type="dxa"/>
            <w:gridSpan w:val="4"/>
            <w:noWrap w:val="0"/>
            <w:vAlign w:val="center"/>
          </w:tcPr>
          <w:p w14:paraId="586B656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总得分＝1＋2＋3</w:t>
            </w:r>
          </w:p>
        </w:tc>
      </w:tr>
      <w:bookmarkEnd w:id="60"/>
    </w:tbl>
    <w:p w14:paraId="40351CE1">
      <w:pPr>
        <w:rPr>
          <w:rFonts w:hint="eastAsia" w:ascii="宋体" w:hAnsi="宋体"/>
          <w:bCs/>
          <w:color w:val="000000"/>
          <w:szCs w:val="21"/>
          <w:highlight w:val="none"/>
        </w:rPr>
      </w:pPr>
    </w:p>
    <w:p w14:paraId="1577F0B8">
      <w:pPr>
        <w:pStyle w:val="15"/>
        <w:rPr>
          <w:color w:val="000000"/>
          <w:highlight w:val="none"/>
        </w:rPr>
      </w:pPr>
    </w:p>
    <w:p w14:paraId="387BB0DF">
      <w:pPr>
        <w:spacing w:line="360" w:lineRule="auto"/>
        <w:ind w:firstLine="420" w:firstLineChars="200"/>
        <w:rPr>
          <w:rFonts w:ascii="宋体" w:hAnsi="宋体" w:cs="宋体"/>
          <w:color w:val="000000"/>
          <w:highlight w:val="none"/>
        </w:rPr>
      </w:pPr>
      <w:bookmarkStart w:id="61" w:name="_Toc80205935"/>
      <w:r>
        <w:rPr>
          <w:rFonts w:hint="eastAsia" w:ascii="宋体" w:hAnsi="宋体" w:cs="宋体"/>
          <w:color w:val="000000"/>
          <w:highlight w:val="none"/>
        </w:rPr>
        <w:t>8.2商务技术评审因素为客观评分项的，应在评分项目或评分标准中予以标注为“客观分”。对供应商的客观评分项目，各评审专家评分应当一致。</w:t>
      </w:r>
    </w:p>
    <w:p w14:paraId="027EC99F">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8.3.终止竞争性磋商采购活动</w:t>
      </w:r>
    </w:p>
    <w:p w14:paraId="3CD32262">
      <w:pPr>
        <w:spacing w:line="360" w:lineRule="auto"/>
        <w:ind w:firstLine="420" w:firstLineChars="200"/>
        <w:rPr>
          <w:rFonts w:ascii="宋体" w:hAnsi="宋体"/>
          <w:bCs/>
          <w:color w:val="000000"/>
          <w:sz w:val="32"/>
          <w:szCs w:val="32"/>
          <w:highlight w:val="none"/>
        </w:rPr>
      </w:pPr>
      <w:r>
        <w:rPr>
          <w:rFonts w:hint="eastAsia" w:ascii="宋体" w:hAnsi="宋体" w:cs="宋体"/>
          <w:color w:val="000000"/>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4AFD6FD">
      <w:pPr>
        <w:keepNext/>
        <w:keepLines/>
        <w:spacing w:line="360" w:lineRule="auto"/>
        <w:ind w:firstLine="640" w:firstLineChars="200"/>
        <w:jc w:val="center"/>
        <w:outlineLvl w:val="1"/>
        <w:rPr>
          <w:rFonts w:ascii="宋体" w:hAnsi="宋体"/>
          <w:bCs/>
          <w:color w:val="000000"/>
          <w:sz w:val="32"/>
          <w:szCs w:val="32"/>
          <w:highlight w:val="none"/>
        </w:rPr>
      </w:pPr>
      <w:bookmarkStart w:id="62" w:name="_Toc10999"/>
      <w:r>
        <w:rPr>
          <w:rFonts w:hint="eastAsia" w:ascii="宋体" w:hAnsi="宋体"/>
          <w:bCs/>
          <w:color w:val="000000"/>
          <w:sz w:val="32"/>
          <w:szCs w:val="32"/>
          <w:highlight w:val="none"/>
        </w:rPr>
        <w:t>第二节 评标报告</w:t>
      </w:r>
      <w:bookmarkEnd w:id="61"/>
      <w:bookmarkEnd w:id="62"/>
    </w:p>
    <w:p w14:paraId="2E25C782">
      <w:pPr>
        <w:spacing w:line="360" w:lineRule="auto"/>
        <w:ind w:firstLine="480" w:firstLineChars="200"/>
        <w:rPr>
          <w:rFonts w:ascii="宋体" w:hAnsi="宋体" w:cs="宋体"/>
          <w:color w:val="000000"/>
          <w:sz w:val="24"/>
          <w:szCs w:val="32"/>
          <w:highlight w:val="none"/>
        </w:rPr>
      </w:pPr>
      <w:r>
        <w:rPr>
          <w:rFonts w:hint="eastAsia" w:ascii="宋体" w:hAnsi="宋体" w:cs="宋体"/>
          <w:color w:val="000000"/>
          <w:sz w:val="24"/>
          <w:szCs w:val="32"/>
          <w:highlight w:val="none"/>
        </w:rPr>
        <w:t>1.成交标准</w:t>
      </w:r>
    </w:p>
    <w:p w14:paraId="28E5FF7F">
      <w:pPr>
        <w:spacing w:line="360" w:lineRule="auto"/>
        <w:ind w:firstLine="420" w:firstLineChars="200"/>
        <w:rPr>
          <w:rFonts w:ascii="宋体" w:hAnsi="宋体" w:cs="宋体"/>
          <w:color w:val="000000"/>
          <w:sz w:val="24"/>
          <w:highlight w:val="none"/>
        </w:rPr>
      </w:pPr>
      <w:r>
        <w:rPr>
          <w:rFonts w:hint="eastAsia" w:ascii="宋体" w:hAnsi="宋体"/>
          <w:bCs/>
          <w:color w:val="000000"/>
          <w:szCs w:val="21"/>
          <w:highlight w:val="none"/>
        </w:rPr>
        <w:t>由磋商小组根据综合评分情况，按照评审得分由高到低顺序推荐3名以上成交候选供应商</w:t>
      </w:r>
      <w:r>
        <w:rPr>
          <w:rFonts w:hint="eastAsia" w:ascii="宋体" w:hAnsi="宋体" w:cs="宋体"/>
          <w:color w:val="000000"/>
          <w:highlight w:val="none"/>
        </w:rPr>
        <w:t>,并在线编写电子评审报告</w:t>
      </w:r>
      <w:r>
        <w:rPr>
          <w:rFonts w:hint="eastAsia" w:ascii="宋体" w:hAnsi="宋体"/>
          <w:bCs/>
          <w:color w:val="000000"/>
          <w:szCs w:val="21"/>
          <w:highlight w:val="none"/>
        </w:rPr>
        <w:t>。符合本章第一节第5</w:t>
      </w:r>
      <w:r>
        <w:rPr>
          <w:rFonts w:ascii="宋体" w:hAnsi="宋体"/>
          <w:bCs/>
          <w:color w:val="000000"/>
          <w:szCs w:val="21"/>
          <w:highlight w:val="none"/>
        </w:rPr>
        <w:t>.3</w:t>
      </w:r>
      <w:r>
        <w:rPr>
          <w:rFonts w:hint="eastAsia" w:ascii="宋体" w:hAnsi="宋体"/>
          <w:bCs/>
          <w:color w:val="000000"/>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28A32E9C">
      <w:pPr>
        <w:spacing w:line="360" w:lineRule="auto"/>
        <w:ind w:firstLine="480" w:firstLineChars="200"/>
        <w:rPr>
          <w:rFonts w:ascii="宋体" w:hAnsi="宋体" w:cs="宋体"/>
          <w:color w:val="000000"/>
          <w:sz w:val="24"/>
          <w:szCs w:val="32"/>
          <w:highlight w:val="none"/>
        </w:rPr>
      </w:pPr>
      <w:r>
        <w:rPr>
          <w:rFonts w:hint="eastAsia" w:ascii="宋体" w:hAnsi="宋体" w:cs="宋体"/>
          <w:color w:val="000000"/>
          <w:sz w:val="24"/>
          <w:szCs w:val="32"/>
          <w:highlight w:val="none"/>
        </w:rPr>
        <w:t>2.评标争议</w:t>
      </w:r>
      <w:r>
        <w:rPr>
          <w:rFonts w:ascii="宋体" w:hAnsi="宋体" w:cs="宋体"/>
          <w:color w:val="000000"/>
          <w:sz w:val="24"/>
          <w:szCs w:val="32"/>
          <w:highlight w:val="none"/>
        </w:rPr>
        <w:t>事项</w:t>
      </w:r>
      <w:r>
        <w:rPr>
          <w:rFonts w:hint="eastAsia" w:ascii="宋体" w:hAnsi="宋体" w:cs="宋体"/>
          <w:color w:val="000000"/>
          <w:sz w:val="24"/>
          <w:szCs w:val="32"/>
          <w:highlight w:val="none"/>
        </w:rPr>
        <w:t>处理</w:t>
      </w:r>
    </w:p>
    <w:p w14:paraId="51249AC3">
      <w:pPr>
        <w:adjustRightInd w:val="0"/>
        <w:spacing w:line="360" w:lineRule="auto"/>
        <w:ind w:firstLine="420" w:firstLineChars="200"/>
        <w:rPr>
          <w:rFonts w:ascii="宋体" w:hAnsi="宋体" w:cs="宋体"/>
          <w:color w:val="000000"/>
          <w:highlight w:val="none"/>
        </w:rPr>
      </w:pPr>
      <w:r>
        <w:rPr>
          <w:rFonts w:hint="eastAsia" w:ascii="宋体" w:hAnsi="宋体" w:cs="宋体"/>
          <w:color w:val="000000"/>
          <w:highlight w:val="none"/>
        </w:rPr>
        <w:t>磋商小组</w:t>
      </w:r>
      <w:r>
        <w:rPr>
          <w:rFonts w:ascii="宋体" w:hAnsi="宋体" w:cs="宋体"/>
          <w:color w:val="000000"/>
          <w:highlight w:val="none"/>
        </w:rPr>
        <w:t>成员对需要共同认定的事项存在争议的，应当按照少数服从多数的原则作出结论。持不同意见的</w:t>
      </w:r>
      <w:r>
        <w:rPr>
          <w:rFonts w:hint="eastAsia" w:ascii="宋体" w:hAnsi="宋体" w:cs="宋体"/>
          <w:color w:val="000000"/>
          <w:highlight w:val="none"/>
        </w:rPr>
        <w:t>磋商小组</w:t>
      </w:r>
      <w:r>
        <w:rPr>
          <w:rFonts w:ascii="宋体" w:hAnsi="宋体" w:cs="宋体"/>
          <w:color w:val="000000"/>
          <w:highlight w:val="none"/>
        </w:rPr>
        <w:t>成员应当在评标报告上签署不同意见及理由，否则视为同意评标报告。</w:t>
      </w:r>
    </w:p>
    <w:p w14:paraId="0718AC29">
      <w:pPr>
        <w:keepNext/>
        <w:keepLines/>
        <w:spacing w:line="360" w:lineRule="auto"/>
        <w:ind w:firstLine="640" w:firstLineChars="200"/>
        <w:jc w:val="center"/>
        <w:outlineLvl w:val="1"/>
        <w:rPr>
          <w:rFonts w:ascii="宋体" w:hAnsi="宋体"/>
          <w:bCs/>
          <w:color w:val="000000"/>
          <w:sz w:val="32"/>
          <w:szCs w:val="32"/>
          <w:highlight w:val="none"/>
        </w:rPr>
      </w:pPr>
      <w:bookmarkStart w:id="63" w:name="_Toc4491"/>
      <w:bookmarkStart w:id="64" w:name="_Toc80205936"/>
      <w:r>
        <w:rPr>
          <w:rFonts w:hint="eastAsia" w:ascii="宋体" w:hAnsi="宋体"/>
          <w:bCs/>
          <w:color w:val="000000"/>
          <w:sz w:val="32"/>
          <w:szCs w:val="32"/>
          <w:highlight w:val="none"/>
        </w:rPr>
        <w:t>第三节 评审过程的保密与录像</w:t>
      </w:r>
      <w:bookmarkEnd w:id="63"/>
      <w:bookmarkEnd w:id="64"/>
    </w:p>
    <w:p w14:paraId="12F8CD09">
      <w:pPr>
        <w:spacing w:line="360" w:lineRule="auto"/>
        <w:ind w:firstLine="480" w:firstLineChars="200"/>
        <w:rPr>
          <w:rFonts w:ascii="宋体" w:hAnsi="宋体" w:cs="宋体"/>
          <w:color w:val="000000"/>
          <w:sz w:val="24"/>
          <w:szCs w:val="32"/>
          <w:highlight w:val="none"/>
        </w:rPr>
      </w:pPr>
      <w:r>
        <w:rPr>
          <w:rFonts w:hint="eastAsia" w:ascii="宋体" w:hAnsi="宋体" w:cs="宋体"/>
          <w:color w:val="000000"/>
          <w:sz w:val="24"/>
          <w:szCs w:val="32"/>
          <w:highlight w:val="none"/>
        </w:rPr>
        <w:t>1.保密。</w:t>
      </w:r>
    </w:p>
    <w:p w14:paraId="42B08C6D">
      <w:pPr>
        <w:widowControl/>
        <w:spacing w:line="360" w:lineRule="auto"/>
        <w:ind w:firstLine="420" w:firstLineChars="200"/>
        <w:rPr>
          <w:rFonts w:ascii="宋体" w:hAnsi="宋体" w:cs="宋体"/>
          <w:color w:val="000000"/>
          <w:highlight w:val="none"/>
        </w:rPr>
      </w:pPr>
      <w:r>
        <w:rPr>
          <w:rFonts w:ascii="宋体" w:hAnsi="宋体" w:cs="宋体"/>
          <w:color w:val="000000"/>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A773B15">
      <w:pPr>
        <w:widowControl/>
        <w:spacing w:line="360" w:lineRule="auto"/>
        <w:ind w:firstLine="480" w:firstLineChars="200"/>
        <w:rPr>
          <w:rFonts w:ascii="宋体" w:hAnsi="宋体" w:cs="宋体"/>
          <w:color w:val="000000"/>
          <w:sz w:val="24"/>
          <w:szCs w:val="32"/>
          <w:highlight w:val="none"/>
        </w:rPr>
      </w:pPr>
      <w:r>
        <w:rPr>
          <w:rFonts w:hint="eastAsia" w:ascii="宋体" w:hAnsi="宋体" w:cs="宋体"/>
          <w:color w:val="000000"/>
          <w:sz w:val="24"/>
          <w:szCs w:val="32"/>
          <w:highlight w:val="none"/>
        </w:rPr>
        <w:t>2.录音录像。</w:t>
      </w:r>
    </w:p>
    <w:p w14:paraId="6EA721E1">
      <w:pPr>
        <w:spacing w:line="360" w:lineRule="auto"/>
        <w:ind w:firstLine="420" w:firstLineChars="200"/>
        <w:rPr>
          <w:rFonts w:ascii="宋体" w:hAnsi="宋体"/>
          <w:color w:val="000000"/>
          <w:highlight w:val="none"/>
        </w:rPr>
      </w:pPr>
      <w:r>
        <w:rPr>
          <w:rFonts w:hint="eastAsia" w:ascii="宋体" w:hAnsi="宋体" w:cs="宋体"/>
          <w:color w:val="000000"/>
          <w:highlight w:val="none"/>
        </w:rPr>
        <w:t>采购代理机构对评审工作现场及操作屏幕进行全过程录音录像，录音录像资料作为采购项目文件随其他文件一并存档。</w:t>
      </w:r>
    </w:p>
    <w:p w14:paraId="5E4E3E63">
      <w:pPr>
        <w:keepNext/>
        <w:keepLines/>
        <w:spacing w:before="260" w:after="260" w:line="416" w:lineRule="auto"/>
        <w:jc w:val="center"/>
        <w:outlineLvl w:val="1"/>
        <w:rPr>
          <w:rFonts w:ascii="宋体" w:hAnsi="宋体"/>
          <w:b/>
          <w:bCs/>
          <w:color w:val="000000"/>
          <w:sz w:val="32"/>
          <w:szCs w:val="32"/>
          <w:highlight w:val="none"/>
        </w:rPr>
      </w:pPr>
      <w:r>
        <w:rPr>
          <w:rFonts w:ascii="宋体" w:hAnsi="宋体"/>
          <w:b/>
          <w:bCs/>
          <w:color w:val="000000"/>
          <w:sz w:val="32"/>
          <w:szCs w:val="32"/>
          <w:highlight w:val="none"/>
        </w:rPr>
        <w:br w:type="page"/>
      </w:r>
    </w:p>
    <w:p w14:paraId="40F35904">
      <w:pPr>
        <w:keepNext/>
        <w:keepLines/>
        <w:spacing w:before="260" w:after="260" w:line="416" w:lineRule="auto"/>
        <w:jc w:val="center"/>
        <w:outlineLvl w:val="1"/>
        <w:rPr>
          <w:rFonts w:ascii="宋体" w:hAnsi="宋体"/>
          <w:b/>
          <w:bCs/>
          <w:color w:val="000000"/>
          <w:sz w:val="32"/>
          <w:szCs w:val="32"/>
          <w:highlight w:val="none"/>
        </w:rPr>
      </w:pPr>
    </w:p>
    <w:p w14:paraId="74EC4092">
      <w:pPr>
        <w:keepNext/>
        <w:keepLines/>
        <w:spacing w:before="260" w:after="260" w:line="416" w:lineRule="auto"/>
        <w:jc w:val="center"/>
        <w:outlineLvl w:val="1"/>
        <w:rPr>
          <w:rFonts w:ascii="宋体" w:hAnsi="宋体"/>
          <w:b/>
          <w:bCs/>
          <w:color w:val="000000"/>
          <w:sz w:val="32"/>
          <w:szCs w:val="32"/>
          <w:highlight w:val="none"/>
        </w:rPr>
      </w:pPr>
    </w:p>
    <w:p w14:paraId="290F6A7D">
      <w:pPr>
        <w:keepNext/>
        <w:keepLines/>
        <w:spacing w:before="260" w:after="260" w:line="416" w:lineRule="auto"/>
        <w:jc w:val="center"/>
        <w:outlineLvl w:val="1"/>
        <w:rPr>
          <w:rFonts w:ascii="宋体" w:hAnsi="宋体"/>
          <w:b/>
          <w:bCs/>
          <w:color w:val="000000"/>
          <w:sz w:val="32"/>
          <w:szCs w:val="32"/>
          <w:highlight w:val="none"/>
        </w:rPr>
      </w:pPr>
    </w:p>
    <w:p w14:paraId="17BBE943">
      <w:pPr>
        <w:keepNext/>
        <w:keepLines/>
        <w:spacing w:before="260" w:after="260" w:line="416" w:lineRule="auto"/>
        <w:jc w:val="center"/>
        <w:outlineLvl w:val="1"/>
        <w:rPr>
          <w:rFonts w:ascii="宋体" w:hAnsi="宋体"/>
          <w:b/>
          <w:bCs/>
          <w:color w:val="000000"/>
          <w:sz w:val="32"/>
          <w:szCs w:val="32"/>
          <w:highlight w:val="none"/>
        </w:rPr>
      </w:pPr>
    </w:p>
    <w:p w14:paraId="6065D39B">
      <w:pPr>
        <w:keepNext/>
        <w:keepLines/>
        <w:spacing w:before="260" w:after="260" w:line="416" w:lineRule="auto"/>
        <w:jc w:val="center"/>
        <w:outlineLvl w:val="1"/>
        <w:rPr>
          <w:rFonts w:ascii="宋体" w:hAnsi="宋体"/>
          <w:b/>
          <w:bCs/>
          <w:color w:val="000000"/>
          <w:sz w:val="32"/>
          <w:szCs w:val="32"/>
          <w:highlight w:val="none"/>
        </w:rPr>
      </w:pPr>
    </w:p>
    <w:p w14:paraId="0EA5F3C1">
      <w:pPr>
        <w:keepNext/>
        <w:keepLines/>
        <w:spacing w:before="340" w:after="330" w:line="578" w:lineRule="auto"/>
        <w:jc w:val="center"/>
        <w:outlineLvl w:val="0"/>
        <w:rPr>
          <w:rFonts w:ascii="宋体" w:hAnsi="宋体"/>
          <w:b/>
          <w:bCs/>
          <w:color w:val="000000"/>
          <w:kern w:val="44"/>
          <w:sz w:val="44"/>
          <w:szCs w:val="44"/>
          <w:highlight w:val="none"/>
        </w:rPr>
        <w:sectPr>
          <w:footerReference r:id="rId10" w:type="first"/>
          <w:footerReference r:id="rId9" w:type="default"/>
          <w:pgSz w:w="11910" w:h="16840"/>
          <w:pgMar w:top="1417" w:right="1417" w:bottom="1417" w:left="1417" w:header="720" w:footer="720" w:gutter="0"/>
          <w:pgNumType w:fmt="decimal"/>
          <w:cols w:space="720" w:num="1"/>
          <w:rtlGutter w:val="0"/>
        </w:sectPr>
      </w:pPr>
      <w:bookmarkStart w:id="65" w:name="_Toc20650"/>
      <w:r>
        <w:rPr>
          <w:rFonts w:hint="eastAsia" w:ascii="宋体" w:hAnsi="宋体"/>
          <w:b/>
          <w:bCs/>
          <w:color w:val="000000"/>
          <w:kern w:val="44"/>
          <w:sz w:val="44"/>
          <w:szCs w:val="44"/>
          <w:highlight w:val="none"/>
        </w:rPr>
        <w:t>第五章 响应文件格式</w:t>
      </w:r>
      <w:bookmarkEnd w:id="65"/>
    </w:p>
    <w:p w14:paraId="6E3744A7">
      <w:pPr>
        <w:keepNext/>
        <w:keepLines/>
        <w:spacing w:before="260" w:after="260" w:line="416" w:lineRule="auto"/>
        <w:jc w:val="center"/>
        <w:outlineLvl w:val="1"/>
        <w:rPr>
          <w:rFonts w:ascii="宋体" w:hAnsi="宋体"/>
          <w:bCs/>
          <w:color w:val="000000"/>
          <w:sz w:val="32"/>
          <w:szCs w:val="32"/>
          <w:highlight w:val="none"/>
        </w:rPr>
      </w:pPr>
      <w:bookmarkStart w:id="66" w:name="_Toc80205938"/>
      <w:bookmarkStart w:id="67" w:name="_Toc28327"/>
      <w:r>
        <w:rPr>
          <w:rFonts w:hint="eastAsia" w:ascii="宋体" w:hAnsi="宋体"/>
          <w:bCs/>
          <w:color w:val="000000"/>
          <w:sz w:val="32"/>
          <w:szCs w:val="32"/>
          <w:highlight w:val="none"/>
        </w:rPr>
        <w:t>第一节 封面格式</w:t>
      </w:r>
      <w:bookmarkEnd w:id="66"/>
      <w:bookmarkEnd w:id="67"/>
    </w:p>
    <w:p w14:paraId="46D0E004">
      <w:pPr>
        <w:snapToGrid w:val="0"/>
        <w:spacing w:before="120" w:beforeLines="50" w:after="50"/>
        <w:rPr>
          <w:rFonts w:ascii="宋体" w:hAnsi="宋体"/>
          <w:color w:val="000000"/>
          <w:sz w:val="24"/>
          <w:szCs w:val="20"/>
          <w:highlight w:val="none"/>
        </w:rPr>
      </w:pPr>
    </w:p>
    <w:p w14:paraId="62DA1751">
      <w:pPr>
        <w:snapToGrid w:val="0"/>
        <w:spacing w:before="120" w:beforeLines="50" w:after="50"/>
        <w:jc w:val="center"/>
        <w:rPr>
          <w:rFonts w:ascii="宋体" w:hAnsi="宋体"/>
          <w:bCs/>
          <w:color w:val="000000"/>
          <w:sz w:val="24"/>
          <w:szCs w:val="20"/>
          <w:highlight w:val="none"/>
        </w:rPr>
      </w:pPr>
    </w:p>
    <w:p w14:paraId="21110D08">
      <w:pPr>
        <w:snapToGrid w:val="0"/>
        <w:spacing w:before="120" w:beforeLines="50" w:after="50"/>
        <w:jc w:val="center"/>
        <w:rPr>
          <w:rFonts w:ascii="宋体" w:hAnsi="宋体" w:cs="方正小标宋简体"/>
          <w:bCs/>
          <w:color w:val="000000"/>
          <w:sz w:val="44"/>
          <w:szCs w:val="44"/>
          <w:highlight w:val="none"/>
        </w:rPr>
      </w:pPr>
      <w:r>
        <w:rPr>
          <w:rFonts w:hint="eastAsia" w:ascii="宋体" w:hAnsi="宋体" w:cs="方正小标宋简体"/>
          <w:bCs/>
          <w:color w:val="000000"/>
          <w:sz w:val="44"/>
          <w:szCs w:val="44"/>
          <w:highlight w:val="none"/>
        </w:rPr>
        <w:t>响  应  文  件</w:t>
      </w:r>
    </w:p>
    <w:p w14:paraId="0606C7F0">
      <w:pPr>
        <w:snapToGrid w:val="0"/>
        <w:spacing w:before="120" w:beforeLines="50" w:after="50"/>
        <w:rPr>
          <w:rFonts w:ascii="宋体" w:hAnsi="宋体"/>
          <w:bCs/>
          <w:color w:val="000000"/>
          <w:sz w:val="24"/>
          <w:szCs w:val="20"/>
          <w:highlight w:val="none"/>
        </w:rPr>
      </w:pPr>
    </w:p>
    <w:p w14:paraId="2B1B4D64">
      <w:pPr>
        <w:snapToGrid w:val="0"/>
        <w:spacing w:before="120" w:beforeLines="50" w:after="50"/>
        <w:rPr>
          <w:rFonts w:ascii="宋体" w:hAnsi="宋体"/>
          <w:bCs/>
          <w:color w:val="000000"/>
          <w:sz w:val="24"/>
          <w:szCs w:val="20"/>
          <w:highlight w:val="none"/>
        </w:rPr>
      </w:pPr>
    </w:p>
    <w:p w14:paraId="5074EA29">
      <w:pPr>
        <w:snapToGrid w:val="0"/>
        <w:spacing w:before="120" w:beforeLines="50" w:after="50"/>
        <w:rPr>
          <w:rFonts w:ascii="宋体" w:hAnsi="宋体" w:cs="仿宋_GB2312"/>
          <w:bCs/>
          <w:color w:val="000000"/>
          <w:sz w:val="32"/>
          <w:szCs w:val="32"/>
          <w:highlight w:val="none"/>
        </w:rPr>
      </w:pPr>
    </w:p>
    <w:p w14:paraId="58BB510F">
      <w:pPr>
        <w:snapToGrid w:val="0"/>
        <w:spacing w:before="120" w:beforeLines="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项目名称：</w:t>
      </w:r>
    </w:p>
    <w:p w14:paraId="363A6B9C">
      <w:pPr>
        <w:snapToGrid w:val="0"/>
        <w:spacing w:before="120" w:beforeLines="50" w:after="50"/>
        <w:ind w:firstLine="480" w:firstLineChars="150"/>
        <w:rPr>
          <w:rFonts w:ascii="宋体" w:hAnsi="宋体" w:cs="仿宋_GB2312"/>
          <w:bCs/>
          <w:color w:val="000000"/>
          <w:sz w:val="32"/>
          <w:szCs w:val="32"/>
          <w:highlight w:val="none"/>
        </w:rPr>
      </w:pPr>
    </w:p>
    <w:p w14:paraId="5462064E">
      <w:pPr>
        <w:snapToGrid w:val="0"/>
        <w:spacing w:before="120" w:beforeLines="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项目编号：</w:t>
      </w:r>
    </w:p>
    <w:p w14:paraId="091395DC">
      <w:pPr>
        <w:snapToGrid w:val="0"/>
        <w:spacing w:before="120" w:beforeLines="50" w:after="50"/>
        <w:ind w:firstLine="480" w:firstLineChars="150"/>
        <w:rPr>
          <w:rFonts w:ascii="宋体" w:hAnsi="宋体" w:cs="仿宋_GB2312"/>
          <w:bCs/>
          <w:color w:val="000000"/>
          <w:sz w:val="32"/>
          <w:szCs w:val="32"/>
          <w:highlight w:val="none"/>
        </w:rPr>
      </w:pPr>
    </w:p>
    <w:p w14:paraId="33EE1F68">
      <w:pPr>
        <w:snapToGrid w:val="0"/>
        <w:spacing w:before="120" w:beforeLines="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所竞分标（如有则填写，无分标时填写“无”或者留空）：</w:t>
      </w:r>
    </w:p>
    <w:p w14:paraId="5EED758D">
      <w:pPr>
        <w:snapToGrid w:val="0"/>
        <w:spacing w:before="120" w:beforeLines="50" w:after="50"/>
        <w:rPr>
          <w:rFonts w:ascii="宋体" w:hAnsi="宋体" w:cs="仿宋_GB2312"/>
          <w:bCs/>
          <w:color w:val="000000"/>
          <w:sz w:val="32"/>
          <w:szCs w:val="32"/>
          <w:highlight w:val="none"/>
        </w:rPr>
      </w:pPr>
    </w:p>
    <w:p w14:paraId="0E50F625">
      <w:pPr>
        <w:snapToGrid w:val="0"/>
        <w:spacing w:before="120" w:beforeLines="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供应商名称：</w:t>
      </w:r>
    </w:p>
    <w:p w14:paraId="09D7A7EA">
      <w:pPr>
        <w:snapToGrid w:val="0"/>
        <w:spacing w:before="120" w:beforeLines="50" w:after="50"/>
        <w:rPr>
          <w:rFonts w:ascii="宋体" w:hAnsi="宋体" w:cs="仿宋_GB2312"/>
          <w:bCs/>
          <w:color w:val="000000"/>
          <w:sz w:val="32"/>
          <w:szCs w:val="32"/>
          <w:highlight w:val="none"/>
        </w:rPr>
      </w:pPr>
    </w:p>
    <w:p w14:paraId="51201E68">
      <w:pPr>
        <w:snapToGrid w:val="0"/>
        <w:spacing w:before="120" w:beforeLines="50" w:after="50"/>
        <w:ind w:firstLine="480" w:firstLineChars="150"/>
        <w:jc w:val="center"/>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首次响应文件提交截止时间前不得解密</w:t>
      </w:r>
    </w:p>
    <w:p w14:paraId="0764FCAB">
      <w:pPr>
        <w:snapToGrid w:val="0"/>
        <w:spacing w:before="120" w:beforeLines="50" w:after="50"/>
        <w:ind w:firstLine="5440" w:firstLineChars="1700"/>
        <w:jc w:val="center"/>
        <w:rPr>
          <w:rFonts w:ascii="宋体" w:hAnsi="宋体" w:cs="仿宋_GB2312"/>
          <w:bCs/>
          <w:color w:val="000000"/>
          <w:sz w:val="32"/>
          <w:szCs w:val="32"/>
          <w:highlight w:val="none"/>
        </w:rPr>
      </w:pPr>
    </w:p>
    <w:p w14:paraId="47C531F0">
      <w:pPr>
        <w:snapToGrid w:val="0"/>
        <w:spacing w:before="120" w:beforeLines="50" w:after="50"/>
        <w:ind w:firstLine="645"/>
        <w:jc w:val="center"/>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年    月    日</w:t>
      </w:r>
    </w:p>
    <w:p w14:paraId="27238893">
      <w:pPr>
        <w:rPr>
          <w:rFonts w:ascii="宋体" w:hAnsi="宋体"/>
          <w:color w:val="000000"/>
          <w:highlight w:val="none"/>
        </w:rPr>
        <w:sectPr>
          <w:pgSz w:w="11910" w:h="16840"/>
          <w:pgMar w:top="1417" w:right="1417" w:bottom="1417" w:left="1417" w:header="720" w:footer="720" w:gutter="0"/>
          <w:pgNumType w:fmt="decimal"/>
          <w:cols w:space="720" w:num="1"/>
          <w:rtlGutter w:val="0"/>
        </w:sectPr>
      </w:pPr>
    </w:p>
    <w:p w14:paraId="2F141B7A">
      <w:pPr>
        <w:keepNext/>
        <w:keepLines/>
        <w:spacing w:before="260" w:after="260" w:line="416" w:lineRule="auto"/>
        <w:jc w:val="center"/>
        <w:outlineLvl w:val="1"/>
        <w:rPr>
          <w:rFonts w:ascii="宋体" w:hAnsi="宋体"/>
          <w:b/>
          <w:color w:val="000000"/>
          <w:sz w:val="32"/>
          <w:szCs w:val="32"/>
          <w:highlight w:val="none"/>
        </w:rPr>
      </w:pPr>
      <w:bookmarkStart w:id="68" w:name="_Toc80205939"/>
      <w:bookmarkStart w:id="69" w:name="_Toc9936"/>
      <w:r>
        <w:rPr>
          <w:rFonts w:hint="eastAsia" w:ascii="宋体" w:hAnsi="宋体"/>
          <w:b/>
          <w:color w:val="000000"/>
          <w:sz w:val="32"/>
          <w:szCs w:val="32"/>
          <w:highlight w:val="none"/>
        </w:rPr>
        <w:t>第二节 资格证明文件格式</w:t>
      </w:r>
      <w:bookmarkEnd w:id="68"/>
      <w:bookmarkEnd w:id="69"/>
    </w:p>
    <w:p w14:paraId="3115E0D7">
      <w:pPr>
        <w:snapToGrid w:val="0"/>
        <w:spacing w:before="120" w:beforeLines="50" w:after="50"/>
        <w:jc w:val="right"/>
        <w:rPr>
          <w:rFonts w:ascii="宋体" w:hAnsi="宋体"/>
          <w:bCs/>
          <w:color w:val="000000"/>
          <w:sz w:val="32"/>
          <w:szCs w:val="20"/>
          <w:highlight w:val="none"/>
        </w:rPr>
      </w:pPr>
      <w:r>
        <w:rPr>
          <w:rFonts w:hint="eastAsia" w:ascii="宋体" w:hAnsi="宋体"/>
          <w:bCs/>
          <w:color w:val="000000"/>
          <w:highlight w:val="none"/>
        </w:rPr>
        <w:t>全流程电子文件</w:t>
      </w:r>
    </w:p>
    <w:p w14:paraId="221579A6">
      <w:pPr>
        <w:snapToGrid w:val="0"/>
        <w:spacing w:before="120" w:beforeLines="50" w:after="50"/>
        <w:rPr>
          <w:rFonts w:ascii="宋体" w:hAnsi="宋体"/>
          <w:color w:val="000000"/>
          <w:sz w:val="24"/>
          <w:szCs w:val="20"/>
          <w:highlight w:val="none"/>
        </w:rPr>
      </w:pPr>
    </w:p>
    <w:p w14:paraId="2D26E9D8">
      <w:pPr>
        <w:snapToGrid w:val="0"/>
        <w:spacing w:before="120" w:beforeLines="50" w:after="50"/>
        <w:rPr>
          <w:rFonts w:ascii="宋体" w:hAnsi="宋体"/>
          <w:color w:val="000000"/>
          <w:sz w:val="24"/>
          <w:szCs w:val="20"/>
          <w:highlight w:val="none"/>
        </w:rPr>
      </w:pPr>
    </w:p>
    <w:p w14:paraId="5412577E">
      <w:pPr>
        <w:snapToGrid w:val="0"/>
        <w:spacing w:before="120" w:beforeLines="50" w:after="50"/>
        <w:jc w:val="center"/>
        <w:rPr>
          <w:rFonts w:ascii="宋体" w:hAnsi="宋体" w:cs="方正小标宋简体"/>
          <w:bCs/>
          <w:color w:val="000000"/>
          <w:sz w:val="44"/>
          <w:szCs w:val="44"/>
          <w:highlight w:val="none"/>
        </w:rPr>
      </w:pPr>
      <w:r>
        <w:rPr>
          <w:rFonts w:hint="eastAsia" w:ascii="宋体" w:hAnsi="宋体" w:cs="方正小标宋简体"/>
          <w:bCs/>
          <w:color w:val="000000"/>
          <w:sz w:val="44"/>
          <w:szCs w:val="44"/>
          <w:highlight w:val="none"/>
        </w:rPr>
        <w:t>资格证明文件（封面）</w:t>
      </w:r>
    </w:p>
    <w:p w14:paraId="11F0E3F4">
      <w:pPr>
        <w:snapToGrid w:val="0"/>
        <w:spacing w:before="120" w:beforeLines="50" w:after="50"/>
        <w:rPr>
          <w:rFonts w:ascii="宋体" w:hAnsi="宋体"/>
          <w:bCs/>
          <w:color w:val="000000"/>
          <w:sz w:val="24"/>
          <w:szCs w:val="20"/>
          <w:highlight w:val="none"/>
        </w:rPr>
      </w:pPr>
    </w:p>
    <w:p w14:paraId="4836FD16">
      <w:pPr>
        <w:snapToGrid w:val="0"/>
        <w:spacing w:before="120" w:beforeLines="50" w:after="50"/>
        <w:rPr>
          <w:rFonts w:ascii="宋体" w:hAnsi="宋体"/>
          <w:bCs/>
          <w:color w:val="000000"/>
          <w:sz w:val="24"/>
          <w:szCs w:val="20"/>
          <w:highlight w:val="none"/>
        </w:rPr>
      </w:pPr>
    </w:p>
    <w:p w14:paraId="7BB452A6">
      <w:pPr>
        <w:snapToGrid w:val="0"/>
        <w:spacing w:before="120" w:beforeLines="50" w:after="50"/>
        <w:rPr>
          <w:rFonts w:ascii="宋体" w:hAnsi="宋体"/>
          <w:bCs/>
          <w:color w:val="000000"/>
          <w:sz w:val="24"/>
          <w:szCs w:val="20"/>
          <w:highlight w:val="none"/>
        </w:rPr>
      </w:pPr>
    </w:p>
    <w:p w14:paraId="51C86772">
      <w:pPr>
        <w:snapToGrid w:val="0"/>
        <w:spacing w:before="120" w:beforeLines="50" w:after="50"/>
        <w:rPr>
          <w:rFonts w:ascii="宋体" w:hAnsi="宋体"/>
          <w:bCs/>
          <w:color w:val="000000"/>
          <w:sz w:val="24"/>
          <w:szCs w:val="20"/>
          <w:highlight w:val="none"/>
        </w:rPr>
      </w:pPr>
    </w:p>
    <w:p w14:paraId="3D0CBBC1">
      <w:pPr>
        <w:snapToGrid w:val="0"/>
        <w:spacing w:before="120" w:beforeLines="50" w:after="50"/>
        <w:rPr>
          <w:rFonts w:ascii="宋体" w:hAnsi="宋体"/>
          <w:bCs/>
          <w:color w:val="000000"/>
          <w:sz w:val="24"/>
          <w:szCs w:val="20"/>
          <w:highlight w:val="none"/>
        </w:rPr>
      </w:pPr>
    </w:p>
    <w:p w14:paraId="346F940C">
      <w:pPr>
        <w:snapToGrid w:val="0"/>
        <w:spacing w:before="120" w:beforeLines="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项目名称：</w:t>
      </w:r>
    </w:p>
    <w:p w14:paraId="22D76148">
      <w:pPr>
        <w:snapToGrid w:val="0"/>
        <w:spacing w:before="120" w:beforeLines="50" w:after="50"/>
        <w:ind w:firstLine="720" w:firstLineChars="225"/>
        <w:rPr>
          <w:rFonts w:ascii="宋体" w:hAnsi="宋体" w:cs="仿宋_GB2312"/>
          <w:bCs/>
          <w:color w:val="000000"/>
          <w:sz w:val="32"/>
          <w:szCs w:val="32"/>
          <w:highlight w:val="none"/>
        </w:rPr>
      </w:pPr>
    </w:p>
    <w:p w14:paraId="0102E6D3">
      <w:pPr>
        <w:snapToGrid w:val="0"/>
        <w:spacing w:before="120" w:beforeLines="50" w:after="50"/>
        <w:ind w:firstLine="720" w:firstLineChars="225"/>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项目编号：</w:t>
      </w:r>
    </w:p>
    <w:p w14:paraId="6020BE43">
      <w:pPr>
        <w:snapToGrid w:val="0"/>
        <w:spacing w:before="120" w:beforeLines="50" w:after="50"/>
        <w:ind w:firstLine="720" w:firstLineChars="225"/>
        <w:rPr>
          <w:rFonts w:ascii="宋体" w:hAnsi="宋体" w:cs="仿宋_GB2312"/>
          <w:bCs/>
          <w:color w:val="000000"/>
          <w:sz w:val="32"/>
          <w:szCs w:val="32"/>
          <w:highlight w:val="none"/>
        </w:rPr>
      </w:pPr>
    </w:p>
    <w:p w14:paraId="3041FAFA">
      <w:pPr>
        <w:snapToGrid w:val="0"/>
        <w:spacing w:before="120" w:beforeLines="50" w:after="50"/>
        <w:ind w:firstLine="720" w:firstLineChars="225"/>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所竞分标（如有则填写，无分标时填写“无”或者留空）：</w:t>
      </w:r>
    </w:p>
    <w:p w14:paraId="7825B4C1">
      <w:pPr>
        <w:snapToGrid w:val="0"/>
        <w:spacing w:before="120" w:beforeLines="50" w:after="50"/>
        <w:ind w:firstLine="720" w:firstLineChars="225"/>
        <w:rPr>
          <w:rFonts w:ascii="宋体" w:hAnsi="宋体" w:cs="仿宋_GB2312"/>
          <w:bCs/>
          <w:color w:val="000000"/>
          <w:sz w:val="32"/>
          <w:szCs w:val="32"/>
          <w:highlight w:val="none"/>
        </w:rPr>
      </w:pPr>
    </w:p>
    <w:p w14:paraId="3DABCD32">
      <w:pPr>
        <w:snapToGrid w:val="0"/>
        <w:spacing w:before="50" w:after="50"/>
        <w:ind w:firstLine="720" w:firstLineChars="225"/>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供应商名称：</w:t>
      </w:r>
    </w:p>
    <w:p w14:paraId="18C088A9">
      <w:pPr>
        <w:snapToGrid w:val="0"/>
        <w:spacing w:before="50" w:after="50"/>
        <w:ind w:firstLine="720" w:firstLineChars="225"/>
        <w:rPr>
          <w:rFonts w:ascii="宋体" w:hAnsi="宋体" w:cs="仿宋_GB2312"/>
          <w:bCs/>
          <w:color w:val="000000"/>
          <w:sz w:val="32"/>
          <w:szCs w:val="32"/>
          <w:highlight w:val="none"/>
        </w:rPr>
      </w:pPr>
    </w:p>
    <w:p w14:paraId="586F30E1">
      <w:pPr>
        <w:snapToGrid w:val="0"/>
        <w:spacing w:before="50" w:after="50"/>
        <w:ind w:firstLine="720" w:firstLineChars="225"/>
        <w:rPr>
          <w:rFonts w:ascii="宋体" w:hAnsi="宋体" w:cs="仿宋_GB2312"/>
          <w:bCs/>
          <w:color w:val="000000"/>
          <w:sz w:val="32"/>
          <w:szCs w:val="32"/>
          <w:highlight w:val="none"/>
        </w:rPr>
      </w:pPr>
    </w:p>
    <w:p w14:paraId="7DCF1A55">
      <w:pPr>
        <w:snapToGrid w:val="0"/>
        <w:spacing w:before="50" w:after="50"/>
        <w:ind w:firstLine="720" w:firstLineChars="225"/>
        <w:rPr>
          <w:rFonts w:ascii="宋体" w:hAnsi="宋体" w:cs="仿宋_GB2312"/>
          <w:bCs/>
          <w:color w:val="000000"/>
          <w:sz w:val="32"/>
          <w:szCs w:val="32"/>
          <w:highlight w:val="none"/>
        </w:rPr>
      </w:pPr>
    </w:p>
    <w:p w14:paraId="224E91D5">
      <w:pPr>
        <w:snapToGrid w:val="0"/>
        <w:spacing w:before="50" w:after="50"/>
        <w:ind w:firstLine="1280" w:firstLineChars="400"/>
        <w:rPr>
          <w:rFonts w:ascii="宋体" w:hAnsi="宋体" w:cs="仿宋_GB2312"/>
          <w:bCs/>
          <w:color w:val="000000"/>
          <w:sz w:val="32"/>
          <w:szCs w:val="32"/>
          <w:highlight w:val="none"/>
        </w:rPr>
      </w:pPr>
    </w:p>
    <w:p w14:paraId="70A57DD7">
      <w:pPr>
        <w:snapToGrid w:val="0"/>
        <w:spacing w:before="120" w:beforeLines="50" w:after="50"/>
        <w:jc w:val="center"/>
        <w:rPr>
          <w:rFonts w:ascii="宋体" w:hAnsi="宋体" w:cs="仿宋_GB2312"/>
          <w:color w:val="000000"/>
          <w:sz w:val="32"/>
          <w:szCs w:val="32"/>
          <w:highlight w:val="none"/>
        </w:rPr>
      </w:pPr>
      <w:r>
        <w:rPr>
          <w:rFonts w:hint="eastAsia" w:ascii="宋体" w:hAnsi="宋体" w:cs="仿宋_GB2312"/>
          <w:color w:val="000000"/>
          <w:sz w:val="32"/>
          <w:szCs w:val="32"/>
          <w:highlight w:val="none"/>
        </w:rPr>
        <w:t>年    月    日</w:t>
      </w:r>
    </w:p>
    <w:p w14:paraId="2B1D2D04">
      <w:pPr>
        <w:snapToGrid w:val="0"/>
        <w:spacing w:before="120" w:beforeLines="50" w:after="50" w:line="360" w:lineRule="auto"/>
        <w:jc w:val="left"/>
        <w:rPr>
          <w:rFonts w:ascii="宋体" w:hAnsi="宋体"/>
          <w:b/>
          <w:bCs/>
          <w:color w:val="000000"/>
          <w:sz w:val="32"/>
          <w:szCs w:val="32"/>
          <w:highlight w:val="none"/>
        </w:rPr>
      </w:pPr>
      <w:r>
        <w:rPr>
          <w:rFonts w:ascii="宋体" w:hAnsi="宋体"/>
          <w:color w:val="000000"/>
          <w:sz w:val="24"/>
          <w:highlight w:val="none"/>
        </w:rPr>
        <w:br w:type="page"/>
      </w:r>
    </w:p>
    <w:p w14:paraId="6FEF0E17">
      <w:pPr>
        <w:jc w:val="center"/>
        <w:rPr>
          <w:rFonts w:ascii="宋体" w:hAnsi="宋体" w:cs="仿宋_GB2312"/>
          <w:b/>
          <w:color w:val="000000"/>
          <w:kern w:val="0"/>
          <w:sz w:val="36"/>
          <w:szCs w:val="36"/>
          <w:highlight w:val="none"/>
        </w:rPr>
      </w:pPr>
      <w:r>
        <w:rPr>
          <w:rFonts w:hint="eastAsia" w:ascii="宋体" w:hAnsi="宋体" w:cs="仿宋_GB2312"/>
          <w:b/>
          <w:color w:val="000000"/>
          <w:kern w:val="0"/>
          <w:sz w:val="36"/>
          <w:szCs w:val="36"/>
          <w:highlight w:val="none"/>
        </w:rPr>
        <w:t>资格证明文件目录</w:t>
      </w:r>
    </w:p>
    <w:p w14:paraId="1DEB9855">
      <w:pPr>
        <w:snapToGrid w:val="0"/>
        <w:spacing w:line="360" w:lineRule="auto"/>
        <w:rPr>
          <w:rFonts w:ascii="宋体" w:hAnsi="宋体" w:cs="仿宋_GB2312"/>
          <w:color w:val="000000"/>
          <w:kern w:val="0"/>
          <w:sz w:val="24"/>
          <w:highlight w:val="none"/>
        </w:rPr>
      </w:pPr>
    </w:p>
    <w:p w14:paraId="2275ED24">
      <w:pPr>
        <w:spacing w:line="360" w:lineRule="auto"/>
        <w:jc w:val="center"/>
        <w:rPr>
          <w:rFonts w:hAnsi="宋体"/>
          <w:color w:val="auto"/>
          <w:sz w:val="30"/>
          <w:highlight w:val="none"/>
        </w:rPr>
      </w:pPr>
      <w:r>
        <w:rPr>
          <w:rFonts w:hint="eastAsia" w:ascii="宋体" w:hAnsi="宋体"/>
          <w:color w:val="auto"/>
          <w:sz w:val="28"/>
          <w:szCs w:val="28"/>
          <w:highlight w:val="none"/>
        </w:rPr>
        <w:t>根据</w:t>
      </w:r>
      <w:r>
        <w:rPr>
          <w:rFonts w:hint="eastAsia" w:ascii="宋体" w:hAnsi="宋体"/>
          <w:color w:val="auto"/>
          <w:sz w:val="28"/>
          <w:szCs w:val="28"/>
          <w:highlight w:val="none"/>
          <w:lang w:eastAsia="zh-CN"/>
        </w:rPr>
        <w:t>采购文件“</w:t>
      </w:r>
      <w:r>
        <w:rPr>
          <w:rFonts w:hint="eastAsia" w:ascii="宋体" w:hAnsi="宋体"/>
          <w:color w:val="auto"/>
          <w:sz w:val="28"/>
          <w:szCs w:val="28"/>
          <w:highlight w:val="none"/>
        </w:rPr>
        <w:t xml:space="preserve">第三章  </w:t>
      </w: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 xml:space="preserve">须知 </w:t>
      </w:r>
      <w:r>
        <w:rPr>
          <w:rFonts w:hint="eastAsia" w:ascii="宋体" w:hAnsi="宋体"/>
          <w:color w:val="auto"/>
          <w:sz w:val="28"/>
          <w:szCs w:val="28"/>
          <w:highlight w:val="none"/>
          <w:lang w:val="en-US" w:eastAsia="zh-CN"/>
        </w:rPr>
        <w:t>12.1</w:t>
      </w: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资格证明文件组成</w:t>
      </w:r>
      <w:r>
        <w:rPr>
          <w:rFonts w:hint="eastAsia" w:ascii="宋体" w:hAnsi="宋体"/>
          <w:color w:val="auto"/>
          <w:sz w:val="28"/>
          <w:szCs w:val="28"/>
          <w:highlight w:val="none"/>
          <w:lang w:val="en-US" w:eastAsia="zh-CN"/>
        </w:rPr>
        <w:t xml:space="preserve"> ”的规定</w:t>
      </w:r>
      <w:r>
        <w:rPr>
          <w:rFonts w:hint="eastAsia" w:ascii="宋体" w:hAnsi="宋体"/>
          <w:color w:val="auto"/>
          <w:sz w:val="28"/>
          <w:szCs w:val="28"/>
          <w:highlight w:val="none"/>
        </w:rPr>
        <w:t>及</w:t>
      </w: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提供的材料自行编写目录。</w:t>
      </w:r>
    </w:p>
    <w:p w14:paraId="1123992A">
      <w:pPr>
        <w:snapToGrid w:val="0"/>
        <w:spacing w:before="120" w:beforeLines="50" w:after="50" w:line="360" w:lineRule="auto"/>
        <w:ind w:left="142" w:firstLine="420" w:firstLineChars="200"/>
        <w:jc w:val="left"/>
        <w:rPr>
          <w:rFonts w:ascii="宋体" w:hAnsi="宋体"/>
          <w:color w:val="000000"/>
          <w:szCs w:val="21"/>
          <w:highlight w:val="none"/>
        </w:rPr>
      </w:pPr>
    </w:p>
    <w:p w14:paraId="583FCA3D">
      <w:pPr>
        <w:spacing w:line="300" w:lineRule="auto"/>
        <w:rPr>
          <w:rFonts w:ascii="宋体" w:hAnsi="宋体"/>
          <w:color w:val="000000"/>
          <w:szCs w:val="21"/>
          <w:highlight w:val="none"/>
        </w:rPr>
      </w:pPr>
    </w:p>
    <w:p w14:paraId="56741002">
      <w:pPr>
        <w:spacing w:line="300" w:lineRule="auto"/>
        <w:rPr>
          <w:rFonts w:ascii="宋体" w:hAnsi="宋体"/>
          <w:color w:val="000000"/>
          <w:szCs w:val="21"/>
          <w:highlight w:val="none"/>
        </w:rPr>
      </w:pPr>
    </w:p>
    <w:p w14:paraId="1C2D37A3">
      <w:pPr>
        <w:spacing w:line="300" w:lineRule="auto"/>
        <w:rPr>
          <w:rFonts w:ascii="宋体" w:hAnsi="宋体"/>
          <w:color w:val="000000"/>
          <w:szCs w:val="21"/>
          <w:highlight w:val="none"/>
        </w:rPr>
      </w:pPr>
    </w:p>
    <w:p w14:paraId="3E992318">
      <w:pPr>
        <w:spacing w:line="300" w:lineRule="auto"/>
        <w:rPr>
          <w:rFonts w:ascii="宋体" w:hAnsi="宋体"/>
          <w:color w:val="000000"/>
          <w:szCs w:val="21"/>
          <w:highlight w:val="none"/>
        </w:rPr>
      </w:pPr>
    </w:p>
    <w:p w14:paraId="66A5D6EC">
      <w:pPr>
        <w:spacing w:line="300" w:lineRule="auto"/>
        <w:rPr>
          <w:rFonts w:ascii="宋体" w:hAnsi="宋体"/>
          <w:color w:val="000000"/>
          <w:szCs w:val="21"/>
          <w:highlight w:val="none"/>
        </w:rPr>
      </w:pPr>
    </w:p>
    <w:p w14:paraId="21A38876">
      <w:pPr>
        <w:spacing w:line="300" w:lineRule="auto"/>
        <w:rPr>
          <w:rFonts w:ascii="宋体" w:hAnsi="宋体"/>
          <w:color w:val="000000"/>
          <w:szCs w:val="21"/>
          <w:highlight w:val="none"/>
        </w:rPr>
      </w:pPr>
    </w:p>
    <w:p w14:paraId="668012BA">
      <w:pPr>
        <w:spacing w:line="300" w:lineRule="auto"/>
        <w:rPr>
          <w:rFonts w:ascii="宋体" w:hAnsi="宋体"/>
          <w:color w:val="000000"/>
          <w:szCs w:val="21"/>
          <w:highlight w:val="none"/>
        </w:rPr>
      </w:pPr>
    </w:p>
    <w:p w14:paraId="09FD00BB">
      <w:pPr>
        <w:spacing w:line="300" w:lineRule="auto"/>
        <w:rPr>
          <w:rFonts w:ascii="宋体" w:hAnsi="宋体"/>
          <w:color w:val="000000"/>
          <w:szCs w:val="21"/>
          <w:highlight w:val="none"/>
        </w:rPr>
      </w:pPr>
    </w:p>
    <w:p w14:paraId="2ECA3541">
      <w:pPr>
        <w:spacing w:line="300" w:lineRule="auto"/>
        <w:rPr>
          <w:rFonts w:ascii="宋体" w:hAnsi="宋体"/>
          <w:color w:val="000000"/>
          <w:szCs w:val="21"/>
          <w:highlight w:val="none"/>
        </w:rPr>
      </w:pPr>
    </w:p>
    <w:p w14:paraId="19D0DCF7">
      <w:pPr>
        <w:spacing w:before="41" w:line="364" w:lineRule="auto"/>
        <w:ind w:left="298" w:right="310"/>
        <w:jc w:val="center"/>
        <w:outlineLvl w:val="0"/>
        <w:rPr>
          <w:rFonts w:ascii="宋体" w:hAnsi="宋体"/>
          <w:color w:val="000000"/>
          <w:kern w:val="0"/>
          <w:sz w:val="20"/>
          <w:szCs w:val="21"/>
          <w:highlight w:val="none"/>
        </w:rPr>
      </w:pPr>
      <w:r>
        <w:rPr>
          <w:rFonts w:ascii="宋体" w:hAnsi="宋体"/>
          <w:color w:val="000000"/>
          <w:kern w:val="0"/>
          <w:sz w:val="20"/>
          <w:szCs w:val="21"/>
          <w:highlight w:val="none"/>
        </w:rPr>
        <w:br w:type="page"/>
      </w:r>
      <w:bookmarkStart w:id="70" w:name="_Toc7018"/>
      <w:bookmarkStart w:id="71" w:name="_Toc25499"/>
    </w:p>
    <w:p w14:paraId="7C46CD44">
      <w:pPr>
        <w:autoSpaceDE w:val="0"/>
        <w:autoSpaceDN w:val="0"/>
        <w:spacing w:line="360" w:lineRule="auto"/>
        <w:jc w:val="center"/>
        <w:rPr>
          <w:rFonts w:ascii="方正小标宋简体" w:hAnsi="仿宋" w:eastAsia="方正小标宋简体"/>
          <w:color w:val="auto"/>
          <w:sz w:val="36"/>
          <w:szCs w:val="36"/>
          <w:highlight w:val="none"/>
        </w:rPr>
      </w:pPr>
      <w:r>
        <w:rPr>
          <w:rFonts w:hint="eastAsia" w:ascii="宋体" w:hAnsi="宋体" w:eastAsia="宋体" w:cs="宋体"/>
          <w:b/>
          <w:bCs/>
          <w:color w:val="auto"/>
          <w:sz w:val="36"/>
          <w:szCs w:val="36"/>
          <w:highlight w:val="none"/>
          <w:lang w:eastAsia="zh-CN"/>
        </w:rPr>
        <w:t>防城港</w:t>
      </w:r>
      <w:r>
        <w:rPr>
          <w:rFonts w:hint="eastAsia" w:ascii="宋体" w:hAnsi="宋体" w:eastAsia="宋体" w:cs="宋体"/>
          <w:b/>
          <w:bCs/>
          <w:color w:val="auto"/>
          <w:sz w:val="36"/>
          <w:szCs w:val="36"/>
          <w:highlight w:val="none"/>
        </w:rPr>
        <w:t>市政府采购供应商信用承诺函</w:t>
      </w:r>
    </w:p>
    <w:p w14:paraId="09A2B3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color w:val="auto"/>
          <w:sz w:val="32"/>
          <w:szCs w:val="32"/>
          <w:highlight w:val="none"/>
        </w:rPr>
      </w:pPr>
    </w:p>
    <w:p w14:paraId="0DC095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致（采购人或采购代理机构） ：</w:t>
      </w:r>
    </w:p>
    <w:p w14:paraId="3C9D72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我方自愿参加</w:t>
      </w:r>
      <w:r>
        <w:rPr>
          <w:rFonts w:hint="eastAsia" w:ascii="宋体" w:hAnsi="宋体" w:eastAsia="宋体" w:cs="宋体"/>
          <w:color w:val="auto"/>
          <w:sz w:val="28"/>
          <w:szCs w:val="28"/>
          <w:highlight w:val="none"/>
          <w:u w:val="single"/>
          <w:lang w:val="en-US" w:eastAsia="zh-CN"/>
        </w:rPr>
        <w:t xml:space="preserve"> （项目名称） </w:t>
      </w: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项目编号：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的政府采购活动，严格遵守《中华人民共和国政府采购法》及相关法律法规，依法诚信经营，无条件遵守本次政府采购活动的各项规定，并郑重承诺： </w:t>
      </w:r>
    </w:p>
    <w:p w14:paraId="400445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1.我方具有符合采购文件资格要求的财务状况报告。 </w:t>
      </w:r>
    </w:p>
    <w:p w14:paraId="4B14A0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2.我方具有符合采购文件资格要求的依法缴纳税收和社会保障资金的良好记录。 </w:t>
      </w:r>
    </w:p>
    <w:p w14:paraId="022DA6D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3.我方参加政府采购活动前三年内在经营活动中没有重大违法记录。 </w:t>
      </w:r>
    </w:p>
    <w:p w14:paraId="4A00CFA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我方对以上承诺内容的真实性负责。如有虚假，将依法承担相应责任。</w:t>
      </w:r>
    </w:p>
    <w:p w14:paraId="72CAF68E">
      <w:pPr>
        <w:keepNext w:val="0"/>
        <w:keepLines w:val="0"/>
        <w:pageBreakBefore w:val="0"/>
        <w:widowControl w:val="0"/>
        <w:kinsoku/>
        <w:wordWrap/>
        <w:overflowPunct/>
        <w:topLinePunct w:val="0"/>
        <w:autoSpaceDE/>
        <w:autoSpaceDN/>
        <w:bidi w:val="0"/>
        <w:adjustRightInd/>
        <w:snapToGrid/>
        <w:spacing w:line="520" w:lineRule="exact"/>
        <w:ind w:firstLine="3220" w:firstLineChars="1150"/>
        <w:textAlignment w:val="auto"/>
        <w:rPr>
          <w:rFonts w:hint="eastAsia" w:ascii="宋体" w:hAnsi="宋体" w:eastAsia="宋体" w:cs="宋体"/>
          <w:color w:val="auto"/>
          <w:sz w:val="28"/>
          <w:szCs w:val="28"/>
          <w:highlight w:val="none"/>
        </w:rPr>
      </w:pPr>
    </w:p>
    <w:p w14:paraId="5F398F62">
      <w:pPr>
        <w:keepNext w:val="0"/>
        <w:keepLines w:val="0"/>
        <w:pageBreakBefore w:val="0"/>
        <w:widowControl w:val="0"/>
        <w:kinsoku/>
        <w:wordWrap/>
        <w:overflowPunct/>
        <w:topLinePunct w:val="0"/>
        <w:autoSpaceDE/>
        <w:autoSpaceDN/>
        <w:bidi w:val="0"/>
        <w:adjustRightInd/>
        <w:snapToGrid/>
        <w:spacing w:line="520" w:lineRule="exact"/>
        <w:ind w:firstLine="3220" w:firstLineChars="1150"/>
        <w:textAlignment w:val="auto"/>
        <w:rPr>
          <w:rFonts w:hint="eastAsia" w:ascii="宋体" w:hAnsi="宋体" w:eastAsia="宋体" w:cs="宋体"/>
          <w:color w:val="auto"/>
          <w:sz w:val="28"/>
          <w:szCs w:val="28"/>
          <w:highlight w:val="none"/>
        </w:rPr>
      </w:pPr>
    </w:p>
    <w:p w14:paraId="63145BCE">
      <w:pPr>
        <w:keepNext w:val="0"/>
        <w:keepLines w:val="0"/>
        <w:pageBreakBefore w:val="0"/>
        <w:widowControl w:val="0"/>
        <w:kinsoku/>
        <w:wordWrap/>
        <w:overflowPunct/>
        <w:topLinePunct w:val="0"/>
        <w:autoSpaceDE/>
        <w:autoSpaceDN/>
        <w:bidi w:val="0"/>
        <w:adjustRightInd/>
        <w:snapToGrid/>
        <w:spacing w:line="520" w:lineRule="exact"/>
        <w:ind w:firstLine="3220" w:firstLineChars="1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003A7396">
      <w:pPr>
        <w:keepNext w:val="0"/>
        <w:keepLines w:val="0"/>
        <w:pageBreakBefore w:val="0"/>
        <w:widowControl w:val="0"/>
        <w:kinsoku/>
        <w:wordWrap/>
        <w:overflowPunct/>
        <w:topLinePunct w:val="0"/>
        <w:autoSpaceDE/>
        <w:autoSpaceDN/>
        <w:bidi w:val="0"/>
        <w:adjustRightInd/>
        <w:snapToGrid/>
        <w:spacing w:line="600" w:lineRule="exact"/>
        <w:ind w:firstLine="3080" w:firstLineChars="1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统一社会信用代码：</w:t>
      </w:r>
    </w:p>
    <w:p w14:paraId="060D7E88">
      <w:pPr>
        <w:keepNext w:val="0"/>
        <w:keepLines w:val="0"/>
        <w:pageBreakBefore w:val="0"/>
        <w:widowControl w:val="0"/>
        <w:kinsoku/>
        <w:wordWrap/>
        <w:overflowPunct/>
        <w:topLinePunct w:val="0"/>
        <w:autoSpaceDE/>
        <w:autoSpaceDN/>
        <w:bidi w:val="0"/>
        <w:adjustRightInd/>
        <w:snapToGrid/>
        <w:spacing w:line="520" w:lineRule="exact"/>
        <w:ind w:firstLine="1960" w:firstLineChars="7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法定代表人或授权代表(签名)：</w:t>
      </w:r>
    </w:p>
    <w:p w14:paraId="02ABA86B">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p>
    <w:p w14:paraId="459F607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rPr>
      </w:pPr>
    </w:p>
    <w:p w14:paraId="0DBEACD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注：1.供应商须在响应文件中按此模板提供承诺函，未提供视为未实质性响应采购文件要求，按无效响应处理。</w:t>
      </w:r>
    </w:p>
    <w:p w14:paraId="66C5F87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2.供应商的法定代表人（其他组织的为负责人）或者授权代表的签名或盖章应真实、有效，如由授权代表签名或盖章的，应提供“法定代表人授权书”。</w:t>
      </w:r>
    </w:p>
    <w:p w14:paraId="40DA1722">
      <w:pPr>
        <w:jc w:val="center"/>
        <w:rPr>
          <w:rFonts w:ascii="宋体" w:hAnsi="宋体" w:cs="仿宋_GB2312"/>
          <w:b/>
          <w:color w:val="000000"/>
          <w:kern w:val="0"/>
          <w:sz w:val="30"/>
          <w:szCs w:val="30"/>
          <w:highlight w:val="none"/>
        </w:rPr>
      </w:pPr>
      <w:r>
        <w:rPr>
          <w:rFonts w:hint="eastAsia" w:ascii="宋体" w:hAnsi="宋体" w:eastAsia="宋体" w:cs="宋体"/>
          <w:b/>
          <w:color w:val="auto"/>
          <w:kern w:val="0"/>
          <w:sz w:val="30"/>
          <w:szCs w:val="30"/>
          <w:highlight w:val="none"/>
        </w:rPr>
        <w:br w:type="page"/>
      </w:r>
      <w:r>
        <w:rPr>
          <w:rFonts w:hint="eastAsia" w:ascii="宋体" w:hAnsi="宋体" w:cs="仿宋_GB2312"/>
          <w:b/>
          <w:color w:val="000000"/>
          <w:kern w:val="0"/>
          <w:sz w:val="36"/>
          <w:szCs w:val="36"/>
          <w:highlight w:val="none"/>
        </w:rPr>
        <w:t>供应商直接控股股东信息</w:t>
      </w:r>
    </w:p>
    <w:p w14:paraId="200FD821">
      <w:pPr>
        <w:spacing w:line="360" w:lineRule="auto"/>
        <w:contextualSpacing/>
        <w:jc w:val="center"/>
        <w:rPr>
          <w:rFonts w:ascii="宋体" w:hAnsi="宋体"/>
          <w:b/>
          <w:color w:val="000000"/>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29ED29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1C84F3">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652ED87">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7DDD83">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951ACF4">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0362B45">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1F3149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788705C">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67F987">
            <w:pPr>
              <w:widowControl/>
              <w:spacing w:line="360" w:lineRule="auto"/>
              <w:contextualSpacing/>
              <w:jc w:val="center"/>
              <w:rPr>
                <w:rFonts w:ascii="宋体" w:hAnsi="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E4688A1">
            <w:pPr>
              <w:widowControl/>
              <w:spacing w:line="360" w:lineRule="auto"/>
              <w:contextualSpacing/>
              <w:jc w:val="center"/>
              <w:rPr>
                <w:rFonts w:ascii="宋体" w:hAnsi="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70D385A">
            <w:pPr>
              <w:widowControl/>
              <w:spacing w:line="360" w:lineRule="auto"/>
              <w:contextualSpacing/>
              <w:jc w:val="center"/>
              <w:rPr>
                <w:rFonts w:ascii="宋体" w:hAnsi="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3A4ECF">
            <w:pPr>
              <w:widowControl/>
              <w:spacing w:line="360" w:lineRule="auto"/>
              <w:contextualSpacing/>
              <w:jc w:val="center"/>
              <w:rPr>
                <w:rFonts w:ascii="宋体" w:hAnsi="宋体" w:cs="宋体"/>
                <w:color w:val="000000"/>
                <w:kern w:val="0"/>
                <w:sz w:val="24"/>
                <w:highlight w:val="none"/>
              </w:rPr>
            </w:pPr>
          </w:p>
        </w:tc>
      </w:tr>
      <w:tr w14:paraId="702D82C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8C09B0">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11A09EB">
            <w:pPr>
              <w:widowControl/>
              <w:spacing w:line="360" w:lineRule="auto"/>
              <w:contextualSpacing/>
              <w:jc w:val="center"/>
              <w:rPr>
                <w:rFonts w:ascii="宋体" w:hAnsi="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79E6B26">
            <w:pPr>
              <w:widowControl/>
              <w:spacing w:line="360" w:lineRule="auto"/>
              <w:contextualSpacing/>
              <w:jc w:val="center"/>
              <w:rPr>
                <w:rFonts w:ascii="宋体" w:hAnsi="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DA1EE23">
            <w:pPr>
              <w:widowControl/>
              <w:spacing w:line="360" w:lineRule="auto"/>
              <w:contextualSpacing/>
              <w:jc w:val="center"/>
              <w:rPr>
                <w:rFonts w:ascii="宋体" w:hAnsi="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59C319F">
            <w:pPr>
              <w:widowControl/>
              <w:spacing w:line="360" w:lineRule="auto"/>
              <w:contextualSpacing/>
              <w:jc w:val="center"/>
              <w:rPr>
                <w:rFonts w:ascii="宋体" w:hAnsi="宋体" w:cs="宋体"/>
                <w:color w:val="000000"/>
                <w:kern w:val="0"/>
                <w:sz w:val="24"/>
                <w:highlight w:val="none"/>
              </w:rPr>
            </w:pPr>
          </w:p>
        </w:tc>
      </w:tr>
      <w:tr w14:paraId="1544C49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FA70F27">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3F7287F">
            <w:pPr>
              <w:widowControl/>
              <w:spacing w:line="360" w:lineRule="auto"/>
              <w:contextualSpacing/>
              <w:jc w:val="center"/>
              <w:rPr>
                <w:rFonts w:ascii="宋体" w:hAnsi="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C3AADB">
            <w:pPr>
              <w:widowControl/>
              <w:spacing w:line="360" w:lineRule="auto"/>
              <w:contextualSpacing/>
              <w:jc w:val="center"/>
              <w:rPr>
                <w:rFonts w:ascii="宋体" w:hAnsi="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B5EA1A8">
            <w:pPr>
              <w:widowControl/>
              <w:spacing w:line="360" w:lineRule="auto"/>
              <w:contextualSpacing/>
              <w:jc w:val="center"/>
              <w:rPr>
                <w:rFonts w:ascii="宋体" w:hAnsi="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8E75C6">
            <w:pPr>
              <w:widowControl/>
              <w:spacing w:line="360" w:lineRule="auto"/>
              <w:contextualSpacing/>
              <w:jc w:val="center"/>
              <w:rPr>
                <w:rFonts w:ascii="宋体" w:hAnsi="宋体" w:cs="宋体"/>
                <w:color w:val="000000"/>
                <w:kern w:val="0"/>
                <w:sz w:val="24"/>
                <w:highlight w:val="none"/>
              </w:rPr>
            </w:pPr>
          </w:p>
        </w:tc>
      </w:tr>
      <w:tr w14:paraId="7E7EA27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90CB391">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B99EA8C">
            <w:pPr>
              <w:widowControl/>
              <w:spacing w:line="360" w:lineRule="auto"/>
              <w:contextualSpacing/>
              <w:jc w:val="center"/>
              <w:rPr>
                <w:rFonts w:ascii="宋体" w:hAnsi="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2E15EA">
            <w:pPr>
              <w:widowControl/>
              <w:spacing w:line="360" w:lineRule="auto"/>
              <w:contextualSpacing/>
              <w:jc w:val="center"/>
              <w:rPr>
                <w:rFonts w:ascii="宋体" w:hAnsi="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BBCEC9F">
            <w:pPr>
              <w:widowControl/>
              <w:spacing w:line="360" w:lineRule="auto"/>
              <w:contextualSpacing/>
              <w:jc w:val="center"/>
              <w:rPr>
                <w:rFonts w:ascii="宋体" w:hAnsi="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0F212AB">
            <w:pPr>
              <w:widowControl/>
              <w:spacing w:line="360" w:lineRule="auto"/>
              <w:contextualSpacing/>
              <w:jc w:val="center"/>
              <w:rPr>
                <w:rFonts w:ascii="宋体" w:hAnsi="宋体" w:cs="宋体"/>
                <w:color w:val="000000"/>
                <w:kern w:val="0"/>
                <w:sz w:val="24"/>
                <w:highlight w:val="none"/>
              </w:rPr>
            </w:pPr>
          </w:p>
        </w:tc>
      </w:tr>
    </w:tbl>
    <w:p w14:paraId="549068B7">
      <w:pPr>
        <w:spacing w:line="360" w:lineRule="auto"/>
        <w:contextualSpacing/>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注：</w:t>
      </w:r>
    </w:p>
    <w:p w14:paraId="0E06E020">
      <w:pPr>
        <w:spacing w:line="360" w:lineRule="auto"/>
        <w:ind w:firstLine="480" w:firstLineChars="200"/>
        <w:contextualSpacing/>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5D2D83B">
      <w:pPr>
        <w:spacing w:line="360" w:lineRule="auto"/>
        <w:ind w:firstLine="480" w:firstLineChars="200"/>
        <w:contextualSpacing/>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2.本表所指的控股关系仅限于直接控股关系，不包括间接的控股关系。公司实际控制人与公司之间的关系不属于本表所指的直接控股关系。</w:t>
      </w:r>
    </w:p>
    <w:p w14:paraId="75AEC965">
      <w:pPr>
        <w:spacing w:line="360" w:lineRule="auto"/>
        <w:ind w:firstLine="480" w:firstLineChars="200"/>
        <w:contextualSpacing/>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3.供应商不存在直接控股股东的，则填“无”。</w:t>
      </w:r>
    </w:p>
    <w:p w14:paraId="3B138253">
      <w:pPr>
        <w:snapToGrid w:val="0"/>
        <w:spacing w:line="360" w:lineRule="auto"/>
        <w:jc w:val="left"/>
        <w:rPr>
          <w:rFonts w:ascii="宋体" w:hAnsi="宋体" w:cs="宋体"/>
          <w:color w:val="000000"/>
          <w:sz w:val="24"/>
          <w:highlight w:val="none"/>
        </w:rPr>
      </w:pPr>
    </w:p>
    <w:p w14:paraId="2F26C81A">
      <w:pPr>
        <w:snapToGrid w:val="0"/>
        <w:spacing w:line="360" w:lineRule="auto"/>
        <w:jc w:val="left"/>
        <w:rPr>
          <w:rFonts w:ascii="宋体" w:hAnsi="宋体" w:cs="宋体"/>
          <w:color w:val="000000"/>
          <w:sz w:val="24"/>
          <w:highlight w:val="none"/>
        </w:rPr>
      </w:pPr>
    </w:p>
    <w:p w14:paraId="0F08E899">
      <w:pPr>
        <w:snapToGrid w:val="0"/>
        <w:spacing w:line="360" w:lineRule="auto"/>
        <w:jc w:val="left"/>
        <w:rPr>
          <w:rFonts w:ascii="宋体" w:hAnsi="宋体" w:cs="宋体"/>
          <w:color w:val="000000"/>
          <w:sz w:val="24"/>
          <w:highlight w:val="none"/>
        </w:rPr>
      </w:pPr>
    </w:p>
    <w:p w14:paraId="2A700989">
      <w:pPr>
        <w:autoSpaceDE w:val="0"/>
        <w:autoSpaceDN w:val="0"/>
        <w:spacing w:line="360" w:lineRule="auto"/>
        <w:ind w:left="4365" w:leftChars="1850" w:hanging="480" w:hangingChars="200"/>
        <w:rPr>
          <w:rFonts w:ascii="宋体" w:hAnsi="宋体" w:cs="仿宋_GB2312"/>
          <w:color w:val="000000"/>
          <w:kern w:val="0"/>
          <w:sz w:val="24"/>
          <w:highlight w:val="none"/>
        </w:rPr>
      </w:pPr>
      <w:r>
        <w:rPr>
          <w:rFonts w:hint="eastAsia" w:ascii="宋体" w:hAnsi="宋体" w:cs="仿宋_GB2312"/>
          <w:color w:val="000000"/>
          <w:kern w:val="0"/>
          <w:sz w:val="24"/>
          <w:highlight w:val="none"/>
        </w:rPr>
        <w:t>供应商名称（电子签章）：</w:t>
      </w:r>
    </w:p>
    <w:p w14:paraId="16C0BAFC">
      <w:pPr>
        <w:autoSpaceDE w:val="0"/>
        <w:autoSpaceDN w:val="0"/>
        <w:spacing w:line="360" w:lineRule="auto"/>
        <w:ind w:firstLine="6120" w:firstLineChars="2550"/>
        <w:rPr>
          <w:rFonts w:ascii="宋体" w:hAnsi="宋体" w:cs="仿宋_GB2312"/>
          <w:b/>
          <w:bCs/>
          <w:color w:val="000000"/>
          <w:sz w:val="24"/>
          <w:highlight w:val="none"/>
        </w:rPr>
      </w:pPr>
      <w:r>
        <w:rPr>
          <w:rFonts w:hint="eastAsia" w:ascii="宋体" w:hAnsi="宋体" w:cs="仿宋_GB2312"/>
          <w:color w:val="000000"/>
          <w:kern w:val="0"/>
          <w:sz w:val="24"/>
          <w:highlight w:val="none"/>
          <w:lang w:val="zh-CN"/>
        </w:rPr>
        <w:t>日期：  年  月   日</w:t>
      </w:r>
    </w:p>
    <w:p w14:paraId="2CE5DA24">
      <w:pPr>
        <w:snapToGrid w:val="0"/>
        <w:rPr>
          <w:rFonts w:ascii="宋体" w:hAnsi="宋体" w:cs="仿宋_GB2312"/>
          <w:b/>
          <w:color w:val="000000"/>
          <w:kern w:val="0"/>
          <w:sz w:val="30"/>
          <w:szCs w:val="30"/>
          <w:highlight w:val="none"/>
        </w:rPr>
      </w:pPr>
    </w:p>
    <w:p w14:paraId="495EC60E">
      <w:pPr>
        <w:rPr>
          <w:rFonts w:ascii="Calibri" w:hAnsi="Calibri"/>
          <w:color w:val="000000"/>
          <w:highlight w:val="none"/>
        </w:rPr>
      </w:pPr>
    </w:p>
    <w:p w14:paraId="2C976B95">
      <w:pPr>
        <w:rPr>
          <w:rFonts w:ascii="Calibri" w:hAnsi="Calibri"/>
          <w:color w:val="000000"/>
          <w:highlight w:val="none"/>
        </w:rPr>
      </w:pPr>
    </w:p>
    <w:p w14:paraId="235BCAD1">
      <w:pPr>
        <w:rPr>
          <w:rFonts w:ascii="Calibri" w:hAnsi="Calibri"/>
          <w:color w:val="000000"/>
          <w:highlight w:val="none"/>
        </w:rPr>
      </w:pPr>
    </w:p>
    <w:p w14:paraId="25BBC014">
      <w:pPr>
        <w:rPr>
          <w:rFonts w:ascii="Calibri" w:hAnsi="Calibri"/>
          <w:color w:val="000000"/>
          <w:highlight w:val="none"/>
        </w:rPr>
      </w:pPr>
    </w:p>
    <w:p w14:paraId="69669EBB">
      <w:pPr>
        <w:rPr>
          <w:rFonts w:ascii="Calibri" w:hAnsi="Calibri"/>
          <w:color w:val="000000"/>
          <w:highlight w:val="none"/>
        </w:rPr>
      </w:pPr>
    </w:p>
    <w:p w14:paraId="3D9F4CCA">
      <w:pPr>
        <w:rPr>
          <w:rFonts w:ascii="Calibri" w:hAnsi="Calibri"/>
          <w:color w:val="000000"/>
          <w:highlight w:val="none"/>
        </w:rPr>
      </w:pPr>
    </w:p>
    <w:p w14:paraId="55A73B83">
      <w:pPr>
        <w:rPr>
          <w:rFonts w:ascii="Calibri" w:hAnsi="Calibri"/>
          <w:color w:val="000000"/>
          <w:highlight w:val="none"/>
        </w:rPr>
      </w:pPr>
    </w:p>
    <w:p w14:paraId="7EE3A35D">
      <w:pPr>
        <w:rPr>
          <w:rFonts w:ascii="Calibri" w:hAnsi="Calibri"/>
          <w:color w:val="000000"/>
          <w:highlight w:val="none"/>
        </w:rPr>
      </w:pPr>
    </w:p>
    <w:p w14:paraId="51B99AE5">
      <w:pPr>
        <w:rPr>
          <w:rFonts w:ascii="Calibri" w:hAnsi="Calibri"/>
          <w:color w:val="000000"/>
          <w:highlight w:val="none"/>
        </w:rPr>
      </w:pPr>
    </w:p>
    <w:p w14:paraId="39B72639">
      <w:pPr>
        <w:pStyle w:val="9"/>
        <w:rPr>
          <w:color w:val="000000"/>
          <w:highlight w:val="none"/>
        </w:rPr>
      </w:pPr>
    </w:p>
    <w:p w14:paraId="4E4CE44E">
      <w:pPr>
        <w:rPr>
          <w:rFonts w:ascii="Calibri" w:hAnsi="Calibri"/>
          <w:color w:val="000000"/>
          <w:highlight w:val="none"/>
        </w:rPr>
      </w:pPr>
    </w:p>
    <w:p w14:paraId="3DE38FED">
      <w:pPr>
        <w:rPr>
          <w:rFonts w:ascii="Calibri" w:hAnsi="Calibri"/>
          <w:color w:val="000000"/>
          <w:highlight w:val="none"/>
        </w:rPr>
      </w:pPr>
    </w:p>
    <w:p w14:paraId="2E11DF89">
      <w:pPr>
        <w:snapToGrid w:val="0"/>
        <w:jc w:val="center"/>
        <w:rPr>
          <w:rFonts w:ascii="宋体" w:hAnsi="宋体" w:cs="仿宋_GB2312"/>
          <w:b/>
          <w:color w:val="000000"/>
          <w:kern w:val="0"/>
          <w:sz w:val="36"/>
          <w:szCs w:val="36"/>
          <w:highlight w:val="none"/>
        </w:rPr>
      </w:pPr>
      <w:r>
        <w:rPr>
          <w:rFonts w:hint="eastAsia" w:ascii="宋体" w:hAnsi="宋体" w:cs="仿宋_GB2312"/>
          <w:b/>
          <w:color w:val="000000"/>
          <w:kern w:val="0"/>
          <w:sz w:val="36"/>
          <w:szCs w:val="36"/>
          <w:highlight w:val="none"/>
        </w:rPr>
        <w:t>供应商直接管理关系信息表</w:t>
      </w:r>
    </w:p>
    <w:p w14:paraId="021A1948">
      <w:pPr>
        <w:snapToGrid w:val="0"/>
        <w:spacing w:line="360" w:lineRule="auto"/>
        <w:jc w:val="center"/>
        <w:rPr>
          <w:rFonts w:ascii="宋体" w:hAnsi="宋体"/>
          <w:b/>
          <w:color w:val="000000"/>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FC97D1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5590990">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C70785D">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03393BD">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B66F798">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00EB883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0202242">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C56B89C">
            <w:pPr>
              <w:widowControl/>
              <w:spacing w:line="360" w:lineRule="auto"/>
              <w:contextualSpacing/>
              <w:jc w:val="center"/>
              <w:rPr>
                <w:rFonts w:ascii="宋体" w:hAnsi="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5B973F">
            <w:pPr>
              <w:widowControl/>
              <w:spacing w:line="360" w:lineRule="auto"/>
              <w:contextualSpacing/>
              <w:jc w:val="center"/>
              <w:rPr>
                <w:rFonts w:ascii="宋体" w:hAnsi="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473E81B">
            <w:pPr>
              <w:widowControl/>
              <w:spacing w:line="360" w:lineRule="auto"/>
              <w:contextualSpacing/>
              <w:jc w:val="center"/>
              <w:rPr>
                <w:rFonts w:ascii="宋体" w:hAnsi="宋体" w:cs="宋体"/>
                <w:color w:val="000000"/>
                <w:kern w:val="0"/>
                <w:sz w:val="24"/>
                <w:highlight w:val="none"/>
              </w:rPr>
            </w:pPr>
          </w:p>
        </w:tc>
      </w:tr>
      <w:tr w14:paraId="244513E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5FE4C2">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8CEC39">
            <w:pPr>
              <w:widowControl/>
              <w:spacing w:line="360" w:lineRule="auto"/>
              <w:contextualSpacing/>
              <w:jc w:val="center"/>
              <w:rPr>
                <w:rFonts w:ascii="宋体" w:hAnsi="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6D6AE9C">
            <w:pPr>
              <w:widowControl/>
              <w:spacing w:line="360" w:lineRule="auto"/>
              <w:contextualSpacing/>
              <w:jc w:val="center"/>
              <w:rPr>
                <w:rFonts w:ascii="宋体" w:hAnsi="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FC4C1C">
            <w:pPr>
              <w:widowControl/>
              <w:spacing w:line="360" w:lineRule="auto"/>
              <w:contextualSpacing/>
              <w:jc w:val="center"/>
              <w:rPr>
                <w:rFonts w:ascii="宋体" w:hAnsi="宋体" w:cs="宋体"/>
                <w:color w:val="000000"/>
                <w:kern w:val="0"/>
                <w:sz w:val="24"/>
                <w:highlight w:val="none"/>
              </w:rPr>
            </w:pPr>
          </w:p>
        </w:tc>
      </w:tr>
      <w:tr w14:paraId="0495B45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F4CA646">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87C9E3">
            <w:pPr>
              <w:widowControl/>
              <w:spacing w:line="360" w:lineRule="auto"/>
              <w:contextualSpacing/>
              <w:jc w:val="center"/>
              <w:rPr>
                <w:rFonts w:ascii="宋体" w:hAnsi="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A7AD54">
            <w:pPr>
              <w:widowControl/>
              <w:spacing w:line="360" w:lineRule="auto"/>
              <w:contextualSpacing/>
              <w:jc w:val="center"/>
              <w:rPr>
                <w:rFonts w:ascii="宋体" w:hAnsi="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FC605B">
            <w:pPr>
              <w:widowControl/>
              <w:spacing w:line="360" w:lineRule="auto"/>
              <w:contextualSpacing/>
              <w:jc w:val="center"/>
              <w:rPr>
                <w:rFonts w:ascii="宋体" w:hAnsi="宋体" w:cs="宋体"/>
                <w:color w:val="000000"/>
                <w:kern w:val="0"/>
                <w:sz w:val="24"/>
                <w:highlight w:val="none"/>
              </w:rPr>
            </w:pPr>
          </w:p>
        </w:tc>
      </w:tr>
      <w:tr w14:paraId="3287A75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8BE738">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27A5662">
            <w:pPr>
              <w:widowControl/>
              <w:spacing w:line="360" w:lineRule="auto"/>
              <w:contextualSpacing/>
              <w:jc w:val="center"/>
              <w:rPr>
                <w:rFonts w:ascii="宋体" w:hAnsi="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D91F57A">
            <w:pPr>
              <w:widowControl/>
              <w:spacing w:line="360" w:lineRule="auto"/>
              <w:contextualSpacing/>
              <w:jc w:val="center"/>
              <w:rPr>
                <w:rFonts w:ascii="宋体" w:hAnsi="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CF7AA62">
            <w:pPr>
              <w:widowControl/>
              <w:spacing w:line="360" w:lineRule="auto"/>
              <w:contextualSpacing/>
              <w:jc w:val="center"/>
              <w:rPr>
                <w:rFonts w:ascii="宋体" w:hAnsi="宋体" w:cs="宋体"/>
                <w:color w:val="000000"/>
                <w:kern w:val="0"/>
                <w:sz w:val="24"/>
                <w:highlight w:val="none"/>
              </w:rPr>
            </w:pPr>
          </w:p>
        </w:tc>
      </w:tr>
    </w:tbl>
    <w:p w14:paraId="3EF21D9B">
      <w:pPr>
        <w:spacing w:line="360" w:lineRule="auto"/>
        <w:ind w:firstLine="480" w:firstLineChars="200"/>
        <w:contextualSpacing/>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注：</w:t>
      </w:r>
    </w:p>
    <w:p w14:paraId="1D4BA300">
      <w:pPr>
        <w:spacing w:line="360" w:lineRule="auto"/>
        <w:ind w:firstLine="480" w:firstLineChars="200"/>
        <w:contextualSpacing/>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1.管理关系：是指不具有出资持股关系的其他单位之间存在的管理与被管理关系，如一些上下级关系的事业单位和团体组织。</w:t>
      </w:r>
    </w:p>
    <w:p w14:paraId="1EBA7BB0">
      <w:pPr>
        <w:spacing w:line="360" w:lineRule="auto"/>
        <w:ind w:firstLine="480" w:firstLineChars="200"/>
        <w:contextualSpacing/>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2.本表所指的管理关系仅限于直接管理关系，不包括间接的管理关系。</w:t>
      </w:r>
    </w:p>
    <w:p w14:paraId="461B08EC">
      <w:pPr>
        <w:spacing w:line="360" w:lineRule="auto"/>
        <w:ind w:firstLine="480" w:firstLineChars="200"/>
        <w:contextualSpacing/>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3.供应商不存在直接管理关系的，则填“无”。</w:t>
      </w:r>
    </w:p>
    <w:p w14:paraId="38B52BA3">
      <w:pPr>
        <w:spacing w:line="360" w:lineRule="auto"/>
        <w:contextualSpacing/>
        <w:jc w:val="left"/>
        <w:rPr>
          <w:rFonts w:ascii="宋体" w:hAnsi="宋体"/>
          <w:color w:val="000000"/>
          <w:sz w:val="24"/>
          <w:highlight w:val="none"/>
        </w:rPr>
      </w:pPr>
    </w:p>
    <w:p w14:paraId="344E802A">
      <w:pPr>
        <w:autoSpaceDE w:val="0"/>
        <w:autoSpaceDN w:val="0"/>
        <w:spacing w:line="360" w:lineRule="auto"/>
        <w:ind w:left="4365" w:leftChars="1850" w:hanging="480" w:hangingChars="200"/>
        <w:rPr>
          <w:rFonts w:ascii="宋体" w:hAnsi="宋体" w:cs="仿宋_GB2312"/>
          <w:color w:val="000000"/>
          <w:kern w:val="0"/>
          <w:sz w:val="24"/>
          <w:highlight w:val="none"/>
        </w:rPr>
      </w:pPr>
      <w:r>
        <w:rPr>
          <w:rFonts w:hint="eastAsia" w:ascii="宋体" w:hAnsi="宋体" w:cs="仿宋_GB2312"/>
          <w:color w:val="000000"/>
          <w:kern w:val="0"/>
          <w:sz w:val="24"/>
          <w:highlight w:val="none"/>
        </w:rPr>
        <w:t>供应商名称（电子签章）：</w:t>
      </w:r>
    </w:p>
    <w:p w14:paraId="5DDCF182">
      <w:pPr>
        <w:autoSpaceDE w:val="0"/>
        <w:autoSpaceDN w:val="0"/>
        <w:spacing w:line="360" w:lineRule="auto"/>
        <w:ind w:firstLine="6120" w:firstLineChars="2550"/>
        <w:rPr>
          <w:rFonts w:ascii="宋体" w:hAnsi="宋体" w:cs="仿宋_GB2312"/>
          <w:b/>
          <w:bCs/>
          <w:color w:val="000000"/>
          <w:sz w:val="24"/>
          <w:highlight w:val="none"/>
        </w:rPr>
      </w:pPr>
      <w:r>
        <w:rPr>
          <w:rFonts w:hint="eastAsia" w:ascii="宋体" w:hAnsi="宋体" w:cs="仿宋_GB2312"/>
          <w:color w:val="000000"/>
          <w:kern w:val="0"/>
          <w:sz w:val="24"/>
          <w:highlight w:val="none"/>
          <w:lang w:val="zh-CN"/>
        </w:rPr>
        <w:t>日期：  年  月   日</w:t>
      </w:r>
    </w:p>
    <w:p w14:paraId="4C971395">
      <w:pPr>
        <w:spacing w:line="360" w:lineRule="auto"/>
        <w:ind w:right="480" w:firstLine="280" w:firstLineChars="100"/>
        <w:contextualSpacing/>
        <w:jc w:val="center"/>
        <w:rPr>
          <w:rFonts w:ascii="宋体" w:hAnsi="宋体"/>
          <w:color w:val="000000"/>
          <w:sz w:val="28"/>
          <w:szCs w:val="28"/>
          <w:highlight w:val="none"/>
        </w:rPr>
      </w:pPr>
    </w:p>
    <w:p w14:paraId="01B5429B">
      <w:pPr>
        <w:numPr>
          <w:ilvl w:val="0"/>
          <w:numId w:val="0"/>
        </w:numPr>
        <w:jc w:val="center"/>
        <w:rPr>
          <w:rFonts w:ascii="宋体" w:hAnsi="宋体"/>
          <w:b/>
          <w:color w:val="000000"/>
          <w:sz w:val="36"/>
          <w:szCs w:val="36"/>
          <w:highlight w:val="none"/>
        </w:rPr>
      </w:pPr>
      <w:r>
        <w:rPr>
          <w:rFonts w:ascii="宋体" w:hAnsi="宋体"/>
          <w:color w:val="000000"/>
          <w:sz w:val="28"/>
          <w:szCs w:val="28"/>
          <w:highlight w:val="none"/>
        </w:rPr>
        <w:br w:type="page"/>
      </w:r>
      <w:r>
        <w:rPr>
          <w:rFonts w:hint="eastAsia" w:ascii="宋体" w:hAnsi="宋体"/>
          <w:b/>
          <w:color w:val="000000"/>
          <w:sz w:val="36"/>
          <w:szCs w:val="36"/>
          <w:highlight w:val="none"/>
        </w:rPr>
        <w:t>资格声明函</w:t>
      </w:r>
    </w:p>
    <w:p w14:paraId="5BBC40A7">
      <w:pPr>
        <w:spacing w:line="320" w:lineRule="exact"/>
        <w:jc w:val="center"/>
        <w:rPr>
          <w:rFonts w:ascii="宋体" w:hAnsi="宋体"/>
          <w:color w:val="000000"/>
          <w:sz w:val="24"/>
          <w:szCs w:val="20"/>
          <w:highlight w:val="none"/>
        </w:rPr>
      </w:pPr>
    </w:p>
    <w:p w14:paraId="68166015">
      <w:pPr>
        <w:spacing w:line="360" w:lineRule="auto"/>
        <w:contextualSpacing/>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eastAsia="宋体" w:cs="宋体"/>
          <w:color w:val="000000"/>
          <w:sz w:val="24"/>
          <w:highlight w:val="none"/>
          <w:u w:val="single"/>
        </w:rPr>
        <w:t>（采购代理机构名称）</w:t>
      </w:r>
      <w:r>
        <w:rPr>
          <w:rFonts w:hint="eastAsia" w:ascii="宋体" w:hAnsi="宋体" w:cs="宋体"/>
          <w:color w:val="000000"/>
          <w:sz w:val="24"/>
          <w:highlight w:val="none"/>
        </w:rPr>
        <w:t>：</w:t>
      </w:r>
    </w:p>
    <w:p w14:paraId="1ED55927">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u w:val="single"/>
        </w:rPr>
        <w:t>（供应商名称）</w:t>
      </w:r>
      <w:r>
        <w:rPr>
          <w:rFonts w:hint="eastAsia" w:ascii="宋体" w:hAnsi="宋体" w:cs="宋体"/>
          <w:color w:val="000000"/>
          <w:sz w:val="24"/>
          <w:highlight w:val="none"/>
        </w:rPr>
        <w:t>系中华人民共和国合法供应商，经营地址</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w:t>
      </w:r>
    </w:p>
    <w:p w14:paraId="1F42731F">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我方愿意参加贵方组织的</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（项目名称</w:t>
      </w:r>
      <w:r>
        <w:rPr>
          <w:rFonts w:hint="eastAsia" w:ascii="宋体" w:hAnsi="宋体" w:cs="宋体"/>
          <w:color w:val="000000"/>
          <w:sz w:val="24"/>
          <w:highlight w:val="none"/>
          <w:u w:val="single"/>
        </w:rPr>
        <w:t>）</w:t>
      </w:r>
      <w:r>
        <w:rPr>
          <w:rFonts w:hint="eastAsia" w:ascii="宋体" w:hAnsi="宋体" w:cs="宋体"/>
          <w:color w:val="000000"/>
          <w:sz w:val="24"/>
          <w:highlight w:val="none"/>
        </w:rPr>
        <w:t>项目的竞标，为便于贵方公正、择优地确定成交供应商及其竞标产品和服务，我方就本次竞标有关事项郑重声明如下：</w:t>
      </w:r>
    </w:p>
    <w:p w14:paraId="532F49EE">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1.我方向贵方提交的所有响应文件、资料都是准确的和真实的。</w:t>
      </w:r>
    </w:p>
    <w:p w14:paraId="1AD92895">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96BE4D0">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3.在此，我方宣布同意如下：</w:t>
      </w:r>
    </w:p>
    <w:p w14:paraId="4F848A19">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（1）将按磋商文件的约定履行合同责任和义务；</w:t>
      </w:r>
    </w:p>
    <w:p w14:paraId="200A7E98">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（2）已详细审查全部磋商文件，包括澄清或者更正公告（如有）；</w:t>
      </w:r>
    </w:p>
    <w:p w14:paraId="398013D5">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（3）同意提供按照贵方可能要求的与谈判有关的一切数据或者资料；</w:t>
      </w:r>
    </w:p>
    <w:p w14:paraId="00FA658D">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（4）响应磋商文件规定的竞标有效期。</w:t>
      </w:r>
    </w:p>
    <w:p w14:paraId="32CDED8C">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D8284C0">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F8DF362">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148EAFD">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□我方本次响应文件</w:t>
      </w:r>
      <w:r>
        <w:rPr>
          <w:rFonts w:hint="eastAsia" w:ascii="宋体" w:hAnsi="宋体" w:cs="宋体"/>
          <w:color w:val="000000"/>
          <w:kern w:val="0"/>
          <w:sz w:val="24"/>
          <w:highlight w:val="none"/>
        </w:rPr>
        <w:t>内容中</w:t>
      </w:r>
      <w:r>
        <w:rPr>
          <w:rFonts w:hint="eastAsia" w:ascii="宋体" w:hAnsi="宋体" w:cs="宋体"/>
          <w:color w:val="000000"/>
          <w:sz w:val="24"/>
          <w:highlight w:val="none"/>
        </w:rPr>
        <w:t>未</w:t>
      </w:r>
      <w:r>
        <w:rPr>
          <w:rFonts w:hint="eastAsia" w:ascii="宋体" w:hAnsi="宋体" w:cs="宋体"/>
          <w:color w:val="000000"/>
          <w:kern w:val="0"/>
          <w:sz w:val="24"/>
          <w:highlight w:val="none"/>
        </w:rPr>
        <w:t>涉及商业秘密；</w:t>
      </w:r>
    </w:p>
    <w:p w14:paraId="4A8A420A">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□我方本次响应文件</w:t>
      </w:r>
      <w:r>
        <w:rPr>
          <w:rFonts w:hint="eastAsia" w:ascii="宋体" w:hAnsi="宋体" w:cs="宋体"/>
          <w:color w:val="000000"/>
          <w:kern w:val="0"/>
          <w:sz w:val="24"/>
          <w:highlight w:val="none"/>
        </w:rPr>
        <w:t>涉及商业秘密的内容有：；</w:t>
      </w:r>
    </w:p>
    <w:p w14:paraId="18E2AC3C">
      <w:pPr>
        <w:spacing w:line="360" w:lineRule="auto"/>
        <w:ind w:firstLine="480" w:firstLineChars="200"/>
        <w:contextualSpacing/>
        <w:rPr>
          <w:rFonts w:ascii="宋体" w:hAnsi="宋体" w:cs="宋体"/>
          <w:color w:val="000000"/>
          <w:kern w:val="0"/>
          <w:sz w:val="24"/>
          <w:highlight w:val="none"/>
          <w:u w:val="single"/>
        </w:rPr>
      </w:pPr>
      <w:r>
        <w:rPr>
          <w:rFonts w:hint="eastAsia" w:ascii="宋体" w:hAnsi="宋体" w:cs="宋体"/>
          <w:color w:val="000000"/>
          <w:kern w:val="0"/>
          <w:sz w:val="24"/>
          <w:highlight w:val="none"/>
        </w:rPr>
        <w:t>7.与本磋商有关的一切正式往来信函请寄：邮政编号：</w:t>
      </w:r>
    </w:p>
    <w:p w14:paraId="308B8C90">
      <w:pPr>
        <w:spacing w:line="360" w:lineRule="auto"/>
        <w:ind w:firstLine="480" w:firstLineChars="200"/>
        <w:contextualSpacing/>
        <w:rPr>
          <w:rFonts w:ascii="宋体" w:hAnsi="宋体" w:cs="宋体"/>
          <w:color w:val="000000"/>
          <w:kern w:val="0"/>
          <w:sz w:val="24"/>
          <w:highlight w:val="none"/>
        </w:rPr>
      </w:pPr>
      <w:r>
        <w:rPr>
          <w:rFonts w:hint="eastAsia" w:ascii="宋体" w:hAnsi="宋体" w:cs="宋体"/>
          <w:color w:val="000000"/>
          <w:kern w:val="0"/>
          <w:sz w:val="24"/>
          <w:highlight w:val="none"/>
        </w:rPr>
        <w:t>电话/传真： 电子函件：</w:t>
      </w:r>
    </w:p>
    <w:p w14:paraId="3B2D22DF">
      <w:pPr>
        <w:tabs>
          <w:tab w:val="left" w:pos="939"/>
        </w:tabs>
        <w:spacing w:line="360" w:lineRule="auto"/>
        <w:ind w:left="141" w:leftChars="67" w:firstLine="360" w:firstLineChars="150"/>
        <w:contextualSpacing/>
        <w:rPr>
          <w:rFonts w:ascii="宋体" w:hAnsi="宋体" w:cs="宋体"/>
          <w:color w:val="000000"/>
          <w:sz w:val="24"/>
          <w:highlight w:val="none"/>
        </w:rPr>
      </w:pPr>
      <w:r>
        <w:rPr>
          <w:rFonts w:hint="eastAsia" w:ascii="宋体" w:hAnsi="宋体" w:cs="宋体"/>
          <w:color w:val="000000"/>
          <w:sz w:val="24"/>
          <w:highlight w:val="none"/>
        </w:rPr>
        <w:t xml:space="preserve">开户银行：  </w:t>
      </w:r>
      <w:r>
        <w:rPr>
          <w:rFonts w:hint="eastAsia" w:ascii="宋体" w:hAnsi="宋体" w:cs="宋体"/>
          <w:color w:val="000000"/>
          <w:sz w:val="24"/>
          <w:highlight w:val="none"/>
          <w:lang w:val="en-US" w:eastAsia="zh-CN"/>
        </w:rPr>
        <w:t>账</w:t>
      </w:r>
      <w:r>
        <w:rPr>
          <w:rFonts w:hint="eastAsia" w:ascii="宋体" w:hAnsi="宋体" w:cs="宋体"/>
          <w:color w:val="000000"/>
          <w:sz w:val="24"/>
          <w:highlight w:val="none"/>
        </w:rPr>
        <w:t>号：</w:t>
      </w:r>
    </w:p>
    <w:p w14:paraId="1995686A">
      <w:pPr>
        <w:tabs>
          <w:tab w:val="left" w:pos="939"/>
        </w:tabs>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8.以上事项如有虚假或者隐瞒，我方愿意承担一切后果，并不再寻求任何旨在减轻或者免除法律责任的辩解。</w:t>
      </w:r>
    </w:p>
    <w:p w14:paraId="673D912F">
      <w:pPr>
        <w:tabs>
          <w:tab w:val="left" w:pos="939"/>
        </w:tabs>
        <w:spacing w:line="360" w:lineRule="auto"/>
        <w:ind w:left="141" w:leftChars="67" w:firstLine="360" w:firstLineChars="150"/>
        <w:contextualSpacing/>
        <w:rPr>
          <w:rFonts w:ascii="宋体" w:hAnsi="宋体" w:cs="宋体"/>
          <w:color w:val="000000"/>
          <w:sz w:val="24"/>
          <w:highlight w:val="none"/>
        </w:rPr>
      </w:pPr>
      <w:r>
        <w:rPr>
          <w:rFonts w:hint="eastAsia" w:ascii="宋体" w:hAnsi="宋体" w:cs="宋体"/>
          <w:color w:val="000000"/>
          <w:sz w:val="24"/>
          <w:highlight w:val="none"/>
        </w:rPr>
        <w:t>特此承诺。</w:t>
      </w:r>
    </w:p>
    <w:p w14:paraId="2A2A4E3A">
      <w:pPr>
        <w:tabs>
          <w:tab w:val="left" w:pos="939"/>
        </w:tabs>
        <w:spacing w:line="360" w:lineRule="auto"/>
        <w:ind w:firstLine="480" w:firstLineChars="200"/>
        <w:contextualSpacing/>
        <w:rPr>
          <w:rFonts w:ascii="宋体" w:hAnsi="宋体" w:cs="宋体"/>
          <w:color w:val="000000"/>
          <w:sz w:val="24"/>
          <w:highlight w:val="none"/>
        </w:rPr>
      </w:pPr>
    </w:p>
    <w:p w14:paraId="2E4E3D77">
      <w:pPr>
        <w:tabs>
          <w:tab w:val="left" w:pos="939"/>
        </w:tabs>
        <w:spacing w:line="360" w:lineRule="auto"/>
        <w:ind w:firstLine="480" w:firstLineChars="200"/>
        <w:contextualSpacing/>
        <w:rPr>
          <w:rFonts w:ascii="宋体" w:hAnsi="宋体" w:cs="宋体"/>
          <w:color w:val="000000"/>
          <w:sz w:val="24"/>
          <w:highlight w:val="none"/>
        </w:rPr>
      </w:pPr>
    </w:p>
    <w:p w14:paraId="604804A5">
      <w:pPr>
        <w:autoSpaceDE w:val="0"/>
        <w:autoSpaceDN w:val="0"/>
        <w:spacing w:line="360" w:lineRule="auto"/>
        <w:ind w:left="4365" w:leftChars="1850" w:hanging="480" w:hangingChars="200"/>
        <w:rPr>
          <w:rFonts w:ascii="宋体" w:hAnsi="宋体" w:cs="仿宋_GB2312"/>
          <w:color w:val="000000"/>
          <w:kern w:val="0"/>
          <w:sz w:val="24"/>
          <w:highlight w:val="none"/>
        </w:rPr>
      </w:pPr>
      <w:r>
        <w:rPr>
          <w:rFonts w:hint="eastAsia" w:ascii="宋体" w:hAnsi="宋体" w:cs="仿宋_GB2312"/>
          <w:color w:val="000000"/>
          <w:kern w:val="0"/>
          <w:sz w:val="24"/>
          <w:highlight w:val="none"/>
        </w:rPr>
        <w:t>供应商名称（电子签章）：</w:t>
      </w:r>
    </w:p>
    <w:p w14:paraId="51329BDC">
      <w:pPr>
        <w:autoSpaceDE w:val="0"/>
        <w:autoSpaceDN w:val="0"/>
        <w:spacing w:line="360" w:lineRule="auto"/>
        <w:ind w:firstLine="6120" w:firstLineChars="2550"/>
        <w:rPr>
          <w:rFonts w:ascii="宋体" w:hAnsi="宋体" w:cs="仿宋_GB2312"/>
          <w:color w:val="000000"/>
          <w:kern w:val="0"/>
          <w:sz w:val="24"/>
          <w:highlight w:val="none"/>
          <w:lang w:val="zh-CN"/>
        </w:rPr>
        <w:sectPr>
          <w:pgSz w:w="11910" w:h="16840"/>
          <w:pgMar w:top="1417" w:right="1417" w:bottom="1417" w:left="1417" w:header="720" w:footer="720" w:gutter="0"/>
          <w:pgNumType w:fmt="decimal"/>
          <w:cols w:space="720" w:num="1"/>
          <w:rtlGutter w:val="0"/>
        </w:sectPr>
      </w:pPr>
      <w:r>
        <w:rPr>
          <w:rFonts w:hint="eastAsia" w:ascii="宋体" w:hAnsi="宋体" w:cs="仿宋_GB2312"/>
          <w:color w:val="000000"/>
          <w:kern w:val="0"/>
          <w:sz w:val="24"/>
          <w:highlight w:val="none"/>
          <w:lang w:val="zh-CN"/>
        </w:rPr>
        <w:t>日期：  年  月   日</w:t>
      </w:r>
    </w:p>
    <w:p w14:paraId="6C897DF8">
      <w:pPr>
        <w:rPr>
          <w:rFonts w:ascii="Calibri" w:hAnsi="Calibri"/>
          <w:color w:val="000000"/>
          <w:highlight w:val="none"/>
          <w:lang w:val="zh-CN"/>
        </w:rPr>
      </w:pPr>
    </w:p>
    <w:p w14:paraId="22867E30">
      <w:pPr>
        <w:rPr>
          <w:rFonts w:ascii="Calibri" w:hAnsi="Calibri"/>
          <w:color w:val="000000"/>
          <w:highlight w:val="none"/>
          <w:lang w:val="zh-CN"/>
        </w:rPr>
      </w:pPr>
    </w:p>
    <w:p w14:paraId="5D0AB9B0">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rPr>
          <w:rFonts w:hint="eastAsia" w:ascii="宋体" w:hAnsi="宋体" w:eastAsia="宋体" w:cs="Times New Roman"/>
          <w:b/>
          <w:color w:val="000000"/>
          <w:sz w:val="36"/>
          <w:szCs w:val="36"/>
          <w:highlight w:val="none"/>
        </w:rPr>
      </w:pPr>
      <w:r>
        <w:rPr>
          <w:rFonts w:hint="eastAsia" w:ascii="宋体" w:hAnsi="宋体" w:eastAsia="宋体" w:cs="Times New Roman"/>
          <w:b/>
          <w:color w:val="000000"/>
          <w:sz w:val="36"/>
          <w:szCs w:val="36"/>
          <w:highlight w:val="none"/>
        </w:rPr>
        <w:t>中小企业声明函（工程）</w:t>
      </w:r>
    </w:p>
    <w:p w14:paraId="33389A8B">
      <w:pPr>
        <w:spacing w:line="360" w:lineRule="auto"/>
        <w:ind w:firstLine="420"/>
        <w:rPr>
          <w:rFonts w:hint="eastAsia" w:ascii="宋体" w:hAnsi="宋体"/>
          <w:bCs/>
          <w:color w:val="000000"/>
          <w:szCs w:val="21"/>
          <w:highlight w:val="none"/>
        </w:rPr>
      </w:pPr>
    </w:p>
    <w:p w14:paraId="56CDF772">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宋体" w:hAnsi="宋体"/>
          <w:bCs/>
          <w:color w:val="000000"/>
          <w:sz w:val="24"/>
          <w:szCs w:val="24"/>
          <w:highlight w:val="none"/>
        </w:rPr>
      </w:pPr>
      <w:r>
        <w:rPr>
          <w:rFonts w:hint="eastAsia" w:ascii="宋体" w:hAnsi="宋体"/>
          <w:bCs/>
          <w:color w:val="000000"/>
          <w:sz w:val="24"/>
          <w:szCs w:val="24"/>
          <w:highlight w:val="none"/>
        </w:rPr>
        <w:t>本公司（联合体）郑重声明，根据《政府采购促进中小企业发展管理办法》（财库﹝2020﹞46 号）的规定，本公司（联合体）参加</w:t>
      </w:r>
      <w:r>
        <w:rPr>
          <w:rFonts w:hint="eastAsia" w:ascii="宋体" w:hAnsi="宋体"/>
          <w:bCs/>
          <w:color w:val="000000"/>
          <w:sz w:val="24"/>
          <w:szCs w:val="24"/>
          <w:highlight w:val="none"/>
          <w:u w:val="single"/>
        </w:rPr>
        <w:t>广西防城港市防城区农业农村局</w:t>
      </w:r>
      <w:r>
        <w:rPr>
          <w:rFonts w:hint="eastAsia" w:ascii="宋体" w:hAnsi="宋体"/>
          <w:bCs/>
          <w:color w:val="000000"/>
          <w:sz w:val="24"/>
          <w:szCs w:val="24"/>
          <w:highlight w:val="none"/>
        </w:rPr>
        <w:t>的</w:t>
      </w:r>
      <w:r>
        <w:rPr>
          <w:rFonts w:hint="eastAsia" w:ascii="宋体" w:hAnsi="宋体" w:eastAsia="宋体" w:cs="宋体"/>
          <w:sz w:val="24"/>
          <w:szCs w:val="24"/>
          <w:u w:val="single"/>
        </w:rPr>
        <w:t>扶隆镇那农村那雪组香料产业粪污资源化利用项目</w:t>
      </w:r>
      <w:r>
        <w:rPr>
          <w:rFonts w:hint="eastAsia" w:ascii="宋体" w:hAnsi="宋体"/>
          <w:bCs/>
          <w:color w:val="000000"/>
          <w:sz w:val="24"/>
          <w:szCs w:val="24"/>
          <w:highlight w:val="none"/>
        </w:rPr>
        <w:t>采购活动，工程的施工单位全部为符合政策要求的中小企业。相关企业（含联合体中的中小企业、签订分包意向协议的中小企业）的具体情况如下：</w:t>
      </w:r>
    </w:p>
    <w:p w14:paraId="7AA72DA4">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宋体" w:hAnsi="宋体"/>
          <w:bCs/>
          <w:color w:val="000000"/>
          <w:sz w:val="24"/>
          <w:szCs w:val="24"/>
          <w:highlight w:val="none"/>
        </w:rPr>
      </w:pPr>
      <w:r>
        <w:rPr>
          <w:rFonts w:hint="eastAsia" w:ascii="宋体" w:hAnsi="宋体"/>
          <w:bCs/>
          <w:color w:val="000000"/>
          <w:sz w:val="24"/>
          <w:szCs w:val="24"/>
          <w:highlight w:val="none"/>
        </w:rPr>
        <w:t>1.</w:t>
      </w:r>
      <w:r>
        <w:rPr>
          <w:rFonts w:hint="eastAsia" w:ascii="宋体" w:hAnsi="宋体"/>
          <w:bCs/>
          <w:color w:val="000000"/>
          <w:sz w:val="24"/>
          <w:szCs w:val="24"/>
          <w:highlight w:val="none"/>
          <w:u w:val="single"/>
        </w:rPr>
        <w:t>（标的名称）</w:t>
      </w:r>
      <w:r>
        <w:rPr>
          <w:rFonts w:hint="eastAsia" w:ascii="宋体" w:hAnsi="宋体"/>
          <w:bCs/>
          <w:color w:val="000000"/>
          <w:sz w:val="24"/>
          <w:szCs w:val="24"/>
          <w:highlight w:val="none"/>
        </w:rPr>
        <w:t>，属于</w:t>
      </w:r>
      <w:r>
        <w:rPr>
          <w:rFonts w:hint="eastAsia" w:ascii="宋体" w:hAnsi="宋体"/>
          <w:bCs/>
          <w:color w:val="000000"/>
          <w:sz w:val="24"/>
          <w:szCs w:val="24"/>
          <w:highlight w:val="none"/>
          <w:u w:val="single"/>
        </w:rPr>
        <w:t>（所属行业）</w:t>
      </w:r>
      <w:r>
        <w:rPr>
          <w:rFonts w:hint="eastAsia" w:ascii="宋体" w:hAnsi="宋体"/>
          <w:bCs/>
          <w:color w:val="000000"/>
          <w:sz w:val="24"/>
          <w:szCs w:val="24"/>
          <w:highlight w:val="none"/>
        </w:rPr>
        <w:t>行业；承建企业为</w:t>
      </w:r>
      <w:r>
        <w:rPr>
          <w:rFonts w:hint="eastAsia" w:ascii="宋体" w:hAnsi="宋体"/>
          <w:bCs/>
          <w:color w:val="000000"/>
          <w:sz w:val="24"/>
          <w:szCs w:val="24"/>
          <w:highlight w:val="none"/>
          <w:u w:val="single"/>
        </w:rPr>
        <w:t>（企业名称）</w:t>
      </w:r>
      <w:r>
        <w:rPr>
          <w:rFonts w:hint="eastAsia" w:ascii="宋体" w:hAnsi="宋体"/>
          <w:bCs/>
          <w:color w:val="000000"/>
          <w:sz w:val="24"/>
          <w:szCs w:val="24"/>
          <w:highlight w:val="none"/>
        </w:rPr>
        <w:t>，从业人员</w:t>
      </w:r>
      <w:r>
        <w:rPr>
          <w:rFonts w:hint="eastAsia" w:ascii="宋体" w:hAnsi="宋体"/>
          <w:bCs/>
          <w:color w:val="000000"/>
          <w:sz w:val="24"/>
          <w:szCs w:val="24"/>
          <w:highlight w:val="none"/>
          <w:u w:val="single"/>
          <w:lang w:val="en-US" w:eastAsia="zh-CN"/>
        </w:rPr>
        <w:t xml:space="preserve">    </w:t>
      </w:r>
      <w:r>
        <w:rPr>
          <w:rFonts w:hint="eastAsia" w:ascii="宋体" w:hAnsi="宋体"/>
          <w:bCs/>
          <w:color w:val="000000"/>
          <w:sz w:val="24"/>
          <w:szCs w:val="24"/>
          <w:highlight w:val="none"/>
        </w:rPr>
        <w:t>人，营业收入为</w:t>
      </w:r>
      <w:r>
        <w:rPr>
          <w:rFonts w:hint="eastAsia" w:ascii="宋体" w:hAnsi="宋体"/>
          <w:bCs/>
          <w:color w:val="000000"/>
          <w:sz w:val="24"/>
          <w:szCs w:val="24"/>
          <w:highlight w:val="none"/>
          <w:u w:val="single"/>
          <w:lang w:val="en-US" w:eastAsia="zh-CN"/>
        </w:rPr>
        <w:t xml:space="preserve">    </w:t>
      </w:r>
      <w:r>
        <w:rPr>
          <w:rFonts w:hint="eastAsia" w:ascii="宋体" w:hAnsi="宋体"/>
          <w:bCs/>
          <w:color w:val="000000"/>
          <w:sz w:val="24"/>
          <w:szCs w:val="24"/>
          <w:highlight w:val="none"/>
        </w:rPr>
        <w:t>万元，资产总额为</w:t>
      </w:r>
      <w:r>
        <w:rPr>
          <w:rFonts w:hint="eastAsia" w:ascii="宋体" w:hAnsi="宋体"/>
          <w:bCs/>
          <w:color w:val="000000"/>
          <w:sz w:val="24"/>
          <w:szCs w:val="24"/>
          <w:highlight w:val="none"/>
          <w:u w:val="single"/>
          <w:lang w:val="en-US" w:eastAsia="zh-CN"/>
        </w:rPr>
        <w:t xml:space="preserve">    </w:t>
      </w:r>
      <w:r>
        <w:rPr>
          <w:rFonts w:hint="eastAsia" w:ascii="宋体" w:hAnsi="宋体"/>
          <w:bCs/>
          <w:color w:val="000000"/>
          <w:sz w:val="24"/>
          <w:szCs w:val="24"/>
          <w:highlight w:val="none"/>
        </w:rPr>
        <w:t>万元，属于</w:t>
      </w:r>
      <w:r>
        <w:rPr>
          <w:rFonts w:hint="eastAsia" w:ascii="宋体" w:hAnsi="宋体"/>
          <w:bCs/>
          <w:color w:val="000000"/>
          <w:sz w:val="24"/>
          <w:szCs w:val="24"/>
          <w:highlight w:val="none"/>
          <w:u w:val="single"/>
        </w:rPr>
        <w:t>（中型企业、小型企业、微型企业）</w:t>
      </w:r>
      <w:r>
        <w:rPr>
          <w:rFonts w:hint="eastAsia" w:ascii="宋体" w:hAnsi="宋体"/>
          <w:bCs/>
          <w:color w:val="000000"/>
          <w:sz w:val="24"/>
          <w:szCs w:val="24"/>
          <w:highlight w:val="none"/>
        </w:rPr>
        <w:t>；</w:t>
      </w:r>
    </w:p>
    <w:p w14:paraId="082CE579">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宋体" w:hAnsi="宋体"/>
          <w:bCs/>
          <w:color w:val="000000"/>
          <w:sz w:val="24"/>
          <w:szCs w:val="24"/>
          <w:highlight w:val="none"/>
        </w:rPr>
      </w:pPr>
      <w:r>
        <w:rPr>
          <w:rFonts w:hint="eastAsia" w:ascii="宋体" w:hAnsi="宋体"/>
          <w:bCs/>
          <w:color w:val="000000"/>
          <w:sz w:val="24"/>
          <w:szCs w:val="24"/>
          <w:highlight w:val="none"/>
        </w:rPr>
        <w:t>2.</w:t>
      </w:r>
      <w:r>
        <w:rPr>
          <w:rFonts w:hint="eastAsia" w:ascii="宋体" w:hAnsi="宋体"/>
          <w:bCs/>
          <w:color w:val="000000"/>
          <w:sz w:val="24"/>
          <w:szCs w:val="24"/>
          <w:highlight w:val="none"/>
          <w:u w:val="single"/>
        </w:rPr>
        <w:t>（标的名称）</w:t>
      </w:r>
      <w:r>
        <w:rPr>
          <w:rFonts w:hint="eastAsia" w:ascii="宋体" w:hAnsi="宋体"/>
          <w:bCs/>
          <w:color w:val="000000"/>
          <w:sz w:val="24"/>
          <w:szCs w:val="24"/>
          <w:highlight w:val="none"/>
        </w:rPr>
        <w:t>，属于</w:t>
      </w:r>
      <w:r>
        <w:rPr>
          <w:rFonts w:hint="eastAsia" w:ascii="宋体" w:hAnsi="宋体"/>
          <w:bCs/>
          <w:color w:val="000000"/>
          <w:sz w:val="24"/>
          <w:szCs w:val="24"/>
          <w:highlight w:val="none"/>
          <w:u w:val="single"/>
        </w:rPr>
        <w:t>（所属行业）</w:t>
      </w:r>
      <w:r>
        <w:rPr>
          <w:rFonts w:hint="eastAsia" w:ascii="宋体" w:hAnsi="宋体"/>
          <w:bCs/>
          <w:color w:val="000000"/>
          <w:sz w:val="24"/>
          <w:szCs w:val="24"/>
          <w:highlight w:val="none"/>
        </w:rPr>
        <w:t>行业；承建企业为</w:t>
      </w:r>
      <w:r>
        <w:rPr>
          <w:rFonts w:hint="eastAsia" w:ascii="宋体" w:hAnsi="宋体"/>
          <w:bCs/>
          <w:color w:val="000000"/>
          <w:sz w:val="24"/>
          <w:szCs w:val="24"/>
          <w:highlight w:val="none"/>
          <w:u w:val="single"/>
        </w:rPr>
        <w:t>（企业名称）</w:t>
      </w:r>
      <w:r>
        <w:rPr>
          <w:rFonts w:hint="eastAsia" w:ascii="宋体" w:hAnsi="宋体"/>
          <w:bCs/>
          <w:color w:val="000000"/>
          <w:sz w:val="24"/>
          <w:szCs w:val="24"/>
          <w:highlight w:val="none"/>
        </w:rPr>
        <w:t>，从业人员</w:t>
      </w:r>
      <w:r>
        <w:rPr>
          <w:rFonts w:hint="eastAsia" w:ascii="宋体" w:hAnsi="宋体"/>
          <w:bCs/>
          <w:color w:val="000000"/>
          <w:sz w:val="24"/>
          <w:szCs w:val="24"/>
          <w:highlight w:val="none"/>
          <w:u w:val="single"/>
          <w:lang w:val="en-US" w:eastAsia="zh-CN"/>
        </w:rPr>
        <w:t xml:space="preserve">    </w:t>
      </w:r>
      <w:r>
        <w:rPr>
          <w:rFonts w:hint="eastAsia" w:ascii="宋体" w:hAnsi="宋体"/>
          <w:bCs/>
          <w:color w:val="000000"/>
          <w:sz w:val="24"/>
          <w:szCs w:val="24"/>
          <w:highlight w:val="none"/>
        </w:rPr>
        <w:t>人，营业收入为</w:t>
      </w:r>
      <w:r>
        <w:rPr>
          <w:rFonts w:hint="eastAsia" w:ascii="宋体" w:hAnsi="宋体"/>
          <w:bCs/>
          <w:color w:val="000000"/>
          <w:sz w:val="24"/>
          <w:szCs w:val="24"/>
          <w:highlight w:val="none"/>
          <w:u w:val="single"/>
          <w:lang w:val="en-US" w:eastAsia="zh-CN"/>
        </w:rPr>
        <w:t xml:space="preserve">    </w:t>
      </w:r>
      <w:r>
        <w:rPr>
          <w:rFonts w:hint="eastAsia" w:ascii="宋体" w:hAnsi="宋体"/>
          <w:bCs/>
          <w:color w:val="000000"/>
          <w:sz w:val="24"/>
          <w:szCs w:val="24"/>
          <w:highlight w:val="none"/>
        </w:rPr>
        <w:t>万元，资产总额为</w:t>
      </w:r>
      <w:r>
        <w:rPr>
          <w:rFonts w:hint="eastAsia" w:ascii="宋体" w:hAnsi="宋体"/>
          <w:bCs/>
          <w:color w:val="000000"/>
          <w:sz w:val="24"/>
          <w:szCs w:val="24"/>
          <w:highlight w:val="none"/>
          <w:u w:val="single"/>
          <w:lang w:val="en-US" w:eastAsia="zh-CN"/>
        </w:rPr>
        <w:t xml:space="preserve">    </w:t>
      </w:r>
      <w:r>
        <w:rPr>
          <w:rFonts w:hint="eastAsia" w:ascii="宋体" w:hAnsi="宋体"/>
          <w:bCs/>
          <w:color w:val="000000"/>
          <w:sz w:val="24"/>
          <w:szCs w:val="24"/>
          <w:highlight w:val="none"/>
        </w:rPr>
        <w:t>万元，属于</w:t>
      </w:r>
      <w:r>
        <w:rPr>
          <w:rFonts w:hint="eastAsia" w:ascii="宋体" w:hAnsi="宋体"/>
          <w:bCs/>
          <w:color w:val="000000"/>
          <w:sz w:val="24"/>
          <w:szCs w:val="24"/>
          <w:highlight w:val="none"/>
          <w:u w:val="single"/>
        </w:rPr>
        <w:t>（中型企业、小型企业、微型企业）</w:t>
      </w:r>
      <w:r>
        <w:rPr>
          <w:rFonts w:hint="eastAsia" w:ascii="宋体" w:hAnsi="宋体"/>
          <w:bCs/>
          <w:color w:val="000000"/>
          <w:sz w:val="24"/>
          <w:szCs w:val="24"/>
          <w:highlight w:val="none"/>
        </w:rPr>
        <w:t>；</w:t>
      </w:r>
    </w:p>
    <w:p w14:paraId="24D21AB2">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宋体" w:hAnsi="宋体"/>
          <w:bCs/>
          <w:color w:val="000000"/>
          <w:sz w:val="24"/>
          <w:szCs w:val="24"/>
          <w:highlight w:val="none"/>
        </w:rPr>
      </w:pPr>
      <w:r>
        <w:rPr>
          <w:rFonts w:hint="eastAsia" w:ascii="宋体" w:hAnsi="宋体"/>
          <w:bCs/>
          <w:color w:val="000000"/>
          <w:sz w:val="24"/>
          <w:szCs w:val="24"/>
          <w:highlight w:val="none"/>
        </w:rPr>
        <w:t>……</w:t>
      </w:r>
    </w:p>
    <w:p w14:paraId="3A4BD309">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宋体" w:hAnsi="宋体"/>
          <w:bCs/>
          <w:color w:val="000000"/>
          <w:sz w:val="24"/>
          <w:szCs w:val="24"/>
          <w:highlight w:val="none"/>
        </w:rPr>
      </w:pPr>
      <w:r>
        <w:rPr>
          <w:rFonts w:hint="eastAsia" w:ascii="宋体" w:hAnsi="宋体"/>
          <w:bCs/>
          <w:color w:val="000000"/>
          <w:sz w:val="24"/>
          <w:szCs w:val="24"/>
          <w:highlight w:val="none"/>
        </w:rPr>
        <w:t>以上企业，不属于大企业的分支机构，不存在控股股东为大企业的情形，也不存在与大企业的负责人为同一人的情形。</w:t>
      </w:r>
    </w:p>
    <w:p w14:paraId="284CFD4D">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宋体" w:hAnsi="宋体"/>
          <w:bCs/>
          <w:color w:val="000000"/>
          <w:sz w:val="24"/>
          <w:szCs w:val="24"/>
          <w:highlight w:val="none"/>
        </w:rPr>
      </w:pPr>
      <w:r>
        <w:rPr>
          <w:rFonts w:hint="eastAsia" w:ascii="宋体" w:hAnsi="宋体"/>
          <w:bCs/>
          <w:color w:val="000000"/>
          <w:sz w:val="24"/>
          <w:szCs w:val="24"/>
          <w:highlight w:val="none"/>
        </w:rPr>
        <w:t>本企业对上述声明内容的真实性负责。如有虚假，将依法承担相应责任。</w:t>
      </w:r>
    </w:p>
    <w:p w14:paraId="0CD18EFF">
      <w:pPr>
        <w:keepNext w:val="0"/>
        <w:keepLines w:val="0"/>
        <w:pageBreakBefore w:val="0"/>
        <w:widowControl w:val="0"/>
        <w:kinsoku/>
        <w:wordWrap/>
        <w:overflowPunct/>
        <w:topLinePunct w:val="0"/>
        <w:autoSpaceDE/>
        <w:autoSpaceDN/>
        <w:bidi w:val="0"/>
        <w:adjustRightInd/>
        <w:snapToGrid/>
        <w:spacing w:line="560" w:lineRule="exact"/>
        <w:ind w:firstLine="3600" w:firstLineChars="1500"/>
        <w:textAlignment w:val="auto"/>
        <w:rPr>
          <w:rFonts w:ascii="宋体" w:hAnsi="宋体"/>
          <w:bCs/>
          <w:color w:val="000000"/>
          <w:sz w:val="24"/>
          <w:szCs w:val="24"/>
          <w:highlight w:val="none"/>
        </w:rPr>
      </w:pPr>
      <w:r>
        <w:rPr>
          <w:rFonts w:hint="eastAsia" w:ascii="宋体" w:hAnsi="宋体"/>
          <w:bCs/>
          <w:color w:val="000000"/>
          <w:sz w:val="24"/>
          <w:szCs w:val="24"/>
          <w:highlight w:val="none"/>
        </w:rPr>
        <w:t>企业名称（盖章）：</w:t>
      </w:r>
    </w:p>
    <w:p w14:paraId="09DF616C">
      <w:pPr>
        <w:keepNext w:val="0"/>
        <w:keepLines w:val="0"/>
        <w:pageBreakBefore w:val="0"/>
        <w:widowControl w:val="0"/>
        <w:kinsoku/>
        <w:wordWrap/>
        <w:overflowPunct/>
        <w:topLinePunct w:val="0"/>
        <w:autoSpaceDE/>
        <w:autoSpaceDN/>
        <w:bidi w:val="0"/>
        <w:adjustRightInd/>
        <w:snapToGrid/>
        <w:spacing w:line="560" w:lineRule="exact"/>
        <w:ind w:firstLine="3600" w:firstLineChars="1500"/>
        <w:textAlignment w:val="auto"/>
        <w:rPr>
          <w:rFonts w:ascii="宋体" w:hAnsi="宋体"/>
          <w:bCs/>
          <w:color w:val="000000"/>
          <w:sz w:val="24"/>
          <w:szCs w:val="24"/>
          <w:highlight w:val="none"/>
        </w:rPr>
      </w:pPr>
      <w:r>
        <w:rPr>
          <w:rFonts w:hint="eastAsia" w:ascii="宋体" w:hAnsi="宋体"/>
          <w:bCs/>
          <w:color w:val="000000"/>
          <w:sz w:val="24"/>
          <w:szCs w:val="24"/>
          <w:highlight w:val="none"/>
        </w:rPr>
        <w:t>日期：</w:t>
      </w:r>
    </w:p>
    <w:p w14:paraId="3AAD1691">
      <w:pPr>
        <w:spacing w:line="360" w:lineRule="auto"/>
        <w:jc w:val="left"/>
        <w:rPr>
          <w:rFonts w:ascii="宋体" w:hAnsi="宋体"/>
          <w:bCs/>
          <w:color w:val="000000"/>
          <w:szCs w:val="21"/>
          <w:highlight w:val="none"/>
        </w:rPr>
      </w:pPr>
    </w:p>
    <w:p w14:paraId="0C3199A7">
      <w:pPr>
        <w:pageBreakBefore w:val="0"/>
        <w:kinsoku/>
        <w:overflowPunct/>
        <w:topLinePunct w:val="0"/>
        <w:bidi w:val="0"/>
        <w:spacing w:line="360" w:lineRule="auto"/>
        <w:contextualSpacing/>
        <w:jc w:val="left"/>
        <w:rPr>
          <w:rFonts w:hint="eastAsia" w:ascii="宋体" w:hAnsi="宋体" w:eastAsia="宋体" w:cs="宋体"/>
          <w:color w:val="auto"/>
          <w:kern w:val="0"/>
          <w:sz w:val="21"/>
          <w:szCs w:val="21"/>
          <w:highlight w:val="none"/>
        </w:rPr>
      </w:pPr>
      <w:r>
        <w:rPr>
          <w:rFonts w:hint="eastAsia" w:ascii="宋体" w:hAnsi="宋体"/>
          <w:bCs/>
          <w:color w:val="000000"/>
          <w:szCs w:val="21"/>
          <w:highlight w:val="none"/>
        </w:rPr>
        <w:t>注：</w:t>
      </w:r>
      <w:r>
        <w:rPr>
          <w:rFonts w:hint="eastAsia" w:ascii="宋体" w:hAnsi="宋体" w:eastAsia="宋体" w:cs="宋体"/>
          <w:color w:val="auto"/>
          <w:sz w:val="21"/>
          <w:szCs w:val="21"/>
          <w:highlight w:val="none"/>
        </w:rPr>
        <w:t>享受《政府采购促进中小企业发展管理办法》（财库〔2020〕46号）规定的中小企业扶持政策的，</w:t>
      </w:r>
      <w:r>
        <w:rPr>
          <w:rFonts w:hint="eastAsia" w:ascii="宋体" w:hAnsi="宋体" w:eastAsia="宋体" w:cs="宋体"/>
          <w:b/>
          <w:bCs/>
          <w:color w:val="auto"/>
          <w:sz w:val="21"/>
          <w:szCs w:val="21"/>
          <w:highlight w:val="none"/>
        </w:rPr>
        <w:t>采购人、采购代理机构应当随成交结果公开成交供应商的《中小企业声明函》。</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4357C5F9">
      <w:pPr>
        <w:pageBreakBefore w:val="0"/>
        <w:kinsoku/>
        <w:overflowPunct/>
        <w:topLinePunct w:val="0"/>
        <w:bidi w:val="0"/>
        <w:snapToGrid w:val="0"/>
        <w:spacing w:line="360" w:lineRule="auto"/>
        <w:outlineLvl w:val="1"/>
        <w:rPr>
          <w:rFonts w:hint="eastAsia" w:ascii="宋体" w:hAnsi="宋体" w:eastAsia="宋体" w:cs="宋体"/>
          <w:b/>
          <w:bCs/>
          <w:color w:val="auto"/>
          <w:sz w:val="32"/>
          <w:szCs w:val="32"/>
          <w:highlight w:val="none"/>
        </w:rPr>
        <w:sectPr>
          <w:pgSz w:w="11910" w:h="16840"/>
          <w:pgMar w:top="1304" w:right="1304" w:bottom="1304" w:left="1304" w:header="720" w:footer="720" w:gutter="0"/>
          <w:pgNumType w:fmt="decimal"/>
          <w:cols w:space="720" w:num="1"/>
          <w:rtlGutter w:val="0"/>
        </w:sectPr>
      </w:pPr>
    </w:p>
    <w:p w14:paraId="109C71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Times New Roman"/>
          <w:b/>
          <w:color w:val="000000"/>
          <w:sz w:val="36"/>
          <w:szCs w:val="36"/>
          <w:highlight w:val="none"/>
        </w:rPr>
        <w:t>残疾人福利性单位声明函</w:t>
      </w:r>
    </w:p>
    <w:p w14:paraId="2F7EAD86">
      <w:pPr>
        <w:spacing w:line="520" w:lineRule="exact"/>
        <w:rPr>
          <w:rFonts w:hint="eastAsia" w:ascii="宋体" w:hAnsi="宋体" w:eastAsia="宋体" w:cs="宋体"/>
          <w:color w:val="auto"/>
          <w:sz w:val="32"/>
          <w:szCs w:val="32"/>
          <w:highlight w:val="none"/>
        </w:rPr>
      </w:pPr>
    </w:p>
    <w:p w14:paraId="60085E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lang w:val="en-US" w:eastAsia="zh-CN"/>
        </w:rPr>
        <w:t xml:space="preserve">     （采购人名称）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（项目名称）     </w:t>
      </w:r>
      <w:r>
        <w:rPr>
          <w:rFonts w:hint="eastAsia" w:ascii="宋体" w:hAnsi="宋体" w:eastAsia="宋体" w:cs="宋体"/>
          <w:color w:val="auto"/>
          <w:sz w:val="24"/>
          <w:highlight w:val="none"/>
        </w:rPr>
        <w:t>项目采购活动由本单位提供服务。</w:t>
      </w:r>
    </w:p>
    <w:p w14:paraId="675847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E74B8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highlight w:val="none"/>
        </w:rPr>
      </w:pPr>
    </w:p>
    <w:p w14:paraId="45A891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highlight w:val="none"/>
        </w:rPr>
      </w:pPr>
    </w:p>
    <w:p w14:paraId="3AB8BF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highlight w:val="none"/>
        </w:rPr>
      </w:pPr>
    </w:p>
    <w:p w14:paraId="6F599EAD">
      <w:pPr>
        <w:keepNext w:val="0"/>
        <w:keepLines w:val="0"/>
        <w:pageBreakBefore w:val="0"/>
        <w:widowControl w:val="0"/>
        <w:kinsoku/>
        <w:wordWrap/>
        <w:overflowPunct/>
        <w:topLinePunct w:val="0"/>
        <w:autoSpaceDE/>
        <w:autoSpaceDN/>
        <w:bidi w:val="0"/>
        <w:adjustRightInd/>
        <w:snapToGrid/>
        <w:spacing w:line="500" w:lineRule="exact"/>
        <w:ind w:firstLine="2400" w:firstLineChars="10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48FB66C">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8015A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highlight w:val="none"/>
        </w:rPr>
      </w:pPr>
    </w:p>
    <w:p w14:paraId="55CA2B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highlight w:val="none"/>
        </w:rPr>
      </w:pPr>
    </w:p>
    <w:p w14:paraId="5512A9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highlight w:val="none"/>
        </w:rPr>
      </w:pPr>
    </w:p>
    <w:p w14:paraId="1DA031CD">
      <w:pPr>
        <w:keepNext w:val="0"/>
        <w:keepLines w:val="0"/>
        <w:pageBreakBefore w:val="0"/>
        <w:widowControl w:val="0"/>
        <w:kinsoku/>
        <w:wordWrap/>
        <w:overflowPunct/>
        <w:topLinePunct w:val="0"/>
        <w:autoSpaceDE/>
        <w:autoSpaceDN/>
        <w:bidi w:val="0"/>
        <w:adjustRightInd/>
        <w:snapToGrid/>
        <w:spacing w:line="500" w:lineRule="exact"/>
        <w:ind w:right="42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提供由省级以上监狱管理局、戒毒管理局（含新疆生产建设兵团）出具的属于监狱企业证明文件的，视同为小型和微型企业</w:t>
      </w:r>
      <w:r>
        <w:rPr>
          <w:rFonts w:hint="eastAsia" w:ascii="宋体" w:hAnsi="宋体" w:cs="宋体"/>
          <w:color w:val="auto"/>
          <w:sz w:val="24"/>
          <w:highlight w:val="none"/>
          <w:lang w:eastAsia="zh-CN"/>
        </w:rPr>
        <w:t>。</w:t>
      </w:r>
    </w:p>
    <w:p w14:paraId="0D8D8821">
      <w:pPr>
        <w:rPr>
          <w:rFonts w:ascii="Calibri" w:hAnsi="Calibri"/>
          <w:color w:val="000000"/>
          <w:highlight w:val="none"/>
          <w:lang w:val="zh-CN"/>
        </w:rPr>
        <w:sectPr>
          <w:pgSz w:w="11910" w:h="16840"/>
          <w:pgMar w:top="1417" w:right="1417" w:bottom="1417" w:left="1417" w:header="720" w:footer="720" w:gutter="0"/>
          <w:pgNumType w:fmt="decimal"/>
          <w:cols w:space="720" w:num="1"/>
          <w:rtlGutter w:val="0"/>
        </w:sectPr>
      </w:pPr>
    </w:p>
    <w:bookmarkEnd w:id="70"/>
    <w:bookmarkEnd w:id="71"/>
    <w:p w14:paraId="6559D406">
      <w:pPr>
        <w:keepNext/>
        <w:keepLines/>
        <w:spacing w:before="260" w:after="260" w:line="416" w:lineRule="auto"/>
        <w:jc w:val="center"/>
        <w:outlineLvl w:val="1"/>
        <w:rPr>
          <w:rFonts w:ascii="宋体" w:hAnsi="宋体"/>
          <w:bCs/>
          <w:color w:val="000000"/>
          <w:sz w:val="32"/>
          <w:szCs w:val="32"/>
          <w:highlight w:val="none"/>
        </w:rPr>
      </w:pPr>
      <w:bookmarkStart w:id="72" w:name="_Toc80205940"/>
      <w:bookmarkStart w:id="73" w:name="_Toc11274"/>
      <w:r>
        <w:rPr>
          <w:rFonts w:hint="eastAsia" w:ascii="宋体" w:hAnsi="宋体"/>
          <w:color w:val="000000"/>
          <w:sz w:val="32"/>
          <w:szCs w:val="32"/>
          <w:highlight w:val="none"/>
        </w:rPr>
        <w:t xml:space="preserve">第三节 </w:t>
      </w:r>
      <w:r>
        <w:rPr>
          <w:rFonts w:hint="eastAsia" w:ascii="宋体" w:hAnsi="宋体"/>
          <w:bCs/>
          <w:color w:val="000000"/>
          <w:sz w:val="32"/>
          <w:szCs w:val="32"/>
          <w:highlight w:val="none"/>
        </w:rPr>
        <w:t>商务技术文件格式</w:t>
      </w:r>
      <w:bookmarkEnd w:id="72"/>
      <w:bookmarkEnd w:id="73"/>
    </w:p>
    <w:p w14:paraId="05A0E4E3">
      <w:pPr>
        <w:snapToGrid w:val="0"/>
        <w:spacing w:before="120" w:beforeLines="50" w:after="50"/>
        <w:jc w:val="right"/>
        <w:rPr>
          <w:rFonts w:ascii="宋体" w:hAnsi="宋体"/>
          <w:bCs/>
          <w:color w:val="000000"/>
          <w:sz w:val="32"/>
          <w:szCs w:val="20"/>
          <w:highlight w:val="none"/>
        </w:rPr>
      </w:pPr>
      <w:r>
        <w:rPr>
          <w:rFonts w:hint="eastAsia" w:ascii="宋体" w:hAnsi="宋体"/>
          <w:bCs/>
          <w:color w:val="000000"/>
          <w:highlight w:val="none"/>
        </w:rPr>
        <w:t>全流程电子文件</w:t>
      </w:r>
    </w:p>
    <w:p w14:paraId="5D74DFD4">
      <w:pPr>
        <w:snapToGrid w:val="0"/>
        <w:spacing w:before="120" w:beforeLines="50" w:after="50"/>
        <w:rPr>
          <w:rFonts w:ascii="宋体" w:hAnsi="宋体"/>
          <w:color w:val="000000"/>
          <w:sz w:val="24"/>
          <w:szCs w:val="20"/>
          <w:highlight w:val="none"/>
        </w:rPr>
      </w:pPr>
    </w:p>
    <w:p w14:paraId="778E3847">
      <w:pPr>
        <w:snapToGrid w:val="0"/>
        <w:spacing w:before="120" w:beforeLines="50" w:after="50"/>
        <w:rPr>
          <w:rFonts w:ascii="宋体" w:hAnsi="宋体"/>
          <w:color w:val="000000"/>
          <w:sz w:val="24"/>
          <w:szCs w:val="20"/>
          <w:highlight w:val="none"/>
        </w:rPr>
      </w:pPr>
    </w:p>
    <w:p w14:paraId="54B0FF0A">
      <w:pPr>
        <w:snapToGrid w:val="0"/>
        <w:spacing w:before="120" w:beforeLines="50" w:after="50"/>
        <w:rPr>
          <w:rFonts w:ascii="宋体" w:hAnsi="宋体"/>
          <w:color w:val="000000"/>
          <w:sz w:val="24"/>
          <w:szCs w:val="20"/>
          <w:highlight w:val="none"/>
        </w:rPr>
      </w:pPr>
    </w:p>
    <w:p w14:paraId="35484A35">
      <w:pPr>
        <w:snapToGrid w:val="0"/>
        <w:spacing w:before="120" w:beforeLines="50" w:after="50"/>
        <w:jc w:val="center"/>
        <w:rPr>
          <w:rFonts w:ascii="宋体" w:hAnsi="宋体" w:cs="方正小标宋简体"/>
          <w:bCs/>
          <w:color w:val="000000"/>
          <w:sz w:val="44"/>
          <w:szCs w:val="44"/>
          <w:highlight w:val="none"/>
        </w:rPr>
      </w:pPr>
      <w:r>
        <w:rPr>
          <w:rFonts w:hint="eastAsia" w:ascii="宋体" w:hAnsi="宋体" w:cs="方正小标宋简体"/>
          <w:bCs/>
          <w:color w:val="000000"/>
          <w:sz w:val="44"/>
          <w:szCs w:val="44"/>
          <w:highlight w:val="none"/>
        </w:rPr>
        <w:t>商务技术文件（封面）</w:t>
      </w:r>
    </w:p>
    <w:p w14:paraId="04C1ADD9">
      <w:pPr>
        <w:snapToGrid w:val="0"/>
        <w:spacing w:before="120" w:beforeLines="50" w:after="50"/>
        <w:rPr>
          <w:rFonts w:ascii="宋体" w:hAnsi="宋体"/>
          <w:bCs/>
          <w:color w:val="000000"/>
          <w:sz w:val="24"/>
          <w:szCs w:val="20"/>
          <w:highlight w:val="none"/>
        </w:rPr>
      </w:pPr>
    </w:p>
    <w:p w14:paraId="5CD44733">
      <w:pPr>
        <w:snapToGrid w:val="0"/>
        <w:spacing w:before="120" w:beforeLines="50" w:after="50"/>
        <w:rPr>
          <w:rFonts w:ascii="宋体" w:hAnsi="宋体"/>
          <w:bCs/>
          <w:color w:val="000000"/>
          <w:sz w:val="24"/>
          <w:szCs w:val="20"/>
          <w:highlight w:val="none"/>
        </w:rPr>
      </w:pPr>
    </w:p>
    <w:p w14:paraId="5108FA5B">
      <w:pPr>
        <w:snapToGrid w:val="0"/>
        <w:spacing w:before="120" w:beforeLines="50" w:after="50"/>
        <w:rPr>
          <w:rFonts w:ascii="宋体" w:hAnsi="宋体"/>
          <w:bCs/>
          <w:color w:val="000000"/>
          <w:sz w:val="24"/>
          <w:szCs w:val="20"/>
          <w:highlight w:val="none"/>
        </w:rPr>
      </w:pPr>
    </w:p>
    <w:p w14:paraId="13711112">
      <w:pPr>
        <w:snapToGrid w:val="0"/>
        <w:spacing w:before="120" w:beforeLines="50" w:after="50"/>
        <w:rPr>
          <w:rFonts w:ascii="宋体" w:hAnsi="宋体"/>
          <w:bCs/>
          <w:color w:val="000000"/>
          <w:sz w:val="24"/>
          <w:szCs w:val="20"/>
          <w:highlight w:val="none"/>
        </w:rPr>
      </w:pPr>
    </w:p>
    <w:p w14:paraId="2D0CC8F8">
      <w:pPr>
        <w:snapToGrid w:val="0"/>
        <w:spacing w:before="120" w:beforeLines="50" w:after="50"/>
        <w:rPr>
          <w:rFonts w:ascii="宋体" w:hAnsi="宋体"/>
          <w:bCs/>
          <w:color w:val="000000"/>
          <w:sz w:val="24"/>
          <w:szCs w:val="20"/>
          <w:highlight w:val="none"/>
        </w:rPr>
      </w:pPr>
    </w:p>
    <w:p w14:paraId="4B082728">
      <w:pPr>
        <w:snapToGrid w:val="0"/>
        <w:spacing w:before="120" w:beforeLines="50" w:after="50"/>
        <w:ind w:firstLine="640" w:firstLineChars="200"/>
        <w:rPr>
          <w:rFonts w:hint="eastAsia" w:ascii="宋体" w:hAnsi="宋体" w:eastAsia="宋体" w:cs="仿宋_GB2312"/>
          <w:bCs/>
          <w:color w:val="000000"/>
          <w:sz w:val="32"/>
          <w:szCs w:val="32"/>
          <w:highlight w:val="none"/>
          <w:lang w:eastAsia="zh-CN"/>
        </w:rPr>
      </w:pPr>
      <w:r>
        <w:rPr>
          <w:rFonts w:hint="eastAsia" w:ascii="宋体" w:hAnsi="宋体" w:cs="仿宋_GB2312"/>
          <w:bCs/>
          <w:color w:val="000000"/>
          <w:sz w:val="32"/>
          <w:szCs w:val="32"/>
          <w:highlight w:val="none"/>
        </w:rPr>
        <w:t>项目名称：</w:t>
      </w:r>
      <w:r>
        <w:rPr>
          <w:rFonts w:hint="eastAsia" w:ascii="宋体" w:hAnsi="宋体" w:cs="仿宋_GB2312"/>
          <w:bCs/>
          <w:color w:val="000000"/>
          <w:sz w:val="32"/>
          <w:szCs w:val="32"/>
          <w:highlight w:val="none"/>
          <w:lang w:val="en-US" w:eastAsia="zh-CN"/>
        </w:rPr>
        <w:t xml:space="preserve"> </w:t>
      </w:r>
    </w:p>
    <w:p w14:paraId="162B4B62">
      <w:pPr>
        <w:snapToGrid w:val="0"/>
        <w:spacing w:before="120" w:beforeLines="50" w:after="50"/>
        <w:ind w:firstLine="720" w:firstLineChars="225"/>
        <w:rPr>
          <w:rFonts w:ascii="宋体" w:hAnsi="宋体" w:cs="仿宋_GB2312"/>
          <w:bCs/>
          <w:color w:val="000000"/>
          <w:sz w:val="32"/>
          <w:szCs w:val="32"/>
          <w:highlight w:val="none"/>
        </w:rPr>
      </w:pPr>
    </w:p>
    <w:p w14:paraId="2FDAFADD">
      <w:pPr>
        <w:snapToGrid w:val="0"/>
        <w:spacing w:before="120" w:beforeLines="50" w:after="50"/>
        <w:ind w:firstLine="640" w:firstLineChars="200"/>
        <w:rPr>
          <w:rFonts w:hint="eastAsia" w:ascii="宋体" w:hAnsi="宋体" w:eastAsia="宋体" w:cs="仿宋_GB2312"/>
          <w:bCs/>
          <w:color w:val="000000"/>
          <w:sz w:val="32"/>
          <w:szCs w:val="32"/>
          <w:highlight w:val="none"/>
          <w:lang w:eastAsia="zh-CN"/>
        </w:rPr>
      </w:pPr>
      <w:r>
        <w:rPr>
          <w:rFonts w:hint="eastAsia" w:ascii="宋体" w:hAnsi="宋体" w:cs="仿宋_GB2312"/>
          <w:bCs/>
          <w:color w:val="000000"/>
          <w:sz w:val="32"/>
          <w:szCs w:val="32"/>
          <w:highlight w:val="none"/>
        </w:rPr>
        <w:t>项目编号：</w:t>
      </w:r>
      <w:r>
        <w:rPr>
          <w:rFonts w:hint="eastAsia" w:ascii="宋体" w:hAnsi="宋体" w:cs="仿宋_GB2312"/>
          <w:bCs/>
          <w:color w:val="000000"/>
          <w:sz w:val="32"/>
          <w:szCs w:val="32"/>
          <w:highlight w:val="none"/>
          <w:lang w:val="en-US" w:eastAsia="zh-CN"/>
        </w:rPr>
        <w:t xml:space="preserve"> </w:t>
      </w:r>
    </w:p>
    <w:p w14:paraId="6577360F">
      <w:pPr>
        <w:snapToGrid w:val="0"/>
        <w:spacing w:before="120" w:beforeLines="50" w:after="50"/>
        <w:ind w:firstLine="720" w:firstLineChars="225"/>
        <w:rPr>
          <w:rFonts w:ascii="宋体" w:hAnsi="宋体" w:cs="仿宋_GB2312"/>
          <w:bCs/>
          <w:color w:val="000000"/>
          <w:sz w:val="32"/>
          <w:szCs w:val="32"/>
          <w:highlight w:val="none"/>
        </w:rPr>
      </w:pPr>
    </w:p>
    <w:p w14:paraId="025D7909">
      <w:pPr>
        <w:snapToGrid w:val="0"/>
        <w:spacing w:before="120" w:beforeLines="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所竞分标（如有则填写，无分标时填写“无”或者留空）：</w:t>
      </w:r>
    </w:p>
    <w:p w14:paraId="68617FD7">
      <w:pPr>
        <w:snapToGrid w:val="0"/>
        <w:spacing w:before="120" w:beforeLines="50" w:after="50"/>
        <w:ind w:firstLine="720" w:firstLineChars="225"/>
        <w:rPr>
          <w:rFonts w:ascii="宋体" w:hAnsi="宋体" w:cs="仿宋_GB2312"/>
          <w:bCs/>
          <w:color w:val="000000"/>
          <w:sz w:val="32"/>
          <w:szCs w:val="32"/>
          <w:highlight w:val="none"/>
        </w:rPr>
      </w:pPr>
    </w:p>
    <w:p w14:paraId="6AFF7C60">
      <w:pPr>
        <w:snapToGrid w:val="0"/>
        <w:spacing w:before="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供应商名称：</w:t>
      </w:r>
    </w:p>
    <w:p w14:paraId="71709340">
      <w:pPr>
        <w:snapToGrid w:val="0"/>
        <w:spacing w:before="50" w:after="50"/>
        <w:ind w:firstLine="720" w:firstLineChars="225"/>
        <w:rPr>
          <w:rFonts w:ascii="宋体" w:hAnsi="宋体" w:cs="仿宋_GB2312"/>
          <w:bCs/>
          <w:color w:val="000000"/>
          <w:sz w:val="32"/>
          <w:szCs w:val="32"/>
          <w:highlight w:val="none"/>
        </w:rPr>
      </w:pPr>
    </w:p>
    <w:p w14:paraId="6D0DE19A">
      <w:pPr>
        <w:snapToGrid w:val="0"/>
        <w:spacing w:before="50" w:after="50"/>
        <w:ind w:firstLine="720" w:firstLineChars="225"/>
        <w:rPr>
          <w:rFonts w:ascii="宋体" w:hAnsi="宋体" w:cs="仿宋_GB2312"/>
          <w:bCs/>
          <w:color w:val="000000"/>
          <w:sz w:val="32"/>
          <w:szCs w:val="32"/>
          <w:highlight w:val="none"/>
        </w:rPr>
      </w:pPr>
    </w:p>
    <w:p w14:paraId="353C6367">
      <w:pPr>
        <w:snapToGrid w:val="0"/>
        <w:spacing w:before="50" w:after="50"/>
        <w:ind w:firstLine="1280" w:firstLineChars="400"/>
        <w:rPr>
          <w:rFonts w:ascii="宋体" w:hAnsi="宋体" w:cs="仿宋_GB2312"/>
          <w:bCs/>
          <w:color w:val="000000"/>
          <w:sz w:val="32"/>
          <w:szCs w:val="32"/>
          <w:highlight w:val="none"/>
        </w:rPr>
      </w:pPr>
    </w:p>
    <w:p w14:paraId="14F9D9A3">
      <w:pPr>
        <w:snapToGrid w:val="0"/>
        <w:spacing w:before="120" w:beforeLines="50" w:after="50"/>
        <w:jc w:val="center"/>
        <w:rPr>
          <w:rFonts w:ascii="宋体" w:hAnsi="宋体" w:cs="仿宋_GB2312"/>
          <w:color w:val="000000"/>
          <w:sz w:val="32"/>
          <w:szCs w:val="32"/>
          <w:highlight w:val="none"/>
        </w:rPr>
      </w:pPr>
      <w:r>
        <w:rPr>
          <w:rFonts w:hint="eastAsia" w:ascii="宋体" w:hAnsi="宋体" w:cs="仿宋_GB2312"/>
          <w:color w:val="000000"/>
          <w:sz w:val="32"/>
          <w:szCs w:val="32"/>
          <w:highlight w:val="none"/>
        </w:rPr>
        <w:t>年    月    日</w:t>
      </w:r>
    </w:p>
    <w:p w14:paraId="07F9A262">
      <w:pPr>
        <w:snapToGrid w:val="0"/>
        <w:spacing w:before="120" w:beforeLines="50" w:after="50" w:line="360" w:lineRule="auto"/>
        <w:ind w:left="142" w:firstLine="643" w:firstLineChars="200"/>
        <w:jc w:val="left"/>
        <w:rPr>
          <w:rFonts w:ascii="宋体" w:hAnsi="宋体"/>
          <w:b/>
          <w:bCs/>
          <w:color w:val="000000"/>
          <w:sz w:val="32"/>
          <w:szCs w:val="32"/>
          <w:highlight w:val="none"/>
        </w:rPr>
        <w:sectPr>
          <w:pgSz w:w="11910" w:h="16840"/>
          <w:pgMar w:top="1417" w:right="1417" w:bottom="1417" w:left="1417" w:header="720" w:footer="720" w:gutter="0"/>
          <w:pgNumType w:fmt="decimal"/>
          <w:cols w:space="720" w:num="1"/>
          <w:rtlGutter w:val="0"/>
        </w:sectPr>
      </w:pPr>
    </w:p>
    <w:p w14:paraId="39A6F970">
      <w:pPr>
        <w:jc w:val="center"/>
        <w:rPr>
          <w:rFonts w:ascii="宋体" w:hAnsi="宋体" w:cs="仿宋_GB2312"/>
          <w:b/>
          <w:color w:val="000000"/>
          <w:kern w:val="0"/>
          <w:sz w:val="28"/>
          <w:szCs w:val="28"/>
          <w:highlight w:val="none"/>
        </w:rPr>
      </w:pPr>
      <w:r>
        <w:rPr>
          <w:rFonts w:hint="eastAsia" w:ascii="宋体" w:hAnsi="宋体" w:cs="仿宋_GB2312"/>
          <w:b/>
          <w:color w:val="000000"/>
          <w:kern w:val="0"/>
          <w:sz w:val="28"/>
          <w:szCs w:val="28"/>
          <w:highlight w:val="none"/>
        </w:rPr>
        <w:t>商务技术文件目录</w:t>
      </w:r>
    </w:p>
    <w:p w14:paraId="5D20D047">
      <w:pPr>
        <w:jc w:val="center"/>
        <w:rPr>
          <w:rFonts w:ascii="宋体" w:hAnsi="宋体" w:cs="仿宋_GB2312"/>
          <w:b/>
          <w:color w:val="000000"/>
          <w:kern w:val="0"/>
          <w:sz w:val="28"/>
          <w:szCs w:val="28"/>
          <w:highlight w:val="none"/>
        </w:rPr>
      </w:pPr>
    </w:p>
    <w:p w14:paraId="54EE8A9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仿宋_GB2312"/>
          <w:color w:val="000000"/>
          <w:sz w:val="32"/>
          <w:szCs w:val="32"/>
          <w:highlight w:val="none"/>
        </w:rPr>
      </w:pPr>
      <w:r>
        <w:rPr>
          <w:rFonts w:hint="eastAsia" w:ascii="宋体" w:hAnsi="宋体"/>
          <w:color w:val="auto"/>
          <w:sz w:val="28"/>
          <w:szCs w:val="28"/>
          <w:highlight w:val="none"/>
        </w:rPr>
        <w:t>根据</w:t>
      </w:r>
      <w:r>
        <w:rPr>
          <w:rFonts w:hint="eastAsia" w:ascii="宋体" w:hAnsi="宋体"/>
          <w:color w:val="auto"/>
          <w:sz w:val="28"/>
          <w:szCs w:val="28"/>
          <w:highlight w:val="none"/>
          <w:lang w:eastAsia="zh-CN"/>
        </w:rPr>
        <w:t>采购文件“</w:t>
      </w:r>
      <w:r>
        <w:rPr>
          <w:rFonts w:hint="eastAsia" w:ascii="宋体" w:hAnsi="宋体"/>
          <w:color w:val="auto"/>
          <w:sz w:val="28"/>
          <w:szCs w:val="28"/>
          <w:highlight w:val="none"/>
        </w:rPr>
        <w:t xml:space="preserve">第三章  </w:t>
      </w:r>
      <w:r>
        <w:rPr>
          <w:rFonts w:hint="eastAsia" w:ascii="宋体" w:hAnsi="宋体"/>
          <w:color w:val="auto"/>
          <w:sz w:val="28"/>
          <w:szCs w:val="28"/>
          <w:highlight w:val="none"/>
          <w:lang w:eastAsia="zh-CN"/>
        </w:rPr>
        <w:t>供应商</w:t>
      </w:r>
      <w:r>
        <w:rPr>
          <w:rFonts w:hint="eastAsia" w:ascii="宋体" w:hAnsi="宋体" w:eastAsia="宋体" w:cs="Times New Roman"/>
          <w:color w:val="auto"/>
          <w:sz w:val="28"/>
          <w:szCs w:val="28"/>
          <w:highlight w:val="none"/>
        </w:rPr>
        <w:t xml:space="preserve">须知 </w:t>
      </w:r>
      <w:r>
        <w:rPr>
          <w:rFonts w:hint="eastAsia" w:ascii="宋体" w:hAnsi="宋体" w:eastAsia="宋体" w:cs="Times New Roman"/>
          <w:color w:val="auto"/>
          <w:sz w:val="28"/>
          <w:szCs w:val="28"/>
          <w:highlight w:val="none"/>
          <w:lang w:val="en-US" w:eastAsia="zh-CN"/>
        </w:rPr>
        <w:t>12.1</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lang w:val="en-US" w:eastAsia="zh-CN"/>
        </w:rPr>
        <w:t xml:space="preserve">2 </w:t>
      </w:r>
      <w:r>
        <w:rPr>
          <w:rFonts w:hint="eastAsia" w:ascii="宋体" w:hAnsi="宋体" w:eastAsia="宋体" w:cs="Times New Roman"/>
          <w:color w:val="auto"/>
          <w:sz w:val="28"/>
          <w:szCs w:val="28"/>
          <w:highlight w:val="none"/>
          <w:lang w:eastAsia="zh-CN"/>
        </w:rPr>
        <w:t>商务</w:t>
      </w:r>
      <w:r>
        <w:rPr>
          <w:rFonts w:hint="eastAsia" w:ascii="宋体" w:hAnsi="宋体" w:eastAsia="宋体" w:cs="Times New Roman"/>
          <w:color w:val="auto"/>
          <w:sz w:val="28"/>
          <w:szCs w:val="28"/>
          <w:highlight w:val="none"/>
        </w:rPr>
        <w:t>文件组成</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rPr>
        <w:t>技术文件组成</w:t>
      </w:r>
      <w:r>
        <w:rPr>
          <w:rFonts w:hint="eastAsia" w:ascii="宋体" w:hAnsi="宋体" w:eastAsia="宋体" w:cs="Times New Roman"/>
          <w:color w:val="auto"/>
          <w:sz w:val="28"/>
          <w:szCs w:val="28"/>
          <w:highlight w:val="none"/>
          <w:lang w:val="en-US" w:eastAsia="zh-CN"/>
        </w:rPr>
        <w:t xml:space="preserve"> ”</w:t>
      </w:r>
      <w:r>
        <w:rPr>
          <w:rFonts w:hint="eastAsia" w:ascii="宋体" w:hAnsi="宋体"/>
          <w:color w:val="auto"/>
          <w:sz w:val="28"/>
          <w:szCs w:val="28"/>
          <w:highlight w:val="none"/>
          <w:lang w:val="en-US" w:eastAsia="zh-CN"/>
        </w:rPr>
        <w:t>的规定</w:t>
      </w:r>
      <w:r>
        <w:rPr>
          <w:rFonts w:hint="eastAsia" w:ascii="宋体" w:hAnsi="宋体"/>
          <w:color w:val="auto"/>
          <w:sz w:val="28"/>
          <w:szCs w:val="28"/>
          <w:highlight w:val="none"/>
        </w:rPr>
        <w:t>及</w:t>
      </w: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提供的材料自行编写目录。</w:t>
      </w:r>
    </w:p>
    <w:p w14:paraId="41DEC630">
      <w:pPr>
        <w:spacing w:line="520" w:lineRule="exact"/>
        <w:ind w:firstLine="880" w:firstLineChars="200"/>
        <w:rPr>
          <w:rFonts w:hint="eastAsia" w:ascii="宋体" w:hAnsi="宋体" w:cs="方正小标宋简体"/>
          <w:color w:val="000000"/>
          <w:sz w:val="44"/>
          <w:szCs w:val="44"/>
          <w:highlight w:val="none"/>
        </w:rPr>
      </w:pPr>
    </w:p>
    <w:p w14:paraId="0E26D6D6">
      <w:pPr>
        <w:pStyle w:val="5"/>
        <w:keepNext/>
        <w:keepLines/>
        <w:pageBreakBefore w:val="0"/>
        <w:widowControl w:val="0"/>
        <w:tabs>
          <w:tab w:val="left" w:pos="2155"/>
        </w:tabs>
        <w:kinsoku/>
        <w:wordWrap/>
        <w:overflowPunct/>
        <w:topLinePunct w:val="0"/>
        <w:autoSpaceDE/>
        <w:autoSpaceDN/>
        <w:bidi w:val="0"/>
        <w:adjustRightInd/>
        <w:snapToGrid/>
        <w:spacing w:before="0" w:after="0" w:line="377" w:lineRule="auto"/>
        <w:ind w:left="0" w:leftChars="0" w:firstLine="0" w:firstLineChars="0"/>
        <w:jc w:val="center"/>
        <w:textAlignment w:val="auto"/>
        <w:rPr>
          <w:rFonts w:hint="eastAsia" w:ascii="宋体" w:hAnsi="宋体" w:eastAsia="宋体" w:cs="宋体"/>
          <w:b/>
          <w:bCs/>
          <w:color w:val="auto"/>
          <w:sz w:val="30"/>
          <w:highlight w:val="none"/>
          <w:lang w:eastAsia="zh-CN"/>
        </w:rPr>
      </w:pPr>
    </w:p>
    <w:p w14:paraId="330F4BAC">
      <w:pPr>
        <w:spacing w:line="520" w:lineRule="exact"/>
        <w:ind w:firstLine="880" w:firstLineChars="200"/>
        <w:rPr>
          <w:rFonts w:ascii="宋体" w:hAnsi="宋体" w:cs="方正小标宋简体"/>
          <w:color w:val="000000"/>
          <w:sz w:val="44"/>
          <w:szCs w:val="44"/>
          <w:highlight w:val="none"/>
        </w:rPr>
      </w:pPr>
      <w:r>
        <w:rPr>
          <w:rFonts w:hint="eastAsia" w:ascii="宋体" w:hAnsi="宋体" w:cs="方正小标宋简体"/>
          <w:color w:val="000000"/>
          <w:sz w:val="44"/>
          <w:szCs w:val="44"/>
          <w:highlight w:val="none"/>
        </w:rPr>
        <w:br w:type="page"/>
      </w:r>
    </w:p>
    <w:p w14:paraId="7CA6C3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color w:val="000000"/>
          <w:sz w:val="36"/>
          <w:szCs w:val="36"/>
          <w:highlight w:val="none"/>
        </w:rPr>
      </w:pPr>
      <w:r>
        <w:rPr>
          <w:rFonts w:hint="eastAsia" w:ascii="宋体" w:hAnsi="宋体" w:eastAsia="宋体" w:cs="Times New Roman"/>
          <w:b/>
          <w:color w:val="000000"/>
          <w:sz w:val="36"/>
          <w:szCs w:val="36"/>
          <w:highlight w:val="none"/>
        </w:rPr>
        <w:t>无串通竞标行为的承诺函</w:t>
      </w:r>
    </w:p>
    <w:p w14:paraId="03F21331">
      <w:pPr>
        <w:spacing w:line="520" w:lineRule="exact"/>
        <w:ind w:firstLine="640" w:firstLineChars="200"/>
        <w:rPr>
          <w:rFonts w:ascii="宋体" w:hAnsi="宋体" w:cs="仿宋_GB2312"/>
          <w:color w:val="000000"/>
          <w:sz w:val="32"/>
          <w:szCs w:val="32"/>
          <w:highlight w:val="none"/>
        </w:rPr>
      </w:pPr>
    </w:p>
    <w:p w14:paraId="26989463">
      <w:pPr>
        <w:spacing w:line="360" w:lineRule="auto"/>
        <w:ind w:firstLine="482" w:firstLineChars="200"/>
        <w:contextualSpacing/>
        <w:rPr>
          <w:rFonts w:ascii="宋体" w:hAnsi="宋体" w:cs="仿宋_GB2312"/>
          <w:b/>
          <w:bCs/>
          <w:color w:val="000000"/>
          <w:sz w:val="24"/>
          <w:highlight w:val="none"/>
        </w:rPr>
      </w:pPr>
      <w:r>
        <w:rPr>
          <w:rFonts w:hint="eastAsia" w:ascii="宋体" w:hAnsi="宋体" w:cs="仿宋_GB2312"/>
          <w:b/>
          <w:bCs/>
          <w:color w:val="000000"/>
          <w:sz w:val="24"/>
          <w:highlight w:val="none"/>
        </w:rPr>
        <w:t>一、我方承诺无下列相互串通竞标的情形：</w:t>
      </w:r>
    </w:p>
    <w:p w14:paraId="720A69BA">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1.不同供应商的响应文件由同一单位或者个人编制；</w:t>
      </w:r>
      <w:r>
        <w:rPr>
          <w:rFonts w:hint="eastAsia" w:ascii="宋体" w:hAnsi="宋体"/>
          <w:color w:val="000000"/>
          <w:sz w:val="24"/>
          <w:highlight w:val="none"/>
        </w:rPr>
        <w:t>或者不同供应商报名的IP地址一致的；或者编制响应文件硬件设备CPU编号、硬盘编号、网卡地址一致的情况。</w:t>
      </w:r>
    </w:p>
    <w:p w14:paraId="63830871">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2.不同供应商委托同一单位或者个人办理竞标事宜；</w:t>
      </w:r>
    </w:p>
    <w:p w14:paraId="42131129">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3.不同供应商的响应文件载明的项目管理员为同一个人；</w:t>
      </w:r>
    </w:p>
    <w:p w14:paraId="1C0BB491">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4.不</w:t>
      </w:r>
      <w:r>
        <w:rPr>
          <w:rFonts w:hint="eastAsia" w:ascii="宋体" w:hAnsi="宋体" w:cs="仿宋_GB2312"/>
          <w:color w:val="000000"/>
          <w:spacing w:val="-6"/>
          <w:sz w:val="24"/>
          <w:highlight w:val="none"/>
        </w:rPr>
        <w:t>同供应商的响应文件异常一致或者响应报价呈规律性差异；</w:t>
      </w:r>
    </w:p>
    <w:p w14:paraId="0AF6217B">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5.不同供应商的响应文件相互混装；</w:t>
      </w:r>
    </w:p>
    <w:p w14:paraId="73632C89">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6.不同供应商的磋商保证金从同一单位或者个人账户转出。</w:t>
      </w:r>
    </w:p>
    <w:p w14:paraId="27B07098">
      <w:pPr>
        <w:spacing w:line="360" w:lineRule="auto"/>
        <w:ind w:firstLine="482" w:firstLineChars="200"/>
        <w:contextualSpacing/>
        <w:rPr>
          <w:rFonts w:ascii="宋体" w:hAnsi="宋体" w:cs="仿宋_GB2312"/>
          <w:b/>
          <w:bCs/>
          <w:color w:val="000000"/>
          <w:sz w:val="24"/>
          <w:highlight w:val="none"/>
        </w:rPr>
      </w:pPr>
      <w:r>
        <w:rPr>
          <w:rFonts w:hint="eastAsia" w:ascii="宋体" w:hAnsi="宋体" w:cs="仿宋_GB2312"/>
          <w:b/>
          <w:bCs/>
          <w:color w:val="000000"/>
          <w:sz w:val="24"/>
          <w:highlight w:val="none"/>
        </w:rPr>
        <w:t>二、我方承诺无下列恶意串通的情形：</w:t>
      </w:r>
    </w:p>
    <w:p w14:paraId="74AA2132">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1.供应商直接或者间接从采购人或者采购代理机构处获得其他供应商的相关信息并修改其响应文件；</w:t>
      </w:r>
    </w:p>
    <w:p w14:paraId="5F81D96B">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2.供应商按照采购人或者采购代理机构的授意撤换、修改响应文件；</w:t>
      </w:r>
    </w:p>
    <w:p w14:paraId="76D73948">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3.供</w:t>
      </w:r>
      <w:r>
        <w:rPr>
          <w:rFonts w:hint="eastAsia" w:ascii="宋体" w:hAnsi="宋体" w:cs="仿宋_GB2312"/>
          <w:color w:val="000000"/>
          <w:spacing w:val="-6"/>
          <w:sz w:val="24"/>
          <w:highlight w:val="none"/>
        </w:rPr>
        <w:t>应商之间协商报价、技术方案等响应文件的实质性内容；</w:t>
      </w:r>
    </w:p>
    <w:p w14:paraId="1A5DDEC1">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4.属于同一集团、协会、商会等组织成员的供应商按照该组织要求协同参加政府采购活动；</w:t>
      </w:r>
    </w:p>
    <w:p w14:paraId="1BA6E25D">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5.供应商之间事先约定一致抬高或者压低响应报价，或者在竞争性磋商项目中事先约定轮流以高价位或者低价位成交，或者事先约定由某一特定供应商成交，然后再参加竞标；</w:t>
      </w:r>
    </w:p>
    <w:p w14:paraId="053B1950">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6.供应商之间商定部分供应商放弃参加政府采购活动或者放弃成交；</w:t>
      </w:r>
    </w:p>
    <w:p w14:paraId="6FABC5CB">
      <w:pPr>
        <w:spacing w:line="360" w:lineRule="auto"/>
        <w:ind w:firstLine="480" w:firstLineChars="200"/>
        <w:contextualSpacing/>
        <w:rPr>
          <w:rFonts w:ascii="宋体" w:hAnsi="宋体" w:cs="仿宋_GB2312"/>
          <w:color w:val="000000"/>
          <w:sz w:val="24"/>
          <w:highlight w:val="none"/>
        </w:rPr>
      </w:pPr>
      <w:r>
        <w:rPr>
          <w:rFonts w:hint="eastAsia" w:ascii="宋体" w:hAnsi="宋体" w:cs="仿宋_GB2312"/>
          <w:color w:val="000000"/>
          <w:sz w:val="24"/>
          <w:highlight w:val="none"/>
        </w:rPr>
        <w:t>7.供应商与采购人或者采购代理机构之间、供应商相互之间，为</w:t>
      </w:r>
      <w:r>
        <w:rPr>
          <w:rFonts w:hint="eastAsia" w:ascii="宋体" w:hAnsi="宋体" w:cs="仿宋_GB2312"/>
          <w:color w:val="000000"/>
          <w:spacing w:val="-6"/>
          <w:sz w:val="24"/>
          <w:highlight w:val="none"/>
        </w:rPr>
        <w:t>谋求特定供应商成交或者排斥其他供应商的其他串通行为。</w:t>
      </w:r>
    </w:p>
    <w:p w14:paraId="57D0EBD6">
      <w:pPr>
        <w:spacing w:line="360" w:lineRule="auto"/>
        <w:ind w:firstLine="482" w:firstLineChars="200"/>
        <w:contextualSpacing/>
        <w:rPr>
          <w:rFonts w:ascii="宋体" w:hAnsi="宋体" w:cs="仿宋_GB2312"/>
          <w:b/>
          <w:bCs/>
          <w:color w:val="000000"/>
          <w:sz w:val="24"/>
          <w:highlight w:val="none"/>
        </w:rPr>
      </w:pPr>
      <w:r>
        <w:rPr>
          <w:rFonts w:hint="eastAsia" w:ascii="宋体" w:hAnsi="宋体" w:cs="仿宋_GB2312"/>
          <w:b/>
          <w:bCs/>
          <w:color w:val="000000"/>
          <w:sz w:val="24"/>
          <w:highlight w:val="none"/>
        </w:rPr>
        <w:t>以上情形一经核查属实，接受政府采购监管部门对我方认定存在围标串标行为，我方愿意承担一切后果，并不再寻求任何旨在减轻或者免除法律责任的辩解。</w:t>
      </w:r>
    </w:p>
    <w:p w14:paraId="33BAE83C">
      <w:pPr>
        <w:autoSpaceDE w:val="0"/>
        <w:autoSpaceDN w:val="0"/>
        <w:spacing w:line="360" w:lineRule="auto"/>
        <w:ind w:left="4335" w:leftChars="1950" w:hanging="240" w:hangingChars="100"/>
        <w:rPr>
          <w:rFonts w:ascii="宋体" w:hAnsi="宋体" w:cs="仿宋_GB2312"/>
          <w:color w:val="000000"/>
          <w:kern w:val="0"/>
          <w:sz w:val="24"/>
          <w:highlight w:val="none"/>
        </w:rPr>
      </w:pPr>
      <w:r>
        <w:rPr>
          <w:rFonts w:hint="eastAsia" w:ascii="宋体" w:hAnsi="宋体" w:cs="仿宋_GB2312"/>
          <w:color w:val="000000"/>
          <w:kern w:val="0"/>
          <w:sz w:val="24"/>
          <w:highlight w:val="none"/>
        </w:rPr>
        <w:t>供应商名称（电子签章）：</w:t>
      </w:r>
    </w:p>
    <w:p w14:paraId="06701F97">
      <w:pPr>
        <w:spacing w:line="520" w:lineRule="exact"/>
        <w:ind w:left="239" w:leftChars="114" w:firstLine="6120" w:firstLineChars="2550"/>
        <w:jc w:val="center"/>
        <w:rPr>
          <w:rFonts w:hint="eastAsia" w:ascii="宋体" w:hAnsi="宋体" w:eastAsia="宋体" w:cs="Times New Roman"/>
          <w:b/>
          <w:color w:val="000000"/>
          <w:sz w:val="36"/>
          <w:szCs w:val="36"/>
          <w:highlight w:val="none"/>
        </w:rPr>
      </w:pPr>
      <w:r>
        <w:rPr>
          <w:rFonts w:hint="eastAsia" w:ascii="宋体" w:hAnsi="宋体" w:cs="仿宋_GB2312"/>
          <w:color w:val="000000"/>
          <w:kern w:val="0"/>
          <w:sz w:val="24"/>
          <w:highlight w:val="none"/>
          <w:lang w:val="zh-CN"/>
        </w:rPr>
        <w:t xml:space="preserve">日期：  年  月   日    </w:t>
      </w:r>
      <w:r>
        <w:rPr>
          <w:rFonts w:ascii="宋体" w:hAnsi="宋体"/>
          <w:b/>
          <w:bCs/>
          <w:color w:val="000000"/>
          <w:sz w:val="32"/>
          <w:szCs w:val="32"/>
          <w:highlight w:val="none"/>
        </w:rPr>
        <w:br w:type="page"/>
      </w:r>
      <w:r>
        <w:rPr>
          <w:rFonts w:hint="eastAsia" w:ascii="宋体" w:hAnsi="宋体" w:eastAsia="宋体" w:cs="Times New Roman"/>
          <w:b/>
          <w:color w:val="000000"/>
          <w:sz w:val="36"/>
          <w:szCs w:val="36"/>
          <w:highlight w:val="none"/>
        </w:rPr>
        <w:t>法定代表人证明书</w:t>
      </w:r>
    </w:p>
    <w:p w14:paraId="7CF70956">
      <w:pPr>
        <w:spacing w:line="360" w:lineRule="auto"/>
        <w:ind w:left="540"/>
        <w:contextualSpacing/>
        <w:rPr>
          <w:rFonts w:ascii="宋体" w:hAnsi="宋体" w:cs="仿宋_GB2312"/>
          <w:color w:val="000000"/>
          <w:sz w:val="32"/>
          <w:szCs w:val="32"/>
          <w:highlight w:val="none"/>
        </w:rPr>
      </w:pPr>
    </w:p>
    <w:p w14:paraId="5DCE3D68">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5DF03522">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02FAB22">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44B85153">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0464112C">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1B0E9B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14:paraId="2712D815">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4116F32">
      <w:pPr>
        <w:spacing w:line="360" w:lineRule="auto"/>
        <w:ind w:left="540"/>
        <w:contextualSpacing/>
        <w:rPr>
          <w:rFonts w:hint="eastAsia" w:ascii="宋体" w:hAnsi="宋体" w:eastAsia="宋体" w:cs="宋体"/>
          <w:color w:val="auto"/>
          <w:sz w:val="24"/>
          <w:szCs w:val="24"/>
          <w:highlight w:val="none"/>
        </w:rPr>
      </w:pPr>
    </w:p>
    <w:p w14:paraId="1029670D">
      <w:pPr>
        <w:spacing w:line="360" w:lineRule="auto"/>
        <w:ind w:left="540"/>
        <w:contextualSpacing/>
        <w:rPr>
          <w:rFonts w:hint="eastAsia" w:ascii="宋体" w:hAnsi="宋体" w:eastAsia="宋体" w:cs="宋体"/>
          <w:color w:val="auto"/>
          <w:sz w:val="24"/>
          <w:szCs w:val="24"/>
          <w:highlight w:val="none"/>
        </w:rPr>
      </w:pPr>
    </w:p>
    <w:p w14:paraId="28E1813C">
      <w:pPr>
        <w:spacing w:line="360" w:lineRule="auto"/>
        <w:ind w:left="540"/>
        <w:contextualSpacing/>
        <w:rPr>
          <w:rFonts w:hint="eastAsia" w:ascii="宋体" w:hAnsi="宋体" w:eastAsia="宋体" w:cs="宋体"/>
          <w:color w:val="auto"/>
          <w:sz w:val="24"/>
          <w:szCs w:val="24"/>
          <w:highlight w:val="none"/>
        </w:rPr>
      </w:pPr>
    </w:p>
    <w:p w14:paraId="088E93B2">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2B25B1F0">
      <w:pPr>
        <w:spacing w:line="360" w:lineRule="auto"/>
        <w:ind w:left="540"/>
        <w:contextualSpacing/>
        <w:rPr>
          <w:rFonts w:hint="eastAsia" w:ascii="宋体" w:hAnsi="宋体" w:eastAsia="宋体" w:cs="宋体"/>
          <w:color w:val="auto"/>
          <w:sz w:val="24"/>
          <w:szCs w:val="24"/>
          <w:highlight w:val="none"/>
        </w:rPr>
      </w:pPr>
    </w:p>
    <w:p w14:paraId="5529A1DC">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4DF7160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79CF41C8">
      <w:pPr>
        <w:spacing w:line="360" w:lineRule="auto"/>
        <w:jc w:val="left"/>
        <w:rPr>
          <w:rFonts w:hint="eastAsia" w:ascii="宋体" w:hAnsi="宋体" w:eastAsia="宋体" w:cs="宋体"/>
          <w:color w:val="auto"/>
          <w:sz w:val="24"/>
          <w:szCs w:val="24"/>
          <w:highlight w:val="none"/>
        </w:rPr>
      </w:pPr>
    </w:p>
    <w:p w14:paraId="70968D1F">
      <w:pPr>
        <w:spacing w:line="360" w:lineRule="auto"/>
        <w:contextualSpacing/>
        <w:jc w:val="left"/>
        <w:rPr>
          <w:rFonts w:ascii="宋体" w:hAnsi="宋体" w:cs="仿宋_GB2312"/>
          <w:color w:val="000000"/>
          <w:sz w:val="24"/>
          <w:highlight w:val="none"/>
        </w:rPr>
      </w:pPr>
    </w:p>
    <w:p w14:paraId="07C73F4E">
      <w:pPr>
        <w:spacing w:line="360" w:lineRule="auto"/>
        <w:contextualSpacing/>
        <w:jc w:val="left"/>
        <w:rPr>
          <w:rFonts w:ascii="宋体" w:hAnsi="宋体" w:cs="仿宋_GB2312"/>
          <w:color w:val="000000"/>
          <w:sz w:val="24"/>
          <w:highlight w:val="none"/>
        </w:rPr>
      </w:pPr>
      <w:r>
        <w:rPr>
          <w:rFonts w:hint="eastAsia" w:ascii="宋体" w:hAnsi="宋体" w:cs="仿宋_GB2312"/>
          <w:color w:val="000000"/>
          <w:sz w:val="24"/>
          <w:highlight w:val="none"/>
        </w:rPr>
        <w:t>注：1</w:t>
      </w:r>
      <w:r>
        <w:rPr>
          <w:rFonts w:ascii="宋体" w:hAnsi="宋体" w:cs="仿宋_GB2312"/>
          <w:color w:val="000000"/>
          <w:sz w:val="24"/>
          <w:highlight w:val="none"/>
        </w:rPr>
        <w:t>.</w:t>
      </w:r>
      <w:r>
        <w:rPr>
          <w:rFonts w:hint="eastAsia" w:ascii="宋体" w:hAnsi="宋体" w:cs="仿宋_GB2312"/>
          <w:color w:val="000000"/>
          <w:sz w:val="24"/>
          <w:highlight w:val="none"/>
        </w:rPr>
        <w:t>自然人竞标的无需提供，联合体竞标的只需牵头人出具。</w:t>
      </w:r>
    </w:p>
    <w:p w14:paraId="4401023B">
      <w:pPr>
        <w:spacing w:line="360" w:lineRule="auto"/>
        <w:ind w:firstLine="480" w:firstLineChars="200"/>
        <w:contextualSpacing/>
        <w:jc w:val="left"/>
        <w:rPr>
          <w:rFonts w:ascii="宋体" w:hAnsi="宋体" w:cs="仿宋_GB2312"/>
          <w:color w:val="000000"/>
          <w:sz w:val="24"/>
          <w:highlight w:val="none"/>
        </w:rPr>
        <w:sectPr>
          <w:pgSz w:w="11910" w:h="16840"/>
          <w:pgMar w:top="1417" w:right="1417" w:bottom="1417" w:left="1417" w:header="720" w:footer="720" w:gutter="0"/>
          <w:pgNumType w:fmt="decimal"/>
          <w:cols w:space="720" w:num="1"/>
          <w:rtlGutter w:val="0"/>
        </w:sectPr>
      </w:pPr>
      <w:r>
        <w:rPr>
          <w:rFonts w:hint="eastAsia" w:ascii="宋体" w:hAnsi="宋体" w:cs="仿宋_GB2312"/>
          <w:color w:val="000000"/>
          <w:sz w:val="24"/>
          <w:highlight w:val="none"/>
        </w:rPr>
        <w:t>2</w:t>
      </w:r>
      <w:r>
        <w:rPr>
          <w:rFonts w:ascii="宋体" w:hAnsi="宋体" w:cs="仿宋_GB2312"/>
          <w:color w:val="000000"/>
          <w:sz w:val="24"/>
          <w:highlight w:val="none"/>
        </w:rPr>
        <w:t>.</w:t>
      </w:r>
      <w:r>
        <w:rPr>
          <w:rFonts w:hint="eastAsia" w:ascii="宋体" w:hAnsi="宋体" w:cs="仿宋_GB2312"/>
          <w:color w:val="000000"/>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2"/>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F6C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519A61B">
            <w:pPr>
              <w:spacing w:line="360" w:lineRule="auto"/>
              <w:rPr>
                <w:rFonts w:ascii="宋体" w:hAnsi="宋体"/>
                <w:b/>
                <w:color w:val="000000"/>
                <w:sz w:val="24"/>
                <w:highlight w:val="none"/>
              </w:rPr>
            </w:pPr>
          </w:p>
          <w:p w14:paraId="2330BBC3">
            <w:pPr>
              <w:spacing w:line="360" w:lineRule="auto"/>
              <w:rPr>
                <w:rFonts w:ascii="宋体" w:hAnsi="宋体"/>
                <w:b/>
                <w:color w:val="000000"/>
                <w:sz w:val="24"/>
                <w:highlight w:val="none"/>
              </w:rPr>
            </w:pPr>
            <w:r>
              <w:rPr>
                <w:rFonts w:hint="eastAsia" w:ascii="宋体" w:hAnsi="宋体"/>
                <w:b/>
                <w:color w:val="000000"/>
                <w:sz w:val="24"/>
                <w:highlight w:val="none"/>
              </w:rPr>
              <w:t>法定代表身份证复印件粘帖处（正、反面）</w:t>
            </w:r>
          </w:p>
        </w:tc>
      </w:tr>
    </w:tbl>
    <w:p w14:paraId="30FFEBF1">
      <w:pPr>
        <w:spacing w:line="360" w:lineRule="auto"/>
        <w:ind w:firstLine="482" w:firstLineChars="200"/>
        <w:contextualSpacing/>
        <w:jc w:val="left"/>
        <w:rPr>
          <w:rFonts w:ascii="宋体" w:hAnsi="宋体"/>
          <w:b/>
          <w:color w:val="000000"/>
          <w:szCs w:val="21"/>
          <w:highlight w:val="none"/>
        </w:rPr>
      </w:pPr>
      <w:r>
        <w:rPr>
          <w:rFonts w:hint="eastAsia" w:ascii="宋体" w:hAnsi="宋体"/>
          <w:b/>
          <w:color w:val="000000"/>
          <w:sz w:val="24"/>
          <w:highlight w:val="none"/>
        </w:rPr>
        <w:t>附件：</w:t>
      </w:r>
    </w:p>
    <w:p w14:paraId="798C8C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color w:val="000000"/>
          <w:sz w:val="36"/>
          <w:szCs w:val="36"/>
          <w:highlight w:val="none"/>
        </w:rPr>
      </w:pPr>
      <w:r>
        <w:rPr>
          <w:rFonts w:hint="eastAsia" w:ascii="宋体" w:hAnsi="宋体" w:cs="方正小标宋简体"/>
          <w:color w:val="000000"/>
          <w:sz w:val="44"/>
          <w:szCs w:val="44"/>
          <w:highlight w:val="none"/>
        </w:rPr>
        <w:br w:type="page"/>
      </w:r>
      <w:r>
        <w:rPr>
          <w:rFonts w:hint="eastAsia" w:ascii="宋体" w:hAnsi="宋体" w:eastAsia="宋体" w:cs="Times New Roman"/>
          <w:b/>
          <w:color w:val="000000"/>
          <w:sz w:val="36"/>
          <w:szCs w:val="36"/>
          <w:highlight w:val="none"/>
        </w:rPr>
        <w:t>授权委托书</w:t>
      </w:r>
    </w:p>
    <w:p w14:paraId="33FE6F1B">
      <w:pPr>
        <w:spacing w:line="520" w:lineRule="exact"/>
        <w:rPr>
          <w:rFonts w:ascii="宋体" w:hAnsi="宋体" w:cs="仿宋_GB2312"/>
          <w:color w:val="000000"/>
          <w:sz w:val="32"/>
          <w:szCs w:val="32"/>
          <w:highlight w:val="none"/>
        </w:rPr>
      </w:pPr>
    </w:p>
    <w:p w14:paraId="474E3B22">
      <w:pPr>
        <w:spacing w:line="360" w:lineRule="auto"/>
        <w:rPr>
          <w:rFonts w:ascii="宋体" w:hAnsi="宋体" w:cs="仿宋_GB2312"/>
          <w:color w:val="000000"/>
          <w:sz w:val="24"/>
          <w:highlight w:val="none"/>
        </w:rPr>
      </w:pPr>
      <w:r>
        <w:rPr>
          <w:rFonts w:hint="eastAsia" w:ascii="宋体" w:hAnsi="宋体" w:cs="仿宋_GB2312"/>
          <w:color w:val="000000"/>
          <w:sz w:val="24"/>
          <w:highlight w:val="none"/>
        </w:rPr>
        <w:t>致：</w:t>
      </w:r>
      <w:r>
        <w:rPr>
          <w:rFonts w:hint="eastAsia" w:ascii="宋体" w:hAnsi="宋体" w:eastAsia="宋体" w:cs="宋体"/>
          <w:color w:val="000000"/>
          <w:sz w:val="24"/>
          <w:highlight w:val="none"/>
          <w:u w:val="single"/>
        </w:rPr>
        <w:t>（采购人名称）</w:t>
      </w:r>
      <w:r>
        <w:rPr>
          <w:rFonts w:hint="eastAsia" w:ascii="宋体" w:hAnsi="宋体" w:cs="仿宋_GB2312"/>
          <w:color w:val="000000"/>
          <w:sz w:val="24"/>
          <w:highlight w:val="none"/>
        </w:rPr>
        <w:t>：</w:t>
      </w:r>
    </w:p>
    <w:p w14:paraId="409ADC95">
      <w:pPr>
        <w:spacing w:line="360" w:lineRule="auto"/>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我</w:t>
      </w:r>
      <w:r>
        <w:rPr>
          <w:rFonts w:hint="eastAsia" w:ascii="宋体" w:hAnsi="宋体" w:cs="仿宋_GB2312"/>
          <w:color w:val="000000"/>
          <w:sz w:val="24"/>
          <w:highlight w:val="none"/>
          <w:u w:val="single"/>
        </w:rPr>
        <w:t xml:space="preserve">  （姓名）  </w:t>
      </w:r>
      <w:r>
        <w:rPr>
          <w:rFonts w:hint="eastAsia" w:ascii="宋体" w:hAnsi="宋体" w:cs="仿宋_GB2312"/>
          <w:color w:val="000000"/>
          <w:sz w:val="24"/>
          <w:highlight w:val="none"/>
        </w:rPr>
        <w:t>系</w:t>
      </w:r>
      <w:r>
        <w:rPr>
          <w:rFonts w:hint="eastAsia" w:ascii="宋体" w:hAnsi="宋体" w:cs="仿宋_GB2312"/>
          <w:color w:val="000000"/>
          <w:sz w:val="24"/>
          <w:highlight w:val="none"/>
          <w:u w:val="single"/>
        </w:rPr>
        <w:t xml:space="preserve">  （供应商名称）  </w:t>
      </w:r>
      <w:r>
        <w:rPr>
          <w:rFonts w:hint="eastAsia" w:ascii="宋体" w:hAnsi="宋体" w:cs="仿宋_GB2312"/>
          <w:color w:val="000000"/>
          <w:sz w:val="24"/>
          <w:highlight w:val="none"/>
        </w:rPr>
        <w:t>的（</w:t>
      </w:r>
      <w:r>
        <w:rPr>
          <w:rFonts w:hint="eastAsia" w:ascii="宋体" w:hAnsi="宋体" w:cs="仿宋_GB2312"/>
          <w:color w:val="000000"/>
          <w:sz w:val="24"/>
          <w:highlight w:val="none"/>
          <w:u w:val="single"/>
        </w:rPr>
        <w:t>□法定代表人/□负责人/□自然人本人</w:t>
      </w:r>
      <w:r>
        <w:rPr>
          <w:rFonts w:hint="eastAsia" w:ascii="宋体" w:hAnsi="宋体" w:cs="仿宋_GB2312"/>
          <w:color w:val="000000"/>
          <w:sz w:val="24"/>
          <w:highlight w:val="none"/>
        </w:rPr>
        <w:t>），现授权</w:t>
      </w:r>
      <w:r>
        <w:rPr>
          <w:rFonts w:hint="eastAsia" w:ascii="宋体" w:hAnsi="宋体" w:cs="仿宋_GB2312"/>
          <w:color w:val="000000"/>
          <w:sz w:val="24"/>
          <w:highlight w:val="none"/>
          <w:u w:val="single"/>
        </w:rPr>
        <w:t xml:space="preserve"> （姓名） </w:t>
      </w:r>
      <w:r>
        <w:rPr>
          <w:rFonts w:hint="eastAsia" w:ascii="宋体" w:hAnsi="宋体" w:cs="仿宋_GB2312"/>
          <w:color w:val="000000"/>
          <w:sz w:val="24"/>
          <w:highlight w:val="none"/>
        </w:rPr>
        <w:t>以我方的名义参加</w:t>
      </w:r>
      <w:r>
        <w:rPr>
          <w:rFonts w:hint="eastAsia" w:ascii="宋体" w:hAnsi="宋体" w:cs="仿宋_GB2312"/>
          <w:color w:val="000000"/>
          <w:sz w:val="24"/>
          <w:highlight w:val="none"/>
          <w:u w:val="single"/>
          <w:lang w:val="en-US" w:eastAsia="zh-CN"/>
        </w:rPr>
        <w:t xml:space="preserve">   </w:t>
      </w:r>
      <w:r>
        <w:rPr>
          <w:rFonts w:hint="eastAsia" w:ascii="宋体" w:hAnsi="宋体" w:eastAsia="宋体" w:cs="宋体"/>
          <w:color w:val="000000"/>
          <w:sz w:val="24"/>
          <w:highlight w:val="none"/>
          <w:u w:val="single"/>
        </w:rPr>
        <w:t>（项目名称</w:t>
      </w:r>
      <w:r>
        <w:rPr>
          <w:rFonts w:hint="eastAsia" w:ascii="宋体" w:hAnsi="宋体" w:cs="宋体"/>
          <w:color w:val="000000"/>
          <w:sz w:val="24"/>
          <w:highlight w:val="none"/>
          <w:u w:val="single"/>
        </w:rPr>
        <w:t>）</w:t>
      </w:r>
      <w:r>
        <w:rPr>
          <w:rFonts w:hint="eastAsia" w:ascii="宋体" w:hAnsi="宋体" w:cs="仿宋_GB2312"/>
          <w:color w:val="000000"/>
          <w:sz w:val="24"/>
          <w:highlight w:val="none"/>
        </w:rPr>
        <w:t>项目的竞标活动，并代表我方全权办理针对上述项目的所有采购程序和环节的具体事务和签署相关文件。</w:t>
      </w:r>
    </w:p>
    <w:p w14:paraId="3892ED4F">
      <w:pPr>
        <w:spacing w:line="360" w:lineRule="auto"/>
        <w:rPr>
          <w:rFonts w:ascii="宋体" w:hAnsi="宋体" w:cs="仿宋_GB2312"/>
          <w:color w:val="000000"/>
          <w:sz w:val="24"/>
          <w:highlight w:val="none"/>
        </w:rPr>
      </w:pPr>
      <w:r>
        <w:rPr>
          <w:rFonts w:hint="eastAsia" w:ascii="宋体" w:hAnsi="宋体" w:cs="仿宋_GB2312"/>
          <w:color w:val="000000"/>
          <w:sz w:val="24"/>
          <w:highlight w:val="none"/>
        </w:rPr>
        <w:t xml:space="preserve">    我方对委托代理人的签字事项负全部责任。</w:t>
      </w:r>
    </w:p>
    <w:p w14:paraId="0BA3C44D">
      <w:pPr>
        <w:spacing w:line="360" w:lineRule="auto"/>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本授权书自签署之日起生效，在撤销授权的书面通知以前，本授权书一直有效。委托代理人在授权书有效期内签署的所有文件不因授权的撤销而失效。</w:t>
      </w:r>
    </w:p>
    <w:p w14:paraId="6CD19061">
      <w:pPr>
        <w:spacing w:line="360" w:lineRule="auto"/>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委托代理人无转委托权，特此委托。</w:t>
      </w:r>
    </w:p>
    <w:p w14:paraId="6667D133">
      <w:pPr>
        <w:spacing w:line="360" w:lineRule="auto"/>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附：法定代表人身份证明书及委托代理人有效身份证正反面复印件</w:t>
      </w:r>
    </w:p>
    <w:p w14:paraId="6483B009">
      <w:pPr>
        <w:spacing w:line="360" w:lineRule="auto"/>
        <w:rPr>
          <w:rFonts w:ascii="宋体" w:hAnsi="宋体" w:cs="仿宋_GB2312"/>
          <w:color w:val="000000"/>
          <w:sz w:val="24"/>
          <w:highlight w:val="none"/>
        </w:rPr>
      </w:pPr>
    </w:p>
    <w:p w14:paraId="308DFCDA">
      <w:pPr>
        <w:spacing w:line="360" w:lineRule="auto"/>
        <w:rPr>
          <w:rFonts w:ascii="宋体" w:hAnsi="宋体" w:cs="仿宋_GB2312"/>
          <w:color w:val="000000"/>
          <w:sz w:val="24"/>
          <w:highlight w:val="none"/>
        </w:rPr>
      </w:pPr>
      <w:r>
        <w:rPr>
          <w:rFonts w:hint="eastAsia" w:ascii="宋体" w:hAnsi="宋体" w:cs="仿宋_GB2312"/>
          <w:color w:val="000000"/>
          <w:sz w:val="24"/>
          <w:highlight w:val="none"/>
        </w:rPr>
        <w:t xml:space="preserve">委托代理人（签字）：         法定代表人（签字或盖章）：                    </w:t>
      </w:r>
    </w:p>
    <w:p w14:paraId="0367C2FB">
      <w:pPr>
        <w:spacing w:line="360" w:lineRule="auto"/>
        <w:rPr>
          <w:rFonts w:ascii="宋体" w:hAnsi="宋体" w:cs="仿宋_GB2312"/>
          <w:color w:val="000000"/>
          <w:sz w:val="24"/>
          <w:highlight w:val="none"/>
        </w:rPr>
      </w:pPr>
      <w:r>
        <w:rPr>
          <w:rFonts w:hint="eastAsia" w:ascii="宋体" w:hAnsi="宋体" w:cs="仿宋_GB2312"/>
          <w:color w:val="000000"/>
          <w:sz w:val="24"/>
          <w:highlight w:val="none"/>
        </w:rPr>
        <w:t xml:space="preserve">委托代理人身份证号码：                              </w:t>
      </w:r>
    </w:p>
    <w:p w14:paraId="26C4E552">
      <w:pPr>
        <w:spacing w:line="360" w:lineRule="auto"/>
        <w:rPr>
          <w:rFonts w:ascii="宋体" w:hAnsi="宋体" w:cs="仿宋_GB2312"/>
          <w:color w:val="000000"/>
          <w:sz w:val="24"/>
          <w:highlight w:val="none"/>
        </w:rPr>
      </w:pPr>
    </w:p>
    <w:p w14:paraId="70DA6455">
      <w:pPr>
        <w:spacing w:line="360" w:lineRule="auto"/>
        <w:rPr>
          <w:rFonts w:ascii="宋体" w:hAnsi="宋体" w:cs="仿宋_GB2312"/>
          <w:color w:val="000000"/>
          <w:sz w:val="24"/>
          <w:highlight w:val="none"/>
        </w:rPr>
      </w:pPr>
      <w:r>
        <w:rPr>
          <w:rFonts w:hint="eastAsia" w:ascii="宋体" w:hAnsi="宋体" w:cs="仿宋_GB2312"/>
          <w:color w:val="000000"/>
          <w:kern w:val="0"/>
          <w:sz w:val="24"/>
          <w:highlight w:val="none"/>
        </w:rPr>
        <w:t>供应商名称（电子签章）：</w:t>
      </w:r>
    </w:p>
    <w:p w14:paraId="6857224A">
      <w:pPr>
        <w:spacing w:line="360" w:lineRule="auto"/>
        <w:contextualSpacing/>
        <w:jc w:val="center"/>
        <w:rPr>
          <w:rFonts w:ascii="宋体" w:hAnsi="宋体" w:cs="仿宋_GB2312"/>
          <w:b/>
          <w:color w:val="000000"/>
          <w:sz w:val="24"/>
          <w:highlight w:val="none"/>
        </w:rPr>
      </w:pPr>
      <w:r>
        <w:rPr>
          <w:rFonts w:hint="eastAsia" w:ascii="宋体" w:hAnsi="宋体" w:cs="仿宋_GB2312"/>
          <w:color w:val="000000"/>
          <w:kern w:val="0"/>
          <w:sz w:val="24"/>
          <w:highlight w:val="none"/>
          <w:lang w:val="zh-CN"/>
        </w:rPr>
        <w:t xml:space="preserve">                                                   日期：  年  月   日</w:t>
      </w:r>
    </w:p>
    <w:p w14:paraId="16A8AC9C">
      <w:pPr>
        <w:spacing w:line="360" w:lineRule="auto"/>
        <w:rPr>
          <w:rFonts w:ascii="宋体" w:hAnsi="宋体" w:cs="仿宋_GB2312"/>
          <w:color w:val="000000"/>
          <w:sz w:val="24"/>
          <w:highlight w:val="none"/>
        </w:rPr>
      </w:pPr>
    </w:p>
    <w:p w14:paraId="670B2A5B">
      <w:pPr>
        <w:spacing w:line="360" w:lineRule="auto"/>
        <w:rPr>
          <w:rFonts w:ascii="宋体" w:hAnsi="宋体" w:cs="仿宋_GB2312"/>
          <w:color w:val="000000"/>
          <w:sz w:val="24"/>
          <w:highlight w:val="none"/>
        </w:rPr>
      </w:pPr>
      <w:r>
        <w:rPr>
          <w:rFonts w:hint="eastAsia" w:ascii="宋体" w:hAnsi="宋体" w:cs="仿宋_GB2312"/>
          <w:color w:val="000000"/>
          <w:sz w:val="24"/>
          <w:highlight w:val="none"/>
        </w:rPr>
        <w:t>注：1. 法定代表人必须在授权委托书上亲笔签字或盖章，委托代理人必须在授权委托书上亲笔签字，</w:t>
      </w:r>
      <w:r>
        <w:rPr>
          <w:rFonts w:hint="eastAsia" w:ascii="宋体" w:hAnsi="宋体" w:cs="仿宋_GB2312"/>
          <w:b/>
          <w:color w:val="000000"/>
          <w:sz w:val="24"/>
          <w:highlight w:val="none"/>
        </w:rPr>
        <w:t>否则其响应文件按无效响应处理。</w:t>
      </w:r>
    </w:p>
    <w:p w14:paraId="5AE9F551">
      <w:pPr>
        <w:spacing w:line="360" w:lineRule="auto"/>
        <w:ind w:firstLine="480" w:firstLineChars="200"/>
        <w:jc w:val="left"/>
        <w:rPr>
          <w:rFonts w:ascii="宋体" w:hAnsi="宋体" w:cs="仿宋_GB2312"/>
          <w:color w:val="000000"/>
          <w:sz w:val="24"/>
          <w:highlight w:val="none"/>
        </w:rPr>
      </w:pPr>
      <w:r>
        <w:rPr>
          <w:rFonts w:ascii="宋体" w:hAnsi="宋体" w:cs="仿宋_GB2312"/>
          <w:color w:val="000000"/>
          <w:sz w:val="24"/>
          <w:highlight w:val="none"/>
        </w:rPr>
        <w:t>2.</w:t>
      </w:r>
      <w:r>
        <w:rPr>
          <w:rFonts w:hint="eastAsia" w:ascii="宋体" w:hAnsi="宋体" w:cs="仿宋_GB2312"/>
          <w:color w:val="000000"/>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93EE7C4">
      <w:pPr>
        <w:spacing w:line="360" w:lineRule="auto"/>
        <w:ind w:firstLine="480" w:firstLineChars="200"/>
        <w:jc w:val="left"/>
        <w:rPr>
          <w:rFonts w:ascii="宋体" w:hAnsi="宋体" w:cs="仿宋_GB2312"/>
          <w:color w:val="000000"/>
          <w:szCs w:val="21"/>
          <w:highlight w:val="none"/>
        </w:rPr>
      </w:pPr>
      <w:r>
        <w:rPr>
          <w:rFonts w:hint="eastAsia" w:ascii="宋体" w:hAnsi="宋体" w:cs="仿宋_GB2312"/>
          <w:color w:val="000000"/>
          <w:sz w:val="24"/>
          <w:highlight w:val="none"/>
        </w:rPr>
        <w:t>3</w:t>
      </w:r>
      <w:r>
        <w:rPr>
          <w:rFonts w:ascii="宋体" w:hAnsi="宋体" w:cs="仿宋_GB2312"/>
          <w:color w:val="000000"/>
          <w:sz w:val="24"/>
          <w:highlight w:val="none"/>
        </w:rPr>
        <w:t>.</w:t>
      </w:r>
      <w:r>
        <w:rPr>
          <w:rFonts w:hint="eastAsia" w:ascii="宋体" w:hAnsi="宋体" w:cs="仿宋_GB2312"/>
          <w:color w:val="000000"/>
          <w:sz w:val="24"/>
          <w:highlight w:val="none"/>
        </w:rPr>
        <w:t xml:space="preserve"> 法人、其他组织竞标时“我方”是指“我单位”，自然人竞标时“我方”是指“本人”。</w:t>
      </w:r>
    </w:p>
    <w:p w14:paraId="21EA60EB">
      <w:pPr>
        <w:spacing w:line="520" w:lineRule="exact"/>
        <w:ind w:firstLine="420" w:firstLineChars="200"/>
        <w:jc w:val="center"/>
        <w:rPr>
          <w:rFonts w:hint="eastAsia" w:ascii="宋体" w:hAnsi="宋体" w:eastAsia="宋体" w:cs="Times New Roman"/>
          <w:b/>
          <w:color w:val="000000"/>
          <w:sz w:val="36"/>
          <w:szCs w:val="36"/>
          <w:highlight w:val="none"/>
        </w:rPr>
      </w:pPr>
      <w:r>
        <w:rPr>
          <w:rFonts w:ascii="宋体" w:hAnsi="宋体" w:cs="仿宋_GB2312"/>
          <w:color w:val="000000"/>
          <w:szCs w:val="21"/>
          <w:highlight w:val="none"/>
        </w:rPr>
        <w:br w:type="page"/>
      </w:r>
      <w:r>
        <w:rPr>
          <w:rFonts w:hint="eastAsia" w:ascii="宋体" w:hAnsi="宋体" w:eastAsia="宋体" w:cs="Times New Roman"/>
          <w:b/>
          <w:color w:val="000000"/>
          <w:sz w:val="36"/>
          <w:szCs w:val="36"/>
          <w:highlight w:val="none"/>
        </w:rPr>
        <w:t>商务条款偏离表</w:t>
      </w:r>
    </w:p>
    <w:p w14:paraId="7612AA89">
      <w:pPr>
        <w:spacing w:line="520" w:lineRule="exact"/>
        <w:rPr>
          <w:rFonts w:ascii="宋体" w:hAnsi="宋体" w:cs="仿宋_GB2312"/>
          <w:color w:val="000000"/>
          <w:sz w:val="32"/>
          <w:szCs w:val="32"/>
          <w:highlight w:val="none"/>
        </w:rPr>
      </w:pPr>
    </w:p>
    <w:p w14:paraId="67179362">
      <w:pPr>
        <w:spacing w:line="360" w:lineRule="auto"/>
        <w:contextualSpacing/>
        <w:rPr>
          <w:rFonts w:ascii="宋体" w:hAnsi="宋体" w:cs="仿宋_GB2312"/>
          <w:color w:val="000000"/>
          <w:sz w:val="24"/>
          <w:highlight w:val="none"/>
          <w:u w:val="single"/>
        </w:rPr>
      </w:pPr>
      <w:r>
        <w:rPr>
          <w:rFonts w:hint="eastAsia" w:ascii="宋体" w:hAnsi="宋体" w:cs="仿宋_GB2312"/>
          <w:color w:val="000000"/>
          <w:sz w:val="24"/>
          <w:highlight w:val="none"/>
        </w:rPr>
        <w:t>项目</w:t>
      </w:r>
      <w:r>
        <w:rPr>
          <w:rFonts w:hint="eastAsia" w:ascii="宋体" w:hAnsi="宋体" w:cs="仿宋_GB2312"/>
          <w:color w:val="000000"/>
          <w:sz w:val="24"/>
          <w:highlight w:val="none"/>
          <w:lang w:val="en-US" w:eastAsia="zh-CN"/>
        </w:rPr>
        <w:t>名称</w:t>
      </w:r>
      <w:r>
        <w:rPr>
          <w:rFonts w:hint="eastAsia" w:ascii="宋体" w:hAnsi="宋体" w:cs="仿宋_GB2312"/>
          <w:color w:val="000000"/>
          <w:sz w:val="24"/>
          <w:highlight w:val="none"/>
        </w:rPr>
        <w:t>：</w:t>
      </w:r>
    </w:p>
    <w:p w14:paraId="36799317">
      <w:pPr>
        <w:spacing w:line="360" w:lineRule="auto"/>
        <w:contextualSpacing/>
        <w:rPr>
          <w:rFonts w:ascii="宋体" w:hAnsi="宋体" w:cs="仿宋_GB2312"/>
          <w:color w:val="000000"/>
          <w:sz w:val="24"/>
          <w:highlight w:val="none"/>
        </w:rPr>
      </w:pPr>
      <w:r>
        <w:rPr>
          <w:rFonts w:hint="eastAsia" w:ascii="宋体" w:hAnsi="宋体" w:cs="仿宋_GB2312"/>
          <w:color w:val="000000"/>
          <w:sz w:val="24"/>
          <w:highlight w:val="none"/>
        </w:rPr>
        <w:t>项目</w:t>
      </w:r>
      <w:r>
        <w:rPr>
          <w:rFonts w:hint="eastAsia" w:ascii="宋体" w:hAnsi="宋体" w:cs="仿宋_GB2312"/>
          <w:color w:val="000000"/>
          <w:sz w:val="24"/>
          <w:highlight w:val="none"/>
          <w:lang w:val="en-US" w:eastAsia="zh-CN"/>
        </w:rPr>
        <w:t>编号</w:t>
      </w:r>
      <w:r>
        <w:rPr>
          <w:rFonts w:hint="eastAsia" w:ascii="宋体" w:hAnsi="宋体" w:cs="仿宋_GB2312"/>
          <w:color w:val="000000"/>
          <w:sz w:val="24"/>
          <w:highlight w:val="none"/>
        </w:rPr>
        <w:t>：</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607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839C85C">
            <w:pPr>
              <w:spacing w:line="340" w:lineRule="exact"/>
              <w:jc w:val="center"/>
              <w:rPr>
                <w:rFonts w:ascii="宋体" w:hAnsi="宋体"/>
                <w:color w:val="000000"/>
                <w:szCs w:val="21"/>
                <w:highlight w:val="none"/>
              </w:rPr>
            </w:pPr>
            <w:r>
              <w:rPr>
                <w:rFonts w:hint="eastAsia" w:ascii="宋体" w:hAnsi="宋体"/>
                <w:color w:val="000000"/>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79781B3">
            <w:pPr>
              <w:spacing w:line="340" w:lineRule="exact"/>
              <w:jc w:val="center"/>
              <w:rPr>
                <w:rFonts w:ascii="宋体" w:hAnsi="宋体"/>
                <w:color w:val="000000"/>
                <w:szCs w:val="21"/>
                <w:highlight w:val="none"/>
              </w:rPr>
            </w:pPr>
            <w:r>
              <w:rPr>
                <w:rFonts w:hint="eastAsia" w:ascii="宋体" w:hAnsi="宋体"/>
                <w:color w:val="000000"/>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145D349">
            <w:pPr>
              <w:spacing w:line="340" w:lineRule="exact"/>
              <w:jc w:val="center"/>
              <w:rPr>
                <w:rFonts w:ascii="宋体" w:hAnsi="宋体"/>
                <w:color w:val="000000"/>
                <w:szCs w:val="21"/>
                <w:highlight w:val="none"/>
              </w:rPr>
            </w:pPr>
            <w:r>
              <w:rPr>
                <w:rFonts w:hint="eastAsia" w:ascii="宋体" w:hAnsi="宋体"/>
                <w:color w:val="000000"/>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2BF7C24">
            <w:pPr>
              <w:spacing w:line="340" w:lineRule="exact"/>
              <w:jc w:val="center"/>
              <w:rPr>
                <w:rFonts w:ascii="宋体" w:hAnsi="宋体"/>
                <w:color w:val="000000"/>
                <w:szCs w:val="21"/>
                <w:highlight w:val="none"/>
              </w:rPr>
            </w:pPr>
            <w:r>
              <w:rPr>
                <w:rFonts w:hint="eastAsia" w:ascii="宋体" w:hAnsi="宋体"/>
                <w:color w:val="000000"/>
                <w:szCs w:val="21"/>
                <w:highlight w:val="none"/>
              </w:rPr>
              <w:t>偏离说明</w:t>
            </w:r>
          </w:p>
        </w:tc>
      </w:tr>
      <w:tr w14:paraId="75C1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833BDE3">
            <w:pPr>
              <w:spacing w:line="340" w:lineRule="exact"/>
              <w:rPr>
                <w:rFonts w:ascii="宋体" w:hAnsi="宋体"/>
                <w:color w:val="000000"/>
                <w:szCs w:val="21"/>
                <w:highlight w:val="none"/>
              </w:rPr>
            </w:pPr>
            <w:r>
              <w:rPr>
                <w:rFonts w:hint="eastAsia" w:ascii="宋体" w:hAnsi="宋体"/>
                <w:color w:val="000000"/>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E8F7699">
            <w:pPr>
              <w:spacing w:line="340" w:lineRule="exact"/>
              <w:rPr>
                <w:rFonts w:ascii="宋体" w:hAnsi="宋体"/>
                <w:color w:val="000000"/>
                <w:szCs w:val="21"/>
                <w:highlight w:val="none"/>
              </w:rPr>
            </w:pPr>
            <w:r>
              <w:rPr>
                <w:rFonts w:hint="eastAsia" w:ascii="宋体" w:hAnsi="宋体"/>
                <w:color w:val="000000"/>
                <w:szCs w:val="21"/>
                <w:highlight w:val="none"/>
              </w:rPr>
              <w:t>1  ……</w:t>
            </w:r>
          </w:p>
          <w:p w14:paraId="33427905">
            <w:pPr>
              <w:spacing w:line="340" w:lineRule="exact"/>
              <w:rPr>
                <w:rFonts w:ascii="宋体" w:hAnsi="宋体"/>
                <w:color w:val="000000"/>
                <w:szCs w:val="21"/>
                <w:highlight w:val="none"/>
              </w:rPr>
            </w:pPr>
            <w:r>
              <w:rPr>
                <w:rFonts w:hint="eastAsia" w:ascii="宋体" w:hAnsi="宋体"/>
                <w:color w:val="000000"/>
                <w:szCs w:val="21"/>
                <w:highlight w:val="none"/>
              </w:rPr>
              <w:t>2  ……</w:t>
            </w:r>
          </w:p>
          <w:p w14:paraId="5927C275">
            <w:pPr>
              <w:spacing w:line="340" w:lineRule="exact"/>
              <w:rPr>
                <w:rFonts w:ascii="宋体" w:hAnsi="宋体"/>
                <w:color w:val="000000"/>
                <w:szCs w:val="21"/>
                <w:highlight w:val="none"/>
              </w:rPr>
            </w:pPr>
            <w:r>
              <w:rPr>
                <w:rFonts w:hint="eastAsia" w:ascii="宋体" w:hAnsi="宋体"/>
                <w:color w:val="000000"/>
                <w:szCs w:val="21"/>
                <w:highlight w:val="none"/>
              </w:rPr>
              <w:t>3  ……</w:t>
            </w:r>
          </w:p>
          <w:p w14:paraId="05A52463">
            <w:pPr>
              <w:spacing w:line="340" w:lineRule="exact"/>
              <w:rPr>
                <w:rFonts w:ascii="宋体" w:hAnsi="宋体"/>
                <w:color w:val="000000"/>
                <w:szCs w:val="21"/>
                <w:highlight w:val="none"/>
              </w:rPr>
            </w:pPr>
            <w:r>
              <w:rPr>
                <w:rFonts w:hint="eastAsia" w:ascii="宋体" w:hAnsi="宋体"/>
                <w:color w:val="000000"/>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E41FC57">
            <w:pPr>
              <w:spacing w:line="340" w:lineRule="exact"/>
              <w:rPr>
                <w:rFonts w:ascii="宋体" w:hAnsi="宋体"/>
                <w:color w:val="000000"/>
                <w:szCs w:val="21"/>
                <w:highlight w:val="none"/>
              </w:rPr>
            </w:pPr>
            <w:r>
              <w:rPr>
                <w:rFonts w:hint="eastAsia" w:ascii="宋体" w:hAnsi="宋体"/>
                <w:color w:val="000000"/>
                <w:szCs w:val="21"/>
                <w:highlight w:val="none"/>
              </w:rPr>
              <w:t>1  ……</w:t>
            </w:r>
          </w:p>
          <w:p w14:paraId="3A15B50E">
            <w:pPr>
              <w:spacing w:line="340" w:lineRule="exact"/>
              <w:rPr>
                <w:rFonts w:ascii="宋体" w:hAnsi="宋体"/>
                <w:color w:val="000000"/>
                <w:szCs w:val="21"/>
                <w:highlight w:val="none"/>
              </w:rPr>
            </w:pPr>
            <w:r>
              <w:rPr>
                <w:rFonts w:hint="eastAsia" w:ascii="宋体" w:hAnsi="宋体"/>
                <w:color w:val="000000"/>
                <w:szCs w:val="21"/>
                <w:highlight w:val="none"/>
              </w:rPr>
              <w:t>2  ……</w:t>
            </w:r>
          </w:p>
          <w:p w14:paraId="0F354549">
            <w:pPr>
              <w:spacing w:line="340" w:lineRule="exact"/>
              <w:rPr>
                <w:rFonts w:ascii="宋体" w:hAnsi="宋体"/>
                <w:color w:val="000000"/>
                <w:szCs w:val="21"/>
                <w:highlight w:val="none"/>
              </w:rPr>
            </w:pPr>
            <w:r>
              <w:rPr>
                <w:rFonts w:hint="eastAsia" w:ascii="宋体" w:hAnsi="宋体"/>
                <w:color w:val="000000"/>
                <w:szCs w:val="21"/>
                <w:highlight w:val="none"/>
              </w:rPr>
              <w:t>3  ……</w:t>
            </w:r>
          </w:p>
          <w:p w14:paraId="009E365A">
            <w:pPr>
              <w:spacing w:line="340" w:lineRule="exact"/>
              <w:rPr>
                <w:rFonts w:ascii="宋体" w:hAnsi="宋体"/>
                <w:color w:val="000000"/>
                <w:szCs w:val="21"/>
                <w:highlight w:val="none"/>
              </w:rPr>
            </w:pPr>
            <w:r>
              <w:rPr>
                <w:rFonts w:hint="eastAsia" w:ascii="宋体" w:hAnsi="宋体"/>
                <w:color w:val="000000"/>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E221035">
            <w:pPr>
              <w:spacing w:line="360" w:lineRule="atLeast"/>
              <w:rPr>
                <w:rFonts w:ascii="宋体" w:hAnsi="宋体"/>
                <w:color w:val="000000"/>
                <w:sz w:val="22"/>
                <w:szCs w:val="22"/>
                <w:highlight w:val="none"/>
              </w:rPr>
            </w:pPr>
            <w:r>
              <w:rPr>
                <w:rFonts w:hint="eastAsia" w:ascii="宋体" w:hAnsi="宋体"/>
                <w:color w:val="000000"/>
                <w:sz w:val="22"/>
                <w:szCs w:val="22"/>
                <w:highlight w:val="none"/>
              </w:rPr>
              <w:t>正偏离（负偏离或无偏离）</w:t>
            </w:r>
          </w:p>
        </w:tc>
      </w:tr>
      <w:tr w14:paraId="4997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B3EE229">
            <w:pPr>
              <w:spacing w:line="340" w:lineRule="exact"/>
              <w:rPr>
                <w:rFonts w:ascii="宋体" w:hAnsi="宋体"/>
                <w:color w:val="000000"/>
                <w:szCs w:val="21"/>
                <w:highlight w:val="none"/>
              </w:rPr>
            </w:pPr>
            <w:r>
              <w:rPr>
                <w:rFonts w:hint="eastAsia" w:ascii="宋体" w:hAnsi="宋体"/>
                <w:color w:val="000000"/>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033ED04">
            <w:pPr>
              <w:spacing w:line="340" w:lineRule="exact"/>
              <w:rPr>
                <w:rFonts w:ascii="宋体" w:hAnsi="宋体"/>
                <w:color w:val="000000"/>
                <w:szCs w:val="21"/>
                <w:highlight w:val="none"/>
              </w:rPr>
            </w:pPr>
            <w:r>
              <w:rPr>
                <w:rFonts w:hint="eastAsia" w:ascii="宋体" w:hAnsi="宋体"/>
                <w:color w:val="000000"/>
                <w:szCs w:val="21"/>
                <w:highlight w:val="none"/>
              </w:rPr>
              <w:t>1  ……</w:t>
            </w:r>
          </w:p>
          <w:p w14:paraId="3D1DA9B8">
            <w:pPr>
              <w:spacing w:line="340" w:lineRule="exact"/>
              <w:rPr>
                <w:rFonts w:ascii="宋体" w:hAnsi="宋体"/>
                <w:color w:val="000000"/>
                <w:szCs w:val="21"/>
                <w:highlight w:val="none"/>
              </w:rPr>
            </w:pPr>
            <w:r>
              <w:rPr>
                <w:rFonts w:hint="eastAsia" w:ascii="宋体" w:hAnsi="宋体"/>
                <w:color w:val="000000"/>
                <w:szCs w:val="21"/>
                <w:highlight w:val="none"/>
              </w:rPr>
              <w:t>2  ……</w:t>
            </w:r>
          </w:p>
          <w:p w14:paraId="1B70CC47">
            <w:pPr>
              <w:spacing w:line="340" w:lineRule="exact"/>
              <w:rPr>
                <w:rFonts w:ascii="宋体" w:hAnsi="宋体"/>
                <w:color w:val="000000"/>
                <w:szCs w:val="21"/>
                <w:highlight w:val="none"/>
              </w:rPr>
            </w:pPr>
            <w:r>
              <w:rPr>
                <w:rFonts w:hint="eastAsia" w:ascii="宋体" w:hAnsi="宋体"/>
                <w:color w:val="000000"/>
                <w:szCs w:val="21"/>
                <w:highlight w:val="none"/>
              </w:rPr>
              <w:t>3  ……</w:t>
            </w:r>
          </w:p>
          <w:p w14:paraId="1241CF5E">
            <w:pPr>
              <w:spacing w:line="340" w:lineRule="exact"/>
              <w:rPr>
                <w:rFonts w:ascii="宋体" w:hAnsi="宋体"/>
                <w:color w:val="000000"/>
                <w:szCs w:val="21"/>
                <w:highlight w:val="none"/>
              </w:rPr>
            </w:pPr>
            <w:r>
              <w:rPr>
                <w:rFonts w:hint="eastAsia" w:ascii="宋体" w:hAnsi="宋体"/>
                <w:color w:val="000000"/>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FB35910">
            <w:pPr>
              <w:spacing w:line="340" w:lineRule="exact"/>
              <w:rPr>
                <w:rFonts w:ascii="宋体" w:hAnsi="宋体"/>
                <w:color w:val="000000"/>
                <w:szCs w:val="21"/>
                <w:highlight w:val="none"/>
              </w:rPr>
            </w:pPr>
            <w:r>
              <w:rPr>
                <w:rFonts w:hint="eastAsia" w:ascii="宋体" w:hAnsi="宋体"/>
                <w:color w:val="000000"/>
                <w:szCs w:val="21"/>
                <w:highlight w:val="none"/>
              </w:rPr>
              <w:t>1  ……</w:t>
            </w:r>
          </w:p>
          <w:p w14:paraId="50F33E40">
            <w:pPr>
              <w:spacing w:line="340" w:lineRule="exact"/>
              <w:rPr>
                <w:rFonts w:ascii="宋体" w:hAnsi="宋体"/>
                <w:color w:val="000000"/>
                <w:szCs w:val="21"/>
                <w:highlight w:val="none"/>
              </w:rPr>
            </w:pPr>
            <w:r>
              <w:rPr>
                <w:rFonts w:hint="eastAsia" w:ascii="宋体" w:hAnsi="宋体"/>
                <w:color w:val="000000"/>
                <w:szCs w:val="21"/>
                <w:highlight w:val="none"/>
              </w:rPr>
              <w:t>2  ……</w:t>
            </w:r>
          </w:p>
          <w:p w14:paraId="1494904B">
            <w:pPr>
              <w:spacing w:line="340" w:lineRule="exact"/>
              <w:rPr>
                <w:rFonts w:ascii="宋体" w:hAnsi="宋体"/>
                <w:color w:val="000000"/>
                <w:szCs w:val="21"/>
                <w:highlight w:val="none"/>
              </w:rPr>
            </w:pPr>
            <w:r>
              <w:rPr>
                <w:rFonts w:hint="eastAsia" w:ascii="宋体" w:hAnsi="宋体"/>
                <w:color w:val="000000"/>
                <w:szCs w:val="21"/>
                <w:highlight w:val="none"/>
              </w:rPr>
              <w:t>3  ……</w:t>
            </w:r>
          </w:p>
          <w:p w14:paraId="7D201304">
            <w:pPr>
              <w:spacing w:line="340" w:lineRule="exact"/>
              <w:rPr>
                <w:rFonts w:ascii="宋体" w:hAnsi="宋体"/>
                <w:color w:val="000000"/>
                <w:szCs w:val="21"/>
                <w:highlight w:val="none"/>
              </w:rPr>
            </w:pPr>
            <w:r>
              <w:rPr>
                <w:rFonts w:hint="eastAsia" w:ascii="宋体" w:hAnsi="宋体"/>
                <w:color w:val="000000"/>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6BC363C">
            <w:pPr>
              <w:spacing w:line="360" w:lineRule="atLeast"/>
              <w:rPr>
                <w:rFonts w:ascii="宋体" w:hAnsi="宋体"/>
                <w:color w:val="000000"/>
                <w:sz w:val="22"/>
                <w:szCs w:val="22"/>
                <w:highlight w:val="none"/>
              </w:rPr>
            </w:pPr>
            <w:r>
              <w:rPr>
                <w:rFonts w:hint="eastAsia" w:ascii="宋体" w:hAnsi="宋体"/>
                <w:color w:val="000000"/>
                <w:sz w:val="22"/>
                <w:szCs w:val="22"/>
                <w:highlight w:val="none"/>
              </w:rPr>
              <w:t>正偏离（负偏离或无偏离）</w:t>
            </w:r>
          </w:p>
        </w:tc>
      </w:tr>
      <w:tr w14:paraId="43D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785AF5F">
            <w:pPr>
              <w:spacing w:line="340" w:lineRule="exact"/>
              <w:rPr>
                <w:rFonts w:ascii="宋体" w:hAnsi="宋体"/>
                <w:color w:val="000000"/>
                <w:szCs w:val="21"/>
                <w:highlight w:val="none"/>
              </w:rPr>
            </w:pPr>
            <w:r>
              <w:rPr>
                <w:rFonts w:hint="eastAsia" w:ascii="宋体" w:hAnsi="宋体"/>
                <w:color w:val="000000"/>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CC95AC3">
            <w:pPr>
              <w:spacing w:line="340" w:lineRule="exact"/>
              <w:rPr>
                <w:rFonts w:ascii="宋体" w:hAnsi="宋体"/>
                <w:color w:val="000000"/>
                <w:szCs w:val="21"/>
                <w:highlight w:val="none"/>
              </w:rPr>
            </w:pPr>
            <w:r>
              <w:rPr>
                <w:rFonts w:hint="eastAsia" w:ascii="宋体" w:hAnsi="宋体"/>
                <w:color w:val="000000"/>
                <w:szCs w:val="21"/>
                <w:highlight w:val="none"/>
              </w:rPr>
              <w:t>1  ……</w:t>
            </w:r>
          </w:p>
          <w:p w14:paraId="10B13E95">
            <w:pPr>
              <w:spacing w:line="340" w:lineRule="exact"/>
              <w:rPr>
                <w:rFonts w:ascii="宋体" w:hAnsi="宋体"/>
                <w:color w:val="000000"/>
                <w:szCs w:val="21"/>
                <w:highlight w:val="none"/>
              </w:rPr>
            </w:pPr>
            <w:r>
              <w:rPr>
                <w:rFonts w:hint="eastAsia" w:ascii="宋体" w:hAnsi="宋体"/>
                <w:color w:val="000000"/>
                <w:szCs w:val="21"/>
                <w:highlight w:val="none"/>
              </w:rPr>
              <w:t>2  ……</w:t>
            </w:r>
          </w:p>
          <w:p w14:paraId="269FB979">
            <w:pPr>
              <w:spacing w:line="340" w:lineRule="exact"/>
              <w:rPr>
                <w:rFonts w:ascii="宋体" w:hAnsi="宋体"/>
                <w:color w:val="000000"/>
                <w:szCs w:val="21"/>
                <w:highlight w:val="none"/>
              </w:rPr>
            </w:pPr>
            <w:r>
              <w:rPr>
                <w:rFonts w:hint="eastAsia" w:ascii="宋体" w:hAnsi="宋体"/>
                <w:color w:val="000000"/>
                <w:szCs w:val="21"/>
                <w:highlight w:val="none"/>
              </w:rPr>
              <w:t>3  ……</w:t>
            </w:r>
          </w:p>
          <w:p w14:paraId="41C00E39">
            <w:pPr>
              <w:spacing w:line="340" w:lineRule="exact"/>
              <w:rPr>
                <w:rFonts w:ascii="宋体" w:hAnsi="宋体"/>
                <w:color w:val="000000"/>
                <w:szCs w:val="21"/>
                <w:highlight w:val="none"/>
              </w:rPr>
            </w:pPr>
            <w:r>
              <w:rPr>
                <w:rFonts w:hint="eastAsia" w:ascii="宋体" w:hAnsi="宋体"/>
                <w:color w:val="000000"/>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F75B644">
            <w:pPr>
              <w:spacing w:line="340" w:lineRule="exact"/>
              <w:rPr>
                <w:rFonts w:ascii="宋体" w:hAnsi="宋体"/>
                <w:color w:val="000000"/>
                <w:szCs w:val="21"/>
                <w:highlight w:val="none"/>
              </w:rPr>
            </w:pPr>
            <w:r>
              <w:rPr>
                <w:rFonts w:hint="eastAsia" w:ascii="宋体" w:hAnsi="宋体"/>
                <w:color w:val="000000"/>
                <w:szCs w:val="21"/>
                <w:highlight w:val="none"/>
              </w:rPr>
              <w:t>1  ……</w:t>
            </w:r>
          </w:p>
          <w:p w14:paraId="19161B3D">
            <w:pPr>
              <w:spacing w:line="340" w:lineRule="exact"/>
              <w:rPr>
                <w:rFonts w:ascii="宋体" w:hAnsi="宋体"/>
                <w:color w:val="000000"/>
                <w:szCs w:val="21"/>
                <w:highlight w:val="none"/>
              </w:rPr>
            </w:pPr>
            <w:r>
              <w:rPr>
                <w:rFonts w:hint="eastAsia" w:ascii="宋体" w:hAnsi="宋体"/>
                <w:color w:val="000000"/>
                <w:szCs w:val="21"/>
                <w:highlight w:val="none"/>
              </w:rPr>
              <w:t>2  ……</w:t>
            </w:r>
          </w:p>
          <w:p w14:paraId="4AA1B594">
            <w:pPr>
              <w:spacing w:line="340" w:lineRule="exact"/>
              <w:rPr>
                <w:rFonts w:ascii="宋体" w:hAnsi="宋体"/>
                <w:color w:val="000000"/>
                <w:szCs w:val="21"/>
                <w:highlight w:val="none"/>
              </w:rPr>
            </w:pPr>
            <w:r>
              <w:rPr>
                <w:rFonts w:hint="eastAsia" w:ascii="宋体" w:hAnsi="宋体"/>
                <w:color w:val="000000"/>
                <w:szCs w:val="21"/>
                <w:highlight w:val="none"/>
              </w:rPr>
              <w:t>3  ……</w:t>
            </w:r>
          </w:p>
          <w:p w14:paraId="6BEEDED1">
            <w:pPr>
              <w:spacing w:line="340" w:lineRule="exact"/>
              <w:rPr>
                <w:rFonts w:ascii="宋体" w:hAnsi="宋体"/>
                <w:color w:val="000000"/>
                <w:szCs w:val="21"/>
                <w:highlight w:val="none"/>
              </w:rPr>
            </w:pPr>
            <w:r>
              <w:rPr>
                <w:rFonts w:hint="eastAsia" w:ascii="宋体" w:hAnsi="宋体"/>
                <w:color w:val="000000"/>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DF27569">
            <w:pPr>
              <w:spacing w:line="360" w:lineRule="atLeast"/>
              <w:rPr>
                <w:rFonts w:ascii="宋体" w:hAnsi="宋体"/>
                <w:color w:val="000000"/>
                <w:sz w:val="22"/>
                <w:szCs w:val="22"/>
                <w:highlight w:val="none"/>
              </w:rPr>
            </w:pPr>
            <w:r>
              <w:rPr>
                <w:rFonts w:hint="eastAsia" w:ascii="宋体" w:hAnsi="宋体"/>
                <w:color w:val="000000"/>
                <w:sz w:val="22"/>
                <w:szCs w:val="22"/>
                <w:highlight w:val="none"/>
              </w:rPr>
              <w:t>正偏离（负偏离或无偏离）</w:t>
            </w:r>
          </w:p>
        </w:tc>
      </w:tr>
    </w:tbl>
    <w:p w14:paraId="5A003E7D">
      <w:pPr>
        <w:spacing w:line="400" w:lineRule="exact"/>
        <w:contextualSpacing/>
        <w:rPr>
          <w:rFonts w:ascii="宋体" w:hAnsi="宋体" w:cs="仿宋_GB2312"/>
          <w:color w:val="000000"/>
          <w:kern w:val="0"/>
          <w:szCs w:val="21"/>
          <w:highlight w:val="none"/>
        </w:rPr>
      </w:pPr>
      <w:r>
        <w:rPr>
          <w:rFonts w:hint="eastAsia" w:ascii="宋体" w:hAnsi="宋体" w:cs="仿宋_GB2312"/>
          <w:color w:val="000000"/>
          <w:kern w:val="0"/>
          <w:szCs w:val="21"/>
          <w:highlight w:val="none"/>
        </w:rPr>
        <w:t>注：</w:t>
      </w:r>
    </w:p>
    <w:p w14:paraId="0E35AB42">
      <w:pPr>
        <w:spacing w:line="400" w:lineRule="exact"/>
        <w:contextualSpacing/>
        <w:rPr>
          <w:rFonts w:ascii="宋体" w:hAnsi="宋体" w:cs="仿宋_GB2312"/>
          <w:color w:val="000000"/>
          <w:kern w:val="0"/>
          <w:szCs w:val="21"/>
          <w:highlight w:val="none"/>
        </w:rPr>
      </w:pPr>
      <w:r>
        <w:rPr>
          <w:rFonts w:hint="eastAsia" w:ascii="宋体" w:hAnsi="宋体" w:cs="仿宋_GB2312"/>
          <w:color w:val="000000"/>
          <w:kern w:val="0"/>
          <w:szCs w:val="21"/>
          <w:highlight w:val="none"/>
        </w:rPr>
        <w:t>1.说明：应对照磋商文件“第二章 采购需求”中的商务条款逐条作出明确响应，并作出偏离说明。</w:t>
      </w:r>
    </w:p>
    <w:p w14:paraId="489DA0DF">
      <w:pPr>
        <w:spacing w:line="400" w:lineRule="exact"/>
        <w:contextualSpacing/>
        <w:rPr>
          <w:rFonts w:hint="eastAsia" w:ascii="宋体" w:hAnsi="宋体" w:eastAsia="宋体" w:cs="仿宋_GB2312"/>
          <w:color w:val="000000"/>
          <w:kern w:val="0"/>
          <w:szCs w:val="21"/>
          <w:highlight w:val="none"/>
          <w:lang w:eastAsia="zh-CN"/>
        </w:rPr>
      </w:pPr>
      <w:r>
        <w:rPr>
          <w:rFonts w:hint="eastAsia" w:ascii="宋体" w:hAnsi="宋体" w:cs="仿宋_GB2312"/>
          <w:color w:val="000000"/>
          <w:kern w:val="0"/>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r>
        <w:rPr>
          <w:rFonts w:hint="eastAsia" w:ascii="宋体" w:hAnsi="宋体" w:cs="仿宋_GB2312"/>
          <w:color w:val="000000"/>
          <w:kern w:val="0"/>
          <w:szCs w:val="21"/>
          <w:highlight w:val="none"/>
          <w:lang w:eastAsia="zh-CN"/>
        </w:rPr>
        <w:t>。</w:t>
      </w:r>
    </w:p>
    <w:p w14:paraId="1608E8FC">
      <w:pPr>
        <w:spacing w:line="400" w:lineRule="exact"/>
        <w:rPr>
          <w:rFonts w:ascii="宋体" w:hAnsi="宋体" w:cs="仿宋_GB2312"/>
          <w:color w:val="000000"/>
          <w:kern w:val="0"/>
          <w:szCs w:val="21"/>
          <w:highlight w:val="none"/>
        </w:rPr>
      </w:pPr>
      <w:r>
        <w:rPr>
          <w:rFonts w:hint="eastAsia" w:ascii="宋体" w:hAnsi="宋体" w:cs="仿宋_GB2312"/>
          <w:color w:val="000000"/>
          <w:kern w:val="0"/>
          <w:szCs w:val="21"/>
          <w:highlight w:val="none"/>
        </w:rPr>
        <w:t>3</w:t>
      </w:r>
      <w:r>
        <w:rPr>
          <w:rFonts w:ascii="宋体" w:hAnsi="宋体" w:cs="仿宋_GB2312"/>
          <w:color w:val="000000"/>
          <w:kern w:val="0"/>
          <w:szCs w:val="21"/>
          <w:highlight w:val="none"/>
        </w:rPr>
        <w:t>.</w:t>
      </w:r>
      <w:r>
        <w:rPr>
          <w:rFonts w:hint="eastAsia" w:ascii="宋体" w:hAnsi="宋体" w:cs="仿宋_GB2312"/>
          <w:color w:val="000000"/>
          <w:kern w:val="0"/>
          <w:szCs w:val="21"/>
          <w:highlight w:val="none"/>
        </w:rPr>
        <w:t>表格内容均需按要求填写，不得留空，否则按竞标无效处理。</w:t>
      </w:r>
    </w:p>
    <w:p w14:paraId="3AA76DD4">
      <w:pPr>
        <w:spacing w:line="400" w:lineRule="exact"/>
        <w:contextualSpacing/>
        <w:rPr>
          <w:rFonts w:ascii="宋体" w:hAnsi="宋体" w:cs="仿宋_GB2312"/>
          <w:color w:val="000000"/>
          <w:kern w:val="0"/>
          <w:szCs w:val="21"/>
          <w:highlight w:val="none"/>
        </w:rPr>
      </w:pPr>
    </w:p>
    <w:p w14:paraId="1F9D1DF4">
      <w:pPr>
        <w:spacing w:line="360" w:lineRule="auto"/>
        <w:ind w:firstLine="3840" w:firstLineChars="1600"/>
        <w:rPr>
          <w:rFonts w:hint="eastAsia" w:ascii="宋体" w:hAnsi="宋体" w:cs="仿宋_GB2312"/>
          <w:color w:val="000000"/>
          <w:kern w:val="0"/>
          <w:sz w:val="24"/>
          <w:highlight w:val="none"/>
        </w:rPr>
      </w:pPr>
    </w:p>
    <w:p w14:paraId="76C16CBC">
      <w:pPr>
        <w:spacing w:line="360" w:lineRule="auto"/>
        <w:ind w:firstLine="3840" w:firstLineChars="1600"/>
        <w:rPr>
          <w:rFonts w:hint="eastAsia" w:ascii="宋体" w:hAnsi="宋体" w:cs="仿宋_GB2312"/>
          <w:color w:val="000000"/>
          <w:kern w:val="0"/>
          <w:sz w:val="24"/>
          <w:highlight w:val="none"/>
        </w:rPr>
      </w:pPr>
    </w:p>
    <w:p w14:paraId="2A868EE4">
      <w:pPr>
        <w:spacing w:line="360" w:lineRule="auto"/>
        <w:ind w:firstLine="3840" w:firstLineChars="1600"/>
        <w:rPr>
          <w:rFonts w:ascii="宋体" w:hAnsi="宋体" w:cs="仿宋_GB2312"/>
          <w:color w:val="000000"/>
          <w:sz w:val="24"/>
          <w:highlight w:val="none"/>
        </w:rPr>
      </w:pPr>
      <w:r>
        <w:rPr>
          <w:rFonts w:hint="eastAsia" w:ascii="宋体" w:hAnsi="宋体" w:cs="仿宋_GB2312"/>
          <w:color w:val="000000"/>
          <w:kern w:val="0"/>
          <w:sz w:val="24"/>
          <w:highlight w:val="none"/>
        </w:rPr>
        <w:t>供应商名称（电子签章）：</w:t>
      </w:r>
    </w:p>
    <w:p w14:paraId="4BD595C0">
      <w:pPr>
        <w:spacing w:line="360" w:lineRule="auto"/>
        <w:contextualSpacing/>
        <w:jc w:val="center"/>
        <w:rPr>
          <w:rFonts w:ascii="宋体" w:hAnsi="宋体" w:cs="仿宋_GB2312"/>
          <w:color w:val="000000"/>
          <w:kern w:val="0"/>
          <w:sz w:val="24"/>
          <w:highlight w:val="none"/>
          <w:lang w:val="zh-CN"/>
        </w:rPr>
      </w:pPr>
      <w:r>
        <w:rPr>
          <w:rFonts w:hint="eastAsia" w:ascii="宋体" w:hAnsi="宋体" w:cs="仿宋_GB2312"/>
          <w:color w:val="000000"/>
          <w:kern w:val="0"/>
          <w:sz w:val="24"/>
          <w:highlight w:val="none"/>
          <w:lang w:val="zh-CN"/>
        </w:rPr>
        <w:t xml:space="preserve">                                                   日期：  年  月   日</w:t>
      </w:r>
    </w:p>
    <w:p w14:paraId="2528EC42">
      <w:pPr>
        <w:spacing w:line="360" w:lineRule="auto"/>
        <w:contextualSpacing/>
        <w:jc w:val="center"/>
        <w:rPr>
          <w:rFonts w:ascii="宋体" w:hAnsi="宋体" w:cs="仿宋_GB2312"/>
          <w:b/>
          <w:color w:val="000000"/>
          <w:sz w:val="24"/>
          <w:highlight w:val="none"/>
        </w:rPr>
      </w:pPr>
    </w:p>
    <w:p w14:paraId="25A43C10">
      <w:pPr>
        <w:pStyle w:val="9"/>
        <w:rPr>
          <w:color w:val="000000"/>
          <w:highlight w:val="none"/>
        </w:rPr>
      </w:pPr>
    </w:p>
    <w:p w14:paraId="3C93CAD7">
      <w:pPr>
        <w:spacing w:before="41" w:line="364" w:lineRule="auto"/>
        <w:ind w:left="298" w:right="310"/>
        <w:jc w:val="center"/>
        <w:outlineLvl w:val="0"/>
        <w:rPr>
          <w:b/>
          <w:color w:val="auto"/>
          <w:spacing w:val="-11"/>
          <w:w w:val="95"/>
          <w:sz w:val="32"/>
        </w:rPr>
      </w:pPr>
      <w:r>
        <w:rPr>
          <w:rFonts w:hint="eastAsia" w:ascii="宋体" w:hAnsi="宋体" w:cs="仿宋_GB2312"/>
          <w:b/>
          <w:color w:val="000000"/>
          <w:sz w:val="30"/>
          <w:szCs w:val="30"/>
          <w:highlight w:val="none"/>
          <w:lang w:val="en-US" w:eastAsia="zh-CN"/>
        </w:rPr>
        <w:br w:type="page"/>
      </w:r>
      <w:r>
        <w:rPr>
          <w:rFonts w:hint="eastAsia"/>
          <w:b/>
          <w:color w:val="auto"/>
          <w:spacing w:val="-11"/>
          <w:w w:val="95"/>
          <w:sz w:val="32"/>
        </w:rPr>
        <w:t>供应商</w:t>
      </w:r>
      <w:r>
        <w:rPr>
          <w:b/>
          <w:color w:val="auto"/>
          <w:spacing w:val="-11"/>
          <w:w w:val="95"/>
          <w:sz w:val="32"/>
        </w:rPr>
        <w:t>基本情况表</w:t>
      </w:r>
    </w:p>
    <w:tbl>
      <w:tblPr>
        <w:tblStyle w:val="2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076C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41AACA8">
            <w:pPr>
              <w:pStyle w:val="29"/>
              <w:jc w:val="center"/>
              <w:rPr>
                <w:color w:val="auto"/>
                <w:szCs w:val="21"/>
              </w:rPr>
            </w:pPr>
            <w:r>
              <w:rPr>
                <w:rFonts w:hint="eastAsia"/>
                <w:color w:val="auto"/>
                <w:szCs w:val="21"/>
              </w:rPr>
              <w:t>申请人</w:t>
            </w:r>
            <w:r>
              <w:rPr>
                <w:color w:val="auto"/>
                <w:szCs w:val="21"/>
              </w:rPr>
              <w:t>名称</w:t>
            </w:r>
          </w:p>
        </w:tc>
        <w:tc>
          <w:tcPr>
            <w:tcW w:w="7341" w:type="dxa"/>
            <w:gridSpan w:val="8"/>
            <w:noWrap w:val="0"/>
            <w:vAlign w:val="center"/>
          </w:tcPr>
          <w:p w14:paraId="10F7BCAC">
            <w:pPr>
              <w:pStyle w:val="29"/>
              <w:jc w:val="center"/>
              <w:rPr>
                <w:color w:val="auto"/>
                <w:szCs w:val="21"/>
              </w:rPr>
            </w:pPr>
          </w:p>
        </w:tc>
      </w:tr>
      <w:tr w14:paraId="5874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26B8057">
            <w:pPr>
              <w:pStyle w:val="29"/>
              <w:jc w:val="center"/>
              <w:rPr>
                <w:color w:val="auto"/>
                <w:szCs w:val="21"/>
              </w:rPr>
            </w:pPr>
            <w:r>
              <w:rPr>
                <w:color w:val="auto"/>
                <w:szCs w:val="21"/>
              </w:rPr>
              <w:t>注册地址</w:t>
            </w:r>
          </w:p>
        </w:tc>
        <w:tc>
          <w:tcPr>
            <w:tcW w:w="3389" w:type="dxa"/>
            <w:gridSpan w:val="4"/>
            <w:noWrap w:val="0"/>
            <w:vAlign w:val="center"/>
          </w:tcPr>
          <w:p w14:paraId="77BA1460">
            <w:pPr>
              <w:pStyle w:val="29"/>
              <w:jc w:val="center"/>
              <w:rPr>
                <w:color w:val="auto"/>
                <w:szCs w:val="21"/>
              </w:rPr>
            </w:pPr>
          </w:p>
        </w:tc>
        <w:tc>
          <w:tcPr>
            <w:tcW w:w="1246" w:type="dxa"/>
            <w:noWrap w:val="0"/>
            <w:vAlign w:val="center"/>
          </w:tcPr>
          <w:p w14:paraId="61DDCD88">
            <w:pPr>
              <w:pStyle w:val="29"/>
              <w:jc w:val="center"/>
              <w:rPr>
                <w:color w:val="auto"/>
                <w:szCs w:val="21"/>
              </w:rPr>
            </w:pPr>
            <w:r>
              <w:rPr>
                <w:color w:val="auto"/>
                <w:szCs w:val="21"/>
              </w:rPr>
              <w:t>邮政编码</w:t>
            </w:r>
          </w:p>
        </w:tc>
        <w:tc>
          <w:tcPr>
            <w:tcW w:w="2706" w:type="dxa"/>
            <w:gridSpan w:val="3"/>
            <w:noWrap w:val="0"/>
            <w:vAlign w:val="center"/>
          </w:tcPr>
          <w:p w14:paraId="6F3627B3">
            <w:pPr>
              <w:pStyle w:val="29"/>
              <w:jc w:val="center"/>
              <w:rPr>
                <w:color w:val="auto"/>
                <w:szCs w:val="21"/>
              </w:rPr>
            </w:pPr>
          </w:p>
        </w:tc>
      </w:tr>
      <w:tr w14:paraId="1931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5458DADE">
            <w:pPr>
              <w:pStyle w:val="29"/>
              <w:jc w:val="center"/>
              <w:rPr>
                <w:color w:val="auto"/>
                <w:szCs w:val="21"/>
              </w:rPr>
            </w:pPr>
            <w:r>
              <w:rPr>
                <w:color w:val="auto"/>
                <w:szCs w:val="21"/>
              </w:rPr>
              <w:t>联系方式</w:t>
            </w:r>
          </w:p>
        </w:tc>
        <w:tc>
          <w:tcPr>
            <w:tcW w:w="897" w:type="dxa"/>
            <w:noWrap w:val="0"/>
            <w:vAlign w:val="center"/>
          </w:tcPr>
          <w:p w14:paraId="43A73E0F">
            <w:pPr>
              <w:pStyle w:val="29"/>
              <w:jc w:val="center"/>
              <w:rPr>
                <w:color w:val="auto"/>
                <w:szCs w:val="21"/>
              </w:rPr>
            </w:pPr>
            <w:r>
              <w:rPr>
                <w:color w:val="auto"/>
                <w:szCs w:val="21"/>
              </w:rPr>
              <w:t>联系人</w:t>
            </w:r>
          </w:p>
        </w:tc>
        <w:tc>
          <w:tcPr>
            <w:tcW w:w="2492" w:type="dxa"/>
            <w:gridSpan w:val="3"/>
            <w:noWrap w:val="0"/>
            <w:vAlign w:val="center"/>
          </w:tcPr>
          <w:p w14:paraId="349E411F">
            <w:pPr>
              <w:pStyle w:val="29"/>
              <w:jc w:val="center"/>
              <w:rPr>
                <w:color w:val="auto"/>
                <w:szCs w:val="21"/>
              </w:rPr>
            </w:pPr>
          </w:p>
        </w:tc>
        <w:tc>
          <w:tcPr>
            <w:tcW w:w="1246" w:type="dxa"/>
            <w:noWrap w:val="0"/>
            <w:vAlign w:val="center"/>
          </w:tcPr>
          <w:p w14:paraId="77F3EEDB">
            <w:pPr>
              <w:pStyle w:val="29"/>
              <w:jc w:val="center"/>
              <w:rPr>
                <w:color w:val="auto"/>
                <w:szCs w:val="21"/>
              </w:rPr>
            </w:pPr>
            <w:r>
              <w:rPr>
                <w:color w:val="auto"/>
                <w:szCs w:val="21"/>
              </w:rPr>
              <w:t>电话</w:t>
            </w:r>
          </w:p>
        </w:tc>
        <w:tc>
          <w:tcPr>
            <w:tcW w:w="2706" w:type="dxa"/>
            <w:gridSpan w:val="3"/>
            <w:noWrap w:val="0"/>
            <w:vAlign w:val="center"/>
          </w:tcPr>
          <w:p w14:paraId="024F71A0">
            <w:pPr>
              <w:pStyle w:val="29"/>
              <w:jc w:val="center"/>
              <w:rPr>
                <w:color w:val="auto"/>
                <w:szCs w:val="21"/>
              </w:rPr>
            </w:pPr>
          </w:p>
        </w:tc>
      </w:tr>
      <w:tr w14:paraId="7663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29397570">
            <w:pPr>
              <w:pStyle w:val="29"/>
              <w:jc w:val="center"/>
              <w:rPr>
                <w:color w:val="auto"/>
                <w:szCs w:val="21"/>
              </w:rPr>
            </w:pPr>
          </w:p>
        </w:tc>
        <w:tc>
          <w:tcPr>
            <w:tcW w:w="897" w:type="dxa"/>
            <w:noWrap w:val="0"/>
            <w:vAlign w:val="center"/>
          </w:tcPr>
          <w:p w14:paraId="00AFE6EE">
            <w:pPr>
              <w:pStyle w:val="29"/>
              <w:jc w:val="center"/>
              <w:rPr>
                <w:color w:val="auto"/>
                <w:szCs w:val="21"/>
              </w:rPr>
            </w:pPr>
            <w:r>
              <w:rPr>
                <w:color w:val="auto"/>
                <w:szCs w:val="21"/>
              </w:rPr>
              <w:t>传真</w:t>
            </w:r>
          </w:p>
        </w:tc>
        <w:tc>
          <w:tcPr>
            <w:tcW w:w="2492" w:type="dxa"/>
            <w:gridSpan w:val="3"/>
            <w:noWrap w:val="0"/>
            <w:vAlign w:val="center"/>
          </w:tcPr>
          <w:p w14:paraId="420D5D51">
            <w:pPr>
              <w:pStyle w:val="29"/>
              <w:jc w:val="center"/>
              <w:rPr>
                <w:color w:val="auto"/>
                <w:szCs w:val="21"/>
              </w:rPr>
            </w:pPr>
          </w:p>
        </w:tc>
        <w:tc>
          <w:tcPr>
            <w:tcW w:w="1246" w:type="dxa"/>
            <w:noWrap w:val="0"/>
            <w:vAlign w:val="center"/>
          </w:tcPr>
          <w:p w14:paraId="20CF9BD3">
            <w:pPr>
              <w:pStyle w:val="29"/>
              <w:jc w:val="center"/>
              <w:rPr>
                <w:color w:val="auto"/>
                <w:szCs w:val="21"/>
              </w:rPr>
            </w:pPr>
            <w:r>
              <w:rPr>
                <w:color w:val="auto"/>
                <w:szCs w:val="21"/>
              </w:rPr>
              <w:t>网址</w:t>
            </w:r>
          </w:p>
        </w:tc>
        <w:tc>
          <w:tcPr>
            <w:tcW w:w="2706" w:type="dxa"/>
            <w:gridSpan w:val="3"/>
            <w:noWrap w:val="0"/>
            <w:vAlign w:val="center"/>
          </w:tcPr>
          <w:p w14:paraId="49C079DE">
            <w:pPr>
              <w:pStyle w:val="29"/>
              <w:jc w:val="center"/>
              <w:rPr>
                <w:color w:val="auto"/>
                <w:szCs w:val="21"/>
              </w:rPr>
            </w:pPr>
          </w:p>
        </w:tc>
      </w:tr>
      <w:tr w14:paraId="31A9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578C145">
            <w:pPr>
              <w:pStyle w:val="29"/>
              <w:jc w:val="center"/>
              <w:rPr>
                <w:color w:val="auto"/>
                <w:szCs w:val="21"/>
              </w:rPr>
            </w:pPr>
            <w:r>
              <w:rPr>
                <w:rFonts w:hint="eastAsia"/>
                <w:color w:val="auto"/>
                <w:szCs w:val="21"/>
              </w:rPr>
              <w:t>统一社会信用</w:t>
            </w:r>
            <w:r>
              <w:rPr>
                <w:color w:val="auto"/>
                <w:szCs w:val="21"/>
              </w:rPr>
              <w:t>代码</w:t>
            </w:r>
          </w:p>
        </w:tc>
        <w:tc>
          <w:tcPr>
            <w:tcW w:w="7341" w:type="dxa"/>
            <w:gridSpan w:val="8"/>
            <w:noWrap w:val="0"/>
            <w:vAlign w:val="center"/>
          </w:tcPr>
          <w:p w14:paraId="24C7D619">
            <w:pPr>
              <w:pStyle w:val="29"/>
              <w:jc w:val="center"/>
              <w:rPr>
                <w:color w:val="auto"/>
                <w:szCs w:val="21"/>
              </w:rPr>
            </w:pPr>
          </w:p>
        </w:tc>
      </w:tr>
      <w:tr w14:paraId="6689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0D8E69A">
            <w:pPr>
              <w:pStyle w:val="29"/>
              <w:jc w:val="center"/>
              <w:rPr>
                <w:color w:val="auto"/>
                <w:szCs w:val="21"/>
              </w:rPr>
            </w:pPr>
            <w:r>
              <w:rPr>
                <w:color w:val="auto"/>
                <w:szCs w:val="21"/>
              </w:rPr>
              <w:t>法定代表人</w:t>
            </w:r>
          </w:p>
        </w:tc>
        <w:tc>
          <w:tcPr>
            <w:tcW w:w="897" w:type="dxa"/>
            <w:noWrap w:val="0"/>
            <w:vAlign w:val="center"/>
          </w:tcPr>
          <w:p w14:paraId="0DACD5E7">
            <w:pPr>
              <w:pStyle w:val="29"/>
              <w:jc w:val="center"/>
              <w:rPr>
                <w:color w:val="auto"/>
                <w:szCs w:val="21"/>
              </w:rPr>
            </w:pPr>
            <w:r>
              <w:rPr>
                <w:color w:val="auto"/>
                <w:szCs w:val="21"/>
              </w:rPr>
              <w:t>姓名</w:t>
            </w:r>
          </w:p>
        </w:tc>
        <w:tc>
          <w:tcPr>
            <w:tcW w:w="1021" w:type="dxa"/>
            <w:noWrap w:val="0"/>
            <w:vAlign w:val="center"/>
          </w:tcPr>
          <w:p w14:paraId="217BAE50">
            <w:pPr>
              <w:pStyle w:val="29"/>
              <w:jc w:val="center"/>
              <w:rPr>
                <w:color w:val="auto"/>
                <w:szCs w:val="21"/>
              </w:rPr>
            </w:pPr>
          </w:p>
        </w:tc>
        <w:tc>
          <w:tcPr>
            <w:tcW w:w="1160" w:type="dxa"/>
            <w:noWrap w:val="0"/>
            <w:vAlign w:val="center"/>
          </w:tcPr>
          <w:p w14:paraId="520399BA">
            <w:pPr>
              <w:pStyle w:val="29"/>
              <w:jc w:val="center"/>
              <w:rPr>
                <w:color w:val="auto"/>
                <w:szCs w:val="21"/>
              </w:rPr>
            </w:pPr>
            <w:r>
              <w:rPr>
                <w:color w:val="auto"/>
                <w:szCs w:val="21"/>
              </w:rPr>
              <w:t>技术职称</w:t>
            </w:r>
          </w:p>
        </w:tc>
        <w:tc>
          <w:tcPr>
            <w:tcW w:w="1620" w:type="dxa"/>
            <w:gridSpan w:val="3"/>
            <w:noWrap w:val="0"/>
            <w:vAlign w:val="center"/>
          </w:tcPr>
          <w:p w14:paraId="5145B70F">
            <w:pPr>
              <w:pStyle w:val="29"/>
              <w:jc w:val="center"/>
              <w:rPr>
                <w:color w:val="auto"/>
                <w:szCs w:val="21"/>
              </w:rPr>
            </w:pPr>
          </w:p>
        </w:tc>
        <w:tc>
          <w:tcPr>
            <w:tcW w:w="720" w:type="dxa"/>
            <w:noWrap w:val="0"/>
            <w:vAlign w:val="center"/>
          </w:tcPr>
          <w:p w14:paraId="6B1C434C">
            <w:pPr>
              <w:pStyle w:val="29"/>
              <w:jc w:val="center"/>
              <w:rPr>
                <w:color w:val="auto"/>
                <w:szCs w:val="21"/>
              </w:rPr>
            </w:pPr>
            <w:r>
              <w:rPr>
                <w:color w:val="auto"/>
                <w:szCs w:val="21"/>
              </w:rPr>
              <w:t>电话</w:t>
            </w:r>
          </w:p>
        </w:tc>
        <w:tc>
          <w:tcPr>
            <w:tcW w:w="1923" w:type="dxa"/>
            <w:noWrap w:val="0"/>
            <w:vAlign w:val="center"/>
          </w:tcPr>
          <w:p w14:paraId="47C02AFB">
            <w:pPr>
              <w:pStyle w:val="29"/>
              <w:jc w:val="center"/>
              <w:rPr>
                <w:color w:val="auto"/>
                <w:szCs w:val="21"/>
              </w:rPr>
            </w:pPr>
          </w:p>
        </w:tc>
      </w:tr>
      <w:tr w14:paraId="3C6E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A38F2CE">
            <w:pPr>
              <w:pStyle w:val="29"/>
              <w:jc w:val="center"/>
              <w:rPr>
                <w:rFonts w:hint="eastAsia" w:eastAsia="宋体"/>
                <w:color w:val="auto"/>
                <w:szCs w:val="21"/>
                <w:lang w:eastAsia="zh-CN"/>
              </w:rPr>
            </w:pPr>
            <w:r>
              <w:rPr>
                <w:color w:val="auto"/>
                <w:szCs w:val="21"/>
              </w:rPr>
              <w:t>技术负责人</w:t>
            </w:r>
            <w:r>
              <w:rPr>
                <w:rFonts w:hint="eastAsia"/>
                <w:color w:val="auto"/>
                <w:szCs w:val="21"/>
                <w:lang w:eastAsia="zh-CN"/>
              </w:rPr>
              <w:t>（</w:t>
            </w:r>
            <w:r>
              <w:rPr>
                <w:rFonts w:hint="eastAsia"/>
                <w:color w:val="auto"/>
                <w:szCs w:val="21"/>
                <w:lang w:val="en-US" w:eastAsia="zh-CN"/>
              </w:rPr>
              <w:t>或项目总工</w:t>
            </w:r>
            <w:r>
              <w:rPr>
                <w:rFonts w:hint="eastAsia"/>
                <w:color w:val="auto"/>
                <w:szCs w:val="21"/>
                <w:lang w:eastAsia="zh-CN"/>
              </w:rPr>
              <w:t>）</w:t>
            </w:r>
          </w:p>
        </w:tc>
        <w:tc>
          <w:tcPr>
            <w:tcW w:w="897" w:type="dxa"/>
            <w:noWrap w:val="0"/>
            <w:vAlign w:val="center"/>
          </w:tcPr>
          <w:p w14:paraId="097D0BC6">
            <w:pPr>
              <w:pStyle w:val="29"/>
              <w:jc w:val="center"/>
              <w:rPr>
                <w:color w:val="auto"/>
                <w:szCs w:val="21"/>
              </w:rPr>
            </w:pPr>
            <w:r>
              <w:rPr>
                <w:color w:val="auto"/>
                <w:szCs w:val="21"/>
              </w:rPr>
              <w:t>姓名</w:t>
            </w:r>
          </w:p>
        </w:tc>
        <w:tc>
          <w:tcPr>
            <w:tcW w:w="1021" w:type="dxa"/>
            <w:noWrap w:val="0"/>
            <w:vAlign w:val="center"/>
          </w:tcPr>
          <w:p w14:paraId="40FF3B05">
            <w:pPr>
              <w:pStyle w:val="29"/>
              <w:jc w:val="center"/>
              <w:rPr>
                <w:color w:val="auto"/>
                <w:szCs w:val="21"/>
              </w:rPr>
            </w:pPr>
          </w:p>
        </w:tc>
        <w:tc>
          <w:tcPr>
            <w:tcW w:w="1160" w:type="dxa"/>
            <w:noWrap w:val="0"/>
            <w:vAlign w:val="center"/>
          </w:tcPr>
          <w:p w14:paraId="1377B35C">
            <w:pPr>
              <w:pStyle w:val="29"/>
              <w:jc w:val="center"/>
              <w:rPr>
                <w:color w:val="auto"/>
                <w:szCs w:val="21"/>
              </w:rPr>
            </w:pPr>
            <w:r>
              <w:rPr>
                <w:color w:val="auto"/>
                <w:szCs w:val="21"/>
              </w:rPr>
              <w:t>技术职称</w:t>
            </w:r>
          </w:p>
        </w:tc>
        <w:tc>
          <w:tcPr>
            <w:tcW w:w="1620" w:type="dxa"/>
            <w:gridSpan w:val="3"/>
            <w:noWrap w:val="0"/>
            <w:vAlign w:val="center"/>
          </w:tcPr>
          <w:p w14:paraId="71837BD8">
            <w:pPr>
              <w:pStyle w:val="29"/>
              <w:jc w:val="center"/>
              <w:rPr>
                <w:color w:val="auto"/>
                <w:szCs w:val="21"/>
              </w:rPr>
            </w:pPr>
          </w:p>
        </w:tc>
        <w:tc>
          <w:tcPr>
            <w:tcW w:w="720" w:type="dxa"/>
            <w:noWrap w:val="0"/>
            <w:vAlign w:val="center"/>
          </w:tcPr>
          <w:p w14:paraId="232D38A0">
            <w:pPr>
              <w:pStyle w:val="29"/>
              <w:jc w:val="center"/>
              <w:rPr>
                <w:color w:val="auto"/>
                <w:szCs w:val="21"/>
              </w:rPr>
            </w:pPr>
            <w:r>
              <w:rPr>
                <w:color w:val="auto"/>
                <w:szCs w:val="21"/>
              </w:rPr>
              <w:t>电话</w:t>
            </w:r>
          </w:p>
        </w:tc>
        <w:tc>
          <w:tcPr>
            <w:tcW w:w="1923" w:type="dxa"/>
            <w:noWrap w:val="0"/>
            <w:vAlign w:val="center"/>
          </w:tcPr>
          <w:p w14:paraId="1599F65C">
            <w:pPr>
              <w:pStyle w:val="29"/>
              <w:jc w:val="center"/>
              <w:rPr>
                <w:color w:val="auto"/>
                <w:szCs w:val="21"/>
              </w:rPr>
            </w:pPr>
          </w:p>
        </w:tc>
      </w:tr>
      <w:tr w14:paraId="41D6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9E8D5DC">
            <w:pPr>
              <w:pStyle w:val="29"/>
              <w:jc w:val="center"/>
              <w:rPr>
                <w:color w:val="auto"/>
                <w:szCs w:val="21"/>
              </w:rPr>
            </w:pPr>
            <w:r>
              <w:rPr>
                <w:color w:val="auto"/>
                <w:szCs w:val="21"/>
              </w:rPr>
              <w:t>成立时间</w:t>
            </w:r>
          </w:p>
        </w:tc>
        <w:tc>
          <w:tcPr>
            <w:tcW w:w="1918" w:type="dxa"/>
            <w:gridSpan w:val="2"/>
            <w:noWrap w:val="0"/>
            <w:vAlign w:val="center"/>
          </w:tcPr>
          <w:p w14:paraId="13BFEE50">
            <w:pPr>
              <w:pStyle w:val="29"/>
              <w:jc w:val="center"/>
              <w:rPr>
                <w:color w:val="auto"/>
                <w:szCs w:val="21"/>
              </w:rPr>
            </w:pPr>
          </w:p>
        </w:tc>
        <w:tc>
          <w:tcPr>
            <w:tcW w:w="5423" w:type="dxa"/>
            <w:gridSpan w:val="6"/>
            <w:noWrap w:val="0"/>
            <w:vAlign w:val="center"/>
          </w:tcPr>
          <w:p w14:paraId="7C073F90">
            <w:pPr>
              <w:pStyle w:val="29"/>
              <w:jc w:val="center"/>
              <w:rPr>
                <w:color w:val="auto"/>
                <w:szCs w:val="21"/>
              </w:rPr>
            </w:pPr>
            <w:r>
              <w:rPr>
                <w:color w:val="auto"/>
                <w:szCs w:val="21"/>
              </w:rPr>
              <w:t>员工总人数：</w:t>
            </w:r>
          </w:p>
        </w:tc>
      </w:tr>
      <w:tr w14:paraId="13C5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8906442">
            <w:pPr>
              <w:pStyle w:val="29"/>
              <w:jc w:val="center"/>
              <w:rPr>
                <w:color w:val="auto"/>
                <w:szCs w:val="21"/>
              </w:rPr>
            </w:pPr>
            <w:r>
              <w:rPr>
                <w:color w:val="auto"/>
                <w:szCs w:val="21"/>
              </w:rPr>
              <w:t>资质等级</w:t>
            </w:r>
          </w:p>
        </w:tc>
        <w:tc>
          <w:tcPr>
            <w:tcW w:w="1918" w:type="dxa"/>
            <w:gridSpan w:val="2"/>
            <w:noWrap w:val="0"/>
            <w:vAlign w:val="center"/>
          </w:tcPr>
          <w:p w14:paraId="51BBE5FE">
            <w:pPr>
              <w:pStyle w:val="29"/>
              <w:jc w:val="center"/>
              <w:rPr>
                <w:color w:val="auto"/>
                <w:szCs w:val="21"/>
              </w:rPr>
            </w:pPr>
          </w:p>
        </w:tc>
        <w:tc>
          <w:tcPr>
            <w:tcW w:w="1160" w:type="dxa"/>
            <w:vMerge w:val="restart"/>
            <w:noWrap w:val="0"/>
            <w:vAlign w:val="center"/>
          </w:tcPr>
          <w:p w14:paraId="5011FFC8">
            <w:pPr>
              <w:pStyle w:val="29"/>
              <w:jc w:val="center"/>
              <w:rPr>
                <w:color w:val="auto"/>
                <w:szCs w:val="21"/>
              </w:rPr>
            </w:pPr>
            <w:r>
              <w:rPr>
                <w:color w:val="auto"/>
                <w:szCs w:val="21"/>
              </w:rPr>
              <w:t>其中</w:t>
            </w:r>
          </w:p>
        </w:tc>
        <w:tc>
          <w:tcPr>
            <w:tcW w:w="1620" w:type="dxa"/>
            <w:gridSpan w:val="3"/>
            <w:noWrap w:val="0"/>
            <w:vAlign w:val="center"/>
          </w:tcPr>
          <w:p w14:paraId="2FEBF1B3">
            <w:pPr>
              <w:pStyle w:val="29"/>
              <w:jc w:val="center"/>
              <w:rPr>
                <w:color w:val="auto"/>
                <w:szCs w:val="21"/>
              </w:rPr>
            </w:pPr>
            <w:r>
              <w:rPr>
                <w:color w:val="auto"/>
                <w:szCs w:val="21"/>
              </w:rPr>
              <w:t>项目经理</w:t>
            </w:r>
          </w:p>
        </w:tc>
        <w:tc>
          <w:tcPr>
            <w:tcW w:w="2643" w:type="dxa"/>
            <w:gridSpan w:val="2"/>
            <w:noWrap w:val="0"/>
            <w:vAlign w:val="center"/>
          </w:tcPr>
          <w:p w14:paraId="04B52026">
            <w:pPr>
              <w:pStyle w:val="29"/>
              <w:jc w:val="center"/>
              <w:rPr>
                <w:color w:val="auto"/>
                <w:szCs w:val="21"/>
              </w:rPr>
            </w:pPr>
          </w:p>
        </w:tc>
      </w:tr>
      <w:tr w14:paraId="2190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D6EA4CC">
            <w:pPr>
              <w:pStyle w:val="29"/>
              <w:jc w:val="center"/>
              <w:rPr>
                <w:color w:val="auto"/>
                <w:szCs w:val="21"/>
              </w:rPr>
            </w:pPr>
            <w:r>
              <w:rPr>
                <w:rFonts w:hint="eastAsia"/>
                <w:color w:val="auto"/>
                <w:szCs w:val="21"/>
              </w:rPr>
              <w:t>安全生产许可证号</w:t>
            </w:r>
          </w:p>
        </w:tc>
        <w:tc>
          <w:tcPr>
            <w:tcW w:w="1918" w:type="dxa"/>
            <w:gridSpan w:val="2"/>
            <w:noWrap w:val="0"/>
            <w:vAlign w:val="center"/>
          </w:tcPr>
          <w:p w14:paraId="62C173A2">
            <w:pPr>
              <w:pStyle w:val="29"/>
              <w:jc w:val="center"/>
              <w:rPr>
                <w:color w:val="auto"/>
                <w:szCs w:val="21"/>
              </w:rPr>
            </w:pPr>
          </w:p>
        </w:tc>
        <w:tc>
          <w:tcPr>
            <w:tcW w:w="1160" w:type="dxa"/>
            <w:vMerge w:val="continue"/>
            <w:noWrap w:val="0"/>
            <w:vAlign w:val="center"/>
          </w:tcPr>
          <w:p w14:paraId="07B12251">
            <w:pPr>
              <w:pStyle w:val="29"/>
              <w:jc w:val="center"/>
              <w:rPr>
                <w:color w:val="auto"/>
                <w:szCs w:val="21"/>
              </w:rPr>
            </w:pPr>
          </w:p>
        </w:tc>
        <w:tc>
          <w:tcPr>
            <w:tcW w:w="1620" w:type="dxa"/>
            <w:gridSpan w:val="3"/>
            <w:noWrap w:val="0"/>
            <w:vAlign w:val="center"/>
          </w:tcPr>
          <w:p w14:paraId="3603485F">
            <w:pPr>
              <w:pStyle w:val="29"/>
              <w:jc w:val="center"/>
              <w:rPr>
                <w:color w:val="auto"/>
                <w:szCs w:val="21"/>
              </w:rPr>
            </w:pPr>
            <w:r>
              <w:rPr>
                <w:color w:val="auto"/>
                <w:szCs w:val="21"/>
              </w:rPr>
              <w:t>高级职称人员</w:t>
            </w:r>
          </w:p>
        </w:tc>
        <w:tc>
          <w:tcPr>
            <w:tcW w:w="2643" w:type="dxa"/>
            <w:gridSpan w:val="2"/>
            <w:noWrap w:val="0"/>
            <w:vAlign w:val="center"/>
          </w:tcPr>
          <w:p w14:paraId="16923E42">
            <w:pPr>
              <w:pStyle w:val="29"/>
              <w:jc w:val="center"/>
              <w:rPr>
                <w:color w:val="auto"/>
                <w:szCs w:val="21"/>
              </w:rPr>
            </w:pPr>
          </w:p>
        </w:tc>
      </w:tr>
      <w:tr w14:paraId="0D5B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73C96BC">
            <w:pPr>
              <w:pStyle w:val="29"/>
              <w:jc w:val="center"/>
              <w:rPr>
                <w:color w:val="auto"/>
                <w:szCs w:val="21"/>
              </w:rPr>
            </w:pPr>
            <w:r>
              <w:rPr>
                <w:color w:val="auto"/>
                <w:szCs w:val="21"/>
              </w:rPr>
              <w:t>注册资金</w:t>
            </w:r>
          </w:p>
        </w:tc>
        <w:tc>
          <w:tcPr>
            <w:tcW w:w="1918" w:type="dxa"/>
            <w:gridSpan w:val="2"/>
            <w:noWrap w:val="0"/>
            <w:vAlign w:val="center"/>
          </w:tcPr>
          <w:p w14:paraId="738AAAEC">
            <w:pPr>
              <w:pStyle w:val="29"/>
              <w:jc w:val="center"/>
              <w:rPr>
                <w:color w:val="auto"/>
                <w:szCs w:val="21"/>
              </w:rPr>
            </w:pPr>
          </w:p>
        </w:tc>
        <w:tc>
          <w:tcPr>
            <w:tcW w:w="1160" w:type="dxa"/>
            <w:vMerge w:val="continue"/>
            <w:noWrap w:val="0"/>
            <w:vAlign w:val="center"/>
          </w:tcPr>
          <w:p w14:paraId="7658BA09">
            <w:pPr>
              <w:pStyle w:val="29"/>
              <w:jc w:val="center"/>
              <w:rPr>
                <w:color w:val="auto"/>
                <w:szCs w:val="21"/>
              </w:rPr>
            </w:pPr>
          </w:p>
        </w:tc>
        <w:tc>
          <w:tcPr>
            <w:tcW w:w="1620" w:type="dxa"/>
            <w:gridSpan w:val="3"/>
            <w:noWrap w:val="0"/>
            <w:vAlign w:val="center"/>
          </w:tcPr>
          <w:p w14:paraId="7C1E5373">
            <w:pPr>
              <w:pStyle w:val="29"/>
              <w:jc w:val="center"/>
              <w:rPr>
                <w:color w:val="auto"/>
                <w:szCs w:val="21"/>
              </w:rPr>
            </w:pPr>
            <w:r>
              <w:rPr>
                <w:color w:val="auto"/>
                <w:szCs w:val="21"/>
              </w:rPr>
              <w:t>中级职称人员</w:t>
            </w:r>
          </w:p>
        </w:tc>
        <w:tc>
          <w:tcPr>
            <w:tcW w:w="2643" w:type="dxa"/>
            <w:gridSpan w:val="2"/>
            <w:noWrap w:val="0"/>
            <w:vAlign w:val="center"/>
          </w:tcPr>
          <w:p w14:paraId="0F67C1AD">
            <w:pPr>
              <w:pStyle w:val="29"/>
              <w:jc w:val="center"/>
              <w:rPr>
                <w:color w:val="auto"/>
                <w:szCs w:val="21"/>
              </w:rPr>
            </w:pPr>
          </w:p>
        </w:tc>
      </w:tr>
      <w:tr w14:paraId="40C2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F9CEA31">
            <w:pPr>
              <w:pStyle w:val="29"/>
              <w:jc w:val="center"/>
              <w:rPr>
                <w:color w:val="auto"/>
                <w:szCs w:val="21"/>
              </w:rPr>
            </w:pPr>
            <w:r>
              <w:rPr>
                <w:color w:val="auto"/>
                <w:szCs w:val="21"/>
              </w:rPr>
              <w:t>开户银行</w:t>
            </w:r>
          </w:p>
        </w:tc>
        <w:tc>
          <w:tcPr>
            <w:tcW w:w="1918" w:type="dxa"/>
            <w:gridSpan w:val="2"/>
            <w:noWrap w:val="0"/>
            <w:vAlign w:val="center"/>
          </w:tcPr>
          <w:p w14:paraId="468FAB3C">
            <w:pPr>
              <w:pStyle w:val="29"/>
              <w:jc w:val="center"/>
              <w:rPr>
                <w:color w:val="auto"/>
                <w:szCs w:val="21"/>
              </w:rPr>
            </w:pPr>
          </w:p>
        </w:tc>
        <w:tc>
          <w:tcPr>
            <w:tcW w:w="1160" w:type="dxa"/>
            <w:vMerge w:val="continue"/>
            <w:noWrap w:val="0"/>
            <w:vAlign w:val="center"/>
          </w:tcPr>
          <w:p w14:paraId="16AB0AA3">
            <w:pPr>
              <w:pStyle w:val="29"/>
              <w:jc w:val="center"/>
              <w:rPr>
                <w:color w:val="auto"/>
                <w:szCs w:val="21"/>
              </w:rPr>
            </w:pPr>
          </w:p>
        </w:tc>
        <w:tc>
          <w:tcPr>
            <w:tcW w:w="1620" w:type="dxa"/>
            <w:gridSpan w:val="3"/>
            <w:noWrap w:val="0"/>
            <w:vAlign w:val="center"/>
          </w:tcPr>
          <w:p w14:paraId="33A15D39">
            <w:pPr>
              <w:pStyle w:val="29"/>
              <w:jc w:val="center"/>
              <w:rPr>
                <w:color w:val="auto"/>
                <w:szCs w:val="21"/>
              </w:rPr>
            </w:pPr>
            <w:r>
              <w:rPr>
                <w:color w:val="auto"/>
                <w:szCs w:val="21"/>
              </w:rPr>
              <w:t>初级职称人员</w:t>
            </w:r>
          </w:p>
        </w:tc>
        <w:tc>
          <w:tcPr>
            <w:tcW w:w="2643" w:type="dxa"/>
            <w:gridSpan w:val="2"/>
            <w:noWrap w:val="0"/>
            <w:vAlign w:val="center"/>
          </w:tcPr>
          <w:p w14:paraId="4951FC94">
            <w:pPr>
              <w:pStyle w:val="29"/>
              <w:jc w:val="center"/>
              <w:rPr>
                <w:color w:val="auto"/>
                <w:szCs w:val="21"/>
              </w:rPr>
            </w:pPr>
          </w:p>
        </w:tc>
      </w:tr>
      <w:tr w14:paraId="3534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83BB523">
            <w:pPr>
              <w:pStyle w:val="29"/>
              <w:jc w:val="center"/>
              <w:rPr>
                <w:color w:val="auto"/>
                <w:szCs w:val="21"/>
              </w:rPr>
            </w:pPr>
            <w:r>
              <w:rPr>
                <w:color w:val="auto"/>
                <w:szCs w:val="21"/>
              </w:rPr>
              <w:t>账号</w:t>
            </w:r>
          </w:p>
        </w:tc>
        <w:tc>
          <w:tcPr>
            <w:tcW w:w="1918" w:type="dxa"/>
            <w:gridSpan w:val="2"/>
            <w:noWrap w:val="0"/>
            <w:vAlign w:val="center"/>
          </w:tcPr>
          <w:p w14:paraId="7E732F11">
            <w:pPr>
              <w:pStyle w:val="29"/>
              <w:jc w:val="center"/>
              <w:rPr>
                <w:color w:val="auto"/>
                <w:szCs w:val="21"/>
              </w:rPr>
            </w:pPr>
          </w:p>
        </w:tc>
        <w:tc>
          <w:tcPr>
            <w:tcW w:w="1160" w:type="dxa"/>
            <w:vMerge w:val="continue"/>
            <w:noWrap w:val="0"/>
            <w:vAlign w:val="center"/>
          </w:tcPr>
          <w:p w14:paraId="29D06548">
            <w:pPr>
              <w:pStyle w:val="29"/>
              <w:jc w:val="center"/>
              <w:rPr>
                <w:color w:val="auto"/>
                <w:szCs w:val="21"/>
              </w:rPr>
            </w:pPr>
          </w:p>
        </w:tc>
        <w:tc>
          <w:tcPr>
            <w:tcW w:w="1620" w:type="dxa"/>
            <w:gridSpan w:val="3"/>
            <w:noWrap w:val="0"/>
            <w:vAlign w:val="center"/>
          </w:tcPr>
          <w:p w14:paraId="39156515">
            <w:pPr>
              <w:pStyle w:val="29"/>
              <w:jc w:val="center"/>
              <w:rPr>
                <w:color w:val="auto"/>
                <w:szCs w:val="21"/>
              </w:rPr>
            </w:pPr>
            <w:r>
              <w:rPr>
                <w:color w:val="auto"/>
                <w:szCs w:val="21"/>
              </w:rPr>
              <w:t>技工</w:t>
            </w:r>
          </w:p>
        </w:tc>
        <w:tc>
          <w:tcPr>
            <w:tcW w:w="2643" w:type="dxa"/>
            <w:gridSpan w:val="2"/>
            <w:noWrap w:val="0"/>
            <w:vAlign w:val="center"/>
          </w:tcPr>
          <w:p w14:paraId="32BFA486">
            <w:pPr>
              <w:pStyle w:val="29"/>
              <w:jc w:val="center"/>
              <w:rPr>
                <w:color w:val="auto"/>
                <w:szCs w:val="21"/>
              </w:rPr>
            </w:pPr>
          </w:p>
        </w:tc>
      </w:tr>
      <w:tr w14:paraId="2A44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noWrap w:val="0"/>
            <w:vAlign w:val="center"/>
          </w:tcPr>
          <w:p w14:paraId="4DBF24E9">
            <w:pPr>
              <w:pStyle w:val="29"/>
              <w:jc w:val="center"/>
              <w:rPr>
                <w:color w:val="auto"/>
                <w:szCs w:val="21"/>
              </w:rPr>
            </w:pPr>
            <w:r>
              <w:rPr>
                <w:color w:val="auto"/>
                <w:szCs w:val="21"/>
              </w:rPr>
              <w:t>经营范围</w:t>
            </w:r>
          </w:p>
        </w:tc>
        <w:tc>
          <w:tcPr>
            <w:tcW w:w="7341" w:type="dxa"/>
            <w:gridSpan w:val="8"/>
            <w:noWrap w:val="0"/>
            <w:vAlign w:val="center"/>
          </w:tcPr>
          <w:p w14:paraId="7E44AAA0">
            <w:pPr>
              <w:pStyle w:val="29"/>
              <w:jc w:val="center"/>
              <w:rPr>
                <w:color w:val="auto"/>
                <w:szCs w:val="21"/>
              </w:rPr>
            </w:pPr>
          </w:p>
        </w:tc>
      </w:tr>
      <w:tr w14:paraId="78C7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DEDFAC7">
            <w:pPr>
              <w:pStyle w:val="29"/>
              <w:jc w:val="center"/>
              <w:rPr>
                <w:color w:val="auto"/>
                <w:szCs w:val="21"/>
              </w:rPr>
            </w:pPr>
            <w:r>
              <w:rPr>
                <w:color w:val="auto"/>
                <w:szCs w:val="21"/>
              </w:rPr>
              <w:t>备注</w:t>
            </w:r>
          </w:p>
        </w:tc>
        <w:tc>
          <w:tcPr>
            <w:tcW w:w="7341" w:type="dxa"/>
            <w:gridSpan w:val="8"/>
            <w:noWrap w:val="0"/>
            <w:vAlign w:val="center"/>
          </w:tcPr>
          <w:p w14:paraId="2AB79064">
            <w:pPr>
              <w:pStyle w:val="29"/>
              <w:jc w:val="center"/>
              <w:rPr>
                <w:color w:val="auto"/>
                <w:szCs w:val="21"/>
              </w:rPr>
            </w:pPr>
          </w:p>
        </w:tc>
      </w:tr>
    </w:tbl>
    <w:p w14:paraId="567A2A67">
      <w:pPr>
        <w:pStyle w:val="29"/>
        <w:spacing w:line="440" w:lineRule="exact"/>
        <w:rPr>
          <w:color w:val="auto"/>
          <w:szCs w:val="21"/>
        </w:rPr>
      </w:pPr>
    </w:p>
    <w:p w14:paraId="652CFA4F">
      <w:pP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br w:type="page"/>
      </w:r>
    </w:p>
    <w:p w14:paraId="364310E0">
      <w:pPr>
        <w:snapToGrid w:val="0"/>
        <w:spacing w:before="120" w:beforeLines="50" w:after="50"/>
        <w:jc w:val="center"/>
        <w:rPr>
          <w:rFonts w:ascii="宋体" w:hAnsi="宋体" w:cs="仿宋_GB2312"/>
          <w:b/>
          <w:color w:val="000000"/>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近三年</w:t>
      </w:r>
      <w:r>
        <w:rPr>
          <w:rFonts w:hint="eastAsia" w:ascii="宋体" w:hAnsi="宋体" w:eastAsia="宋体" w:cs="宋体"/>
          <w:b/>
          <w:color w:val="auto"/>
          <w:sz w:val="30"/>
          <w:szCs w:val="30"/>
          <w:highlight w:val="none"/>
          <w:lang w:eastAsia="zh-CN"/>
        </w:rPr>
        <w:t>内（指</w:t>
      </w:r>
      <w:r>
        <w:rPr>
          <w:rFonts w:hint="eastAsia" w:ascii="宋体" w:hAnsi="宋体" w:cs="宋体"/>
          <w:b/>
          <w:color w:val="auto"/>
          <w:sz w:val="30"/>
          <w:szCs w:val="30"/>
          <w:highlight w:val="none"/>
          <w:lang w:eastAsia="zh-CN"/>
        </w:rPr>
        <w:t>响应文件提交</w:t>
      </w:r>
      <w:r>
        <w:rPr>
          <w:rFonts w:hint="eastAsia" w:ascii="宋体" w:hAnsi="宋体" w:eastAsia="宋体" w:cs="宋体"/>
          <w:b/>
          <w:color w:val="auto"/>
          <w:sz w:val="30"/>
          <w:szCs w:val="30"/>
          <w:highlight w:val="none"/>
        </w:rPr>
        <w:t>截止日期</w:t>
      </w:r>
      <w:r>
        <w:rPr>
          <w:rFonts w:hint="eastAsia" w:ascii="宋体" w:hAnsi="宋体" w:eastAsia="宋体" w:cs="宋体"/>
          <w:b/>
          <w:color w:val="auto"/>
          <w:sz w:val="30"/>
          <w:szCs w:val="30"/>
          <w:highlight w:val="none"/>
          <w:lang w:eastAsia="zh-CN"/>
        </w:rPr>
        <w:t>前三年内）</w:t>
      </w:r>
      <w:r>
        <w:rPr>
          <w:rFonts w:hint="eastAsia" w:ascii="宋体" w:hAnsi="宋体" w:eastAsia="宋体" w:cs="宋体"/>
          <w:b/>
          <w:color w:val="auto"/>
          <w:sz w:val="30"/>
          <w:szCs w:val="30"/>
          <w:highlight w:val="none"/>
          <w:lang w:val="en-US" w:eastAsia="zh-CN"/>
        </w:rPr>
        <w:t>承接或</w:t>
      </w:r>
      <w:r>
        <w:rPr>
          <w:rFonts w:hint="eastAsia" w:ascii="宋体" w:hAnsi="宋体" w:eastAsia="宋体" w:cs="宋体"/>
          <w:b/>
          <w:color w:val="auto"/>
          <w:sz w:val="30"/>
          <w:szCs w:val="30"/>
          <w:highlight w:val="none"/>
        </w:rPr>
        <w:t>已完成</w:t>
      </w:r>
      <w:r>
        <w:rPr>
          <w:rFonts w:hint="eastAsia" w:ascii="宋体" w:hAnsi="宋体" w:eastAsia="宋体" w:cs="宋体"/>
          <w:b/>
          <w:color w:val="auto"/>
          <w:sz w:val="30"/>
          <w:szCs w:val="30"/>
          <w:highlight w:val="none"/>
          <w:lang w:eastAsia="zh-CN"/>
        </w:rPr>
        <w:t>的</w:t>
      </w:r>
      <w:r>
        <w:rPr>
          <w:rFonts w:hint="eastAsia" w:ascii="宋体" w:hAnsi="宋体" w:eastAsia="宋体" w:cs="宋体"/>
          <w:b/>
          <w:color w:val="auto"/>
          <w:sz w:val="30"/>
          <w:szCs w:val="30"/>
          <w:highlight w:val="none"/>
        </w:rPr>
        <w:t>类似项目情况表</w:t>
      </w:r>
    </w:p>
    <w:p w14:paraId="72EA0BB8">
      <w:pPr>
        <w:snapToGrid w:val="0"/>
        <w:ind w:left="480" w:hanging="480" w:hangingChars="200"/>
        <w:contextualSpacing/>
        <w:rPr>
          <w:rFonts w:ascii="宋体" w:hAnsi="宋体"/>
          <w:color w:val="000000"/>
          <w:sz w:val="24"/>
          <w:highlight w:val="none"/>
        </w:rPr>
      </w:pPr>
    </w:p>
    <w:tbl>
      <w:tblPr>
        <w:tblStyle w:val="2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4971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1" w:type="dxa"/>
            <w:noWrap w:val="0"/>
            <w:vAlign w:val="center"/>
          </w:tcPr>
          <w:p w14:paraId="4C41ECB7">
            <w:pPr>
              <w:pStyle w:val="29"/>
              <w:jc w:val="center"/>
              <w:rPr>
                <w:color w:val="auto"/>
              </w:rPr>
            </w:pPr>
            <w:r>
              <w:rPr>
                <w:color w:val="auto"/>
              </w:rPr>
              <w:t>序号</w:t>
            </w:r>
          </w:p>
        </w:tc>
        <w:tc>
          <w:tcPr>
            <w:tcW w:w="1701" w:type="dxa"/>
            <w:noWrap w:val="0"/>
            <w:vAlign w:val="center"/>
          </w:tcPr>
          <w:p w14:paraId="318D8F78">
            <w:pPr>
              <w:pStyle w:val="29"/>
              <w:jc w:val="center"/>
              <w:rPr>
                <w:color w:val="auto"/>
              </w:rPr>
            </w:pPr>
            <w:r>
              <w:rPr>
                <w:color w:val="auto"/>
              </w:rPr>
              <w:t>发包人名称</w:t>
            </w:r>
          </w:p>
        </w:tc>
        <w:tc>
          <w:tcPr>
            <w:tcW w:w="1417" w:type="dxa"/>
            <w:noWrap w:val="0"/>
            <w:vAlign w:val="center"/>
          </w:tcPr>
          <w:p w14:paraId="6BFEC73B">
            <w:pPr>
              <w:pStyle w:val="29"/>
              <w:jc w:val="center"/>
              <w:rPr>
                <w:color w:val="auto"/>
              </w:rPr>
            </w:pPr>
            <w:r>
              <w:rPr>
                <w:color w:val="auto"/>
              </w:rPr>
              <w:t>工程名称</w:t>
            </w:r>
          </w:p>
          <w:p w14:paraId="15924AD1">
            <w:pPr>
              <w:pStyle w:val="29"/>
              <w:jc w:val="center"/>
              <w:rPr>
                <w:color w:val="auto"/>
              </w:rPr>
            </w:pPr>
            <w:r>
              <w:rPr>
                <w:color w:val="auto"/>
              </w:rPr>
              <w:t>及建设地点</w:t>
            </w:r>
          </w:p>
        </w:tc>
        <w:tc>
          <w:tcPr>
            <w:tcW w:w="851" w:type="dxa"/>
            <w:noWrap w:val="0"/>
            <w:vAlign w:val="center"/>
          </w:tcPr>
          <w:p w14:paraId="5CCB5EF7">
            <w:pPr>
              <w:pStyle w:val="29"/>
              <w:jc w:val="center"/>
              <w:rPr>
                <w:color w:val="auto"/>
              </w:rPr>
            </w:pPr>
            <w:r>
              <w:rPr>
                <w:color w:val="auto"/>
              </w:rPr>
              <w:t>结构</w:t>
            </w:r>
          </w:p>
          <w:p w14:paraId="3107DBC2">
            <w:pPr>
              <w:pStyle w:val="29"/>
              <w:jc w:val="center"/>
              <w:rPr>
                <w:color w:val="auto"/>
              </w:rPr>
            </w:pPr>
            <w:r>
              <w:rPr>
                <w:color w:val="auto"/>
              </w:rPr>
              <w:t>类型</w:t>
            </w:r>
          </w:p>
        </w:tc>
        <w:tc>
          <w:tcPr>
            <w:tcW w:w="992" w:type="dxa"/>
            <w:noWrap w:val="0"/>
            <w:vAlign w:val="center"/>
          </w:tcPr>
          <w:p w14:paraId="4E0E3FFA">
            <w:pPr>
              <w:pStyle w:val="29"/>
              <w:jc w:val="center"/>
              <w:rPr>
                <w:color w:val="auto"/>
              </w:rPr>
            </w:pPr>
            <w:r>
              <w:rPr>
                <w:color w:val="auto"/>
              </w:rPr>
              <w:t>建设</w:t>
            </w:r>
          </w:p>
          <w:p w14:paraId="06D42AC8">
            <w:pPr>
              <w:pStyle w:val="29"/>
              <w:jc w:val="center"/>
              <w:rPr>
                <w:color w:val="auto"/>
              </w:rPr>
            </w:pPr>
            <w:r>
              <w:rPr>
                <w:color w:val="auto"/>
              </w:rPr>
              <w:t>规模</w:t>
            </w:r>
          </w:p>
        </w:tc>
        <w:tc>
          <w:tcPr>
            <w:tcW w:w="1134" w:type="dxa"/>
            <w:noWrap w:val="0"/>
            <w:vAlign w:val="center"/>
          </w:tcPr>
          <w:p w14:paraId="36FC6334">
            <w:pPr>
              <w:pStyle w:val="29"/>
              <w:jc w:val="center"/>
              <w:rPr>
                <w:color w:val="auto"/>
              </w:rPr>
            </w:pPr>
            <w:r>
              <w:rPr>
                <w:color w:val="auto"/>
              </w:rPr>
              <w:t>合同金额</w:t>
            </w:r>
          </w:p>
          <w:p w14:paraId="02063D5B">
            <w:pPr>
              <w:pStyle w:val="29"/>
              <w:jc w:val="center"/>
              <w:rPr>
                <w:color w:val="auto"/>
              </w:rPr>
            </w:pPr>
            <w:r>
              <w:rPr>
                <w:color w:val="auto"/>
              </w:rPr>
              <w:t>（万元）</w:t>
            </w:r>
          </w:p>
        </w:tc>
        <w:tc>
          <w:tcPr>
            <w:tcW w:w="1276" w:type="dxa"/>
            <w:noWrap w:val="0"/>
            <w:vAlign w:val="center"/>
          </w:tcPr>
          <w:p w14:paraId="60DE288A">
            <w:pPr>
              <w:pStyle w:val="29"/>
              <w:jc w:val="center"/>
              <w:rPr>
                <w:color w:val="auto"/>
              </w:rPr>
            </w:pPr>
            <w:r>
              <w:rPr>
                <w:color w:val="auto"/>
              </w:rPr>
              <w:t>竣工达到</w:t>
            </w:r>
          </w:p>
          <w:p w14:paraId="69A3D1ED">
            <w:pPr>
              <w:pStyle w:val="29"/>
              <w:jc w:val="center"/>
              <w:rPr>
                <w:color w:val="auto"/>
              </w:rPr>
            </w:pPr>
            <w:r>
              <w:rPr>
                <w:color w:val="auto"/>
              </w:rPr>
              <w:t>质量标准</w:t>
            </w:r>
          </w:p>
        </w:tc>
        <w:tc>
          <w:tcPr>
            <w:tcW w:w="1134" w:type="dxa"/>
            <w:noWrap w:val="0"/>
            <w:vAlign w:val="center"/>
          </w:tcPr>
          <w:p w14:paraId="47BB4C76">
            <w:pPr>
              <w:pStyle w:val="29"/>
              <w:jc w:val="center"/>
              <w:rPr>
                <w:color w:val="auto"/>
              </w:rPr>
            </w:pPr>
            <w:r>
              <w:rPr>
                <w:color w:val="auto"/>
              </w:rPr>
              <w:t>开竣工</w:t>
            </w:r>
          </w:p>
          <w:p w14:paraId="36E573E9">
            <w:pPr>
              <w:pStyle w:val="29"/>
              <w:jc w:val="center"/>
              <w:rPr>
                <w:color w:val="auto"/>
              </w:rPr>
            </w:pPr>
            <w:r>
              <w:rPr>
                <w:color w:val="auto"/>
              </w:rPr>
              <w:t>日期</w:t>
            </w:r>
          </w:p>
        </w:tc>
      </w:tr>
      <w:tr w14:paraId="345E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noWrap w:val="0"/>
            <w:vAlign w:val="center"/>
          </w:tcPr>
          <w:p w14:paraId="75B03008">
            <w:pPr>
              <w:pStyle w:val="29"/>
              <w:jc w:val="center"/>
              <w:rPr>
                <w:color w:val="auto"/>
              </w:rPr>
            </w:pPr>
          </w:p>
        </w:tc>
        <w:tc>
          <w:tcPr>
            <w:tcW w:w="1701" w:type="dxa"/>
            <w:noWrap w:val="0"/>
            <w:vAlign w:val="center"/>
          </w:tcPr>
          <w:p w14:paraId="013C8FBD">
            <w:pPr>
              <w:pStyle w:val="29"/>
              <w:jc w:val="center"/>
              <w:rPr>
                <w:color w:val="auto"/>
              </w:rPr>
            </w:pPr>
          </w:p>
        </w:tc>
        <w:tc>
          <w:tcPr>
            <w:tcW w:w="1417" w:type="dxa"/>
            <w:noWrap w:val="0"/>
            <w:vAlign w:val="center"/>
          </w:tcPr>
          <w:p w14:paraId="7D9FDADB">
            <w:pPr>
              <w:pStyle w:val="29"/>
              <w:jc w:val="center"/>
              <w:rPr>
                <w:color w:val="auto"/>
              </w:rPr>
            </w:pPr>
          </w:p>
        </w:tc>
        <w:tc>
          <w:tcPr>
            <w:tcW w:w="851" w:type="dxa"/>
            <w:noWrap w:val="0"/>
            <w:vAlign w:val="center"/>
          </w:tcPr>
          <w:p w14:paraId="3D4836DA">
            <w:pPr>
              <w:pStyle w:val="29"/>
              <w:jc w:val="center"/>
              <w:rPr>
                <w:color w:val="auto"/>
              </w:rPr>
            </w:pPr>
          </w:p>
        </w:tc>
        <w:tc>
          <w:tcPr>
            <w:tcW w:w="992" w:type="dxa"/>
            <w:noWrap w:val="0"/>
            <w:vAlign w:val="center"/>
          </w:tcPr>
          <w:p w14:paraId="37478BA1">
            <w:pPr>
              <w:pStyle w:val="29"/>
              <w:jc w:val="center"/>
              <w:rPr>
                <w:color w:val="auto"/>
              </w:rPr>
            </w:pPr>
          </w:p>
        </w:tc>
        <w:tc>
          <w:tcPr>
            <w:tcW w:w="1134" w:type="dxa"/>
            <w:noWrap w:val="0"/>
            <w:vAlign w:val="center"/>
          </w:tcPr>
          <w:p w14:paraId="044FBE9D">
            <w:pPr>
              <w:pStyle w:val="29"/>
              <w:jc w:val="center"/>
              <w:rPr>
                <w:color w:val="auto"/>
              </w:rPr>
            </w:pPr>
          </w:p>
        </w:tc>
        <w:tc>
          <w:tcPr>
            <w:tcW w:w="1276" w:type="dxa"/>
            <w:noWrap w:val="0"/>
            <w:vAlign w:val="center"/>
          </w:tcPr>
          <w:p w14:paraId="2EFD1EF6">
            <w:pPr>
              <w:pStyle w:val="29"/>
              <w:jc w:val="center"/>
              <w:rPr>
                <w:color w:val="auto"/>
              </w:rPr>
            </w:pPr>
          </w:p>
        </w:tc>
        <w:tc>
          <w:tcPr>
            <w:tcW w:w="1134" w:type="dxa"/>
            <w:noWrap w:val="0"/>
            <w:vAlign w:val="center"/>
          </w:tcPr>
          <w:p w14:paraId="2AE8EF66">
            <w:pPr>
              <w:pStyle w:val="29"/>
              <w:jc w:val="center"/>
              <w:rPr>
                <w:color w:val="auto"/>
              </w:rPr>
            </w:pPr>
          </w:p>
        </w:tc>
      </w:tr>
      <w:tr w14:paraId="5F7D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1" w:type="dxa"/>
            <w:noWrap w:val="0"/>
            <w:vAlign w:val="center"/>
          </w:tcPr>
          <w:p w14:paraId="0D8D04BC">
            <w:pPr>
              <w:pStyle w:val="29"/>
              <w:jc w:val="center"/>
              <w:rPr>
                <w:color w:val="auto"/>
              </w:rPr>
            </w:pPr>
          </w:p>
        </w:tc>
        <w:tc>
          <w:tcPr>
            <w:tcW w:w="1701" w:type="dxa"/>
            <w:noWrap w:val="0"/>
            <w:vAlign w:val="center"/>
          </w:tcPr>
          <w:p w14:paraId="7B2429DA">
            <w:pPr>
              <w:pStyle w:val="29"/>
              <w:jc w:val="center"/>
              <w:rPr>
                <w:color w:val="auto"/>
              </w:rPr>
            </w:pPr>
          </w:p>
        </w:tc>
        <w:tc>
          <w:tcPr>
            <w:tcW w:w="1417" w:type="dxa"/>
            <w:noWrap w:val="0"/>
            <w:vAlign w:val="center"/>
          </w:tcPr>
          <w:p w14:paraId="1D8F6B42">
            <w:pPr>
              <w:pStyle w:val="29"/>
              <w:jc w:val="center"/>
              <w:rPr>
                <w:color w:val="auto"/>
              </w:rPr>
            </w:pPr>
          </w:p>
        </w:tc>
        <w:tc>
          <w:tcPr>
            <w:tcW w:w="851" w:type="dxa"/>
            <w:noWrap w:val="0"/>
            <w:vAlign w:val="center"/>
          </w:tcPr>
          <w:p w14:paraId="7692736D">
            <w:pPr>
              <w:pStyle w:val="29"/>
              <w:jc w:val="center"/>
              <w:rPr>
                <w:color w:val="auto"/>
              </w:rPr>
            </w:pPr>
          </w:p>
        </w:tc>
        <w:tc>
          <w:tcPr>
            <w:tcW w:w="992" w:type="dxa"/>
            <w:noWrap w:val="0"/>
            <w:vAlign w:val="center"/>
          </w:tcPr>
          <w:p w14:paraId="1F61E24B">
            <w:pPr>
              <w:pStyle w:val="29"/>
              <w:jc w:val="center"/>
              <w:rPr>
                <w:color w:val="auto"/>
              </w:rPr>
            </w:pPr>
          </w:p>
        </w:tc>
        <w:tc>
          <w:tcPr>
            <w:tcW w:w="1134" w:type="dxa"/>
            <w:noWrap w:val="0"/>
            <w:vAlign w:val="center"/>
          </w:tcPr>
          <w:p w14:paraId="140408AD">
            <w:pPr>
              <w:pStyle w:val="29"/>
              <w:jc w:val="center"/>
              <w:rPr>
                <w:color w:val="auto"/>
              </w:rPr>
            </w:pPr>
          </w:p>
        </w:tc>
        <w:tc>
          <w:tcPr>
            <w:tcW w:w="1276" w:type="dxa"/>
            <w:noWrap w:val="0"/>
            <w:vAlign w:val="center"/>
          </w:tcPr>
          <w:p w14:paraId="3E2F9EF4">
            <w:pPr>
              <w:pStyle w:val="29"/>
              <w:jc w:val="center"/>
              <w:rPr>
                <w:color w:val="auto"/>
              </w:rPr>
            </w:pPr>
          </w:p>
        </w:tc>
        <w:tc>
          <w:tcPr>
            <w:tcW w:w="1134" w:type="dxa"/>
            <w:noWrap w:val="0"/>
            <w:vAlign w:val="center"/>
          </w:tcPr>
          <w:p w14:paraId="690531A8">
            <w:pPr>
              <w:pStyle w:val="29"/>
              <w:jc w:val="center"/>
              <w:rPr>
                <w:color w:val="auto"/>
              </w:rPr>
            </w:pPr>
          </w:p>
        </w:tc>
      </w:tr>
      <w:tr w14:paraId="1368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7806FE56">
            <w:pPr>
              <w:pStyle w:val="29"/>
              <w:jc w:val="center"/>
              <w:rPr>
                <w:color w:val="auto"/>
              </w:rPr>
            </w:pPr>
          </w:p>
        </w:tc>
        <w:tc>
          <w:tcPr>
            <w:tcW w:w="1701" w:type="dxa"/>
            <w:noWrap w:val="0"/>
            <w:vAlign w:val="center"/>
          </w:tcPr>
          <w:p w14:paraId="360D27D3">
            <w:pPr>
              <w:pStyle w:val="29"/>
              <w:jc w:val="center"/>
              <w:rPr>
                <w:color w:val="auto"/>
              </w:rPr>
            </w:pPr>
          </w:p>
        </w:tc>
        <w:tc>
          <w:tcPr>
            <w:tcW w:w="1417" w:type="dxa"/>
            <w:noWrap w:val="0"/>
            <w:vAlign w:val="center"/>
          </w:tcPr>
          <w:p w14:paraId="132E53DE">
            <w:pPr>
              <w:pStyle w:val="29"/>
              <w:jc w:val="center"/>
              <w:rPr>
                <w:color w:val="auto"/>
              </w:rPr>
            </w:pPr>
          </w:p>
        </w:tc>
        <w:tc>
          <w:tcPr>
            <w:tcW w:w="851" w:type="dxa"/>
            <w:noWrap w:val="0"/>
            <w:vAlign w:val="center"/>
          </w:tcPr>
          <w:p w14:paraId="54508809">
            <w:pPr>
              <w:pStyle w:val="29"/>
              <w:jc w:val="center"/>
              <w:rPr>
                <w:color w:val="auto"/>
              </w:rPr>
            </w:pPr>
          </w:p>
        </w:tc>
        <w:tc>
          <w:tcPr>
            <w:tcW w:w="992" w:type="dxa"/>
            <w:noWrap w:val="0"/>
            <w:vAlign w:val="center"/>
          </w:tcPr>
          <w:p w14:paraId="0A7D8495">
            <w:pPr>
              <w:pStyle w:val="29"/>
              <w:jc w:val="center"/>
              <w:rPr>
                <w:color w:val="auto"/>
              </w:rPr>
            </w:pPr>
          </w:p>
        </w:tc>
        <w:tc>
          <w:tcPr>
            <w:tcW w:w="1134" w:type="dxa"/>
            <w:noWrap w:val="0"/>
            <w:vAlign w:val="center"/>
          </w:tcPr>
          <w:p w14:paraId="7E69B1D6">
            <w:pPr>
              <w:pStyle w:val="29"/>
              <w:jc w:val="center"/>
              <w:rPr>
                <w:color w:val="auto"/>
              </w:rPr>
            </w:pPr>
          </w:p>
        </w:tc>
        <w:tc>
          <w:tcPr>
            <w:tcW w:w="1276" w:type="dxa"/>
            <w:noWrap w:val="0"/>
            <w:vAlign w:val="center"/>
          </w:tcPr>
          <w:p w14:paraId="77261E8C">
            <w:pPr>
              <w:pStyle w:val="29"/>
              <w:jc w:val="center"/>
              <w:rPr>
                <w:color w:val="auto"/>
              </w:rPr>
            </w:pPr>
          </w:p>
        </w:tc>
        <w:tc>
          <w:tcPr>
            <w:tcW w:w="1134" w:type="dxa"/>
            <w:noWrap w:val="0"/>
            <w:vAlign w:val="center"/>
          </w:tcPr>
          <w:p w14:paraId="69321FAA">
            <w:pPr>
              <w:pStyle w:val="29"/>
              <w:jc w:val="center"/>
              <w:rPr>
                <w:color w:val="auto"/>
              </w:rPr>
            </w:pPr>
          </w:p>
        </w:tc>
      </w:tr>
      <w:tr w14:paraId="1FDF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2949E9CF">
            <w:pPr>
              <w:pStyle w:val="29"/>
              <w:jc w:val="center"/>
              <w:rPr>
                <w:color w:val="auto"/>
              </w:rPr>
            </w:pPr>
          </w:p>
        </w:tc>
        <w:tc>
          <w:tcPr>
            <w:tcW w:w="1701" w:type="dxa"/>
            <w:noWrap w:val="0"/>
            <w:vAlign w:val="center"/>
          </w:tcPr>
          <w:p w14:paraId="74B13E4D">
            <w:pPr>
              <w:pStyle w:val="29"/>
              <w:jc w:val="center"/>
              <w:rPr>
                <w:color w:val="auto"/>
              </w:rPr>
            </w:pPr>
          </w:p>
        </w:tc>
        <w:tc>
          <w:tcPr>
            <w:tcW w:w="1417" w:type="dxa"/>
            <w:noWrap w:val="0"/>
            <w:vAlign w:val="center"/>
          </w:tcPr>
          <w:p w14:paraId="3C37D916">
            <w:pPr>
              <w:pStyle w:val="29"/>
              <w:jc w:val="center"/>
              <w:rPr>
                <w:color w:val="auto"/>
              </w:rPr>
            </w:pPr>
          </w:p>
        </w:tc>
        <w:tc>
          <w:tcPr>
            <w:tcW w:w="851" w:type="dxa"/>
            <w:noWrap w:val="0"/>
            <w:vAlign w:val="center"/>
          </w:tcPr>
          <w:p w14:paraId="5FBCA074">
            <w:pPr>
              <w:pStyle w:val="29"/>
              <w:jc w:val="center"/>
              <w:rPr>
                <w:color w:val="auto"/>
              </w:rPr>
            </w:pPr>
          </w:p>
        </w:tc>
        <w:tc>
          <w:tcPr>
            <w:tcW w:w="992" w:type="dxa"/>
            <w:noWrap w:val="0"/>
            <w:vAlign w:val="center"/>
          </w:tcPr>
          <w:p w14:paraId="4299BBA2">
            <w:pPr>
              <w:pStyle w:val="29"/>
              <w:jc w:val="center"/>
              <w:rPr>
                <w:color w:val="auto"/>
              </w:rPr>
            </w:pPr>
          </w:p>
        </w:tc>
        <w:tc>
          <w:tcPr>
            <w:tcW w:w="1134" w:type="dxa"/>
            <w:noWrap w:val="0"/>
            <w:vAlign w:val="center"/>
          </w:tcPr>
          <w:p w14:paraId="0400734D">
            <w:pPr>
              <w:pStyle w:val="29"/>
              <w:jc w:val="center"/>
              <w:rPr>
                <w:color w:val="auto"/>
              </w:rPr>
            </w:pPr>
          </w:p>
        </w:tc>
        <w:tc>
          <w:tcPr>
            <w:tcW w:w="1276" w:type="dxa"/>
            <w:noWrap w:val="0"/>
            <w:vAlign w:val="center"/>
          </w:tcPr>
          <w:p w14:paraId="6A62E85F">
            <w:pPr>
              <w:pStyle w:val="29"/>
              <w:jc w:val="center"/>
              <w:rPr>
                <w:color w:val="auto"/>
              </w:rPr>
            </w:pPr>
          </w:p>
        </w:tc>
        <w:tc>
          <w:tcPr>
            <w:tcW w:w="1134" w:type="dxa"/>
            <w:noWrap w:val="0"/>
            <w:vAlign w:val="center"/>
          </w:tcPr>
          <w:p w14:paraId="0B5BFE91">
            <w:pPr>
              <w:pStyle w:val="29"/>
              <w:jc w:val="center"/>
              <w:rPr>
                <w:color w:val="auto"/>
              </w:rPr>
            </w:pPr>
          </w:p>
        </w:tc>
      </w:tr>
      <w:tr w14:paraId="649A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0495FB97">
            <w:pPr>
              <w:pStyle w:val="29"/>
              <w:jc w:val="center"/>
              <w:rPr>
                <w:color w:val="auto"/>
              </w:rPr>
            </w:pPr>
          </w:p>
        </w:tc>
        <w:tc>
          <w:tcPr>
            <w:tcW w:w="1701" w:type="dxa"/>
            <w:noWrap w:val="0"/>
            <w:vAlign w:val="center"/>
          </w:tcPr>
          <w:p w14:paraId="2A21EF48">
            <w:pPr>
              <w:pStyle w:val="29"/>
              <w:jc w:val="center"/>
              <w:rPr>
                <w:color w:val="auto"/>
              </w:rPr>
            </w:pPr>
          </w:p>
        </w:tc>
        <w:tc>
          <w:tcPr>
            <w:tcW w:w="1417" w:type="dxa"/>
            <w:noWrap w:val="0"/>
            <w:vAlign w:val="center"/>
          </w:tcPr>
          <w:p w14:paraId="26BAA429">
            <w:pPr>
              <w:pStyle w:val="29"/>
              <w:jc w:val="center"/>
              <w:rPr>
                <w:color w:val="auto"/>
              </w:rPr>
            </w:pPr>
          </w:p>
        </w:tc>
        <w:tc>
          <w:tcPr>
            <w:tcW w:w="851" w:type="dxa"/>
            <w:noWrap w:val="0"/>
            <w:vAlign w:val="center"/>
          </w:tcPr>
          <w:p w14:paraId="1D299444">
            <w:pPr>
              <w:pStyle w:val="29"/>
              <w:jc w:val="center"/>
              <w:rPr>
                <w:color w:val="auto"/>
              </w:rPr>
            </w:pPr>
          </w:p>
        </w:tc>
        <w:tc>
          <w:tcPr>
            <w:tcW w:w="992" w:type="dxa"/>
            <w:noWrap w:val="0"/>
            <w:vAlign w:val="center"/>
          </w:tcPr>
          <w:p w14:paraId="4613A89B">
            <w:pPr>
              <w:pStyle w:val="29"/>
              <w:jc w:val="center"/>
              <w:rPr>
                <w:color w:val="auto"/>
              </w:rPr>
            </w:pPr>
          </w:p>
        </w:tc>
        <w:tc>
          <w:tcPr>
            <w:tcW w:w="1134" w:type="dxa"/>
            <w:noWrap w:val="0"/>
            <w:vAlign w:val="center"/>
          </w:tcPr>
          <w:p w14:paraId="2139FB52">
            <w:pPr>
              <w:pStyle w:val="29"/>
              <w:jc w:val="center"/>
              <w:rPr>
                <w:color w:val="auto"/>
              </w:rPr>
            </w:pPr>
          </w:p>
        </w:tc>
        <w:tc>
          <w:tcPr>
            <w:tcW w:w="1276" w:type="dxa"/>
            <w:noWrap w:val="0"/>
            <w:vAlign w:val="center"/>
          </w:tcPr>
          <w:p w14:paraId="13EDAD54">
            <w:pPr>
              <w:pStyle w:val="29"/>
              <w:jc w:val="center"/>
              <w:rPr>
                <w:color w:val="auto"/>
              </w:rPr>
            </w:pPr>
          </w:p>
        </w:tc>
        <w:tc>
          <w:tcPr>
            <w:tcW w:w="1134" w:type="dxa"/>
            <w:noWrap w:val="0"/>
            <w:vAlign w:val="center"/>
          </w:tcPr>
          <w:p w14:paraId="2B945F08">
            <w:pPr>
              <w:pStyle w:val="29"/>
              <w:jc w:val="center"/>
              <w:rPr>
                <w:color w:val="auto"/>
              </w:rPr>
            </w:pPr>
          </w:p>
        </w:tc>
      </w:tr>
      <w:tr w14:paraId="6A36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3D87F11B">
            <w:pPr>
              <w:pStyle w:val="29"/>
              <w:jc w:val="center"/>
              <w:rPr>
                <w:color w:val="auto"/>
              </w:rPr>
            </w:pPr>
          </w:p>
        </w:tc>
        <w:tc>
          <w:tcPr>
            <w:tcW w:w="1701" w:type="dxa"/>
            <w:noWrap w:val="0"/>
            <w:vAlign w:val="center"/>
          </w:tcPr>
          <w:p w14:paraId="68A88BBF">
            <w:pPr>
              <w:pStyle w:val="29"/>
              <w:jc w:val="center"/>
              <w:rPr>
                <w:color w:val="auto"/>
              </w:rPr>
            </w:pPr>
          </w:p>
        </w:tc>
        <w:tc>
          <w:tcPr>
            <w:tcW w:w="1417" w:type="dxa"/>
            <w:noWrap w:val="0"/>
            <w:vAlign w:val="center"/>
          </w:tcPr>
          <w:p w14:paraId="636323B4">
            <w:pPr>
              <w:pStyle w:val="29"/>
              <w:jc w:val="center"/>
              <w:rPr>
                <w:color w:val="auto"/>
              </w:rPr>
            </w:pPr>
          </w:p>
        </w:tc>
        <w:tc>
          <w:tcPr>
            <w:tcW w:w="851" w:type="dxa"/>
            <w:noWrap w:val="0"/>
            <w:vAlign w:val="center"/>
          </w:tcPr>
          <w:p w14:paraId="231050D5">
            <w:pPr>
              <w:pStyle w:val="29"/>
              <w:jc w:val="center"/>
              <w:rPr>
                <w:color w:val="auto"/>
              </w:rPr>
            </w:pPr>
          </w:p>
        </w:tc>
        <w:tc>
          <w:tcPr>
            <w:tcW w:w="992" w:type="dxa"/>
            <w:noWrap w:val="0"/>
            <w:vAlign w:val="center"/>
          </w:tcPr>
          <w:p w14:paraId="70E5063C">
            <w:pPr>
              <w:pStyle w:val="29"/>
              <w:jc w:val="center"/>
              <w:rPr>
                <w:color w:val="auto"/>
              </w:rPr>
            </w:pPr>
          </w:p>
        </w:tc>
        <w:tc>
          <w:tcPr>
            <w:tcW w:w="1134" w:type="dxa"/>
            <w:noWrap w:val="0"/>
            <w:vAlign w:val="center"/>
          </w:tcPr>
          <w:p w14:paraId="18241D95">
            <w:pPr>
              <w:pStyle w:val="29"/>
              <w:jc w:val="center"/>
              <w:rPr>
                <w:color w:val="auto"/>
              </w:rPr>
            </w:pPr>
          </w:p>
        </w:tc>
        <w:tc>
          <w:tcPr>
            <w:tcW w:w="1276" w:type="dxa"/>
            <w:noWrap w:val="0"/>
            <w:vAlign w:val="center"/>
          </w:tcPr>
          <w:p w14:paraId="7CED7030">
            <w:pPr>
              <w:pStyle w:val="29"/>
              <w:jc w:val="center"/>
              <w:rPr>
                <w:color w:val="auto"/>
              </w:rPr>
            </w:pPr>
          </w:p>
        </w:tc>
        <w:tc>
          <w:tcPr>
            <w:tcW w:w="1134" w:type="dxa"/>
            <w:noWrap w:val="0"/>
            <w:vAlign w:val="center"/>
          </w:tcPr>
          <w:p w14:paraId="0AA18003">
            <w:pPr>
              <w:pStyle w:val="29"/>
              <w:jc w:val="center"/>
              <w:rPr>
                <w:color w:val="auto"/>
              </w:rPr>
            </w:pPr>
          </w:p>
        </w:tc>
      </w:tr>
      <w:tr w14:paraId="47FA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37367F15">
            <w:pPr>
              <w:pStyle w:val="29"/>
              <w:jc w:val="center"/>
              <w:rPr>
                <w:color w:val="auto"/>
              </w:rPr>
            </w:pPr>
          </w:p>
        </w:tc>
        <w:tc>
          <w:tcPr>
            <w:tcW w:w="1701" w:type="dxa"/>
            <w:noWrap w:val="0"/>
            <w:vAlign w:val="center"/>
          </w:tcPr>
          <w:p w14:paraId="21AC2C37">
            <w:pPr>
              <w:pStyle w:val="29"/>
              <w:jc w:val="center"/>
              <w:rPr>
                <w:color w:val="auto"/>
              </w:rPr>
            </w:pPr>
          </w:p>
        </w:tc>
        <w:tc>
          <w:tcPr>
            <w:tcW w:w="1417" w:type="dxa"/>
            <w:noWrap w:val="0"/>
            <w:vAlign w:val="center"/>
          </w:tcPr>
          <w:p w14:paraId="6B34642D">
            <w:pPr>
              <w:pStyle w:val="29"/>
              <w:jc w:val="center"/>
              <w:rPr>
                <w:color w:val="auto"/>
              </w:rPr>
            </w:pPr>
          </w:p>
        </w:tc>
        <w:tc>
          <w:tcPr>
            <w:tcW w:w="851" w:type="dxa"/>
            <w:noWrap w:val="0"/>
            <w:vAlign w:val="center"/>
          </w:tcPr>
          <w:p w14:paraId="1CCFE0D6">
            <w:pPr>
              <w:pStyle w:val="29"/>
              <w:jc w:val="center"/>
              <w:rPr>
                <w:color w:val="auto"/>
              </w:rPr>
            </w:pPr>
          </w:p>
        </w:tc>
        <w:tc>
          <w:tcPr>
            <w:tcW w:w="992" w:type="dxa"/>
            <w:noWrap w:val="0"/>
            <w:vAlign w:val="center"/>
          </w:tcPr>
          <w:p w14:paraId="19BE3432">
            <w:pPr>
              <w:pStyle w:val="29"/>
              <w:jc w:val="center"/>
              <w:rPr>
                <w:color w:val="auto"/>
              </w:rPr>
            </w:pPr>
          </w:p>
        </w:tc>
        <w:tc>
          <w:tcPr>
            <w:tcW w:w="1134" w:type="dxa"/>
            <w:noWrap w:val="0"/>
            <w:vAlign w:val="center"/>
          </w:tcPr>
          <w:p w14:paraId="7E715CF5">
            <w:pPr>
              <w:pStyle w:val="29"/>
              <w:jc w:val="center"/>
              <w:rPr>
                <w:color w:val="auto"/>
              </w:rPr>
            </w:pPr>
          </w:p>
        </w:tc>
        <w:tc>
          <w:tcPr>
            <w:tcW w:w="1276" w:type="dxa"/>
            <w:noWrap w:val="0"/>
            <w:vAlign w:val="center"/>
          </w:tcPr>
          <w:p w14:paraId="191AECF9">
            <w:pPr>
              <w:pStyle w:val="29"/>
              <w:jc w:val="center"/>
              <w:rPr>
                <w:color w:val="auto"/>
              </w:rPr>
            </w:pPr>
          </w:p>
        </w:tc>
        <w:tc>
          <w:tcPr>
            <w:tcW w:w="1134" w:type="dxa"/>
            <w:noWrap w:val="0"/>
            <w:vAlign w:val="center"/>
          </w:tcPr>
          <w:p w14:paraId="78E07D27">
            <w:pPr>
              <w:pStyle w:val="29"/>
              <w:jc w:val="center"/>
              <w:rPr>
                <w:color w:val="auto"/>
              </w:rPr>
            </w:pPr>
          </w:p>
        </w:tc>
      </w:tr>
      <w:tr w14:paraId="38BC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42CCBED7">
            <w:pPr>
              <w:pStyle w:val="29"/>
              <w:jc w:val="center"/>
              <w:rPr>
                <w:color w:val="auto"/>
              </w:rPr>
            </w:pPr>
          </w:p>
        </w:tc>
        <w:tc>
          <w:tcPr>
            <w:tcW w:w="1701" w:type="dxa"/>
            <w:noWrap w:val="0"/>
            <w:vAlign w:val="center"/>
          </w:tcPr>
          <w:p w14:paraId="41A8B78A">
            <w:pPr>
              <w:pStyle w:val="29"/>
              <w:jc w:val="center"/>
              <w:rPr>
                <w:color w:val="auto"/>
              </w:rPr>
            </w:pPr>
          </w:p>
        </w:tc>
        <w:tc>
          <w:tcPr>
            <w:tcW w:w="1417" w:type="dxa"/>
            <w:noWrap w:val="0"/>
            <w:vAlign w:val="center"/>
          </w:tcPr>
          <w:p w14:paraId="539C2E0D">
            <w:pPr>
              <w:pStyle w:val="29"/>
              <w:jc w:val="center"/>
              <w:rPr>
                <w:color w:val="auto"/>
              </w:rPr>
            </w:pPr>
          </w:p>
        </w:tc>
        <w:tc>
          <w:tcPr>
            <w:tcW w:w="851" w:type="dxa"/>
            <w:noWrap w:val="0"/>
            <w:vAlign w:val="center"/>
          </w:tcPr>
          <w:p w14:paraId="03C99B6A">
            <w:pPr>
              <w:pStyle w:val="29"/>
              <w:jc w:val="center"/>
              <w:rPr>
                <w:color w:val="auto"/>
              </w:rPr>
            </w:pPr>
          </w:p>
        </w:tc>
        <w:tc>
          <w:tcPr>
            <w:tcW w:w="992" w:type="dxa"/>
            <w:noWrap w:val="0"/>
            <w:vAlign w:val="center"/>
          </w:tcPr>
          <w:p w14:paraId="28D05467">
            <w:pPr>
              <w:pStyle w:val="29"/>
              <w:jc w:val="center"/>
              <w:rPr>
                <w:color w:val="auto"/>
              </w:rPr>
            </w:pPr>
          </w:p>
        </w:tc>
        <w:tc>
          <w:tcPr>
            <w:tcW w:w="1134" w:type="dxa"/>
            <w:noWrap w:val="0"/>
            <w:vAlign w:val="center"/>
          </w:tcPr>
          <w:p w14:paraId="27C6912F">
            <w:pPr>
              <w:pStyle w:val="29"/>
              <w:jc w:val="center"/>
              <w:rPr>
                <w:color w:val="auto"/>
              </w:rPr>
            </w:pPr>
          </w:p>
        </w:tc>
        <w:tc>
          <w:tcPr>
            <w:tcW w:w="1276" w:type="dxa"/>
            <w:noWrap w:val="0"/>
            <w:vAlign w:val="center"/>
          </w:tcPr>
          <w:p w14:paraId="1D82FDBD">
            <w:pPr>
              <w:pStyle w:val="29"/>
              <w:jc w:val="center"/>
              <w:rPr>
                <w:color w:val="auto"/>
              </w:rPr>
            </w:pPr>
          </w:p>
        </w:tc>
        <w:tc>
          <w:tcPr>
            <w:tcW w:w="1134" w:type="dxa"/>
            <w:noWrap w:val="0"/>
            <w:vAlign w:val="center"/>
          </w:tcPr>
          <w:p w14:paraId="53C1DC81">
            <w:pPr>
              <w:pStyle w:val="29"/>
              <w:jc w:val="center"/>
              <w:rPr>
                <w:color w:val="auto"/>
              </w:rPr>
            </w:pPr>
          </w:p>
        </w:tc>
      </w:tr>
      <w:tr w14:paraId="7945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71B871A3">
            <w:pPr>
              <w:pStyle w:val="29"/>
              <w:jc w:val="center"/>
              <w:rPr>
                <w:color w:val="auto"/>
              </w:rPr>
            </w:pPr>
          </w:p>
        </w:tc>
        <w:tc>
          <w:tcPr>
            <w:tcW w:w="1701" w:type="dxa"/>
            <w:noWrap w:val="0"/>
            <w:vAlign w:val="center"/>
          </w:tcPr>
          <w:p w14:paraId="7CB0B3B1">
            <w:pPr>
              <w:pStyle w:val="29"/>
              <w:jc w:val="center"/>
              <w:rPr>
                <w:color w:val="auto"/>
              </w:rPr>
            </w:pPr>
          </w:p>
        </w:tc>
        <w:tc>
          <w:tcPr>
            <w:tcW w:w="1417" w:type="dxa"/>
            <w:noWrap w:val="0"/>
            <w:vAlign w:val="center"/>
          </w:tcPr>
          <w:p w14:paraId="27989113">
            <w:pPr>
              <w:pStyle w:val="29"/>
              <w:jc w:val="center"/>
              <w:rPr>
                <w:color w:val="auto"/>
              </w:rPr>
            </w:pPr>
          </w:p>
        </w:tc>
        <w:tc>
          <w:tcPr>
            <w:tcW w:w="851" w:type="dxa"/>
            <w:noWrap w:val="0"/>
            <w:vAlign w:val="center"/>
          </w:tcPr>
          <w:p w14:paraId="573F1FC9">
            <w:pPr>
              <w:pStyle w:val="29"/>
              <w:jc w:val="center"/>
              <w:rPr>
                <w:color w:val="auto"/>
              </w:rPr>
            </w:pPr>
          </w:p>
        </w:tc>
        <w:tc>
          <w:tcPr>
            <w:tcW w:w="992" w:type="dxa"/>
            <w:noWrap w:val="0"/>
            <w:vAlign w:val="center"/>
          </w:tcPr>
          <w:p w14:paraId="218510EA">
            <w:pPr>
              <w:pStyle w:val="29"/>
              <w:jc w:val="center"/>
              <w:rPr>
                <w:color w:val="auto"/>
              </w:rPr>
            </w:pPr>
          </w:p>
        </w:tc>
        <w:tc>
          <w:tcPr>
            <w:tcW w:w="1134" w:type="dxa"/>
            <w:noWrap w:val="0"/>
            <w:vAlign w:val="center"/>
          </w:tcPr>
          <w:p w14:paraId="68950D5D">
            <w:pPr>
              <w:pStyle w:val="29"/>
              <w:jc w:val="center"/>
              <w:rPr>
                <w:color w:val="auto"/>
              </w:rPr>
            </w:pPr>
          </w:p>
        </w:tc>
        <w:tc>
          <w:tcPr>
            <w:tcW w:w="1276" w:type="dxa"/>
            <w:noWrap w:val="0"/>
            <w:vAlign w:val="center"/>
          </w:tcPr>
          <w:p w14:paraId="33D0F26A">
            <w:pPr>
              <w:pStyle w:val="29"/>
              <w:jc w:val="center"/>
              <w:rPr>
                <w:color w:val="auto"/>
              </w:rPr>
            </w:pPr>
          </w:p>
        </w:tc>
        <w:tc>
          <w:tcPr>
            <w:tcW w:w="1134" w:type="dxa"/>
            <w:noWrap w:val="0"/>
            <w:vAlign w:val="center"/>
          </w:tcPr>
          <w:p w14:paraId="270CC364">
            <w:pPr>
              <w:pStyle w:val="29"/>
              <w:jc w:val="center"/>
              <w:rPr>
                <w:color w:val="auto"/>
              </w:rPr>
            </w:pPr>
          </w:p>
        </w:tc>
      </w:tr>
    </w:tbl>
    <w:p w14:paraId="725F45E6">
      <w:pPr>
        <w:snapToGrid w:val="0"/>
        <w:spacing w:line="360" w:lineRule="auto"/>
        <w:ind w:firstLine="4935" w:firstLineChars="2350"/>
        <w:rPr>
          <w:rFonts w:ascii="宋体" w:hAnsi="宋体"/>
          <w:color w:val="000000"/>
          <w:szCs w:val="21"/>
          <w:highlight w:val="none"/>
        </w:rPr>
      </w:pPr>
    </w:p>
    <w:p w14:paraId="4E31634F">
      <w:pPr>
        <w:pageBreakBefore w:val="0"/>
        <w:kinsoku/>
        <w:overflowPunct/>
        <w:topLinePunct w:val="0"/>
        <w:bidi w:val="0"/>
        <w:spacing w:line="360" w:lineRule="auto"/>
        <w:jc w:val="left"/>
        <w:rPr>
          <w:rFonts w:hint="eastAsia" w:ascii="宋体" w:hAnsi="宋体" w:eastAsia="宋体"/>
          <w:b/>
          <w:bCs w:val="0"/>
          <w:color w:val="auto"/>
          <w:sz w:val="22"/>
          <w:szCs w:val="22"/>
          <w:highlight w:val="none"/>
        </w:rPr>
      </w:pPr>
      <w:r>
        <w:rPr>
          <w:rFonts w:hint="eastAsia" w:ascii="宋体" w:hAnsi="宋体" w:eastAsia="宋体"/>
          <w:b/>
          <w:bCs w:val="0"/>
          <w:color w:val="auto"/>
          <w:sz w:val="22"/>
          <w:szCs w:val="22"/>
          <w:highlight w:val="none"/>
          <w:lang w:val="en-US" w:eastAsia="zh-CN"/>
        </w:rPr>
        <w:t>后附：</w:t>
      </w:r>
      <w:r>
        <w:rPr>
          <w:rFonts w:hint="eastAsia" w:hAnsi="宋体"/>
          <w:b/>
          <w:bCs w:val="0"/>
          <w:color w:val="auto"/>
          <w:sz w:val="22"/>
          <w:szCs w:val="22"/>
          <w:highlight w:val="none"/>
          <w:lang w:eastAsia="zh-CN"/>
        </w:rPr>
        <w:t>相关证明材料（</w:t>
      </w:r>
      <w:r>
        <w:rPr>
          <w:rFonts w:hint="eastAsia" w:hAnsi="宋体"/>
          <w:b/>
          <w:bCs w:val="0"/>
          <w:color w:val="auto"/>
          <w:sz w:val="22"/>
          <w:szCs w:val="22"/>
          <w:highlight w:val="none"/>
          <w:lang w:val="en-US" w:eastAsia="zh-CN"/>
        </w:rPr>
        <w:t>如有</w:t>
      </w:r>
      <w:r>
        <w:rPr>
          <w:rFonts w:hint="eastAsia" w:hAnsi="宋体"/>
          <w:b/>
          <w:bCs w:val="0"/>
          <w:color w:val="auto"/>
          <w:sz w:val="22"/>
          <w:szCs w:val="22"/>
          <w:highlight w:val="none"/>
          <w:lang w:eastAsia="zh-CN"/>
        </w:rPr>
        <w:t>）</w:t>
      </w:r>
      <w:r>
        <w:rPr>
          <w:rFonts w:hint="eastAsia" w:ascii="宋体" w:hAnsi="宋体" w:eastAsia="宋体"/>
          <w:b/>
          <w:bCs w:val="0"/>
          <w:color w:val="auto"/>
          <w:sz w:val="22"/>
          <w:szCs w:val="22"/>
          <w:highlight w:val="none"/>
        </w:rPr>
        <w:t>。</w:t>
      </w:r>
    </w:p>
    <w:p w14:paraId="134C7972">
      <w:pPr>
        <w:snapToGrid w:val="0"/>
        <w:spacing w:line="360" w:lineRule="auto"/>
        <w:ind w:firstLine="4935" w:firstLineChars="2350"/>
        <w:rPr>
          <w:rFonts w:ascii="宋体" w:hAnsi="宋体"/>
          <w:color w:val="000000"/>
          <w:szCs w:val="21"/>
          <w:highlight w:val="none"/>
        </w:rPr>
      </w:pPr>
    </w:p>
    <w:p w14:paraId="0D1AFAC4">
      <w:pPr>
        <w:snapToGrid w:val="0"/>
        <w:spacing w:line="360" w:lineRule="auto"/>
        <w:ind w:firstLine="6720" w:firstLineChars="2800"/>
        <w:rPr>
          <w:rFonts w:hint="eastAsia" w:ascii="宋体" w:hAnsi="宋体" w:cs="仿宋_GB2312"/>
          <w:color w:val="000000"/>
          <w:kern w:val="0"/>
          <w:sz w:val="24"/>
          <w:highlight w:val="none"/>
          <w:lang w:val="zh-CN"/>
        </w:rPr>
      </w:pPr>
    </w:p>
    <w:p w14:paraId="3C4CED60">
      <w:pPr>
        <w:snapToGrid w:val="0"/>
        <w:spacing w:line="360" w:lineRule="auto"/>
        <w:ind w:firstLine="5520" w:firstLineChars="2300"/>
        <w:rPr>
          <w:rFonts w:ascii="宋体" w:hAnsi="宋体" w:cs="仿宋_GB2312"/>
          <w:color w:val="000000"/>
          <w:kern w:val="0"/>
          <w:sz w:val="24"/>
          <w:highlight w:val="none"/>
        </w:rPr>
      </w:pPr>
      <w:r>
        <w:rPr>
          <w:rFonts w:hint="eastAsia" w:ascii="宋体" w:hAnsi="宋体" w:cs="仿宋_GB2312"/>
          <w:color w:val="000000"/>
          <w:kern w:val="0"/>
          <w:sz w:val="24"/>
          <w:highlight w:val="none"/>
          <w:lang w:val="zh-CN"/>
        </w:rPr>
        <w:t>供应商名称(电子签章)：</w:t>
      </w:r>
    </w:p>
    <w:p w14:paraId="29937AA3">
      <w:pPr>
        <w:spacing w:line="500" w:lineRule="exact"/>
        <w:jc w:val="center"/>
        <w:rPr>
          <w:rFonts w:ascii="宋体" w:hAnsi="宋体" w:cs="仿宋_GB2312"/>
          <w:color w:val="000000"/>
          <w:sz w:val="32"/>
          <w:szCs w:val="32"/>
          <w:highlight w:val="none"/>
        </w:rPr>
        <w:sectPr>
          <w:pgSz w:w="11910" w:h="16840"/>
          <w:pgMar w:top="1417" w:right="1417" w:bottom="1417" w:left="1417" w:header="720" w:footer="720" w:gutter="0"/>
          <w:pgNumType w:fmt="decimal"/>
          <w:cols w:space="720" w:num="1"/>
          <w:rtlGutter w:val="0"/>
        </w:sectPr>
      </w:pPr>
      <w:r>
        <w:rPr>
          <w:rFonts w:hint="eastAsia" w:ascii="宋体" w:hAnsi="宋体" w:cs="仿宋_GB2312"/>
          <w:color w:val="000000"/>
          <w:kern w:val="0"/>
          <w:sz w:val="24"/>
          <w:highlight w:val="none"/>
          <w:lang w:val="zh-CN"/>
        </w:rPr>
        <w:t xml:space="preserve">                                                     日期</w:t>
      </w:r>
      <w:r>
        <w:rPr>
          <w:rFonts w:hint="eastAsia" w:ascii="宋体" w:hAnsi="宋体" w:cs="仿宋_GB2312"/>
          <w:color w:val="000000"/>
          <w:kern w:val="0"/>
          <w:sz w:val="24"/>
          <w:highlight w:val="none"/>
        </w:rPr>
        <w:t>：  年</w:t>
      </w:r>
      <w:r>
        <w:rPr>
          <w:rFonts w:hint="eastAsia" w:ascii="宋体" w:hAnsi="宋体" w:cs="仿宋_GB2312"/>
          <w:color w:val="000000"/>
          <w:kern w:val="0"/>
          <w:sz w:val="24"/>
          <w:highlight w:val="none"/>
          <w:lang w:val="en-US" w:eastAsia="zh-CN"/>
        </w:rPr>
        <w:t xml:space="preserve"> </w:t>
      </w:r>
      <w:r>
        <w:rPr>
          <w:rFonts w:hint="eastAsia" w:ascii="宋体" w:hAnsi="宋体" w:cs="仿宋_GB2312"/>
          <w:color w:val="000000"/>
          <w:kern w:val="0"/>
          <w:sz w:val="24"/>
          <w:highlight w:val="none"/>
        </w:rPr>
        <w:t xml:space="preserve">  </w:t>
      </w:r>
      <w:r>
        <w:rPr>
          <w:rFonts w:hint="eastAsia" w:ascii="宋体" w:hAnsi="宋体" w:cs="仿宋_GB2312"/>
          <w:color w:val="000000"/>
          <w:kern w:val="0"/>
          <w:sz w:val="24"/>
          <w:highlight w:val="none"/>
          <w:lang w:val="zh-CN"/>
        </w:rPr>
        <w:t>月</w:t>
      </w:r>
      <w:r>
        <w:rPr>
          <w:rFonts w:hint="eastAsia" w:ascii="宋体" w:hAnsi="宋体" w:cs="仿宋_GB2312"/>
          <w:color w:val="000000"/>
          <w:kern w:val="0"/>
          <w:sz w:val="24"/>
          <w:highlight w:val="none"/>
          <w:lang w:val="en-US" w:eastAsia="zh-CN"/>
        </w:rPr>
        <w:t xml:space="preserve">  </w:t>
      </w:r>
      <w:r>
        <w:rPr>
          <w:rFonts w:hint="eastAsia" w:ascii="宋体" w:hAnsi="宋体" w:cs="仿宋_GB2312"/>
          <w:color w:val="000000"/>
          <w:kern w:val="0"/>
          <w:sz w:val="24"/>
          <w:highlight w:val="none"/>
          <w:lang w:val="zh-CN"/>
        </w:rPr>
        <w:t>日</w:t>
      </w:r>
    </w:p>
    <w:p w14:paraId="69A1D8D6">
      <w:pPr>
        <w:keepNext w:val="0"/>
        <w:keepLines w:val="0"/>
        <w:pageBreakBefore w:val="0"/>
        <w:widowControl w:val="0"/>
        <w:kinsoku/>
        <w:wordWrap/>
        <w:overflowPunct/>
        <w:topLinePunct w:val="0"/>
        <w:autoSpaceDE/>
        <w:autoSpaceDN/>
        <w:bidi w:val="0"/>
        <w:adjustRightInd/>
        <w:snapToGrid w:val="0"/>
        <w:spacing w:line="460" w:lineRule="exact"/>
        <w:ind w:firstLine="723" w:firstLineChars="200"/>
        <w:jc w:val="center"/>
        <w:textAlignment w:val="auto"/>
        <w:rPr>
          <w:rFonts w:hint="eastAsia" w:ascii="宋体" w:hAnsi="宋体" w:eastAsia="宋体" w:cs="Times New Roman"/>
          <w:b/>
          <w:color w:val="000000"/>
          <w:sz w:val="36"/>
          <w:szCs w:val="36"/>
          <w:highlight w:val="none"/>
        </w:rPr>
      </w:pPr>
      <w:r>
        <w:rPr>
          <w:rFonts w:hint="eastAsia" w:ascii="宋体" w:hAnsi="宋体" w:eastAsia="宋体" w:cs="Times New Roman"/>
          <w:b/>
          <w:color w:val="000000"/>
          <w:sz w:val="36"/>
          <w:szCs w:val="36"/>
          <w:highlight w:val="none"/>
          <w:lang w:val="en-US" w:eastAsia="zh-CN"/>
        </w:rPr>
        <w:t>技术</w:t>
      </w:r>
      <w:r>
        <w:rPr>
          <w:rFonts w:hint="eastAsia" w:ascii="宋体" w:hAnsi="宋体" w:eastAsia="宋体" w:cs="Times New Roman"/>
          <w:b/>
          <w:color w:val="000000"/>
          <w:sz w:val="36"/>
          <w:szCs w:val="36"/>
          <w:highlight w:val="none"/>
        </w:rPr>
        <w:t>需求偏离表</w:t>
      </w:r>
    </w:p>
    <w:p w14:paraId="15813E95">
      <w:pPr>
        <w:spacing w:line="500" w:lineRule="exact"/>
        <w:jc w:val="center"/>
        <w:rPr>
          <w:rFonts w:ascii="宋体" w:hAnsi="宋体"/>
          <w:b/>
          <w:color w:val="000000"/>
          <w:sz w:val="32"/>
          <w:szCs w:val="32"/>
          <w:highlight w:val="none"/>
        </w:rPr>
      </w:pPr>
    </w:p>
    <w:p w14:paraId="07B76630">
      <w:pPr>
        <w:spacing w:line="360" w:lineRule="auto"/>
        <w:contextualSpacing/>
        <w:jc w:val="left"/>
        <w:rPr>
          <w:rFonts w:ascii="宋体" w:hAnsi="宋体"/>
          <w:color w:val="000000"/>
          <w:sz w:val="24"/>
          <w:highlight w:val="none"/>
        </w:rPr>
      </w:pPr>
    </w:p>
    <w:p w14:paraId="3D99568E">
      <w:pPr>
        <w:pStyle w:val="9"/>
        <w:spacing w:before="37" w:line="344" w:lineRule="auto"/>
        <w:ind w:right="5297"/>
        <w:rPr>
          <w:spacing w:val="6"/>
          <w:sz w:val="21"/>
          <w:szCs w:val="21"/>
        </w:rPr>
      </w:pPr>
      <w:r>
        <w:rPr>
          <w:spacing w:val="-1"/>
          <w:sz w:val="21"/>
          <w:szCs w:val="21"/>
        </w:rPr>
        <w:t>采购项目编号：</w:t>
      </w:r>
      <w:r>
        <w:rPr>
          <w:spacing w:val="-1"/>
          <w:sz w:val="21"/>
          <w:szCs w:val="21"/>
          <w:u w:val="single" w:color="auto"/>
        </w:rPr>
        <w:t xml:space="preserve">                </w:t>
      </w:r>
      <w:r>
        <w:rPr>
          <w:spacing w:val="6"/>
          <w:sz w:val="21"/>
          <w:szCs w:val="21"/>
        </w:rPr>
        <w:t xml:space="preserve">  </w:t>
      </w:r>
    </w:p>
    <w:p w14:paraId="176404F4">
      <w:pPr>
        <w:pStyle w:val="9"/>
        <w:spacing w:before="37" w:line="344" w:lineRule="auto"/>
        <w:ind w:right="5297"/>
        <w:rPr>
          <w:sz w:val="21"/>
          <w:szCs w:val="21"/>
        </w:rPr>
      </w:pPr>
      <w:r>
        <w:rPr>
          <w:spacing w:val="-2"/>
          <w:sz w:val="21"/>
          <w:szCs w:val="21"/>
        </w:rPr>
        <w:t>采购项目</w:t>
      </w:r>
      <w:r>
        <w:rPr>
          <w:rFonts w:hint="eastAsia"/>
          <w:spacing w:val="-2"/>
          <w:sz w:val="21"/>
          <w:szCs w:val="21"/>
          <w:lang w:val="en-US" w:eastAsia="zh-CN"/>
        </w:rPr>
        <w:t>名</w:t>
      </w:r>
      <w:r>
        <w:rPr>
          <w:spacing w:val="-2"/>
          <w:sz w:val="21"/>
          <w:szCs w:val="21"/>
        </w:rPr>
        <w:t>称：</w:t>
      </w:r>
      <w:r>
        <w:rPr>
          <w:sz w:val="21"/>
          <w:szCs w:val="21"/>
          <w:u w:val="single" w:color="auto"/>
        </w:rPr>
        <w:t xml:space="preserve">                 </w:t>
      </w:r>
    </w:p>
    <w:p w14:paraId="2EF733F4">
      <w:pPr>
        <w:pStyle w:val="9"/>
        <w:spacing w:before="37" w:line="220" w:lineRule="auto"/>
        <w:ind w:left="3"/>
        <w:rPr>
          <w:sz w:val="21"/>
          <w:szCs w:val="21"/>
        </w:rPr>
      </w:pPr>
      <w:r>
        <w:rPr>
          <w:spacing w:val="8"/>
          <w:sz w:val="21"/>
          <w:szCs w:val="21"/>
        </w:rPr>
        <w:t>分标号（此处有分标时填写具体分标号，无分标时填写“无</w:t>
      </w:r>
      <w:r>
        <w:rPr>
          <w:spacing w:val="-69"/>
          <w:sz w:val="21"/>
          <w:szCs w:val="21"/>
        </w:rPr>
        <w:t xml:space="preserve"> </w:t>
      </w:r>
      <w:r>
        <w:rPr>
          <w:spacing w:val="8"/>
          <w:sz w:val="21"/>
          <w:szCs w:val="21"/>
        </w:rPr>
        <w:t>”</w:t>
      </w:r>
      <w:r>
        <w:rPr>
          <w:spacing w:val="-5"/>
          <w:sz w:val="21"/>
          <w:szCs w:val="21"/>
        </w:rPr>
        <w:t>）：</w:t>
      </w:r>
      <w:r>
        <w:rPr>
          <w:sz w:val="21"/>
          <w:szCs w:val="21"/>
          <w:u w:val="single" w:color="auto"/>
        </w:rPr>
        <w:t xml:space="preserve">        </w:t>
      </w:r>
    </w:p>
    <w:p w14:paraId="0343FAF3">
      <w:pPr>
        <w:spacing w:line="240" w:lineRule="exact"/>
        <w:rPr>
          <w:sz w:val="21"/>
          <w:szCs w:val="21"/>
        </w:rPr>
      </w:pPr>
    </w:p>
    <w:tbl>
      <w:tblPr>
        <w:tblStyle w:val="42"/>
        <w:tblW w:w="93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3517"/>
        <w:gridCol w:w="3208"/>
        <w:gridCol w:w="1857"/>
      </w:tblGrid>
      <w:tr w14:paraId="585B3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803" w:type="dxa"/>
            <w:textDirection w:val="tbRlV"/>
            <w:vAlign w:val="top"/>
          </w:tcPr>
          <w:p w14:paraId="6DA2D7E1">
            <w:pPr>
              <w:pStyle w:val="41"/>
              <w:spacing w:before="224" w:line="206" w:lineRule="auto"/>
              <w:ind w:left="71"/>
              <w:rPr>
                <w:sz w:val="21"/>
                <w:szCs w:val="21"/>
              </w:rPr>
            </w:pPr>
            <w:r>
              <w:rPr>
                <w:spacing w:val="-1"/>
                <w:sz w:val="21"/>
                <w:szCs w:val="21"/>
              </w:rPr>
              <w:t>项</w:t>
            </w:r>
            <w:r>
              <w:rPr>
                <w:spacing w:val="-19"/>
                <w:sz w:val="21"/>
                <w:szCs w:val="21"/>
              </w:rPr>
              <w:t xml:space="preserve"> </w:t>
            </w:r>
            <w:r>
              <w:rPr>
                <w:spacing w:val="-1"/>
                <w:sz w:val="21"/>
                <w:szCs w:val="21"/>
              </w:rPr>
              <w:t>号</w:t>
            </w:r>
          </w:p>
        </w:tc>
        <w:tc>
          <w:tcPr>
            <w:tcW w:w="3517" w:type="dxa"/>
            <w:vAlign w:val="top"/>
          </w:tcPr>
          <w:p w14:paraId="65A227E5">
            <w:pPr>
              <w:pStyle w:val="41"/>
              <w:spacing w:before="241" w:line="219" w:lineRule="auto"/>
              <w:ind w:left="501"/>
              <w:rPr>
                <w:sz w:val="21"/>
                <w:szCs w:val="21"/>
              </w:rPr>
            </w:pPr>
            <w:r>
              <w:rPr>
                <w:spacing w:val="-2"/>
                <w:sz w:val="21"/>
                <w:szCs w:val="21"/>
              </w:rPr>
              <w:t>竞争性磋商文件采购需求</w:t>
            </w:r>
          </w:p>
        </w:tc>
        <w:tc>
          <w:tcPr>
            <w:tcW w:w="3208" w:type="dxa"/>
            <w:vAlign w:val="top"/>
          </w:tcPr>
          <w:p w14:paraId="1A68BA01">
            <w:pPr>
              <w:pStyle w:val="41"/>
              <w:spacing w:before="241" w:line="219" w:lineRule="auto"/>
              <w:ind w:left="424"/>
              <w:rPr>
                <w:sz w:val="21"/>
                <w:szCs w:val="21"/>
              </w:rPr>
            </w:pPr>
            <w:r>
              <w:rPr>
                <w:spacing w:val="-3"/>
                <w:sz w:val="21"/>
                <w:szCs w:val="21"/>
              </w:rPr>
              <w:t>响应文件采购需求承诺</w:t>
            </w:r>
          </w:p>
        </w:tc>
        <w:tc>
          <w:tcPr>
            <w:tcW w:w="1857" w:type="dxa"/>
            <w:vAlign w:val="top"/>
          </w:tcPr>
          <w:p w14:paraId="43E0765A">
            <w:pPr>
              <w:pStyle w:val="41"/>
              <w:spacing w:before="242" w:line="219" w:lineRule="auto"/>
              <w:ind w:left="165"/>
              <w:jc w:val="center"/>
              <w:rPr>
                <w:sz w:val="21"/>
                <w:szCs w:val="21"/>
              </w:rPr>
            </w:pPr>
            <w:r>
              <w:rPr>
                <w:spacing w:val="-3"/>
                <w:sz w:val="21"/>
                <w:szCs w:val="21"/>
              </w:rPr>
              <w:t>偏离说明</w:t>
            </w:r>
          </w:p>
        </w:tc>
      </w:tr>
      <w:tr w14:paraId="47463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803" w:type="dxa"/>
            <w:vAlign w:val="center"/>
          </w:tcPr>
          <w:p w14:paraId="7B132A08">
            <w:pPr>
              <w:jc w:val="center"/>
              <w:rPr>
                <w:rFonts w:ascii="Arial"/>
                <w:sz w:val="21"/>
                <w:szCs w:val="21"/>
              </w:rPr>
            </w:pPr>
          </w:p>
        </w:tc>
        <w:tc>
          <w:tcPr>
            <w:tcW w:w="3517" w:type="dxa"/>
            <w:vAlign w:val="center"/>
          </w:tcPr>
          <w:p w14:paraId="072A51DC">
            <w:pPr>
              <w:jc w:val="center"/>
              <w:rPr>
                <w:rFonts w:ascii="Arial"/>
                <w:sz w:val="21"/>
                <w:szCs w:val="21"/>
              </w:rPr>
            </w:pPr>
          </w:p>
        </w:tc>
        <w:tc>
          <w:tcPr>
            <w:tcW w:w="3208" w:type="dxa"/>
            <w:vAlign w:val="center"/>
          </w:tcPr>
          <w:p w14:paraId="5D741478">
            <w:pPr>
              <w:jc w:val="center"/>
              <w:rPr>
                <w:rFonts w:ascii="Arial"/>
                <w:sz w:val="21"/>
                <w:szCs w:val="21"/>
              </w:rPr>
            </w:pPr>
          </w:p>
        </w:tc>
        <w:tc>
          <w:tcPr>
            <w:tcW w:w="1857" w:type="dxa"/>
            <w:vAlign w:val="center"/>
          </w:tcPr>
          <w:p w14:paraId="356AC898">
            <w:pPr>
              <w:jc w:val="center"/>
              <w:rPr>
                <w:rFonts w:ascii="Arial"/>
                <w:sz w:val="21"/>
                <w:szCs w:val="21"/>
              </w:rPr>
            </w:pPr>
          </w:p>
        </w:tc>
      </w:tr>
      <w:tr w14:paraId="3667C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803" w:type="dxa"/>
            <w:vAlign w:val="center"/>
          </w:tcPr>
          <w:p w14:paraId="3C7526B6">
            <w:pPr>
              <w:jc w:val="center"/>
              <w:rPr>
                <w:rFonts w:ascii="Arial"/>
                <w:sz w:val="21"/>
                <w:szCs w:val="21"/>
              </w:rPr>
            </w:pPr>
          </w:p>
        </w:tc>
        <w:tc>
          <w:tcPr>
            <w:tcW w:w="3517" w:type="dxa"/>
            <w:vAlign w:val="center"/>
          </w:tcPr>
          <w:p w14:paraId="37AB04AD">
            <w:pPr>
              <w:jc w:val="center"/>
              <w:rPr>
                <w:rFonts w:ascii="Arial"/>
                <w:sz w:val="21"/>
                <w:szCs w:val="21"/>
              </w:rPr>
            </w:pPr>
          </w:p>
        </w:tc>
        <w:tc>
          <w:tcPr>
            <w:tcW w:w="3208" w:type="dxa"/>
            <w:vAlign w:val="center"/>
          </w:tcPr>
          <w:p w14:paraId="182A5996">
            <w:pPr>
              <w:jc w:val="center"/>
              <w:rPr>
                <w:rFonts w:ascii="Arial"/>
                <w:sz w:val="21"/>
                <w:szCs w:val="21"/>
              </w:rPr>
            </w:pPr>
          </w:p>
        </w:tc>
        <w:tc>
          <w:tcPr>
            <w:tcW w:w="1857" w:type="dxa"/>
            <w:vAlign w:val="center"/>
          </w:tcPr>
          <w:p w14:paraId="6883D243">
            <w:pPr>
              <w:jc w:val="center"/>
              <w:rPr>
                <w:rFonts w:ascii="Arial"/>
                <w:sz w:val="21"/>
                <w:szCs w:val="21"/>
              </w:rPr>
            </w:pPr>
          </w:p>
        </w:tc>
      </w:tr>
      <w:tr w14:paraId="15A0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jc w:val="center"/>
        </w:trPr>
        <w:tc>
          <w:tcPr>
            <w:tcW w:w="803" w:type="dxa"/>
            <w:vAlign w:val="center"/>
          </w:tcPr>
          <w:p w14:paraId="6A9172E9">
            <w:pPr>
              <w:jc w:val="center"/>
              <w:rPr>
                <w:rFonts w:ascii="Arial"/>
                <w:sz w:val="21"/>
                <w:szCs w:val="21"/>
              </w:rPr>
            </w:pPr>
          </w:p>
        </w:tc>
        <w:tc>
          <w:tcPr>
            <w:tcW w:w="3517" w:type="dxa"/>
            <w:vAlign w:val="center"/>
          </w:tcPr>
          <w:p w14:paraId="38368150">
            <w:pPr>
              <w:jc w:val="center"/>
              <w:rPr>
                <w:rFonts w:ascii="Arial"/>
                <w:sz w:val="21"/>
                <w:szCs w:val="21"/>
              </w:rPr>
            </w:pPr>
          </w:p>
        </w:tc>
        <w:tc>
          <w:tcPr>
            <w:tcW w:w="3208" w:type="dxa"/>
            <w:vAlign w:val="center"/>
          </w:tcPr>
          <w:p w14:paraId="27A5613E">
            <w:pPr>
              <w:jc w:val="center"/>
              <w:rPr>
                <w:rFonts w:ascii="Arial"/>
                <w:sz w:val="21"/>
                <w:szCs w:val="21"/>
              </w:rPr>
            </w:pPr>
          </w:p>
        </w:tc>
        <w:tc>
          <w:tcPr>
            <w:tcW w:w="1857" w:type="dxa"/>
            <w:vAlign w:val="center"/>
          </w:tcPr>
          <w:p w14:paraId="29B997DE">
            <w:pPr>
              <w:jc w:val="center"/>
              <w:rPr>
                <w:rFonts w:ascii="Arial"/>
                <w:sz w:val="21"/>
                <w:szCs w:val="21"/>
              </w:rPr>
            </w:pPr>
          </w:p>
        </w:tc>
      </w:tr>
    </w:tbl>
    <w:p w14:paraId="4F4428E9">
      <w:pPr>
        <w:pStyle w:val="9"/>
        <w:spacing w:before="110" w:line="232" w:lineRule="auto"/>
        <w:ind w:left="419"/>
        <w:rPr>
          <w:rFonts w:hint="eastAsia" w:ascii="宋体" w:hAnsi="宋体" w:eastAsia="宋体" w:cs="宋体"/>
          <w:sz w:val="21"/>
          <w:szCs w:val="21"/>
        </w:rPr>
      </w:pPr>
      <w:r>
        <w:rPr>
          <w:rFonts w:hint="eastAsia" w:ascii="宋体" w:hAnsi="宋体" w:eastAsia="宋体" w:cs="宋体"/>
          <w:sz w:val="21"/>
          <w:szCs w:val="21"/>
        </w:rPr>
        <w:t>注：</w:t>
      </w:r>
    </w:p>
    <w:p w14:paraId="6D3D898D">
      <w:pPr>
        <w:pStyle w:val="9"/>
        <w:spacing w:before="109" w:line="317" w:lineRule="auto"/>
        <w:ind w:firstLine="434"/>
        <w:rPr>
          <w:rFonts w:hint="eastAsia" w:ascii="宋体" w:hAnsi="宋体" w:eastAsia="宋体" w:cs="宋体"/>
          <w:sz w:val="21"/>
          <w:szCs w:val="21"/>
        </w:rPr>
      </w:pPr>
      <w:r>
        <w:rPr>
          <w:rFonts w:hint="eastAsia" w:ascii="宋体" w:hAnsi="宋体" w:eastAsia="宋体" w:cs="宋体"/>
          <w:spacing w:val="7"/>
          <w:sz w:val="21"/>
          <w:szCs w:val="21"/>
        </w:rPr>
        <w:t>1.说明：应对照磋商文件</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第二章</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的技术需求</w:t>
      </w:r>
      <w:r>
        <w:rPr>
          <w:rFonts w:hint="eastAsia" w:ascii="宋体" w:hAnsi="宋体" w:eastAsia="宋体" w:cs="宋体"/>
          <w:b/>
          <w:bCs/>
          <w:spacing w:val="7"/>
          <w:sz w:val="21"/>
          <w:szCs w:val="21"/>
        </w:rPr>
        <w:t>（工程量清单</w:t>
      </w:r>
      <w:r>
        <w:rPr>
          <w:rFonts w:hint="eastAsia" w:ascii="宋体" w:hAnsi="宋体" w:eastAsia="宋体" w:cs="宋体"/>
          <w:b/>
          <w:bCs/>
          <w:spacing w:val="6"/>
          <w:sz w:val="21"/>
          <w:szCs w:val="21"/>
        </w:rPr>
        <w:t>的内容可以另册</w:t>
      </w:r>
      <w:r>
        <w:rPr>
          <w:rFonts w:hint="eastAsia" w:ascii="宋体" w:hAnsi="宋体" w:eastAsia="宋体" w:cs="宋体"/>
          <w:b/>
          <w:bCs/>
          <w:spacing w:val="8"/>
          <w:sz w:val="21"/>
          <w:szCs w:val="21"/>
        </w:rPr>
        <w:t>提供）</w:t>
      </w:r>
      <w:r>
        <w:rPr>
          <w:rFonts w:hint="eastAsia" w:ascii="宋体" w:hAnsi="宋体" w:eastAsia="宋体" w:cs="宋体"/>
          <w:spacing w:val="8"/>
          <w:sz w:val="21"/>
          <w:szCs w:val="21"/>
        </w:rPr>
        <w:t>逐条作出明确响应</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并作出偏离说明。</w:t>
      </w:r>
    </w:p>
    <w:p w14:paraId="25972DD1">
      <w:pPr>
        <w:pStyle w:val="9"/>
        <w:spacing w:before="34" w:line="322" w:lineRule="auto"/>
        <w:ind w:left="3" w:firstLine="419"/>
        <w:jc w:val="both"/>
        <w:rPr>
          <w:rFonts w:hint="eastAsia" w:ascii="宋体" w:hAnsi="宋体" w:eastAsia="宋体" w:cs="宋体"/>
          <w:sz w:val="21"/>
          <w:szCs w:val="21"/>
          <w:lang w:eastAsia="zh-CN"/>
        </w:rPr>
      </w:pPr>
      <w:r>
        <w:rPr>
          <w:rFonts w:hint="eastAsia" w:ascii="宋体" w:hAnsi="宋体" w:eastAsia="宋体" w:cs="宋体"/>
          <w:spacing w:val="8"/>
          <w:sz w:val="21"/>
          <w:szCs w:val="21"/>
        </w:rPr>
        <w:t>2.供应商应根据自身的承诺，对照磋商文件要求，在</w:t>
      </w:r>
      <w:r>
        <w:rPr>
          <w:rFonts w:hint="eastAsia" w:ascii="宋体" w:hAnsi="宋体" w:eastAsia="宋体" w:cs="宋体"/>
          <w:spacing w:val="7"/>
          <w:sz w:val="21"/>
          <w:szCs w:val="21"/>
          <w:lang w:eastAsia="zh-CN"/>
        </w:rPr>
        <w:t>“</w:t>
      </w:r>
      <w:r>
        <w:rPr>
          <w:rFonts w:hint="eastAsia" w:ascii="宋体" w:hAnsi="宋体" w:eastAsia="宋体" w:cs="宋体"/>
          <w:spacing w:val="8"/>
          <w:sz w:val="21"/>
          <w:szCs w:val="21"/>
        </w:rPr>
        <w:t>偏离说明</w:t>
      </w:r>
      <w:r>
        <w:rPr>
          <w:rFonts w:hint="eastAsia" w:ascii="宋体" w:hAnsi="宋体" w:eastAsia="宋体" w:cs="宋体"/>
          <w:spacing w:val="7"/>
          <w:sz w:val="21"/>
          <w:szCs w:val="21"/>
          <w:lang w:eastAsia="zh-CN"/>
        </w:rPr>
        <w:t>”</w:t>
      </w:r>
      <w:r>
        <w:rPr>
          <w:rFonts w:hint="eastAsia" w:ascii="宋体" w:hAnsi="宋体" w:eastAsia="宋体" w:cs="宋体"/>
          <w:spacing w:val="8"/>
          <w:sz w:val="21"/>
          <w:szCs w:val="21"/>
        </w:rPr>
        <w:t>中注明</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正偏离</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负偏离</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或者</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无偏离</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。既不属于“正偏离</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也不属于</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负偏离</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即为</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无偏离</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当响应文件的</w:t>
      </w:r>
      <w:r>
        <w:rPr>
          <w:rFonts w:hint="eastAsia" w:ascii="宋体" w:hAnsi="宋体" w:eastAsia="宋体" w:cs="宋体"/>
          <w:spacing w:val="9"/>
          <w:sz w:val="21"/>
          <w:szCs w:val="21"/>
          <w:lang w:val="en-US" w:eastAsia="zh-CN"/>
        </w:rPr>
        <w:t>承诺</w:t>
      </w:r>
      <w:r>
        <w:rPr>
          <w:rFonts w:hint="eastAsia" w:ascii="宋体" w:hAnsi="宋体" w:eastAsia="宋体" w:cs="宋体"/>
          <w:spacing w:val="9"/>
          <w:sz w:val="21"/>
          <w:szCs w:val="21"/>
        </w:rPr>
        <w:t>内容低于竞争性磋商文件要求时，竞标人应当如实写明</w:t>
      </w:r>
      <w:r>
        <w:rPr>
          <w:rFonts w:hint="eastAsia" w:ascii="宋体" w:hAnsi="宋体" w:eastAsia="宋体" w:cs="宋体"/>
          <w:spacing w:val="7"/>
          <w:sz w:val="21"/>
          <w:szCs w:val="21"/>
          <w:lang w:eastAsia="zh-CN"/>
        </w:rPr>
        <w:t>“</w:t>
      </w:r>
      <w:r>
        <w:rPr>
          <w:rFonts w:hint="eastAsia" w:ascii="宋体" w:hAnsi="宋体" w:eastAsia="宋体" w:cs="宋体"/>
          <w:spacing w:val="9"/>
          <w:sz w:val="21"/>
          <w:szCs w:val="21"/>
        </w:rPr>
        <w:t>负偏离</w:t>
      </w:r>
      <w:r>
        <w:rPr>
          <w:rFonts w:hint="eastAsia" w:ascii="宋体" w:hAnsi="宋体" w:eastAsia="宋体" w:cs="宋体"/>
          <w:spacing w:val="7"/>
          <w:sz w:val="21"/>
          <w:szCs w:val="21"/>
          <w:lang w:eastAsia="zh-CN"/>
        </w:rPr>
        <w:t>”</w:t>
      </w:r>
      <w:r>
        <w:rPr>
          <w:rFonts w:hint="eastAsia" w:ascii="宋体" w:hAnsi="宋体" w:eastAsia="宋体" w:cs="宋体"/>
          <w:spacing w:val="9"/>
          <w:sz w:val="21"/>
          <w:szCs w:val="21"/>
        </w:rPr>
        <w:t>，否则视为虚假应标</w:t>
      </w:r>
      <w:r>
        <w:rPr>
          <w:rFonts w:hint="eastAsia" w:ascii="宋体" w:hAnsi="宋体" w:eastAsia="宋体" w:cs="宋体"/>
          <w:spacing w:val="9"/>
          <w:sz w:val="21"/>
          <w:szCs w:val="21"/>
          <w:lang w:eastAsia="zh-CN"/>
        </w:rPr>
        <w:t>。</w:t>
      </w:r>
    </w:p>
    <w:p w14:paraId="1C480870">
      <w:pPr>
        <w:pStyle w:val="9"/>
        <w:spacing w:before="34" w:line="322" w:lineRule="auto"/>
        <w:ind w:left="3" w:firstLine="419"/>
        <w:jc w:val="both"/>
        <w:rPr>
          <w:rFonts w:hint="eastAsia" w:ascii="宋体" w:hAnsi="宋体" w:eastAsia="宋体" w:cs="宋体"/>
          <w:spacing w:val="8"/>
          <w:sz w:val="21"/>
          <w:szCs w:val="21"/>
        </w:rPr>
      </w:pPr>
      <w:r>
        <w:rPr>
          <w:rFonts w:hint="eastAsia" w:ascii="宋体" w:hAnsi="宋体" w:eastAsia="宋体" w:cs="宋体"/>
          <w:spacing w:val="8"/>
          <w:sz w:val="21"/>
          <w:szCs w:val="21"/>
        </w:rPr>
        <w:t xml:space="preserve">3.表格内容均需按要求填写并盖章，不得留空，否则按竞标无效处理。 </w:t>
      </w:r>
    </w:p>
    <w:p w14:paraId="2EEE88B9">
      <w:pPr>
        <w:pStyle w:val="9"/>
        <w:spacing w:before="34" w:line="322" w:lineRule="auto"/>
        <w:ind w:left="3" w:firstLine="419"/>
        <w:jc w:val="both"/>
        <w:rPr>
          <w:rFonts w:ascii="Times New Roman" w:hAnsi="Times New Roman" w:eastAsia="宋体" w:cs="Times New Roman"/>
          <w:spacing w:val="8"/>
          <w:sz w:val="21"/>
          <w:szCs w:val="21"/>
        </w:rPr>
      </w:pPr>
      <w:r>
        <w:rPr>
          <w:rFonts w:ascii="Times New Roman" w:hAnsi="Times New Roman" w:eastAsia="宋体" w:cs="Times New Roman"/>
          <w:spacing w:val="8"/>
          <w:sz w:val="21"/>
          <w:szCs w:val="21"/>
        </w:rPr>
        <w:t>4.如技术偏离表中的竞标响应与佐证材料不一致的， 以佐证材料为准。</w:t>
      </w:r>
    </w:p>
    <w:p w14:paraId="4BE6330E">
      <w:pPr>
        <w:spacing w:line="345" w:lineRule="auto"/>
        <w:rPr>
          <w:rFonts w:ascii="Arial"/>
          <w:sz w:val="21"/>
          <w:szCs w:val="21"/>
        </w:rPr>
      </w:pPr>
    </w:p>
    <w:p w14:paraId="1AD27101">
      <w:pPr>
        <w:pageBreakBefore w:val="0"/>
        <w:kinsoku/>
        <w:overflowPunct/>
        <w:topLinePunct w:val="0"/>
        <w:autoSpaceDE w:val="0"/>
        <w:autoSpaceDN w:val="0"/>
        <w:bidi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7BB82014">
      <w:pPr>
        <w:autoSpaceDE w:val="0"/>
        <w:autoSpaceDN w:val="0"/>
        <w:spacing w:line="360" w:lineRule="auto"/>
        <w:ind w:firstLine="5670" w:firstLineChars="2700"/>
        <w:rPr>
          <w:rFonts w:hint="eastAsia" w:ascii="仿宋_GB2312" w:hAnsi="仿宋" w:eastAsia="仿宋_GB2312" w:cs="仿宋_GB2312"/>
          <w:b/>
          <w:bCs/>
          <w:color w:val="auto"/>
          <w:sz w:val="21"/>
          <w:szCs w:val="21"/>
          <w:highlight w:val="none"/>
        </w:rPr>
      </w:pPr>
      <w:r>
        <w:rPr>
          <w:rFonts w:hint="eastAsia" w:ascii="宋体" w:hAnsi="宋体" w:eastAsia="宋体" w:cs="宋体"/>
          <w:color w:val="auto"/>
          <w:kern w:val="0"/>
          <w:sz w:val="21"/>
          <w:szCs w:val="21"/>
          <w:highlight w:val="none"/>
          <w:lang w:val="zh-CN"/>
        </w:rPr>
        <w:t>日期：  年  月   日</w:t>
      </w:r>
    </w:p>
    <w:p w14:paraId="44D70412">
      <w:pPr>
        <w:spacing w:line="500" w:lineRule="exact"/>
        <w:jc w:val="center"/>
        <w:rPr>
          <w:rFonts w:ascii="宋体" w:hAnsi="宋体" w:cs="仿宋_GB2312"/>
          <w:color w:val="000000"/>
          <w:sz w:val="32"/>
          <w:szCs w:val="32"/>
          <w:highlight w:val="none"/>
        </w:rPr>
        <w:sectPr>
          <w:pgSz w:w="11910" w:h="16840"/>
          <w:pgMar w:top="1417" w:right="1417" w:bottom="1417" w:left="1417" w:header="720" w:footer="720" w:gutter="0"/>
          <w:pgNumType w:fmt="decimal"/>
          <w:cols w:space="720" w:num="1"/>
          <w:rtlGutter w:val="0"/>
        </w:sectPr>
      </w:pPr>
      <w:r>
        <w:rPr>
          <w:rFonts w:hint="eastAsia" w:ascii="宋体" w:hAnsi="宋体" w:cs="仿宋_GB2312"/>
          <w:b/>
          <w:color w:val="000000"/>
          <w:sz w:val="30"/>
          <w:szCs w:val="30"/>
          <w:highlight w:val="none"/>
          <w:lang w:val="en-US" w:eastAsia="zh-CN"/>
        </w:rPr>
        <w:br w:type="page"/>
      </w:r>
    </w:p>
    <w:p w14:paraId="5146D922">
      <w:pPr>
        <w:snapToGrid w:val="0"/>
        <w:spacing w:line="360" w:lineRule="auto"/>
        <w:jc w:val="center"/>
        <w:rPr>
          <w:rFonts w:ascii="宋体" w:hAnsi="宋体" w:cs="仿宋_GB2312"/>
          <w:b/>
          <w:color w:val="000000"/>
          <w:sz w:val="30"/>
          <w:szCs w:val="30"/>
          <w:highlight w:val="none"/>
        </w:rPr>
      </w:pPr>
      <w:r>
        <w:rPr>
          <w:rFonts w:hint="eastAsia" w:ascii="宋体" w:hAnsi="宋体" w:cs="仿宋_GB2312"/>
          <w:b/>
          <w:color w:val="000000"/>
          <w:sz w:val="30"/>
          <w:szCs w:val="30"/>
          <w:highlight w:val="none"/>
        </w:rPr>
        <w:t>施工组织设计</w:t>
      </w:r>
    </w:p>
    <w:p w14:paraId="2C004627">
      <w:pPr>
        <w:pStyle w:val="9"/>
        <w:spacing w:before="214" w:line="371" w:lineRule="auto"/>
        <w:ind w:firstLine="435"/>
        <w:rPr>
          <w:sz w:val="21"/>
          <w:szCs w:val="21"/>
        </w:rPr>
      </w:pPr>
      <w:r>
        <w:rPr>
          <w:spacing w:val="9"/>
          <w:sz w:val="21"/>
          <w:szCs w:val="21"/>
        </w:rPr>
        <w:t>1.</w:t>
      </w:r>
      <w:r>
        <w:rPr>
          <w:rFonts w:hint="eastAsia"/>
          <w:spacing w:val="9"/>
          <w:sz w:val="21"/>
          <w:szCs w:val="21"/>
          <w:lang w:val="en-US" w:eastAsia="zh-CN"/>
        </w:rPr>
        <w:t>供应商</w:t>
      </w:r>
      <w:r>
        <w:rPr>
          <w:spacing w:val="9"/>
          <w:sz w:val="21"/>
          <w:szCs w:val="21"/>
        </w:rPr>
        <w:t>编制施工组织设计时，应采用文字并结合图表形式说明工程的施工组织、施</w:t>
      </w:r>
      <w:r>
        <w:rPr>
          <w:spacing w:val="8"/>
          <w:sz w:val="21"/>
          <w:szCs w:val="21"/>
        </w:rPr>
        <w:t>工方法、</w:t>
      </w:r>
      <w:r>
        <w:rPr>
          <w:sz w:val="21"/>
          <w:szCs w:val="21"/>
        </w:rPr>
        <w:t xml:space="preserve"> </w:t>
      </w:r>
      <w:r>
        <w:rPr>
          <w:spacing w:val="10"/>
          <w:sz w:val="21"/>
          <w:szCs w:val="21"/>
        </w:rPr>
        <w:t>技术组织措施，同时应对关键工序、复杂环节重点提</w:t>
      </w:r>
      <w:r>
        <w:rPr>
          <w:spacing w:val="9"/>
          <w:sz w:val="21"/>
          <w:szCs w:val="21"/>
        </w:rPr>
        <w:t>出相应技术措施，如冬雨季施工技术、减少噪</w:t>
      </w:r>
      <w:r>
        <w:rPr>
          <w:sz w:val="21"/>
          <w:szCs w:val="21"/>
        </w:rPr>
        <w:t xml:space="preserve"> </w:t>
      </w:r>
      <w:r>
        <w:rPr>
          <w:spacing w:val="10"/>
          <w:sz w:val="21"/>
          <w:szCs w:val="21"/>
        </w:rPr>
        <w:t>音、降低环境污染、地下管线及其它地上地下</w:t>
      </w:r>
      <w:r>
        <w:rPr>
          <w:spacing w:val="9"/>
          <w:sz w:val="21"/>
          <w:szCs w:val="21"/>
        </w:rPr>
        <w:t>设施的保护加固措施等。施工组织设计还应结合工程</w:t>
      </w:r>
      <w:r>
        <w:rPr>
          <w:sz w:val="21"/>
          <w:szCs w:val="21"/>
        </w:rPr>
        <w:t xml:space="preserve"> </w:t>
      </w:r>
      <w:r>
        <w:rPr>
          <w:spacing w:val="10"/>
          <w:sz w:val="21"/>
          <w:szCs w:val="21"/>
        </w:rPr>
        <w:t>特点提出切实可行的工程质量、工程进度、安</w:t>
      </w:r>
      <w:r>
        <w:rPr>
          <w:spacing w:val="9"/>
          <w:sz w:val="21"/>
          <w:szCs w:val="21"/>
        </w:rPr>
        <w:t>全生产、防汛度汛、文明施工、水土保持、环境保护</w:t>
      </w:r>
      <w:r>
        <w:rPr>
          <w:sz w:val="21"/>
          <w:szCs w:val="21"/>
        </w:rPr>
        <w:t xml:space="preserve"> </w:t>
      </w:r>
      <w:r>
        <w:rPr>
          <w:spacing w:val="5"/>
          <w:sz w:val="21"/>
          <w:szCs w:val="21"/>
        </w:rPr>
        <w:t>管理方案。</w:t>
      </w:r>
    </w:p>
    <w:p w14:paraId="1F4AC121">
      <w:pPr>
        <w:pStyle w:val="9"/>
        <w:spacing w:before="31" w:line="227" w:lineRule="auto"/>
        <w:ind w:left="419"/>
        <w:rPr>
          <w:sz w:val="21"/>
          <w:szCs w:val="21"/>
        </w:rPr>
      </w:pPr>
      <w:r>
        <w:rPr>
          <w:spacing w:val="9"/>
          <w:sz w:val="21"/>
          <w:szCs w:val="21"/>
        </w:rPr>
        <w:t>施工组织设计应附的文字说明如下(包括但不限于以下内容，否则响应文件无效)：</w:t>
      </w:r>
    </w:p>
    <w:p w14:paraId="519F7D13">
      <w:pPr>
        <w:pStyle w:val="9"/>
        <w:spacing w:before="162" w:line="229" w:lineRule="auto"/>
        <w:ind w:left="430"/>
        <w:rPr>
          <w:sz w:val="21"/>
          <w:szCs w:val="21"/>
        </w:rPr>
      </w:pPr>
      <w:r>
        <w:rPr>
          <w:spacing w:val="7"/>
          <w:sz w:val="21"/>
          <w:szCs w:val="21"/>
        </w:rPr>
        <w:t>（1）主要施工方法</w:t>
      </w:r>
    </w:p>
    <w:p w14:paraId="4508D900">
      <w:pPr>
        <w:pStyle w:val="9"/>
        <w:spacing w:before="162" w:line="227" w:lineRule="auto"/>
        <w:ind w:left="430"/>
        <w:rPr>
          <w:sz w:val="21"/>
          <w:szCs w:val="21"/>
        </w:rPr>
      </w:pPr>
      <w:r>
        <w:rPr>
          <w:spacing w:val="8"/>
          <w:sz w:val="21"/>
          <w:szCs w:val="21"/>
        </w:rPr>
        <w:t>（2）拟投入的主要物资计划</w:t>
      </w:r>
    </w:p>
    <w:p w14:paraId="25907D6C">
      <w:pPr>
        <w:pStyle w:val="9"/>
        <w:spacing w:before="162" w:line="227" w:lineRule="auto"/>
        <w:ind w:left="430"/>
        <w:rPr>
          <w:sz w:val="21"/>
          <w:szCs w:val="21"/>
        </w:rPr>
      </w:pPr>
      <w:r>
        <w:rPr>
          <w:spacing w:val="8"/>
          <w:sz w:val="21"/>
          <w:szCs w:val="21"/>
        </w:rPr>
        <w:t>（3）拟投入的主要施工机械、设备计划</w:t>
      </w:r>
    </w:p>
    <w:p w14:paraId="041A43FD">
      <w:pPr>
        <w:pStyle w:val="9"/>
        <w:spacing w:before="161" w:line="228" w:lineRule="auto"/>
        <w:ind w:left="430"/>
        <w:rPr>
          <w:sz w:val="21"/>
          <w:szCs w:val="21"/>
        </w:rPr>
      </w:pPr>
      <w:r>
        <w:rPr>
          <w:spacing w:val="7"/>
          <w:sz w:val="21"/>
          <w:szCs w:val="21"/>
        </w:rPr>
        <w:t>（4）劳动力安排计划</w:t>
      </w:r>
    </w:p>
    <w:p w14:paraId="76FABC88">
      <w:pPr>
        <w:pStyle w:val="9"/>
        <w:spacing w:before="161" w:line="228" w:lineRule="auto"/>
        <w:ind w:left="430"/>
        <w:rPr>
          <w:sz w:val="21"/>
          <w:szCs w:val="21"/>
        </w:rPr>
      </w:pPr>
      <w:r>
        <w:rPr>
          <w:spacing w:val="8"/>
          <w:sz w:val="21"/>
          <w:szCs w:val="21"/>
        </w:rPr>
        <w:t>（5）确保工程质量的技术组织措施</w:t>
      </w:r>
    </w:p>
    <w:p w14:paraId="0AF09D2E">
      <w:pPr>
        <w:pStyle w:val="9"/>
        <w:spacing w:before="160" w:line="228" w:lineRule="auto"/>
        <w:ind w:left="430"/>
        <w:rPr>
          <w:sz w:val="21"/>
          <w:szCs w:val="21"/>
        </w:rPr>
      </w:pPr>
      <w:r>
        <w:rPr>
          <w:spacing w:val="8"/>
          <w:sz w:val="21"/>
          <w:szCs w:val="21"/>
        </w:rPr>
        <w:t>（6）确保安全生产的技术组织措施</w:t>
      </w:r>
    </w:p>
    <w:p w14:paraId="66B87F9E">
      <w:pPr>
        <w:pStyle w:val="9"/>
        <w:spacing w:before="161" w:line="228" w:lineRule="auto"/>
        <w:ind w:left="430"/>
        <w:rPr>
          <w:sz w:val="21"/>
          <w:szCs w:val="21"/>
        </w:rPr>
      </w:pPr>
      <w:r>
        <w:rPr>
          <w:spacing w:val="8"/>
          <w:sz w:val="21"/>
          <w:szCs w:val="21"/>
        </w:rPr>
        <w:t>（7）确保工期的技术组织措施</w:t>
      </w:r>
    </w:p>
    <w:p w14:paraId="792B8B2D">
      <w:pPr>
        <w:pStyle w:val="9"/>
        <w:spacing w:before="165" w:line="228" w:lineRule="auto"/>
        <w:ind w:left="430"/>
        <w:rPr>
          <w:sz w:val="21"/>
          <w:szCs w:val="21"/>
        </w:rPr>
      </w:pPr>
      <w:r>
        <w:rPr>
          <w:spacing w:val="8"/>
          <w:sz w:val="21"/>
          <w:szCs w:val="21"/>
        </w:rPr>
        <w:t>（8）工程施工的重点和难点及保证措施</w:t>
      </w:r>
    </w:p>
    <w:p w14:paraId="2105CE93">
      <w:pPr>
        <w:spacing w:line="248" w:lineRule="auto"/>
        <w:rPr>
          <w:rFonts w:ascii="Arial"/>
          <w:sz w:val="21"/>
          <w:szCs w:val="21"/>
        </w:rPr>
      </w:pPr>
    </w:p>
    <w:p w14:paraId="5F61F1C8">
      <w:pPr>
        <w:pStyle w:val="9"/>
        <w:spacing w:before="65" w:line="83" w:lineRule="exact"/>
        <w:ind w:left="425"/>
        <w:rPr>
          <w:sz w:val="21"/>
          <w:szCs w:val="21"/>
        </w:rPr>
      </w:pPr>
      <w:r>
        <w:rPr>
          <w:spacing w:val="4"/>
          <w:position w:val="1"/>
          <w:sz w:val="21"/>
          <w:szCs w:val="21"/>
        </w:rPr>
        <w:t>......</w:t>
      </w:r>
    </w:p>
    <w:p w14:paraId="2C75AE2E">
      <w:pPr>
        <w:spacing w:line="254" w:lineRule="auto"/>
        <w:rPr>
          <w:rFonts w:ascii="Arial"/>
          <w:sz w:val="21"/>
          <w:szCs w:val="21"/>
        </w:rPr>
      </w:pPr>
    </w:p>
    <w:p w14:paraId="5BA91950">
      <w:pPr>
        <w:spacing w:line="255" w:lineRule="auto"/>
        <w:rPr>
          <w:rFonts w:ascii="Arial"/>
          <w:sz w:val="21"/>
          <w:szCs w:val="21"/>
        </w:rPr>
      </w:pPr>
    </w:p>
    <w:p w14:paraId="64D72306">
      <w:pPr>
        <w:pStyle w:val="9"/>
        <w:numPr>
          <w:ilvl w:val="0"/>
          <w:numId w:val="4"/>
        </w:numPr>
        <w:spacing w:before="66" w:line="364" w:lineRule="auto"/>
        <w:ind w:left="435" w:right="1914" w:hanging="13"/>
        <w:rPr>
          <w:spacing w:val="9"/>
          <w:sz w:val="21"/>
          <w:szCs w:val="21"/>
        </w:rPr>
      </w:pPr>
      <w:r>
        <w:rPr>
          <w:spacing w:val="8"/>
          <w:sz w:val="21"/>
          <w:szCs w:val="21"/>
        </w:rPr>
        <w:t>施工组织设计除采用文字表述外应附下列图表，图表及格式要求附后。</w:t>
      </w:r>
      <w:r>
        <w:rPr>
          <w:spacing w:val="9"/>
          <w:sz w:val="21"/>
          <w:szCs w:val="21"/>
        </w:rPr>
        <w:t xml:space="preserve"> </w:t>
      </w:r>
    </w:p>
    <w:p w14:paraId="0947FAD7">
      <w:pPr>
        <w:pStyle w:val="9"/>
        <w:spacing w:before="30" w:line="227" w:lineRule="auto"/>
        <w:ind w:left="436"/>
        <w:rPr>
          <w:spacing w:val="9"/>
          <w:sz w:val="21"/>
          <w:szCs w:val="21"/>
        </w:rPr>
      </w:pPr>
      <w:r>
        <w:rPr>
          <w:spacing w:val="9"/>
          <w:sz w:val="21"/>
          <w:szCs w:val="21"/>
        </w:rPr>
        <w:t>附件一：拟投入本合同工程的主要施工设备表</w:t>
      </w:r>
    </w:p>
    <w:p w14:paraId="70124446">
      <w:pPr>
        <w:pStyle w:val="9"/>
        <w:spacing w:before="30" w:line="227" w:lineRule="auto"/>
        <w:ind w:left="436"/>
        <w:rPr>
          <w:spacing w:val="9"/>
          <w:sz w:val="21"/>
          <w:szCs w:val="21"/>
        </w:rPr>
      </w:pPr>
      <w:r>
        <w:rPr>
          <w:spacing w:val="9"/>
          <w:sz w:val="21"/>
          <w:szCs w:val="21"/>
        </w:rPr>
        <w:t>附件二：拟投入本合同工程的试验和检测仪器设备表</w:t>
      </w:r>
    </w:p>
    <w:p w14:paraId="68716B50">
      <w:pPr>
        <w:pStyle w:val="9"/>
        <w:spacing w:before="30" w:line="227" w:lineRule="auto"/>
        <w:ind w:left="436"/>
        <w:rPr>
          <w:spacing w:val="9"/>
          <w:sz w:val="21"/>
          <w:szCs w:val="21"/>
        </w:rPr>
      </w:pPr>
      <w:r>
        <w:rPr>
          <w:spacing w:val="9"/>
          <w:sz w:val="21"/>
          <w:szCs w:val="21"/>
        </w:rPr>
        <w:t>附件三：拟投入本合同工程的劳动力计划表</w:t>
      </w:r>
    </w:p>
    <w:p w14:paraId="2FCED705">
      <w:pPr>
        <w:pStyle w:val="9"/>
        <w:spacing w:before="30" w:line="227" w:lineRule="auto"/>
        <w:ind w:left="436"/>
        <w:rPr>
          <w:spacing w:val="9"/>
          <w:sz w:val="21"/>
          <w:szCs w:val="21"/>
        </w:rPr>
      </w:pPr>
      <w:r>
        <w:rPr>
          <w:spacing w:val="9"/>
          <w:sz w:val="21"/>
          <w:szCs w:val="21"/>
        </w:rPr>
        <w:t>附件四、拟投入本合同工程的材料进场计划表</w:t>
      </w:r>
    </w:p>
    <w:p w14:paraId="1CD6BFDF">
      <w:pPr>
        <w:pStyle w:val="9"/>
        <w:spacing w:before="30" w:line="227" w:lineRule="auto"/>
        <w:ind w:left="436"/>
        <w:rPr>
          <w:spacing w:val="9"/>
          <w:sz w:val="21"/>
          <w:szCs w:val="21"/>
        </w:rPr>
      </w:pPr>
      <w:r>
        <w:rPr>
          <w:spacing w:val="9"/>
          <w:sz w:val="21"/>
          <w:szCs w:val="21"/>
        </w:rPr>
        <w:t xml:space="preserve">附件五：计划开工日期、完工日期和施工进度网络图(或横递图) </w:t>
      </w:r>
    </w:p>
    <w:p w14:paraId="05FB1D32">
      <w:pPr>
        <w:pStyle w:val="9"/>
        <w:spacing w:before="30" w:line="227" w:lineRule="auto"/>
        <w:ind w:left="436"/>
        <w:rPr>
          <w:spacing w:val="9"/>
          <w:sz w:val="21"/>
          <w:szCs w:val="21"/>
        </w:rPr>
      </w:pPr>
      <w:r>
        <w:rPr>
          <w:spacing w:val="9"/>
          <w:sz w:val="21"/>
          <w:szCs w:val="21"/>
        </w:rPr>
        <w:t>附件六：施工总平面图</w:t>
      </w:r>
    </w:p>
    <w:p w14:paraId="39CE9898">
      <w:pPr>
        <w:pStyle w:val="9"/>
        <w:spacing w:before="30" w:line="227" w:lineRule="auto"/>
        <w:ind w:left="436"/>
        <w:rPr>
          <w:spacing w:val="9"/>
          <w:sz w:val="21"/>
          <w:szCs w:val="21"/>
        </w:rPr>
      </w:pPr>
      <w:r>
        <w:rPr>
          <w:spacing w:val="9"/>
          <w:sz w:val="21"/>
          <w:szCs w:val="21"/>
        </w:rPr>
        <w:t>附件七：临时用地表</w:t>
      </w:r>
    </w:p>
    <w:p w14:paraId="3DBBC049">
      <w:pPr>
        <w:spacing w:line="227" w:lineRule="auto"/>
        <w:rPr>
          <w:sz w:val="21"/>
          <w:szCs w:val="21"/>
        </w:rPr>
        <w:sectPr>
          <w:headerReference r:id="rId11" w:type="default"/>
          <w:footerReference r:id="rId12" w:type="default"/>
          <w:pgSz w:w="11910" w:h="16840"/>
          <w:pgMar w:top="1440" w:right="1080" w:bottom="1440" w:left="1080" w:header="0" w:footer="859" w:gutter="0"/>
          <w:pgNumType w:fmt="decimal"/>
          <w:cols w:space="720" w:num="1"/>
        </w:sectPr>
      </w:pPr>
    </w:p>
    <w:p w14:paraId="786D631F">
      <w:pPr>
        <w:rPr>
          <w:b/>
          <w:bCs/>
          <w:color w:val="auto"/>
          <w:highlight w:val="none"/>
        </w:rPr>
      </w:pPr>
      <w:r>
        <w:rPr>
          <w:b/>
          <w:bCs/>
          <w:color w:val="auto"/>
          <w:highlight w:val="none"/>
        </w:rPr>
        <w:t>附表一：拟投入本合同工程的主要施工设备表</w:t>
      </w:r>
    </w:p>
    <w:p w14:paraId="46B44F81">
      <w:pPr>
        <w:jc w:val="center"/>
        <w:rPr>
          <w:b/>
          <w:bCs/>
          <w:color w:val="auto"/>
          <w:highlight w:val="none"/>
        </w:rPr>
      </w:pPr>
    </w:p>
    <w:p w14:paraId="00A3B0AE">
      <w:pPr>
        <w:jc w:val="center"/>
        <w:rPr>
          <w:b/>
          <w:bCs/>
          <w:color w:val="auto"/>
          <w:highlight w:val="none"/>
        </w:rPr>
      </w:pPr>
      <w:r>
        <w:rPr>
          <w:b/>
          <w:bCs/>
          <w:color w:val="auto"/>
          <w:highlight w:val="none"/>
        </w:rPr>
        <w:t>拟投入本合同工程的主要施工设备表</w:t>
      </w:r>
    </w:p>
    <w:p w14:paraId="36ADA18B">
      <w:pPr>
        <w:rPr>
          <w:color w:val="auto"/>
          <w:szCs w:val="21"/>
          <w:highlight w:val="none"/>
        </w:rPr>
      </w:pPr>
    </w:p>
    <w:tbl>
      <w:tblPr>
        <w:tblStyle w:val="22"/>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1A79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282B54F9">
            <w:pPr>
              <w:jc w:val="center"/>
              <w:rPr>
                <w:color w:val="auto"/>
                <w:szCs w:val="21"/>
                <w:highlight w:val="none"/>
              </w:rPr>
            </w:pPr>
            <w:r>
              <w:rPr>
                <w:color w:val="auto"/>
                <w:szCs w:val="21"/>
                <w:highlight w:val="none"/>
              </w:rPr>
              <w:t>序号</w:t>
            </w:r>
          </w:p>
        </w:tc>
        <w:tc>
          <w:tcPr>
            <w:tcW w:w="1226" w:type="dxa"/>
            <w:vAlign w:val="center"/>
          </w:tcPr>
          <w:p w14:paraId="41623A7D">
            <w:pPr>
              <w:jc w:val="center"/>
              <w:rPr>
                <w:color w:val="auto"/>
                <w:szCs w:val="21"/>
                <w:highlight w:val="none"/>
              </w:rPr>
            </w:pPr>
            <w:r>
              <w:rPr>
                <w:color w:val="auto"/>
                <w:szCs w:val="21"/>
                <w:highlight w:val="none"/>
              </w:rPr>
              <w:t>设备名称</w:t>
            </w:r>
          </w:p>
        </w:tc>
        <w:tc>
          <w:tcPr>
            <w:tcW w:w="851" w:type="dxa"/>
            <w:vAlign w:val="center"/>
          </w:tcPr>
          <w:p w14:paraId="454D035E">
            <w:pPr>
              <w:jc w:val="center"/>
              <w:rPr>
                <w:color w:val="auto"/>
                <w:szCs w:val="21"/>
                <w:highlight w:val="none"/>
              </w:rPr>
            </w:pPr>
            <w:r>
              <w:rPr>
                <w:color w:val="auto"/>
                <w:szCs w:val="21"/>
                <w:highlight w:val="none"/>
              </w:rPr>
              <w:t>型号</w:t>
            </w:r>
          </w:p>
          <w:p w14:paraId="148865F3">
            <w:pPr>
              <w:jc w:val="center"/>
              <w:rPr>
                <w:color w:val="auto"/>
                <w:szCs w:val="21"/>
                <w:highlight w:val="none"/>
              </w:rPr>
            </w:pPr>
            <w:r>
              <w:rPr>
                <w:color w:val="auto"/>
                <w:szCs w:val="21"/>
                <w:highlight w:val="none"/>
              </w:rPr>
              <w:t>规格</w:t>
            </w:r>
          </w:p>
        </w:tc>
        <w:tc>
          <w:tcPr>
            <w:tcW w:w="708" w:type="dxa"/>
            <w:vAlign w:val="center"/>
          </w:tcPr>
          <w:p w14:paraId="46EBBAE6">
            <w:pPr>
              <w:jc w:val="center"/>
              <w:rPr>
                <w:color w:val="auto"/>
                <w:szCs w:val="21"/>
                <w:highlight w:val="none"/>
              </w:rPr>
            </w:pPr>
            <w:r>
              <w:rPr>
                <w:color w:val="auto"/>
                <w:szCs w:val="21"/>
                <w:highlight w:val="none"/>
              </w:rPr>
              <w:t>数量</w:t>
            </w:r>
          </w:p>
        </w:tc>
        <w:tc>
          <w:tcPr>
            <w:tcW w:w="709" w:type="dxa"/>
            <w:vAlign w:val="center"/>
          </w:tcPr>
          <w:p w14:paraId="113C07B0">
            <w:pPr>
              <w:jc w:val="center"/>
              <w:rPr>
                <w:color w:val="auto"/>
                <w:szCs w:val="21"/>
                <w:highlight w:val="none"/>
              </w:rPr>
            </w:pPr>
            <w:r>
              <w:rPr>
                <w:color w:val="auto"/>
                <w:szCs w:val="21"/>
                <w:highlight w:val="none"/>
              </w:rPr>
              <w:t>国别</w:t>
            </w:r>
          </w:p>
          <w:p w14:paraId="4F571687">
            <w:pPr>
              <w:jc w:val="center"/>
              <w:rPr>
                <w:color w:val="auto"/>
                <w:szCs w:val="21"/>
                <w:highlight w:val="none"/>
              </w:rPr>
            </w:pPr>
            <w:r>
              <w:rPr>
                <w:color w:val="auto"/>
                <w:szCs w:val="21"/>
                <w:highlight w:val="none"/>
              </w:rPr>
              <w:t>产地</w:t>
            </w:r>
          </w:p>
        </w:tc>
        <w:tc>
          <w:tcPr>
            <w:tcW w:w="851" w:type="dxa"/>
            <w:vAlign w:val="center"/>
          </w:tcPr>
          <w:p w14:paraId="00AC0CB8">
            <w:pPr>
              <w:jc w:val="center"/>
              <w:rPr>
                <w:color w:val="auto"/>
                <w:szCs w:val="21"/>
                <w:highlight w:val="none"/>
              </w:rPr>
            </w:pPr>
            <w:r>
              <w:rPr>
                <w:color w:val="auto"/>
                <w:szCs w:val="21"/>
                <w:highlight w:val="none"/>
              </w:rPr>
              <w:t>制造</w:t>
            </w:r>
          </w:p>
          <w:p w14:paraId="7E4775CA">
            <w:pPr>
              <w:jc w:val="center"/>
              <w:rPr>
                <w:color w:val="auto"/>
                <w:szCs w:val="21"/>
                <w:highlight w:val="none"/>
              </w:rPr>
            </w:pPr>
            <w:r>
              <w:rPr>
                <w:color w:val="auto"/>
                <w:szCs w:val="21"/>
                <w:highlight w:val="none"/>
              </w:rPr>
              <w:t>年份</w:t>
            </w:r>
          </w:p>
        </w:tc>
        <w:tc>
          <w:tcPr>
            <w:tcW w:w="1134" w:type="dxa"/>
            <w:vAlign w:val="center"/>
          </w:tcPr>
          <w:p w14:paraId="0CE28266">
            <w:pPr>
              <w:jc w:val="center"/>
              <w:rPr>
                <w:color w:val="auto"/>
                <w:szCs w:val="21"/>
                <w:highlight w:val="none"/>
              </w:rPr>
            </w:pPr>
            <w:r>
              <w:rPr>
                <w:color w:val="auto"/>
                <w:szCs w:val="21"/>
                <w:highlight w:val="none"/>
              </w:rPr>
              <w:t>额定功率</w:t>
            </w:r>
          </w:p>
          <w:p w14:paraId="0825CB11">
            <w:pPr>
              <w:jc w:val="center"/>
              <w:rPr>
                <w:color w:val="auto"/>
                <w:szCs w:val="21"/>
                <w:highlight w:val="none"/>
              </w:rPr>
            </w:pPr>
            <w:r>
              <w:rPr>
                <w:color w:val="auto"/>
                <w:szCs w:val="21"/>
                <w:highlight w:val="none"/>
              </w:rPr>
              <w:t>（kW）</w:t>
            </w:r>
          </w:p>
        </w:tc>
        <w:tc>
          <w:tcPr>
            <w:tcW w:w="992" w:type="dxa"/>
            <w:vAlign w:val="center"/>
          </w:tcPr>
          <w:p w14:paraId="230572E6">
            <w:pPr>
              <w:jc w:val="center"/>
              <w:rPr>
                <w:color w:val="auto"/>
                <w:szCs w:val="21"/>
                <w:highlight w:val="none"/>
              </w:rPr>
            </w:pPr>
            <w:r>
              <w:rPr>
                <w:color w:val="auto"/>
                <w:szCs w:val="21"/>
                <w:highlight w:val="none"/>
              </w:rPr>
              <w:t>生产</w:t>
            </w:r>
          </w:p>
          <w:p w14:paraId="6F2E29D9">
            <w:pPr>
              <w:jc w:val="center"/>
              <w:rPr>
                <w:color w:val="auto"/>
                <w:szCs w:val="21"/>
                <w:highlight w:val="none"/>
              </w:rPr>
            </w:pPr>
            <w:r>
              <w:rPr>
                <w:color w:val="auto"/>
                <w:szCs w:val="21"/>
                <w:highlight w:val="none"/>
              </w:rPr>
              <w:t>能力</w:t>
            </w:r>
          </w:p>
        </w:tc>
        <w:tc>
          <w:tcPr>
            <w:tcW w:w="1134" w:type="dxa"/>
            <w:vAlign w:val="center"/>
          </w:tcPr>
          <w:p w14:paraId="3CFE6C4F">
            <w:pPr>
              <w:jc w:val="center"/>
              <w:rPr>
                <w:color w:val="auto"/>
                <w:szCs w:val="21"/>
                <w:highlight w:val="none"/>
              </w:rPr>
            </w:pPr>
            <w:r>
              <w:rPr>
                <w:color w:val="auto"/>
                <w:szCs w:val="21"/>
                <w:highlight w:val="none"/>
              </w:rPr>
              <w:t>用于施</w:t>
            </w:r>
          </w:p>
          <w:p w14:paraId="76A36356">
            <w:pPr>
              <w:jc w:val="center"/>
              <w:rPr>
                <w:color w:val="auto"/>
                <w:szCs w:val="21"/>
                <w:highlight w:val="none"/>
              </w:rPr>
            </w:pPr>
            <w:r>
              <w:rPr>
                <w:color w:val="auto"/>
                <w:szCs w:val="21"/>
                <w:highlight w:val="none"/>
              </w:rPr>
              <w:t>工部位</w:t>
            </w:r>
          </w:p>
        </w:tc>
        <w:tc>
          <w:tcPr>
            <w:tcW w:w="992" w:type="dxa"/>
            <w:vAlign w:val="center"/>
          </w:tcPr>
          <w:p w14:paraId="7529ED52">
            <w:pPr>
              <w:jc w:val="center"/>
              <w:rPr>
                <w:color w:val="auto"/>
                <w:szCs w:val="21"/>
                <w:highlight w:val="none"/>
              </w:rPr>
            </w:pPr>
            <w:r>
              <w:rPr>
                <w:color w:val="auto"/>
                <w:szCs w:val="21"/>
                <w:highlight w:val="none"/>
              </w:rPr>
              <w:t>备注</w:t>
            </w:r>
          </w:p>
        </w:tc>
      </w:tr>
      <w:tr w14:paraId="7AA3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0A3464D8">
            <w:pPr>
              <w:spacing w:line="360" w:lineRule="auto"/>
              <w:rPr>
                <w:color w:val="auto"/>
                <w:szCs w:val="21"/>
                <w:highlight w:val="none"/>
              </w:rPr>
            </w:pPr>
          </w:p>
        </w:tc>
        <w:tc>
          <w:tcPr>
            <w:tcW w:w="1226" w:type="dxa"/>
            <w:vAlign w:val="top"/>
          </w:tcPr>
          <w:p w14:paraId="46C06BC4">
            <w:pPr>
              <w:spacing w:line="360" w:lineRule="auto"/>
              <w:ind w:firstLine="420" w:firstLineChars="200"/>
              <w:rPr>
                <w:color w:val="auto"/>
                <w:szCs w:val="21"/>
                <w:highlight w:val="none"/>
              </w:rPr>
            </w:pPr>
          </w:p>
        </w:tc>
        <w:tc>
          <w:tcPr>
            <w:tcW w:w="851" w:type="dxa"/>
            <w:vAlign w:val="top"/>
          </w:tcPr>
          <w:p w14:paraId="69E99BCA">
            <w:pPr>
              <w:spacing w:line="360" w:lineRule="auto"/>
              <w:rPr>
                <w:color w:val="auto"/>
                <w:szCs w:val="21"/>
                <w:highlight w:val="none"/>
              </w:rPr>
            </w:pPr>
          </w:p>
        </w:tc>
        <w:tc>
          <w:tcPr>
            <w:tcW w:w="708" w:type="dxa"/>
            <w:vAlign w:val="top"/>
          </w:tcPr>
          <w:p w14:paraId="4F2B1247">
            <w:pPr>
              <w:spacing w:line="360" w:lineRule="auto"/>
              <w:rPr>
                <w:color w:val="auto"/>
                <w:szCs w:val="21"/>
                <w:highlight w:val="none"/>
              </w:rPr>
            </w:pPr>
          </w:p>
        </w:tc>
        <w:tc>
          <w:tcPr>
            <w:tcW w:w="709" w:type="dxa"/>
            <w:vAlign w:val="top"/>
          </w:tcPr>
          <w:p w14:paraId="6FF4D9C7">
            <w:pPr>
              <w:spacing w:line="360" w:lineRule="auto"/>
              <w:rPr>
                <w:color w:val="auto"/>
                <w:szCs w:val="21"/>
                <w:highlight w:val="none"/>
              </w:rPr>
            </w:pPr>
          </w:p>
        </w:tc>
        <w:tc>
          <w:tcPr>
            <w:tcW w:w="851" w:type="dxa"/>
            <w:vAlign w:val="top"/>
          </w:tcPr>
          <w:p w14:paraId="40610BAA">
            <w:pPr>
              <w:spacing w:line="360" w:lineRule="auto"/>
              <w:rPr>
                <w:color w:val="auto"/>
                <w:szCs w:val="21"/>
                <w:highlight w:val="none"/>
              </w:rPr>
            </w:pPr>
          </w:p>
        </w:tc>
        <w:tc>
          <w:tcPr>
            <w:tcW w:w="1134" w:type="dxa"/>
            <w:vAlign w:val="top"/>
          </w:tcPr>
          <w:p w14:paraId="32D9745B">
            <w:pPr>
              <w:spacing w:line="360" w:lineRule="auto"/>
              <w:rPr>
                <w:color w:val="auto"/>
                <w:szCs w:val="21"/>
                <w:highlight w:val="none"/>
              </w:rPr>
            </w:pPr>
          </w:p>
        </w:tc>
        <w:tc>
          <w:tcPr>
            <w:tcW w:w="992" w:type="dxa"/>
            <w:vAlign w:val="top"/>
          </w:tcPr>
          <w:p w14:paraId="070E036A">
            <w:pPr>
              <w:spacing w:line="360" w:lineRule="auto"/>
              <w:rPr>
                <w:color w:val="auto"/>
                <w:szCs w:val="21"/>
                <w:highlight w:val="none"/>
              </w:rPr>
            </w:pPr>
          </w:p>
        </w:tc>
        <w:tc>
          <w:tcPr>
            <w:tcW w:w="1134" w:type="dxa"/>
            <w:vAlign w:val="top"/>
          </w:tcPr>
          <w:p w14:paraId="3A260ADD">
            <w:pPr>
              <w:spacing w:line="360" w:lineRule="auto"/>
              <w:rPr>
                <w:color w:val="auto"/>
                <w:szCs w:val="21"/>
                <w:highlight w:val="none"/>
              </w:rPr>
            </w:pPr>
          </w:p>
        </w:tc>
        <w:tc>
          <w:tcPr>
            <w:tcW w:w="992" w:type="dxa"/>
            <w:vAlign w:val="top"/>
          </w:tcPr>
          <w:p w14:paraId="7AC34774">
            <w:pPr>
              <w:spacing w:line="360" w:lineRule="auto"/>
              <w:rPr>
                <w:color w:val="auto"/>
                <w:szCs w:val="21"/>
                <w:highlight w:val="none"/>
              </w:rPr>
            </w:pPr>
          </w:p>
        </w:tc>
      </w:tr>
      <w:tr w14:paraId="459E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49A32250">
            <w:pPr>
              <w:spacing w:line="360" w:lineRule="auto"/>
              <w:rPr>
                <w:color w:val="auto"/>
                <w:szCs w:val="21"/>
                <w:highlight w:val="none"/>
              </w:rPr>
            </w:pPr>
          </w:p>
        </w:tc>
        <w:tc>
          <w:tcPr>
            <w:tcW w:w="1226" w:type="dxa"/>
            <w:vAlign w:val="top"/>
          </w:tcPr>
          <w:p w14:paraId="645CAE15">
            <w:pPr>
              <w:spacing w:line="360" w:lineRule="auto"/>
              <w:rPr>
                <w:color w:val="auto"/>
                <w:szCs w:val="21"/>
                <w:highlight w:val="none"/>
              </w:rPr>
            </w:pPr>
          </w:p>
        </w:tc>
        <w:tc>
          <w:tcPr>
            <w:tcW w:w="851" w:type="dxa"/>
            <w:vAlign w:val="top"/>
          </w:tcPr>
          <w:p w14:paraId="4D9F2D03">
            <w:pPr>
              <w:spacing w:line="360" w:lineRule="auto"/>
              <w:rPr>
                <w:color w:val="auto"/>
                <w:szCs w:val="21"/>
                <w:highlight w:val="none"/>
              </w:rPr>
            </w:pPr>
          </w:p>
        </w:tc>
        <w:tc>
          <w:tcPr>
            <w:tcW w:w="708" w:type="dxa"/>
            <w:vAlign w:val="top"/>
          </w:tcPr>
          <w:p w14:paraId="22E88150">
            <w:pPr>
              <w:spacing w:line="360" w:lineRule="auto"/>
              <w:rPr>
                <w:color w:val="auto"/>
                <w:szCs w:val="21"/>
                <w:highlight w:val="none"/>
              </w:rPr>
            </w:pPr>
          </w:p>
        </w:tc>
        <w:tc>
          <w:tcPr>
            <w:tcW w:w="709" w:type="dxa"/>
            <w:vAlign w:val="top"/>
          </w:tcPr>
          <w:p w14:paraId="53710618">
            <w:pPr>
              <w:spacing w:line="360" w:lineRule="auto"/>
              <w:rPr>
                <w:color w:val="auto"/>
                <w:szCs w:val="21"/>
                <w:highlight w:val="none"/>
              </w:rPr>
            </w:pPr>
          </w:p>
        </w:tc>
        <w:tc>
          <w:tcPr>
            <w:tcW w:w="851" w:type="dxa"/>
            <w:vAlign w:val="top"/>
          </w:tcPr>
          <w:p w14:paraId="0EE90613">
            <w:pPr>
              <w:spacing w:line="360" w:lineRule="auto"/>
              <w:rPr>
                <w:color w:val="auto"/>
                <w:szCs w:val="21"/>
                <w:highlight w:val="none"/>
              </w:rPr>
            </w:pPr>
          </w:p>
        </w:tc>
        <w:tc>
          <w:tcPr>
            <w:tcW w:w="1134" w:type="dxa"/>
            <w:vAlign w:val="top"/>
          </w:tcPr>
          <w:p w14:paraId="4664E8C9">
            <w:pPr>
              <w:spacing w:line="360" w:lineRule="auto"/>
              <w:rPr>
                <w:color w:val="auto"/>
                <w:szCs w:val="21"/>
                <w:highlight w:val="none"/>
              </w:rPr>
            </w:pPr>
          </w:p>
        </w:tc>
        <w:tc>
          <w:tcPr>
            <w:tcW w:w="992" w:type="dxa"/>
            <w:vAlign w:val="top"/>
          </w:tcPr>
          <w:p w14:paraId="4A23EE77">
            <w:pPr>
              <w:spacing w:line="360" w:lineRule="auto"/>
              <w:rPr>
                <w:color w:val="auto"/>
                <w:szCs w:val="21"/>
                <w:highlight w:val="none"/>
              </w:rPr>
            </w:pPr>
          </w:p>
        </w:tc>
        <w:tc>
          <w:tcPr>
            <w:tcW w:w="1134" w:type="dxa"/>
            <w:vAlign w:val="top"/>
          </w:tcPr>
          <w:p w14:paraId="2E56FC14">
            <w:pPr>
              <w:spacing w:line="360" w:lineRule="auto"/>
              <w:rPr>
                <w:color w:val="auto"/>
                <w:szCs w:val="21"/>
                <w:highlight w:val="none"/>
              </w:rPr>
            </w:pPr>
          </w:p>
        </w:tc>
        <w:tc>
          <w:tcPr>
            <w:tcW w:w="992" w:type="dxa"/>
            <w:vAlign w:val="top"/>
          </w:tcPr>
          <w:p w14:paraId="70E6B67E">
            <w:pPr>
              <w:spacing w:line="360" w:lineRule="auto"/>
              <w:rPr>
                <w:color w:val="auto"/>
                <w:szCs w:val="21"/>
                <w:highlight w:val="none"/>
              </w:rPr>
            </w:pPr>
          </w:p>
        </w:tc>
      </w:tr>
      <w:tr w14:paraId="283D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556D91EF">
            <w:pPr>
              <w:spacing w:line="360" w:lineRule="auto"/>
              <w:rPr>
                <w:color w:val="auto"/>
                <w:szCs w:val="21"/>
                <w:highlight w:val="none"/>
              </w:rPr>
            </w:pPr>
          </w:p>
        </w:tc>
        <w:tc>
          <w:tcPr>
            <w:tcW w:w="1226" w:type="dxa"/>
            <w:vAlign w:val="top"/>
          </w:tcPr>
          <w:p w14:paraId="7871BA84">
            <w:pPr>
              <w:spacing w:line="360" w:lineRule="auto"/>
              <w:rPr>
                <w:color w:val="auto"/>
                <w:szCs w:val="21"/>
                <w:highlight w:val="none"/>
              </w:rPr>
            </w:pPr>
          </w:p>
        </w:tc>
        <w:tc>
          <w:tcPr>
            <w:tcW w:w="851" w:type="dxa"/>
            <w:vAlign w:val="top"/>
          </w:tcPr>
          <w:p w14:paraId="3320B4DD">
            <w:pPr>
              <w:spacing w:line="360" w:lineRule="auto"/>
              <w:rPr>
                <w:color w:val="auto"/>
                <w:szCs w:val="21"/>
                <w:highlight w:val="none"/>
              </w:rPr>
            </w:pPr>
          </w:p>
        </w:tc>
        <w:tc>
          <w:tcPr>
            <w:tcW w:w="708" w:type="dxa"/>
            <w:vAlign w:val="top"/>
          </w:tcPr>
          <w:p w14:paraId="036846B9">
            <w:pPr>
              <w:spacing w:line="360" w:lineRule="auto"/>
              <w:rPr>
                <w:color w:val="auto"/>
                <w:szCs w:val="21"/>
                <w:highlight w:val="none"/>
              </w:rPr>
            </w:pPr>
          </w:p>
        </w:tc>
        <w:tc>
          <w:tcPr>
            <w:tcW w:w="709" w:type="dxa"/>
            <w:vAlign w:val="top"/>
          </w:tcPr>
          <w:p w14:paraId="0973D1A2">
            <w:pPr>
              <w:spacing w:line="360" w:lineRule="auto"/>
              <w:rPr>
                <w:color w:val="auto"/>
                <w:szCs w:val="21"/>
                <w:highlight w:val="none"/>
              </w:rPr>
            </w:pPr>
          </w:p>
        </w:tc>
        <w:tc>
          <w:tcPr>
            <w:tcW w:w="851" w:type="dxa"/>
            <w:vAlign w:val="top"/>
          </w:tcPr>
          <w:p w14:paraId="007F3DBB">
            <w:pPr>
              <w:spacing w:line="360" w:lineRule="auto"/>
              <w:rPr>
                <w:color w:val="auto"/>
                <w:szCs w:val="21"/>
                <w:highlight w:val="none"/>
              </w:rPr>
            </w:pPr>
          </w:p>
        </w:tc>
        <w:tc>
          <w:tcPr>
            <w:tcW w:w="1134" w:type="dxa"/>
            <w:vAlign w:val="top"/>
          </w:tcPr>
          <w:p w14:paraId="319A0883">
            <w:pPr>
              <w:spacing w:line="360" w:lineRule="auto"/>
              <w:rPr>
                <w:color w:val="auto"/>
                <w:szCs w:val="21"/>
                <w:highlight w:val="none"/>
              </w:rPr>
            </w:pPr>
          </w:p>
        </w:tc>
        <w:tc>
          <w:tcPr>
            <w:tcW w:w="992" w:type="dxa"/>
            <w:vAlign w:val="top"/>
          </w:tcPr>
          <w:p w14:paraId="56379CCB">
            <w:pPr>
              <w:spacing w:line="360" w:lineRule="auto"/>
              <w:rPr>
                <w:color w:val="auto"/>
                <w:szCs w:val="21"/>
                <w:highlight w:val="none"/>
              </w:rPr>
            </w:pPr>
          </w:p>
        </w:tc>
        <w:tc>
          <w:tcPr>
            <w:tcW w:w="1134" w:type="dxa"/>
            <w:vAlign w:val="top"/>
          </w:tcPr>
          <w:p w14:paraId="4D46CCD0">
            <w:pPr>
              <w:spacing w:line="360" w:lineRule="auto"/>
              <w:rPr>
                <w:color w:val="auto"/>
                <w:szCs w:val="21"/>
                <w:highlight w:val="none"/>
              </w:rPr>
            </w:pPr>
          </w:p>
        </w:tc>
        <w:tc>
          <w:tcPr>
            <w:tcW w:w="992" w:type="dxa"/>
            <w:vAlign w:val="top"/>
          </w:tcPr>
          <w:p w14:paraId="414B8826">
            <w:pPr>
              <w:spacing w:line="360" w:lineRule="auto"/>
              <w:rPr>
                <w:color w:val="auto"/>
                <w:szCs w:val="21"/>
                <w:highlight w:val="none"/>
              </w:rPr>
            </w:pPr>
          </w:p>
        </w:tc>
      </w:tr>
      <w:tr w14:paraId="79D3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7967DDCA">
            <w:pPr>
              <w:spacing w:line="360" w:lineRule="auto"/>
              <w:rPr>
                <w:color w:val="auto"/>
                <w:szCs w:val="21"/>
                <w:highlight w:val="none"/>
              </w:rPr>
            </w:pPr>
          </w:p>
        </w:tc>
        <w:tc>
          <w:tcPr>
            <w:tcW w:w="1226" w:type="dxa"/>
            <w:vAlign w:val="top"/>
          </w:tcPr>
          <w:p w14:paraId="6389BA60">
            <w:pPr>
              <w:spacing w:line="360" w:lineRule="auto"/>
              <w:rPr>
                <w:color w:val="auto"/>
                <w:szCs w:val="21"/>
                <w:highlight w:val="none"/>
              </w:rPr>
            </w:pPr>
          </w:p>
        </w:tc>
        <w:tc>
          <w:tcPr>
            <w:tcW w:w="851" w:type="dxa"/>
            <w:vAlign w:val="top"/>
          </w:tcPr>
          <w:p w14:paraId="2667D06A">
            <w:pPr>
              <w:spacing w:line="360" w:lineRule="auto"/>
              <w:rPr>
                <w:color w:val="auto"/>
                <w:szCs w:val="21"/>
                <w:highlight w:val="none"/>
              </w:rPr>
            </w:pPr>
          </w:p>
        </w:tc>
        <w:tc>
          <w:tcPr>
            <w:tcW w:w="708" w:type="dxa"/>
            <w:vAlign w:val="top"/>
          </w:tcPr>
          <w:p w14:paraId="648DF9D8">
            <w:pPr>
              <w:spacing w:line="360" w:lineRule="auto"/>
              <w:rPr>
                <w:color w:val="auto"/>
                <w:szCs w:val="21"/>
                <w:highlight w:val="none"/>
              </w:rPr>
            </w:pPr>
          </w:p>
        </w:tc>
        <w:tc>
          <w:tcPr>
            <w:tcW w:w="709" w:type="dxa"/>
            <w:vAlign w:val="top"/>
          </w:tcPr>
          <w:p w14:paraId="4F88F94B">
            <w:pPr>
              <w:spacing w:line="360" w:lineRule="auto"/>
              <w:rPr>
                <w:color w:val="auto"/>
                <w:szCs w:val="21"/>
                <w:highlight w:val="none"/>
              </w:rPr>
            </w:pPr>
          </w:p>
        </w:tc>
        <w:tc>
          <w:tcPr>
            <w:tcW w:w="851" w:type="dxa"/>
            <w:vAlign w:val="top"/>
          </w:tcPr>
          <w:p w14:paraId="6C1ED985">
            <w:pPr>
              <w:spacing w:line="360" w:lineRule="auto"/>
              <w:rPr>
                <w:color w:val="auto"/>
                <w:szCs w:val="21"/>
                <w:highlight w:val="none"/>
              </w:rPr>
            </w:pPr>
          </w:p>
        </w:tc>
        <w:tc>
          <w:tcPr>
            <w:tcW w:w="1134" w:type="dxa"/>
            <w:vAlign w:val="top"/>
          </w:tcPr>
          <w:p w14:paraId="0F18082A">
            <w:pPr>
              <w:spacing w:line="360" w:lineRule="auto"/>
              <w:rPr>
                <w:color w:val="auto"/>
                <w:szCs w:val="21"/>
                <w:highlight w:val="none"/>
              </w:rPr>
            </w:pPr>
          </w:p>
        </w:tc>
        <w:tc>
          <w:tcPr>
            <w:tcW w:w="992" w:type="dxa"/>
            <w:vAlign w:val="top"/>
          </w:tcPr>
          <w:p w14:paraId="62C84105">
            <w:pPr>
              <w:spacing w:line="360" w:lineRule="auto"/>
              <w:rPr>
                <w:color w:val="auto"/>
                <w:szCs w:val="21"/>
                <w:highlight w:val="none"/>
              </w:rPr>
            </w:pPr>
          </w:p>
        </w:tc>
        <w:tc>
          <w:tcPr>
            <w:tcW w:w="1134" w:type="dxa"/>
            <w:vAlign w:val="top"/>
          </w:tcPr>
          <w:p w14:paraId="2F5ABFD8">
            <w:pPr>
              <w:spacing w:line="360" w:lineRule="auto"/>
              <w:rPr>
                <w:color w:val="auto"/>
                <w:szCs w:val="21"/>
                <w:highlight w:val="none"/>
              </w:rPr>
            </w:pPr>
          </w:p>
        </w:tc>
        <w:tc>
          <w:tcPr>
            <w:tcW w:w="992" w:type="dxa"/>
            <w:vAlign w:val="top"/>
          </w:tcPr>
          <w:p w14:paraId="74A63678">
            <w:pPr>
              <w:spacing w:line="360" w:lineRule="auto"/>
              <w:rPr>
                <w:color w:val="auto"/>
                <w:szCs w:val="21"/>
                <w:highlight w:val="none"/>
              </w:rPr>
            </w:pPr>
          </w:p>
        </w:tc>
      </w:tr>
      <w:tr w14:paraId="5AA8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4C2F3B52">
            <w:pPr>
              <w:spacing w:line="360" w:lineRule="auto"/>
              <w:rPr>
                <w:color w:val="auto"/>
                <w:szCs w:val="21"/>
                <w:highlight w:val="none"/>
              </w:rPr>
            </w:pPr>
          </w:p>
        </w:tc>
        <w:tc>
          <w:tcPr>
            <w:tcW w:w="1226" w:type="dxa"/>
            <w:vAlign w:val="top"/>
          </w:tcPr>
          <w:p w14:paraId="621C902A">
            <w:pPr>
              <w:spacing w:line="360" w:lineRule="auto"/>
              <w:rPr>
                <w:color w:val="auto"/>
                <w:szCs w:val="21"/>
                <w:highlight w:val="none"/>
              </w:rPr>
            </w:pPr>
          </w:p>
        </w:tc>
        <w:tc>
          <w:tcPr>
            <w:tcW w:w="851" w:type="dxa"/>
            <w:vAlign w:val="top"/>
          </w:tcPr>
          <w:p w14:paraId="0939BBC4">
            <w:pPr>
              <w:spacing w:line="360" w:lineRule="auto"/>
              <w:rPr>
                <w:color w:val="auto"/>
                <w:szCs w:val="21"/>
                <w:highlight w:val="none"/>
              </w:rPr>
            </w:pPr>
          </w:p>
        </w:tc>
        <w:tc>
          <w:tcPr>
            <w:tcW w:w="708" w:type="dxa"/>
            <w:vAlign w:val="top"/>
          </w:tcPr>
          <w:p w14:paraId="5C3320BF">
            <w:pPr>
              <w:spacing w:line="360" w:lineRule="auto"/>
              <w:rPr>
                <w:color w:val="auto"/>
                <w:szCs w:val="21"/>
                <w:highlight w:val="none"/>
              </w:rPr>
            </w:pPr>
          </w:p>
        </w:tc>
        <w:tc>
          <w:tcPr>
            <w:tcW w:w="709" w:type="dxa"/>
            <w:vAlign w:val="top"/>
          </w:tcPr>
          <w:p w14:paraId="3F01A797">
            <w:pPr>
              <w:spacing w:line="360" w:lineRule="auto"/>
              <w:rPr>
                <w:color w:val="auto"/>
                <w:szCs w:val="21"/>
                <w:highlight w:val="none"/>
              </w:rPr>
            </w:pPr>
          </w:p>
        </w:tc>
        <w:tc>
          <w:tcPr>
            <w:tcW w:w="851" w:type="dxa"/>
            <w:vAlign w:val="top"/>
          </w:tcPr>
          <w:p w14:paraId="4B67620E">
            <w:pPr>
              <w:spacing w:line="360" w:lineRule="auto"/>
              <w:rPr>
                <w:color w:val="auto"/>
                <w:szCs w:val="21"/>
                <w:highlight w:val="none"/>
              </w:rPr>
            </w:pPr>
          </w:p>
        </w:tc>
        <w:tc>
          <w:tcPr>
            <w:tcW w:w="1134" w:type="dxa"/>
            <w:vAlign w:val="top"/>
          </w:tcPr>
          <w:p w14:paraId="49457C3E">
            <w:pPr>
              <w:spacing w:line="360" w:lineRule="auto"/>
              <w:rPr>
                <w:color w:val="auto"/>
                <w:szCs w:val="21"/>
                <w:highlight w:val="none"/>
              </w:rPr>
            </w:pPr>
          </w:p>
        </w:tc>
        <w:tc>
          <w:tcPr>
            <w:tcW w:w="992" w:type="dxa"/>
            <w:vAlign w:val="top"/>
          </w:tcPr>
          <w:p w14:paraId="4ED0DFAA">
            <w:pPr>
              <w:spacing w:line="360" w:lineRule="auto"/>
              <w:rPr>
                <w:color w:val="auto"/>
                <w:szCs w:val="21"/>
                <w:highlight w:val="none"/>
              </w:rPr>
            </w:pPr>
          </w:p>
        </w:tc>
        <w:tc>
          <w:tcPr>
            <w:tcW w:w="1134" w:type="dxa"/>
            <w:vAlign w:val="top"/>
          </w:tcPr>
          <w:p w14:paraId="5717735F">
            <w:pPr>
              <w:spacing w:line="360" w:lineRule="auto"/>
              <w:rPr>
                <w:color w:val="auto"/>
                <w:szCs w:val="21"/>
                <w:highlight w:val="none"/>
              </w:rPr>
            </w:pPr>
          </w:p>
        </w:tc>
        <w:tc>
          <w:tcPr>
            <w:tcW w:w="992" w:type="dxa"/>
            <w:vAlign w:val="top"/>
          </w:tcPr>
          <w:p w14:paraId="360E0DCF">
            <w:pPr>
              <w:spacing w:line="360" w:lineRule="auto"/>
              <w:rPr>
                <w:color w:val="auto"/>
                <w:szCs w:val="21"/>
                <w:highlight w:val="none"/>
              </w:rPr>
            </w:pPr>
          </w:p>
        </w:tc>
      </w:tr>
    </w:tbl>
    <w:p w14:paraId="3FE1348C">
      <w:pPr>
        <w:rPr>
          <w:color w:val="auto"/>
          <w:highlight w:val="none"/>
        </w:rPr>
      </w:pPr>
    </w:p>
    <w:p w14:paraId="0CD54AD1">
      <w:pPr>
        <w:rPr>
          <w:color w:val="auto"/>
          <w:highlight w:val="none"/>
        </w:rPr>
      </w:pPr>
    </w:p>
    <w:p w14:paraId="19A6EB33">
      <w:pPr>
        <w:rPr>
          <w:b/>
          <w:bCs/>
          <w:spacing w:val="7"/>
          <w:sz w:val="21"/>
          <w:szCs w:val="21"/>
        </w:rPr>
      </w:pPr>
      <w:r>
        <w:rPr>
          <w:b/>
          <w:bCs/>
          <w:color w:val="auto"/>
          <w:highlight w:val="none"/>
        </w:rPr>
        <w:t>附表二：</w:t>
      </w:r>
      <w:r>
        <w:rPr>
          <w:b/>
          <w:bCs/>
          <w:spacing w:val="7"/>
          <w:sz w:val="21"/>
          <w:szCs w:val="21"/>
        </w:rPr>
        <w:t>拟投入本合同工程的试验和检测仪器设备表</w:t>
      </w:r>
    </w:p>
    <w:p w14:paraId="4102A51C">
      <w:pPr>
        <w:rPr>
          <w:b/>
          <w:bCs/>
          <w:spacing w:val="7"/>
          <w:sz w:val="21"/>
          <w:szCs w:val="21"/>
        </w:rPr>
      </w:pPr>
    </w:p>
    <w:p w14:paraId="6E90F1C5">
      <w:pPr>
        <w:jc w:val="center"/>
        <w:rPr>
          <w:b/>
          <w:bCs/>
          <w:spacing w:val="7"/>
          <w:sz w:val="21"/>
          <w:szCs w:val="21"/>
        </w:rPr>
      </w:pPr>
      <w:r>
        <w:rPr>
          <w:b/>
          <w:bCs/>
          <w:spacing w:val="7"/>
          <w:sz w:val="21"/>
          <w:szCs w:val="21"/>
        </w:rPr>
        <w:t>拟投入本合同工程的试验和检测仪器设备表</w:t>
      </w:r>
    </w:p>
    <w:p w14:paraId="728EDAED">
      <w:pPr>
        <w:rPr>
          <w:b/>
          <w:bCs/>
          <w:spacing w:val="7"/>
          <w:sz w:val="21"/>
          <w:szCs w:val="21"/>
        </w:rPr>
      </w:pPr>
    </w:p>
    <w:tbl>
      <w:tblPr>
        <w:tblStyle w:val="22"/>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D4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5E6BBFB">
            <w:pPr>
              <w:jc w:val="center"/>
              <w:rPr>
                <w:color w:val="auto"/>
                <w:szCs w:val="21"/>
                <w:highlight w:val="none"/>
              </w:rPr>
            </w:pPr>
            <w:r>
              <w:rPr>
                <w:color w:val="auto"/>
                <w:szCs w:val="21"/>
                <w:highlight w:val="none"/>
              </w:rPr>
              <w:t>序号</w:t>
            </w:r>
          </w:p>
        </w:tc>
        <w:tc>
          <w:tcPr>
            <w:tcW w:w="1226" w:type="dxa"/>
            <w:vAlign w:val="center"/>
          </w:tcPr>
          <w:p w14:paraId="08C0B775">
            <w:pPr>
              <w:jc w:val="center"/>
              <w:rPr>
                <w:color w:val="auto"/>
                <w:szCs w:val="21"/>
                <w:highlight w:val="none"/>
              </w:rPr>
            </w:pPr>
            <w:r>
              <w:rPr>
                <w:color w:val="auto"/>
                <w:szCs w:val="21"/>
                <w:highlight w:val="none"/>
              </w:rPr>
              <w:t>仪器设备名称</w:t>
            </w:r>
          </w:p>
        </w:tc>
        <w:tc>
          <w:tcPr>
            <w:tcW w:w="851" w:type="dxa"/>
            <w:vAlign w:val="center"/>
          </w:tcPr>
          <w:p w14:paraId="078C84BD">
            <w:pPr>
              <w:jc w:val="center"/>
              <w:rPr>
                <w:color w:val="auto"/>
                <w:szCs w:val="21"/>
                <w:highlight w:val="none"/>
              </w:rPr>
            </w:pPr>
            <w:r>
              <w:rPr>
                <w:color w:val="auto"/>
                <w:szCs w:val="21"/>
                <w:highlight w:val="none"/>
              </w:rPr>
              <w:t>型号</w:t>
            </w:r>
          </w:p>
          <w:p w14:paraId="5AEE0C56">
            <w:pPr>
              <w:jc w:val="center"/>
              <w:rPr>
                <w:color w:val="auto"/>
                <w:szCs w:val="21"/>
                <w:highlight w:val="none"/>
              </w:rPr>
            </w:pPr>
            <w:r>
              <w:rPr>
                <w:color w:val="auto"/>
                <w:szCs w:val="21"/>
                <w:highlight w:val="none"/>
              </w:rPr>
              <w:t>规格</w:t>
            </w:r>
          </w:p>
        </w:tc>
        <w:tc>
          <w:tcPr>
            <w:tcW w:w="708" w:type="dxa"/>
            <w:vAlign w:val="center"/>
          </w:tcPr>
          <w:p w14:paraId="31584637">
            <w:pPr>
              <w:jc w:val="center"/>
              <w:rPr>
                <w:color w:val="auto"/>
                <w:szCs w:val="21"/>
                <w:highlight w:val="none"/>
              </w:rPr>
            </w:pPr>
            <w:r>
              <w:rPr>
                <w:color w:val="auto"/>
                <w:szCs w:val="21"/>
                <w:highlight w:val="none"/>
              </w:rPr>
              <w:t>数量</w:t>
            </w:r>
          </w:p>
        </w:tc>
        <w:tc>
          <w:tcPr>
            <w:tcW w:w="709" w:type="dxa"/>
            <w:vAlign w:val="center"/>
          </w:tcPr>
          <w:p w14:paraId="7CB6C3F1">
            <w:pPr>
              <w:jc w:val="center"/>
              <w:rPr>
                <w:color w:val="auto"/>
                <w:szCs w:val="21"/>
                <w:highlight w:val="none"/>
              </w:rPr>
            </w:pPr>
            <w:r>
              <w:rPr>
                <w:color w:val="auto"/>
                <w:szCs w:val="21"/>
                <w:highlight w:val="none"/>
              </w:rPr>
              <w:t>国别</w:t>
            </w:r>
          </w:p>
          <w:p w14:paraId="4239A33B">
            <w:pPr>
              <w:jc w:val="center"/>
              <w:rPr>
                <w:color w:val="auto"/>
                <w:szCs w:val="21"/>
                <w:highlight w:val="none"/>
              </w:rPr>
            </w:pPr>
            <w:r>
              <w:rPr>
                <w:color w:val="auto"/>
                <w:szCs w:val="21"/>
                <w:highlight w:val="none"/>
              </w:rPr>
              <w:t>产地</w:t>
            </w:r>
          </w:p>
        </w:tc>
        <w:tc>
          <w:tcPr>
            <w:tcW w:w="1134" w:type="dxa"/>
            <w:vAlign w:val="center"/>
          </w:tcPr>
          <w:p w14:paraId="02FE22D9">
            <w:pPr>
              <w:jc w:val="center"/>
              <w:rPr>
                <w:color w:val="auto"/>
                <w:szCs w:val="21"/>
                <w:highlight w:val="none"/>
              </w:rPr>
            </w:pPr>
            <w:r>
              <w:rPr>
                <w:color w:val="auto"/>
                <w:szCs w:val="21"/>
                <w:highlight w:val="none"/>
              </w:rPr>
              <w:t>制造年份</w:t>
            </w:r>
          </w:p>
        </w:tc>
        <w:tc>
          <w:tcPr>
            <w:tcW w:w="1276" w:type="dxa"/>
            <w:vAlign w:val="center"/>
          </w:tcPr>
          <w:p w14:paraId="1A2DC561">
            <w:pPr>
              <w:jc w:val="center"/>
              <w:rPr>
                <w:color w:val="auto"/>
                <w:szCs w:val="21"/>
                <w:highlight w:val="none"/>
              </w:rPr>
            </w:pPr>
            <w:r>
              <w:rPr>
                <w:color w:val="auto"/>
                <w:szCs w:val="21"/>
                <w:highlight w:val="none"/>
              </w:rPr>
              <w:t>已使用</w:t>
            </w:r>
          </w:p>
          <w:p w14:paraId="39447144">
            <w:pPr>
              <w:jc w:val="center"/>
              <w:rPr>
                <w:color w:val="auto"/>
                <w:szCs w:val="21"/>
                <w:highlight w:val="none"/>
              </w:rPr>
            </w:pPr>
            <w:r>
              <w:rPr>
                <w:color w:val="auto"/>
                <w:szCs w:val="21"/>
                <w:highlight w:val="none"/>
              </w:rPr>
              <w:t>台时数</w:t>
            </w:r>
          </w:p>
        </w:tc>
        <w:tc>
          <w:tcPr>
            <w:tcW w:w="1134" w:type="dxa"/>
            <w:vAlign w:val="center"/>
          </w:tcPr>
          <w:p w14:paraId="456F7280">
            <w:pPr>
              <w:jc w:val="center"/>
              <w:rPr>
                <w:color w:val="auto"/>
                <w:szCs w:val="21"/>
                <w:highlight w:val="none"/>
              </w:rPr>
            </w:pPr>
            <w:r>
              <w:rPr>
                <w:color w:val="auto"/>
                <w:szCs w:val="21"/>
                <w:highlight w:val="none"/>
              </w:rPr>
              <w:t>用途</w:t>
            </w:r>
          </w:p>
        </w:tc>
        <w:tc>
          <w:tcPr>
            <w:tcW w:w="1559" w:type="dxa"/>
            <w:vAlign w:val="center"/>
          </w:tcPr>
          <w:p w14:paraId="2BC09D44">
            <w:pPr>
              <w:jc w:val="center"/>
              <w:rPr>
                <w:color w:val="auto"/>
                <w:szCs w:val="21"/>
                <w:highlight w:val="none"/>
              </w:rPr>
            </w:pPr>
            <w:r>
              <w:rPr>
                <w:color w:val="auto"/>
                <w:szCs w:val="21"/>
                <w:highlight w:val="none"/>
              </w:rPr>
              <w:t>备注</w:t>
            </w:r>
          </w:p>
        </w:tc>
      </w:tr>
      <w:tr w14:paraId="1EF5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FCFB648">
            <w:pPr>
              <w:spacing w:line="360" w:lineRule="auto"/>
              <w:ind w:firstLine="420" w:firstLineChars="200"/>
              <w:rPr>
                <w:color w:val="auto"/>
                <w:szCs w:val="21"/>
                <w:highlight w:val="none"/>
              </w:rPr>
            </w:pPr>
          </w:p>
        </w:tc>
        <w:tc>
          <w:tcPr>
            <w:tcW w:w="1226" w:type="dxa"/>
            <w:vAlign w:val="center"/>
          </w:tcPr>
          <w:p w14:paraId="5C91C43B">
            <w:pPr>
              <w:spacing w:line="360" w:lineRule="auto"/>
              <w:ind w:firstLine="420" w:firstLineChars="200"/>
              <w:rPr>
                <w:color w:val="auto"/>
                <w:szCs w:val="21"/>
                <w:highlight w:val="none"/>
              </w:rPr>
            </w:pPr>
          </w:p>
        </w:tc>
        <w:tc>
          <w:tcPr>
            <w:tcW w:w="851" w:type="dxa"/>
            <w:vAlign w:val="center"/>
          </w:tcPr>
          <w:p w14:paraId="7EB48186">
            <w:pPr>
              <w:spacing w:line="360" w:lineRule="auto"/>
              <w:ind w:firstLine="420" w:firstLineChars="200"/>
              <w:rPr>
                <w:color w:val="auto"/>
                <w:szCs w:val="21"/>
                <w:highlight w:val="none"/>
              </w:rPr>
            </w:pPr>
          </w:p>
        </w:tc>
        <w:tc>
          <w:tcPr>
            <w:tcW w:w="708" w:type="dxa"/>
            <w:vAlign w:val="center"/>
          </w:tcPr>
          <w:p w14:paraId="3A49AFC9">
            <w:pPr>
              <w:spacing w:line="360" w:lineRule="auto"/>
              <w:ind w:firstLine="420" w:firstLineChars="200"/>
              <w:rPr>
                <w:color w:val="auto"/>
                <w:szCs w:val="21"/>
                <w:highlight w:val="none"/>
              </w:rPr>
            </w:pPr>
          </w:p>
        </w:tc>
        <w:tc>
          <w:tcPr>
            <w:tcW w:w="709" w:type="dxa"/>
            <w:vAlign w:val="center"/>
          </w:tcPr>
          <w:p w14:paraId="511F4E20">
            <w:pPr>
              <w:spacing w:line="360" w:lineRule="auto"/>
              <w:ind w:firstLine="420" w:firstLineChars="200"/>
              <w:rPr>
                <w:color w:val="auto"/>
                <w:szCs w:val="21"/>
                <w:highlight w:val="none"/>
              </w:rPr>
            </w:pPr>
          </w:p>
        </w:tc>
        <w:tc>
          <w:tcPr>
            <w:tcW w:w="1134" w:type="dxa"/>
            <w:vAlign w:val="center"/>
          </w:tcPr>
          <w:p w14:paraId="3BBC43F3">
            <w:pPr>
              <w:spacing w:line="360" w:lineRule="auto"/>
              <w:ind w:firstLine="420" w:firstLineChars="200"/>
              <w:rPr>
                <w:color w:val="auto"/>
                <w:szCs w:val="21"/>
                <w:highlight w:val="none"/>
              </w:rPr>
            </w:pPr>
          </w:p>
        </w:tc>
        <w:tc>
          <w:tcPr>
            <w:tcW w:w="1276" w:type="dxa"/>
            <w:vAlign w:val="center"/>
          </w:tcPr>
          <w:p w14:paraId="260FD245">
            <w:pPr>
              <w:spacing w:line="360" w:lineRule="auto"/>
              <w:ind w:firstLine="420" w:firstLineChars="200"/>
              <w:rPr>
                <w:color w:val="auto"/>
                <w:szCs w:val="21"/>
                <w:highlight w:val="none"/>
              </w:rPr>
            </w:pPr>
          </w:p>
        </w:tc>
        <w:tc>
          <w:tcPr>
            <w:tcW w:w="1134" w:type="dxa"/>
            <w:vAlign w:val="center"/>
          </w:tcPr>
          <w:p w14:paraId="58A21EC6">
            <w:pPr>
              <w:spacing w:line="360" w:lineRule="auto"/>
              <w:ind w:firstLine="420" w:firstLineChars="200"/>
              <w:rPr>
                <w:color w:val="auto"/>
                <w:szCs w:val="21"/>
                <w:highlight w:val="none"/>
              </w:rPr>
            </w:pPr>
          </w:p>
        </w:tc>
        <w:tc>
          <w:tcPr>
            <w:tcW w:w="1559" w:type="dxa"/>
            <w:vAlign w:val="center"/>
          </w:tcPr>
          <w:p w14:paraId="7B6A365A">
            <w:pPr>
              <w:spacing w:line="360" w:lineRule="auto"/>
              <w:ind w:firstLine="420" w:firstLineChars="200"/>
              <w:rPr>
                <w:color w:val="auto"/>
                <w:szCs w:val="21"/>
                <w:highlight w:val="none"/>
              </w:rPr>
            </w:pPr>
          </w:p>
        </w:tc>
      </w:tr>
      <w:tr w14:paraId="1B36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43C355E">
            <w:pPr>
              <w:spacing w:line="360" w:lineRule="auto"/>
              <w:ind w:firstLine="420" w:firstLineChars="200"/>
              <w:rPr>
                <w:color w:val="auto"/>
                <w:szCs w:val="21"/>
                <w:highlight w:val="none"/>
              </w:rPr>
            </w:pPr>
          </w:p>
        </w:tc>
        <w:tc>
          <w:tcPr>
            <w:tcW w:w="1226" w:type="dxa"/>
            <w:vAlign w:val="center"/>
          </w:tcPr>
          <w:p w14:paraId="46A58BF2">
            <w:pPr>
              <w:spacing w:line="360" w:lineRule="auto"/>
              <w:ind w:firstLine="420" w:firstLineChars="200"/>
              <w:rPr>
                <w:color w:val="auto"/>
                <w:szCs w:val="21"/>
                <w:highlight w:val="none"/>
              </w:rPr>
            </w:pPr>
          </w:p>
        </w:tc>
        <w:tc>
          <w:tcPr>
            <w:tcW w:w="851" w:type="dxa"/>
            <w:vAlign w:val="center"/>
          </w:tcPr>
          <w:p w14:paraId="4837C1F9">
            <w:pPr>
              <w:spacing w:line="360" w:lineRule="auto"/>
              <w:ind w:firstLine="420" w:firstLineChars="200"/>
              <w:rPr>
                <w:color w:val="auto"/>
                <w:szCs w:val="21"/>
                <w:highlight w:val="none"/>
              </w:rPr>
            </w:pPr>
          </w:p>
        </w:tc>
        <w:tc>
          <w:tcPr>
            <w:tcW w:w="708" w:type="dxa"/>
            <w:vAlign w:val="center"/>
          </w:tcPr>
          <w:p w14:paraId="2768AC2F">
            <w:pPr>
              <w:spacing w:line="360" w:lineRule="auto"/>
              <w:ind w:firstLine="420" w:firstLineChars="200"/>
              <w:rPr>
                <w:color w:val="auto"/>
                <w:szCs w:val="21"/>
                <w:highlight w:val="none"/>
              </w:rPr>
            </w:pPr>
          </w:p>
        </w:tc>
        <w:tc>
          <w:tcPr>
            <w:tcW w:w="709" w:type="dxa"/>
            <w:vAlign w:val="center"/>
          </w:tcPr>
          <w:p w14:paraId="298F52B5">
            <w:pPr>
              <w:spacing w:line="360" w:lineRule="auto"/>
              <w:ind w:firstLine="420" w:firstLineChars="200"/>
              <w:rPr>
                <w:color w:val="auto"/>
                <w:szCs w:val="21"/>
                <w:highlight w:val="none"/>
              </w:rPr>
            </w:pPr>
          </w:p>
        </w:tc>
        <w:tc>
          <w:tcPr>
            <w:tcW w:w="1134" w:type="dxa"/>
            <w:vAlign w:val="center"/>
          </w:tcPr>
          <w:p w14:paraId="574CFB1F">
            <w:pPr>
              <w:spacing w:line="360" w:lineRule="auto"/>
              <w:ind w:firstLine="420" w:firstLineChars="200"/>
              <w:rPr>
                <w:color w:val="auto"/>
                <w:szCs w:val="21"/>
                <w:highlight w:val="none"/>
              </w:rPr>
            </w:pPr>
          </w:p>
        </w:tc>
        <w:tc>
          <w:tcPr>
            <w:tcW w:w="1276" w:type="dxa"/>
            <w:vAlign w:val="center"/>
          </w:tcPr>
          <w:p w14:paraId="42B1DEDF">
            <w:pPr>
              <w:spacing w:line="360" w:lineRule="auto"/>
              <w:ind w:firstLine="420" w:firstLineChars="200"/>
              <w:rPr>
                <w:color w:val="auto"/>
                <w:szCs w:val="21"/>
                <w:highlight w:val="none"/>
              </w:rPr>
            </w:pPr>
          </w:p>
        </w:tc>
        <w:tc>
          <w:tcPr>
            <w:tcW w:w="1134" w:type="dxa"/>
            <w:vAlign w:val="center"/>
          </w:tcPr>
          <w:p w14:paraId="03C63AE7">
            <w:pPr>
              <w:spacing w:line="360" w:lineRule="auto"/>
              <w:ind w:firstLine="420" w:firstLineChars="200"/>
              <w:rPr>
                <w:color w:val="auto"/>
                <w:szCs w:val="21"/>
                <w:highlight w:val="none"/>
              </w:rPr>
            </w:pPr>
          </w:p>
        </w:tc>
        <w:tc>
          <w:tcPr>
            <w:tcW w:w="1559" w:type="dxa"/>
            <w:vAlign w:val="center"/>
          </w:tcPr>
          <w:p w14:paraId="0728AB4A">
            <w:pPr>
              <w:spacing w:line="360" w:lineRule="auto"/>
              <w:ind w:firstLine="420" w:firstLineChars="200"/>
              <w:rPr>
                <w:color w:val="auto"/>
                <w:szCs w:val="21"/>
                <w:highlight w:val="none"/>
              </w:rPr>
            </w:pPr>
          </w:p>
        </w:tc>
      </w:tr>
      <w:tr w14:paraId="31ED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CAFD97">
            <w:pPr>
              <w:spacing w:line="360" w:lineRule="auto"/>
              <w:ind w:firstLine="420" w:firstLineChars="200"/>
              <w:rPr>
                <w:color w:val="auto"/>
                <w:szCs w:val="21"/>
                <w:highlight w:val="none"/>
              </w:rPr>
            </w:pPr>
          </w:p>
        </w:tc>
        <w:tc>
          <w:tcPr>
            <w:tcW w:w="1226" w:type="dxa"/>
            <w:vAlign w:val="center"/>
          </w:tcPr>
          <w:p w14:paraId="53A840FA">
            <w:pPr>
              <w:spacing w:line="360" w:lineRule="auto"/>
              <w:ind w:firstLine="420" w:firstLineChars="200"/>
              <w:rPr>
                <w:color w:val="auto"/>
                <w:szCs w:val="21"/>
                <w:highlight w:val="none"/>
              </w:rPr>
            </w:pPr>
          </w:p>
        </w:tc>
        <w:tc>
          <w:tcPr>
            <w:tcW w:w="851" w:type="dxa"/>
            <w:vAlign w:val="center"/>
          </w:tcPr>
          <w:p w14:paraId="33AC285F">
            <w:pPr>
              <w:spacing w:line="360" w:lineRule="auto"/>
              <w:ind w:firstLine="420" w:firstLineChars="200"/>
              <w:rPr>
                <w:color w:val="auto"/>
                <w:szCs w:val="21"/>
                <w:highlight w:val="none"/>
              </w:rPr>
            </w:pPr>
          </w:p>
        </w:tc>
        <w:tc>
          <w:tcPr>
            <w:tcW w:w="708" w:type="dxa"/>
            <w:vAlign w:val="center"/>
          </w:tcPr>
          <w:p w14:paraId="316ED7E7">
            <w:pPr>
              <w:spacing w:line="360" w:lineRule="auto"/>
              <w:ind w:firstLine="420" w:firstLineChars="200"/>
              <w:rPr>
                <w:color w:val="auto"/>
                <w:szCs w:val="21"/>
                <w:highlight w:val="none"/>
              </w:rPr>
            </w:pPr>
          </w:p>
        </w:tc>
        <w:tc>
          <w:tcPr>
            <w:tcW w:w="709" w:type="dxa"/>
            <w:vAlign w:val="center"/>
          </w:tcPr>
          <w:p w14:paraId="6DC55FB5">
            <w:pPr>
              <w:spacing w:line="360" w:lineRule="auto"/>
              <w:ind w:firstLine="420" w:firstLineChars="200"/>
              <w:rPr>
                <w:color w:val="auto"/>
                <w:szCs w:val="21"/>
                <w:highlight w:val="none"/>
              </w:rPr>
            </w:pPr>
          </w:p>
        </w:tc>
        <w:tc>
          <w:tcPr>
            <w:tcW w:w="1134" w:type="dxa"/>
            <w:vAlign w:val="center"/>
          </w:tcPr>
          <w:p w14:paraId="53F7069C">
            <w:pPr>
              <w:spacing w:line="360" w:lineRule="auto"/>
              <w:ind w:firstLine="420" w:firstLineChars="200"/>
              <w:rPr>
                <w:color w:val="auto"/>
                <w:szCs w:val="21"/>
                <w:highlight w:val="none"/>
              </w:rPr>
            </w:pPr>
          </w:p>
        </w:tc>
        <w:tc>
          <w:tcPr>
            <w:tcW w:w="1276" w:type="dxa"/>
            <w:vAlign w:val="center"/>
          </w:tcPr>
          <w:p w14:paraId="4AD397FD">
            <w:pPr>
              <w:spacing w:line="360" w:lineRule="auto"/>
              <w:ind w:firstLine="420" w:firstLineChars="200"/>
              <w:rPr>
                <w:color w:val="auto"/>
                <w:szCs w:val="21"/>
                <w:highlight w:val="none"/>
              </w:rPr>
            </w:pPr>
          </w:p>
        </w:tc>
        <w:tc>
          <w:tcPr>
            <w:tcW w:w="1134" w:type="dxa"/>
            <w:vAlign w:val="center"/>
          </w:tcPr>
          <w:p w14:paraId="4D29D03C">
            <w:pPr>
              <w:spacing w:line="360" w:lineRule="auto"/>
              <w:ind w:firstLine="420" w:firstLineChars="200"/>
              <w:rPr>
                <w:color w:val="auto"/>
                <w:szCs w:val="21"/>
                <w:highlight w:val="none"/>
              </w:rPr>
            </w:pPr>
          </w:p>
        </w:tc>
        <w:tc>
          <w:tcPr>
            <w:tcW w:w="1559" w:type="dxa"/>
            <w:vAlign w:val="center"/>
          </w:tcPr>
          <w:p w14:paraId="4C80FCFE">
            <w:pPr>
              <w:spacing w:line="360" w:lineRule="auto"/>
              <w:ind w:firstLine="420" w:firstLineChars="200"/>
              <w:rPr>
                <w:color w:val="auto"/>
                <w:szCs w:val="21"/>
                <w:highlight w:val="none"/>
              </w:rPr>
            </w:pPr>
          </w:p>
        </w:tc>
      </w:tr>
      <w:tr w14:paraId="10DD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9EDA0EB">
            <w:pPr>
              <w:spacing w:line="360" w:lineRule="auto"/>
              <w:ind w:firstLine="420" w:firstLineChars="200"/>
              <w:rPr>
                <w:color w:val="auto"/>
                <w:szCs w:val="21"/>
                <w:highlight w:val="none"/>
              </w:rPr>
            </w:pPr>
          </w:p>
        </w:tc>
        <w:tc>
          <w:tcPr>
            <w:tcW w:w="1226" w:type="dxa"/>
            <w:vAlign w:val="center"/>
          </w:tcPr>
          <w:p w14:paraId="7633739B">
            <w:pPr>
              <w:spacing w:line="360" w:lineRule="auto"/>
              <w:ind w:firstLine="420" w:firstLineChars="200"/>
              <w:rPr>
                <w:color w:val="auto"/>
                <w:szCs w:val="21"/>
                <w:highlight w:val="none"/>
              </w:rPr>
            </w:pPr>
          </w:p>
        </w:tc>
        <w:tc>
          <w:tcPr>
            <w:tcW w:w="851" w:type="dxa"/>
            <w:vAlign w:val="center"/>
          </w:tcPr>
          <w:p w14:paraId="5455EB0D">
            <w:pPr>
              <w:spacing w:line="360" w:lineRule="auto"/>
              <w:ind w:firstLine="420" w:firstLineChars="200"/>
              <w:rPr>
                <w:color w:val="auto"/>
                <w:szCs w:val="21"/>
                <w:highlight w:val="none"/>
              </w:rPr>
            </w:pPr>
          </w:p>
        </w:tc>
        <w:tc>
          <w:tcPr>
            <w:tcW w:w="708" w:type="dxa"/>
            <w:vAlign w:val="center"/>
          </w:tcPr>
          <w:p w14:paraId="17090B4B">
            <w:pPr>
              <w:spacing w:line="360" w:lineRule="auto"/>
              <w:ind w:firstLine="420" w:firstLineChars="200"/>
              <w:rPr>
                <w:color w:val="auto"/>
                <w:szCs w:val="21"/>
                <w:highlight w:val="none"/>
              </w:rPr>
            </w:pPr>
          </w:p>
        </w:tc>
        <w:tc>
          <w:tcPr>
            <w:tcW w:w="709" w:type="dxa"/>
            <w:vAlign w:val="center"/>
          </w:tcPr>
          <w:p w14:paraId="4DA3F102">
            <w:pPr>
              <w:spacing w:line="360" w:lineRule="auto"/>
              <w:ind w:firstLine="420" w:firstLineChars="200"/>
              <w:rPr>
                <w:color w:val="auto"/>
                <w:szCs w:val="21"/>
                <w:highlight w:val="none"/>
              </w:rPr>
            </w:pPr>
          </w:p>
        </w:tc>
        <w:tc>
          <w:tcPr>
            <w:tcW w:w="1134" w:type="dxa"/>
            <w:vAlign w:val="center"/>
          </w:tcPr>
          <w:p w14:paraId="18B7C44B">
            <w:pPr>
              <w:spacing w:line="360" w:lineRule="auto"/>
              <w:ind w:firstLine="420" w:firstLineChars="200"/>
              <w:rPr>
                <w:color w:val="auto"/>
                <w:szCs w:val="21"/>
                <w:highlight w:val="none"/>
              </w:rPr>
            </w:pPr>
          </w:p>
        </w:tc>
        <w:tc>
          <w:tcPr>
            <w:tcW w:w="1276" w:type="dxa"/>
            <w:vAlign w:val="center"/>
          </w:tcPr>
          <w:p w14:paraId="3A6B3532">
            <w:pPr>
              <w:spacing w:line="360" w:lineRule="auto"/>
              <w:ind w:firstLine="420" w:firstLineChars="200"/>
              <w:rPr>
                <w:color w:val="auto"/>
                <w:szCs w:val="21"/>
                <w:highlight w:val="none"/>
              </w:rPr>
            </w:pPr>
          </w:p>
        </w:tc>
        <w:tc>
          <w:tcPr>
            <w:tcW w:w="1134" w:type="dxa"/>
            <w:vAlign w:val="center"/>
          </w:tcPr>
          <w:p w14:paraId="0E71008A">
            <w:pPr>
              <w:spacing w:line="360" w:lineRule="auto"/>
              <w:ind w:firstLine="420" w:firstLineChars="200"/>
              <w:rPr>
                <w:color w:val="auto"/>
                <w:szCs w:val="21"/>
                <w:highlight w:val="none"/>
              </w:rPr>
            </w:pPr>
          </w:p>
        </w:tc>
        <w:tc>
          <w:tcPr>
            <w:tcW w:w="1559" w:type="dxa"/>
            <w:vAlign w:val="center"/>
          </w:tcPr>
          <w:p w14:paraId="7BB94D8B">
            <w:pPr>
              <w:spacing w:line="360" w:lineRule="auto"/>
              <w:ind w:firstLine="420" w:firstLineChars="200"/>
              <w:rPr>
                <w:color w:val="auto"/>
                <w:szCs w:val="21"/>
                <w:highlight w:val="none"/>
              </w:rPr>
            </w:pPr>
          </w:p>
        </w:tc>
      </w:tr>
      <w:tr w14:paraId="3EC0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869A580">
            <w:pPr>
              <w:spacing w:line="360" w:lineRule="auto"/>
              <w:ind w:firstLine="420" w:firstLineChars="200"/>
              <w:rPr>
                <w:color w:val="auto"/>
                <w:szCs w:val="21"/>
                <w:highlight w:val="none"/>
              </w:rPr>
            </w:pPr>
          </w:p>
        </w:tc>
        <w:tc>
          <w:tcPr>
            <w:tcW w:w="1226" w:type="dxa"/>
            <w:vAlign w:val="center"/>
          </w:tcPr>
          <w:p w14:paraId="5A61971D">
            <w:pPr>
              <w:spacing w:line="360" w:lineRule="auto"/>
              <w:ind w:firstLine="420" w:firstLineChars="200"/>
              <w:rPr>
                <w:color w:val="auto"/>
                <w:szCs w:val="21"/>
                <w:highlight w:val="none"/>
              </w:rPr>
            </w:pPr>
          </w:p>
        </w:tc>
        <w:tc>
          <w:tcPr>
            <w:tcW w:w="851" w:type="dxa"/>
            <w:vAlign w:val="center"/>
          </w:tcPr>
          <w:p w14:paraId="09D91767">
            <w:pPr>
              <w:spacing w:line="360" w:lineRule="auto"/>
              <w:ind w:firstLine="420" w:firstLineChars="200"/>
              <w:rPr>
                <w:color w:val="auto"/>
                <w:szCs w:val="21"/>
                <w:highlight w:val="none"/>
              </w:rPr>
            </w:pPr>
          </w:p>
        </w:tc>
        <w:tc>
          <w:tcPr>
            <w:tcW w:w="708" w:type="dxa"/>
            <w:vAlign w:val="center"/>
          </w:tcPr>
          <w:p w14:paraId="1C4C1D30">
            <w:pPr>
              <w:spacing w:line="360" w:lineRule="auto"/>
              <w:ind w:firstLine="420" w:firstLineChars="200"/>
              <w:rPr>
                <w:color w:val="auto"/>
                <w:szCs w:val="21"/>
                <w:highlight w:val="none"/>
              </w:rPr>
            </w:pPr>
          </w:p>
        </w:tc>
        <w:tc>
          <w:tcPr>
            <w:tcW w:w="709" w:type="dxa"/>
            <w:vAlign w:val="center"/>
          </w:tcPr>
          <w:p w14:paraId="0B57587F">
            <w:pPr>
              <w:spacing w:line="360" w:lineRule="auto"/>
              <w:ind w:firstLine="420" w:firstLineChars="200"/>
              <w:rPr>
                <w:color w:val="auto"/>
                <w:szCs w:val="21"/>
                <w:highlight w:val="none"/>
              </w:rPr>
            </w:pPr>
          </w:p>
        </w:tc>
        <w:tc>
          <w:tcPr>
            <w:tcW w:w="1134" w:type="dxa"/>
            <w:vAlign w:val="center"/>
          </w:tcPr>
          <w:p w14:paraId="47A6FC30">
            <w:pPr>
              <w:spacing w:line="360" w:lineRule="auto"/>
              <w:ind w:firstLine="420" w:firstLineChars="200"/>
              <w:rPr>
                <w:color w:val="auto"/>
                <w:szCs w:val="21"/>
                <w:highlight w:val="none"/>
              </w:rPr>
            </w:pPr>
          </w:p>
        </w:tc>
        <w:tc>
          <w:tcPr>
            <w:tcW w:w="1276" w:type="dxa"/>
            <w:vAlign w:val="center"/>
          </w:tcPr>
          <w:p w14:paraId="62038373">
            <w:pPr>
              <w:spacing w:line="360" w:lineRule="auto"/>
              <w:ind w:firstLine="420" w:firstLineChars="200"/>
              <w:rPr>
                <w:color w:val="auto"/>
                <w:szCs w:val="21"/>
                <w:highlight w:val="none"/>
              </w:rPr>
            </w:pPr>
          </w:p>
        </w:tc>
        <w:tc>
          <w:tcPr>
            <w:tcW w:w="1134" w:type="dxa"/>
            <w:vAlign w:val="center"/>
          </w:tcPr>
          <w:p w14:paraId="08E1F844">
            <w:pPr>
              <w:spacing w:line="360" w:lineRule="auto"/>
              <w:ind w:firstLine="420" w:firstLineChars="200"/>
              <w:rPr>
                <w:color w:val="auto"/>
                <w:szCs w:val="21"/>
                <w:highlight w:val="none"/>
              </w:rPr>
            </w:pPr>
          </w:p>
        </w:tc>
        <w:tc>
          <w:tcPr>
            <w:tcW w:w="1559" w:type="dxa"/>
            <w:vAlign w:val="center"/>
          </w:tcPr>
          <w:p w14:paraId="4AB5064D">
            <w:pPr>
              <w:spacing w:line="360" w:lineRule="auto"/>
              <w:ind w:firstLine="420" w:firstLineChars="200"/>
              <w:rPr>
                <w:color w:val="auto"/>
                <w:szCs w:val="21"/>
                <w:highlight w:val="none"/>
              </w:rPr>
            </w:pPr>
          </w:p>
        </w:tc>
      </w:tr>
    </w:tbl>
    <w:p w14:paraId="0FBF059B">
      <w:pPr>
        <w:rPr>
          <w:color w:val="auto"/>
          <w:highlight w:val="none"/>
        </w:rPr>
      </w:pPr>
    </w:p>
    <w:p w14:paraId="45664C23">
      <w:pPr>
        <w:rPr>
          <w:b/>
          <w:bCs/>
          <w:color w:val="auto"/>
          <w:highlight w:val="none"/>
        </w:rPr>
      </w:pPr>
    </w:p>
    <w:p w14:paraId="6E1A676B">
      <w:pPr>
        <w:rPr>
          <w:b/>
          <w:bCs/>
          <w:color w:val="auto"/>
          <w:highlight w:val="none"/>
        </w:rPr>
      </w:pPr>
      <w:r>
        <w:rPr>
          <w:b/>
          <w:bCs/>
          <w:color w:val="auto"/>
          <w:highlight w:val="none"/>
        </w:rPr>
        <w:t>附表三：</w:t>
      </w:r>
      <w:r>
        <w:rPr>
          <w:b/>
          <w:bCs/>
          <w:spacing w:val="9"/>
          <w:sz w:val="21"/>
          <w:szCs w:val="21"/>
        </w:rPr>
        <w:t>拟投入本合同工程的劳动力计划表</w:t>
      </w:r>
    </w:p>
    <w:p w14:paraId="53623803">
      <w:pPr>
        <w:ind w:firstLine="7245" w:firstLineChars="3450"/>
        <w:rPr>
          <w:color w:val="auto"/>
          <w:szCs w:val="21"/>
          <w:highlight w:val="none"/>
        </w:rPr>
      </w:pPr>
      <w:r>
        <w:rPr>
          <w:color w:val="auto"/>
          <w:szCs w:val="21"/>
          <w:highlight w:val="none"/>
        </w:rPr>
        <w:t xml:space="preserve">    </w:t>
      </w:r>
    </w:p>
    <w:p w14:paraId="072A33A4">
      <w:pPr>
        <w:jc w:val="center"/>
        <w:rPr>
          <w:b/>
          <w:bCs/>
          <w:color w:val="auto"/>
          <w:szCs w:val="21"/>
          <w:highlight w:val="none"/>
        </w:rPr>
      </w:pPr>
      <w:r>
        <w:rPr>
          <w:b/>
          <w:bCs/>
          <w:spacing w:val="9"/>
          <w:sz w:val="21"/>
          <w:szCs w:val="21"/>
        </w:rPr>
        <w:t>拟投入本合同工程的劳动力计划表</w:t>
      </w:r>
    </w:p>
    <w:p w14:paraId="3653BB1A">
      <w:pPr>
        <w:ind w:firstLine="7245" w:firstLineChars="3450"/>
        <w:rPr>
          <w:color w:val="auto"/>
          <w:szCs w:val="21"/>
          <w:highlight w:val="none"/>
        </w:rPr>
      </w:pPr>
    </w:p>
    <w:p w14:paraId="40428213">
      <w:pPr>
        <w:ind w:firstLine="7245" w:firstLineChars="3450"/>
        <w:rPr>
          <w:color w:val="auto"/>
          <w:szCs w:val="21"/>
          <w:highlight w:val="none"/>
        </w:rPr>
      </w:pPr>
      <w:r>
        <w:rPr>
          <w:color w:val="auto"/>
          <w:szCs w:val="21"/>
          <w:highlight w:val="none"/>
        </w:rPr>
        <w:t>单位：人</w:t>
      </w:r>
    </w:p>
    <w:tbl>
      <w:tblPr>
        <w:tblStyle w:val="2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53B9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155110B">
            <w:pPr>
              <w:spacing w:line="360" w:lineRule="auto"/>
              <w:jc w:val="center"/>
              <w:rPr>
                <w:color w:val="auto"/>
                <w:szCs w:val="21"/>
                <w:highlight w:val="none"/>
              </w:rPr>
            </w:pPr>
            <w:r>
              <w:rPr>
                <w:color w:val="auto"/>
                <w:szCs w:val="21"/>
                <w:highlight w:val="none"/>
              </w:rPr>
              <w:t>工种</w:t>
            </w:r>
          </w:p>
        </w:tc>
        <w:tc>
          <w:tcPr>
            <w:tcW w:w="8506" w:type="dxa"/>
            <w:gridSpan w:val="7"/>
            <w:vAlign w:val="center"/>
          </w:tcPr>
          <w:p w14:paraId="197DE6AB">
            <w:pPr>
              <w:spacing w:line="360" w:lineRule="auto"/>
              <w:jc w:val="center"/>
              <w:rPr>
                <w:color w:val="auto"/>
                <w:szCs w:val="21"/>
                <w:highlight w:val="none"/>
              </w:rPr>
            </w:pPr>
            <w:r>
              <w:rPr>
                <w:color w:val="auto"/>
                <w:szCs w:val="21"/>
                <w:highlight w:val="none"/>
              </w:rPr>
              <w:t>按工程施工阶段投入劳动力情况</w:t>
            </w:r>
          </w:p>
        </w:tc>
      </w:tr>
      <w:tr w14:paraId="1D0C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DB77E4F">
            <w:pPr>
              <w:spacing w:line="360" w:lineRule="auto"/>
              <w:jc w:val="center"/>
              <w:rPr>
                <w:color w:val="auto"/>
                <w:szCs w:val="21"/>
                <w:highlight w:val="none"/>
              </w:rPr>
            </w:pPr>
          </w:p>
        </w:tc>
        <w:tc>
          <w:tcPr>
            <w:tcW w:w="961" w:type="dxa"/>
            <w:vAlign w:val="center"/>
          </w:tcPr>
          <w:p w14:paraId="731AB28D">
            <w:pPr>
              <w:spacing w:line="360" w:lineRule="auto"/>
              <w:jc w:val="center"/>
              <w:rPr>
                <w:color w:val="auto"/>
                <w:szCs w:val="21"/>
                <w:highlight w:val="none"/>
              </w:rPr>
            </w:pPr>
          </w:p>
        </w:tc>
        <w:tc>
          <w:tcPr>
            <w:tcW w:w="1257" w:type="dxa"/>
            <w:vAlign w:val="center"/>
          </w:tcPr>
          <w:p w14:paraId="6D60367B">
            <w:pPr>
              <w:spacing w:line="360" w:lineRule="auto"/>
              <w:jc w:val="center"/>
              <w:rPr>
                <w:color w:val="auto"/>
                <w:szCs w:val="21"/>
                <w:highlight w:val="none"/>
              </w:rPr>
            </w:pPr>
          </w:p>
        </w:tc>
        <w:tc>
          <w:tcPr>
            <w:tcW w:w="1258" w:type="dxa"/>
            <w:vAlign w:val="center"/>
          </w:tcPr>
          <w:p w14:paraId="686EAA0D">
            <w:pPr>
              <w:spacing w:line="360" w:lineRule="auto"/>
              <w:jc w:val="center"/>
              <w:rPr>
                <w:color w:val="auto"/>
                <w:szCs w:val="21"/>
                <w:highlight w:val="none"/>
              </w:rPr>
            </w:pPr>
          </w:p>
        </w:tc>
        <w:tc>
          <w:tcPr>
            <w:tcW w:w="1257" w:type="dxa"/>
            <w:vAlign w:val="center"/>
          </w:tcPr>
          <w:p w14:paraId="2AD467A7">
            <w:pPr>
              <w:spacing w:line="360" w:lineRule="auto"/>
              <w:jc w:val="center"/>
              <w:rPr>
                <w:color w:val="auto"/>
                <w:szCs w:val="21"/>
                <w:highlight w:val="none"/>
              </w:rPr>
            </w:pPr>
          </w:p>
        </w:tc>
        <w:tc>
          <w:tcPr>
            <w:tcW w:w="1258" w:type="dxa"/>
            <w:vAlign w:val="center"/>
          </w:tcPr>
          <w:p w14:paraId="1555958A">
            <w:pPr>
              <w:spacing w:line="360" w:lineRule="auto"/>
              <w:jc w:val="center"/>
              <w:rPr>
                <w:color w:val="auto"/>
                <w:szCs w:val="21"/>
                <w:highlight w:val="none"/>
              </w:rPr>
            </w:pPr>
          </w:p>
        </w:tc>
        <w:tc>
          <w:tcPr>
            <w:tcW w:w="1257" w:type="dxa"/>
            <w:vAlign w:val="center"/>
          </w:tcPr>
          <w:p w14:paraId="73DB2A1E">
            <w:pPr>
              <w:spacing w:line="360" w:lineRule="auto"/>
              <w:jc w:val="center"/>
              <w:rPr>
                <w:color w:val="auto"/>
                <w:szCs w:val="21"/>
                <w:highlight w:val="none"/>
              </w:rPr>
            </w:pPr>
          </w:p>
        </w:tc>
        <w:tc>
          <w:tcPr>
            <w:tcW w:w="1258" w:type="dxa"/>
            <w:vAlign w:val="center"/>
          </w:tcPr>
          <w:p w14:paraId="778B7B7A">
            <w:pPr>
              <w:spacing w:line="360" w:lineRule="auto"/>
              <w:jc w:val="center"/>
              <w:rPr>
                <w:color w:val="auto"/>
                <w:szCs w:val="21"/>
                <w:highlight w:val="none"/>
              </w:rPr>
            </w:pPr>
          </w:p>
        </w:tc>
      </w:tr>
      <w:tr w14:paraId="4FAC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94FB10">
            <w:pPr>
              <w:spacing w:line="360" w:lineRule="auto"/>
              <w:jc w:val="center"/>
              <w:rPr>
                <w:color w:val="auto"/>
                <w:szCs w:val="21"/>
                <w:highlight w:val="none"/>
              </w:rPr>
            </w:pPr>
          </w:p>
        </w:tc>
        <w:tc>
          <w:tcPr>
            <w:tcW w:w="961" w:type="dxa"/>
            <w:vAlign w:val="center"/>
          </w:tcPr>
          <w:p w14:paraId="4742A06A">
            <w:pPr>
              <w:spacing w:line="360" w:lineRule="auto"/>
              <w:jc w:val="center"/>
              <w:rPr>
                <w:color w:val="auto"/>
                <w:szCs w:val="21"/>
                <w:highlight w:val="none"/>
              </w:rPr>
            </w:pPr>
          </w:p>
        </w:tc>
        <w:tc>
          <w:tcPr>
            <w:tcW w:w="1257" w:type="dxa"/>
            <w:vAlign w:val="center"/>
          </w:tcPr>
          <w:p w14:paraId="19C4E5B6">
            <w:pPr>
              <w:spacing w:line="360" w:lineRule="auto"/>
              <w:jc w:val="center"/>
              <w:rPr>
                <w:color w:val="auto"/>
                <w:szCs w:val="21"/>
                <w:highlight w:val="none"/>
              </w:rPr>
            </w:pPr>
          </w:p>
        </w:tc>
        <w:tc>
          <w:tcPr>
            <w:tcW w:w="1258" w:type="dxa"/>
            <w:vAlign w:val="center"/>
          </w:tcPr>
          <w:p w14:paraId="692F39EA">
            <w:pPr>
              <w:spacing w:line="360" w:lineRule="auto"/>
              <w:jc w:val="center"/>
              <w:rPr>
                <w:color w:val="auto"/>
                <w:szCs w:val="21"/>
                <w:highlight w:val="none"/>
              </w:rPr>
            </w:pPr>
          </w:p>
        </w:tc>
        <w:tc>
          <w:tcPr>
            <w:tcW w:w="1257" w:type="dxa"/>
            <w:vAlign w:val="center"/>
          </w:tcPr>
          <w:p w14:paraId="2B55A433">
            <w:pPr>
              <w:spacing w:line="360" w:lineRule="auto"/>
              <w:jc w:val="center"/>
              <w:rPr>
                <w:color w:val="auto"/>
                <w:szCs w:val="21"/>
                <w:highlight w:val="none"/>
              </w:rPr>
            </w:pPr>
          </w:p>
        </w:tc>
        <w:tc>
          <w:tcPr>
            <w:tcW w:w="1258" w:type="dxa"/>
            <w:vAlign w:val="center"/>
          </w:tcPr>
          <w:p w14:paraId="4F54F72A">
            <w:pPr>
              <w:spacing w:line="360" w:lineRule="auto"/>
              <w:jc w:val="center"/>
              <w:rPr>
                <w:color w:val="auto"/>
                <w:szCs w:val="21"/>
                <w:highlight w:val="none"/>
              </w:rPr>
            </w:pPr>
          </w:p>
        </w:tc>
        <w:tc>
          <w:tcPr>
            <w:tcW w:w="1257" w:type="dxa"/>
            <w:vAlign w:val="center"/>
          </w:tcPr>
          <w:p w14:paraId="57F096EE">
            <w:pPr>
              <w:spacing w:line="360" w:lineRule="auto"/>
              <w:jc w:val="center"/>
              <w:rPr>
                <w:color w:val="auto"/>
                <w:szCs w:val="21"/>
                <w:highlight w:val="none"/>
              </w:rPr>
            </w:pPr>
          </w:p>
        </w:tc>
        <w:tc>
          <w:tcPr>
            <w:tcW w:w="1258" w:type="dxa"/>
            <w:vAlign w:val="center"/>
          </w:tcPr>
          <w:p w14:paraId="0FC6DA14">
            <w:pPr>
              <w:spacing w:line="360" w:lineRule="auto"/>
              <w:jc w:val="center"/>
              <w:rPr>
                <w:color w:val="auto"/>
                <w:szCs w:val="21"/>
                <w:highlight w:val="none"/>
              </w:rPr>
            </w:pPr>
          </w:p>
        </w:tc>
      </w:tr>
      <w:tr w14:paraId="39D3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A7CF4F3">
            <w:pPr>
              <w:spacing w:line="360" w:lineRule="auto"/>
              <w:jc w:val="center"/>
              <w:rPr>
                <w:color w:val="auto"/>
                <w:szCs w:val="21"/>
                <w:highlight w:val="none"/>
              </w:rPr>
            </w:pPr>
          </w:p>
        </w:tc>
        <w:tc>
          <w:tcPr>
            <w:tcW w:w="961" w:type="dxa"/>
            <w:vAlign w:val="center"/>
          </w:tcPr>
          <w:p w14:paraId="10595BF3">
            <w:pPr>
              <w:spacing w:line="360" w:lineRule="auto"/>
              <w:jc w:val="center"/>
              <w:rPr>
                <w:color w:val="auto"/>
                <w:szCs w:val="21"/>
                <w:highlight w:val="none"/>
              </w:rPr>
            </w:pPr>
          </w:p>
        </w:tc>
        <w:tc>
          <w:tcPr>
            <w:tcW w:w="1257" w:type="dxa"/>
            <w:vAlign w:val="center"/>
          </w:tcPr>
          <w:p w14:paraId="4260C276">
            <w:pPr>
              <w:spacing w:line="360" w:lineRule="auto"/>
              <w:jc w:val="center"/>
              <w:rPr>
                <w:color w:val="auto"/>
                <w:szCs w:val="21"/>
                <w:highlight w:val="none"/>
              </w:rPr>
            </w:pPr>
          </w:p>
        </w:tc>
        <w:tc>
          <w:tcPr>
            <w:tcW w:w="1258" w:type="dxa"/>
            <w:vAlign w:val="center"/>
          </w:tcPr>
          <w:p w14:paraId="256EA8BD">
            <w:pPr>
              <w:spacing w:line="360" w:lineRule="auto"/>
              <w:jc w:val="center"/>
              <w:rPr>
                <w:color w:val="auto"/>
                <w:szCs w:val="21"/>
                <w:highlight w:val="none"/>
              </w:rPr>
            </w:pPr>
          </w:p>
        </w:tc>
        <w:tc>
          <w:tcPr>
            <w:tcW w:w="1257" w:type="dxa"/>
            <w:vAlign w:val="center"/>
          </w:tcPr>
          <w:p w14:paraId="56DC4A58">
            <w:pPr>
              <w:spacing w:line="360" w:lineRule="auto"/>
              <w:jc w:val="center"/>
              <w:rPr>
                <w:color w:val="auto"/>
                <w:szCs w:val="21"/>
                <w:highlight w:val="none"/>
              </w:rPr>
            </w:pPr>
          </w:p>
        </w:tc>
        <w:tc>
          <w:tcPr>
            <w:tcW w:w="1258" w:type="dxa"/>
            <w:vAlign w:val="center"/>
          </w:tcPr>
          <w:p w14:paraId="4E223943">
            <w:pPr>
              <w:spacing w:line="360" w:lineRule="auto"/>
              <w:jc w:val="center"/>
              <w:rPr>
                <w:color w:val="auto"/>
                <w:szCs w:val="21"/>
                <w:highlight w:val="none"/>
              </w:rPr>
            </w:pPr>
          </w:p>
        </w:tc>
        <w:tc>
          <w:tcPr>
            <w:tcW w:w="1257" w:type="dxa"/>
            <w:vAlign w:val="center"/>
          </w:tcPr>
          <w:p w14:paraId="2100C155">
            <w:pPr>
              <w:spacing w:line="360" w:lineRule="auto"/>
              <w:jc w:val="center"/>
              <w:rPr>
                <w:color w:val="auto"/>
                <w:szCs w:val="21"/>
                <w:highlight w:val="none"/>
              </w:rPr>
            </w:pPr>
          </w:p>
        </w:tc>
        <w:tc>
          <w:tcPr>
            <w:tcW w:w="1258" w:type="dxa"/>
            <w:vAlign w:val="center"/>
          </w:tcPr>
          <w:p w14:paraId="046390D2">
            <w:pPr>
              <w:spacing w:line="360" w:lineRule="auto"/>
              <w:jc w:val="center"/>
              <w:rPr>
                <w:color w:val="auto"/>
                <w:szCs w:val="21"/>
                <w:highlight w:val="none"/>
              </w:rPr>
            </w:pPr>
          </w:p>
        </w:tc>
      </w:tr>
      <w:tr w14:paraId="0025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B64E8A5">
            <w:pPr>
              <w:spacing w:line="360" w:lineRule="auto"/>
              <w:jc w:val="center"/>
              <w:rPr>
                <w:color w:val="auto"/>
                <w:szCs w:val="21"/>
                <w:highlight w:val="none"/>
              </w:rPr>
            </w:pPr>
          </w:p>
        </w:tc>
        <w:tc>
          <w:tcPr>
            <w:tcW w:w="961" w:type="dxa"/>
            <w:vAlign w:val="center"/>
          </w:tcPr>
          <w:p w14:paraId="62EFA9A3">
            <w:pPr>
              <w:spacing w:line="360" w:lineRule="auto"/>
              <w:jc w:val="center"/>
              <w:rPr>
                <w:color w:val="auto"/>
                <w:szCs w:val="21"/>
                <w:highlight w:val="none"/>
              </w:rPr>
            </w:pPr>
          </w:p>
        </w:tc>
        <w:tc>
          <w:tcPr>
            <w:tcW w:w="1257" w:type="dxa"/>
            <w:vAlign w:val="center"/>
          </w:tcPr>
          <w:p w14:paraId="37C3806D">
            <w:pPr>
              <w:spacing w:line="360" w:lineRule="auto"/>
              <w:jc w:val="center"/>
              <w:rPr>
                <w:color w:val="auto"/>
                <w:szCs w:val="21"/>
                <w:highlight w:val="none"/>
              </w:rPr>
            </w:pPr>
          </w:p>
        </w:tc>
        <w:tc>
          <w:tcPr>
            <w:tcW w:w="1258" w:type="dxa"/>
            <w:vAlign w:val="center"/>
          </w:tcPr>
          <w:p w14:paraId="3F3AAA83">
            <w:pPr>
              <w:spacing w:line="360" w:lineRule="auto"/>
              <w:jc w:val="center"/>
              <w:rPr>
                <w:color w:val="auto"/>
                <w:szCs w:val="21"/>
                <w:highlight w:val="none"/>
              </w:rPr>
            </w:pPr>
          </w:p>
        </w:tc>
        <w:tc>
          <w:tcPr>
            <w:tcW w:w="1257" w:type="dxa"/>
            <w:vAlign w:val="center"/>
          </w:tcPr>
          <w:p w14:paraId="095A31C1">
            <w:pPr>
              <w:spacing w:line="360" w:lineRule="auto"/>
              <w:jc w:val="center"/>
              <w:rPr>
                <w:color w:val="auto"/>
                <w:szCs w:val="21"/>
                <w:highlight w:val="none"/>
              </w:rPr>
            </w:pPr>
          </w:p>
        </w:tc>
        <w:tc>
          <w:tcPr>
            <w:tcW w:w="1258" w:type="dxa"/>
            <w:vAlign w:val="center"/>
          </w:tcPr>
          <w:p w14:paraId="5E8C4B42">
            <w:pPr>
              <w:spacing w:line="360" w:lineRule="auto"/>
              <w:jc w:val="center"/>
              <w:rPr>
                <w:color w:val="auto"/>
                <w:szCs w:val="21"/>
                <w:highlight w:val="none"/>
              </w:rPr>
            </w:pPr>
          </w:p>
        </w:tc>
        <w:tc>
          <w:tcPr>
            <w:tcW w:w="1257" w:type="dxa"/>
            <w:vAlign w:val="center"/>
          </w:tcPr>
          <w:p w14:paraId="5E3E3B69">
            <w:pPr>
              <w:spacing w:line="360" w:lineRule="auto"/>
              <w:jc w:val="center"/>
              <w:rPr>
                <w:color w:val="auto"/>
                <w:szCs w:val="21"/>
                <w:highlight w:val="none"/>
              </w:rPr>
            </w:pPr>
          </w:p>
        </w:tc>
        <w:tc>
          <w:tcPr>
            <w:tcW w:w="1258" w:type="dxa"/>
            <w:vAlign w:val="center"/>
          </w:tcPr>
          <w:p w14:paraId="2445A052">
            <w:pPr>
              <w:spacing w:line="360" w:lineRule="auto"/>
              <w:jc w:val="center"/>
              <w:rPr>
                <w:color w:val="auto"/>
                <w:szCs w:val="21"/>
                <w:highlight w:val="none"/>
              </w:rPr>
            </w:pPr>
          </w:p>
        </w:tc>
      </w:tr>
      <w:tr w14:paraId="745C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0D987B7">
            <w:pPr>
              <w:spacing w:line="360" w:lineRule="auto"/>
              <w:jc w:val="center"/>
              <w:rPr>
                <w:color w:val="auto"/>
                <w:szCs w:val="21"/>
                <w:highlight w:val="none"/>
              </w:rPr>
            </w:pPr>
          </w:p>
        </w:tc>
        <w:tc>
          <w:tcPr>
            <w:tcW w:w="961" w:type="dxa"/>
            <w:vAlign w:val="center"/>
          </w:tcPr>
          <w:p w14:paraId="7C7952CC">
            <w:pPr>
              <w:spacing w:line="360" w:lineRule="auto"/>
              <w:jc w:val="center"/>
              <w:rPr>
                <w:color w:val="auto"/>
                <w:szCs w:val="21"/>
                <w:highlight w:val="none"/>
              </w:rPr>
            </w:pPr>
          </w:p>
        </w:tc>
        <w:tc>
          <w:tcPr>
            <w:tcW w:w="1257" w:type="dxa"/>
            <w:vAlign w:val="center"/>
          </w:tcPr>
          <w:p w14:paraId="45B319BB">
            <w:pPr>
              <w:spacing w:line="360" w:lineRule="auto"/>
              <w:jc w:val="center"/>
              <w:rPr>
                <w:color w:val="auto"/>
                <w:szCs w:val="21"/>
                <w:highlight w:val="none"/>
              </w:rPr>
            </w:pPr>
          </w:p>
        </w:tc>
        <w:tc>
          <w:tcPr>
            <w:tcW w:w="1258" w:type="dxa"/>
            <w:vAlign w:val="center"/>
          </w:tcPr>
          <w:p w14:paraId="2F4FAEA2">
            <w:pPr>
              <w:spacing w:line="360" w:lineRule="auto"/>
              <w:jc w:val="center"/>
              <w:rPr>
                <w:color w:val="auto"/>
                <w:szCs w:val="21"/>
                <w:highlight w:val="none"/>
              </w:rPr>
            </w:pPr>
          </w:p>
        </w:tc>
        <w:tc>
          <w:tcPr>
            <w:tcW w:w="1257" w:type="dxa"/>
            <w:vAlign w:val="center"/>
          </w:tcPr>
          <w:p w14:paraId="2E0E7B9C">
            <w:pPr>
              <w:spacing w:line="360" w:lineRule="auto"/>
              <w:jc w:val="center"/>
              <w:rPr>
                <w:color w:val="auto"/>
                <w:szCs w:val="21"/>
                <w:highlight w:val="none"/>
              </w:rPr>
            </w:pPr>
          </w:p>
        </w:tc>
        <w:tc>
          <w:tcPr>
            <w:tcW w:w="1258" w:type="dxa"/>
            <w:vAlign w:val="center"/>
          </w:tcPr>
          <w:p w14:paraId="4451523C">
            <w:pPr>
              <w:spacing w:line="360" w:lineRule="auto"/>
              <w:jc w:val="center"/>
              <w:rPr>
                <w:color w:val="auto"/>
                <w:szCs w:val="21"/>
                <w:highlight w:val="none"/>
              </w:rPr>
            </w:pPr>
          </w:p>
        </w:tc>
        <w:tc>
          <w:tcPr>
            <w:tcW w:w="1257" w:type="dxa"/>
            <w:vAlign w:val="center"/>
          </w:tcPr>
          <w:p w14:paraId="1AA11961">
            <w:pPr>
              <w:spacing w:line="360" w:lineRule="auto"/>
              <w:jc w:val="center"/>
              <w:rPr>
                <w:color w:val="auto"/>
                <w:szCs w:val="21"/>
                <w:highlight w:val="none"/>
              </w:rPr>
            </w:pPr>
          </w:p>
        </w:tc>
        <w:tc>
          <w:tcPr>
            <w:tcW w:w="1258" w:type="dxa"/>
            <w:vAlign w:val="center"/>
          </w:tcPr>
          <w:p w14:paraId="66D4FA6D">
            <w:pPr>
              <w:spacing w:line="360" w:lineRule="auto"/>
              <w:jc w:val="center"/>
              <w:rPr>
                <w:color w:val="auto"/>
                <w:szCs w:val="21"/>
                <w:highlight w:val="none"/>
              </w:rPr>
            </w:pPr>
          </w:p>
        </w:tc>
      </w:tr>
      <w:tr w14:paraId="4F3D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C0654E8">
            <w:pPr>
              <w:spacing w:line="360" w:lineRule="auto"/>
              <w:jc w:val="center"/>
              <w:rPr>
                <w:color w:val="auto"/>
                <w:szCs w:val="21"/>
                <w:highlight w:val="none"/>
              </w:rPr>
            </w:pPr>
          </w:p>
        </w:tc>
        <w:tc>
          <w:tcPr>
            <w:tcW w:w="961" w:type="dxa"/>
            <w:vAlign w:val="center"/>
          </w:tcPr>
          <w:p w14:paraId="6418F275">
            <w:pPr>
              <w:spacing w:line="360" w:lineRule="auto"/>
              <w:jc w:val="center"/>
              <w:rPr>
                <w:color w:val="auto"/>
                <w:szCs w:val="21"/>
                <w:highlight w:val="none"/>
              </w:rPr>
            </w:pPr>
          </w:p>
        </w:tc>
        <w:tc>
          <w:tcPr>
            <w:tcW w:w="1257" w:type="dxa"/>
            <w:vAlign w:val="center"/>
          </w:tcPr>
          <w:p w14:paraId="1D1711E8">
            <w:pPr>
              <w:spacing w:line="360" w:lineRule="auto"/>
              <w:jc w:val="center"/>
              <w:rPr>
                <w:color w:val="auto"/>
                <w:szCs w:val="21"/>
                <w:highlight w:val="none"/>
              </w:rPr>
            </w:pPr>
          </w:p>
        </w:tc>
        <w:tc>
          <w:tcPr>
            <w:tcW w:w="1258" w:type="dxa"/>
            <w:vAlign w:val="center"/>
          </w:tcPr>
          <w:p w14:paraId="5B83FCC5">
            <w:pPr>
              <w:spacing w:line="360" w:lineRule="auto"/>
              <w:jc w:val="center"/>
              <w:rPr>
                <w:color w:val="auto"/>
                <w:szCs w:val="21"/>
                <w:highlight w:val="none"/>
              </w:rPr>
            </w:pPr>
          </w:p>
        </w:tc>
        <w:tc>
          <w:tcPr>
            <w:tcW w:w="1257" w:type="dxa"/>
            <w:vAlign w:val="center"/>
          </w:tcPr>
          <w:p w14:paraId="5552310D">
            <w:pPr>
              <w:spacing w:line="360" w:lineRule="auto"/>
              <w:jc w:val="center"/>
              <w:rPr>
                <w:color w:val="auto"/>
                <w:szCs w:val="21"/>
                <w:highlight w:val="none"/>
              </w:rPr>
            </w:pPr>
          </w:p>
        </w:tc>
        <w:tc>
          <w:tcPr>
            <w:tcW w:w="1258" w:type="dxa"/>
            <w:vAlign w:val="center"/>
          </w:tcPr>
          <w:p w14:paraId="7748A578">
            <w:pPr>
              <w:spacing w:line="360" w:lineRule="auto"/>
              <w:jc w:val="center"/>
              <w:rPr>
                <w:color w:val="auto"/>
                <w:szCs w:val="21"/>
                <w:highlight w:val="none"/>
              </w:rPr>
            </w:pPr>
          </w:p>
        </w:tc>
        <w:tc>
          <w:tcPr>
            <w:tcW w:w="1257" w:type="dxa"/>
            <w:vAlign w:val="center"/>
          </w:tcPr>
          <w:p w14:paraId="5EA5073F">
            <w:pPr>
              <w:spacing w:line="360" w:lineRule="auto"/>
              <w:jc w:val="center"/>
              <w:rPr>
                <w:color w:val="auto"/>
                <w:szCs w:val="21"/>
                <w:highlight w:val="none"/>
              </w:rPr>
            </w:pPr>
          </w:p>
        </w:tc>
        <w:tc>
          <w:tcPr>
            <w:tcW w:w="1258" w:type="dxa"/>
            <w:vAlign w:val="center"/>
          </w:tcPr>
          <w:p w14:paraId="387EEA8E">
            <w:pPr>
              <w:spacing w:line="360" w:lineRule="auto"/>
              <w:jc w:val="center"/>
              <w:rPr>
                <w:color w:val="auto"/>
                <w:szCs w:val="21"/>
                <w:highlight w:val="none"/>
              </w:rPr>
            </w:pPr>
          </w:p>
        </w:tc>
      </w:tr>
      <w:tr w14:paraId="506A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240F6BC">
            <w:pPr>
              <w:spacing w:line="360" w:lineRule="auto"/>
              <w:jc w:val="center"/>
              <w:rPr>
                <w:color w:val="auto"/>
                <w:szCs w:val="21"/>
                <w:highlight w:val="none"/>
              </w:rPr>
            </w:pPr>
          </w:p>
        </w:tc>
        <w:tc>
          <w:tcPr>
            <w:tcW w:w="961" w:type="dxa"/>
            <w:vAlign w:val="center"/>
          </w:tcPr>
          <w:p w14:paraId="1333F7FC">
            <w:pPr>
              <w:spacing w:line="360" w:lineRule="auto"/>
              <w:jc w:val="center"/>
              <w:rPr>
                <w:color w:val="auto"/>
                <w:szCs w:val="21"/>
                <w:highlight w:val="none"/>
              </w:rPr>
            </w:pPr>
          </w:p>
        </w:tc>
        <w:tc>
          <w:tcPr>
            <w:tcW w:w="1257" w:type="dxa"/>
            <w:vAlign w:val="center"/>
          </w:tcPr>
          <w:p w14:paraId="76445DBB">
            <w:pPr>
              <w:spacing w:line="360" w:lineRule="auto"/>
              <w:jc w:val="center"/>
              <w:rPr>
                <w:color w:val="auto"/>
                <w:szCs w:val="21"/>
                <w:highlight w:val="none"/>
              </w:rPr>
            </w:pPr>
          </w:p>
        </w:tc>
        <w:tc>
          <w:tcPr>
            <w:tcW w:w="1258" w:type="dxa"/>
            <w:vAlign w:val="center"/>
          </w:tcPr>
          <w:p w14:paraId="072B08F3">
            <w:pPr>
              <w:spacing w:line="360" w:lineRule="auto"/>
              <w:jc w:val="center"/>
              <w:rPr>
                <w:color w:val="auto"/>
                <w:szCs w:val="21"/>
                <w:highlight w:val="none"/>
              </w:rPr>
            </w:pPr>
          </w:p>
        </w:tc>
        <w:tc>
          <w:tcPr>
            <w:tcW w:w="1257" w:type="dxa"/>
            <w:vAlign w:val="center"/>
          </w:tcPr>
          <w:p w14:paraId="7D98175A">
            <w:pPr>
              <w:spacing w:line="360" w:lineRule="auto"/>
              <w:jc w:val="center"/>
              <w:rPr>
                <w:color w:val="auto"/>
                <w:szCs w:val="21"/>
                <w:highlight w:val="none"/>
              </w:rPr>
            </w:pPr>
          </w:p>
        </w:tc>
        <w:tc>
          <w:tcPr>
            <w:tcW w:w="1258" w:type="dxa"/>
            <w:vAlign w:val="center"/>
          </w:tcPr>
          <w:p w14:paraId="3408031D">
            <w:pPr>
              <w:spacing w:line="360" w:lineRule="auto"/>
              <w:jc w:val="center"/>
              <w:rPr>
                <w:color w:val="auto"/>
                <w:szCs w:val="21"/>
                <w:highlight w:val="none"/>
              </w:rPr>
            </w:pPr>
          </w:p>
        </w:tc>
        <w:tc>
          <w:tcPr>
            <w:tcW w:w="1257" w:type="dxa"/>
            <w:vAlign w:val="center"/>
          </w:tcPr>
          <w:p w14:paraId="746890E7">
            <w:pPr>
              <w:spacing w:line="360" w:lineRule="auto"/>
              <w:jc w:val="center"/>
              <w:rPr>
                <w:color w:val="auto"/>
                <w:szCs w:val="21"/>
                <w:highlight w:val="none"/>
              </w:rPr>
            </w:pPr>
          </w:p>
        </w:tc>
        <w:tc>
          <w:tcPr>
            <w:tcW w:w="1258" w:type="dxa"/>
            <w:vAlign w:val="center"/>
          </w:tcPr>
          <w:p w14:paraId="2993E7D9">
            <w:pPr>
              <w:spacing w:line="360" w:lineRule="auto"/>
              <w:jc w:val="center"/>
              <w:rPr>
                <w:color w:val="auto"/>
                <w:szCs w:val="21"/>
                <w:highlight w:val="none"/>
              </w:rPr>
            </w:pPr>
          </w:p>
        </w:tc>
      </w:tr>
    </w:tbl>
    <w:p w14:paraId="759545B2">
      <w:pPr>
        <w:rPr>
          <w:color w:val="auto"/>
          <w:highlight w:val="none"/>
        </w:rPr>
      </w:pPr>
    </w:p>
    <w:p w14:paraId="1F22C2D1">
      <w:pPr>
        <w:pStyle w:val="9"/>
        <w:spacing w:before="65" w:line="227" w:lineRule="auto"/>
        <w:rPr>
          <w:b/>
          <w:bCs/>
          <w:spacing w:val="7"/>
          <w:sz w:val="21"/>
          <w:szCs w:val="21"/>
        </w:rPr>
      </w:pPr>
    </w:p>
    <w:p w14:paraId="494D2424">
      <w:pPr>
        <w:pStyle w:val="9"/>
        <w:spacing w:before="178" w:line="227" w:lineRule="auto"/>
        <w:rPr>
          <w:sz w:val="21"/>
          <w:szCs w:val="21"/>
        </w:rPr>
      </w:pPr>
      <w:r>
        <w:rPr>
          <w:b/>
          <w:bCs/>
          <w:spacing w:val="7"/>
          <w:sz w:val="21"/>
          <w:szCs w:val="21"/>
        </w:rPr>
        <w:t>附件四：拟投入本合同工程的材料进场计划表</w:t>
      </w:r>
    </w:p>
    <w:p w14:paraId="7D430162">
      <w:pPr>
        <w:pStyle w:val="9"/>
        <w:spacing w:before="284" w:line="227" w:lineRule="auto"/>
        <w:ind w:left="2806"/>
        <w:rPr>
          <w:sz w:val="21"/>
          <w:szCs w:val="21"/>
        </w:rPr>
      </w:pPr>
      <w:r>
        <w:rPr>
          <w:b/>
          <w:bCs/>
          <w:spacing w:val="8"/>
          <w:sz w:val="21"/>
          <w:szCs w:val="21"/>
        </w:rPr>
        <w:t>拟投入本合同工程的材料进场计划表</w:t>
      </w:r>
    </w:p>
    <w:p w14:paraId="273B52CE">
      <w:pPr>
        <w:spacing w:before="26"/>
        <w:rPr>
          <w:sz w:val="21"/>
          <w:szCs w:val="21"/>
        </w:rPr>
      </w:pPr>
    </w:p>
    <w:tbl>
      <w:tblPr>
        <w:tblStyle w:val="42"/>
        <w:tblW w:w="9473"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902"/>
        <w:gridCol w:w="906"/>
        <w:gridCol w:w="906"/>
        <w:gridCol w:w="906"/>
        <w:gridCol w:w="911"/>
        <w:gridCol w:w="902"/>
        <w:gridCol w:w="907"/>
        <w:gridCol w:w="2039"/>
      </w:tblGrid>
      <w:tr w14:paraId="042D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94" w:type="dxa"/>
            <w:vMerge w:val="restart"/>
            <w:tcBorders>
              <w:bottom w:val="nil"/>
            </w:tcBorders>
            <w:vAlign w:val="top"/>
          </w:tcPr>
          <w:p w14:paraId="32055679">
            <w:pPr>
              <w:spacing w:line="397" w:lineRule="auto"/>
              <w:rPr>
                <w:rFonts w:ascii="Arial"/>
                <w:sz w:val="21"/>
                <w:szCs w:val="21"/>
              </w:rPr>
            </w:pPr>
          </w:p>
          <w:p w14:paraId="42BE21D3">
            <w:pPr>
              <w:pStyle w:val="41"/>
              <w:spacing w:before="65" w:line="230" w:lineRule="auto"/>
              <w:ind w:left="345"/>
              <w:rPr>
                <w:sz w:val="21"/>
                <w:szCs w:val="21"/>
              </w:rPr>
            </w:pPr>
            <w:r>
              <w:rPr>
                <w:spacing w:val="3"/>
                <w:sz w:val="21"/>
                <w:szCs w:val="21"/>
              </w:rPr>
              <w:t>名称</w:t>
            </w:r>
          </w:p>
        </w:tc>
        <w:tc>
          <w:tcPr>
            <w:tcW w:w="902" w:type="dxa"/>
            <w:vMerge w:val="restart"/>
            <w:tcBorders>
              <w:bottom w:val="nil"/>
            </w:tcBorders>
            <w:vAlign w:val="top"/>
          </w:tcPr>
          <w:p w14:paraId="4F98165A">
            <w:pPr>
              <w:spacing w:line="397" w:lineRule="auto"/>
              <w:rPr>
                <w:rFonts w:ascii="Arial"/>
                <w:sz w:val="21"/>
                <w:szCs w:val="21"/>
              </w:rPr>
            </w:pPr>
          </w:p>
          <w:p w14:paraId="3FA84A8F">
            <w:pPr>
              <w:pStyle w:val="41"/>
              <w:spacing w:before="65" w:line="228" w:lineRule="auto"/>
              <w:ind w:left="245"/>
              <w:rPr>
                <w:sz w:val="21"/>
                <w:szCs w:val="21"/>
              </w:rPr>
            </w:pPr>
            <w:r>
              <w:rPr>
                <w:spacing w:val="4"/>
                <w:sz w:val="21"/>
                <w:szCs w:val="21"/>
              </w:rPr>
              <w:t>规格</w:t>
            </w:r>
          </w:p>
        </w:tc>
        <w:tc>
          <w:tcPr>
            <w:tcW w:w="906" w:type="dxa"/>
            <w:vMerge w:val="restart"/>
            <w:tcBorders>
              <w:bottom w:val="nil"/>
            </w:tcBorders>
            <w:vAlign w:val="top"/>
          </w:tcPr>
          <w:p w14:paraId="75F43DEF">
            <w:pPr>
              <w:spacing w:line="403" w:lineRule="auto"/>
              <w:rPr>
                <w:rFonts w:ascii="Arial"/>
                <w:sz w:val="21"/>
                <w:szCs w:val="21"/>
              </w:rPr>
            </w:pPr>
          </w:p>
          <w:p w14:paraId="0A52F00B">
            <w:pPr>
              <w:pStyle w:val="41"/>
              <w:spacing w:before="65" w:line="228" w:lineRule="auto"/>
              <w:ind w:left="36"/>
              <w:rPr>
                <w:sz w:val="21"/>
                <w:szCs w:val="21"/>
              </w:rPr>
            </w:pPr>
            <w:r>
              <w:rPr>
                <w:spacing w:val="7"/>
                <w:sz w:val="21"/>
                <w:szCs w:val="21"/>
              </w:rPr>
              <w:t>计量单位</w:t>
            </w:r>
          </w:p>
        </w:tc>
        <w:tc>
          <w:tcPr>
            <w:tcW w:w="4532" w:type="dxa"/>
            <w:gridSpan w:val="5"/>
            <w:vAlign w:val="top"/>
          </w:tcPr>
          <w:p w14:paraId="05E44791">
            <w:pPr>
              <w:pStyle w:val="41"/>
              <w:spacing w:before="181" w:line="228" w:lineRule="auto"/>
              <w:ind w:left="2012"/>
              <w:rPr>
                <w:sz w:val="21"/>
                <w:szCs w:val="21"/>
              </w:rPr>
            </w:pPr>
            <w:r>
              <w:rPr>
                <w:sz w:val="21"/>
                <w:szCs w:val="21"/>
              </w:rPr>
              <w:t>数</w:t>
            </w:r>
            <w:r>
              <w:rPr>
                <w:spacing w:val="13"/>
                <w:sz w:val="21"/>
                <w:szCs w:val="21"/>
              </w:rPr>
              <w:t xml:space="preserve"> </w:t>
            </w:r>
            <w:r>
              <w:rPr>
                <w:sz w:val="21"/>
                <w:szCs w:val="21"/>
              </w:rPr>
              <w:t>量</w:t>
            </w:r>
          </w:p>
        </w:tc>
        <w:tc>
          <w:tcPr>
            <w:tcW w:w="2039" w:type="dxa"/>
            <w:vMerge w:val="restart"/>
            <w:tcBorders>
              <w:bottom w:val="nil"/>
            </w:tcBorders>
            <w:vAlign w:val="top"/>
          </w:tcPr>
          <w:p w14:paraId="50DB4C64">
            <w:pPr>
              <w:spacing w:line="398" w:lineRule="auto"/>
              <w:rPr>
                <w:rFonts w:ascii="Arial"/>
                <w:sz w:val="21"/>
                <w:szCs w:val="21"/>
              </w:rPr>
            </w:pPr>
          </w:p>
          <w:p w14:paraId="79C2E4CE">
            <w:pPr>
              <w:pStyle w:val="41"/>
              <w:spacing w:before="65" w:line="229" w:lineRule="auto"/>
              <w:ind w:left="258"/>
              <w:rPr>
                <w:sz w:val="21"/>
                <w:szCs w:val="21"/>
              </w:rPr>
            </w:pPr>
            <w:r>
              <w:rPr>
                <w:spacing w:val="3"/>
                <w:sz w:val="21"/>
                <w:szCs w:val="21"/>
              </w:rPr>
              <w:t>备注</w:t>
            </w:r>
          </w:p>
        </w:tc>
      </w:tr>
      <w:tr w14:paraId="0C0A2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vMerge w:val="continue"/>
            <w:tcBorders>
              <w:top w:val="nil"/>
            </w:tcBorders>
            <w:vAlign w:val="top"/>
          </w:tcPr>
          <w:p w14:paraId="27534A88">
            <w:pPr>
              <w:rPr>
                <w:rFonts w:ascii="Arial"/>
                <w:sz w:val="21"/>
                <w:szCs w:val="21"/>
              </w:rPr>
            </w:pPr>
          </w:p>
        </w:tc>
        <w:tc>
          <w:tcPr>
            <w:tcW w:w="902" w:type="dxa"/>
            <w:vMerge w:val="continue"/>
            <w:tcBorders>
              <w:top w:val="nil"/>
            </w:tcBorders>
            <w:vAlign w:val="top"/>
          </w:tcPr>
          <w:p w14:paraId="1EC1621B">
            <w:pPr>
              <w:rPr>
                <w:rFonts w:ascii="Arial"/>
                <w:sz w:val="21"/>
                <w:szCs w:val="21"/>
              </w:rPr>
            </w:pPr>
          </w:p>
        </w:tc>
        <w:tc>
          <w:tcPr>
            <w:tcW w:w="906" w:type="dxa"/>
            <w:vMerge w:val="continue"/>
            <w:tcBorders>
              <w:top w:val="nil"/>
            </w:tcBorders>
            <w:vAlign w:val="top"/>
          </w:tcPr>
          <w:p w14:paraId="6403997C">
            <w:pPr>
              <w:rPr>
                <w:rFonts w:ascii="Arial"/>
                <w:sz w:val="21"/>
                <w:szCs w:val="21"/>
              </w:rPr>
            </w:pPr>
          </w:p>
        </w:tc>
        <w:tc>
          <w:tcPr>
            <w:tcW w:w="906" w:type="dxa"/>
            <w:vAlign w:val="top"/>
          </w:tcPr>
          <w:p w14:paraId="0C939308">
            <w:pPr>
              <w:pStyle w:val="41"/>
              <w:spacing w:before="173" w:line="233" w:lineRule="auto"/>
              <w:ind w:left="252"/>
              <w:rPr>
                <w:sz w:val="21"/>
                <w:szCs w:val="21"/>
              </w:rPr>
            </w:pPr>
            <w:r>
              <w:rPr>
                <w:spacing w:val="2"/>
                <w:sz w:val="21"/>
                <w:szCs w:val="21"/>
              </w:rPr>
              <w:t>总量</w:t>
            </w:r>
          </w:p>
        </w:tc>
        <w:tc>
          <w:tcPr>
            <w:tcW w:w="906" w:type="dxa"/>
            <w:vAlign w:val="top"/>
          </w:tcPr>
          <w:p w14:paraId="6C9DA1A2">
            <w:pPr>
              <w:pStyle w:val="41"/>
              <w:spacing w:before="173" w:line="228" w:lineRule="auto"/>
              <w:ind w:left="358"/>
              <w:rPr>
                <w:sz w:val="21"/>
                <w:szCs w:val="21"/>
              </w:rPr>
            </w:pPr>
            <w:r>
              <w:rPr>
                <w:sz w:val="21"/>
                <w:szCs w:val="21"/>
              </w:rPr>
              <w:t>月</w:t>
            </w:r>
          </w:p>
        </w:tc>
        <w:tc>
          <w:tcPr>
            <w:tcW w:w="911" w:type="dxa"/>
            <w:vAlign w:val="top"/>
          </w:tcPr>
          <w:p w14:paraId="5C5DB573">
            <w:pPr>
              <w:pStyle w:val="41"/>
              <w:spacing w:before="173" w:line="228" w:lineRule="auto"/>
              <w:ind w:left="362"/>
              <w:rPr>
                <w:sz w:val="21"/>
                <w:szCs w:val="21"/>
              </w:rPr>
            </w:pPr>
            <w:r>
              <w:rPr>
                <w:sz w:val="21"/>
                <w:szCs w:val="21"/>
              </w:rPr>
              <w:t>月</w:t>
            </w:r>
          </w:p>
        </w:tc>
        <w:tc>
          <w:tcPr>
            <w:tcW w:w="902" w:type="dxa"/>
            <w:vAlign w:val="top"/>
          </w:tcPr>
          <w:p w14:paraId="26E1FA86">
            <w:pPr>
              <w:pStyle w:val="41"/>
              <w:spacing w:before="173" w:line="228" w:lineRule="auto"/>
              <w:ind w:left="358"/>
              <w:rPr>
                <w:sz w:val="21"/>
                <w:szCs w:val="21"/>
              </w:rPr>
            </w:pPr>
            <w:r>
              <w:rPr>
                <w:sz w:val="21"/>
                <w:szCs w:val="21"/>
              </w:rPr>
              <w:t>月</w:t>
            </w:r>
          </w:p>
        </w:tc>
        <w:tc>
          <w:tcPr>
            <w:tcW w:w="907" w:type="dxa"/>
            <w:vAlign w:val="top"/>
          </w:tcPr>
          <w:p w14:paraId="1C06CDCD">
            <w:pPr>
              <w:pStyle w:val="41"/>
              <w:spacing w:before="173" w:line="228" w:lineRule="auto"/>
              <w:ind w:left="171"/>
              <w:rPr>
                <w:sz w:val="21"/>
                <w:szCs w:val="21"/>
              </w:rPr>
            </w:pPr>
            <w:r>
              <w:rPr>
                <w:sz w:val="21"/>
                <w:szCs w:val="21"/>
              </w:rPr>
              <w:t>月</w:t>
            </w:r>
          </w:p>
        </w:tc>
        <w:tc>
          <w:tcPr>
            <w:tcW w:w="2039" w:type="dxa"/>
            <w:vMerge w:val="continue"/>
            <w:tcBorders>
              <w:top w:val="nil"/>
            </w:tcBorders>
            <w:vAlign w:val="top"/>
          </w:tcPr>
          <w:p w14:paraId="487EE99B">
            <w:pPr>
              <w:rPr>
                <w:rFonts w:ascii="Arial"/>
                <w:sz w:val="21"/>
                <w:szCs w:val="21"/>
              </w:rPr>
            </w:pPr>
          </w:p>
        </w:tc>
      </w:tr>
      <w:tr w14:paraId="10C11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54830B04">
            <w:pPr>
              <w:rPr>
                <w:rFonts w:ascii="Arial"/>
                <w:sz w:val="21"/>
                <w:szCs w:val="21"/>
              </w:rPr>
            </w:pPr>
          </w:p>
        </w:tc>
        <w:tc>
          <w:tcPr>
            <w:tcW w:w="902" w:type="dxa"/>
            <w:vAlign w:val="top"/>
          </w:tcPr>
          <w:p w14:paraId="51C4D2F6">
            <w:pPr>
              <w:rPr>
                <w:rFonts w:ascii="Arial"/>
                <w:sz w:val="21"/>
                <w:szCs w:val="21"/>
              </w:rPr>
            </w:pPr>
          </w:p>
        </w:tc>
        <w:tc>
          <w:tcPr>
            <w:tcW w:w="906" w:type="dxa"/>
            <w:vAlign w:val="top"/>
          </w:tcPr>
          <w:p w14:paraId="46945EF8">
            <w:pPr>
              <w:rPr>
                <w:rFonts w:ascii="Arial"/>
                <w:sz w:val="21"/>
                <w:szCs w:val="21"/>
              </w:rPr>
            </w:pPr>
          </w:p>
        </w:tc>
        <w:tc>
          <w:tcPr>
            <w:tcW w:w="906" w:type="dxa"/>
            <w:vAlign w:val="top"/>
          </w:tcPr>
          <w:p w14:paraId="3CB3E907">
            <w:pPr>
              <w:rPr>
                <w:rFonts w:ascii="Arial"/>
                <w:sz w:val="21"/>
                <w:szCs w:val="21"/>
              </w:rPr>
            </w:pPr>
          </w:p>
        </w:tc>
        <w:tc>
          <w:tcPr>
            <w:tcW w:w="906" w:type="dxa"/>
            <w:vAlign w:val="top"/>
          </w:tcPr>
          <w:p w14:paraId="2B7424E7">
            <w:pPr>
              <w:rPr>
                <w:rFonts w:ascii="Arial"/>
                <w:sz w:val="21"/>
                <w:szCs w:val="21"/>
              </w:rPr>
            </w:pPr>
          </w:p>
        </w:tc>
        <w:tc>
          <w:tcPr>
            <w:tcW w:w="911" w:type="dxa"/>
            <w:vAlign w:val="top"/>
          </w:tcPr>
          <w:p w14:paraId="59E33A48">
            <w:pPr>
              <w:rPr>
                <w:rFonts w:ascii="Arial"/>
                <w:sz w:val="21"/>
                <w:szCs w:val="21"/>
              </w:rPr>
            </w:pPr>
          </w:p>
        </w:tc>
        <w:tc>
          <w:tcPr>
            <w:tcW w:w="902" w:type="dxa"/>
            <w:vAlign w:val="top"/>
          </w:tcPr>
          <w:p w14:paraId="3F3EFE61">
            <w:pPr>
              <w:rPr>
                <w:rFonts w:ascii="Arial"/>
                <w:sz w:val="21"/>
                <w:szCs w:val="21"/>
              </w:rPr>
            </w:pPr>
          </w:p>
        </w:tc>
        <w:tc>
          <w:tcPr>
            <w:tcW w:w="907" w:type="dxa"/>
            <w:vAlign w:val="top"/>
          </w:tcPr>
          <w:p w14:paraId="0DFCEF18">
            <w:pPr>
              <w:rPr>
                <w:rFonts w:ascii="Arial"/>
                <w:sz w:val="21"/>
                <w:szCs w:val="21"/>
              </w:rPr>
            </w:pPr>
          </w:p>
        </w:tc>
        <w:tc>
          <w:tcPr>
            <w:tcW w:w="2039" w:type="dxa"/>
            <w:vAlign w:val="top"/>
          </w:tcPr>
          <w:p w14:paraId="13DD4B62">
            <w:pPr>
              <w:rPr>
                <w:rFonts w:ascii="Arial"/>
                <w:sz w:val="21"/>
                <w:szCs w:val="21"/>
              </w:rPr>
            </w:pPr>
          </w:p>
        </w:tc>
      </w:tr>
      <w:tr w14:paraId="7F52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326ADBB8">
            <w:pPr>
              <w:rPr>
                <w:rFonts w:ascii="Arial"/>
                <w:sz w:val="21"/>
                <w:szCs w:val="21"/>
              </w:rPr>
            </w:pPr>
          </w:p>
        </w:tc>
        <w:tc>
          <w:tcPr>
            <w:tcW w:w="902" w:type="dxa"/>
            <w:vAlign w:val="top"/>
          </w:tcPr>
          <w:p w14:paraId="55924D91">
            <w:pPr>
              <w:rPr>
                <w:rFonts w:ascii="Arial"/>
                <w:sz w:val="21"/>
                <w:szCs w:val="21"/>
              </w:rPr>
            </w:pPr>
          </w:p>
        </w:tc>
        <w:tc>
          <w:tcPr>
            <w:tcW w:w="906" w:type="dxa"/>
            <w:vAlign w:val="top"/>
          </w:tcPr>
          <w:p w14:paraId="37FED550">
            <w:pPr>
              <w:rPr>
                <w:rFonts w:ascii="Arial"/>
                <w:sz w:val="21"/>
                <w:szCs w:val="21"/>
              </w:rPr>
            </w:pPr>
          </w:p>
        </w:tc>
        <w:tc>
          <w:tcPr>
            <w:tcW w:w="906" w:type="dxa"/>
            <w:vAlign w:val="top"/>
          </w:tcPr>
          <w:p w14:paraId="44A8FBB1">
            <w:pPr>
              <w:rPr>
                <w:rFonts w:ascii="Arial"/>
                <w:sz w:val="21"/>
                <w:szCs w:val="21"/>
              </w:rPr>
            </w:pPr>
          </w:p>
        </w:tc>
        <w:tc>
          <w:tcPr>
            <w:tcW w:w="906" w:type="dxa"/>
            <w:vAlign w:val="top"/>
          </w:tcPr>
          <w:p w14:paraId="4A6D93CE">
            <w:pPr>
              <w:rPr>
                <w:rFonts w:ascii="Arial"/>
                <w:sz w:val="21"/>
                <w:szCs w:val="21"/>
              </w:rPr>
            </w:pPr>
          </w:p>
        </w:tc>
        <w:tc>
          <w:tcPr>
            <w:tcW w:w="911" w:type="dxa"/>
            <w:vAlign w:val="top"/>
          </w:tcPr>
          <w:p w14:paraId="0CCC15E7">
            <w:pPr>
              <w:rPr>
                <w:rFonts w:ascii="Arial"/>
                <w:sz w:val="21"/>
                <w:szCs w:val="21"/>
              </w:rPr>
            </w:pPr>
          </w:p>
        </w:tc>
        <w:tc>
          <w:tcPr>
            <w:tcW w:w="902" w:type="dxa"/>
            <w:vAlign w:val="top"/>
          </w:tcPr>
          <w:p w14:paraId="1DA68A2E">
            <w:pPr>
              <w:rPr>
                <w:rFonts w:ascii="Arial"/>
                <w:sz w:val="21"/>
                <w:szCs w:val="21"/>
              </w:rPr>
            </w:pPr>
          </w:p>
        </w:tc>
        <w:tc>
          <w:tcPr>
            <w:tcW w:w="907" w:type="dxa"/>
            <w:vAlign w:val="top"/>
          </w:tcPr>
          <w:p w14:paraId="4D8C4336">
            <w:pPr>
              <w:rPr>
                <w:rFonts w:ascii="Arial"/>
                <w:sz w:val="21"/>
                <w:szCs w:val="21"/>
              </w:rPr>
            </w:pPr>
          </w:p>
        </w:tc>
        <w:tc>
          <w:tcPr>
            <w:tcW w:w="2039" w:type="dxa"/>
            <w:vAlign w:val="top"/>
          </w:tcPr>
          <w:p w14:paraId="371D0A17">
            <w:pPr>
              <w:rPr>
                <w:rFonts w:ascii="Arial"/>
                <w:sz w:val="21"/>
                <w:szCs w:val="21"/>
              </w:rPr>
            </w:pPr>
          </w:p>
        </w:tc>
      </w:tr>
      <w:tr w14:paraId="61FEF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15E5371E">
            <w:pPr>
              <w:rPr>
                <w:rFonts w:ascii="Arial"/>
                <w:sz w:val="21"/>
                <w:szCs w:val="21"/>
              </w:rPr>
            </w:pPr>
          </w:p>
        </w:tc>
        <w:tc>
          <w:tcPr>
            <w:tcW w:w="902" w:type="dxa"/>
            <w:vAlign w:val="top"/>
          </w:tcPr>
          <w:p w14:paraId="0244C964">
            <w:pPr>
              <w:rPr>
                <w:rFonts w:ascii="Arial"/>
                <w:sz w:val="21"/>
                <w:szCs w:val="21"/>
              </w:rPr>
            </w:pPr>
          </w:p>
        </w:tc>
        <w:tc>
          <w:tcPr>
            <w:tcW w:w="906" w:type="dxa"/>
            <w:vAlign w:val="top"/>
          </w:tcPr>
          <w:p w14:paraId="33D0FBDC">
            <w:pPr>
              <w:rPr>
                <w:rFonts w:ascii="Arial"/>
                <w:sz w:val="21"/>
                <w:szCs w:val="21"/>
              </w:rPr>
            </w:pPr>
          </w:p>
        </w:tc>
        <w:tc>
          <w:tcPr>
            <w:tcW w:w="906" w:type="dxa"/>
            <w:vAlign w:val="top"/>
          </w:tcPr>
          <w:p w14:paraId="4F03C545">
            <w:pPr>
              <w:rPr>
                <w:rFonts w:ascii="Arial"/>
                <w:sz w:val="21"/>
                <w:szCs w:val="21"/>
              </w:rPr>
            </w:pPr>
          </w:p>
        </w:tc>
        <w:tc>
          <w:tcPr>
            <w:tcW w:w="906" w:type="dxa"/>
            <w:vAlign w:val="top"/>
          </w:tcPr>
          <w:p w14:paraId="55FFECEA">
            <w:pPr>
              <w:rPr>
                <w:rFonts w:ascii="Arial"/>
                <w:sz w:val="21"/>
                <w:szCs w:val="21"/>
              </w:rPr>
            </w:pPr>
          </w:p>
        </w:tc>
        <w:tc>
          <w:tcPr>
            <w:tcW w:w="911" w:type="dxa"/>
            <w:vAlign w:val="top"/>
          </w:tcPr>
          <w:p w14:paraId="2AA9E3C2">
            <w:pPr>
              <w:rPr>
                <w:rFonts w:ascii="Arial"/>
                <w:sz w:val="21"/>
                <w:szCs w:val="21"/>
              </w:rPr>
            </w:pPr>
          </w:p>
        </w:tc>
        <w:tc>
          <w:tcPr>
            <w:tcW w:w="902" w:type="dxa"/>
            <w:vAlign w:val="top"/>
          </w:tcPr>
          <w:p w14:paraId="662E5AB7">
            <w:pPr>
              <w:rPr>
                <w:rFonts w:ascii="Arial"/>
                <w:sz w:val="21"/>
                <w:szCs w:val="21"/>
              </w:rPr>
            </w:pPr>
          </w:p>
        </w:tc>
        <w:tc>
          <w:tcPr>
            <w:tcW w:w="907" w:type="dxa"/>
            <w:vAlign w:val="top"/>
          </w:tcPr>
          <w:p w14:paraId="02B9765B">
            <w:pPr>
              <w:rPr>
                <w:rFonts w:ascii="Arial"/>
                <w:sz w:val="21"/>
                <w:szCs w:val="21"/>
              </w:rPr>
            </w:pPr>
          </w:p>
        </w:tc>
        <w:tc>
          <w:tcPr>
            <w:tcW w:w="2039" w:type="dxa"/>
            <w:vAlign w:val="top"/>
          </w:tcPr>
          <w:p w14:paraId="13AEB518">
            <w:pPr>
              <w:rPr>
                <w:rFonts w:ascii="Arial"/>
                <w:sz w:val="21"/>
                <w:szCs w:val="21"/>
              </w:rPr>
            </w:pPr>
          </w:p>
        </w:tc>
      </w:tr>
      <w:tr w14:paraId="629DD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4F2DDF9C">
            <w:pPr>
              <w:rPr>
                <w:rFonts w:ascii="Arial"/>
                <w:sz w:val="21"/>
                <w:szCs w:val="21"/>
              </w:rPr>
            </w:pPr>
          </w:p>
        </w:tc>
        <w:tc>
          <w:tcPr>
            <w:tcW w:w="902" w:type="dxa"/>
            <w:vAlign w:val="top"/>
          </w:tcPr>
          <w:p w14:paraId="1589A91C">
            <w:pPr>
              <w:rPr>
                <w:rFonts w:ascii="Arial"/>
                <w:sz w:val="21"/>
                <w:szCs w:val="21"/>
              </w:rPr>
            </w:pPr>
          </w:p>
        </w:tc>
        <w:tc>
          <w:tcPr>
            <w:tcW w:w="906" w:type="dxa"/>
            <w:vAlign w:val="top"/>
          </w:tcPr>
          <w:p w14:paraId="6CE25C42">
            <w:pPr>
              <w:rPr>
                <w:rFonts w:ascii="Arial"/>
                <w:sz w:val="21"/>
                <w:szCs w:val="21"/>
              </w:rPr>
            </w:pPr>
          </w:p>
        </w:tc>
        <w:tc>
          <w:tcPr>
            <w:tcW w:w="906" w:type="dxa"/>
            <w:vAlign w:val="top"/>
          </w:tcPr>
          <w:p w14:paraId="562DAC91">
            <w:pPr>
              <w:rPr>
                <w:rFonts w:ascii="Arial"/>
                <w:sz w:val="21"/>
                <w:szCs w:val="21"/>
              </w:rPr>
            </w:pPr>
          </w:p>
        </w:tc>
        <w:tc>
          <w:tcPr>
            <w:tcW w:w="906" w:type="dxa"/>
            <w:vAlign w:val="top"/>
          </w:tcPr>
          <w:p w14:paraId="4AE016F9">
            <w:pPr>
              <w:rPr>
                <w:rFonts w:ascii="Arial"/>
                <w:sz w:val="21"/>
                <w:szCs w:val="21"/>
              </w:rPr>
            </w:pPr>
          </w:p>
        </w:tc>
        <w:tc>
          <w:tcPr>
            <w:tcW w:w="911" w:type="dxa"/>
            <w:vAlign w:val="top"/>
          </w:tcPr>
          <w:p w14:paraId="6713FA10">
            <w:pPr>
              <w:rPr>
                <w:rFonts w:ascii="Arial"/>
                <w:sz w:val="21"/>
                <w:szCs w:val="21"/>
              </w:rPr>
            </w:pPr>
          </w:p>
        </w:tc>
        <w:tc>
          <w:tcPr>
            <w:tcW w:w="902" w:type="dxa"/>
            <w:vAlign w:val="top"/>
          </w:tcPr>
          <w:p w14:paraId="360CA9E3">
            <w:pPr>
              <w:rPr>
                <w:rFonts w:ascii="Arial"/>
                <w:sz w:val="21"/>
                <w:szCs w:val="21"/>
              </w:rPr>
            </w:pPr>
          </w:p>
        </w:tc>
        <w:tc>
          <w:tcPr>
            <w:tcW w:w="907" w:type="dxa"/>
            <w:vAlign w:val="top"/>
          </w:tcPr>
          <w:p w14:paraId="403E6E8C">
            <w:pPr>
              <w:rPr>
                <w:rFonts w:ascii="Arial"/>
                <w:sz w:val="21"/>
                <w:szCs w:val="21"/>
              </w:rPr>
            </w:pPr>
          </w:p>
        </w:tc>
        <w:tc>
          <w:tcPr>
            <w:tcW w:w="2039" w:type="dxa"/>
            <w:vAlign w:val="top"/>
          </w:tcPr>
          <w:p w14:paraId="473C87DD">
            <w:pPr>
              <w:rPr>
                <w:rFonts w:ascii="Arial"/>
                <w:sz w:val="21"/>
                <w:szCs w:val="21"/>
              </w:rPr>
            </w:pPr>
          </w:p>
        </w:tc>
      </w:tr>
    </w:tbl>
    <w:p w14:paraId="3EEB2365">
      <w:pPr>
        <w:spacing w:line="219" w:lineRule="auto"/>
        <w:rPr>
          <w:sz w:val="21"/>
          <w:szCs w:val="21"/>
        </w:rPr>
        <w:sectPr>
          <w:footerReference r:id="rId13" w:type="default"/>
          <w:pgSz w:w="11910" w:h="16840"/>
          <w:pgMar w:top="1440" w:right="1080" w:bottom="1440" w:left="1080" w:header="0" w:footer="859" w:gutter="0"/>
          <w:pgNumType w:fmt="decimal"/>
          <w:cols w:space="720" w:num="1"/>
        </w:sectPr>
      </w:pPr>
    </w:p>
    <w:p w14:paraId="0052F386">
      <w:pPr>
        <w:pStyle w:val="9"/>
        <w:spacing w:before="65" w:line="227" w:lineRule="auto"/>
        <w:rPr>
          <w:sz w:val="21"/>
          <w:szCs w:val="21"/>
        </w:rPr>
      </w:pPr>
      <w:r>
        <w:rPr>
          <w:b/>
          <w:bCs/>
          <w:spacing w:val="7"/>
          <w:sz w:val="21"/>
          <w:szCs w:val="21"/>
        </w:rPr>
        <w:t>附件五：计划开工日期、完工日期和施工进度网络图（或横道图）</w:t>
      </w:r>
    </w:p>
    <w:p w14:paraId="2F290D7C">
      <w:pPr>
        <w:pStyle w:val="9"/>
        <w:spacing w:before="284" w:line="228" w:lineRule="auto"/>
        <w:ind w:left="1869"/>
        <w:rPr>
          <w:sz w:val="21"/>
          <w:szCs w:val="21"/>
        </w:rPr>
      </w:pPr>
      <w:r>
        <w:rPr>
          <w:b/>
          <w:bCs/>
          <w:spacing w:val="8"/>
          <w:sz w:val="21"/>
          <w:szCs w:val="21"/>
        </w:rPr>
        <w:t>计划开工日期、完工日期和施工进度网络图（</w:t>
      </w:r>
      <w:r>
        <w:rPr>
          <w:b/>
          <w:bCs/>
          <w:spacing w:val="7"/>
          <w:sz w:val="21"/>
          <w:szCs w:val="21"/>
        </w:rPr>
        <w:t>或横道图）</w:t>
      </w:r>
    </w:p>
    <w:p w14:paraId="73D5B546">
      <w:pPr>
        <w:spacing w:line="296" w:lineRule="auto"/>
        <w:rPr>
          <w:rFonts w:ascii="Arial"/>
          <w:sz w:val="21"/>
          <w:szCs w:val="21"/>
        </w:rPr>
      </w:pPr>
    </w:p>
    <w:p w14:paraId="47A4B14F">
      <w:pPr>
        <w:spacing w:line="460" w:lineRule="exact"/>
        <w:ind w:left="-6" w:firstLine="420"/>
        <w:rPr>
          <w:color w:val="auto"/>
          <w:highlight w:val="none"/>
        </w:rPr>
      </w:pPr>
      <w:r>
        <w:rPr>
          <w:rFonts w:hint="eastAsia"/>
          <w:color w:val="auto"/>
          <w:highlight w:val="none"/>
        </w:rPr>
        <w:t>（1）</w:t>
      </w:r>
      <w:r>
        <w:rPr>
          <w:color w:val="auto"/>
          <w:highlight w:val="none"/>
        </w:rPr>
        <w:t>供应商应提交施工进度计划，说明按采购文件要求的工期进行施工的各个关键日期。成交的供应商还应按合同条件有关条款的要求提交详细的施工进度计划。</w:t>
      </w:r>
    </w:p>
    <w:p w14:paraId="3D5F145F">
      <w:pPr>
        <w:spacing w:line="460" w:lineRule="exact"/>
        <w:ind w:left="-6" w:firstLine="420"/>
        <w:rPr>
          <w:color w:val="auto"/>
          <w:highlight w:val="none"/>
        </w:rPr>
      </w:pPr>
      <w:r>
        <w:rPr>
          <w:rFonts w:hint="eastAsia"/>
          <w:color w:val="auto"/>
          <w:highlight w:val="none"/>
        </w:rPr>
        <w:t>（2）</w:t>
      </w:r>
      <w:r>
        <w:rPr>
          <w:color w:val="auto"/>
          <w:highlight w:val="none"/>
        </w:rPr>
        <w:t>施工进度计划可采用网络图（或横道图）表示，说明计划开工日期和各分项工程各阶段的完工日期。</w:t>
      </w:r>
    </w:p>
    <w:p w14:paraId="2C58A327">
      <w:pPr>
        <w:spacing w:line="460" w:lineRule="exact"/>
        <w:ind w:left="-6" w:firstLine="42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施工进度计划应与施工组织设计相适应。</w:t>
      </w:r>
    </w:p>
    <w:p w14:paraId="12AD56A7">
      <w:pPr>
        <w:spacing w:line="368" w:lineRule="auto"/>
        <w:rPr>
          <w:rFonts w:ascii="Arial"/>
          <w:sz w:val="21"/>
          <w:szCs w:val="21"/>
        </w:rPr>
      </w:pPr>
    </w:p>
    <w:p w14:paraId="3825B357">
      <w:pPr>
        <w:pStyle w:val="9"/>
        <w:spacing w:before="65" w:line="227" w:lineRule="auto"/>
        <w:ind w:left="13"/>
        <w:rPr>
          <w:sz w:val="21"/>
          <w:szCs w:val="21"/>
        </w:rPr>
      </w:pPr>
      <w:r>
        <w:rPr>
          <w:b/>
          <w:bCs/>
          <w:spacing w:val="6"/>
          <w:sz w:val="21"/>
          <w:szCs w:val="21"/>
        </w:rPr>
        <w:t>附件六：施工总平面图</w:t>
      </w:r>
    </w:p>
    <w:p w14:paraId="4923A728">
      <w:pPr>
        <w:pStyle w:val="9"/>
        <w:spacing w:before="299" w:line="229" w:lineRule="auto"/>
        <w:ind w:left="3872"/>
        <w:rPr>
          <w:sz w:val="21"/>
          <w:szCs w:val="21"/>
        </w:rPr>
      </w:pPr>
      <w:r>
        <w:rPr>
          <w:b/>
          <w:bCs/>
          <w:spacing w:val="7"/>
          <w:sz w:val="21"/>
          <w:szCs w:val="21"/>
        </w:rPr>
        <w:t>施工总平面图</w:t>
      </w:r>
    </w:p>
    <w:p w14:paraId="5773E025">
      <w:pPr>
        <w:spacing w:line="460" w:lineRule="exact"/>
        <w:ind w:firstLine="420" w:firstLineChars="200"/>
        <w:rPr>
          <w:sz w:val="21"/>
          <w:szCs w:val="21"/>
        </w:rPr>
      </w:pPr>
      <w:r>
        <w:rPr>
          <w:color w:val="auto"/>
          <w:szCs w:val="21"/>
          <w:highlight w:val="none"/>
        </w:rPr>
        <w:t>供应商应递交一份施工总平面图，绘出现场临时设施布置图表并附文字说明，说明临时设施、加工车间、现场办公、设备及仓储、供电、供水、卫生、生活、道路、消防等设施的情况和布置。</w:t>
      </w:r>
    </w:p>
    <w:p w14:paraId="78205E32">
      <w:pPr>
        <w:spacing w:line="263" w:lineRule="auto"/>
        <w:rPr>
          <w:rFonts w:ascii="Arial"/>
          <w:sz w:val="21"/>
          <w:szCs w:val="21"/>
        </w:rPr>
      </w:pPr>
    </w:p>
    <w:p w14:paraId="2F497E87">
      <w:pPr>
        <w:spacing w:line="263" w:lineRule="auto"/>
        <w:rPr>
          <w:rFonts w:ascii="Arial"/>
          <w:sz w:val="21"/>
          <w:szCs w:val="21"/>
        </w:rPr>
      </w:pPr>
    </w:p>
    <w:p w14:paraId="7222B32D">
      <w:pPr>
        <w:spacing w:line="264" w:lineRule="auto"/>
        <w:rPr>
          <w:rFonts w:ascii="Arial"/>
          <w:sz w:val="21"/>
          <w:szCs w:val="21"/>
        </w:rPr>
      </w:pPr>
    </w:p>
    <w:p w14:paraId="015BCC1C">
      <w:pPr>
        <w:pStyle w:val="9"/>
        <w:spacing w:before="65" w:line="227" w:lineRule="auto"/>
        <w:ind w:left="13"/>
        <w:rPr>
          <w:sz w:val="21"/>
          <w:szCs w:val="21"/>
        </w:rPr>
      </w:pPr>
      <w:r>
        <w:rPr>
          <w:b/>
          <w:bCs/>
          <w:spacing w:val="5"/>
          <w:sz w:val="21"/>
          <w:szCs w:val="21"/>
        </w:rPr>
        <w:t>附件七：临时用地表</w:t>
      </w:r>
    </w:p>
    <w:p w14:paraId="3F82ED5E">
      <w:pPr>
        <w:pStyle w:val="9"/>
        <w:spacing w:before="25" w:line="228" w:lineRule="auto"/>
        <w:ind w:left="3990"/>
        <w:rPr>
          <w:sz w:val="21"/>
          <w:szCs w:val="21"/>
        </w:rPr>
      </w:pPr>
      <w:r>
        <w:rPr>
          <w:b/>
          <w:bCs/>
          <w:spacing w:val="4"/>
          <w:sz w:val="21"/>
          <w:szCs w:val="21"/>
        </w:rPr>
        <w:t>临时用地表</w:t>
      </w:r>
    </w:p>
    <w:p w14:paraId="54F878D1">
      <w:pPr>
        <w:spacing w:before="27"/>
        <w:rPr>
          <w:sz w:val="21"/>
          <w:szCs w:val="21"/>
        </w:rPr>
      </w:pPr>
    </w:p>
    <w:tbl>
      <w:tblPr>
        <w:tblStyle w:val="22"/>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091"/>
        <w:gridCol w:w="2090"/>
        <w:gridCol w:w="2091"/>
      </w:tblGrid>
      <w:tr w14:paraId="5687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0" w:type="dxa"/>
            <w:vAlign w:val="center"/>
          </w:tcPr>
          <w:p w14:paraId="683F64A1">
            <w:pPr>
              <w:jc w:val="center"/>
              <w:rPr>
                <w:color w:val="auto"/>
                <w:highlight w:val="none"/>
              </w:rPr>
            </w:pPr>
            <w:r>
              <w:rPr>
                <w:color w:val="auto"/>
                <w:szCs w:val="21"/>
                <w:highlight w:val="none"/>
              </w:rPr>
              <w:t>用途</w:t>
            </w:r>
          </w:p>
        </w:tc>
        <w:tc>
          <w:tcPr>
            <w:tcW w:w="2091" w:type="dxa"/>
            <w:vAlign w:val="center"/>
          </w:tcPr>
          <w:p w14:paraId="3C0FD084">
            <w:pPr>
              <w:jc w:val="center"/>
              <w:rPr>
                <w:color w:val="auto"/>
                <w:highlight w:val="none"/>
              </w:rPr>
            </w:pPr>
            <w:r>
              <w:rPr>
                <w:color w:val="auto"/>
                <w:szCs w:val="21"/>
                <w:highlight w:val="none"/>
              </w:rPr>
              <w:t>面积（平方米）</w:t>
            </w:r>
          </w:p>
        </w:tc>
        <w:tc>
          <w:tcPr>
            <w:tcW w:w="2090" w:type="dxa"/>
            <w:vAlign w:val="center"/>
          </w:tcPr>
          <w:p w14:paraId="7A170DFD">
            <w:pPr>
              <w:jc w:val="center"/>
              <w:rPr>
                <w:color w:val="auto"/>
                <w:highlight w:val="none"/>
              </w:rPr>
            </w:pPr>
            <w:r>
              <w:rPr>
                <w:color w:val="auto"/>
                <w:szCs w:val="21"/>
                <w:highlight w:val="none"/>
              </w:rPr>
              <w:t>位置</w:t>
            </w:r>
          </w:p>
        </w:tc>
        <w:tc>
          <w:tcPr>
            <w:tcW w:w="2091" w:type="dxa"/>
            <w:vAlign w:val="center"/>
          </w:tcPr>
          <w:p w14:paraId="03891802">
            <w:pPr>
              <w:jc w:val="center"/>
              <w:rPr>
                <w:color w:val="auto"/>
                <w:highlight w:val="none"/>
              </w:rPr>
            </w:pPr>
            <w:r>
              <w:rPr>
                <w:color w:val="auto"/>
                <w:szCs w:val="21"/>
                <w:highlight w:val="none"/>
              </w:rPr>
              <w:t>需用时间</w:t>
            </w:r>
          </w:p>
        </w:tc>
      </w:tr>
      <w:tr w14:paraId="181C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vAlign w:val="top"/>
          </w:tcPr>
          <w:p w14:paraId="7CF09346">
            <w:pPr>
              <w:rPr>
                <w:color w:val="auto"/>
                <w:highlight w:val="none"/>
              </w:rPr>
            </w:pPr>
          </w:p>
        </w:tc>
        <w:tc>
          <w:tcPr>
            <w:tcW w:w="2091" w:type="dxa"/>
            <w:vAlign w:val="top"/>
          </w:tcPr>
          <w:p w14:paraId="67E52D95">
            <w:pPr>
              <w:rPr>
                <w:color w:val="auto"/>
                <w:highlight w:val="none"/>
              </w:rPr>
            </w:pPr>
          </w:p>
        </w:tc>
        <w:tc>
          <w:tcPr>
            <w:tcW w:w="2090" w:type="dxa"/>
            <w:vAlign w:val="top"/>
          </w:tcPr>
          <w:p w14:paraId="7C65448D">
            <w:pPr>
              <w:rPr>
                <w:color w:val="auto"/>
                <w:highlight w:val="none"/>
              </w:rPr>
            </w:pPr>
          </w:p>
        </w:tc>
        <w:tc>
          <w:tcPr>
            <w:tcW w:w="2091" w:type="dxa"/>
            <w:vAlign w:val="top"/>
          </w:tcPr>
          <w:p w14:paraId="2B2D78AD">
            <w:pPr>
              <w:rPr>
                <w:color w:val="auto"/>
                <w:highlight w:val="none"/>
              </w:rPr>
            </w:pPr>
          </w:p>
        </w:tc>
      </w:tr>
      <w:tr w14:paraId="6C89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vAlign w:val="top"/>
          </w:tcPr>
          <w:p w14:paraId="43309D11">
            <w:pPr>
              <w:rPr>
                <w:color w:val="auto"/>
                <w:highlight w:val="none"/>
              </w:rPr>
            </w:pPr>
          </w:p>
        </w:tc>
        <w:tc>
          <w:tcPr>
            <w:tcW w:w="2091" w:type="dxa"/>
            <w:vAlign w:val="top"/>
          </w:tcPr>
          <w:p w14:paraId="3E61318E">
            <w:pPr>
              <w:rPr>
                <w:color w:val="auto"/>
                <w:highlight w:val="none"/>
              </w:rPr>
            </w:pPr>
          </w:p>
        </w:tc>
        <w:tc>
          <w:tcPr>
            <w:tcW w:w="2090" w:type="dxa"/>
            <w:vAlign w:val="top"/>
          </w:tcPr>
          <w:p w14:paraId="12C2DF43">
            <w:pPr>
              <w:rPr>
                <w:color w:val="auto"/>
                <w:highlight w:val="none"/>
              </w:rPr>
            </w:pPr>
          </w:p>
        </w:tc>
        <w:tc>
          <w:tcPr>
            <w:tcW w:w="2091" w:type="dxa"/>
            <w:vAlign w:val="top"/>
          </w:tcPr>
          <w:p w14:paraId="59D25649">
            <w:pPr>
              <w:rPr>
                <w:color w:val="auto"/>
                <w:highlight w:val="none"/>
              </w:rPr>
            </w:pPr>
          </w:p>
        </w:tc>
      </w:tr>
      <w:tr w14:paraId="42BB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90" w:type="dxa"/>
            <w:vAlign w:val="top"/>
          </w:tcPr>
          <w:p w14:paraId="3DE2DECC">
            <w:pPr>
              <w:rPr>
                <w:color w:val="auto"/>
                <w:highlight w:val="none"/>
              </w:rPr>
            </w:pPr>
          </w:p>
        </w:tc>
        <w:tc>
          <w:tcPr>
            <w:tcW w:w="2091" w:type="dxa"/>
            <w:vAlign w:val="top"/>
          </w:tcPr>
          <w:p w14:paraId="2E9A837B">
            <w:pPr>
              <w:rPr>
                <w:color w:val="auto"/>
                <w:highlight w:val="none"/>
              </w:rPr>
            </w:pPr>
          </w:p>
        </w:tc>
        <w:tc>
          <w:tcPr>
            <w:tcW w:w="2090" w:type="dxa"/>
            <w:vAlign w:val="top"/>
          </w:tcPr>
          <w:p w14:paraId="11D92DF8">
            <w:pPr>
              <w:rPr>
                <w:color w:val="auto"/>
                <w:highlight w:val="none"/>
              </w:rPr>
            </w:pPr>
          </w:p>
        </w:tc>
        <w:tc>
          <w:tcPr>
            <w:tcW w:w="2091" w:type="dxa"/>
            <w:vAlign w:val="top"/>
          </w:tcPr>
          <w:p w14:paraId="35140581">
            <w:pPr>
              <w:rPr>
                <w:color w:val="auto"/>
                <w:highlight w:val="none"/>
              </w:rPr>
            </w:pPr>
          </w:p>
        </w:tc>
      </w:tr>
      <w:tr w14:paraId="4C19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vAlign w:val="top"/>
          </w:tcPr>
          <w:p w14:paraId="48DC5514">
            <w:pPr>
              <w:rPr>
                <w:color w:val="auto"/>
                <w:highlight w:val="none"/>
              </w:rPr>
            </w:pPr>
          </w:p>
        </w:tc>
        <w:tc>
          <w:tcPr>
            <w:tcW w:w="2091" w:type="dxa"/>
            <w:vAlign w:val="top"/>
          </w:tcPr>
          <w:p w14:paraId="0D69240F">
            <w:pPr>
              <w:rPr>
                <w:color w:val="auto"/>
                <w:highlight w:val="none"/>
              </w:rPr>
            </w:pPr>
          </w:p>
        </w:tc>
        <w:tc>
          <w:tcPr>
            <w:tcW w:w="2090" w:type="dxa"/>
            <w:vAlign w:val="top"/>
          </w:tcPr>
          <w:p w14:paraId="60D10471">
            <w:pPr>
              <w:rPr>
                <w:color w:val="auto"/>
                <w:highlight w:val="none"/>
              </w:rPr>
            </w:pPr>
          </w:p>
        </w:tc>
        <w:tc>
          <w:tcPr>
            <w:tcW w:w="2091" w:type="dxa"/>
            <w:vAlign w:val="top"/>
          </w:tcPr>
          <w:p w14:paraId="2A45282F">
            <w:pPr>
              <w:rPr>
                <w:color w:val="auto"/>
                <w:highlight w:val="none"/>
              </w:rPr>
            </w:pPr>
          </w:p>
        </w:tc>
      </w:tr>
      <w:tr w14:paraId="07E1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vAlign w:val="top"/>
          </w:tcPr>
          <w:p w14:paraId="57E7F67B">
            <w:pPr>
              <w:rPr>
                <w:color w:val="auto"/>
                <w:highlight w:val="none"/>
              </w:rPr>
            </w:pPr>
          </w:p>
        </w:tc>
        <w:tc>
          <w:tcPr>
            <w:tcW w:w="2091" w:type="dxa"/>
            <w:vAlign w:val="top"/>
          </w:tcPr>
          <w:p w14:paraId="007448C7">
            <w:pPr>
              <w:rPr>
                <w:color w:val="auto"/>
                <w:highlight w:val="none"/>
              </w:rPr>
            </w:pPr>
          </w:p>
        </w:tc>
        <w:tc>
          <w:tcPr>
            <w:tcW w:w="2090" w:type="dxa"/>
            <w:vAlign w:val="top"/>
          </w:tcPr>
          <w:p w14:paraId="74480D5D">
            <w:pPr>
              <w:rPr>
                <w:color w:val="auto"/>
                <w:highlight w:val="none"/>
              </w:rPr>
            </w:pPr>
          </w:p>
        </w:tc>
        <w:tc>
          <w:tcPr>
            <w:tcW w:w="2091" w:type="dxa"/>
            <w:vAlign w:val="top"/>
          </w:tcPr>
          <w:p w14:paraId="518588B7">
            <w:pPr>
              <w:rPr>
                <w:color w:val="auto"/>
                <w:highlight w:val="none"/>
              </w:rPr>
            </w:pPr>
          </w:p>
        </w:tc>
      </w:tr>
    </w:tbl>
    <w:p w14:paraId="1ED05210">
      <w:pPr>
        <w:spacing w:line="294" w:lineRule="auto"/>
        <w:rPr>
          <w:rFonts w:ascii="Arial"/>
          <w:sz w:val="21"/>
          <w:szCs w:val="21"/>
        </w:rPr>
      </w:pPr>
    </w:p>
    <w:p w14:paraId="0BDA539B">
      <w:pPr>
        <w:spacing w:line="295" w:lineRule="auto"/>
        <w:rPr>
          <w:rFonts w:ascii="Arial"/>
          <w:sz w:val="21"/>
          <w:szCs w:val="21"/>
        </w:rPr>
      </w:pPr>
    </w:p>
    <w:p w14:paraId="551EAAB7">
      <w:pPr>
        <w:spacing w:line="500" w:lineRule="exact"/>
        <w:rPr>
          <w:rFonts w:ascii="宋体" w:hAnsi="宋体" w:cs="仿宋_GB2312"/>
          <w:color w:val="000000"/>
          <w:sz w:val="32"/>
          <w:szCs w:val="32"/>
          <w:highlight w:val="none"/>
        </w:rPr>
      </w:pPr>
    </w:p>
    <w:p w14:paraId="3D10C7DF">
      <w:pPr>
        <w:autoSpaceDE w:val="0"/>
        <w:autoSpaceDN w:val="0"/>
        <w:spacing w:line="360" w:lineRule="auto"/>
        <w:ind w:left="4335" w:leftChars="1950" w:hanging="240" w:hangingChars="100"/>
        <w:rPr>
          <w:rFonts w:ascii="宋体" w:hAnsi="宋体" w:cs="仿宋_GB2312"/>
          <w:color w:val="000000"/>
          <w:kern w:val="0"/>
          <w:sz w:val="24"/>
          <w:highlight w:val="none"/>
        </w:rPr>
      </w:pPr>
      <w:r>
        <w:rPr>
          <w:rFonts w:hint="eastAsia" w:ascii="宋体" w:hAnsi="宋体" w:cs="仿宋_GB2312"/>
          <w:color w:val="000000"/>
          <w:kern w:val="0"/>
          <w:sz w:val="24"/>
          <w:highlight w:val="none"/>
        </w:rPr>
        <w:t>供应商名称（电子签章）：</w:t>
      </w:r>
    </w:p>
    <w:p w14:paraId="71E50A4D">
      <w:pPr>
        <w:autoSpaceDE w:val="0"/>
        <w:autoSpaceDN w:val="0"/>
        <w:spacing w:line="360" w:lineRule="auto"/>
        <w:ind w:firstLine="6480" w:firstLineChars="2700"/>
        <w:rPr>
          <w:rFonts w:ascii="宋体" w:hAnsi="宋体" w:cs="仿宋_GB2312"/>
          <w:b/>
          <w:bCs/>
          <w:color w:val="000000"/>
          <w:sz w:val="24"/>
          <w:highlight w:val="none"/>
        </w:rPr>
      </w:pPr>
      <w:r>
        <w:rPr>
          <w:rFonts w:hint="eastAsia" w:ascii="宋体" w:hAnsi="宋体" w:cs="仿宋_GB2312"/>
          <w:color w:val="000000"/>
          <w:kern w:val="0"/>
          <w:sz w:val="24"/>
          <w:highlight w:val="none"/>
          <w:lang w:val="zh-CN"/>
        </w:rPr>
        <w:t>日期：  年  月   日</w:t>
      </w:r>
    </w:p>
    <w:p w14:paraId="5BE65FCB">
      <w:pPr>
        <w:autoSpaceDE w:val="0"/>
        <w:autoSpaceDN w:val="0"/>
        <w:spacing w:line="360" w:lineRule="auto"/>
        <w:ind w:firstLine="6505" w:firstLineChars="2700"/>
        <w:rPr>
          <w:rFonts w:ascii="宋体" w:hAnsi="宋体" w:cs="仿宋_GB2312"/>
          <w:b/>
          <w:bCs/>
          <w:color w:val="000000"/>
          <w:sz w:val="24"/>
          <w:highlight w:val="none"/>
        </w:rPr>
      </w:pPr>
    </w:p>
    <w:p w14:paraId="46424D28">
      <w:pPr>
        <w:autoSpaceDE w:val="0"/>
        <w:autoSpaceDN w:val="0"/>
        <w:spacing w:line="360" w:lineRule="auto"/>
        <w:ind w:firstLine="6505" w:firstLineChars="2700"/>
        <w:rPr>
          <w:rFonts w:ascii="宋体" w:hAnsi="宋体" w:cs="仿宋_GB2312"/>
          <w:b/>
          <w:bCs/>
          <w:color w:val="000000"/>
          <w:sz w:val="24"/>
          <w:highlight w:val="none"/>
        </w:rPr>
      </w:pPr>
    </w:p>
    <w:p w14:paraId="198F6703">
      <w:pPr>
        <w:pStyle w:val="30"/>
        <w:ind w:firstLine="480"/>
        <w:jc w:val="center"/>
        <w:rPr>
          <w:rFonts w:hint="eastAsia"/>
          <w:b/>
          <w:color w:val="auto"/>
          <w:spacing w:val="-11"/>
          <w:w w:val="95"/>
          <w:sz w:val="32"/>
        </w:rPr>
      </w:pPr>
    </w:p>
    <w:p w14:paraId="5DCE11CE">
      <w:pPr>
        <w:pStyle w:val="30"/>
        <w:ind w:firstLine="480"/>
        <w:jc w:val="center"/>
        <w:rPr>
          <w:rFonts w:hint="eastAsia"/>
          <w:b/>
          <w:color w:val="auto"/>
          <w:spacing w:val="-11"/>
          <w:w w:val="95"/>
          <w:sz w:val="32"/>
        </w:rPr>
      </w:pPr>
      <w:r>
        <w:rPr>
          <w:rFonts w:hint="eastAsia"/>
          <w:b/>
          <w:color w:val="auto"/>
          <w:spacing w:val="-11"/>
          <w:w w:val="95"/>
          <w:sz w:val="32"/>
        </w:rPr>
        <w:t>项目经理简历表</w:t>
      </w:r>
    </w:p>
    <w:p w14:paraId="7877EBBC">
      <w:pPr>
        <w:pStyle w:val="30"/>
        <w:rPr>
          <w:color w:val="auto"/>
          <w:u w:val="single"/>
        </w:rPr>
      </w:pPr>
    </w:p>
    <w:p w14:paraId="48DDE103">
      <w:pPr>
        <w:pStyle w:val="30"/>
        <w:rPr>
          <w:rFonts w:hint="eastAsia"/>
          <w:color w:val="auto"/>
        </w:rPr>
      </w:pPr>
      <w:r>
        <w:rPr>
          <w:color w:val="auto"/>
          <w:u w:val="none"/>
        </w:rPr>
        <w:t>项目名称</w:t>
      </w:r>
      <w:r>
        <w:rPr>
          <w:rFonts w:hint="eastAsia"/>
          <w:color w:val="auto"/>
          <w:u w:val="none"/>
          <w:lang w:eastAsia="zh-CN"/>
        </w:rPr>
        <w:t>：</w:t>
      </w:r>
      <w:r>
        <w:rPr>
          <w:rFonts w:hint="eastAsia"/>
          <w:color w:val="auto"/>
        </w:rPr>
        <w:t xml:space="preserve">                             </w:t>
      </w:r>
    </w:p>
    <w:p w14:paraId="1039E74D">
      <w:pPr>
        <w:pStyle w:val="30"/>
        <w:ind w:firstLine="630" w:firstLineChars="300"/>
        <w:rPr>
          <w:rFonts w:hint="eastAsia"/>
          <w:color w:val="auto"/>
        </w:rPr>
      </w:pPr>
    </w:p>
    <w:p w14:paraId="7614946C">
      <w:pPr>
        <w:pStyle w:val="30"/>
        <w:rPr>
          <w:rFonts w:hint="eastAsia"/>
          <w:color w:val="auto"/>
        </w:rPr>
      </w:pPr>
      <w:r>
        <w:rPr>
          <w:rFonts w:hint="eastAsia"/>
          <w:color w:val="auto"/>
        </w:rPr>
        <w:t>项目编号：</w:t>
      </w:r>
    </w:p>
    <w:p w14:paraId="761D4A4C">
      <w:pPr>
        <w:pStyle w:val="30"/>
        <w:rPr>
          <w:rFonts w:hint="eastAsia"/>
          <w:color w:val="auto"/>
        </w:rPr>
      </w:pPr>
    </w:p>
    <w:tbl>
      <w:tblPr>
        <w:tblStyle w:val="22"/>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5DA2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506EC191">
            <w:pPr>
              <w:pStyle w:val="29"/>
              <w:jc w:val="center"/>
              <w:rPr>
                <w:color w:val="auto"/>
              </w:rPr>
            </w:pPr>
            <w:r>
              <w:rPr>
                <w:color w:val="auto"/>
              </w:rPr>
              <w:t>姓名</w:t>
            </w:r>
          </w:p>
        </w:tc>
        <w:tc>
          <w:tcPr>
            <w:tcW w:w="2340" w:type="dxa"/>
            <w:gridSpan w:val="3"/>
            <w:noWrap w:val="0"/>
            <w:vAlign w:val="center"/>
          </w:tcPr>
          <w:p w14:paraId="28148715">
            <w:pPr>
              <w:pStyle w:val="29"/>
              <w:jc w:val="center"/>
              <w:rPr>
                <w:color w:val="auto"/>
              </w:rPr>
            </w:pPr>
          </w:p>
        </w:tc>
        <w:tc>
          <w:tcPr>
            <w:tcW w:w="1893" w:type="dxa"/>
            <w:gridSpan w:val="2"/>
            <w:noWrap w:val="0"/>
            <w:vAlign w:val="center"/>
          </w:tcPr>
          <w:p w14:paraId="71C43F41">
            <w:pPr>
              <w:pStyle w:val="29"/>
              <w:jc w:val="center"/>
              <w:rPr>
                <w:color w:val="auto"/>
              </w:rPr>
            </w:pPr>
            <w:r>
              <w:rPr>
                <w:color w:val="auto"/>
              </w:rPr>
              <w:t>性别</w:t>
            </w:r>
          </w:p>
        </w:tc>
        <w:tc>
          <w:tcPr>
            <w:tcW w:w="1585" w:type="dxa"/>
            <w:gridSpan w:val="2"/>
            <w:noWrap w:val="0"/>
            <w:vAlign w:val="center"/>
          </w:tcPr>
          <w:p w14:paraId="5263AB10">
            <w:pPr>
              <w:pStyle w:val="29"/>
              <w:jc w:val="center"/>
              <w:rPr>
                <w:color w:val="auto"/>
              </w:rPr>
            </w:pPr>
          </w:p>
        </w:tc>
        <w:tc>
          <w:tcPr>
            <w:tcW w:w="1108" w:type="dxa"/>
            <w:gridSpan w:val="2"/>
            <w:noWrap w:val="0"/>
            <w:vAlign w:val="center"/>
          </w:tcPr>
          <w:p w14:paraId="64A85A85">
            <w:pPr>
              <w:pStyle w:val="29"/>
              <w:jc w:val="center"/>
              <w:rPr>
                <w:color w:val="auto"/>
              </w:rPr>
            </w:pPr>
            <w:r>
              <w:rPr>
                <w:color w:val="auto"/>
              </w:rPr>
              <w:t>年龄</w:t>
            </w:r>
          </w:p>
        </w:tc>
        <w:tc>
          <w:tcPr>
            <w:tcW w:w="1276" w:type="dxa"/>
            <w:noWrap w:val="0"/>
            <w:vAlign w:val="center"/>
          </w:tcPr>
          <w:p w14:paraId="31EB15E8">
            <w:pPr>
              <w:pStyle w:val="29"/>
              <w:jc w:val="center"/>
              <w:rPr>
                <w:color w:val="auto"/>
              </w:rPr>
            </w:pPr>
          </w:p>
        </w:tc>
      </w:tr>
      <w:tr w14:paraId="5808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407BFD2E">
            <w:pPr>
              <w:pStyle w:val="29"/>
              <w:jc w:val="center"/>
              <w:rPr>
                <w:color w:val="auto"/>
              </w:rPr>
            </w:pPr>
            <w:r>
              <w:rPr>
                <w:color w:val="auto"/>
              </w:rPr>
              <w:t>职务</w:t>
            </w:r>
          </w:p>
        </w:tc>
        <w:tc>
          <w:tcPr>
            <w:tcW w:w="2340" w:type="dxa"/>
            <w:gridSpan w:val="3"/>
            <w:noWrap w:val="0"/>
            <w:vAlign w:val="center"/>
          </w:tcPr>
          <w:p w14:paraId="59D4BA42">
            <w:pPr>
              <w:pStyle w:val="29"/>
              <w:jc w:val="center"/>
              <w:rPr>
                <w:color w:val="auto"/>
              </w:rPr>
            </w:pPr>
          </w:p>
        </w:tc>
        <w:tc>
          <w:tcPr>
            <w:tcW w:w="1893" w:type="dxa"/>
            <w:gridSpan w:val="2"/>
            <w:noWrap w:val="0"/>
            <w:vAlign w:val="center"/>
          </w:tcPr>
          <w:p w14:paraId="52ACD045">
            <w:pPr>
              <w:pStyle w:val="29"/>
              <w:jc w:val="center"/>
              <w:rPr>
                <w:color w:val="auto"/>
              </w:rPr>
            </w:pPr>
            <w:r>
              <w:rPr>
                <w:color w:val="auto"/>
              </w:rPr>
              <w:t>职称</w:t>
            </w:r>
          </w:p>
        </w:tc>
        <w:tc>
          <w:tcPr>
            <w:tcW w:w="1585" w:type="dxa"/>
            <w:gridSpan w:val="2"/>
            <w:noWrap w:val="0"/>
            <w:vAlign w:val="center"/>
          </w:tcPr>
          <w:p w14:paraId="2D6DD5C9">
            <w:pPr>
              <w:pStyle w:val="29"/>
              <w:jc w:val="center"/>
              <w:rPr>
                <w:color w:val="auto"/>
              </w:rPr>
            </w:pPr>
          </w:p>
        </w:tc>
        <w:tc>
          <w:tcPr>
            <w:tcW w:w="1108" w:type="dxa"/>
            <w:gridSpan w:val="2"/>
            <w:noWrap w:val="0"/>
            <w:vAlign w:val="center"/>
          </w:tcPr>
          <w:p w14:paraId="63C54E63">
            <w:pPr>
              <w:pStyle w:val="29"/>
              <w:jc w:val="center"/>
              <w:rPr>
                <w:color w:val="auto"/>
              </w:rPr>
            </w:pPr>
            <w:r>
              <w:rPr>
                <w:color w:val="auto"/>
              </w:rPr>
              <w:t>学历</w:t>
            </w:r>
          </w:p>
        </w:tc>
        <w:tc>
          <w:tcPr>
            <w:tcW w:w="1276" w:type="dxa"/>
            <w:noWrap w:val="0"/>
            <w:vAlign w:val="center"/>
          </w:tcPr>
          <w:p w14:paraId="174611E6">
            <w:pPr>
              <w:pStyle w:val="29"/>
              <w:jc w:val="center"/>
              <w:rPr>
                <w:color w:val="auto"/>
              </w:rPr>
            </w:pPr>
          </w:p>
        </w:tc>
      </w:tr>
      <w:tr w14:paraId="30AB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146508D6">
            <w:pPr>
              <w:pStyle w:val="29"/>
              <w:jc w:val="center"/>
              <w:rPr>
                <w:color w:val="auto"/>
              </w:rPr>
            </w:pPr>
            <w:r>
              <w:rPr>
                <w:color w:val="auto"/>
              </w:rPr>
              <w:t>参加工作时间</w:t>
            </w:r>
          </w:p>
        </w:tc>
        <w:tc>
          <w:tcPr>
            <w:tcW w:w="1893" w:type="dxa"/>
            <w:gridSpan w:val="2"/>
            <w:noWrap w:val="0"/>
            <w:vAlign w:val="center"/>
          </w:tcPr>
          <w:p w14:paraId="01DA7C01">
            <w:pPr>
              <w:pStyle w:val="29"/>
              <w:jc w:val="center"/>
              <w:rPr>
                <w:color w:val="auto"/>
              </w:rPr>
            </w:pPr>
          </w:p>
        </w:tc>
        <w:tc>
          <w:tcPr>
            <w:tcW w:w="2693" w:type="dxa"/>
            <w:gridSpan w:val="4"/>
            <w:noWrap w:val="0"/>
            <w:vAlign w:val="center"/>
          </w:tcPr>
          <w:p w14:paraId="6BCBBE54">
            <w:pPr>
              <w:pStyle w:val="29"/>
              <w:jc w:val="center"/>
              <w:rPr>
                <w:color w:val="auto"/>
              </w:rPr>
            </w:pPr>
            <w:r>
              <w:rPr>
                <w:color w:val="auto"/>
              </w:rPr>
              <w:t>担任项目经理年限</w:t>
            </w:r>
          </w:p>
        </w:tc>
        <w:tc>
          <w:tcPr>
            <w:tcW w:w="1276" w:type="dxa"/>
            <w:noWrap w:val="0"/>
            <w:vAlign w:val="center"/>
          </w:tcPr>
          <w:p w14:paraId="2E8B96F2">
            <w:pPr>
              <w:pStyle w:val="29"/>
              <w:jc w:val="center"/>
              <w:rPr>
                <w:color w:val="auto"/>
              </w:rPr>
            </w:pPr>
          </w:p>
        </w:tc>
      </w:tr>
      <w:tr w14:paraId="75CD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2FD4590C">
            <w:pPr>
              <w:pStyle w:val="29"/>
              <w:jc w:val="center"/>
              <w:rPr>
                <w:color w:val="auto"/>
              </w:rPr>
            </w:pPr>
            <w:r>
              <w:rPr>
                <w:rFonts w:hint="eastAsia"/>
                <w:color w:val="auto"/>
              </w:rPr>
              <w:t>建造师</w:t>
            </w:r>
            <w:r>
              <w:rPr>
                <w:color w:val="auto"/>
              </w:rPr>
              <w:t>注册证书编号</w:t>
            </w:r>
          </w:p>
        </w:tc>
        <w:tc>
          <w:tcPr>
            <w:tcW w:w="5862" w:type="dxa"/>
            <w:gridSpan w:val="7"/>
            <w:noWrap w:val="0"/>
            <w:vAlign w:val="center"/>
          </w:tcPr>
          <w:p w14:paraId="1447F8EC">
            <w:pPr>
              <w:pStyle w:val="29"/>
              <w:jc w:val="center"/>
              <w:rPr>
                <w:color w:val="auto"/>
              </w:rPr>
            </w:pPr>
          </w:p>
        </w:tc>
      </w:tr>
      <w:tr w14:paraId="17E0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46C57C2A">
            <w:pPr>
              <w:pStyle w:val="29"/>
              <w:jc w:val="center"/>
              <w:rPr>
                <w:color w:val="auto"/>
              </w:rPr>
            </w:pPr>
            <w:r>
              <w:rPr>
                <w:color w:val="auto"/>
              </w:rPr>
              <w:t>在建和已完工程项目情况</w:t>
            </w:r>
          </w:p>
        </w:tc>
      </w:tr>
      <w:tr w14:paraId="432F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0AA8C6E8">
            <w:pPr>
              <w:pStyle w:val="29"/>
              <w:jc w:val="center"/>
              <w:rPr>
                <w:color w:val="auto"/>
              </w:rPr>
            </w:pPr>
            <w:r>
              <w:rPr>
                <w:color w:val="auto"/>
              </w:rPr>
              <w:t>建设单位</w:t>
            </w:r>
          </w:p>
        </w:tc>
        <w:tc>
          <w:tcPr>
            <w:tcW w:w="1548" w:type="dxa"/>
            <w:noWrap w:val="0"/>
            <w:vAlign w:val="center"/>
          </w:tcPr>
          <w:p w14:paraId="1F65B8B8">
            <w:pPr>
              <w:pStyle w:val="29"/>
              <w:jc w:val="center"/>
              <w:rPr>
                <w:color w:val="auto"/>
              </w:rPr>
            </w:pPr>
            <w:r>
              <w:rPr>
                <w:color w:val="auto"/>
              </w:rPr>
              <w:t>项目名称</w:t>
            </w:r>
          </w:p>
        </w:tc>
        <w:tc>
          <w:tcPr>
            <w:tcW w:w="1547" w:type="dxa"/>
            <w:gridSpan w:val="2"/>
            <w:noWrap w:val="0"/>
            <w:vAlign w:val="center"/>
          </w:tcPr>
          <w:p w14:paraId="03CCBA25">
            <w:pPr>
              <w:pStyle w:val="29"/>
              <w:jc w:val="center"/>
              <w:rPr>
                <w:color w:val="auto"/>
              </w:rPr>
            </w:pPr>
            <w:r>
              <w:rPr>
                <w:color w:val="auto"/>
              </w:rPr>
              <w:t>建设规模</w:t>
            </w:r>
          </w:p>
        </w:tc>
        <w:tc>
          <w:tcPr>
            <w:tcW w:w="1548" w:type="dxa"/>
            <w:gridSpan w:val="2"/>
            <w:noWrap w:val="0"/>
            <w:vAlign w:val="center"/>
          </w:tcPr>
          <w:p w14:paraId="35D5A35D">
            <w:pPr>
              <w:pStyle w:val="29"/>
              <w:jc w:val="center"/>
              <w:rPr>
                <w:color w:val="auto"/>
              </w:rPr>
            </w:pPr>
            <w:r>
              <w:rPr>
                <w:color w:val="auto"/>
              </w:rPr>
              <w:t>开、竣工日期</w:t>
            </w:r>
          </w:p>
        </w:tc>
        <w:tc>
          <w:tcPr>
            <w:tcW w:w="1547" w:type="dxa"/>
            <w:gridSpan w:val="2"/>
            <w:noWrap w:val="0"/>
            <w:vAlign w:val="center"/>
          </w:tcPr>
          <w:p w14:paraId="69ADE673">
            <w:pPr>
              <w:pStyle w:val="29"/>
              <w:jc w:val="center"/>
              <w:rPr>
                <w:color w:val="auto"/>
              </w:rPr>
            </w:pPr>
            <w:r>
              <w:rPr>
                <w:color w:val="auto"/>
              </w:rPr>
              <w:t>在建或已完</w:t>
            </w:r>
          </w:p>
        </w:tc>
        <w:tc>
          <w:tcPr>
            <w:tcW w:w="1548" w:type="dxa"/>
            <w:gridSpan w:val="2"/>
            <w:noWrap w:val="0"/>
            <w:vAlign w:val="center"/>
          </w:tcPr>
          <w:p w14:paraId="173CFEEA">
            <w:pPr>
              <w:pStyle w:val="29"/>
              <w:jc w:val="center"/>
              <w:rPr>
                <w:color w:val="auto"/>
              </w:rPr>
            </w:pPr>
            <w:r>
              <w:rPr>
                <w:color w:val="auto"/>
              </w:rPr>
              <w:t>工程质量</w:t>
            </w:r>
          </w:p>
        </w:tc>
      </w:tr>
      <w:tr w14:paraId="29A3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164811B">
            <w:pPr>
              <w:pStyle w:val="29"/>
              <w:jc w:val="center"/>
              <w:rPr>
                <w:color w:val="auto"/>
              </w:rPr>
            </w:pPr>
          </w:p>
        </w:tc>
        <w:tc>
          <w:tcPr>
            <w:tcW w:w="1548" w:type="dxa"/>
            <w:noWrap w:val="0"/>
            <w:vAlign w:val="center"/>
          </w:tcPr>
          <w:p w14:paraId="6536F4E4">
            <w:pPr>
              <w:pStyle w:val="29"/>
              <w:jc w:val="center"/>
              <w:rPr>
                <w:color w:val="auto"/>
              </w:rPr>
            </w:pPr>
          </w:p>
        </w:tc>
        <w:tc>
          <w:tcPr>
            <w:tcW w:w="1547" w:type="dxa"/>
            <w:gridSpan w:val="2"/>
            <w:noWrap w:val="0"/>
            <w:vAlign w:val="center"/>
          </w:tcPr>
          <w:p w14:paraId="642FC6FF">
            <w:pPr>
              <w:pStyle w:val="29"/>
              <w:jc w:val="center"/>
              <w:rPr>
                <w:color w:val="auto"/>
              </w:rPr>
            </w:pPr>
          </w:p>
        </w:tc>
        <w:tc>
          <w:tcPr>
            <w:tcW w:w="1548" w:type="dxa"/>
            <w:gridSpan w:val="2"/>
            <w:noWrap w:val="0"/>
            <w:vAlign w:val="center"/>
          </w:tcPr>
          <w:p w14:paraId="43E34B23">
            <w:pPr>
              <w:pStyle w:val="29"/>
              <w:jc w:val="center"/>
              <w:rPr>
                <w:color w:val="auto"/>
              </w:rPr>
            </w:pPr>
          </w:p>
        </w:tc>
        <w:tc>
          <w:tcPr>
            <w:tcW w:w="1547" w:type="dxa"/>
            <w:gridSpan w:val="2"/>
            <w:noWrap w:val="0"/>
            <w:vAlign w:val="center"/>
          </w:tcPr>
          <w:p w14:paraId="11A14E4B">
            <w:pPr>
              <w:pStyle w:val="29"/>
              <w:jc w:val="center"/>
              <w:rPr>
                <w:color w:val="auto"/>
              </w:rPr>
            </w:pPr>
          </w:p>
        </w:tc>
        <w:tc>
          <w:tcPr>
            <w:tcW w:w="1548" w:type="dxa"/>
            <w:gridSpan w:val="2"/>
            <w:noWrap w:val="0"/>
            <w:vAlign w:val="center"/>
          </w:tcPr>
          <w:p w14:paraId="03F511C5">
            <w:pPr>
              <w:pStyle w:val="29"/>
              <w:jc w:val="center"/>
              <w:rPr>
                <w:color w:val="auto"/>
              </w:rPr>
            </w:pPr>
          </w:p>
        </w:tc>
      </w:tr>
      <w:tr w14:paraId="19E3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32FA2DAD">
            <w:pPr>
              <w:pStyle w:val="29"/>
              <w:jc w:val="center"/>
              <w:rPr>
                <w:color w:val="auto"/>
              </w:rPr>
            </w:pPr>
          </w:p>
        </w:tc>
        <w:tc>
          <w:tcPr>
            <w:tcW w:w="1548" w:type="dxa"/>
            <w:noWrap w:val="0"/>
            <w:vAlign w:val="center"/>
          </w:tcPr>
          <w:p w14:paraId="548F7623">
            <w:pPr>
              <w:pStyle w:val="29"/>
              <w:jc w:val="center"/>
              <w:rPr>
                <w:color w:val="auto"/>
              </w:rPr>
            </w:pPr>
          </w:p>
        </w:tc>
        <w:tc>
          <w:tcPr>
            <w:tcW w:w="1547" w:type="dxa"/>
            <w:gridSpan w:val="2"/>
            <w:noWrap w:val="0"/>
            <w:vAlign w:val="center"/>
          </w:tcPr>
          <w:p w14:paraId="09F79D8A">
            <w:pPr>
              <w:pStyle w:val="29"/>
              <w:jc w:val="center"/>
              <w:rPr>
                <w:color w:val="auto"/>
              </w:rPr>
            </w:pPr>
          </w:p>
        </w:tc>
        <w:tc>
          <w:tcPr>
            <w:tcW w:w="1548" w:type="dxa"/>
            <w:gridSpan w:val="2"/>
            <w:noWrap w:val="0"/>
            <w:vAlign w:val="center"/>
          </w:tcPr>
          <w:p w14:paraId="2DC997CC">
            <w:pPr>
              <w:pStyle w:val="29"/>
              <w:jc w:val="center"/>
              <w:rPr>
                <w:color w:val="auto"/>
              </w:rPr>
            </w:pPr>
          </w:p>
        </w:tc>
        <w:tc>
          <w:tcPr>
            <w:tcW w:w="1547" w:type="dxa"/>
            <w:gridSpan w:val="2"/>
            <w:noWrap w:val="0"/>
            <w:vAlign w:val="center"/>
          </w:tcPr>
          <w:p w14:paraId="6CA973DD">
            <w:pPr>
              <w:pStyle w:val="29"/>
              <w:jc w:val="center"/>
              <w:rPr>
                <w:color w:val="auto"/>
              </w:rPr>
            </w:pPr>
          </w:p>
        </w:tc>
        <w:tc>
          <w:tcPr>
            <w:tcW w:w="1548" w:type="dxa"/>
            <w:gridSpan w:val="2"/>
            <w:noWrap w:val="0"/>
            <w:vAlign w:val="center"/>
          </w:tcPr>
          <w:p w14:paraId="76CA4578">
            <w:pPr>
              <w:pStyle w:val="29"/>
              <w:jc w:val="center"/>
              <w:rPr>
                <w:color w:val="auto"/>
              </w:rPr>
            </w:pPr>
          </w:p>
        </w:tc>
      </w:tr>
      <w:tr w14:paraId="45B8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D327C38">
            <w:pPr>
              <w:pStyle w:val="29"/>
              <w:jc w:val="center"/>
              <w:rPr>
                <w:color w:val="auto"/>
              </w:rPr>
            </w:pPr>
          </w:p>
        </w:tc>
        <w:tc>
          <w:tcPr>
            <w:tcW w:w="1548" w:type="dxa"/>
            <w:noWrap w:val="0"/>
            <w:vAlign w:val="center"/>
          </w:tcPr>
          <w:p w14:paraId="1E08697A">
            <w:pPr>
              <w:pStyle w:val="29"/>
              <w:jc w:val="center"/>
              <w:rPr>
                <w:color w:val="auto"/>
              </w:rPr>
            </w:pPr>
          </w:p>
        </w:tc>
        <w:tc>
          <w:tcPr>
            <w:tcW w:w="1547" w:type="dxa"/>
            <w:gridSpan w:val="2"/>
            <w:noWrap w:val="0"/>
            <w:vAlign w:val="center"/>
          </w:tcPr>
          <w:p w14:paraId="414D86AC">
            <w:pPr>
              <w:pStyle w:val="29"/>
              <w:jc w:val="center"/>
              <w:rPr>
                <w:color w:val="auto"/>
              </w:rPr>
            </w:pPr>
          </w:p>
        </w:tc>
        <w:tc>
          <w:tcPr>
            <w:tcW w:w="1548" w:type="dxa"/>
            <w:gridSpan w:val="2"/>
            <w:noWrap w:val="0"/>
            <w:vAlign w:val="center"/>
          </w:tcPr>
          <w:p w14:paraId="50475C43">
            <w:pPr>
              <w:pStyle w:val="29"/>
              <w:jc w:val="center"/>
              <w:rPr>
                <w:color w:val="auto"/>
              </w:rPr>
            </w:pPr>
          </w:p>
        </w:tc>
        <w:tc>
          <w:tcPr>
            <w:tcW w:w="1547" w:type="dxa"/>
            <w:gridSpan w:val="2"/>
            <w:noWrap w:val="0"/>
            <w:vAlign w:val="center"/>
          </w:tcPr>
          <w:p w14:paraId="01CC9899">
            <w:pPr>
              <w:pStyle w:val="29"/>
              <w:jc w:val="center"/>
              <w:rPr>
                <w:color w:val="auto"/>
              </w:rPr>
            </w:pPr>
          </w:p>
        </w:tc>
        <w:tc>
          <w:tcPr>
            <w:tcW w:w="1548" w:type="dxa"/>
            <w:gridSpan w:val="2"/>
            <w:noWrap w:val="0"/>
            <w:vAlign w:val="center"/>
          </w:tcPr>
          <w:p w14:paraId="68CA94BB">
            <w:pPr>
              <w:pStyle w:val="29"/>
              <w:jc w:val="center"/>
              <w:rPr>
                <w:color w:val="auto"/>
              </w:rPr>
            </w:pPr>
          </w:p>
        </w:tc>
      </w:tr>
      <w:tr w14:paraId="1D6F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5D6D2A5F">
            <w:pPr>
              <w:pStyle w:val="29"/>
              <w:jc w:val="center"/>
              <w:rPr>
                <w:color w:val="auto"/>
              </w:rPr>
            </w:pPr>
          </w:p>
        </w:tc>
        <w:tc>
          <w:tcPr>
            <w:tcW w:w="1548" w:type="dxa"/>
            <w:noWrap w:val="0"/>
            <w:vAlign w:val="center"/>
          </w:tcPr>
          <w:p w14:paraId="74244120">
            <w:pPr>
              <w:pStyle w:val="29"/>
              <w:jc w:val="center"/>
              <w:rPr>
                <w:color w:val="auto"/>
              </w:rPr>
            </w:pPr>
          </w:p>
        </w:tc>
        <w:tc>
          <w:tcPr>
            <w:tcW w:w="1547" w:type="dxa"/>
            <w:gridSpan w:val="2"/>
            <w:noWrap w:val="0"/>
            <w:vAlign w:val="center"/>
          </w:tcPr>
          <w:p w14:paraId="5D47B0AF">
            <w:pPr>
              <w:pStyle w:val="29"/>
              <w:jc w:val="center"/>
              <w:rPr>
                <w:color w:val="auto"/>
              </w:rPr>
            </w:pPr>
          </w:p>
        </w:tc>
        <w:tc>
          <w:tcPr>
            <w:tcW w:w="1548" w:type="dxa"/>
            <w:gridSpan w:val="2"/>
            <w:noWrap w:val="0"/>
            <w:vAlign w:val="center"/>
          </w:tcPr>
          <w:p w14:paraId="0950D3FB">
            <w:pPr>
              <w:pStyle w:val="29"/>
              <w:jc w:val="center"/>
              <w:rPr>
                <w:color w:val="auto"/>
              </w:rPr>
            </w:pPr>
          </w:p>
        </w:tc>
        <w:tc>
          <w:tcPr>
            <w:tcW w:w="1547" w:type="dxa"/>
            <w:gridSpan w:val="2"/>
            <w:noWrap w:val="0"/>
            <w:vAlign w:val="center"/>
          </w:tcPr>
          <w:p w14:paraId="18E3E260">
            <w:pPr>
              <w:pStyle w:val="29"/>
              <w:jc w:val="center"/>
              <w:rPr>
                <w:color w:val="auto"/>
              </w:rPr>
            </w:pPr>
          </w:p>
        </w:tc>
        <w:tc>
          <w:tcPr>
            <w:tcW w:w="1548" w:type="dxa"/>
            <w:gridSpan w:val="2"/>
            <w:noWrap w:val="0"/>
            <w:vAlign w:val="center"/>
          </w:tcPr>
          <w:p w14:paraId="49E0BB87">
            <w:pPr>
              <w:pStyle w:val="29"/>
              <w:jc w:val="center"/>
              <w:rPr>
                <w:color w:val="auto"/>
              </w:rPr>
            </w:pPr>
          </w:p>
        </w:tc>
      </w:tr>
    </w:tbl>
    <w:p w14:paraId="6CA80C9E">
      <w:pPr>
        <w:pStyle w:val="29"/>
        <w:spacing w:line="360" w:lineRule="auto"/>
        <w:rPr>
          <w:color w:val="auto"/>
          <w:szCs w:val="21"/>
        </w:rPr>
      </w:pPr>
    </w:p>
    <w:p w14:paraId="74FCA85F">
      <w:pPr>
        <w:pStyle w:val="29"/>
        <w:ind w:firstLine="630" w:firstLineChars="300"/>
        <w:rPr>
          <w:color w:val="auto"/>
        </w:rPr>
      </w:pPr>
      <w:r>
        <w:rPr>
          <w:rFonts w:hint="eastAsia"/>
          <w:color w:val="auto"/>
        </w:rPr>
        <w:t>【备注：附项目经理注册建造师执业资格证书和安全生产考核合格证书（B类）的复印件，</w:t>
      </w:r>
      <w:r>
        <w:rPr>
          <w:color w:val="auto"/>
          <w:szCs w:val="21"/>
        </w:rPr>
        <w:t>以</w:t>
      </w:r>
      <w:r>
        <w:rPr>
          <w:rFonts w:hint="eastAsia"/>
          <w:color w:val="auto"/>
          <w:szCs w:val="21"/>
        </w:rPr>
        <w:t>上复印件</w:t>
      </w:r>
      <w:r>
        <w:rPr>
          <w:color w:val="auto"/>
          <w:szCs w:val="21"/>
        </w:rPr>
        <w:t>均须加盖</w:t>
      </w:r>
      <w:r>
        <w:rPr>
          <w:rFonts w:hint="eastAsia"/>
          <w:color w:val="auto"/>
          <w:szCs w:val="21"/>
        </w:rPr>
        <w:t>供应商</w:t>
      </w:r>
      <w:r>
        <w:rPr>
          <w:color w:val="auto"/>
          <w:szCs w:val="21"/>
        </w:rPr>
        <w:t>公章</w:t>
      </w:r>
      <w:r>
        <w:rPr>
          <w:rFonts w:hint="eastAsia"/>
          <w:color w:val="auto"/>
          <w:szCs w:val="21"/>
        </w:rPr>
        <w:t>。</w:t>
      </w:r>
      <w:r>
        <w:rPr>
          <w:rFonts w:hint="eastAsia"/>
          <w:color w:val="auto"/>
        </w:rPr>
        <w:t>】</w:t>
      </w:r>
    </w:p>
    <w:p w14:paraId="5E558D5C">
      <w:pPr>
        <w:pStyle w:val="29"/>
        <w:spacing w:before="120" w:beforeLines="50"/>
        <w:ind w:firstLine="420" w:firstLineChars="200"/>
        <w:rPr>
          <w:rFonts w:eastAsia="楷体_GB2312"/>
          <w:color w:val="auto"/>
        </w:rPr>
      </w:pPr>
    </w:p>
    <w:p w14:paraId="7B4381A6">
      <w:pPr>
        <w:pStyle w:val="29"/>
        <w:spacing w:line="360" w:lineRule="auto"/>
        <w:ind w:firstLine="525" w:firstLineChars="250"/>
        <w:rPr>
          <w:color w:val="auto"/>
        </w:rPr>
      </w:pPr>
    </w:p>
    <w:p w14:paraId="383DF08F">
      <w:pPr>
        <w:pStyle w:val="29"/>
        <w:spacing w:line="360" w:lineRule="auto"/>
        <w:ind w:firstLine="525" w:firstLineChars="250"/>
        <w:rPr>
          <w:color w:val="auto"/>
        </w:rPr>
      </w:pPr>
    </w:p>
    <w:p w14:paraId="250135E4">
      <w:pPr>
        <w:pStyle w:val="29"/>
        <w:spacing w:line="360" w:lineRule="auto"/>
        <w:ind w:firstLine="525" w:firstLineChars="250"/>
        <w:rPr>
          <w:color w:val="auto"/>
        </w:rPr>
      </w:pPr>
    </w:p>
    <w:p w14:paraId="12CF970A">
      <w:pPr>
        <w:pStyle w:val="29"/>
        <w:spacing w:line="360" w:lineRule="auto"/>
        <w:ind w:firstLine="525" w:firstLineChars="250"/>
        <w:rPr>
          <w:color w:val="auto"/>
        </w:rPr>
      </w:pPr>
    </w:p>
    <w:p w14:paraId="20B9974D">
      <w:pPr>
        <w:pStyle w:val="30"/>
        <w:ind w:firstLine="480"/>
        <w:jc w:val="center"/>
        <w:rPr>
          <w:b/>
          <w:color w:val="auto"/>
          <w:sz w:val="24"/>
        </w:rPr>
      </w:pPr>
    </w:p>
    <w:p w14:paraId="4D051AF4">
      <w:pPr>
        <w:pStyle w:val="30"/>
        <w:ind w:firstLine="480"/>
        <w:jc w:val="center"/>
        <w:rPr>
          <w:b/>
          <w:color w:val="auto"/>
          <w:sz w:val="24"/>
        </w:rPr>
      </w:pPr>
    </w:p>
    <w:p w14:paraId="044BCB96">
      <w:pPr>
        <w:pStyle w:val="30"/>
        <w:ind w:firstLine="480"/>
        <w:jc w:val="center"/>
        <w:rPr>
          <w:b/>
          <w:color w:val="auto"/>
          <w:sz w:val="24"/>
        </w:rPr>
      </w:pPr>
    </w:p>
    <w:p w14:paraId="1900E139">
      <w:pPr>
        <w:pStyle w:val="30"/>
        <w:ind w:firstLine="480"/>
        <w:jc w:val="center"/>
        <w:rPr>
          <w:b/>
          <w:color w:val="auto"/>
          <w:sz w:val="24"/>
        </w:rPr>
      </w:pPr>
    </w:p>
    <w:p w14:paraId="30048CDB">
      <w:pPr>
        <w:pStyle w:val="30"/>
        <w:ind w:firstLine="480"/>
        <w:jc w:val="center"/>
        <w:rPr>
          <w:b/>
          <w:color w:val="auto"/>
          <w:sz w:val="24"/>
        </w:rPr>
      </w:pPr>
    </w:p>
    <w:p w14:paraId="2EFA3F17">
      <w:pPr>
        <w:pStyle w:val="30"/>
        <w:ind w:firstLine="480"/>
        <w:jc w:val="center"/>
        <w:rPr>
          <w:b/>
          <w:color w:val="auto"/>
          <w:sz w:val="24"/>
        </w:rPr>
      </w:pPr>
    </w:p>
    <w:p w14:paraId="20A92254">
      <w:pPr>
        <w:pStyle w:val="30"/>
        <w:ind w:firstLine="480"/>
        <w:jc w:val="center"/>
        <w:rPr>
          <w:b/>
          <w:color w:val="auto"/>
          <w:sz w:val="24"/>
        </w:rPr>
      </w:pPr>
    </w:p>
    <w:p w14:paraId="29093D3B">
      <w:pPr>
        <w:pStyle w:val="30"/>
        <w:ind w:firstLine="480"/>
        <w:jc w:val="center"/>
        <w:rPr>
          <w:b/>
          <w:color w:val="auto"/>
          <w:sz w:val="24"/>
        </w:rPr>
      </w:pPr>
    </w:p>
    <w:p w14:paraId="32A80C79">
      <w:pPr>
        <w:pStyle w:val="30"/>
        <w:ind w:firstLine="480"/>
        <w:jc w:val="center"/>
        <w:rPr>
          <w:b/>
          <w:color w:val="auto"/>
          <w:sz w:val="24"/>
        </w:rPr>
      </w:pPr>
    </w:p>
    <w:p w14:paraId="55B8D649">
      <w:pPr>
        <w:pStyle w:val="30"/>
        <w:ind w:firstLine="480"/>
        <w:jc w:val="center"/>
        <w:rPr>
          <w:b/>
          <w:color w:val="auto"/>
          <w:sz w:val="24"/>
        </w:rPr>
      </w:pPr>
    </w:p>
    <w:p w14:paraId="5C302A77">
      <w:pPr>
        <w:pStyle w:val="30"/>
        <w:ind w:firstLine="480"/>
        <w:jc w:val="center"/>
        <w:rPr>
          <w:b/>
          <w:color w:val="auto"/>
          <w:sz w:val="24"/>
        </w:rPr>
      </w:pPr>
    </w:p>
    <w:p w14:paraId="46AB9959">
      <w:pPr>
        <w:pStyle w:val="30"/>
        <w:ind w:firstLine="480"/>
        <w:jc w:val="center"/>
        <w:rPr>
          <w:b/>
          <w:color w:val="auto"/>
          <w:sz w:val="24"/>
        </w:rPr>
      </w:pPr>
    </w:p>
    <w:p w14:paraId="04DB7B3B">
      <w:pPr>
        <w:pStyle w:val="30"/>
        <w:ind w:firstLine="480"/>
        <w:jc w:val="center"/>
        <w:rPr>
          <w:b/>
          <w:color w:val="auto"/>
          <w:sz w:val="24"/>
        </w:rPr>
      </w:pPr>
    </w:p>
    <w:p w14:paraId="7FEA731C">
      <w:pPr>
        <w:pStyle w:val="30"/>
        <w:ind w:firstLine="480"/>
        <w:jc w:val="center"/>
        <w:rPr>
          <w:rFonts w:hint="eastAsia"/>
          <w:b/>
          <w:color w:val="auto"/>
          <w:spacing w:val="-11"/>
          <w:w w:val="95"/>
          <w:sz w:val="32"/>
        </w:rPr>
      </w:pPr>
      <w:r>
        <w:rPr>
          <w:rFonts w:hint="eastAsia"/>
          <w:b/>
          <w:color w:val="auto"/>
          <w:spacing w:val="-11"/>
          <w:w w:val="95"/>
          <w:sz w:val="32"/>
          <w:lang w:val="en-US" w:eastAsia="zh-CN"/>
        </w:rPr>
        <w:t>项目</w:t>
      </w:r>
      <w:r>
        <w:rPr>
          <w:rFonts w:hint="eastAsia"/>
          <w:b/>
          <w:color w:val="auto"/>
          <w:spacing w:val="-11"/>
          <w:w w:val="95"/>
          <w:sz w:val="32"/>
        </w:rPr>
        <w:t>技术负责人简历表</w:t>
      </w:r>
    </w:p>
    <w:p w14:paraId="098F5BD0">
      <w:pPr>
        <w:pStyle w:val="30"/>
        <w:rPr>
          <w:color w:val="auto"/>
          <w:u w:val="single"/>
        </w:rPr>
      </w:pPr>
    </w:p>
    <w:p w14:paraId="0C61049A">
      <w:pPr>
        <w:pStyle w:val="30"/>
        <w:rPr>
          <w:rFonts w:hint="eastAsia"/>
          <w:color w:val="auto"/>
        </w:rPr>
      </w:pPr>
      <w:r>
        <w:rPr>
          <w:color w:val="auto"/>
          <w:u w:val="none"/>
        </w:rPr>
        <w:t>项目名称</w:t>
      </w:r>
      <w:r>
        <w:rPr>
          <w:rFonts w:hint="eastAsia"/>
          <w:color w:val="auto"/>
          <w:u w:val="none"/>
          <w:lang w:eastAsia="zh-CN"/>
        </w:rPr>
        <w:t>：</w:t>
      </w:r>
      <w:r>
        <w:rPr>
          <w:rFonts w:hint="eastAsia"/>
          <w:color w:val="auto"/>
        </w:rPr>
        <w:t xml:space="preserve">                             </w:t>
      </w:r>
    </w:p>
    <w:p w14:paraId="4ECADC69">
      <w:pPr>
        <w:pStyle w:val="30"/>
        <w:ind w:firstLine="630" w:firstLineChars="300"/>
        <w:rPr>
          <w:rFonts w:hint="eastAsia"/>
          <w:color w:val="auto"/>
        </w:rPr>
      </w:pPr>
    </w:p>
    <w:p w14:paraId="2FF2453F">
      <w:pPr>
        <w:pStyle w:val="30"/>
        <w:rPr>
          <w:rFonts w:hint="eastAsia"/>
          <w:color w:val="auto"/>
        </w:rPr>
      </w:pPr>
      <w:r>
        <w:rPr>
          <w:rFonts w:hint="eastAsia"/>
          <w:color w:val="auto"/>
        </w:rPr>
        <w:t>项目编号：</w:t>
      </w:r>
    </w:p>
    <w:p w14:paraId="5DBDBA59">
      <w:pPr>
        <w:pStyle w:val="30"/>
        <w:ind w:firstLine="315" w:firstLineChars="150"/>
        <w:rPr>
          <w:color w:val="auto"/>
        </w:rPr>
      </w:pPr>
      <w:r>
        <w:rPr>
          <w:rFonts w:hint="eastAsia"/>
          <w:color w:val="auto"/>
        </w:rPr>
        <w:t xml:space="preserve">                        </w:t>
      </w:r>
    </w:p>
    <w:tbl>
      <w:tblPr>
        <w:tblStyle w:val="22"/>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1DC2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153EA2CA">
            <w:pPr>
              <w:pStyle w:val="29"/>
              <w:jc w:val="center"/>
              <w:rPr>
                <w:color w:val="auto"/>
              </w:rPr>
            </w:pPr>
            <w:r>
              <w:rPr>
                <w:color w:val="auto"/>
              </w:rPr>
              <w:t>姓名</w:t>
            </w:r>
          </w:p>
        </w:tc>
        <w:tc>
          <w:tcPr>
            <w:tcW w:w="2340" w:type="dxa"/>
            <w:gridSpan w:val="3"/>
            <w:noWrap w:val="0"/>
            <w:vAlign w:val="center"/>
          </w:tcPr>
          <w:p w14:paraId="11488CCD">
            <w:pPr>
              <w:pStyle w:val="29"/>
              <w:jc w:val="center"/>
              <w:rPr>
                <w:color w:val="auto"/>
              </w:rPr>
            </w:pPr>
          </w:p>
        </w:tc>
        <w:tc>
          <w:tcPr>
            <w:tcW w:w="1893" w:type="dxa"/>
            <w:gridSpan w:val="2"/>
            <w:noWrap w:val="0"/>
            <w:vAlign w:val="center"/>
          </w:tcPr>
          <w:p w14:paraId="50CEE9B4">
            <w:pPr>
              <w:pStyle w:val="29"/>
              <w:jc w:val="center"/>
              <w:rPr>
                <w:color w:val="auto"/>
              </w:rPr>
            </w:pPr>
            <w:r>
              <w:rPr>
                <w:color w:val="auto"/>
              </w:rPr>
              <w:t>性别</w:t>
            </w:r>
          </w:p>
        </w:tc>
        <w:tc>
          <w:tcPr>
            <w:tcW w:w="1585" w:type="dxa"/>
            <w:gridSpan w:val="2"/>
            <w:noWrap w:val="0"/>
            <w:vAlign w:val="center"/>
          </w:tcPr>
          <w:p w14:paraId="685645F8">
            <w:pPr>
              <w:pStyle w:val="29"/>
              <w:jc w:val="center"/>
              <w:rPr>
                <w:color w:val="auto"/>
              </w:rPr>
            </w:pPr>
          </w:p>
        </w:tc>
        <w:tc>
          <w:tcPr>
            <w:tcW w:w="1108" w:type="dxa"/>
            <w:gridSpan w:val="2"/>
            <w:noWrap w:val="0"/>
            <w:vAlign w:val="center"/>
          </w:tcPr>
          <w:p w14:paraId="626B1C81">
            <w:pPr>
              <w:pStyle w:val="29"/>
              <w:jc w:val="center"/>
              <w:rPr>
                <w:color w:val="auto"/>
              </w:rPr>
            </w:pPr>
            <w:r>
              <w:rPr>
                <w:color w:val="auto"/>
              </w:rPr>
              <w:t>年龄</w:t>
            </w:r>
          </w:p>
        </w:tc>
        <w:tc>
          <w:tcPr>
            <w:tcW w:w="1276" w:type="dxa"/>
            <w:noWrap w:val="0"/>
            <w:vAlign w:val="center"/>
          </w:tcPr>
          <w:p w14:paraId="573D4135">
            <w:pPr>
              <w:pStyle w:val="29"/>
              <w:jc w:val="center"/>
              <w:rPr>
                <w:color w:val="auto"/>
              </w:rPr>
            </w:pPr>
          </w:p>
        </w:tc>
      </w:tr>
      <w:tr w14:paraId="4958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3541225F">
            <w:pPr>
              <w:pStyle w:val="29"/>
              <w:jc w:val="center"/>
              <w:rPr>
                <w:color w:val="auto"/>
              </w:rPr>
            </w:pPr>
            <w:r>
              <w:rPr>
                <w:color w:val="auto"/>
              </w:rPr>
              <w:t>职务</w:t>
            </w:r>
          </w:p>
        </w:tc>
        <w:tc>
          <w:tcPr>
            <w:tcW w:w="2340" w:type="dxa"/>
            <w:gridSpan w:val="3"/>
            <w:noWrap w:val="0"/>
            <w:vAlign w:val="center"/>
          </w:tcPr>
          <w:p w14:paraId="7893E31F">
            <w:pPr>
              <w:pStyle w:val="29"/>
              <w:jc w:val="center"/>
              <w:rPr>
                <w:color w:val="auto"/>
              </w:rPr>
            </w:pPr>
          </w:p>
        </w:tc>
        <w:tc>
          <w:tcPr>
            <w:tcW w:w="1893" w:type="dxa"/>
            <w:gridSpan w:val="2"/>
            <w:noWrap w:val="0"/>
            <w:vAlign w:val="center"/>
          </w:tcPr>
          <w:p w14:paraId="527F1D16">
            <w:pPr>
              <w:pStyle w:val="29"/>
              <w:jc w:val="center"/>
              <w:rPr>
                <w:color w:val="auto"/>
              </w:rPr>
            </w:pPr>
            <w:r>
              <w:rPr>
                <w:color w:val="auto"/>
              </w:rPr>
              <w:t>职称</w:t>
            </w:r>
          </w:p>
        </w:tc>
        <w:tc>
          <w:tcPr>
            <w:tcW w:w="1585" w:type="dxa"/>
            <w:gridSpan w:val="2"/>
            <w:noWrap w:val="0"/>
            <w:vAlign w:val="center"/>
          </w:tcPr>
          <w:p w14:paraId="1218CAD4">
            <w:pPr>
              <w:pStyle w:val="29"/>
              <w:jc w:val="center"/>
              <w:rPr>
                <w:color w:val="auto"/>
              </w:rPr>
            </w:pPr>
          </w:p>
        </w:tc>
        <w:tc>
          <w:tcPr>
            <w:tcW w:w="1108" w:type="dxa"/>
            <w:gridSpan w:val="2"/>
            <w:noWrap w:val="0"/>
            <w:vAlign w:val="center"/>
          </w:tcPr>
          <w:p w14:paraId="366D130D">
            <w:pPr>
              <w:pStyle w:val="29"/>
              <w:jc w:val="center"/>
              <w:rPr>
                <w:color w:val="auto"/>
              </w:rPr>
            </w:pPr>
            <w:r>
              <w:rPr>
                <w:color w:val="auto"/>
              </w:rPr>
              <w:t>学历</w:t>
            </w:r>
          </w:p>
        </w:tc>
        <w:tc>
          <w:tcPr>
            <w:tcW w:w="1276" w:type="dxa"/>
            <w:noWrap w:val="0"/>
            <w:vAlign w:val="center"/>
          </w:tcPr>
          <w:p w14:paraId="004FFBBE">
            <w:pPr>
              <w:pStyle w:val="29"/>
              <w:jc w:val="center"/>
              <w:rPr>
                <w:color w:val="auto"/>
              </w:rPr>
            </w:pPr>
          </w:p>
        </w:tc>
      </w:tr>
      <w:tr w14:paraId="7407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100BE3A1">
            <w:pPr>
              <w:pStyle w:val="29"/>
              <w:jc w:val="center"/>
              <w:rPr>
                <w:color w:val="auto"/>
              </w:rPr>
            </w:pPr>
            <w:r>
              <w:rPr>
                <w:color w:val="auto"/>
              </w:rPr>
              <w:t>参加工作时间</w:t>
            </w:r>
          </w:p>
        </w:tc>
        <w:tc>
          <w:tcPr>
            <w:tcW w:w="1893" w:type="dxa"/>
            <w:gridSpan w:val="2"/>
            <w:noWrap w:val="0"/>
            <w:vAlign w:val="center"/>
          </w:tcPr>
          <w:p w14:paraId="5110073A">
            <w:pPr>
              <w:pStyle w:val="29"/>
              <w:jc w:val="center"/>
              <w:rPr>
                <w:color w:val="auto"/>
              </w:rPr>
            </w:pPr>
          </w:p>
        </w:tc>
        <w:tc>
          <w:tcPr>
            <w:tcW w:w="2693" w:type="dxa"/>
            <w:gridSpan w:val="4"/>
            <w:noWrap w:val="0"/>
            <w:vAlign w:val="center"/>
          </w:tcPr>
          <w:p w14:paraId="719376A1">
            <w:pPr>
              <w:pStyle w:val="29"/>
              <w:jc w:val="center"/>
              <w:rPr>
                <w:color w:val="auto"/>
              </w:rPr>
            </w:pPr>
            <w:r>
              <w:rPr>
                <w:color w:val="auto"/>
              </w:rPr>
              <w:t>担任</w:t>
            </w:r>
            <w:r>
              <w:rPr>
                <w:rFonts w:hint="eastAsia"/>
                <w:color w:val="auto"/>
              </w:rPr>
              <w:t>技术负责人</w:t>
            </w:r>
            <w:r>
              <w:rPr>
                <w:color w:val="auto"/>
              </w:rPr>
              <w:t>年限</w:t>
            </w:r>
          </w:p>
        </w:tc>
        <w:tc>
          <w:tcPr>
            <w:tcW w:w="1276" w:type="dxa"/>
            <w:noWrap w:val="0"/>
            <w:vAlign w:val="center"/>
          </w:tcPr>
          <w:p w14:paraId="73DA72DC">
            <w:pPr>
              <w:pStyle w:val="29"/>
              <w:jc w:val="center"/>
              <w:rPr>
                <w:color w:val="auto"/>
              </w:rPr>
            </w:pPr>
          </w:p>
        </w:tc>
      </w:tr>
      <w:tr w14:paraId="74A6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2A004571">
            <w:pPr>
              <w:pStyle w:val="29"/>
              <w:jc w:val="center"/>
              <w:rPr>
                <w:color w:val="auto"/>
              </w:rPr>
            </w:pPr>
            <w:r>
              <w:rPr>
                <w:color w:val="auto"/>
              </w:rPr>
              <w:t>在建和已完工程项目情况</w:t>
            </w:r>
          </w:p>
        </w:tc>
      </w:tr>
      <w:tr w14:paraId="079E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C753BA7">
            <w:pPr>
              <w:pStyle w:val="29"/>
              <w:jc w:val="center"/>
              <w:rPr>
                <w:color w:val="auto"/>
              </w:rPr>
            </w:pPr>
            <w:r>
              <w:rPr>
                <w:color w:val="auto"/>
              </w:rPr>
              <w:t>建设单位</w:t>
            </w:r>
          </w:p>
        </w:tc>
        <w:tc>
          <w:tcPr>
            <w:tcW w:w="1548" w:type="dxa"/>
            <w:noWrap w:val="0"/>
            <w:vAlign w:val="center"/>
          </w:tcPr>
          <w:p w14:paraId="73C552FA">
            <w:pPr>
              <w:pStyle w:val="29"/>
              <w:jc w:val="center"/>
              <w:rPr>
                <w:color w:val="auto"/>
              </w:rPr>
            </w:pPr>
            <w:r>
              <w:rPr>
                <w:color w:val="auto"/>
              </w:rPr>
              <w:t>项目名称</w:t>
            </w:r>
          </w:p>
        </w:tc>
        <w:tc>
          <w:tcPr>
            <w:tcW w:w="1547" w:type="dxa"/>
            <w:gridSpan w:val="2"/>
            <w:noWrap w:val="0"/>
            <w:vAlign w:val="center"/>
          </w:tcPr>
          <w:p w14:paraId="58036E43">
            <w:pPr>
              <w:pStyle w:val="29"/>
              <w:jc w:val="center"/>
              <w:rPr>
                <w:color w:val="auto"/>
              </w:rPr>
            </w:pPr>
            <w:r>
              <w:rPr>
                <w:color w:val="auto"/>
              </w:rPr>
              <w:t>建设规模</w:t>
            </w:r>
          </w:p>
        </w:tc>
        <w:tc>
          <w:tcPr>
            <w:tcW w:w="1548" w:type="dxa"/>
            <w:gridSpan w:val="2"/>
            <w:noWrap w:val="0"/>
            <w:vAlign w:val="center"/>
          </w:tcPr>
          <w:p w14:paraId="43592811">
            <w:pPr>
              <w:pStyle w:val="29"/>
              <w:jc w:val="center"/>
              <w:rPr>
                <w:color w:val="auto"/>
              </w:rPr>
            </w:pPr>
            <w:r>
              <w:rPr>
                <w:color w:val="auto"/>
              </w:rPr>
              <w:t>开、竣工日期</w:t>
            </w:r>
          </w:p>
        </w:tc>
        <w:tc>
          <w:tcPr>
            <w:tcW w:w="1547" w:type="dxa"/>
            <w:gridSpan w:val="2"/>
            <w:noWrap w:val="0"/>
            <w:vAlign w:val="center"/>
          </w:tcPr>
          <w:p w14:paraId="4F4BE795">
            <w:pPr>
              <w:pStyle w:val="29"/>
              <w:jc w:val="center"/>
              <w:rPr>
                <w:color w:val="auto"/>
              </w:rPr>
            </w:pPr>
            <w:r>
              <w:rPr>
                <w:color w:val="auto"/>
              </w:rPr>
              <w:t>在建或已完</w:t>
            </w:r>
          </w:p>
        </w:tc>
        <w:tc>
          <w:tcPr>
            <w:tcW w:w="1548" w:type="dxa"/>
            <w:gridSpan w:val="2"/>
            <w:noWrap w:val="0"/>
            <w:vAlign w:val="center"/>
          </w:tcPr>
          <w:p w14:paraId="17F3155D">
            <w:pPr>
              <w:pStyle w:val="29"/>
              <w:jc w:val="center"/>
              <w:rPr>
                <w:color w:val="auto"/>
              </w:rPr>
            </w:pPr>
            <w:r>
              <w:rPr>
                <w:color w:val="auto"/>
              </w:rPr>
              <w:t>工程质量</w:t>
            </w:r>
          </w:p>
        </w:tc>
      </w:tr>
      <w:tr w14:paraId="3E40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7DABEB14">
            <w:pPr>
              <w:pStyle w:val="29"/>
              <w:jc w:val="center"/>
              <w:rPr>
                <w:color w:val="auto"/>
              </w:rPr>
            </w:pPr>
          </w:p>
        </w:tc>
        <w:tc>
          <w:tcPr>
            <w:tcW w:w="1548" w:type="dxa"/>
            <w:noWrap w:val="0"/>
            <w:vAlign w:val="center"/>
          </w:tcPr>
          <w:p w14:paraId="68AD7806">
            <w:pPr>
              <w:pStyle w:val="29"/>
              <w:jc w:val="center"/>
              <w:rPr>
                <w:color w:val="auto"/>
              </w:rPr>
            </w:pPr>
          </w:p>
        </w:tc>
        <w:tc>
          <w:tcPr>
            <w:tcW w:w="1547" w:type="dxa"/>
            <w:gridSpan w:val="2"/>
            <w:noWrap w:val="0"/>
            <w:vAlign w:val="center"/>
          </w:tcPr>
          <w:p w14:paraId="51AF7AE2">
            <w:pPr>
              <w:pStyle w:val="29"/>
              <w:jc w:val="center"/>
              <w:rPr>
                <w:color w:val="auto"/>
              </w:rPr>
            </w:pPr>
          </w:p>
        </w:tc>
        <w:tc>
          <w:tcPr>
            <w:tcW w:w="1548" w:type="dxa"/>
            <w:gridSpan w:val="2"/>
            <w:noWrap w:val="0"/>
            <w:vAlign w:val="center"/>
          </w:tcPr>
          <w:p w14:paraId="10B24518">
            <w:pPr>
              <w:pStyle w:val="29"/>
              <w:jc w:val="center"/>
              <w:rPr>
                <w:color w:val="auto"/>
              </w:rPr>
            </w:pPr>
          </w:p>
        </w:tc>
        <w:tc>
          <w:tcPr>
            <w:tcW w:w="1547" w:type="dxa"/>
            <w:gridSpan w:val="2"/>
            <w:noWrap w:val="0"/>
            <w:vAlign w:val="center"/>
          </w:tcPr>
          <w:p w14:paraId="389542EC">
            <w:pPr>
              <w:pStyle w:val="29"/>
              <w:jc w:val="center"/>
              <w:rPr>
                <w:color w:val="auto"/>
              </w:rPr>
            </w:pPr>
          </w:p>
        </w:tc>
        <w:tc>
          <w:tcPr>
            <w:tcW w:w="1548" w:type="dxa"/>
            <w:gridSpan w:val="2"/>
            <w:noWrap w:val="0"/>
            <w:vAlign w:val="center"/>
          </w:tcPr>
          <w:p w14:paraId="4301922D">
            <w:pPr>
              <w:pStyle w:val="29"/>
              <w:jc w:val="center"/>
              <w:rPr>
                <w:color w:val="auto"/>
              </w:rPr>
            </w:pPr>
          </w:p>
        </w:tc>
      </w:tr>
      <w:tr w14:paraId="483E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32316EFA">
            <w:pPr>
              <w:pStyle w:val="29"/>
              <w:jc w:val="center"/>
              <w:rPr>
                <w:color w:val="auto"/>
              </w:rPr>
            </w:pPr>
          </w:p>
        </w:tc>
        <w:tc>
          <w:tcPr>
            <w:tcW w:w="1548" w:type="dxa"/>
            <w:noWrap w:val="0"/>
            <w:vAlign w:val="center"/>
          </w:tcPr>
          <w:p w14:paraId="1420ABBC">
            <w:pPr>
              <w:pStyle w:val="29"/>
              <w:jc w:val="center"/>
              <w:rPr>
                <w:color w:val="auto"/>
              </w:rPr>
            </w:pPr>
          </w:p>
        </w:tc>
        <w:tc>
          <w:tcPr>
            <w:tcW w:w="1547" w:type="dxa"/>
            <w:gridSpan w:val="2"/>
            <w:noWrap w:val="0"/>
            <w:vAlign w:val="center"/>
          </w:tcPr>
          <w:p w14:paraId="0EB82C93">
            <w:pPr>
              <w:pStyle w:val="29"/>
              <w:jc w:val="center"/>
              <w:rPr>
                <w:color w:val="auto"/>
              </w:rPr>
            </w:pPr>
          </w:p>
        </w:tc>
        <w:tc>
          <w:tcPr>
            <w:tcW w:w="1548" w:type="dxa"/>
            <w:gridSpan w:val="2"/>
            <w:noWrap w:val="0"/>
            <w:vAlign w:val="center"/>
          </w:tcPr>
          <w:p w14:paraId="0E9DDE42">
            <w:pPr>
              <w:pStyle w:val="29"/>
              <w:jc w:val="center"/>
              <w:rPr>
                <w:color w:val="auto"/>
              </w:rPr>
            </w:pPr>
          </w:p>
        </w:tc>
        <w:tc>
          <w:tcPr>
            <w:tcW w:w="1547" w:type="dxa"/>
            <w:gridSpan w:val="2"/>
            <w:noWrap w:val="0"/>
            <w:vAlign w:val="center"/>
          </w:tcPr>
          <w:p w14:paraId="7B337072">
            <w:pPr>
              <w:pStyle w:val="29"/>
              <w:jc w:val="center"/>
              <w:rPr>
                <w:color w:val="auto"/>
              </w:rPr>
            </w:pPr>
          </w:p>
        </w:tc>
        <w:tc>
          <w:tcPr>
            <w:tcW w:w="1548" w:type="dxa"/>
            <w:gridSpan w:val="2"/>
            <w:noWrap w:val="0"/>
            <w:vAlign w:val="center"/>
          </w:tcPr>
          <w:p w14:paraId="65A3168B">
            <w:pPr>
              <w:pStyle w:val="29"/>
              <w:jc w:val="center"/>
              <w:rPr>
                <w:color w:val="auto"/>
              </w:rPr>
            </w:pPr>
          </w:p>
        </w:tc>
      </w:tr>
      <w:tr w14:paraId="78E2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75B90E84">
            <w:pPr>
              <w:pStyle w:val="29"/>
              <w:jc w:val="center"/>
              <w:rPr>
                <w:color w:val="auto"/>
              </w:rPr>
            </w:pPr>
          </w:p>
        </w:tc>
        <w:tc>
          <w:tcPr>
            <w:tcW w:w="1548" w:type="dxa"/>
            <w:noWrap w:val="0"/>
            <w:vAlign w:val="center"/>
          </w:tcPr>
          <w:p w14:paraId="115A3BD9">
            <w:pPr>
              <w:pStyle w:val="29"/>
              <w:jc w:val="center"/>
              <w:rPr>
                <w:color w:val="auto"/>
              </w:rPr>
            </w:pPr>
          </w:p>
        </w:tc>
        <w:tc>
          <w:tcPr>
            <w:tcW w:w="1547" w:type="dxa"/>
            <w:gridSpan w:val="2"/>
            <w:noWrap w:val="0"/>
            <w:vAlign w:val="center"/>
          </w:tcPr>
          <w:p w14:paraId="1CD571FA">
            <w:pPr>
              <w:pStyle w:val="29"/>
              <w:jc w:val="center"/>
              <w:rPr>
                <w:color w:val="auto"/>
              </w:rPr>
            </w:pPr>
          </w:p>
        </w:tc>
        <w:tc>
          <w:tcPr>
            <w:tcW w:w="1548" w:type="dxa"/>
            <w:gridSpan w:val="2"/>
            <w:noWrap w:val="0"/>
            <w:vAlign w:val="center"/>
          </w:tcPr>
          <w:p w14:paraId="4F91020F">
            <w:pPr>
              <w:pStyle w:val="29"/>
              <w:jc w:val="center"/>
              <w:rPr>
                <w:color w:val="auto"/>
              </w:rPr>
            </w:pPr>
          </w:p>
        </w:tc>
        <w:tc>
          <w:tcPr>
            <w:tcW w:w="1547" w:type="dxa"/>
            <w:gridSpan w:val="2"/>
            <w:noWrap w:val="0"/>
            <w:vAlign w:val="center"/>
          </w:tcPr>
          <w:p w14:paraId="3CFDC7CE">
            <w:pPr>
              <w:pStyle w:val="29"/>
              <w:jc w:val="center"/>
              <w:rPr>
                <w:color w:val="auto"/>
              </w:rPr>
            </w:pPr>
          </w:p>
        </w:tc>
        <w:tc>
          <w:tcPr>
            <w:tcW w:w="1548" w:type="dxa"/>
            <w:gridSpan w:val="2"/>
            <w:noWrap w:val="0"/>
            <w:vAlign w:val="center"/>
          </w:tcPr>
          <w:p w14:paraId="3FA8D846">
            <w:pPr>
              <w:pStyle w:val="29"/>
              <w:jc w:val="center"/>
              <w:rPr>
                <w:color w:val="auto"/>
              </w:rPr>
            </w:pPr>
          </w:p>
        </w:tc>
      </w:tr>
      <w:tr w14:paraId="1A6D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18BF27E8">
            <w:pPr>
              <w:pStyle w:val="29"/>
              <w:jc w:val="center"/>
              <w:rPr>
                <w:color w:val="auto"/>
              </w:rPr>
            </w:pPr>
          </w:p>
        </w:tc>
        <w:tc>
          <w:tcPr>
            <w:tcW w:w="1548" w:type="dxa"/>
            <w:noWrap w:val="0"/>
            <w:vAlign w:val="center"/>
          </w:tcPr>
          <w:p w14:paraId="5C3BC46F">
            <w:pPr>
              <w:pStyle w:val="29"/>
              <w:jc w:val="center"/>
              <w:rPr>
                <w:color w:val="auto"/>
              </w:rPr>
            </w:pPr>
          </w:p>
        </w:tc>
        <w:tc>
          <w:tcPr>
            <w:tcW w:w="1547" w:type="dxa"/>
            <w:gridSpan w:val="2"/>
            <w:noWrap w:val="0"/>
            <w:vAlign w:val="center"/>
          </w:tcPr>
          <w:p w14:paraId="3D1977DF">
            <w:pPr>
              <w:pStyle w:val="29"/>
              <w:jc w:val="center"/>
              <w:rPr>
                <w:color w:val="auto"/>
              </w:rPr>
            </w:pPr>
          </w:p>
        </w:tc>
        <w:tc>
          <w:tcPr>
            <w:tcW w:w="1548" w:type="dxa"/>
            <w:gridSpan w:val="2"/>
            <w:noWrap w:val="0"/>
            <w:vAlign w:val="center"/>
          </w:tcPr>
          <w:p w14:paraId="7B1FD19F">
            <w:pPr>
              <w:pStyle w:val="29"/>
              <w:jc w:val="center"/>
              <w:rPr>
                <w:color w:val="auto"/>
              </w:rPr>
            </w:pPr>
          </w:p>
        </w:tc>
        <w:tc>
          <w:tcPr>
            <w:tcW w:w="1547" w:type="dxa"/>
            <w:gridSpan w:val="2"/>
            <w:noWrap w:val="0"/>
            <w:vAlign w:val="center"/>
          </w:tcPr>
          <w:p w14:paraId="1D7C2C08">
            <w:pPr>
              <w:pStyle w:val="29"/>
              <w:jc w:val="center"/>
              <w:rPr>
                <w:color w:val="auto"/>
              </w:rPr>
            </w:pPr>
          </w:p>
        </w:tc>
        <w:tc>
          <w:tcPr>
            <w:tcW w:w="1548" w:type="dxa"/>
            <w:gridSpan w:val="2"/>
            <w:noWrap w:val="0"/>
            <w:vAlign w:val="center"/>
          </w:tcPr>
          <w:p w14:paraId="20FBDCB8">
            <w:pPr>
              <w:pStyle w:val="29"/>
              <w:jc w:val="center"/>
              <w:rPr>
                <w:color w:val="auto"/>
              </w:rPr>
            </w:pPr>
          </w:p>
        </w:tc>
      </w:tr>
    </w:tbl>
    <w:p w14:paraId="75502E6E">
      <w:pPr>
        <w:pStyle w:val="29"/>
        <w:ind w:firstLine="630" w:firstLineChars="300"/>
        <w:rPr>
          <w:rFonts w:hint="eastAsia"/>
          <w:color w:val="auto"/>
        </w:rPr>
      </w:pPr>
    </w:p>
    <w:p w14:paraId="1E34E8EA">
      <w:pPr>
        <w:pStyle w:val="29"/>
        <w:ind w:firstLine="210" w:firstLineChars="100"/>
        <w:rPr>
          <w:color w:val="auto"/>
        </w:rPr>
      </w:pPr>
      <w:r>
        <w:rPr>
          <w:rFonts w:hint="eastAsia"/>
          <w:color w:val="auto"/>
        </w:rPr>
        <w:t>【备注：附技术负责人中级工程师或以上等级职称证书的复印件，</w:t>
      </w:r>
      <w:r>
        <w:rPr>
          <w:color w:val="auto"/>
          <w:szCs w:val="21"/>
        </w:rPr>
        <w:t>以</w:t>
      </w:r>
      <w:r>
        <w:rPr>
          <w:rFonts w:hint="eastAsia"/>
          <w:color w:val="auto"/>
          <w:szCs w:val="21"/>
        </w:rPr>
        <w:t>上复印件</w:t>
      </w:r>
      <w:r>
        <w:rPr>
          <w:color w:val="auto"/>
          <w:szCs w:val="21"/>
        </w:rPr>
        <w:t>均须加盖</w:t>
      </w:r>
      <w:r>
        <w:rPr>
          <w:rFonts w:hint="eastAsia"/>
          <w:color w:val="auto"/>
          <w:szCs w:val="21"/>
        </w:rPr>
        <w:t>供应商</w:t>
      </w:r>
      <w:r>
        <w:rPr>
          <w:color w:val="auto"/>
          <w:szCs w:val="21"/>
        </w:rPr>
        <w:t>公章</w:t>
      </w:r>
      <w:r>
        <w:rPr>
          <w:rFonts w:hint="eastAsia"/>
          <w:color w:val="auto"/>
          <w:szCs w:val="21"/>
        </w:rPr>
        <w:t>。</w:t>
      </w:r>
      <w:r>
        <w:rPr>
          <w:rFonts w:hint="eastAsia"/>
          <w:color w:val="auto"/>
        </w:rPr>
        <w:t>】</w:t>
      </w:r>
    </w:p>
    <w:p w14:paraId="5A1B1891">
      <w:pPr>
        <w:pStyle w:val="29"/>
        <w:spacing w:before="120" w:beforeLines="50"/>
        <w:ind w:firstLine="420" w:firstLineChars="200"/>
        <w:rPr>
          <w:rFonts w:eastAsia="楷体_GB2312"/>
          <w:color w:val="auto"/>
        </w:rPr>
      </w:pPr>
    </w:p>
    <w:p w14:paraId="0D679913">
      <w:pPr>
        <w:pStyle w:val="29"/>
        <w:spacing w:line="360" w:lineRule="auto"/>
        <w:rPr>
          <w:color w:val="auto"/>
          <w:szCs w:val="21"/>
        </w:rPr>
      </w:pPr>
    </w:p>
    <w:p w14:paraId="56CA2566">
      <w:pPr>
        <w:rPr>
          <w:rFonts w:hint="eastAsia" w:ascii="宋体" w:hAnsi="宋体" w:eastAsia="宋体" w:cs="Times New Roman"/>
          <w:b/>
          <w:color w:val="000000"/>
          <w:sz w:val="36"/>
          <w:szCs w:val="36"/>
          <w:highlight w:val="none"/>
          <w:lang w:val="en-US" w:eastAsia="zh-CN"/>
        </w:rPr>
      </w:pPr>
      <w:r>
        <w:rPr>
          <w:rFonts w:hint="eastAsia" w:ascii="宋体" w:hAnsi="宋体" w:eastAsia="宋体" w:cs="Times New Roman"/>
          <w:b/>
          <w:color w:val="000000"/>
          <w:sz w:val="36"/>
          <w:szCs w:val="36"/>
          <w:highlight w:val="none"/>
          <w:lang w:val="en-US" w:eastAsia="zh-CN"/>
        </w:rPr>
        <w:br w:type="page"/>
      </w:r>
    </w:p>
    <w:p w14:paraId="420AC118">
      <w:pPr>
        <w:keepNext w:val="0"/>
        <w:keepLines w:val="0"/>
        <w:pageBreakBefore w:val="0"/>
        <w:widowControl w:val="0"/>
        <w:kinsoku/>
        <w:wordWrap/>
        <w:overflowPunct/>
        <w:topLinePunct w:val="0"/>
        <w:autoSpaceDE/>
        <w:autoSpaceDN/>
        <w:bidi w:val="0"/>
        <w:adjustRightInd/>
        <w:snapToGrid w:val="0"/>
        <w:spacing w:line="460" w:lineRule="exact"/>
        <w:ind w:firstLine="723" w:firstLineChars="200"/>
        <w:jc w:val="center"/>
        <w:textAlignment w:val="auto"/>
        <w:rPr>
          <w:b/>
          <w:color w:val="auto"/>
          <w:sz w:val="28"/>
          <w:szCs w:val="28"/>
        </w:rPr>
      </w:pPr>
      <w:r>
        <w:rPr>
          <w:rFonts w:hint="eastAsia" w:ascii="宋体" w:hAnsi="宋体" w:eastAsia="宋体" w:cs="Times New Roman"/>
          <w:b/>
          <w:color w:val="000000"/>
          <w:sz w:val="36"/>
          <w:szCs w:val="36"/>
          <w:highlight w:val="none"/>
          <w:lang w:val="en-US" w:eastAsia="zh-CN"/>
        </w:rPr>
        <w:t>项目管理机构配备情况表</w:t>
      </w:r>
    </w:p>
    <w:p w14:paraId="18CEE665">
      <w:pPr>
        <w:pStyle w:val="30"/>
        <w:ind w:firstLine="480"/>
        <w:jc w:val="center"/>
        <w:rPr>
          <w:b/>
          <w:bCs/>
          <w:color w:val="auto"/>
          <w:sz w:val="24"/>
        </w:rPr>
      </w:pPr>
    </w:p>
    <w:p w14:paraId="2B5C964C">
      <w:pPr>
        <w:pStyle w:val="30"/>
        <w:rPr>
          <w:color w:val="auto"/>
          <w:u w:val="single"/>
        </w:rPr>
      </w:pPr>
    </w:p>
    <w:p w14:paraId="13F3B087">
      <w:pPr>
        <w:spacing w:line="360" w:lineRule="auto"/>
        <w:contextualSpacing/>
        <w:rPr>
          <w:rFonts w:ascii="宋体" w:hAnsi="宋体" w:cs="仿宋_GB2312"/>
          <w:color w:val="000000"/>
          <w:sz w:val="24"/>
          <w:highlight w:val="none"/>
          <w:u w:val="single"/>
        </w:rPr>
      </w:pPr>
      <w:r>
        <w:rPr>
          <w:rFonts w:hint="eastAsia" w:ascii="宋体" w:hAnsi="宋体" w:cs="仿宋_GB2312"/>
          <w:color w:val="000000"/>
          <w:sz w:val="24"/>
          <w:highlight w:val="none"/>
        </w:rPr>
        <w:t>项目</w:t>
      </w:r>
      <w:r>
        <w:rPr>
          <w:rFonts w:hint="eastAsia" w:ascii="宋体" w:hAnsi="宋体" w:cs="仿宋_GB2312"/>
          <w:color w:val="000000"/>
          <w:sz w:val="24"/>
          <w:highlight w:val="none"/>
          <w:lang w:val="en-US" w:eastAsia="zh-CN"/>
        </w:rPr>
        <w:t>名称</w:t>
      </w:r>
      <w:r>
        <w:rPr>
          <w:rFonts w:hint="eastAsia" w:ascii="宋体" w:hAnsi="宋体" w:cs="仿宋_GB2312"/>
          <w:color w:val="000000"/>
          <w:sz w:val="24"/>
          <w:highlight w:val="none"/>
        </w:rPr>
        <w:t>：</w:t>
      </w:r>
    </w:p>
    <w:p w14:paraId="347EFB81">
      <w:pPr>
        <w:spacing w:line="360" w:lineRule="auto"/>
        <w:contextualSpacing/>
        <w:rPr>
          <w:rFonts w:ascii="宋体" w:hAnsi="宋体" w:cs="仿宋_GB2312"/>
          <w:color w:val="000000"/>
          <w:kern w:val="0"/>
          <w:sz w:val="24"/>
          <w:highlight w:val="none"/>
        </w:rPr>
      </w:pPr>
      <w:r>
        <w:rPr>
          <w:rFonts w:hint="eastAsia" w:ascii="宋体" w:hAnsi="宋体" w:cs="仿宋_GB2312"/>
          <w:color w:val="000000"/>
          <w:sz w:val="24"/>
          <w:highlight w:val="none"/>
        </w:rPr>
        <w:t>项目</w:t>
      </w:r>
      <w:r>
        <w:rPr>
          <w:rFonts w:hint="eastAsia" w:ascii="宋体" w:hAnsi="宋体" w:cs="仿宋_GB2312"/>
          <w:color w:val="000000"/>
          <w:sz w:val="24"/>
          <w:highlight w:val="none"/>
          <w:lang w:val="en-US" w:eastAsia="zh-CN"/>
        </w:rPr>
        <w:t>编号</w:t>
      </w:r>
      <w:r>
        <w:rPr>
          <w:rFonts w:hint="eastAsia" w:ascii="宋体" w:hAnsi="宋体" w:cs="仿宋_GB2312"/>
          <w:color w:val="000000"/>
          <w:sz w:val="24"/>
          <w:highlight w:val="none"/>
        </w:rPr>
        <w:t>：</w:t>
      </w:r>
    </w:p>
    <w:p w14:paraId="736D1F4E">
      <w:pPr>
        <w:pStyle w:val="30"/>
        <w:ind w:firstLine="420" w:firstLineChars="200"/>
        <w:rPr>
          <w:color w:val="auto"/>
        </w:rPr>
      </w:pPr>
      <w:r>
        <w:rPr>
          <w:rFonts w:hint="eastAsia"/>
          <w:color w:val="auto"/>
        </w:rPr>
        <w:t xml:space="preserve">              </w:t>
      </w:r>
    </w:p>
    <w:tbl>
      <w:tblPr>
        <w:tblStyle w:val="2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9C1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CA09E86">
            <w:pPr>
              <w:pStyle w:val="29"/>
              <w:ind w:left="223" w:hanging="222" w:hangingChars="106"/>
              <w:jc w:val="center"/>
              <w:rPr>
                <w:color w:val="auto"/>
              </w:rPr>
            </w:pPr>
            <w:r>
              <w:rPr>
                <w:color w:val="auto"/>
              </w:rPr>
              <w:t>岗位</w:t>
            </w:r>
          </w:p>
        </w:tc>
        <w:tc>
          <w:tcPr>
            <w:tcW w:w="829" w:type="dxa"/>
            <w:vMerge w:val="restart"/>
            <w:noWrap w:val="0"/>
            <w:vAlign w:val="center"/>
          </w:tcPr>
          <w:p w14:paraId="7D2FBEBA">
            <w:pPr>
              <w:pStyle w:val="29"/>
              <w:ind w:left="223" w:hanging="222" w:hangingChars="106"/>
              <w:jc w:val="center"/>
              <w:rPr>
                <w:color w:val="auto"/>
              </w:rPr>
            </w:pPr>
            <w:bookmarkStart w:id="74" w:name="_Toc251052187"/>
            <w:r>
              <w:rPr>
                <w:color w:val="auto"/>
              </w:rPr>
              <w:t>姓名</w:t>
            </w:r>
            <w:bookmarkEnd w:id="74"/>
          </w:p>
        </w:tc>
        <w:tc>
          <w:tcPr>
            <w:tcW w:w="816" w:type="dxa"/>
            <w:vMerge w:val="restart"/>
            <w:noWrap w:val="0"/>
            <w:vAlign w:val="center"/>
          </w:tcPr>
          <w:p w14:paraId="3C34F00E">
            <w:pPr>
              <w:pStyle w:val="29"/>
              <w:ind w:left="223" w:hanging="222" w:hangingChars="106"/>
              <w:jc w:val="center"/>
              <w:rPr>
                <w:color w:val="auto"/>
              </w:rPr>
            </w:pPr>
            <w:bookmarkStart w:id="75" w:name="_Toc251052188"/>
            <w:r>
              <w:rPr>
                <w:color w:val="auto"/>
              </w:rPr>
              <w:t>职称</w:t>
            </w:r>
            <w:bookmarkEnd w:id="75"/>
          </w:p>
        </w:tc>
        <w:tc>
          <w:tcPr>
            <w:tcW w:w="4592" w:type="dxa"/>
            <w:gridSpan w:val="4"/>
            <w:noWrap w:val="0"/>
            <w:vAlign w:val="center"/>
          </w:tcPr>
          <w:p w14:paraId="2B4A9EB7">
            <w:pPr>
              <w:pStyle w:val="29"/>
              <w:ind w:left="223" w:hanging="222" w:hangingChars="106"/>
              <w:jc w:val="center"/>
              <w:rPr>
                <w:color w:val="auto"/>
              </w:rPr>
            </w:pPr>
            <w:bookmarkStart w:id="76" w:name="_Toc251052189"/>
            <w:r>
              <w:rPr>
                <w:color w:val="auto"/>
              </w:rPr>
              <w:t>执业或职业资格证明</w:t>
            </w:r>
            <w:bookmarkEnd w:id="76"/>
          </w:p>
        </w:tc>
        <w:tc>
          <w:tcPr>
            <w:tcW w:w="2126" w:type="dxa"/>
            <w:gridSpan w:val="2"/>
            <w:noWrap w:val="0"/>
            <w:vAlign w:val="center"/>
          </w:tcPr>
          <w:p w14:paraId="0A7E75EE">
            <w:pPr>
              <w:pStyle w:val="29"/>
              <w:ind w:left="223" w:hanging="222" w:hangingChars="106"/>
              <w:jc w:val="center"/>
              <w:rPr>
                <w:color w:val="auto"/>
              </w:rPr>
            </w:pPr>
            <w:bookmarkStart w:id="77" w:name="_Toc251052190"/>
            <w:r>
              <w:rPr>
                <w:color w:val="auto"/>
              </w:rPr>
              <w:t>承担完工</w:t>
            </w:r>
            <w:bookmarkEnd w:id="77"/>
            <w:bookmarkStart w:id="78" w:name="_Toc251052191"/>
            <w:r>
              <w:rPr>
                <w:color w:val="auto"/>
              </w:rPr>
              <w:t>工程情况</w:t>
            </w:r>
            <w:bookmarkEnd w:id="78"/>
          </w:p>
        </w:tc>
      </w:tr>
      <w:tr w14:paraId="5A23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C87BE66">
            <w:pPr>
              <w:pStyle w:val="29"/>
              <w:ind w:left="223" w:hanging="222" w:hangingChars="106"/>
              <w:jc w:val="center"/>
              <w:rPr>
                <w:color w:val="auto"/>
              </w:rPr>
            </w:pPr>
          </w:p>
        </w:tc>
        <w:tc>
          <w:tcPr>
            <w:tcW w:w="829" w:type="dxa"/>
            <w:vMerge w:val="continue"/>
            <w:noWrap w:val="0"/>
            <w:vAlign w:val="center"/>
          </w:tcPr>
          <w:p w14:paraId="6FB60943">
            <w:pPr>
              <w:pStyle w:val="29"/>
              <w:ind w:left="223" w:hanging="222" w:hangingChars="106"/>
              <w:jc w:val="center"/>
              <w:rPr>
                <w:color w:val="auto"/>
              </w:rPr>
            </w:pPr>
          </w:p>
        </w:tc>
        <w:tc>
          <w:tcPr>
            <w:tcW w:w="816" w:type="dxa"/>
            <w:vMerge w:val="continue"/>
            <w:noWrap w:val="0"/>
            <w:vAlign w:val="center"/>
          </w:tcPr>
          <w:p w14:paraId="6008523E">
            <w:pPr>
              <w:pStyle w:val="29"/>
              <w:ind w:left="223" w:hanging="222" w:hangingChars="106"/>
              <w:jc w:val="center"/>
              <w:rPr>
                <w:color w:val="auto"/>
              </w:rPr>
            </w:pPr>
          </w:p>
        </w:tc>
        <w:tc>
          <w:tcPr>
            <w:tcW w:w="1148" w:type="dxa"/>
            <w:noWrap w:val="0"/>
            <w:vAlign w:val="center"/>
          </w:tcPr>
          <w:p w14:paraId="3421BFB6">
            <w:pPr>
              <w:pStyle w:val="29"/>
              <w:ind w:left="223" w:hanging="222" w:hangingChars="106"/>
              <w:jc w:val="center"/>
              <w:rPr>
                <w:color w:val="auto"/>
              </w:rPr>
            </w:pPr>
            <w:bookmarkStart w:id="79" w:name="_Toc251052192"/>
            <w:r>
              <w:rPr>
                <w:color w:val="auto"/>
              </w:rPr>
              <w:t>证书名称</w:t>
            </w:r>
            <w:bookmarkEnd w:id="79"/>
          </w:p>
        </w:tc>
        <w:tc>
          <w:tcPr>
            <w:tcW w:w="1148" w:type="dxa"/>
            <w:noWrap w:val="0"/>
            <w:vAlign w:val="center"/>
          </w:tcPr>
          <w:p w14:paraId="535AC93B">
            <w:pPr>
              <w:pStyle w:val="29"/>
              <w:ind w:left="223" w:hanging="222" w:hangingChars="106"/>
              <w:jc w:val="center"/>
              <w:rPr>
                <w:color w:val="auto"/>
              </w:rPr>
            </w:pPr>
            <w:bookmarkStart w:id="80" w:name="_Toc251052193"/>
            <w:r>
              <w:rPr>
                <w:color w:val="auto"/>
              </w:rPr>
              <w:t>级别</w:t>
            </w:r>
            <w:bookmarkEnd w:id="80"/>
          </w:p>
        </w:tc>
        <w:tc>
          <w:tcPr>
            <w:tcW w:w="1148" w:type="dxa"/>
            <w:noWrap w:val="0"/>
            <w:vAlign w:val="center"/>
          </w:tcPr>
          <w:p w14:paraId="4AD421FF">
            <w:pPr>
              <w:pStyle w:val="29"/>
              <w:ind w:left="223" w:hanging="222" w:hangingChars="106"/>
              <w:jc w:val="center"/>
              <w:rPr>
                <w:color w:val="auto"/>
              </w:rPr>
            </w:pPr>
            <w:bookmarkStart w:id="81" w:name="_Toc251052194"/>
            <w:r>
              <w:rPr>
                <w:color w:val="auto"/>
              </w:rPr>
              <w:t>证号</w:t>
            </w:r>
            <w:bookmarkEnd w:id="81"/>
          </w:p>
        </w:tc>
        <w:tc>
          <w:tcPr>
            <w:tcW w:w="1148" w:type="dxa"/>
            <w:noWrap w:val="0"/>
            <w:vAlign w:val="center"/>
          </w:tcPr>
          <w:p w14:paraId="54329102">
            <w:pPr>
              <w:pStyle w:val="29"/>
              <w:ind w:left="223" w:hanging="222" w:hangingChars="106"/>
              <w:jc w:val="center"/>
              <w:rPr>
                <w:color w:val="auto"/>
              </w:rPr>
            </w:pPr>
            <w:bookmarkStart w:id="82" w:name="_Toc251052195"/>
            <w:r>
              <w:rPr>
                <w:color w:val="auto"/>
              </w:rPr>
              <w:t>专业</w:t>
            </w:r>
            <w:bookmarkEnd w:id="82"/>
          </w:p>
        </w:tc>
        <w:tc>
          <w:tcPr>
            <w:tcW w:w="850" w:type="dxa"/>
            <w:noWrap w:val="0"/>
            <w:vAlign w:val="center"/>
          </w:tcPr>
          <w:p w14:paraId="1D7B2569">
            <w:pPr>
              <w:pStyle w:val="29"/>
              <w:ind w:left="223" w:hanging="222" w:hangingChars="106"/>
              <w:jc w:val="center"/>
              <w:rPr>
                <w:color w:val="auto"/>
              </w:rPr>
            </w:pPr>
            <w:bookmarkStart w:id="83" w:name="_Toc251052197"/>
            <w:r>
              <w:rPr>
                <w:color w:val="auto"/>
              </w:rPr>
              <w:t>项目数</w:t>
            </w:r>
            <w:bookmarkEnd w:id="83"/>
          </w:p>
        </w:tc>
        <w:tc>
          <w:tcPr>
            <w:tcW w:w="1276" w:type="dxa"/>
            <w:noWrap w:val="0"/>
            <w:vAlign w:val="center"/>
          </w:tcPr>
          <w:p w14:paraId="13F80441">
            <w:pPr>
              <w:pStyle w:val="29"/>
              <w:ind w:left="223" w:hanging="222" w:hangingChars="106"/>
              <w:jc w:val="center"/>
              <w:rPr>
                <w:color w:val="auto"/>
              </w:rPr>
            </w:pPr>
            <w:bookmarkStart w:id="84" w:name="_Toc251052198"/>
            <w:r>
              <w:rPr>
                <w:color w:val="auto"/>
              </w:rPr>
              <w:t>主要项目</w:t>
            </w:r>
          </w:p>
          <w:p w14:paraId="222C2091">
            <w:pPr>
              <w:pStyle w:val="29"/>
              <w:ind w:left="223" w:hanging="222" w:hangingChars="106"/>
              <w:jc w:val="center"/>
              <w:rPr>
                <w:color w:val="auto"/>
              </w:rPr>
            </w:pPr>
            <w:r>
              <w:rPr>
                <w:color w:val="auto"/>
              </w:rPr>
              <w:t>名称</w:t>
            </w:r>
            <w:bookmarkEnd w:id="84"/>
          </w:p>
        </w:tc>
      </w:tr>
      <w:tr w14:paraId="6E2B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51E8C05">
            <w:pPr>
              <w:pStyle w:val="29"/>
              <w:ind w:left="223" w:hanging="222" w:hangingChars="106"/>
              <w:jc w:val="center"/>
              <w:rPr>
                <w:color w:val="auto"/>
                <w:szCs w:val="21"/>
              </w:rPr>
            </w:pPr>
          </w:p>
        </w:tc>
        <w:tc>
          <w:tcPr>
            <w:tcW w:w="829" w:type="dxa"/>
            <w:noWrap w:val="0"/>
            <w:vAlign w:val="center"/>
          </w:tcPr>
          <w:p w14:paraId="1214401C">
            <w:pPr>
              <w:pStyle w:val="29"/>
              <w:ind w:left="223" w:hanging="222" w:hangingChars="106"/>
              <w:jc w:val="center"/>
              <w:rPr>
                <w:color w:val="auto"/>
              </w:rPr>
            </w:pPr>
          </w:p>
        </w:tc>
        <w:tc>
          <w:tcPr>
            <w:tcW w:w="816" w:type="dxa"/>
            <w:noWrap w:val="0"/>
            <w:vAlign w:val="center"/>
          </w:tcPr>
          <w:p w14:paraId="284BCE5D">
            <w:pPr>
              <w:pStyle w:val="29"/>
              <w:ind w:left="223" w:hanging="222" w:hangingChars="106"/>
              <w:jc w:val="center"/>
              <w:rPr>
                <w:color w:val="auto"/>
              </w:rPr>
            </w:pPr>
          </w:p>
        </w:tc>
        <w:tc>
          <w:tcPr>
            <w:tcW w:w="1148" w:type="dxa"/>
            <w:noWrap w:val="0"/>
            <w:vAlign w:val="center"/>
          </w:tcPr>
          <w:p w14:paraId="0C19601F">
            <w:pPr>
              <w:pStyle w:val="29"/>
              <w:ind w:left="223" w:hanging="222" w:hangingChars="106"/>
              <w:jc w:val="center"/>
              <w:rPr>
                <w:color w:val="auto"/>
              </w:rPr>
            </w:pPr>
          </w:p>
        </w:tc>
        <w:tc>
          <w:tcPr>
            <w:tcW w:w="1148" w:type="dxa"/>
            <w:noWrap w:val="0"/>
            <w:vAlign w:val="center"/>
          </w:tcPr>
          <w:p w14:paraId="4CB8A14E">
            <w:pPr>
              <w:pStyle w:val="29"/>
              <w:ind w:left="223" w:hanging="222" w:hangingChars="106"/>
              <w:jc w:val="center"/>
              <w:rPr>
                <w:color w:val="auto"/>
              </w:rPr>
            </w:pPr>
          </w:p>
        </w:tc>
        <w:tc>
          <w:tcPr>
            <w:tcW w:w="1148" w:type="dxa"/>
            <w:noWrap w:val="0"/>
            <w:vAlign w:val="center"/>
          </w:tcPr>
          <w:p w14:paraId="1EE75EA3">
            <w:pPr>
              <w:pStyle w:val="29"/>
              <w:ind w:left="223" w:hanging="222" w:hangingChars="106"/>
              <w:jc w:val="center"/>
              <w:rPr>
                <w:color w:val="auto"/>
              </w:rPr>
            </w:pPr>
          </w:p>
        </w:tc>
        <w:tc>
          <w:tcPr>
            <w:tcW w:w="1148" w:type="dxa"/>
            <w:noWrap w:val="0"/>
            <w:vAlign w:val="center"/>
          </w:tcPr>
          <w:p w14:paraId="60D2C0D0">
            <w:pPr>
              <w:pStyle w:val="29"/>
              <w:ind w:left="223" w:hanging="222" w:hangingChars="106"/>
              <w:jc w:val="center"/>
              <w:rPr>
                <w:color w:val="auto"/>
              </w:rPr>
            </w:pPr>
          </w:p>
        </w:tc>
        <w:tc>
          <w:tcPr>
            <w:tcW w:w="850" w:type="dxa"/>
            <w:noWrap w:val="0"/>
            <w:vAlign w:val="center"/>
          </w:tcPr>
          <w:p w14:paraId="21CD58CA">
            <w:pPr>
              <w:pStyle w:val="29"/>
              <w:ind w:left="223" w:hanging="222" w:hangingChars="106"/>
              <w:jc w:val="center"/>
              <w:rPr>
                <w:color w:val="auto"/>
              </w:rPr>
            </w:pPr>
          </w:p>
        </w:tc>
        <w:tc>
          <w:tcPr>
            <w:tcW w:w="1276" w:type="dxa"/>
            <w:noWrap w:val="0"/>
            <w:vAlign w:val="center"/>
          </w:tcPr>
          <w:p w14:paraId="269D654A">
            <w:pPr>
              <w:pStyle w:val="29"/>
              <w:ind w:left="223" w:hanging="222" w:hangingChars="106"/>
              <w:jc w:val="center"/>
              <w:rPr>
                <w:color w:val="auto"/>
              </w:rPr>
            </w:pPr>
          </w:p>
        </w:tc>
      </w:tr>
      <w:tr w14:paraId="51D6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1C5722C">
            <w:pPr>
              <w:pStyle w:val="29"/>
              <w:ind w:left="223" w:hanging="222" w:hangingChars="106"/>
              <w:jc w:val="center"/>
              <w:rPr>
                <w:color w:val="auto"/>
                <w:szCs w:val="21"/>
              </w:rPr>
            </w:pPr>
          </w:p>
        </w:tc>
        <w:tc>
          <w:tcPr>
            <w:tcW w:w="829" w:type="dxa"/>
            <w:noWrap w:val="0"/>
            <w:vAlign w:val="center"/>
          </w:tcPr>
          <w:p w14:paraId="106B0292">
            <w:pPr>
              <w:pStyle w:val="29"/>
              <w:ind w:left="223" w:hanging="222" w:hangingChars="106"/>
              <w:jc w:val="center"/>
              <w:rPr>
                <w:color w:val="auto"/>
              </w:rPr>
            </w:pPr>
          </w:p>
        </w:tc>
        <w:tc>
          <w:tcPr>
            <w:tcW w:w="816" w:type="dxa"/>
            <w:noWrap w:val="0"/>
            <w:vAlign w:val="center"/>
          </w:tcPr>
          <w:p w14:paraId="23B79CB6">
            <w:pPr>
              <w:pStyle w:val="29"/>
              <w:ind w:left="223" w:hanging="222" w:hangingChars="106"/>
              <w:jc w:val="center"/>
              <w:rPr>
                <w:color w:val="auto"/>
              </w:rPr>
            </w:pPr>
          </w:p>
        </w:tc>
        <w:tc>
          <w:tcPr>
            <w:tcW w:w="1148" w:type="dxa"/>
            <w:noWrap w:val="0"/>
            <w:vAlign w:val="center"/>
          </w:tcPr>
          <w:p w14:paraId="3231C672">
            <w:pPr>
              <w:pStyle w:val="29"/>
              <w:ind w:left="223" w:hanging="222" w:hangingChars="106"/>
              <w:jc w:val="center"/>
              <w:rPr>
                <w:color w:val="auto"/>
              </w:rPr>
            </w:pPr>
          </w:p>
        </w:tc>
        <w:tc>
          <w:tcPr>
            <w:tcW w:w="1148" w:type="dxa"/>
            <w:noWrap w:val="0"/>
            <w:vAlign w:val="center"/>
          </w:tcPr>
          <w:p w14:paraId="668D8C24">
            <w:pPr>
              <w:pStyle w:val="29"/>
              <w:ind w:left="223" w:hanging="222" w:hangingChars="106"/>
              <w:jc w:val="center"/>
              <w:rPr>
                <w:color w:val="auto"/>
              </w:rPr>
            </w:pPr>
          </w:p>
        </w:tc>
        <w:tc>
          <w:tcPr>
            <w:tcW w:w="1148" w:type="dxa"/>
            <w:noWrap w:val="0"/>
            <w:vAlign w:val="center"/>
          </w:tcPr>
          <w:p w14:paraId="7EF58F7F">
            <w:pPr>
              <w:pStyle w:val="29"/>
              <w:ind w:left="223" w:hanging="222" w:hangingChars="106"/>
              <w:jc w:val="center"/>
              <w:rPr>
                <w:color w:val="auto"/>
              </w:rPr>
            </w:pPr>
          </w:p>
        </w:tc>
        <w:tc>
          <w:tcPr>
            <w:tcW w:w="1148" w:type="dxa"/>
            <w:noWrap w:val="0"/>
            <w:vAlign w:val="center"/>
          </w:tcPr>
          <w:p w14:paraId="1783DFC5">
            <w:pPr>
              <w:pStyle w:val="29"/>
              <w:ind w:left="223" w:hanging="222" w:hangingChars="106"/>
              <w:jc w:val="center"/>
              <w:rPr>
                <w:color w:val="auto"/>
              </w:rPr>
            </w:pPr>
          </w:p>
        </w:tc>
        <w:tc>
          <w:tcPr>
            <w:tcW w:w="850" w:type="dxa"/>
            <w:noWrap w:val="0"/>
            <w:vAlign w:val="center"/>
          </w:tcPr>
          <w:p w14:paraId="160E75DA">
            <w:pPr>
              <w:pStyle w:val="29"/>
              <w:ind w:left="223" w:hanging="222" w:hangingChars="106"/>
              <w:jc w:val="center"/>
              <w:rPr>
                <w:color w:val="auto"/>
              </w:rPr>
            </w:pPr>
          </w:p>
        </w:tc>
        <w:tc>
          <w:tcPr>
            <w:tcW w:w="1276" w:type="dxa"/>
            <w:noWrap w:val="0"/>
            <w:vAlign w:val="center"/>
          </w:tcPr>
          <w:p w14:paraId="4E788A34">
            <w:pPr>
              <w:pStyle w:val="29"/>
              <w:ind w:left="223" w:hanging="222" w:hangingChars="106"/>
              <w:jc w:val="center"/>
              <w:rPr>
                <w:color w:val="auto"/>
              </w:rPr>
            </w:pPr>
          </w:p>
        </w:tc>
      </w:tr>
      <w:tr w14:paraId="6DC7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D5044D5">
            <w:pPr>
              <w:pStyle w:val="29"/>
              <w:ind w:left="223" w:hanging="222" w:hangingChars="106"/>
              <w:jc w:val="center"/>
              <w:rPr>
                <w:color w:val="auto"/>
                <w:szCs w:val="21"/>
              </w:rPr>
            </w:pPr>
          </w:p>
        </w:tc>
        <w:tc>
          <w:tcPr>
            <w:tcW w:w="829" w:type="dxa"/>
            <w:noWrap w:val="0"/>
            <w:vAlign w:val="center"/>
          </w:tcPr>
          <w:p w14:paraId="7541B0CA">
            <w:pPr>
              <w:pStyle w:val="29"/>
              <w:ind w:left="223" w:hanging="222" w:hangingChars="106"/>
              <w:jc w:val="center"/>
              <w:rPr>
                <w:color w:val="auto"/>
              </w:rPr>
            </w:pPr>
          </w:p>
        </w:tc>
        <w:tc>
          <w:tcPr>
            <w:tcW w:w="816" w:type="dxa"/>
            <w:noWrap w:val="0"/>
            <w:vAlign w:val="center"/>
          </w:tcPr>
          <w:p w14:paraId="729632B9">
            <w:pPr>
              <w:pStyle w:val="29"/>
              <w:ind w:left="223" w:hanging="222" w:hangingChars="106"/>
              <w:jc w:val="center"/>
              <w:rPr>
                <w:color w:val="auto"/>
              </w:rPr>
            </w:pPr>
          </w:p>
        </w:tc>
        <w:tc>
          <w:tcPr>
            <w:tcW w:w="1148" w:type="dxa"/>
            <w:noWrap w:val="0"/>
            <w:vAlign w:val="center"/>
          </w:tcPr>
          <w:p w14:paraId="6D7D86C6">
            <w:pPr>
              <w:pStyle w:val="29"/>
              <w:ind w:left="223" w:hanging="222" w:hangingChars="106"/>
              <w:jc w:val="center"/>
              <w:rPr>
                <w:color w:val="auto"/>
              </w:rPr>
            </w:pPr>
          </w:p>
        </w:tc>
        <w:tc>
          <w:tcPr>
            <w:tcW w:w="1148" w:type="dxa"/>
            <w:noWrap w:val="0"/>
            <w:vAlign w:val="center"/>
          </w:tcPr>
          <w:p w14:paraId="7C07FB79">
            <w:pPr>
              <w:pStyle w:val="29"/>
              <w:ind w:left="223" w:hanging="222" w:hangingChars="106"/>
              <w:jc w:val="center"/>
              <w:rPr>
                <w:color w:val="auto"/>
              </w:rPr>
            </w:pPr>
          </w:p>
        </w:tc>
        <w:tc>
          <w:tcPr>
            <w:tcW w:w="1148" w:type="dxa"/>
            <w:noWrap w:val="0"/>
            <w:vAlign w:val="center"/>
          </w:tcPr>
          <w:p w14:paraId="5E6382B4">
            <w:pPr>
              <w:pStyle w:val="29"/>
              <w:ind w:left="223" w:hanging="222" w:hangingChars="106"/>
              <w:jc w:val="center"/>
              <w:rPr>
                <w:color w:val="auto"/>
              </w:rPr>
            </w:pPr>
          </w:p>
        </w:tc>
        <w:tc>
          <w:tcPr>
            <w:tcW w:w="1148" w:type="dxa"/>
            <w:noWrap w:val="0"/>
            <w:vAlign w:val="center"/>
          </w:tcPr>
          <w:p w14:paraId="0AD4AB3D">
            <w:pPr>
              <w:pStyle w:val="29"/>
              <w:ind w:left="223" w:hanging="222" w:hangingChars="106"/>
              <w:jc w:val="center"/>
              <w:rPr>
                <w:color w:val="auto"/>
              </w:rPr>
            </w:pPr>
          </w:p>
        </w:tc>
        <w:tc>
          <w:tcPr>
            <w:tcW w:w="850" w:type="dxa"/>
            <w:noWrap w:val="0"/>
            <w:vAlign w:val="center"/>
          </w:tcPr>
          <w:p w14:paraId="482558C2">
            <w:pPr>
              <w:pStyle w:val="29"/>
              <w:ind w:left="223" w:hanging="222" w:hangingChars="106"/>
              <w:jc w:val="center"/>
              <w:rPr>
                <w:color w:val="auto"/>
              </w:rPr>
            </w:pPr>
          </w:p>
        </w:tc>
        <w:tc>
          <w:tcPr>
            <w:tcW w:w="1276" w:type="dxa"/>
            <w:noWrap w:val="0"/>
            <w:vAlign w:val="center"/>
          </w:tcPr>
          <w:p w14:paraId="0D7DEC5A">
            <w:pPr>
              <w:pStyle w:val="29"/>
              <w:ind w:left="223" w:hanging="222" w:hangingChars="106"/>
              <w:jc w:val="center"/>
              <w:rPr>
                <w:color w:val="auto"/>
              </w:rPr>
            </w:pPr>
          </w:p>
        </w:tc>
      </w:tr>
      <w:tr w14:paraId="5CAB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0CCC7AA">
            <w:pPr>
              <w:pStyle w:val="29"/>
              <w:ind w:left="223" w:hanging="222" w:hangingChars="106"/>
              <w:jc w:val="center"/>
              <w:rPr>
                <w:color w:val="auto"/>
                <w:szCs w:val="21"/>
              </w:rPr>
            </w:pPr>
          </w:p>
        </w:tc>
        <w:tc>
          <w:tcPr>
            <w:tcW w:w="829" w:type="dxa"/>
            <w:noWrap w:val="0"/>
            <w:vAlign w:val="center"/>
          </w:tcPr>
          <w:p w14:paraId="6FFE9448">
            <w:pPr>
              <w:pStyle w:val="29"/>
              <w:ind w:left="223" w:hanging="222" w:hangingChars="106"/>
              <w:jc w:val="center"/>
              <w:rPr>
                <w:color w:val="auto"/>
              </w:rPr>
            </w:pPr>
          </w:p>
        </w:tc>
        <w:tc>
          <w:tcPr>
            <w:tcW w:w="816" w:type="dxa"/>
            <w:noWrap w:val="0"/>
            <w:vAlign w:val="center"/>
          </w:tcPr>
          <w:p w14:paraId="51D08558">
            <w:pPr>
              <w:pStyle w:val="29"/>
              <w:ind w:left="223" w:hanging="222" w:hangingChars="106"/>
              <w:jc w:val="center"/>
              <w:rPr>
                <w:color w:val="auto"/>
              </w:rPr>
            </w:pPr>
          </w:p>
        </w:tc>
        <w:tc>
          <w:tcPr>
            <w:tcW w:w="1148" w:type="dxa"/>
            <w:noWrap w:val="0"/>
            <w:vAlign w:val="center"/>
          </w:tcPr>
          <w:p w14:paraId="46BBF5C6">
            <w:pPr>
              <w:pStyle w:val="29"/>
              <w:ind w:left="223" w:hanging="222" w:hangingChars="106"/>
              <w:jc w:val="center"/>
              <w:rPr>
                <w:color w:val="auto"/>
              </w:rPr>
            </w:pPr>
          </w:p>
        </w:tc>
        <w:tc>
          <w:tcPr>
            <w:tcW w:w="1148" w:type="dxa"/>
            <w:noWrap w:val="0"/>
            <w:vAlign w:val="center"/>
          </w:tcPr>
          <w:p w14:paraId="1BD63862">
            <w:pPr>
              <w:pStyle w:val="29"/>
              <w:ind w:left="223" w:hanging="222" w:hangingChars="106"/>
              <w:jc w:val="center"/>
              <w:rPr>
                <w:color w:val="auto"/>
              </w:rPr>
            </w:pPr>
          </w:p>
        </w:tc>
        <w:tc>
          <w:tcPr>
            <w:tcW w:w="1148" w:type="dxa"/>
            <w:noWrap w:val="0"/>
            <w:vAlign w:val="center"/>
          </w:tcPr>
          <w:p w14:paraId="52B9D55A">
            <w:pPr>
              <w:pStyle w:val="29"/>
              <w:ind w:left="223" w:hanging="222" w:hangingChars="106"/>
              <w:jc w:val="center"/>
              <w:rPr>
                <w:color w:val="auto"/>
              </w:rPr>
            </w:pPr>
          </w:p>
        </w:tc>
        <w:tc>
          <w:tcPr>
            <w:tcW w:w="1148" w:type="dxa"/>
            <w:noWrap w:val="0"/>
            <w:vAlign w:val="center"/>
          </w:tcPr>
          <w:p w14:paraId="06926201">
            <w:pPr>
              <w:pStyle w:val="29"/>
              <w:ind w:left="223" w:hanging="222" w:hangingChars="106"/>
              <w:jc w:val="center"/>
              <w:rPr>
                <w:color w:val="auto"/>
              </w:rPr>
            </w:pPr>
          </w:p>
        </w:tc>
        <w:tc>
          <w:tcPr>
            <w:tcW w:w="850" w:type="dxa"/>
            <w:noWrap w:val="0"/>
            <w:vAlign w:val="center"/>
          </w:tcPr>
          <w:p w14:paraId="7E78338E">
            <w:pPr>
              <w:pStyle w:val="29"/>
              <w:ind w:left="223" w:hanging="222" w:hangingChars="106"/>
              <w:jc w:val="center"/>
              <w:rPr>
                <w:color w:val="auto"/>
              </w:rPr>
            </w:pPr>
          </w:p>
        </w:tc>
        <w:tc>
          <w:tcPr>
            <w:tcW w:w="1276" w:type="dxa"/>
            <w:noWrap w:val="0"/>
            <w:vAlign w:val="center"/>
          </w:tcPr>
          <w:p w14:paraId="658A5A78">
            <w:pPr>
              <w:pStyle w:val="29"/>
              <w:ind w:left="223" w:hanging="222" w:hangingChars="106"/>
              <w:jc w:val="center"/>
              <w:rPr>
                <w:color w:val="auto"/>
              </w:rPr>
            </w:pPr>
          </w:p>
        </w:tc>
      </w:tr>
      <w:tr w14:paraId="4BF8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256BF36">
            <w:pPr>
              <w:pStyle w:val="29"/>
              <w:ind w:left="223" w:hanging="222" w:hangingChars="106"/>
              <w:jc w:val="center"/>
              <w:rPr>
                <w:color w:val="auto"/>
                <w:szCs w:val="21"/>
              </w:rPr>
            </w:pPr>
          </w:p>
        </w:tc>
        <w:tc>
          <w:tcPr>
            <w:tcW w:w="829" w:type="dxa"/>
            <w:noWrap w:val="0"/>
            <w:vAlign w:val="center"/>
          </w:tcPr>
          <w:p w14:paraId="4D32DD47">
            <w:pPr>
              <w:pStyle w:val="29"/>
              <w:ind w:left="223" w:hanging="222" w:hangingChars="106"/>
              <w:jc w:val="center"/>
              <w:rPr>
                <w:color w:val="auto"/>
              </w:rPr>
            </w:pPr>
          </w:p>
        </w:tc>
        <w:tc>
          <w:tcPr>
            <w:tcW w:w="816" w:type="dxa"/>
            <w:noWrap w:val="0"/>
            <w:vAlign w:val="center"/>
          </w:tcPr>
          <w:p w14:paraId="6FF8B754">
            <w:pPr>
              <w:pStyle w:val="29"/>
              <w:ind w:left="223" w:hanging="222" w:hangingChars="106"/>
              <w:jc w:val="center"/>
              <w:rPr>
                <w:color w:val="auto"/>
              </w:rPr>
            </w:pPr>
          </w:p>
        </w:tc>
        <w:tc>
          <w:tcPr>
            <w:tcW w:w="1148" w:type="dxa"/>
            <w:noWrap w:val="0"/>
            <w:vAlign w:val="center"/>
          </w:tcPr>
          <w:p w14:paraId="607694DF">
            <w:pPr>
              <w:pStyle w:val="29"/>
              <w:ind w:left="223" w:hanging="222" w:hangingChars="106"/>
              <w:jc w:val="center"/>
              <w:rPr>
                <w:color w:val="auto"/>
              </w:rPr>
            </w:pPr>
          </w:p>
        </w:tc>
        <w:tc>
          <w:tcPr>
            <w:tcW w:w="1148" w:type="dxa"/>
            <w:noWrap w:val="0"/>
            <w:vAlign w:val="center"/>
          </w:tcPr>
          <w:p w14:paraId="42B38F8F">
            <w:pPr>
              <w:pStyle w:val="29"/>
              <w:ind w:left="223" w:hanging="222" w:hangingChars="106"/>
              <w:jc w:val="center"/>
              <w:rPr>
                <w:color w:val="auto"/>
              </w:rPr>
            </w:pPr>
          </w:p>
        </w:tc>
        <w:tc>
          <w:tcPr>
            <w:tcW w:w="1148" w:type="dxa"/>
            <w:noWrap w:val="0"/>
            <w:vAlign w:val="center"/>
          </w:tcPr>
          <w:p w14:paraId="28C34798">
            <w:pPr>
              <w:pStyle w:val="29"/>
              <w:ind w:left="223" w:hanging="222" w:hangingChars="106"/>
              <w:jc w:val="center"/>
              <w:rPr>
                <w:color w:val="auto"/>
              </w:rPr>
            </w:pPr>
          </w:p>
        </w:tc>
        <w:tc>
          <w:tcPr>
            <w:tcW w:w="1148" w:type="dxa"/>
            <w:noWrap w:val="0"/>
            <w:vAlign w:val="center"/>
          </w:tcPr>
          <w:p w14:paraId="14E8C89E">
            <w:pPr>
              <w:pStyle w:val="29"/>
              <w:ind w:left="223" w:hanging="222" w:hangingChars="106"/>
              <w:jc w:val="center"/>
              <w:rPr>
                <w:color w:val="auto"/>
              </w:rPr>
            </w:pPr>
          </w:p>
        </w:tc>
        <w:tc>
          <w:tcPr>
            <w:tcW w:w="850" w:type="dxa"/>
            <w:noWrap w:val="0"/>
            <w:vAlign w:val="center"/>
          </w:tcPr>
          <w:p w14:paraId="64DE480B">
            <w:pPr>
              <w:pStyle w:val="29"/>
              <w:ind w:left="223" w:hanging="222" w:hangingChars="106"/>
              <w:jc w:val="center"/>
              <w:rPr>
                <w:color w:val="auto"/>
              </w:rPr>
            </w:pPr>
          </w:p>
        </w:tc>
        <w:tc>
          <w:tcPr>
            <w:tcW w:w="1276" w:type="dxa"/>
            <w:noWrap w:val="0"/>
            <w:vAlign w:val="center"/>
          </w:tcPr>
          <w:p w14:paraId="20CC8BC5">
            <w:pPr>
              <w:pStyle w:val="29"/>
              <w:ind w:left="223" w:hanging="222" w:hangingChars="106"/>
              <w:jc w:val="center"/>
              <w:rPr>
                <w:color w:val="auto"/>
              </w:rPr>
            </w:pPr>
          </w:p>
        </w:tc>
      </w:tr>
      <w:tr w14:paraId="04CE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1C40DA9">
            <w:pPr>
              <w:pStyle w:val="29"/>
              <w:ind w:left="223" w:hanging="222" w:hangingChars="106"/>
              <w:jc w:val="center"/>
              <w:rPr>
                <w:color w:val="auto"/>
                <w:szCs w:val="21"/>
              </w:rPr>
            </w:pPr>
          </w:p>
        </w:tc>
        <w:tc>
          <w:tcPr>
            <w:tcW w:w="829" w:type="dxa"/>
            <w:noWrap w:val="0"/>
            <w:vAlign w:val="center"/>
          </w:tcPr>
          <w:p w14:paraId="0D8349A0">
            <w:pPr>
              <w:pStyle w:val="29"/>
              <w:ind w:left="223" w:hanging="222" w:hangingChars="106"/>
              <w:jc w:val="center"/>
              <w:rPr>
                <w:color w:val="auto"/>
              </w:rPr>
            </w:pPr>
          </w:p>
        </w:tc>
        <w:tc>
          <w:tcPr>
            <w:tcW w:w="816" w:type="dxa"/>
            <w:noWrap w:val="0"/>
            <w:vAlign w:val="center"/>
          </w:tcPr>
          <w:p w14:paraId="29B97B99">
            <w:pPr>
              <w:pStyle w:val="29"/>
              <w:ind w:left="223" w:hanging="222" w:hangingChars="106"/>
              <w:jc w:val="center"/>
              <w:rPr>
                <w:color w:val="auto"/>
              </w:rPr>
            </w:pPr>
          </w:p>
        </w:tc>
        <w:tc>
          <w:tcPr>
            <w:tcW w:w="1148" w:type="dxa"/>
            <w:noWrap w:val="0"/>
            <w:vAlign w:val="center"/>
          </w:tcPr>
          <w:p w14:paraId="31E369F0">
            <w:pPr>
              <w:pStyle w:val="29"/>
              <w:ind w:left="223" w:hanging="222" w:hangingChars="106"/>
              <w:jc w:val="center"/>
              <w:rPr>
                <w:color w:val="auto"/>
              </w:rPr>
            </w:pPr>
          </w:p>
        </w:tc>
        <w:tc>
          <w:tcPr>
            <w:tcW w:w="1148" w:type="dxa"/>
            <w:noWrap w:val="0"/>
            <w:vAlign w:val="center"/>
          </w:tcPr>
          <w:p w14:paraId="17B445F5">
            <w:pPr>
              <w:pStyle w:val="29"/>
              <w:ind w:left="223" w:hanging="222" w:hangingChars="106"/>
              <w:jc w:val="center"/>
              <w:rPr>
                <w:color w:val="auto"/>
              </w:rPr>
            </w:pPr>
          </w:p>
        </w:tc>
        <w:tc>
          <w:tcPr>
            <w:tcW w:w="1148" w:type="dxa"/>
            <w:noWrap w:val="0"/>
            <w:vAlign w:val="center"/>
          </w:tcPr>
          <w:p w14:paraId="4AEB3818">
            <w:pPr>
              <w:pStyle w:val="29"/>
              <w:ind w:left="223" w:hanging="222" w:hangingChars="106"/>
              <w:jc w:val="center"/>
              <w:rPr>
                <w:color w:val="auto"/>
              </w:rPr>
            </w:pPr>
          </w:p>
        </w:tc>
        <w:tc>
          <w:tcPr>
            <w:tcW w:w="1148" w:type="dxa"/>
            <w:noWrap w:val="0"/>
            <w:vAlign w:val="center"/>
          </w:tcPr>
          <w:p w14:paraId="3EBDA7FC">
            <w:pPr>
              <w:pStyle w:val="29"/>
              <w:ind w:left="223" w:hanging="222" w:hangingChars="106"/>
              <w:jc w:val="center"/>
              <w:rPr>
                <w:color w:val="auto"/>
              </w:rPr>
            </w:pPr>
          </w:p>
        </w:tc>
        <w:tc>
          <w:tcPr>
            <w:tcW w:w="850" w:type="dxa"/>
            <w:noWrap w:val="0"/>
            <w:vAlign w:val="center"/>
          </w:tcPr>
          <w:p w14:paraId="4CCBE1C3">
            <w:pPr>
              <w:pStyle w:val="29"/>
              <w:ind w:left="223" w:hanging="222" w:hangingChars="106"/>
              <w:jc w:val="center"/>
              <w:rPr>
                <w:color w:val="auto"/>
              </w:rPr>
            </w:pPr>
          </w:p>
        </w:tc>
        <w:tc>
          <w:tcPr>
            <w:tcW w:w="1276" w:type="dxa"/>
            <w:noWrap w:val="0"/>
            <w:vAlign w:val="center"/>
          </w:tcPr>
          <w:p w14:paraId="145F1CB1">
            <w:pPr>
              <w:pStyle w:val="29"/>
              <w:ind w:left="223" w:hanging="222" w:hangingChars="106"/>
              <w:jc w:val="center"/>
              <w:rPr>
                <w:color w:val="auto"/>
              </w:rPr>
            </w:pPr>
          </w:p>
        </w:tc>
      </w:tr>
      <w:tr w14:paraId="6F53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CF10601">
            <w:pPr>
              <w:pStyle w:val="29"/>
              <w:ind w:left="223" w:hanging="222" w:hangingChars="106"/>
              <w:jc w:val="center"/>
              <w:rPr>
                <w:color w:val="auto"/>
                <w:szCs w:val="21"/>
              </w:rPr>
            </w:pPr>
          </w:p>
        </w:tc>
        <w:tc>
          <w:tcPr>
            <w:tcW w:w="829" w:type="dxa"/>
            <w:noWrap w:val="0"/>
            <w:vAlign w:val="center"/>
          </w:tcPr>
          <w:p w14:paraId="7F36057B">
            <w:pPr>
              <w:pStyle w:val="29"/>
              <w:ind w:left="223" w:hanging="222" w:hangingChars="106"/>
              <w:jc w:val="center"/>
              <w:rPr>
                <w:color w:val="auto"/>
              </w:rPr>
            </w:pPr>
          </w:p>
        </w:tc>
        <w:tc>
          <w:tcPr>
            <w:tcW w:w="816" w:type="dxa"/>
            <w:noWrap w:val="0"/>
            <w:vAlign w:val="center"/>
          </w:tcPr>
          <w:p w14:paraId="547DFF1D">
            <w:pPr>
              <w:pStyle w:val="29"/>
              <w:ind w:left="223" w:hanging="222" w:hangingChars="106"/>
              <w:jc w:val="center"/>
              <w:rPr>
                <w:color w:val="auto"/>
              </w:rPr>
            </w:pPr>
          </w:p>
        </w:tc>
        <w:tc>
          <w:tcPr>
            <w:tcW w:w="1148" w:type="dxa"/>
            <w:noWrap w:val="0"/>
            <w:vAlign w:val="center"/>
          </w:tcPr>
          <w:p w14:paraId="63139D9C">
            <w:pPr>
              <w:pStyle w:val="29"/>
              <w:ind w:left="223" w:hanging="222" w:hangingChars="106"/>
              <w:jc w:val="center"/>
              <w:rPr>
                <w:color w:val="auto"/>
              </w:rPr>
            </w:pPr>
          </w:p>
        </w:tc>
        <w:tc>
          <w:tcPr>
            <w:tcW w:w="1148" w:type="dxa"/>
            <w:noWrap w:val="0"/>
            <w:vAlign w:val="center"/>
          </w:tcPr>
          <w:p w14:paraId="5E1AD2A5">
            <w:pPr>
              <w:pStyle w:val="29"/>
              <w:ind w:left="223" w:hanging="222" w:hangingChars="106"/>
              <w:jc w:val="center"/>
              <w:rPr>
                <w:color w:val="auto"/>
              </w:rPr>
            </w:pPr>
          </w:p>
        </w:tc>
        <w:tc>
          <w:tcPr>
            <w:tcW w:w="1148" w:type="dxa"/>
            <w:noWrap w:val="0"/>
            <w:vAlign w:val="center"/>
          </w:tcPr>
          <w:p w14:paraId="67163B8D">
            <w:pPr>
              <w:pStyle w:val="29"/>
              <w:ind w:left="223" w:hanging="222" w:hangingChars="106"/>
              <w:jc w:val="center"/>
              <w:rPr>
                <w:color w:val="auto"/>
              </w:rPr>
            </w:pPr>
          </w:p>
        </w:tc>
        <w:tc>
          <w:tcPr>
            <w:tcW w:w="1148" w:type="dxa"/>
            <w:noWrap w:val="0"/>
            <w:vAlign w:val="center"/>
          </w:tcPr>
          <w:p w14:paraId="096EAF23">
            <w:pPr>
              <w:pStyle w:val="29"/>
              <w:ind w:left="223" w:hanging="222" w:hangingChars="106"/>
              <w:jc w:val="center"/>
              <w:rPr>
                <w:color w:val="auto"/>
              </w:rPr>
            </w:pPr>
          </w:p>
        </w:tc>
        <w:tc>
          <w:tcPr>
            <w:tcW w:w="850" w:type="dxa"/>
            <w:noWrap w:val="0"/>
            <w:vAlign w:val="center"/>
          </w:tcPr>
          <w:p w14:paraId="1F4D169D">
            <w:pPr>
              <w:pStyle w:val="29"/>
              <w:ind w:left="223" w:hanging="222" w:hangingChars="106"/>
              <w:jc w:val="center"/>
              <w:rPr>
                <w:color w:val="auto"/>
              </w:rPr>
            </w:pPr>
          </w:p>
        </w:tc>
        <w:tc>
          <w:tcPr>
            <w:tcW w:w="1276" w:type="dxa"/>
            <w:noWrap w:val="0"/>
            <w:vAlign w:val="center"/>
          </w:tcPr>
          <w:p w14:paraId="3A14A41C">
            <w:pPr>
              <w:pStyle w:val="29"/>
              <w:ind w:left="223" w:hanging="222" w:hangingChars="106"/>
              <w:jc w:val="center"/>
              <w:rPr>
                <w:color w:val="auto"/>
              </w:rPr>
            </w:pPr>
          </w:p>
        </w:tc>
      </w:tr>
      <w:tr w14:paraId="63DA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44A4FF6">
            <w:pPr>
              <w:pStyle w:val="29"/>
              <w:ind w:left="223" w:hanging="222" w:hangingChars="106"/>
              <w:jc w:val="center"/>
              <w:rPr>
                <w:color w:val="auto"/>
              </w:rPr>
            </w:pPr>
            <w:r>
              <w:rPr>
                <w:color w:val="auto"/>
              </w:rPr>
              <w:t>……</w:t>
            </w:r>
          </w:p>
        </w:tc>
        <w:tc>
          <w:tcPr>
            <w:tcW w:w="829" w:type="dxa"/>
            <w:noWrap w:val="0"/>
            <w:vAlign w:val="center"/>
          </w:tcPr>
          <w:p w14:paraId="617C22EC">
            <w:pPr>
              <w:pStyle w:val="29"/>
              <w:ind w:left="223" w:hanging="222" w:hangingChars="106"/>
              <w:jc w:val="center"/>
              <w:rPr>
                <w:color w:val="auto"/>
              </w:rPr>
            </w:pPr>
          </w:p>
        </w:tc>
        <w:tc>
          <w:tcPr>
            <w:tcW w:w="816" w:type="dxa"/>
            <w:noWrap w:val="0"/>
            <w:vAlign w:val="center"/>
          </w:tcPr>
          <w:p w14:paraId="37E1C6C7">
            <w:pPr>
              <w:pStyle w:val="29"/>
              <w:ind w:left="223" w:hanging="222" w:hangingChars="106"/>
              <w:jc w:val="center"/>
              <w:rPr>
                <w:color w:val="auto"/>
              </w:rPr>
            </w:pPr>
          </w:p>
        </w:tc>
        <w:tc>
          <w:tcPr>
            <w:tcW w:w="1148" w:type="dxa"/>
            <w:noWrap w:val="0"/>
            <w:vAlign w:val="center"/>
          </w:tcPr>
          <w:p w14:paraId="3C1E1E18">
            <w:pPr>
              <w:pStyle w:val="29"/>
              <w:ind w:left="223" w:hanging="222" w:hangingChars="106"/>
              <w:jc w:val="center"/>
              <w:rPr>
                <w:color w:val="auto"/>
              </w:rPr>
            </w:pPr>
          </w:p>
        </w:tc>
        <w:tc>
          <w:tcPr>
            <w:tcW w:w="1148" w:type="dxa"/>
            <w:noWrap w:val="0"/>
            <w:vAlign w:val="center"/>
          </w:tcPr>
          <w:p w14:paraId="10DD8E58">
            <w:pPr>
              <w:pStyle w:val="29"/>
              <w:ind w:left="223" w:hanging="222" w:hangingChars="106"/>
              <w:jc w:val="center"/>
              <w:rPr>
                <w:color w:val="auto"/>
              </w:rPr>
            </w:pPr>
          </w:p>
        </w:tc>
        <w:tc>
          <w:tcPr>
            <w:tcW w:w="1148" w:type="dxa"/>
            <w:noWrap w:val="0"/>
            <w:vAlign w:val="center"/>
          </w:tcPr>
          <w:p w14:paraId="4ABAAF65">
            <w:pPr>
              <w:pStyle w:val="29"/>
              <w:ind w:left="223" w:hanging="222" w:hangingChars="106"/>
              <w:jc w:val="center"/>
              <w:rPr>
                <w:color w:val="auto"/>
              </w:rPr>
            </w:pPr>
          </w:p>
        </w:tc>
        <w:tc>
          <w:tcPr>
            <w:tcW w:w="1148" w:type="dxa"/>
            <w:noWrap w:val="0"/>
            <w:vAlign w:val="center"/>
          </w:tcPr>
          <w:p w14:paraId="79029C6D">
            <w:pPr>
              <w:pStyle w:val="29"/>
              <w:ind w:left="223" w:hanging="222" w:hangingChars="106"/>
              <w:jc w:val="center"/>
              <w:rPr>
                <w:color w:val="auto"/>
              </w:rPr>
            </w:pPr>
          </w:p>
        </w:tc>
        <w:tc>
          <w:tcPr>
            <w:tcW w:w="850" w:type="dxa"/>
            <w:noWrap w:val="0"/>
            <w:vAlign w:val="center"/>
          </w:tcPr>
          <w:p w14:paraId="3AC8D189">
            <w:pPr>
              <w:pStyle w:val="29"/>
              <w:ind w:left="223" w:hanging="222" w:hangingChars="106"/>
              <w:jc w:val="center"/>
              <w:rPr>
                <w:color w:val="auto"/>
              </w:rPr>
            </w:pPr>
          </w:p>
        </w:tc>
        <w:tc>
          <w:tcPr>
            <w:tcW w:w="1276" w:type="dxa"/>
            <w:noWrap w:val="0"/>
            <w:vAlign w:val="center"/>
          </w:tcPr>
          <w:p w14:paraId="1CADE69E">
            <w:pPr>
              <w:pStyle w:val="29"/>
              <w:ind w:left="223" w:hanging="222" w:hangingChars="106"/>
              <w:jc w:val="center"/>
              <w:rPr>
                <w:color w:val="auto"/>
              </w:rPr>
            </w:pPr>
          </w:p>
        </w:tc>
      </w:tr>
      <w:tr w14:paraId="0877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057D5BBC">
            <w:pPr>
              <w:pStyle w:val="29"/>
              <w:spacing w:line="360" w:lineRule="auto"/>
              <w:rPr>
                <w:color w:val="auto"/>
                <w:szCs w:val="21"/>
              </w:rPr>
            </w:pPr>
            <w:bookmarkStart w:id="85" w:name="_Toc251052199"/>
            <w:r>
              <w:rPr>
                <w:rFonts w:hint="eastAsia"/>
                <w:color w:val="auto"/>
                <w:szCs w:val="21"/>
              </w:rPr>
              <w:t>一旦我单位成交</w:t>
            </w:r>
            <w:r>
              <w:rPr>
                <w:color w:val="auto"/>
                <w:szCs w:val="21"/>
              </w:rPr>
              <w:t>，将实行项目经理负责制，我方保证并配备上述项目管理机构。上述填报内容真实，若不真实，愿按有关规定接受处理。项目管理班子机构设置、职责分工等情况另附资料说明。</w:t>
            </w:r>
            <w:bookmarkEnd w:id="85"/>
          </w:p>
        </w:tc>
      </w:tr>
    </w:tbl>
    <w:p w14:paraId="0EEAAD71">
      <w:pPr>
        <w:pStyle w:val="29"/>
        <w:tabs>
          <w:tab w:val="left" w:pos="0"/>
        </w:tabs>
        <w:spacing w:line="360" w:lineRule="auto"/>
        <w:ind w:right="-210"/>
        <w:rPr>
          <w:color w:val="auto"/>
        </w:rPr>
      </w:pPr>
    </w:p>
    <w:p w14:paraId="518119E6">
      <w:pPr>
        <w:tabs>
          <w:tab w:val="left" w:pos="0"/>
        </w:tabs>
        <w:spacing w:line="360" w:lineRule="auto"/>
        <w:ind w:right="-210"/>
        <w:rPr>
          <w:rFonts w:eastAsia="楷体_GB2312"/>
          <w:b/>
          <w:bCs/>
          <w:color w:val="auto"/>
        </w:rPr>
      </w:pPr>
      <w:r>
        <w:rPr>
          <w:rFonts w:eastAsia="楷体_GB2312"/>
          <w:b/>
          <w:bCs/>
          <w:color w:val="auto"/>
        </w:rPr>
        <w:t>【</w:t>
      </w:r>
      <w:r>
        <w:rPr>
          <w:rFonts w:hint="eastAsia" w:ascii="Calibri" w:hAnsi="Calibri"/>
          <w:b/>
          <w:bCs/>
          <w:color w:val="auto"/>
          <w:szCs w:val="21"/>
        </w:rPr>
        <w:t>备注：</w:t>
      </w:r>
      <w:r>
        <w:rPr>
          <w:rFonts w:hint="eastAsia" w:ascii="Calibri" w:hAnsi="Calibri"/>
          <w:b/>
          <w:bCs/>
          <w:color w:val="auto"/>
          <w:szCs w:val="21"/>
          <w:lang w:val="en-US" w:eastAsia="zh-CN"/>
        </w:rPr>
        <w:t>须</w:t>
      </w:r>
      <w:r>
        <w:rPr>
          <w:rFonts w:hint="eastAsia" w:ascii="宋体" w:hAnsi="宋体" w:eastAsia="宋体" w:cs="宋体"/>
          <w:b/>
          <w:bCs/>
          <w:color w:val="000000"/>
          <w:sz w:val="21"/>
          <w:szCs w:val="21"/>
          <w:highlight w:val="none"/>
        </w:rPr>
        <w:t>项目经理、技术负责人</w:t>
      </w:r>
      <w:r>
        <w:rPr>
          <w:rFonts w:hint="eastAsia" w:ascii="宋体" w:hAnsi="宋体" w:cs="宋体"/>
          <w:b/>
          <w:bCs/>
          <w:color w:val="000000"/>
          <w:sz w:val="21"/>
          <w:szCs w:val="21"/>
          <w:highlight w:val="none"/>
          <w:lang w:eastAsia="zh-CN"/>
        </w:rPr>
        <w:t>、</w:t>
      </w:r>
      <w:r>
        <w:rPr>
          <w:rFonts w:hint="eastAsia" w:ascii="宋体" w:hAnsi="宋体" w:eastAsia="宋体" w:cs="宋体"/>
          <w:b/>
          <w:bCs/>
          <w:color w:val="000000"/>
          <w:sz w:val="21"/>
          <w:szCs w:val="21"/>
          <w:highlight w:val="none"/>
        </w:rPr>
        <w:t>专职安全生产管理人员和主要管理人员情况</w:t>
      </w:r>
      <w:r>
        <w:rPr>
          <w:rFonts w:hint="eastAsia" w:ascii="宋体" w:hAnsi="宋体" w:cs="宋体"/>
          <w:b/>
          <w:bCs/>
          <w:color w:val="000000"/>
          <w:sz w:val="21"/>
          <w:szCs w:val="21"/>
          <w:highlight w:val="none"/>
          <w:lang w:eastAsia="zh-CN"/>
        </w:rPr>
        <w:t>（含</w:t>
      </w:r>
      <w:r>
        <w:rPr>
          <w:rFonts w:hint="eastAsia" w:ascii="宋体" w:hAnsi="宋体" w:eastAsia="宋体" w:cs="宋体"/>
          <w:b/>
          <w:bCs/>
          <w:color w:val="000000"/>
          <w:kern w:val="2"/>
          <w:sz w:val="21"/>
          <w:szCs w:val="21"/>
          <w:highlight w:val="none"/>
          <w:lang w:val="en-US" w:eastAsia="zh-CN" w:bidi="ar-SA"/>
        </w:rPr>
        <w:t>施工员、质量员、材料员</w:t>
      </w:r>
      <w:r>
        <w:rPr>
          <w:rFonts w:hint="eastAsia" w:ascii="宋体" w:hAnsi="宋体" w:eastAsia="宋体" w:cs="宋体"/>
          <w:b/>
          <w:bCs/>
          <w:color w:val="000000"/>
          <w:sz w:val="21"/>
          <w:szCs w:val="21"/>
          <w:highlight w:val="none"/>
        </w:rPr>
        <w:t>）</w:t>
      </w:r>
      <w:r>
        <w:rPr>
          <w:rFonts w:hint="eastAsia" w:ascii="宋体" w:hAnsi="宋体" w:cs="宋体"/>
          <w:b/>
          <w:bCs/>
          <w:color w:val="000000"/>
          <w:sz w:val="21"/>
          <w:szCs w:val="21"/>
          <w:highlight w:val="none"/>
          <w:lang w:eastAsia="zh-CN"/>
        </w:rPr>
        <w:t>】</w:t>
      </w:r>
      <w:r>
        <w:rPr>
          <w:rFonts w:hint="eastAsia" w:ascii="Calibri" w:hAnsi="Calibri"/>
          <w:b/>
          <w:bCs/>
          <w:color w:val="auto"/>
          <w:szCs w:val="21"/>
        </w:rPr>
        <w:t>各岗位人员资格证件的复印件，以及供应商认为需要的其他证明材料复印件。以上复印件均须加盖供应商公章</w:t>
      </w:r>
      <w:r>
        <w:rPr>
          <w:rFonts w:eastAsia="楷体_GB2312"/>
          <w:b/>
          <w:bCs/>
          <w:color w:val="auto"/>
        </w:rPr>
        <w:t>】</w:t>
      </w:r>
    </w:p>
    <w:p w14:paraId="4D05FE3C">
      <w:pPr>
        <w:pStyle w:val="29"/>
        <w:tabs>
          <w:tab w:val="left" w:pos="0"/>
        </w:tabs>
        <w:spacing w:line="360" w:lineRule="auto"/>
        <w:ind w:right="-210"/>
        <w:rPr>
          <w:color w:val="auto"/>
        </w:rPr>
      </w:pPr>
    </w:p>
    <w:p w14:paraId="68FAE613">
      <w:pPr>
        <w:autoSpaceDE w:val="0"/>
        <w:autoSpaceDN w:val="0"/>
        <w:spacing w:line="360" w:lineRule="auto"/>
        <w:rPr>
          <w:rFonts w:hint="default" w:ascii="仿宋_GB2312" w:hAnsi="仿宋" w:eastAsia="宋体" w:cs="仿宋_GB2312"/>
          <w:color w:val="000000"/>
          <w:kern w:val="0"/>
          <w:sz w:val="24"/>
          <w:highlight w:val="none"/>
          <w:lang w:val="en-US" w:eastAsia="zh-CN"/>
        </w:rPr>
      </w:pPr>
    </w:p>
    <w:p w14:paraId="622C5379">
      <w:pPr>
        <w:spacing w:line="500" w:lineRule="exact"/>
        <w:rPr>
          <w:rFonts w:hint="eastAsia" w:ascii="仿宋_GB2312" w:hAnsi="仿宋_GB2312" w:eastAsia="仿宋_GB2312" w:cs="仿宋_GB2312"/>
          <w:color w:val="000000"/>
          <w:sz w:val="32"/>
          <w:szCs w:val="32"/>
          <w:highlight w:val="none"/>
        </w:rPr>
      </w:pPr>
    </w:p>
    <w:p w14:paraId="0BE8CAE4">
      <w:pPr>
        <w:snapToGrid w:val="0"/>
        <w:spacing w:line="360" w:lineRule="auto"/>
        <w:ind w:firstLine="5280" w:firstLineChars="2200"/>
        <w:rPr>
          <w:rFonts w:ascii="宋体" w:hAnsi="宋体" w:cs="仿宋_GB2312"/>
          <w:color w:val="000000"/>
          <w:kern w:val="0"/>
          <w:sz w:val="24"/>
          <w:highlight w:val="none"/>
        </w:rPr>
      </w:pPr>
      <w:r>
        <w:rPr>
          <w:rFonts w:hint="eastAsia" w:ascii="宋体" w:hAnsi="宋体" w:cs="仿宋_GB2312"/>
          <w:color w:val="000000"/>
          <w:kern w:val="0"/>
          <w:sz w:val="24"/>
          <w:highlight w:val="none"/>
          <w:lang w:val="en-US" w:eastAsia="zh-CN"/>
        </w:rPr>
        <w:t>供</w:t>
      </w:r>
      <w:r>
        <w:rPr>
          <w:rFonts w:hint="eastAsia" w:ascii="宋体" w:hAnsi="宋体" w:cs="仿宋_GB2312"/>
          <w:color w:val="000000"/>
          <w:kern w:val="0"/>
          <w:sz w:val="24"/>
          <w:highlight w:val="none"/>
          <w:lang w:val="zh-CN"/>
        </w:rPr>
        <w:t>应商名称(电子签章)：</w:t>
      </w:r>
    </w:p>
    <w:p w14:paraId="4ACB035A">
      <w:pPr>
        <w:spacing w:line="500" w:lineRule="exact"/>
        <w:jc w:val="center"/>
        <w:rPr>
          <w:rFonts w:hint="eastAsia" w:ascii="宋体" w:hAnsi="宋体" w:cs="仿宋_GB2312"/>
          <w:color w:val="000000"/>
          <w:kern w:val="0"/>
          <w:sz w:val="24"/>
          <w:highlight w:val="none"/>
          <w:lang w:val="zh-CN"/>
        </w:rPr>
      </w:pPr>
      <w:r>
        <w:rPr>
          <w:rFonts w:hint="eastAsia" w:ascii="宋体" w:hAnsi="宋体" w:cs="仿宋_GB2312"/>
          <w:color w:val="000000"/>
          <w:kern w:val="0"/>
          <w:sz w:val="24"/>
          <w:highlight w:val="none"/>
          <w:lang w:val="zh-CN"/>
        </w:rPr>
        <w:t xml:space="preserve">                                                     日期</w:t>
      </w:r>
      <w:r>
        <w:rPr>
          <w:rFonts w:hint="eastAsia" w:ascii="宋体" w:hAnsi="宋体" w:cs="仿宋_GB2312"/>
          <w:color w:val="000000"/>
          <w:kern w:val="0"/>
          <w:sz w:val="24"/>
          <w:highlight w:val="none"/>
        </w:rPr>
        <w:t xml:space="preserve">：  年  </w:t>
      </w:r>
      <w:r>
        <w:rPr>
          <w:rFonts w:hint="eastAsia" w:ascii="宋体" w:hAnsi="宋体" w:cs="仿宋_GB2312"/>
          <w:color w:val="000000"/>
          <w:kern w:val="0"/>
          <w:sz w:val="24"/>
          <w:highlight w:val="none"/>
          <w:lang w:val="zh-CN"/>
        </w:rPr>
        <w:t>月</w:t>
      </w:r>
      <w:r>
        <w:rPr>
          <w:rFonts w:hint="eastAsia" w:ascii="宋体" w:hAnsi="宋体" w:cs="仿宋_GB2312"/>
          <w:color w:val="000000"/>
          <w:kern w:val="0"/>
          <w:sz w:val="24"/>
          <w:highlight w:val="none"/>
          <w:lang w:val="en-US" w:eastAsia="zh-CN"/>
        </w:rPr>
        <w:t xml:space="preserve"> </w:t>
      </w:r>
      <w:r>
        <w:rPr>
          <w:rFonts w:hint="eastAsia" w:ascii="宋体" w:hAnsi="宋体" w:cs="仿宋_GB2312"/>
          <w:color w:val="000000"/>
          <w:kern w:val="0"/>
          <w:sz w:val="24"/>
          <w:highlight w:val="none"/>
          <w:lang w:val="zh-CN"/>
        </w:rPr>
        <w:t>日</w:t>
      </w:r>
    </w:p>
    <w:p w14:paraId="1EBED5A0">
      <w:pPr>
        <w:rPr>
          <w:rFonts w:hint="eastAsia" w:ascii="宋体" w:hAnsi="宋体" w:cs="仿宋_GB2312"/>
          <w:color w:val="000000"/>
          <w:kern w:val="0"/>
          <w:sz w:val="24"/>
          <w:highlight w:val="none"/>
          <w:lang w:val="zh-CN"/>
        </w:rPr>
      </w:pPr>
      <w:r>
        <w:rPr>
          <w:rFonts w:hint="eastAsia" w:ascii="宋体" w:hAnsi="宋体" w:cs="仿宋_GB2312"/>
          <w:color w:val="000000"/>
          <w:kern w:val="0"/>
          <w:sz w:val="24"/>
          <w:highlight w:val="none"/>
          <w:lang w:val="zh-CN"/>
        </w:rPr>
        <w:br w:type="page"/>
      </w:r>
    </w:p>
    <w:p w14:paraId="60CC4DC1">
      <w:pPr>
        <w:numPr>
          <w:ilvl w:val="0"/>
          <w:numId w:val="0"/>
        </w:numPr>
        <w:jc w:val="center"/>
        <w:rPr>
          <w:highlight w:val="none"/>
        </w:rPr>
      </w:pPr>
      <w:r>
        <w:rPr>
          <w:rFonts w:hint="eastAsia" w:ascii="宋体" w:hAnsi="宋体" w:eastAsia="宋体" w:cs="宋体"/>
          <w:b/>
          <w:color w:val="auto"/>
          <w:kern w:val="0"/>
          <w:sz w:val="36"/>
          <w:szCs w:val="36"/>
          <w:highlight w:val="none"/>
          <w:lang w:val="en-US" w:eastAsia="zh-CN" w:bidi="ar-SA"/>
        </w:rPr>
        <w:t>建设工程项目管理承诺书</w:t>
      </w:r>
    </w:p>
    <w:p w14:paraId="7385FE78">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4"/>
          <w:szCs w:val="24"/>
          <w:highlight w:val="none"/>
        </w:rPr>
      </w:pPr>
      <w:r>
        <w:rPr>
          <w:rFonts w:hint="eastAsia" w:cs="宋体"/>
          <w:sz w:val="24"/>
          <w:szCs w:val="24"/>
          <w:highlight w:val="none"/>
        </w:rPr>
        <w:t>致</w:t>
      </w:r>
      <w:r>
        <w:rPr>
          <w:sz w:val="24"/>
          <w:szCs w:val="24"/>
          <w:highlight w:val="none"/>
          <w:u w:val="single"/>
        </w:rPr>
        <w:t xml:space="preserve">                        </w:t>
      </w:r>
      <w:r>
        <w:rPr>
          <w:rFonts w:hint="eastAsia" w:cs="宋体"/>
          <w:sz w:val="24"/>
          <w:szCs w:val="24"/>
          <w:highlight w:val="none"/>
        </w:rPr>
        <w:t>（</w:t>
      </w:r>
      <w:r>
        <w:rPr>
          <w:rFonts w:hint="eastAsia" w:cs="宋体"/>
          <w:sz w:val="24"/>
          <w:szCs w:val="24"/>
          <w:highlight w:val="none"/>
          <w:lang w:eastAsia="zh-CN"/>
        </w:rPr>
        <w:t>采购人</w:t>
      </w:r>
      <w:r>
        <w:rPr>
          <w:rFonts w:hint="eastAsia" w:cs="宋体"/>
          <w:sz w:val="24"/>
          <w:szCs w:val="24"/>
          <w:highlight w:val="none"/>
        </w:rPr>
        <w:t>名称）：</w:t>
      </w:r>
    </w:p>
    <w:p w14:paraId="536267B8">
      <w:pPr>
        <w:keepNext w:val="0"/>
        <w:keepLines w:val="0"/>
        <w:pageBreakBefore w:val="0"/>
        <w:widowControl w:val="0"/>
        <w:kinsoku/>
        <w:wordWrap/>
        <w:overflowPunct/>
        <w:topLinePunct w:val="0"/>
        <w:autoSpaceDE/>
        <w:autoSpaceDN/>
        <w:bidi w:val="0"/>
        <w:adjustRightInd/>
        <w:snapToGrid/>
        <w:spacing w:line="500" w:lineRule="exact"/>
        <w:ind w:left="-10" w:firstLine="520" w:firstLineChars="217"/>
        <w:jc w:val="left"/>
        <w:textAlignment w:val="auto"/>
        <w:rPr>
          <w:sz w:val="24"/>
          <w:szCs w:val="24"/>
          <w:highlight w:val="none"/>
        </w:rPr>
      </w:pPr>
      <w:r>
        <w:rPr>
          <w:rFonts w:hint="eastAsia" w:cs="宋体"/>
          <w:sz w:val="24"/>
          <w:szCs w:val="24"/>
          <w:highlight w:val="none"/>
        </w:rPr>
        <w:t>作为参与</w:t>
      </w:r>
      <w:r>
        <w:rPr>
          <w:sz w:val="24"/>
          <w:szCs w:val="24"/>
          <w:highlight w:val="none"/>
          <w:u w:val="single"/>
        </w:rPr>
        <w:t xml:space="preserve">                  </w:t>
      </w:r>
      <w:r>
        <w:rPr>
          <w:rFonts w:hint="eastAsia" w:cs="宋体"/>
          <w:sz w:val="24"/>
          <w:szCs w:val="24"/>
          <w:highlight w:val="none"/>
        </w:rPr>
        <w:t>（</w:t>
      </w:r>
      <w:r>
        <w:rPr>
          <w:rFonts w:hint="eastAsia" w:cs="宋体"/>
          <w:sz w:val="24"/>
          <w:szCs w:val="24"/>
          <w:highlight w:val="none"/>
          <w:lang w:eastAsia="zh-CN"/>
        </w:rPr>
        <w:t>工程项目</w:t>
      </w:r>
      <w:r>
        <w:rPr>
          <w:rFonts w:hint="eastAsia" w:cs="宋体"/>
          <w:sz w:val="24"/>
          <w:szCs w:val="24"/>
          <w:highlight w:val="none"/>
        </w:rPr>
        <w:t>名称）项目的</w:t>
      </w:r>
      <w:r>
        <w:rPr>
          <w:rFonts w:hint="eastAsia" w:cs="宋体"/>
          <w:sz w:val="24"/>
          <w:szCs w:val="24"/>
          <w:highlight w:val="none"/>
          <w:lang w:val="en-US" w:eastAsia="zh-CN"/>
        </w:rPr>
        <w:t>竞标</w:t>
      </w:r>
      <w:r>
        <w:rPr>
          <w:rFonts w:hint="eastAsia" w:cs="宋体"/>
          <w:sz w:val="24"/>
          <w:szCs w:val="24"/>
          <w:highlight w:val="none"/>
        </w:rPr>
        <w:t>方，根据国家、自治区相关文件规定，我方在此向</w:t>
      </w:r>
      <w:r>
        <w:rPr>
          <w:rFonts w:hint="eastAsia" w:cs="宋体"/>
          <w:sz w:val="24"/>
          <w:szCs w:val="24"/>
          <w:highlight w:val="none"/>
          <w:lang w:eastAsia="zh-CN"/>
        </w:rPr>
        <w:t>采购</w:t>
      </w:r>
      <w:r>
        <w:rPr>
          <w:rFonts w:hint="eastAsia" w:cs="宋体"/>
          <w:sz w:val="24"/>
          <w:szCs w:val="24"/>
          <w:highlight w:val="none"/>
        </w:rPr>
        <w:t>人承诺：</w:t>
      </w:r>
    </w:p>
    <w:p w14:paraId="7D37671A">
      <w:pPr>
        <w:keepNext w:val="0"/>
        <w:keepLines w:val="0"/>
        <w:pageBreakBefore w:val="0"/>
        <w:widowControl w:val="0"/>
        <w:kinsoku/>
        <w:wordWrap/>
        <w:overflowPunct/>
        <w:topLinePunct w:val="0"/>
        <w:autoSpaceDE/>
        <w:autoSpaceDN/>
        <w:bidi w:val="0"/>
        <w:adjustRightInd/>
        <w:snapToGrid/>
        <w:spacing w:line="500" w:lineRule="exact"/>
        <w:ind w:left="-10" w:firstLine="520" w:firstLineChars="217"/>
        <w:jc w:val="left"/>
        <w:textAlignment w:val="auto"/>
        <w:rPr>
          <w:sz w:val="24"/>
          <w:szCs w:val="24"/>
          <w:highlight w:val="none"/>
        </w:rPr>
      </w:pPr>
      <w:r>
        <w:rPr>
          <w:sz w:val="24"/>
          <w:szCs w:val="24"/>
          <w:highlight w:val="none"/>
        </w:rPr>
        <w:t>1、一旦中标，我方保证按照政府相关部门的规定，</w:t>
      </w:r>
      <w:r>
        <w:rPr>
          <w:rFonts w:hint="eastAsia" w:ascii="宋体" w:hAnsi="宋体"/>
          <w:sz w:val="24"/>
          <w:szCs w:val="24"/>
          <w:highlight w:val="none"/>
        </w:rPr>
        <w:t>在中标后7个工作日内，按照《保障农民工工资支付条例》规定及广西壮族自治区有关规定开设农民工工资专用账户，并按</w:t>
      </w:r>
      <w:r>
        <w:rPr>
          <w:rFonts w:hint="eastAsia" w:ascii="宋体" w:hAnsi="宋体"/>
          <w:sz w:val="24"/>
          <w:szCs w:val="24"/>
          <w:highlight w:val="none"/>
          <w:u w:val="none"/>
        </w:rPr>
        <w:t>要求</w:t>
      </w:r>
      <w:r>
        <w:rPr>
          <w:rFonts w:hint="eastAsia" w:ascii="宋体" w:hAnsi="宋体"/>
          <w:sz w:val="24"/>
          <w:szCs w:val="24"/>
          <w:highlight w:val="none"/>
        </w:rPr>
        <w:t>比例将农民工工资保证金存入帐户</w:t>
      </w:r>
      <w:r>
        <w:rPr>
          <w:rFonts w:hint="eastAsia"/>
          <w:sz w:val="24"/>
          <w:szCs w:val="24"/>
          <w:highlight w:val="none"/>
        </w:rPr>
        <w:t>，专项用于支付本工程提供劳动的农民工被拖欠的工资。</w:t>
      </w:r>
      <w:r>
        <w:rPr>
          <w:sz w:val="24"/>
          <w:szCs w:val="24"/>
          <w:highlight w:val="none"/>
        </w:rPr>
        <w:t>按照与农民工依法约定的工资支付周期和具体支付日期支付工资</w:t>
      </w:r>
      <w:r>
        <w:rPr>
          <w:rFonts w:hint="eastAsia"/>
          <w:sz w:val="24"/>
          <w:szCs w:val="24"/>
          <w:highlight w:val="none"/>
        </w:rPr>
        <w:t>，保证</w:t>
      </w:r>
      <w:r>
        <w:rPr>
          <w:sz w:val="24"/>
          <w:szCs w:val="24"/>
          <w:highlight w:val="none"/>
        </w:rPr>
        <w:t>每月至少向农民工足额支付一次工资。</w:t>
      </w:r>
    </w:p>
    <w:p w14:paraId="56BAE7FA">
      <w:pPr>
        <w:keepNext w:val="0"/>
        <w:keepLines w:val="0"/>
        <w:pageBreakBefore w:val="0"/>
        <w:widowControl w:val="0"/>
        <w:kinsoku/>
        <w:wordWrap/>
        <w:overflowPunct/>
        <w:topLinePunct w:val="0"/>
        <w:autoSpaceDE/>
        <w:autoSpaceDN/>
        <w:bidi w:val="0"/>
        <w:adjustRightInd/>
        <w:snapToGrid/>
        <w:spacing w:line="500" w:lineRule="exact"/>
        <w:ind w:left="-10" w:firstLine="520" w:firstLineChars="217"/>
        <w:jc w:val="left"/>
        <w:textAlignment w:val="auto"/>
        <w:rPr>
          <w:sz w:val="24"/>
          <w:szCs w:val="24"/>
          <w:highlight w:val="none"/>
        </w:rPr>
      </w:pPr>
      <w:r>
        <w:rPr>
          <w:sz w:val="24"/>
          <w:szCs w:val="24"/>
          <w:highlight w:val="none"/>
        </w:rPr>
        <w:t>2、一旦中标，我方保证在施工过程中，严格执行《广西壮族自治区建筑工程安全文明施工费使用管理细则》（桂建质〔20</w:t>
      </w:r>
      <w:r>
        <w:rPr>
          <w:rFonts w:hint="eastAsia"/>
          <w:sz w:val="24"/>
          <w:szCs w:val="24"/>
          <w:highlight w:val="none"/>
        </w:rPr>
        <w:t>15</w:t>
      </w:r>
      <w:r>
        <w:rPr>
          <w:sz w:val="24"/>
          <w:szCs w:val="24"/>
          <w:highlight w:val="none"/>
        </w:rPr>
        <w:t>〕</w:t>
      </w:r>
      <w:r>
        <w:rPr>
          <w:rFonts w:hint="eastAsia"/>
          <w:sz w:val="24"/>
          <w:szCs w:val="24"/>
          <w:highlight w:val="none"/>
        </w:rPr>
        <w:t>16</w:t>
      </w:r>
      <w:r>
        <w:rPr>
          <w:sz w:val="24"/>
          <w:szCs w:val="24"/>
          <w:highlight w:val="none"/>
        </w:rPr>
        <w:t>号）的有关规定，确保建设工程各项安全防护、文明施工措施落实到位。如我方在该项目的承包中出现未按桂建质〔20</w:t>
      </w:r>
      <w:r>
        <w:rPr>
          <w:rFonts w:hint="eastAsia"/>
          <w:sz w:val="24"/>
          <w:szCs w:val="24"/>
          <w:highlight w:val="none"/>
        </w:rPr>
        <w:t>15</w:t>
      </w:r>
      <w:r>
        <w:rPr>
          <w:sz w:val="24"/>
          <w:szCs w:val="24"/>
          <w:highlight w:val="none"/>
        </w:rPr>
        <w:t>〕</w:t>
      </w:r>
      <w:r>
        <w:rPr>
          <w:rFonts w:hint="eastAsia"/>
          <w:sz w:val="24"/>
          <w:szCs w:val="24"/>
          <w:highlight w:val="none"/>
        </w:rPr>
        <w:t>16</w:t>
      </w:r>
      <w:r>
        <w:rPr>
          <w:sz w:val="24"/>
          <w:szCs w:val="24"/>
          <w:highlight w:val="none"/>
        </w:rPr>
        <w:t>号文附件一规定执行的情形，我方愿意按照相关规定接受建设单位及有关主管部门的处罚。</w:t>
      </w:r>
    </w:p>
    <w:p w14:paraId="76CF3982">
      <w:pPr>
        <w:keepNext w:val="0"/>
        <w:keepLines w:val="0"/>
        <w:pageBreakBefore w:val="0"/>
        <w:widowControl w:val="0"/>
        <w:kinsoku/>
        <w:wordWrap/>
        <w:overflowPunct/>
        <w:topLinePunct w:val="0"/>
        <w:autoSpaceDE/>
        <w:autoSpaceDN/>
        <w:bidi w:val="0"/>
        <w:adjustRightInd/>
        <w:snapToGrid/>
        <w:spacing w:line="500" w:lineRule="exact"/>
        <w:ind w:left="-2" w:leftChars="-1" w:firstLine="513" w:firstLineChars="214"/>
        <w:jc w:val="left"/>
        <w:textAlignment w:val="auto"/>
        <w:rPr>
          <w:sz w:val="24"/>
          <w:szCs w:val="24"/>
          <w:highlight w:val="none"/>
        </w:rPr>
      </w:pPr>
      <w:r>
        <w:rPr>
          <w:sz w:val="24"/>
          <w:szCs w:val="24"/>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66763F3">
      <w:pPr>
        <w:keepNext w:val="0"/>
        <w:keepLines w:val="0"/>
        <w:pageBreakBefore w:val="0"/>
        <w:widowControl w:val="0"/>
        <w:kinsoku/>
        <w:wordWrap/>
        <w:overflowPunct/>
        <w:topLinePunct w:val="0"/>
        <w:autoSpaceDE/>
        <w:autoSpaceDN/>
        <w:bidi w:val="0"/>
        <w:adjustRightInd/>
        <w:snapToGrid/>
        <w:spacing w:line="500" w:lineRule="exact"/>
        <w:ind w:left="-10" w:firstLine="520" w:firstLineChars="217"/>
        <w:jc w:val="left"/>
        <w:textAlignment w:val="auto"/>
        <w:rPr>
          <w:sz w:val="24"/>
          <w:szCs w:val="24"/>
          <w:highlight w:val="none"/>
        </w:rPr>
      </w:pPr>
      <w:r>
        <w:rPr>
          <w:rFonts w:hint="eastAsia"/>
          <w:sz w:val="24"/>
          <w:szCs w:val="24"/>
          <w:highlight w:val="none"/>
        </w:rPr>
        <w:t>4、一旦中标，我方保证在施工过程中，严格执行《关于禁止使用不符合规范要求的竹脚手架的通知》（</w:t>
      </w:r>
      <w:r>
        <w:rPr>
          <w:sz w:val="24"/>
          <w:szCs w:val="24"/>
          <w:highlight w:val="none"/>
        </w:rPr>
        <w:t>桂建</w:t>
      </w:r>
      <w:r>
        <w:rPr>
          <w:rFonts w:hint="eastAsia"/>
          <w:sz w:val="24"/>
          <w:szCs w:val="24"/>
          <w:highlight w:val="none"/>
        </w:rPr>
        <w:t>管字</w:t>
      </w:r>
      <w:r>
        <w:rPr>
          <w:sz w:val="24"/>
          <w:szCs w:val="24"/>
          <w:highlight w:val="none"/>
        </w:rPr>
        <w:t>〔200</w:t>
      </w:r>
      <w:r>
        <w:rPr>
          <w:rFonts w:hint="eastAsia"/>
          <w:sz w:val="24"/>
          <w:szCs w:val="24"/>
          <w:highlight w:val="none"/>
        </w:rPr>
        <w:t>3</w:t>
      </w:r>
      <w:r>
        <w:rPr>
          <w:sz w:val="24"/>
          <w:szCs w:val="24"/>
          <w:highlight w:val="none"/>
        </w:rPr>
        <w:t>〕</w:t>
      </w:r>
      <w:r>
        <w:rPr>
          <w:rFonts w:hint="eastAsia"/>
          <w:sz w:val="24"/>
          <w:szCs w:val="24"/>
          <w:highlight w:val="none"/>
        </w:rPr>
        <w:t>40</w:t>
      </w:r>
      <w:r>
        <w:rPr>
          <w:sz w:val="24"/>
          <w:szCs w:val="24"/>
          <w:highlight w:val="none"/>
        </w:rPr>
        <w:t>号</w:t>
      </w:r>
      <w:r>
        <w:rPr>
          <w:rFonts w:hint="eastAsia"/>
          <w:sz w:val="24"/>
          <w:szCs w:val="24"/>
          <w:highlight w:val="none"/>
        </w:rPr>
        <w:t>）的有关规定，不使用竹脚手架。如我方在该</w:t>
      </w:r>
      <w:r>
        <w:rPr>
          <w:sz w:val="24"/>
          <w:szCs w:val="24"/>
          <w:highlight w:val="none"/>
        </w:rPr>
        <w:t>项目的承包中出现未按规定执行的情形，我方愿意按照相关规定接受建设单位及有关主管部门的处罚。</w:t>
      </w:r>
    </w:p>
    <w:p w14:paraId="6E3658A0">
      <w:pPr>
        <w:keepNext w:val="0"/>
        <w:keepLines w:val="0"/>
        <w:pageBreakBefore w:val="0"/>
        <w:widowControl w:val="0"/>
        <w:kinsoku/>
        <w:wordWrap/>
        <w:overflowPunct/>
        <w:topLinePunct w:val="0"/>
        <w:autoSpaceDE/>
        <w:autoSpaceDN/>
        <w:bidi w:val="0"/>
        <w:adjustRightInd/>
        <w:snapToGrid/>
        <w:spacing w:line="500" w:lineRule="exact"/>
        <w:ind w:left="-10" w:firstLine="520" w:firstLineChars="217"/>
        <w:jc w:val="left"/>
        <w:textAlignment w:val="auto"/>
        <w:rPr>
          <w:rFonts w:hint="eastAsia"/>
          <w:sz w:val="24"/>
          <w:szCs w:val="24"/>
          <w:highlight w:val="none"/>
        </w:rPr>
      </w:pPr>
      <w:r>
        <w:rPr>
          <w:rFonts w:hint="eastAsia"/>
          <w:sz w:val="24"/>
          <w:szCs w:val="24"/>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79CC73E">
      <w:pPr>
        <w:spacing w:line="520" w:lineRule="exact"/>
        <w:jc w:val="left"/>
        <w:rPr>
          <w:sz w:val="24"/>
          <w:szCs w:val="24"/>
          <w:highlight w:val="none"/>
        </w:rPr>
      </w:pPr>
    </w:p>
    <w:p w14:paraId="65BE4117">
      <w:pPr>
        <w:pageBreakBefore w:val="0"/>
        <w:kinsoku/>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42D20A">
      <w:pPr>
        <w:pageBreakBefore w:val="0"/>
        <w:kinsoku/>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17" w:right="1417" w:bottom="1417" w:left="1417" w:header="720" w:footer="720" w:gutter="0"/>
          <w:pgNumType w:fmt="decimal"/>
          <w:cols w:space="720" w:num="1"/>
          <w:rtlGutter w:val="0"/>
        </w:sectPr>
      </w:pPr>
      <w:r>
        <w:rPr>
          <w:rFonts w:hint="eastAsia" w:ascii="宋体" w:hAnsi="宋体" w:eastAsia="宋体" w:cs="宋体"/>
          <w:color w:val="auto"/>
          <w:kern w:val="0"/>
          <w:sz w:val="24"/>
          <w:highlight w:val="none"/>
          <w:lang w:val="zh-CN"/>
        </w:rPr>
        <w:t>日期：  年  月   日</w:t>
      </w:r>
    </w:p>
    <w:p w14:paraId="1345E418">
      <w:pPr>
        <w:spacing w:line="360" w:lineRule="auto"/>
        <w:jc w:val="center"/>
        <w:rPr>
          <w:highlight w:val="none"/>
        </w:rPr>
      </w:pPr>
      <w:r>
        <w:rPr>
          <w:rFonts w:hint="eastAsia" w:cs="宋体"/>
          <w:b/>
          <w:bCs/>
          <w:sz w:val="28"/>
          <w:szCs w:val="28"/>
          <w:highlight w:val="none"/>
        </w:rPr>
        <w:t>广西壮族自治区建筑工程安全文明施工措施项目清单内容</w:t>
      </w:r>
    </w:p>
    <w:p w14:paraId="3EC8B6EE">
      <w:pPr>
        <w:spacing w:line="360" w:lineRule="auto"/>
        <w:ind w:firstLine="600" w:firstLineChars="250"/>
        <w:jc w:val="center"/>
        <w:rPr>
          <w:sz w:val="24"/>
          <w:szCs w:val="24"/>
          <w:highlight w:val="none"/>
        </w:rPr>
      </w:pPr>
      <w:r>
        <w:rPr>
          <w:rFonts w:hint="eastAsia" w:cs="宋体"/>
          <w:sz w:val="24"/>
          <w:szCs w:val="24"/>
          <w:highlight w:val="none"/>
        </w:rPr>
        <w:t>（桂建质〔</w:t>
      </w:r>
      <w:r>
        <w:rPr>
          <w:sz w:val="24"/>
          <w:szCs w:val="24"/>
          <w:highlight w:val="none"/>
        </w:rPr>
        <w:t>2015</w:t>
      </w:r>
      <w:r>
        <w:rPr>
          <w:rFonts w:hint="eastAsia" w:cs="宋体"/>
          <w:sz w:val="24"/>
          <w:szCs w:val="24"/>
          <w:highlight w:val="none"/>
        </w:rPr>
        <w:t>〕</w:t>
      </w:r>
      <w:r>
        <w:rPr>
          <w:sz w:val="24"/>
          <w:szCs w:val="24"/>
          <w:highlight w:val="none"/>
        </w:rPr>
        <w:t>16</w:t>
      </w:r>
      <w:r>
        <w:rPr>
          <w:rFonts w:hint="eastAsia" w:cs="宋体"/>
          <w:sz w:val="24"/>
          <w:szCs w:val="24"/>
          <w:highlight w:val="none"/>
        </w:rPr>
        <w:t>号文附件一）</w:t>
      </w:r>
    </w:p>
    <w:p w14:paraId="33E50C86">
      <w:pPr>
        <w:pStyle w:val="31"/>
        <w:spacing w:line="240" w:lineRule="atLeast"/>
        <w:jc w:val="center"/>
        <w:rPr>
          <w:rFonts w:ascii="宋体"/>
          <w:b/>
          <w:bCs/>
          <w:sz w:val="24"/>
          <w:szCs w:val="24"/>
          <w:highlight w:val="none"/>
        </w:rPr>
      </w:pPr>
      <w:r>
        <w:rPr>
          <w:rFonts w:hint="eastAsia" w:ascii="宋体" w:hAnsi="宋体" w:cs="宋体"/>
          <w:b/>
          <w:bCs/>
          <w:sz w:val="24"/>
          <w:szCs w:val="24"/>
          <w:highlight w:val="none"/>
        </w:rPr>
        <w:t>广西壮族自治区</w:t>
      </w:r>
    </w:p>
    <w:p w14:paraId="46DBF0E5">
      <w:pPr>
        <w:pStyle w:val="31"/>
        <w:spacing w:line="240" w:lineRule="atLeast"/>
        <w:ind w:firstLine="546"/>
        <w:jc w:val="center"/>
        <w:rPr>
          <w:b/>
          <w:bCs/>
          <w:w w:val="90"/>
          <w:sz w:val="24"/>
          <w:szCs w:val="24"/>
          <w:highlight w:val="none"/>
        </w:rPr>
      </w:pPr>
      <w:r>
        <w:rPr>
          <w:rFonts w:hint="eastAsia" w:cs="宋体"/>
          <w:b/>
          <w:bCs/>
          <w:w w:val="90"/>
          <w:sz w:val="24"/>
          <w:szCs w:val="24"/>
          <w:highlight w:val="none"/>
        </w:rPr>
        <w:t>建设工程安全文明施工措施项目清单内容</w:t>
      </w:r>
    </w:p>
    <w:p w14:paraId="189D50B4">
      <w:pPr>
        <w:pStyle w:val="31"/>
        <w:spacing w:line="240" w:lineRule="atLeast"/>
        <w:ind w:firstLine="546"/>
        <w:jc w:val="center"/>
        <w:rPr>
          <w:b/>
          <w:bCs/>
          <w:w w:val="90"/>
          <w:sz w:val="24"/>
          <w:szCs w:val="24"/>
          <w:highlight w:val="none"/>
        </w:rPr>
      </w:pPr>
    </w:p>
    <w:tbl>
      <w:tblPr>
        <w:tblStyle w:val="22"/>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2147C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3E8157EF">
            <w:pPr>
              <w:pStyle w:val="31"/>
              <w:spacing w:line="300" w:lineRule="exact"/>
              <w:jc w:val="center"/>
              <w:rPr>
                <w:rFonts w:ascii="方正仿宋_GBK" w:eastAsia="方正仿宋_GBK"/>
                <w:b/>
                <w:bCs/>
                <w:highlight w:val="none"/>
              </w:rPr>
            </w:pPr>
            <w:r>
              <w:rPr>
                <w:rFonts w:hint="eastAsia" w:ascii="方正仿宋_GBK" w:eastAsia="方正仿宋_GBK" w:cs="方正仿宋_GBK"/>
                <w:b/>
                <w:bCs/>
                <w:highlight w:val="none"/>
              </w:rPr>
              <w:t>类别</w:t>
            </w:r>
          </w:p>
        </w:tc>
        <w:tc>
          <w:tcPr>
            <w:tcW w:w="2070" w:type="dxa"/>
            <w:gridSpan w:val="2"/>
            <w:tcBorders>
              <w:top w:val="single" w:color="auto" w:sz="12" w:space="0"/>
            </w:tcBorders>
            <w:noWrap w:val="0"/>
            <w:vAlign w:val="center"/>
          </w:tcPr>
          <w:p w14:paraId="2E8C0C66">
            <w:pPr>
              <w:pStyle w:val="31"/>
              <w:spacing w:line="300" w:lineRule="exact"/>
              <w:jc w:val="center"/>
              <w:rPr>
                <w:rFonts w:ascii="方正仿宋_GBK" w:eastAsia="方正仿宋_GBK"/>
                <w:b/>
                <w:bCs/>
                <w:highlight w:val="none"/>
              </w:rPr>
            </w:pPr>
            <w:r>
              <w:rPr>
                <w:rFonts w:hint="eastAsia" w:ascii="方正仿宋_GBK" w:eastAsia="方正仿宋_GBK" w:cs="方正仿宋_GBK"/>
                <w:b/>
                <w:bCs/>
                <w:highlight w:val="none"/>
              </w:rPr>
              <w:t>项目名称</w:t>
            </w:r>
          </w:p>
        </w:tc>
        <w:tc>
          <w:tcPr>
            <w:tcW w:w="6645" w:type="dxa"/>
            <w:tcBorders>
              <w:top w:val="single" w:color="auto" w:sz="12" w:space="0"/>
            </w:tcBorders>
            <w:noWrap w:val="0"/>
            <w:vAlign w:val="center"/>
          </w:tcPr>
          <w:p w14:paraId="4E992109">
            <w:pPr>
              <w:pStyle w:val="31"/>
              <w:spacing w:line="300" w:lineRule="exact"/>
              <w:jc w:val="center"/>
              <w:rPr>
                <w:rFonts w:ascii="方正仿宋_GBK" w:eastAsia="方正仿宋_GBK"/>
                <w:b/>
                <w:bCs/>
                <w:highlight w:val="none"/>
              </w:rPr>
            </w:pPr>
            <w:r>
              <w:rPr>
                <w:rFonts w:hint="eastAsia" w:ascii="方正仿宋_GBK" w:eastAsia="方正仿宋_GBK" w:cs="方正仿宋_GBK"/>
                <w:b/>
                <w:bCs/>
                <w:highlight w:val="none"/>
              </w:rPr>
              <w:t>主要内容和要求</w:t>
            </w:r>
          </w:p>
        </w:tc>
      </w:tr>
      <w:tr w14:paraId="2C609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1B98D1F6">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文明</w:t>
            </w:r>
          </w:p>
          <w:p w14:paraId="72F96101">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施工</w:t>
            </w:r>
          </w:p>
          <w:p w14:paraId="49138982">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与</w:t>
            </w:r>
          </w:p>
          <w:p w14:paraId="60C18763">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环境</w:t>
            </w:r>
          </w:p>
          <w:p w14:paraId="3C32CBB1">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保护</w:t>
            </w:r>
          </w:p>
        </w:tc>
        <w:tc>
          <w:tcPr>
            <w:tcW w:w="2070" w:type="dxa"/>
            <w:gridSpan w:val="2"/>
            <w:noWrap w:val="0"/>
            <w:vAlign w:val="center"/>
          </w:tcPr>
          <w:p w14:paraId="063016CF">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安全警示</w:t>
            </w:r>
          </w:p>
          <w:p w14:paraId="25ABD0EC">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标志牌</w:t>
            </w:r>
          </w:p>
        </w:tc>
        <w:tc>
          <w:tcPr>
            <w:tcW w:w="6645" w:type="dxa"/>
            <w:noWrap w:val="0"/>
            <w:vAlign w:val="center"/>
          </w:tcPr>
          <w:p w14:paraId="01C333E5">
            <w:pPr>
              <w:pStyle w:val="31"/>
              <w:spacing w:line="300" w:lineRule="exact"/>
              <w:rPr>
                <w:rFonts w:ascii="方正仿宋_GBK" w:eastAsia="方正仿宋_GBK"/>
                <w:highlight w:val="none"/>
              </w:rPr>
            </w:pPr>
            <w:r>
              <w:rPr>
                <w:rFonts w:hint="eastAsia" w:ascii="方正仿宋_GBK" w:eastAsia="方正仿宋_GBK" w:cs="方正仿宋_GBK"/>
                <w:highlight w:val="none"/>
              </w:rPr>
              <w:t>在易发伤亡事故（或危险）处设置明显的、符合国家标准要求的安全警示标志牌。</w:t>
            </w:r>
          </w:p>
        </w:tc>
      </w:tr>
      <w:tr w14:paraId="207F6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1AC6551">
            <w:pPr>
              <w:pStyle w:val="31"/>
              <w:spacing w:line="300" w:lineRule="exact"/>
              <w:jc w:val="center"/>
              <w:rPr>
                <w:rFonts w:ascii="方正仿宋_GBK" w:eastAsia="方正仿宋_GBK"/>
                <w:highlight w:val="none"/>
              </w:rPr>
            </w:pPr>
          </w:p>
        </w:tc>
        <w:tc>
          <w:tcPr>
            <w:tcW w:w="2070" w:type="dxa"/>
            <w:gridSpan w:val="2"/>
            <w:noWrap w:val="0"/>
            <w:vAlign w:val="center"/>
          </w:tcPr>
          <w:p w14:paraId="41FBC1A6">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现场围挡</w:t>
            </w:r>
          </w:p>
        </w:tc>
        <w:tc>
          <w:tcPr>
            <w:tcW w:w="6645" w:type="dxa"/>
            <w:noWrap w:val="0"/>
            <w:vAlign w:val="center"/>
          </w:tcPr>
          <w:p w14:paraId="341C5CFE">
            <w:pPr>
              <w:pStyle w:val="31"/>
              <w:spacing w:line="300" w:lineRule="exact"/>
              <w:rPr>
                <w:rFonts w:ascii="方正仿宋_GBK" w:eastAsia="方正仿宋_GBK"/>
                <w:highlight w:val="none"/>
              </w:rPr>
            </w:pPr>
            <w:r>
              <w:rPr>
                <w:rFonts w:ascii="方正仿宋_GBK" w:eastAsia="方正仿宋_GBK" w:cs="方正仿宋_GBK"/>
                <w:highlight w:val="none"/>
              </w:rPr>
              <w:t xml:space="preserve">1. </w:t>
            </w:r>
            <w:r>
              <w:rPr>
                <w:rFonts w:hint="eastAsia" w:ascii="方正仿宋_GBK" w:eastAsia="方正仿宋_GBK" w:cs="方正仿宋_GBK"/>
                <w:highlight w:val="none"/>
              </w:rPr>
              <w:t>现场采用封闭围挡，高度不小于</w:t>
            </w:r>
            <w:r>
              <w:rPr>
                <w:rFonts w:ascii="方正仿宋_GBK" w:eastAsia="方正仿宋_GBK" w:cs="方正仿宋_GBK"/>
                <w:highlight w:val="none"/>
              </w:rPr>
              <w:t>1.8m</w:t>
            </w:r>
            <w:r>
              <w:rPr>
                <w:rFonts w:hint="eastAsia" w:ascii="方正仿宋_GBK" w:eastAsia="方正仿宋_GBK" w:cs="方正仿宋_GBK"/>
                <w:highlight w:val="none"/>
              </w:rPr>
              <w:t>。</w:t>
            </w:r>
          </w:p>
          <w:p w14:paraId="73DE8ED5">
            <w:pPr>
              <w:pStyle w:val="31"/>
              <w:spacing w:line="300" w:lineRule="exact"/>
              <w:rPr>
                <w:rFonts w:ascii="方正仿宋_GBK" w:eastAsia="方正仿宋_GBK"/>
                <w:highlight w:val="none"/>
              </w:rPr>
            </w:pPr>
            <w:r>
              <w:rPr>
                <w:rFonts w:ascii="方正仿宋_GBK" w:eastAsia="方正仿宋_GBK" w:cs="方正仿宋_GBK"/>
                <w:highlight w:val="none"/>
              </w:rPr>
              <w:t xml:space="preserve">2. </w:t>
            </w:r>
            <w:r>
              <w:rPr>
                <w:rFonts w:hint="eastAsia" w:ascii="方正仿宋_GBK" w:eastAsia="方正仿宋_GBK" w:cs="方正仿宋_GBK"/>
                <w:highlight w:val="none"/>
              </w:rPr>
              <w:t>围挡材料可用彩色、定型钢板，砌块等墙体。</w:t>
            </w:r>
          </w:p>
        </w:tc>
      </w:tr>
      <w:tr w14:paraId="3FA84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63E9350">
            <w:pPr>
              <w:pStyle w:val="31"/>
              <w:spacing w:line="300" w:lineRule="exact"/>
              <w:jc w:val="center"/>
              <w:rPr>
                <w:rFonts w:ascii="方正仿宋_GBK" w:eastAsia="方正仿宋_GBK"/>
                <w:highlight w:val="none"/>
              </w:rPr>
            </w:pPr>
          </w:p>
        </w:tc>
        <w:tc>
          <w:tcPr>
            <w:tcW w:w="2070" w:type="dxa"/>
            <w:gridSpan w:val="2"/>
            <w:noWrap w:val="0"/>
            <w:vAlign w:val="center"/>
          </w:tcPr>
          <w:p w14:paraId="03694DE5">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七牌二图</w:t>
            </w:r>
          </w:p>
        </w:tc>
        <w:tc>
          <w:tcPr>
            <w:tcW w:w="6645" w:type="dxa"/>
            <w:noWrap w:val="0"/>
            <w:vAlign w:val="center"/>
          </w:tcPr>
          <w:p w14:paraId="5031764A">
            <w:pPr>
              <w:pStyle w:val="31"/>
              <w:spacing w:line="300" w:lineRule="exact"/>
              <w:rPr>
                <w:rFonts w:ascii="方正仿宋_GBK" w:eastAsia="方正仿宋_GBK"/>
                <w:highlight w:val="none"/>
              </w:rPr>
            </w:pPr>
            <w:r>
              <w:rPr>
                <w:rFonts w:hint="eastAsia" w:ascii="方正仿宋_GBK" w:eastAsia="方正仿宋_GBK" w:cs="方正仿宋_GBK"/>
                <w:highlight w:val="none"/>
              </w:rPr>
              <w:t>在进门处悬挂工程概况、现场出入制度、管理人员名单及监督电话、安全生产规定、文明施工、消防保卫、节能公示等七牌以及施工现场总平面图、工程效果图。</w:t>
            </w:r>
          </w:p>
        </w:tc>
      </w:tr>
      <w:tr w14:paraId="73345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59D21F34">
            <w:pPr>
              <w:pStyle w:val="31"/>
              <w:spacing w:line="300" w:lineRule="exact"/>
              <w:jc w:val="center"/>
              <w:rPr>
                <w:rFonts w:ascii="方正仿宋_GBK" w:eastAsia="方正仿宋_GBK"/>
                <w:highlight w:val="none"/>
              </w:rPr>
            </w:pPr>
          </w:p>
        </w:tc>
        <w:tc>
          <w:tcPr>
            <w:tcW w:w="2070" w:type="dxa"/>
            <w:gridSpan w:val="2"/>
            <w:noWrap w:val="0"/>
            <w:vAlign w:val="center"/>
          </w:tcPr>
          <w:p w14:paraId="09887B60">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企业标志</w:t>
            </w:r>
          </w:p>
        </w:tc>
        <w:tc>
          <w:tcPr>
            <w:tcW w:w="6645" w:type="dxa"/>
            <w:noWrap w:val="0"/>
            <w:vAlign w:val="center"/>
          </w:tcPr>
          <w:p w14:paraId="1690D918">
            <w:pPr>
              <w:pStyle w:val="31"/>
              <w:spacing w:line="300" w:lineRule="exact"/>
              <w:rPr>
                <w:rFonts w:ascii="方正仿宋_GBK" w:eastAsia="方正仿宋_GBK"/>
                <w:highlight w:val="none"/>
              </w:rPr>
            </w:pPr>
            <w:r>
              <w:rPr>
                <w:rFonts w:hint="eastAsia" w:ascii="方正仿宋_GBK" w:eastAsia="方正仿宋_GBK" w:cs="方正仿宋_GBK"/>
                <w:highlight w:val="none"/>
              </w:rPr>
              <w:t>现场出入的大门应设有本企业标志或企业标识。</w:t>
            </w:r>
          </w:p>
        </w:tc>
      </w:tr>
      <w:tr w14:paraId="43D9D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6B8E6EF">
            <w:pPr>
              <w:pStyle w:val="31"/>
              <w:spacing w:line="300" w:lineRule="exact"/>
              <w:jc w:val="center"/>
              <w:rPr>
                <w:rFonts w:ascii="方正仿宋_GBK" w:eastAsia="方正仿宋_GBK"/>
                <w:highlight w:val="none"/>
              </w:rPr>
            </w:pPr>
          </w:p>
        </w:tc>
        <w:tc>
          <w:tcPr>
            <w:tcW w:w="2070" w:type="dxa"/>
            <w:gridSpan w:val="2"/>
            <w:noWrap w:val="0"/>
            <w:vAlign w:val="center"/>
          </w:tcPr>
          <w:p w14:paraId="2AA6693C">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场容场貌</w:t>
            </w:r>
          </w:p>
        </w:tc>
        <w:tc>
          <w:tcPr>
            <w:tcW w:w="6645" w:type="dxa"/>
            <w:noWrap w:val="0"/>
            <w:vAlign w:val="center"/>
          </w:tcPr>
          <w:p w14:paraId="0989FA75">
            <w:pPr>
              <w:pStyle w:val="31"/>
              <w:spacing w:line="300" w:lineRule="exact"/>
              <w:rPr>
                <w:rFonts w:ascii="方正仿宋_GBK" w:eastAsia="方正仿宋_GBK"/>
                <w:highlight w:val="none"/>
              </w:rPr>
            </w:pPr>
            <w:r>
              <w:rPr>
                <w:rFonts w:ascii="方正仿宋_GBK" w:eastAsia="方正仿宋_GBK" w:cs="方正仿宋_GBK"/>
                <w:highlight w:val="none"/>
              </w:rPr>
              <w:t xml:space="preserve">1. </w:t>
            </w:r>
            <w:r>
              <w:rPr>
                <w:rFonts w:hint="eastAsia" w:ascii="方正仿宋_GBK" w:eastAsia="方正仿宋_GBK" w:cs="方正仿宋_GBK"/>
                <w:highlight w:val="none"/>
              </w:rPr>
              <w:t>道路畅通。</w:t>
            </w:r>
          </w:p>
          <w:p w14:paraId="4A1FC2A9">
            <w:pPr>
              <w:pStyle w:val="31"/>
              <w:spacing w:line="300" w:lineRule="exact"/>
              <w:rPr>
                <w:rFonts w:ascii="方正仿宋_GBK" w:eastAsia="方正仿宋_GBK"/>
                <w:highlight w:val="none"/>
              </w:rPr>
            </w:pPr>
            <w:r>
              <w:rPr>
                <w:rFonts w:ascii="方正仿宋_GBK" w:eastAsia="方正仿宋_GBK" w:cs="方正仿宋_GBK"/>
                <w:highlight w:val="none"/>
              </w:rPr>
              <w:t xml:space="preserve">2. </w:t>
            </w:r>
            <w:r>
              <w:rPr>
                <w:rFonts w:hint="eastAsia" w:ascii="方正仿宋_GBK" w:eastAsia="方正仿宋_GBK" w:cs="方正仿宋_GBK"/>
                <w:highlight w:val="none"/>
              </w:rPr>
              <w:t>排水设施齐全畅通。</w:t>
            </w:r>
          </w:p>
          <w:p w14:paraId="6A73AEAA">
            <w:pPr>
              <w:pStyle w:val="31"/>
              <w:spacing w:line="300" w:lineRule="exact"/>
              <w:rPr>
                <w:rFonts w:ascii="方正仿宋_GBK" w:eastAsia="方正仿宋_GBK"/>
                <w:highlight w:val="none"/>
              </w:rPr>
            </w:pPr>
            <w:r>
              <w:rPr>
                <w:rFonts w:ascii="方正仿宋_GBK" w:eastAsia="方正仿宋_GBK" w:cs="方正仿宋_GBK"/>
                <w:highlight w:val="none"/>
              </w:rPr>
              <w:t xml:space="preserve">3. </w:t>
            </w:r>
            <w:r>
              <w:rPr>
                <w:rFonts w:hint="eastAsia" w:ascii="方正仿宋_GBK" w:eastAsia="方正仿宋_GBK" w:cs="方正仿宋_GBK"/>
                <w:highlight w:val="none"/>
              </w:rPr>
              <w:t>工地地面硬化处理（办公区、生活区、现场道路、材料堆放、混凝土搅拌、砂浆搅拌、钢筋加工等场地和外脚手架基础等）。</w:t>
            </w:r>
          </w:p>
        </w:tc>
      </w:tr>
      <w:tr w14:paraId="4CA36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499A521">
            <w:pPr>
              <w:pStyle w:val="31"/>
              <w:spacing w:line="300" w:lineRule="exact"/>
              <w:jc w:val="center"/>
              <w:rPr>
                <w:rFonts w:ascii="方正仿宋_GBK" w:eastAsia="方正仿宋_GBK"/>
                <w:highlight w:val="none"/>
              </w:rPr>
            </w:pPr>
          </w:p>
        </w:tc>
        <w:tc>
          <w:tcPr>
            <w:tcW w:w="2070" w:type="dxa"/>
            <w:gridSpan w:val="2"/>
            <w:noWrap w:val="0"/>
            <w:vAlign w:val="center"/>
          </w:tcPr>
          <w:p w14:paraId="425D062B">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材料堆放</w:t>
            </w:r>
          </w:p>
        </w:tc>
        <w:tc>
          <w:tcPr>
            <w:tcW w:w="6645" w:type="dxa"/>
            <w:noWrap w:val="0"/>
            <w:vAlign w:val="center"/>
          </w:tcPr>
          <w:p w14:paraId="5A764611">
            <w:pPr>
              <w:pStyle w:val="31"/>
              <w:numPr>
                <w:ilvl w:val="0"/>
                <w:numId w:val="5"/>
              </w:numPr>
              <w:spacing w:line="300" w:lineRule="exact"/>
              <w:rPr>
                <w:rFonts w:ascii="方正仿宋_GBK" w:eastAsia="方正仿宋_GBK"/>
                <w:highlight w:val="none"/>
              </w:rPr>
            </w:pPr>
            <w:r>
              <w:rPr>
                <w:rFonts w:hint="eastAsia" w:ascii="方正仿宋_GBK" w:eastAsia="方正仿宋_GBK" w:cs="方正仿宋_GBK"/>
                <w:highlight w:val="none"/>
              </w:rPr>
              <w:t>材料、构件、料具等堆放时，应有名称、品种、规格等标牌。</w:t>
            </w:r>
          </w:p>
          <w:p w14:paraId="3C72A6DB">
            <w:pPr>
              <w:pStyle w:val="31"/>
              <w:spacing w:line="300" w:lineRule="exact"/>
              <w:rPr>
                <w:rFonts w:ascii="方正仿宋_GBK" w:eastAsia="方正仿宋_GBK"/>
                <w:highlight w:val="none"/>
              </w:rPr>
            </w:pPr>
            <w:r>
              <w:rPr>
                <w:rFonts w:ascii="方正仿宋_GBK" w:eastAsia="方正仿宋_GBK" w:cs="方正仿宋_GBK"/>
                <w:highlight w:val="none"/>
              </w:rPr>
              <w:t xml:space="preserve">2. </w:t>
            </w:r>
            <w:r>
              <w:rPr>
                <w:rFonts w:hint="eastAsia" w:ascii="方正仿宋_GBK" w:eastAsia="方正仿宋_GBK" w:cs="方正仿宋_GBK"/>
                <w:highlight w:val="none"/>
              </w:rPr>
              <w:t>水泥和其它易飞扬细颗粒建筑材料应封闭存放或采取覆盖等措施。</w:t>
            </w:r>
          </w:p>
          <w:p w14:paraId="6BD0FB9D">
            <w:pPr>
              <w:pStyle w:val="31"/>
              <w:spacing w:line="300" w:lineRule="exact"/>
              <w:rPr>
                <w:rFonts w:ascii="方正仿宋_GBK" w:eastAsia="方正仿宋_GBK"/>
                <w:highlight w:val="none"/>
              </w:rPr>
            </w:pPr>
            <w:r>
              <w:rPr>
                <w:rFonts w:ascii="方正仿宋_GBK" w:eastAsia="方正仿宋_GBK" w:cs="方正仿宋_GBK"/>
                <w:highlight w:val="none"/>
              </w:rPr>
              <w:t xml:space="preserve">3. </w:t>
            </w:r>
            <w:r>
              <w:rPr>
                <w:rFonts w:hint="eastAsia" w:ascii="方正仿宋_GBK" w:eastAsia="方正仿宋_GBK" w:cs="方正仿宋_GBK"/>
                <w:highlight w:val="none"/>
              </w:rPr>
              <w:t>易燃、易爆和有毒有害物品分类存放。</w:t>
            </w:r>
          </w:p>
        </w:tc>
      </w:tr>
      <w:tr w14:paraId="3B40A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7C5E6CF6">
            <w:pPr>
              <w:pStyle w:val="31"/>
              <w:spacing w:line="300" w:lineRule="exact"/>
              <w:jc w:val="center"/>
              <w:rPr>
                <w:rFonts w:ascii="方正仿宋_GBK" w:eastAsia="方正仿宋_GBK"/>
                <w:highlight w:val="none"/>
              </w:rPr>
            </w:pPr>
          </w:p>
        </w:tc>
        <w:tc>
          <w:tcPr>
            <w:tcW w:w="2070" w:type="dxa"/>
            <w:gridSpan w:val="2"/>
            <w:noWrap w:val="0"/>
            <w:vAlign w:val="center"/>
          </w:tcPr>
          <w:p w14:paraId="6C742665">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现场防火</w:t>
            </w:r>
          </w:p>
        </w:tc>
        <w:tc>
          <w:tcPr>
            <w:tcW w:w="6645" w:type="dxa"/>
            <w:noWrap w:val="0"/>
            <w:vAlign w:val="center"/>
          </w:tcPr>
          <w:p w14:paraId="06F14E2F">
            <w:pPr>
              <w:pStyle w:val="31"/>
              <w:spacing w:line="300" w:lineRule="exact"/>
              <w:rPr>
                <w:rFonts w:ascii="方正仿宋_GBK" w:eastAsia="方正仿宋_GBK"/>
                <w:highlight w:val="none"/>
              </w:rPr>
            </w:pPr>
            <w:r>
              <w:rPr>
                <w:rFonts w:hint="eastAsia" w:ascii="方正仿宋_GBK" w:eastAsia="方正仿宋_GBK" w:cs="方正仿宋_GBK"/>
                <w:highlight w:val="none"/>
              </w:rPr>
              <w:t>消防器材配置合理，符合消防要求。</w:t>
            </w:r>
          </w:p>
        </w:tc>
      </w:tr>
      <w:tr w14:paraId="4D9EE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3D23BDC">
            <w:pPr>
              <w:pStyle w:val="31"/>
              <w:spacing w:line="300" w:lineRule="exact"/>
              <w:jc w:val="center"/>
              <w:rPr>
                <w:rFonts w:ascii="方正仿宋_GBK" w:eastAsia="方正仿宋_GBK"/>
                <w:highlight w:val="none"/>
              </w:rPr>
            </w:pPr>
          </w:p>
        </w:tc>
        <w:tc>
          <w:tcPr>
            <w:tcW w:w="2070" w:type="dxa"/>
            <w:gridSpan w:val="2"/>
            <w:noWrap w:val="0"/>
            <w:vAlign w:val="center"/>
          </w:tcPr>
          <w:p w14:paraId="3F9C9AAF">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垃圾清运</w:t>
            </w:r>
          </w:p>
        </w:tc>
        <w:tc>
          <w:tcPr>
            <w:tcW w:w="6645" w:type="dxa"/>
            <w:noWrap w:val="0"/>
            <w:vAlign w:val="center"/>
          </w:tcPr>
          <w:p w14:paraId="26E01E60">
            <w:pPr>
              <w:pStyle w:val="31"/>
              <w:spacing w:line="300" w:lineRule="exact"/>
              <w:rPr>
                <w:rFonts w:ascii="方正仿宋_GBK" w:eastAsia="方正仿宋_GBK"/>
                <w:highlight w:val="none"/>
              </w:rPr>
            </w:pPr>
            <w:r>
              <w:rPr>
                <w:rFonts w:ascii="方正仿宋_GBK" w:eastAsia="方正仿宋_GBK" w:cs="方正仿宋_GBK"/>
                <w:highlight w:val="none"/>
              </w:rPr>
              <w:t xml:space="preserve">1. </w:t>
            </w:r>
            <w:r>
              <w:rPr>
                <w:rFonts w:hint="eastAsia" w:ascii="方正仿宋_GBK" w:eastAsia="方正仿宋_GBK" w:cs="方正仿宋_GBK"/>
                <w:highlight w:val="none"/>
              </w:rPr>
              <w:t>施工现场应设置密闭式垃圾站，施工垃圾、生活垃圾应分类存放。</w:t>
            </w:r>
          </w:p>
          <w:p w14:paraId="2C04D531">
            <w:pPr>
              <w:pStyle w:val="31"/>
              <w:spacing w:line="300" w:lineRule="exact"/>
              <w:rPr>
                <w:rFonts w:ascii="方正仿宋_GBK" w:eastAsia="方正仿宋_GBK"/>
                <w:highlight w:val="none"/>
              </w:rPr>
            </w:pPr>
            <w:r>
              <w:rPr>
                <w:rFonts w:ascii="方正仿宋_GBK" w:eastAsia="方正仿宋_GBK" w:cs="方正仿宋_GBK"/>
                <w:highlight w:val="none"/>
              </w:rPr>
              <w:t xml:space="preserve">2. </w:t>
            </w:r>
            <w:r>
              <w:rPr>
                <w:rFonts w:hint="eastAsia" w:ascii="方正仿宋_GBK" w:eastAsia="方正仿宋_GBK" w:cs="方正仿宋_GBK"/>
                <w:highlight w:val="none"/>
              </w:rPr>
              <w:t>施工垃圾必须采用相应容器或管道运输。</w:t>
            </w:r>
          </w:p>
        </w:tc>
      </w:tr>
      <w:tr w14:paraId="06594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7D7D4CF">
            <w:pPr>
              <w:pStyle w:val="31"/>
              <w:spacing w:line="300" w:lineRule="exact"/>
              <w:jc w:val="center"/>
              <w:rPr>
                <w:rFonts w:ascii="方正仿宋_GBK" w:eastAsia="方正仿宋_GBK"/>
                <w:highlight w:val="none"/>
              </w:rPr>
            </w:pPr>
          </w:p>
        </w:tc>
        <w:tc>
          <w:tcPr>
            <w:tcW w:w="2070" w:type="dxa"/>
            <w:gridSpan w:val="2"/>
            <w:noWrap w:val="0"/>
            <w:vAlign w:val="center"/>
          </w:tcPr>
          <w:p w14:paraId="1FCE7B37">
            <w:pPr>
              <w:pStyle w:val="31"/>
              <w:spacing w:line="300" w:lineRule="exact"/>
              <w:rPr>
                <w:rFonts w:ascii="方正仿宋_GBK" w:eastAsia="方正仿宋_GBK"/>
                <w:highlight w:val="none"/>
              </w:rPr>
            </w:pPr>
            <w:r>
              <w:rPr>
                <w:rFonts w:hint="eastAsia" w:ascii="方正仿宋_GBK" w:eastAsia="方正仿宋_GBK" w:cs="方正仿宋_GBK"/>
                <w:highlight w:val="none"/>
              </w:rPr>
              <w:t>宣传栏、环保及不扰民措施</w:t>
            </w:r>
          </w:p>
        </w:tc>
        <w:tc>
          <w:tcPr>
            <w:tcW w:w="6645" w:type="dxa"/>
            <w:noWrap w:val="0"/>
            <w:vAlign w:val="center"/>
          </w:tcPr>
          <w:p w14:paraId="5F7D87A0">
            <w:pPr>
              <w:pStyle w:val="31"/>
              <w:spacing w:line="300" w:lineRule="exact"/>
              <w:rPr>
                <w:rFonts w:ascii="方正仿宋_GBK" w:eastAsia="方正仿宋_GBK"/>
                <w:highlight w:val="none"/>
              </w:rPr>
            </w:pPr>
            <w:r>
              <w:rPr>
                <w:rFonts w:hint="eastAsia" w:ascii="方正仿宋_GBK" w:eastAsia="方正仿宋_GBK" w:cs="方正仿宋_GBK"/>
                <w:highlight w:val="none"/>
              </w:rPr>
              <w:t>宣传栏、安全宣传标语等，洗车（防止污染市区道路）、粉尘、噪声控制和排污（污水、废气）措施等。</w:t>
            </w:r>
          </w:p>
        </w:tc>
      </w:tr>
      <w:tr w14:paraId="58330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26B1249B">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临时设施</w:t>
            </w:r>
          </w:p>
        </w:tc>
        <w:tc>
          <w:tcPr>
            <w:tcW w:w="2070" w:type="dxa"/>
            <w:gridSpan w:val="2"/>
            <w:noWrap w:val="0"/>
            <w:vAlign w:val="center"/>
          </w:tcPr>
          <w:p w14:paraId="55556179">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现场办公</w:t>
            </w:r>
          </w:p>
          <w:p w14:paraId="74B15AD1">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生活设施</w:t>
            </w:r>
          </w:p>
        </w:tc>
        <w:tc>
          <w:tcPr>
            <w:tcW w:w="6645" w:type="dxa"/>
            <w:noWrap w:val="0"/>
            <w:vAlign w:val="center"/>
          </w:tcPr>
          <w:p w14:paraId="7746472D">
            <w:pPr>
              <w:pStyle w:val="31"/>
              <w:spacing w:line="300" w:lineRule="exact"/>
              <w:rPr>
                <w:rFonts w:ascii="方正仿宋_GBK" w:eastAsia="方正仿宋_GBK"/>
                <w:highlight w:val="none"/>
              </w:rPr>
            </w:pPr>
            <w:r>
              <w:rPr>
                <w:rFonts w:ascii="方正仿宋_GBK" w:eastAsia="方正仿宋_GBK" w:cs="方正仿宋_GBK"/>
                <w:highlight w:val="none"/>
              </w:rPr>
              <w:t xml:space="preserve">1. </w:t>
            </w:r>
            <w:r>
              <w:rPr>
                <w:rFonts w:hint="eastAsia" w:ascii="方正仿宋_GBK" w:eastAsia="方正仿宋_GBK" w:cs="方正仿宋_GBK"/>
                <w:highlight w:val="none"/>
              </w:rPr>
              <w:t>施工现场办公、生活区与作业区分开设置，保持安全距离。</w:t>
            </w:r>
          </w:p>
          <w:p w14:paraId="6C184886">
            <w:pPr>
              <w:pStyle w:val="31"/>
              <w:spacing w:line="300" w:lineRule="exact"/>
              <w:rPr>
                <w:rFonts w:ascii="方正仿宋_GBK" w:eastAsia="方正仿宋_GBK"/>
                <w:highlight w:val="none"/>
              </w:rPr>
            </w:pPr>
            <w:r>
              <w:rPr>
                <w:rFonts w:ascii="方正仿宋_GBK" w:eastAsia="方正仿宋_GBK" w:cs="方正仿宋_GBK"/>
                <w:highlight w:val="none"/>
              </w:rPr>
              <w:t xml:space="preserve">2. </w:t>
            </w:r>
            <w:r>
              <w:rPr>
                <w:rFonts w:hint="eastAsia" w:ascii="方正仿宋_GBK" w:eastAsia="方正仿宋_GBK" w:cs="方正仿宋_GBK"/>
                <w:highlight w:val="none"/>
              </w:rPr>
              <w:t>工地办公室、现场宿舍、食堂、厕所、饮水、沐浴、休息场所等符合卫生、消防安全要求。</w:t>
            </w:r>
          </w:p>
        </w:tc>
      </w:tr>
      <w:tr w14:paraId="686AB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39E30C3">
            <w:pPr>
              <w:pStyle w:val="31"/>
              <w:spacing w:line="300" w:lineRule="exact"/>
              <w:jc w:val="center"/>
              <w:rPr>
                <w:rFonts w:ascii="方正仿宋_GBK" w:eastAsia="方正仿宋_GBK"/>
                <w:highlight w:val="none"/>
              </w:rPr>
            </w:pPr>
          </w:p>
        </w:tc>
        <w:tc>
          <w:tcPr>
            <w:tcW w:w="525" w:type="dxa"/>
            <w:vMerge w:val="restart"/>
            <w:noWrap w:val="0"/>
            <w:vAlign w:val="center"/>
          </w:tcPr>
          <w:p w14:paraId="5EE22F43">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施工现场</w:t>
            </w:r>
          </w:p>
          <w:p w14:paraId="765D0843">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临时用电</w:t>
            </w:r>
          </w:p>
        </w:tc>
        <w:tc>
          <w:tcPr>
            <w:tcW w:w="1545" w:type="dxa"/>
            <w:noWrap w:val="0"/>
            <w:vAlign w:val="center"/>
          </w:tcPr>
          <w:p w14:paraId="168FCE34">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配电线路</w:t>
            </w:r>
          </w:p>
        </w:tc>
        <w:tc>
          <w:tcPr>
            <w:tcW w:w="6645" w:type="dxa"/>
            <w:noWrap w:val="0"/>
            <w:vAlign w:val="center"/>
          </w:tcPr>
          <w:p w14:paraId="137E3843">
            <w:pPr>
              <w:pStyle w:val="31"/>
              <w:spacing w:line="300" w:lineRule="exact"/>
              <w:rPr>
                <w:rFonts w:ascii="方正仿宋_GBK" w:eastAsia="方正仿宋_GBK"/>
                <w:highlight w:val="none"/>
              </w:rPr>
            </w:pPr>
            <w:r>
              <w:rPr>
                <w:rFonts w:ascii="方正仿宋_GBK" w:eastAsia="方正仿宋_GBK" w:cs="方正仿宋_GBK"/>
                <w:highlight w:val="none"/>
              </w:rPr>
              <w:t xml:space="preserve">1. </w:t>
            </w:r>
            <w:r>
              <w:rPr>
                <w:rFonts w:hint="eastAsia" w:ascii="方正仿宋_GBK" w:eastAsia="方正仿宋_GBK" w:cs="方正仿宋_GBK"/>
                <w:highlight w:val="none"/>
              </w:rPr>
              <w:t>按照</w:t>
            </w:r>
            <w:r>
              <w:rPr>
                <w:rFonts w:ascii="方正仿宋_GBK" w:eastAsia="方正仿宋_GBK" w:cs="方正仿宋_GBK"/>
                <w:highlight w:val="none"/>
              </w:rPr>
              <w:t>TN-S</w:t>
            </w:r>
            <w:r>
              <w:rPr>
                <w:rFonts w:hint="eastAsia" w:ascii="方正仿宋_GBK" w:eastAsia="方正仿宋_GBK" w:cs="方正仿宋_GBK"/>
                <w:highlight w:val="none"/>
              </w:rPr>
              <w:t>系统要求配备五芯电缆、四芯电缆和三芯电缆。</w:t>
            </w:r>
          </w:p>
          <w:p w14:paraId="182D9893">
            <w:pPr>
              <w:pStyle w:val="31"/>
              <w:spacing w:line="300" w:lineRule="exact"/>
              <w:rPr>
                <w:rFonts w:ascii="方正仿宋_GBK" w:eastAsia="方正仿宋_GBK"/>
                <w:highlight w:val="none"/>
              </w:rPr>
            </w:pPr>
            <w:r>
              <w:rPr>
                <w:rFonts w:ascii="方正仿宋_GBK" w:eastAsia="方正仿宋_GBK" w:cs="方正仿宋_GBK"/>
                <w:highlight w:val="none"/>
              </w:rPr>
              <w:t xml:space="preserve">2. </w:t>
            </w:r>
            <w:r>
              <w:rPr>
                <w:rFonts w:hint="eastAsia" w:ascii="方正仿宋_GBK" w:eastAsia="方正仿宋_GBK" w:cs="方正仿宋_GBK"/>
                <w:highlight w:val="none"/>
              </w:rPr>
              <w:t>按要求架设临时用电线路的电杆、横担、瓷夹、瓷瓶等，或电缆埋地的地沟。</w:t>
            </w:r>
          </w:p>
          <w:p w14:paraId="0406CFA6">
            <w:pPr>
              <w:pStyle w:val="31"/>
              <w:spacing w:line="300" w:lineRule="exact"/>
              <w:rPr>
                <w:rFonts w:ascii="方正仿宋_GBK" w:eastAsia="方正仿宋_GBK"/>
                <w:highlight w:val="none"/>
              </w:rPr>
            </w:pPr>
            <w:r>
              <w:rPr>
                <w:rFonts w:ascii="方正仿宋_GBK" w:eastAsia="方正仿宋_GBK" w:cs="方正仿宋_GBK"/>
                <w:highlight w:val="none"/>
              </w:rPr>
              <w:t xml:space="preserve">3. </w:t>
            </w:r>
            <w:r>
              <w:rPr>
                <w:rFonts w:hint="eastAsia" w:ascii="方正仿宋_GBK" w:eastAsia="方正仿宋_GBK" w:cs="方正仿宋_GBK"/>
                <w:highlight w:val="none"/>
              </w:rPr>
              <w:t>对靠近施工现场的外电线路，设置木质、塑料等绝缘体的防护设施。</w:t>
            </w:r>
          </w:p>
        </w:tc>
      </w:tr>
      <w:tr w14:paraId="587C8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BF7B2BF">
            <w:pPr>
              <w:pStyle w:val="31"/>
              <w:spacing w:line="300" w:lineRule="exact"/>
              <w:jc w:val="center"/>
              <w:rPr>
                <w:rFonts w:ascii="方正仿宋_GBK" w:eastAsia="方正仿宋_GBK"/>
                <w:highlight w:val="none"/>
              </w:rPr>
            </w:pPr>
          </w:p>
        </w:tc>
        <w:tc>
          <w:tcPr>
            <w:tcW w:w="525" w:type="dxa"/>
            <w:vMerge w:val="continue"/>
            <w:noWrap w:val="0"/>
            <w:vAlign w:val="center"/>
          </w:tcPr>
          <w:p w14:paraId="04648607">
            <w:pPr>
              <w:pStyle w:val="31"/>
              <w:spacing w:line="300" w:lineRule="exact"/>
              <w:jc w:val="center"/>
              <w:rPr>
                <w:rFonts w:ascii="方正仿宋_GBK" w:eastAsia="方正仿宋_GBK"/>
                <w:highlight w:val="none"/>
              </w:rPr>
            </w:pPr>
          </w:p>
        </w:tc>
        <w:tc>
          <w:tcPr>
            <w:tcW w:w="1545" w:type="dxa"/>
            <w:noWrap w:val="0"/>
            <w:vAlign w:val="center"/>
          </w:tcPr>
          <w:p w14:paraId="5DFDC9F4">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配电箱</w:t>
            </w:r>
          </w:p>
          <w:p w14:paraId="6D33C8DF">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开关箱</w:t>
            </w:r>
          </w:p>
        </w:tc>
        <w:tc>
          <w:tcPr>
            <w:tcW w:w="6645" w:type="dxa"/>
            <w:noWrap w:val="0"/>
            <w:vAlign w:val="center"/>
          </w:tcPr>
          <w:p w14:paraId="3CAE2292">
            <w:pPr>
              <w:pStyle w:val="31"/>
              <w:spacing w:line="300" w:lineRule="exact"/>
              <w:rPr>
                <w:rFonts w:ascii="方正仿宋_GBK" w:eastAsia="方正仿宋_GBK"/>
                <w:highlight w:val="none"/>
              </w:rPr>
            </w:pPr>
            <w:r>
              <w:rPr>
                <w:rFonts w:ascii="方正仿宋_GBK" w:eastAsia="方正仿宋_GBK" w:cs="方正仿宋_GBK"/>
                <w:highlight w:val="none"/>
              </w:rPr>
              <w:t xml:space="preserve">1. </w:t>
            </w:r>
            <w:r>
              <w:rPr>
                <w:rFonts w:hint="eastAsia" w:ascii="方正仿宋_GBK" w:eastAsia="方正仿宋_GBK" w:cs="方正仿宋_GBK"/>
                <w:highlight w:val="none"/>
              </w:rPr>
              <w:t>按三级配电要求，配备总配电箱、分配电箱、开关箱三类（铁质）标准电箱，开关箱应符合“一机、一箱、一闸、一漏”，三类电箱中的各类电器应是合格品。</w:t>
            </w:r>
          </w:p>
          <w:p w14:paraId="05290F8C">
            <w:pPr>
              <w:pStyle w:val="31"/>
              <w:spacing w:line="300" w:lineRule="exact"/>
              <w:rPr>
                <w:rFonts w:ascii="方正仿宋_GBK" w:eastAsia="方正仿宋_GBK"/>
                <w:highlight w:val="none"/>
              </w:rPr>
            </w:pPr>
            <w:r>
              <w:rPr>
                <w:rFonts w:ascii="方正仿宋_GBK" w:eastAsia="方正仿宋_GBK" w:cs="方正仿宋_GBK"/>
                <w:highlight w:val="none"/>
              </w:rPr>
              <w:t xml:space="preserve">2. </w:t>
            </w:r>
            <w:r>
              <w:rPr>
                <w:rFonts w:hint="eastAsia" w:ascii="方正仿宋_GBK" w:eastAsia="方正仿宋_GBK" w:cs="方正仿宋_GBK"/>
                <w:highlight w:val="none"/>
              </w:rPr>
              <w:t>按两级保护的要求，选取符合容量要求和质量合格的总配电箱和开关箱中的漏电保护器。</w:t>
            </w:r>
          </w:p>
          <w:p w14:paraId="5A24439E">
            <w:pPr>
              <w:pStyle w:val="31"/>
              <w:spacing w:line="300" w:lineRule="exact"/>
              <w:rPr>
                <w:rFonts w:ascii="方正仿宋_GBK" w:eastAsia="方正仿宋_GBK"/>
                <w:highlight w:val="none"/>
              </w:rPr>
            </w:pPr>
            <w:r>
              <w:rPr>
                <w:rFonts w:ascii="方正仿宋_GBK" w:eastAsia="方正仿宋_GBK" w:cs="方正仿宋_GBK"/>
                <w:highlight w:val="none"/>
              </w:rPr>
              <w:t xml:space="preserve">3. </w:t>
            </w:r>
            <w:r>
              <w:rPr>
                <w:rFonts w:hint="eastAsia" w:ascii="方正仿宋_GBK" w:eastAsia="方正仿宋_GBK" w:cs="方正仿宋_GBK"/>
                <w:highlight w:val="none"/>
              </w:rPr>
              <w:t>对大型、落地式分配电箱、开关箱设置防护棚和通透式围挡。</w:t>
            </w:r>
          </w:p>
        </w:tc>
      </w:tr>
      <w:tr w14:paraId="4FA3E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77F499E0">
            <w:pPr>
              <w:pStyle w:val="31"/>
              <w:spacing w:line="300" w:lineRule="exact"/>
              <w:jc w:val="center"/>
              <w:rPr>
                <w:rFonts w:ascii="方正仿宋_GBK" w:eastAsia="方正仿宋_GBK"/>
                <w:highlight w:val="none"/>
              </w:rPr>
            </w:pPr>
          </w:p>
        </w:tc>
        <w:tc>
          <w:tcPr>
            <w:tcW w:w="525" w:type="dxa"/>
            <w:vMerge w:val="continue"/>
            <w:noWrap w:val="0"/>
            <w:vAlign w:val="center"/>
          </w:tcPr>
          <w:p w14:paraId="7F85D8EC">
            <w:pPr>
              <w:pStyle w:val="31"/>
              <w:spacing w:line="300" w:lineRule="exact"/>
              <w:jc w:val="center"/>
              <w:rPr>
                <w:rFonts w:ascii="方正仿宋_GBK" w:eastAsia="方正仿宋_GBK"/>
                <w:highlight w:val="none"/>
              </w:rPr>
            </w:pPr>
          </w:p>
        </w:tc>
        <w:tc>
          <w:tcPr>
            <w:tcW w:w="1545" w:type="dxa"/>
            <w:noWrap w:val="0"/>
            <w:vAlign w:val="center"/>
          </w:tcPr>
          <w:p w14:paraId="5803DA95">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接地装置</w:t>
            </w:r>
          </w:p>
        </w:tc>
        <w:tc>
          <w:tcPr>
            <w:tcW w:w="6645" w:type="dxa"/>
            <w:noWrap w:val="0"/>
            <w:vAlign w:val="center"/>
          </w:tcPr>
          <w:p w14:paraId="73EAA598">
            <w:pPr>
              <w:pStyle w:val="31"/>
              <w:spacing w:line="300" w:lineRule="exact"/>
              <w:rPr>
                <w:rFonts w:ascii="方正仿宋_GBK" w:eastAsia="方正仿宋_GBK"/>
                <w:highlight w:val="none"/>
              </w:rPr>
            </w:pPr>
            <w:r>
              <w:rPr>
                <w:rFonts w:hint="eastAsia" w:ascii="方正仿宋_GBK" w:eastAsia="方正仿宋_GBK" w:cs="方正仿宋_GBK"/>
                <w:highlight w:val="none"/>
              </w:rPr>
              <w:t>施工现场应设置不少于三处的重复接地装置。</w:t>
            </w:r>
          </w:p>
        </w:tc>
      </w:tr>
      <w:tr w14:paraId="08899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0223347A">
            <w:pPr>
              <w:pStyle w:val="31"/>
              <w:spacing w:line="300" w:lineRule="exact"/>
              <w:jc w:val="center"/>
              <w:rPr>
                <w:rFonts w:ascii="方正仿宋_GBK" w:eastAsia="方正仿宋_GBK"/>
                <w:highlight w:val="none"/>
              </w:rPr>
            </w:pPr>
          </w:p>
        </w:tc>
        <w:tc>
          <w:tcPr>
            <w:tcW w:w="525" w:type="dxa"/>
            <w:vMerge w:val="continue"/>
            <w:noWrap w:val="0"/>
            <w:vAlign w:val="center"/>
          </w:tcPr>
          <w:p w14:paraId="6F2E426C">
            <w:pPr>
              <w:pStyle w:val="31"/>
              <w:spacing w:line="300" w:lineRule="exact"/>
              <w:jc w:val="center"/>
              <w:rPr>
                <w:rFonts w:ascii="方正仿宋_GBK" w:eastAsia="方正仿宋_GBK"/>
                <w:highlight w:val="none"/>
              </w:rPr>
            </w:pPr>
          </w:p>
        </w:tc>
        <w:tc>
          <w:tcPr>
            <w:tcW w:w="1545" w:type="dxa"/>
            <w:noWrap w:val="0"/>
            <w:vAlign w:val="center"/>
          </w:tcPr>
          <w:p w14:paraId="4F80972D">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现场变配电装置</w:t>
            </w:r>
          </w:p>
        </w:tc>
        <w:tc>
          <w:tcPr>
            <w:tcW w:w="6645" w:type="dxa"/>
            <w:noWrap w:val="0"/>
            <w:vAlign w:val="center"/>
          </w:tcPr>
          <w:p w14:paraId="20B1A414">
            <w:pPr>
              <w:pStyle w:val="31"/>
              <w:spacing w:line="300" w:lineRule="exact"/>
              <w:rPr>
                <w:rFonts w:ascii="方正仿宋_GBK" w:eastAsia="方正仿宋_GBK"/>
                <w:highlight w:val="none"/>
              </w:rPr>
            </w:pPr>
            <w:r>
              <w:rPr>
                <w:rFonts w:hint="eastAsia" w:ascii="方正仿宋_GBK" w:eastAsia="方正仿宋_GBK" w:cs="方正仿宋_GBK"/>
                <w:highlight w:val="none"/>
              </w:rPr>
              <w:t>总配电房建筑材料必须达到消防防火要求，室内做硬地坪、电缆沟。</w:t>
            </w:r>
          </w:p>
        </w:tc>
      </w:tr>
      <w:tr w14:paraId="53B24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0EFD5835">
            <w:pPr>
              <w:pStyle w:val="31"/>
              <w:spacing w:line="300" w:lineRule="exact"/>
              <w:jc w:val="center"/>
              <w:rPr>
                <w:rFonts w:ascii="方正仿宋_GBK" w:eastAsia="方正仿宋_GBK"/>
                <w:b/>
                <w:bCs/>
                <w:highlight w:val="none"/>
              </w:rPr>
            </w:pPr>
            <w:r>
              <w:rPr>
                <w:rFonts w:hint="eastAsia" w:ascii="方正仿宋_GBK" w:eastAsia="方正仿宋_GBK" w:cs="方正仿宋_GBK"/>
                <w:b/>
                <w:bCs/>
                <w:highlight w:val="none"/>
              </w:rPr>
              <w:t>类别</w:t>
            </w:r>
          </w:p>
        </w:tc>
        <w:tc>
          <w:tcPr>
            <w:tcW w:w="2070" w:type="dxa"/>
            <w:gridSpan w:val="2"/>
            <w:noWrap w:val="0"/>
            <w:vAlign w:val="center"/>
          </w:tcPr>
          <w:p w14:paraId="2B7ED436">
            <w:pPr>
              <w:pStyle w:val="31"/>
              <w:spacing w:line="300" w:lineRule="exact"/>
              <w:jc w:val="center"/>
              <w:rPr>
                <w:rFonts w:ascii="方正仿宋_GBK" w:eastAsia="方正仿宋_GBK"/>
                <w:b/>
                <w:bCs/>
                <w:highlight w:val="none"/>
              </w:rPr>
            </w:pPr>
            <w:r>
              <w:rPr>
                <w:rFonts w:hint="eastAsia" w:ascii="方正仿宋_GBK" w:eastAsia="方正仿宋_GBK" w:cs="方正仿宋_GBK"/>
                <w:b/>
                <w:bCs/>
                <w:highlight w:val="none"/>
              </w:rPr>
              <w:t>项目名称</w:t>
            </w:r>
          </w:p>
        </w:tc>
        <w:tc>
          <w:tcPr>
            <w:tcW w:w="6645" w:type="dxa"/>
            <w:noWrap w:val="0"/>
            <w:vAlign w:val="center"/>
          </w:tcPr>
          <w:p w14:paraId="48071A97">
            <w:pPr>
              <w:pStyle w:val="31"/>
              <w:spacing w:line="300" w:lineRule="exact"/>
              <w:jc w:val="center"/>
              <w:rPr>
                <w:rFonts w:ascii="方正仿宋_GBK" w:eastAsia="方正仿宋_GBK"/>
                <w:b/>
                <w:bCs/>
                <w:highlight w:val="none"/>
              </w:rPr>
            </w:pPr>
            <w:r>
              <w:rPr>
                <w:rFonts w:hint="eastAsia" w:ascii="方正仿宋_GBK" w:eastAsia="方正仿宋_GBK" w:cs="方正仿宋_GBK"/>
                <w:b/>
                <w:bCs/>
                <w:highlight w:val="none"/>
              </w:rPr>
              <w:t>主要内容和要求</w:t>
            </w:r>
          </w:p>
        </w:tc>
      </w:tr>
      <w:tr w14:paraId="2B80E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0BCA771A">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安全施工</w:t>
            </w:r>
          </w:p>
        </w:tc>
        <w:tc>
          <w:tcPr>
            <w:tcW w:w="525" w:type="dxa"/>
            <w:vMerge w:val="restart"/>
            <w:noWrap w:val="0"/>
            <w:vAlign w:val="center"/>
          </w:tcPr>
          <w:p w14:paraId="478B668B">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高处作业防护</w:t>
            </w:r>
          </w:p>
        </w:tc>
        <w:tc>
          <w:tcPr>
            <w:tcW w:w="1545" w:type="dxa"/>
            <w:noWrap w:val="0"/>
            <w:vAlign w:val="center"/>
          </w:tcPr>
          <w:p w14:paraId="5A592DF0">
            <w:pPr>
              <w:pStyle w:val="31"/>
              <w:spacing w:line="300" w:lineRule="exact"/>
              <w:rPr>
                <w:rFonts w:ascii="方正仿宋_GBK" w:eastAsia="方正仿宋_GBK"/>
                <w:highlight w:val="none"/>
              </w:rPr>
            </w:pPr>
            <w:r>
              <w:rPr>
                <w:rFonts w:hint="eastAsia" w:ascii="方正仿宋_GBK" w:eastAsia="方正仿宋_GBK" w:cs="方正仿宋_GBK"/>
                <w:highlight w:val="none"/>
              </w:rPr>
              <w:t>楼层、屋面、阳台等临边</w:t>
            </w:r>
          </w:p>
        </w:tc>
        <w:tc>
          <w:tcPr>
            <w:tcW w:w="6645" w:type="dxa"/>
            <w:noWrap w:val="0"/>
            <w:vAlign w:val="center"/>
          </w:tcPr>
          <w:p w14:paraId="1862B5A7">
            <w:pPr>
              <w:pStyle w:val="31"/>
              <w:spacing w:line="300" w:lineRule="exact"/>
              <w:rPr>
                <w:rFonts w:ascii="方正仿宋_GBK" w:eastAsia="方正仿宋_GBK"/>
                <w:highlight w:val="none"/>
              </w:rPr>
            </w:pPr>
            <w:r>
              <w:rPr>
                <w:rFonts w:hint="eastAsia" w:ascii="方正仿宋_GBK" w:eastAsia="方正仿宋_GBK" w:cs="方正仿宋_GBK"/>
                <w:highlight w:val="none"/>
              </w:rPr>
              <w:t>设两道防护栏杆和</w:t>
            </w:r>
            <w:r>
              <w:rPr>
                <w:rFonts w:ascii="方正仿宋_GBK" w:eastAsia="方正仿宋_GBK" w:cs="方正仿宋_GBK"/>
                <w:highlight w:val="none"/>
              </w:rPr>
              <w:t>18cm</w:t>
            </w:r>
            <w:r>
              <w:rPr>
                <w:rFonts w:hint="eastAsia" w:ascii="方正仿宋_GBK" w:eastAsia="方正仿宋_GBK" w:cs="方正仿宋_GBK"/>
                <w:highlight w:val="none"/>
              </w:rPr>
              <w:t>高的踢脚板，用密目式安全立网全封闭。</w:t>
            </w:r>
          </w:p>
        </w:tc>
      </w:tr>
      <w:tr w14:paraId="5981F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745CBEA">
            <w:pPr>
              <w:pStyle w:val="31"/>
              <w:spacing w:line="300" w:lineRule="exact"/>
              <w:jc w:val="center"/>
              <w:rPr>
                <w:rFonts w:ascii="方正仿宋_GBK" w:eastAsia="方正仿宋_GBK"/>
                <w:highlight w:val="none"/>
              </w:rPr>
            </w:pPr>
          </w:p>
        </w:tc>
        <w:tc>
          <w:tcPr>
            <w:tcW w:w="525" w:type="dxa"/>
            <w:vMerge w:val="continue"/>
            <w:noWrap w:val="0"/>
            <w:vAlign w:val="center"/>
          </w:tcPr>
          <w:p w14:paraId="59AABF3D">
            <w:pPr>
              <w:pStyle w:val="31"/>
              <w:spacing w:line="300" w:lineRule="exact"/>
              <w:jc w:val="center"/>
              <w:rPr>
                <w:rFonts w:ascii="方正仿宋_GBK" w:eastAsia="方正仿宋_GBK"/>
                <w:highlight w:val="none"/>
              </w:rPr>
            </w:pPr>
          </w:p>
        </w:tc>
        <w:tc>
          <w:tcPr>
            <w:tcW w:w="1545" w:type="dxa"/>
            <w:noWrap w:val="0"/>
            <w:vAlign w:val="center"/>
          </w:tcPr>
          <w:p w14:paraId="034E89A4">
            <w:pPr>
              <w:pStyle w:val="31"/>
              <w:spacing w:line="300" w:lineRule="exact"/>
              <w:rPr>
                <w:rFonts w:ascii="方正仿宋_GBK" w:eastAsia="方正仿宋_GBK"/>
                <w:highlight w:val="none"/>
              </w:rPr>
            </w:pPr>
            <w:r>
              <w:rPr>
                <w:rFonts w:hint="eastAsia" w:ascii="方正仿宋_GBK" w:eastAsia="方正仿宋_GBK" w:cs="方正仿宋_GBK"/>
                <w:highlight w:val="none"/>
              </w:rPr>
              <w:t>通道口</w:t>
            </w:r>
          </w:p>
        </w:tc>
        <w:tc>
          <w:tcPr>
            <w:tcW w:w="6645" w:type="dxa"/>
            <w:noWrap w:val="0"/>
            <w:vAlign w:val="center"/>
          </w:tcPr>
          <w:p w14:paraId="5E5648A5">
            <w:pPr>
              <w:pStyle w:val="31"/>
              <w:spacing w:line="300" w:lineRule="exact"/>
              <w:rPr>
                <w:rFonts w:ascii="方正仿宋_GBK" w:eastAsia="方正仿宋_GBK"/>
                <w:highlight w:val="none"/>
              </w:rPr>
            </w:pPr>
            <w:r>
              <w:rPr>
                <w:rFonts w:hint="eastAsia" w:ascii="方正仿宋_GBK" w:eastAsia="方正仿宋_GBK" w:cs="方正仿宋_GBK"/>
                <w:highlight w:val="none"/>
              </w:rPr>
              <w:t>设防护棚，防护棚应为不小于</w:t>
            </w:r>
            <w:r>
              <w:rPr>
                <w:rFonts w:ascii="方正仿宋_GBK" w:eastAsia="方正仿宋_GBK" w:cs="方正仿宋_GBK"/>
                <w:highlight w:val="none"/>
              </w:rPr>
              <w:t>5cm</w:t>
            </w:r>
            <w:r>
              <w:rPr>
                <w:rFonts w:hint="eastAsia" w:ascii="方正仿宋_GBK" w:eastAsia="方正仿宋_GBK" w:cs="方正仿宋_GBK"/>
                <w:highlight w:val="none"/>
              </w:rPr>
              <w:t>厚的木板或两道相距</w:t>
            </w:r>
            <w:r>
              <w:rPr>
                <w:rFonts w:ascii="方正仿宋_GBK" w:eastAsia="方正仿宋_GBK" w:cs="方正仿宋_GBK"/>
                <w:highlight w:val="none"/>
              </w:rPr>
              <w:t>50cm</w:t>
            </w:r>
            <w:r>
              <w:rPr>
                <w:rFonts w:hint="eastAsia" w:ascii="方正仿宋_GBK" w:eastAsia="方正仿宋_GBK" w:cs="方正仿宋_GBK"/>
                <w:highlight w:val="none"/>
              </w:rPr>
              <w:t>的竹笆。两侧应沿栏杆架用密目式安全网封闭。</w:t>
            </w:r>
          </w:p>
        </w:tc>
      </w:tr>
      <w:tr w14:paraId="2D562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1FCC909">
            <w:pPr>
              <w:pStyle w:val="31"/>
              <w:spacing w:line="300" w:lineRule="exact"/>
              <w:jc w:val="center"/>
              <w:rPr>
                <w:rFonts w:ascii="方正仿宋_GBK" w:eastAsia="方正仿宋_GBK"/>
                <w:highlight w:val="none"/>
              </w:rPr>
            </w:pPr>
          </w:p>
        </w:tc>
        <w:tc>
          <w:tcPr>
            <w:tcW w:w="525" w:type="dxa"/>
            <w:vMerge w:val="continue"/>
            <w:noWrap w:val="0"/>
            <w:vAlign w:val="center"/>
          </w:tcPr>
          <w:p w14:paraId="4C19B091">
            <w:pPr>
              <w:pStyle w:val="31"/>
              <w:spacing w:line="300" w:lineRule="exact"/>
              <w:jc w:val="center"/>
              <w:rPr>
                <w:rFonts w:ascii="方正仿宋_GBK" w:eastAsia="方正仿宋_GBK"/>
                <w:highlight w:val="none"/>
              </w:rPr>
            </w:pPr>
          </w:p>
        </w:tc>
        <w:tc>
          <w:tcPr>
            <w:tcW w:w="1545" w:type="dxa"/>
            <w:noWrap w:val="0"/>
            <w:vAlign w:val="center"/>
          </w:tcPr>
          <w:p w14:paraId="58230E70">
            <w:pPr>
              <w:pStyle w:val="31"/>
              <w:spacing w:line="300" w:lineRule="exact"/>
              <w:rPr>
                <w:rFonts w:ascii="方正仿宋_GBK" w:eastAsia="方正仿宋_GBK"/>
                <w:highlight w:val="none"/>
              </w:rPr>
            </w:pPr>
            <w:r>
              <w:rPr>
                <w:rFonts w:hint="eastAsia" w:ascii="方正仿宋_GBK" w:eastAsia="方正仿宋_GBK" w:cs="方正仿宋_GBK"/>
                <w:highlight w:val="none"/>
              </w:rPr>
              <w:t>预留洞口</w:t>
            </w:r>
          </w:p>
        </w:tc>
        <w:tc>
          <w:tcPr>
            <w:tcW w:w="6645" w:type="dxa"/>
            <w:noWrap w:val="0"/>
            <w:vAlign w:val="center"/>
          </w:tcPr>
          <w:p w14:paraId="008A24F9">
            <w:pPr>
              <w:pStyle w:val="31"/>
              <w:spacing w:line="300" w:lineRule="exact"/>
              <w:rPr>
                <w:rFonts w:ascii="方正仿宋_GBK" w:eastAsia="方正仿宋_GBK"/>
                <w:highlight w:val="none"/>
              </w:rPr>
            </w:pPr>
            <w:r>
              <w:rPr>
                <w:rFonts w:hint="eastAsia" w:ascii="方正仿宋_GBK" w:eastAsia="方正仿宋_GBK" w:cs="方正仿宋_GBK"/>
                <w:highlight w:val="none"/>
              </w:rPr>
              <w:t>用硬质材料全封闭，短边超过</w:t>
            </w:r>
            <w:r>
              <w:rPr>
                <w:rFonts w:ascii="方正仿宋_GBK" w:eastAsia="方正仿宋_GBK" w:cs="方正仿宋_GBK"/>
                <w:highlight w:val="none"/>
              </w:rPr>
              <w:t>1.5m</w:t>
            </w:r>
            <w:r>
              <w:rPr>
                <w:rFonts w:hint="eastAsia" w:ascii="方正仿宋_GBK" w:eastAsia="方正仿宋_GBK" w:cs="方正仿宋_GBK"/>
                <w:highlight w:val="none"/>
              </w:rPr>
              <w:t>长的洞口，除封闭外四周还应设有防护栏杆。</w:t>
            </w:r>
          </w:p>
        </w:tc>
      </w:tr>
      <w:tr w14:paraId="61BCE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67E28B9E">
            <w:pPr>
              <w:pStyle w:val="31"/>
              <w:spacing w:line="300" w:lineRule="exact"/>
              <w:jc w:val="center"/>
              <w:rPr>
                <w:rFonts w:ascii="方正仿宋_GBK" w:eastAsia="方正仿宋_GBK"/>
                <w:highlight w:val="none"/>
              </w:rPr>
            </w:pPr>
          </w:p>
        </w:tc>
        <w:tc>
          <w:tcPr>
            <w:tcW w:w="525" w:type="dxa"/>
            <w:vMerge w:val="continue"/>
            <w:noWrap w:val="0"/>
            <w:vAlign w:val="center"/>
          </w:tcPr>
          <w:p w14:paraId="5B1B0087">
            <w:pPr>
              <w:pStyle w:val="31"/>
              <w:spacing w:line="300" w:lineRule="exact"/>
              <w:jc w:val="center"/>
              <w:rPr>
                <w:rFonts w:ascii="方正仿宋_GBK" w:eastAsia="方正仿宋_GBK"/>
                <w:highlight w:val="none"/>
              </w:rPr>
            </w:pPr>
          </w:p>
        </w:tc>
        <w:tc>
          <w:tcPr>
            <w:tcW w:w="1545" w:type="dxa"/>
            <w:noWrap w:val="0"/>
            <w:vAlign w:val="center"/>
          </w:tcPr>
          <w:p w14:paraId="0545FA7D">
            <w:pPr>
              <w:pStyle w:val="31"/>
              <w:spacing w:line="300" w:lineRule="exact"/>
              <w:rPr>
                <w:rFonts w:ascii="方正仿宋_GBK" w:eastAsia="方正仿宋_GBK"/>
                <w:highlight w:val="none"/>
              </w:rPr>
            </w:pPr>
            <w:r>
              <w:rPr>
                <w:rFonts w:hint="eastAsia" w:ascii="方正仿宋_GBK" w:eastAsia="方正仿宋_GBK" w:cs="方正仿宋_GBK"/>
                <w:highlight w:val="none"/>
              </w:rPr>
              <w:t>电梯井口</w:t>
            </w:r>
          </w:p>
        </w:tc>
        <w:tc>
          <w:tcPr>
            <w:tcW w:w="6645" w:type="dxa"/>
            <w:noWrap w:val="0"/>
            <w:vAlign w:val="center"/>
          </w:tcPr>
          <w:p w14:paraId="791C485C">
            <w:pPr>
              <w:pStyle w:val="31"/>
              <w:spacing w:line="300" w:lineRule="exact"/>
              <w:rPr>
                <w:rFonts w:ascii="方正仿宋_GBK" w:eastAsia="方正仿宋_GBK"/>
                <w:highlight w:val="none"/>
              </w:rPr>
            </w:pPr>
            <w:r>
              <w:rPr>
                <w:rFonts w:hint="eastAsia" w:ascii="方正仿宋_GBK" w:eastAsia="方正仿宋_GBK" w:cs="方正仿宋_GBK"/>
                <w:highlight w:val="none"/>
              </w:rPr>
              <w:t>设置定型化、工具化的防护门，在电梯井内每隔</w:t>
            </w:r>
            <w:r>
              <w:rPr>
                <w:rFonts w:ascii="方正仿宋_GBK" w:eastAsia="方正仿宋_GBK" w:cs="方正仿宋_GBK"/>
                <w:highlight w:val="none"/>
              </w:rPr>
              <w:t>2</w:t>
            </w:r>
            <w:r>
              <w:rPr>
                <w:rFonts w:hint="eastAsia" w:ascii="方正仿宋_GBK" w:eastAsia="方正仿宋_GBK" w:cs="方正仿宋_GBK"/>
                <w:highlight w:val="none"/>
              </w:rPr>
              <w:t>层（不大于</w:t>
            </w:r>
            <w:r>
              <w:rPr>
                <w:rFonts w:ascii="方正仿宋_GBK" w:eastAsia="方正仿宋_GBK" w:cs="方正仿宋_GBK"/>
                <w:highlight w:val="none"/>
              </w:rPr>
              <w:t>10m</w:t>
            </w:r>
            <w:r>
              <w:rPr>
                <w:rFonts w:hint="eastAsia" w:ascii="方正仿宋_GBK" w:eastAsia="方正仿宋_GBK" w:cs="方正仿宋_GBK"/>
                <w:highlight w:val="none"/>
              </w:rPr>
              <w:t>）设置一道水平防护。</w:t>
            </w:r>
          </w:p>
        </w:tc>
      </w:tr>
      <w:tr w14:paraId="6B96C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2DDAF56">
            <w:pPr>
              <w:pStyle w:val="31"/>
              <w:spacing w:line="300" w:lineRule="exact"/>
              <w:jc w:val="center"/>
              <w:rPr>
                <w:rFonts w:ascii="方正仿宋_GBK" w:eastAsia="方正仿宋_GBK"/>
                <w:highlight w:val="none"/>
              </w:rPr>
            </w:pPr>
          </w:p>
        </w:tc>
        <w:tc>
          <w:tcPr>
            <w:tcW w:w="525" w:type="dxa"/>
            <w:vMerge w:val="continue"/>
            <w:noWrap w:val="0"/>
            <w:vAlign w:val="center"/>
          </w:tcPr>
          <w:p w14:paraId="36E3FAEC">
            <w:pPr>
              <w:pStyle w:val="31"/>
              <w:spacing w:line="300" w:lineRule="exact"/>
              <w:jc w:val="center"/>
              <w:rPr>
                <w:rFonts w:ascii="方正仿宋_GBK" w:eastAsia="方正仿宋_GBK"/>
                <w:highlight w:val="none"/>
              </w:rPr>
            </w:pPr>
          </w:p>
        </w:tc>
        <w:tc>
          <w:tcPr>
            <w:tcW w:w="1545" w:type="dxa"/>
            <w:noWrap w:val="0"/>
            <w:vAlign w:val="center"/>
          </w:tcPr>
          <w:p w14:paraId="15F189EC">
            <w:pPr>
              <w:pStyle w:val="31"/>
              <w:spacing w:line="300" w:lineRule="exact"/>
              <w:rPr>
                <w:rFonts w:ascii="方正仿宋_GBK" w:eastAsia="方正仿宋_GBK"/>
                <w:highlight w:val="none"/>
              </w:rPr>
            </w:pPr>
            <w:r>
              <w:rPr>
                <w:rFonts w:hint="eastAsia" w:ascii="方正仿宋_GBK" w:eastAsia="方正仿宋_GBK" w:cs="方正仿宋_GBK"/>
                <w:highlight w:val="none"/>
              </w:rPr>
              <w:t>楼梯边</w:t>
            </w:r>
          </w:p>
        </w:tc>
        <w:tc>
          <w:tcPr>
            <w:tcW w:w="6645" w:type="dxa"/>
            <w:noWrap w:val="0"/>
            <w:vAlign w:val="center"/>
          </w:tcPr>
          <w:p w14:paraId="03730592">
            <w:pPr>
              <w:pStyle w:val="31"/>
              <w:spacing w:line="300" w:lineRule="exact"/>
              <w:rPr>
                <w:rFonts w:ascii="方正仿宋_GBK" w:eastAsia="方正仿宋_GBK"/>
                <w:highlight w:val="none"/>
              </w:rPr>
            </w:pPr>
            <w:r>
              <w:rPr>
                <w:rFonts w:hint="eastAsia" w:ascii="方正仿宋_GBK" w:eastAsia="方正仿宋_GBK" w:cs="方正仿宋_GBK"/>
                <w:highlight w:val="none"/>
              </w:rPr>
              <w:t>设</w:t>
            </w:r>
            <w:r>
              <w:rPr>
                <w:rFonts w:ascii="方正仿宋_GBK" w:eastAsia="方正仿宋_GBK" w:cs="方正仿宋_GBK"/>
                <w:highlight w:val="none"/>
              </w:rPr>
              <w:t>1.2m</w:t>
            </w:r>
            <w:r>
              <w:rPr>
                <w:rFonts w:hint="eastAsia" w:ascii="方正仿宋_GBK" w:eastAsia="方正仿宋_GBK" w:cs="方正仿宋_GBK"/>
                <w:highlight w:val="none"/>
              </w:rPr>
              <w:t>高的定型化、工具化的防护栏，</w:t>
            </w:r>
            <w:r>
              <w:rPr>
                <w:rFonts w:ascii="方正仿宋_GBK" w:eastAsia="方正仿宋_GBK" w:cs="方正仿宋_GBK"/>
                <w:highlight w:val="none"/>
              </w:rPr>
              <w:t>18cm</w:t>
            </w:r>
            <w:r>
              <w:rPr>
                <w:rFonts w:hint="eastAsia" w:ascii="方正仿宋_GBK" w:eastAsia="方正仿宋_GBK" w:cs="方正仿宋_GBK"/>
                <w:highlight w:val="none"/>
              </w:rPr>
              <w:t>高的踢脚板。</w:t>
            </w:r>
          </w:p>
        </w:tc>
      </w:tr>
      <w:tr w14:paraId="08015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0F23814">
            <w:pPr>
              <w:pStyle w:val="31"/>
              <w:spacing w:line="300" w:lineRule="exact"/>
              <w:jc w:val="center"/>
              <w:rPr>
                <w:rFonts w:ascii="方正仿宋_GBK" w:eastAsia="方正仿宋_GBK"/>
                <w:highlight w:val="none"/>
              </w:rPr>
            </w:pPr>
          </w:p>
        </w:tc>
        <w:tc>
          <w:tcPr>
            <w:tcW w:w="525" w:type="dxa"/>
            <w:vMerge w:val="continue"/>
            <w:noWrap w:val="0"/>
            <w:vAlign w:val="center"/>
          </w:tcPr>
          <w:p w14:paraId="0EB6F740">
            <w:pPr>
              <w:pStyle w:val="31"/>
              <w:spacing w:line="300" w:lineRule="exact"/>
              <w:jc w:val="center"/>
              <w:rPr>
                <w:rFonts w:ascii="方正仿宋_GBK" w:eastAsia="方正仿宋_GBK"/>
                <w:highlight w:val="none"/>
              </w:rPr>
            </w:pPr>
          </w:p>
        </w:tc>
        <w:tc>
          <w:tcPr>
            <w:tcW w:w="1545" w:type="dxa"/>
            <w:noWrap w:val="0"/>
            <w:vAlign w:val="center"/>
          </w:tcPr>
          <w:p w14:paraId="144304CC">
            <w:pPr>
              <w:pStyle w:val="31"/>
              <w:spacing w:line="300" w:lineRule="exact"/>
              <w:rPr>
                <w:rFonts w:ascii="方正仿宋_GBK" w:eastAsia="方正仿宋_GBK"/>
                <w:highlight w:val="none"/>
              </w:rPr>
            </w:pPr>
            <w:r>
              <w:rPr>
                <w:rFonts w:hint="eastAsia" w:ascii="方正仿宋_GBK" w:eastAsia="方正仿宋_GBK" w:cs="方正仿宋_GBK"/>
                <w:highlight w:val="none"/>
              </w:rPr>
              <w:t>垂直方向交叉作业</w:t>
            </w:r>
          </w:p>
        </w:tc>
        <w:tc>
          <w:tcPr>
            <w:tcW w:w="6645" w:type="dxa"/>
            <w:noWrap w:val="0"/>
            <w:vAlign w:val="center"/>
          </w:tcPr>
          <w:p w14:paraId="39BC593D">
            <w:pPr>
              <w:pStyle w:val="31"/>
              <w:spacing w:line="300" w:lineRule="exact"/>
              <w:rPr>
                <w:rFonts w:ascii="方正仿宋_GBK" w:eastAsia="方正仿宋_GBK"/>
                <w:highlight w:val="none"/>
              </w:rPr>
            </w:pPr>
            <w:r>
              <w:rPr>
                <w:rFonts w:hint="eastAsia" w:ascii="方正仿宋_GBK" w:eastAsia="方正仿宋_GBK" w:cs="方正仿宋_GBK"/>
                <w:highlight w:val="none"/>
              </w:rPr>
              <w:t>设置防护隔离棚或其它设施。</w:t>
            </w:r>
          </w:p>
        </w:tc>
      </w:tr>
      <w:tr w14:paraId="0D4C0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34D9700">
            <w:pPr>
              <w:pStyle w:val="31"/>
              <w:spacing w:line="300" w:lineRule="exact"/>
              <w:jc w:val="center"/>
              <w:rPr>
                <w:rFonts w:ascii="方正仿宋_GBK" w:eastAsia="方正仿宋_GBK"/>
                <w:highlight w:val="none"/>
              </w:rPr>
            </w:pPr>
          </w:p>
        </w:tc>
        <w:tc>
          <w:tcPr>
            <w:tcW w:w="525" w:type="dxa"/>
            <w:vMerge w:val="continue"/>
            <w:noWrap w:val="0"/>
            <w:vAlign w:val="center"/>
          </w:tcPr>
          <w:p w14:paraId="3F15E9BF">
            <w:pPr>
              <w:pStyle w:val="31"/>
              <w:spacing w:line="300" w:lineRule="exact"/>
              <w:jc w:val="center"/>
              <w:rPr>
                <w:rFonts w:ascii="方正仿宋_GBK" w:eastAsia="方正仿宋_GBK"/>
                <w:highlight w:val="none"/>
              </w:rPr>
            </w:pPr>
          </w:p>
        </w:tc>
        <w:tc>
          <w:tcPr>
            <w:tcW w:w="1545" w:type="dxa"/>
            <w:noWrap w:val="0"/>
            <w:vAlign w:val="center"/>
          </w:tcPr>
          <w:p w14:paraId="69D68C05">
            <w:pPr>
              <w:pStyle w:val="31"/>
              <w:spacing w:line="300" w:lineRule="exact"/>
              <w:rPr>
                <w:rFonts w:ascii="方正仿宋_GBK" w:eastAsia="方正仿宋_GBK"/>
                <w:highlight w:val="none"/>
              </w:rPr>
            </w:pPr>
            <w:r>
              <w:rPr>
                <w:rFonts w:hint="eastAsia" w:ascii="方正仿宋_GBK" w:eastAsia="方正仿宋_GBK" w:cs="方正仿宋_GBK"/>
                <w:highlight w:val="none"/>
              </w:rPr>
              <w:t>高处作业</w:t>
            </w:r>
          </w:p>
        </w:tc>
        <w:tc>
          <w:tcPr>
            <w:tcW w:w="6645" w:type="dxa"/>
            <w:noWrap w:val="0"/>
            <w:vAlign w:val="center"/>
          </w:tcPr>
          <w:p w14:paraId="0A96FE78">
            <w:pPr>
              <w:pStyle w:val="31"/>
              <w:spacing w:line="300" w:lineRule="exact"/>
              <w:rPr>
                <w:rFonts w:ascii="方正仿宋_GBK" w:eastAsia="方正仿宋_GBK"/>
                <w:highlight w:val="none"/>
              </w:rPr>
            </w:pPr>
            <w:r>
              <w:rPr>
                <w:rFonts w:hint="eastAsia" w:ascii="方正仿宋_GBK" w:eastAsia="方正仿宋_GBK" w:cs="方正仿宋_GBK"/>
                <w:highlight w:val="none"/>
              </w:rPr>
              <w:t>有悬挂安全带的悬索或其它设施，有操作平台，有上下的梯子或其它形式的通道。</w:t>
            </w:r>
          </w:p>
        </w:tc>
      </w:tr>
      <w:tr w14:paraId="44CD0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611BEC2">
            <w:pPr>
              <w:pStyle w:val="31"/>
              <w:spacing w:line="300" w:lineRule="exact"/>
              <w:jc w:val="center"/>
              <w:rPr>
                <w:rFonts w:ascii="方正仿宋_GBK" w:eastAsia="方正仿宋_GBK"/>
                <w:highlight w:val="none"/>
              </w:rPr>
            </w:pPr>
          </w:p>
        </w:tc>
        <w:tc>
          <w:tcPr>
            <w:tcW w:w="525" w:type="dxa"/>
            <w:vMerge w:val="continue"/>
            <w:noWrap w:val="0"/>
            <w:vAlign w:val="center"/>
          </w:tcPr>
          <w:p w14:paraId="7C352D1E">
            <w:pPr>
              <w:pStyle w:val="31"/>
              <w:spacing w:line="300" w:lineRule="exact"/>
              <w:jc w:val="center"/>
              <w:rPr>
                <w:rFonts w:ascii="方正仿宋_GBK" w:eastAsia="方正仿宋_GBK"/>
                <w:highlight w:val="none"/>
              </w:rPr>
            </w:pPr>
          </w:p>
        </w:tc>
        <w:tc>
          <w:tcPr>
            <w:tcW w:w="1545" w:type="dxa"/>
            <w:noWrap w:val="0"/>
            <w:vAlign w:val="center"/>
          </w:tcPr>
          <w:p w14:paraId="35FBD5E3">
            <w:pPr>
              <w:pStyle w:val="31"/>
              <w:spacing w:line="300" w:lineRule="exact"/>
              <w:rPr>
                <w:rFonts w:ascii="方正仿宋_GBK" w:eastAsia="方正仿宋_GBK"/>
                <w:highlight w:val="none"/>
              </w:rPr>
            </w:pPr>
            <w:r>
              <w:rPr>
                <w:rFonts w:hint="eastAsia" w:ascii="方正仿宋_GBK" w:eastAsia="方正仿宋_GBK" w:cs="方正仿宋_GBK"/>
                <w:highlight w:val="none"/>
              </w:rPr>
              <w:t>基坑、物料平台</w:t>
            </w:r>
          </w:p>
        </w:tc>
        <w:tc>
          <w:tcPr>
            <w:tcW w:w="6645" w:type="dxa"/>
            <w:noWrap w:val="0"/>
            <w:vAlign w:val="center"/>
          </w:tcPr>
          <w:p w14:paraId="0C75C217">
            <w:pPr>
              <w:pStyle w:val="31"/>
              <w:spacing w:line="300" w:lineRule="exact"/>
              <w:rPr>
                <w:rFonts w:ascii="方正仿宋_GBK" w:eastAsia="方正仿宋_GBK"/>
                <w:highlight w:val="none"/>
              </w:rPr>
            </w:pPr>
            <w:r>
              <w:rPr>
                <w:rFonts w:hint="eastAsia" w:ascii="方正仿宋_GBK" w:eastAsia="方正仿宋_GBK" w:cs="方正仿宋_GBK"/>
                <w:highlight w:val="none"/>
              </w:rPr>
              <w:t>设</w:t>
            </w:r>
            <w:r>
              <w:rPr>
                <w:rFonts w:ascii="方正仿宋_GBK" w:eastAsia="方正仿宋_GBK" w:cs="方正仿宋_GBK"/>
                <w:highlight w:val="none"/>
              </w:rPr>
              <w:t>1.2m</w:t>
            </w:r>
            <w:r>
              <w:rPr>
                <w:rFonts w:hint="eastAsia" w:ascii="方正仿宋_GBK" w:eastAsia="方正仿宋_GBK" w:cs="方正仿宋_GBK"/>
                <w:highlight w:val="none"/>
              </w:rPr>
              <w:t>高标准化的防护栏，用密目式安全立网封闭，悬挂标识。</w:t>
            </w:r>
          </w:p>
        </w:tc>
      </w:tr>
      <w:tr w14:paraId="2B449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EC10902">
            <w:pPr>
              <w:pStyle w:val="31"/>
              <w:spacing w:line="300" w:lineRule="exact"/>
              <w:jc w:val="center"/>
              <w:rPr>
                <w:rFonts w:ascii="方正仿宋_GBK" w:eastAsia="方正仿宋_GBK"/>
                <w:highlight w:val="none"/>
              </w:rPr>
            </w:pPr>
          </w:p>
        </w:tc>
        <w:tc>
          <w:tcPr>
            <w:tcW w:w="2070" w:type="dxa"/>
            <w:gridSpan w:val="2"/>
            <w:noWrap w:val="0"/>
            <w:vAlign w:val="center"/>
          </w:tcPr>
          <w:p w14:paraId="5F9C56D6">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安全防护用品</w:t>
            </w:r>
          </w:p>
        </w:tc>
        <w:tc>
          <w:tcPr>
            <w:tcW w:w="6645" w:type="dxa"/>
            <w:noWrap w:val="0"/>
            <w:vAlign w:val="center"/>
          </w:tcPr>
          <w:p w14:paraId="66CDA208">
            <w:pPr>
              <w:pStyle w:val="31"/>
              <w:spacing w:line="300" w:lineRule="exact"/>
              <w:rPr>
                <w:rFonts w:ascii="方正仿宋_GBK" w:eastAsia="方正仿宋_GBK"/>
                <w:highlight w:val="none"/>
              </w:rPr>
            </w:pPr>
            <w:r>
              <w:rPr>
                <w:rFonts w:hint="eastAsia" w:ascii="方正仿宋_GBK" w:eastAsia="方正仿宋_GBK" w:cs="方正仿宋_GBK"/>
                <w:highlight w:val="none"/>
              </w:rPr>
              <w:t>安全帽、安全带、特种作业人员（电工、焊工、架子工等）防护服装、用品等。</w:t>
            </w:r>
          </w:p>
        </w:tc>
      </w:tr>
      <w:tr w14:paraId="06E5C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330317F9">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其它</w:t>
            </w:r>
          </w:p>
        </w:tc>
        <w:tc>
          <w:tcPr>
            <w:tcW w:w="525" w:type="dxa"/>
            <w:vMerge w:val="restart"/>
            <w:noWrap w:val="0"/>
            <w:vAlign w:val="center"/>
          </w:tcPr>
          <w:p w14:paraId="60834890">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机械设备防护</w:t>
            </w:r>
          </w:p>
        </w:tc>
        <w:tc>
          <w:tcPr>
            <w:tcW w:w="1545" w:type="dxa"/>
            <w:noWrap w:val="0"/>
            <w:vAlign w:val="center"/>
          </w:tcPr>
          <w:p w14:paraId="48994368">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中小型机械</w:t>
            </w:r>
          </w:p>
        </w:tc>
        <w:tc>
          <w:tcPr>
            <w:tcW w:w="6645" w:type="dxa"/>
            <w:noWrap w:val="0"/>
            <w:vAlign w:val="center"/>
          </w:tcPr>
          <w:p w14:paraId="518751FF">
            <w:pPr>
              <w:pStyle w:val="31"/>
              <w:spacing w:line="300" w:lineRule="exact"/>
              <w:rPr>
                <w:rFonts w:ascii="方正仿宋_GBK" w:eastAsia="方正仿宋_GBK"/>
                <w:highlight w:val="none"/>
              </w:rPr>
            </w:pPr>
            <w:r>
              <w:rPr>
                <w:rFonts w:hint="eastAsia" w:ascii="方正仿宋_GBK" w:eastAsia="方正仿宋_GBK" w:cs="方正仿宋_GBK"/>
                <w:highlight w:val="none"/>
              </w:rPr>
              <w:t>设防护棚（同通道口防护并有防雨措施）。</w:t>
            </w:r>
          </w:p>
        </w:tc>
      </w:tr>
      <w:tr w14:paraId="5CC1F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DF2A468">
            <w:pPr>
              <w:pStyle w:val="31"/>
              <w:spacing w:line="300" w:lineRule="exact"/>
              <w:jc w:val="center"/>
              <w:rPr>
                <w:rFonts w:ascii="方正仿宋_GBK" w:eastAsia="方正仿宋_GBK"/>
                <w:highlight w:val="none"/>
              </w:rPr>
            </w:pPr>
          </w:p>
        </w:tc>
        <w:tc>
          <w:tcPr>
            <w:tcW w:w="525" w:type="dxa"/>
            <w:vMerge w:val="continue"/>
            <w:noWrap w:val="0"/>
            <w:vAlign w:val="center"/>
          </w:tcPr>
          <w:p w14:paraId="3BE8E0DB">
            <w:pPr>
              <w:pStyle w:val="31"/>
              <w:spacing w:line="300" w:lineRule="exact"/>
              <w:jc w:val="center"/>
              <w:rPr>
                <w:rFonts w:ascii="方正仿宋_GBK" w:eastAsia="方正仿宋_GBK"/>
                <w:highlight w:val="none"/>
              </w:rPr>
            </w:pPr>
          </w:p>
        </w:tc>
        <w:tc>
          <w:tcPr>
            <w:tcW w:w="1545" w:type="dxa"/>
            <w:noWrap w:val="0"/>
            <w:vAlign w:val="center"/>
          </w:tcPr>
          <w:p w14:paraId="72C6B0EF">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垂直运输设备</w:t>
            </w:r>
          </w:p>
        </w:tc>
        <w:tc>
          <w:tcPr>
            <w:tcW w:w="6645" w:type="dxa"/>
            <w:noWrap w:val="0"/>
            <w:vAlign w:val="center"/>
          </w:tcPr>
          <w:p w14:paraId="0D36394D">
            <w:pPr>
              <w:pStyle w:val="31"/>
              <w:spacing w:line="300" w:lineRule="exact"/>
              <w:rPr>
                <w:rFonts w:ascii="方正仿宋_GBK" w:eastAsia="方正仿宋_GBK"/>
                <w:highlight w:val="none"/>
              </w:rPr>
            </w:pPr>
            <w:r>
              <w:rPr>
                <w:rFonts w:ascii="方正仿宋_GBK" w:eastAsia="方正仿宋_GBK" w:cs="方正仿宋_GBK"/>
                <w:highlight w:val="none"/>
              </w:rPr>
              <w:t xml:space="preserve">1. </w:t>
            </w:r>
            <w:r>
              <w:rPr>
                <w:rFonts w:hint="eastAsia" w:ascii="方正仿宋_GBK" w:eastAsia="方正仿宋_GBK" w:cs="方正仿宋_GBK"/>
                <w:highlight w:val="none"/>
              </w:rPr>
              <w:t>垂直运输设备检测、检验、日常维护、保养等。</w:t>
            </w:r>
          </w:p>
          <w:p w14:paraId="28E2A71C">
            <w:pPr>
              <w:pStyle w:val="31"/>
              <w:spacing w:line="300" w:lineRule="exact"/>
              <w:rPr>
                <w:rFonts w:ascii="方正仿宋_GBK" w:eastAsia="方正仿宋_GBK"/>
                <w:highlight w:val="none"/>
              </w:rPr>
            </w:pPr>
            <w:r>
              <w:rPr>
                <w:rFonts w:ascii="方正仿宋_GBK" w:eastAsia="方正仿宋_GBK" w:cs="方正仿宋_GBK"/>
                <w:highlight w:val="none"/>
              </w:rPr>
              <w:t xml:space="preserve">2. </w:t>
            </w:r>
            <w:r>
              <w:rPr>
                <w:rFonts w:hint="eastAsia" w:ascii="方正仿宋_GBK" w:eastAsia="方正仿宋_GBK" w:cs="方正仿宋_GBK"/>
                <w:highlight w:val="none"/>
              </w:rPr>
              <w:t>物料提升机、施工电梯等物料平台搭设、外侧用密目式安全立网全封闭，有安全通道、安全防护门、防护棚等。</w:t>
            </w:r>
          </w:p>
        </w:tc>
      </w:tr>
      <w:tr w14:paraId="00AA6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43CF4A2">
            <w:pPr>
              <w:pStyle w:val="31"/>
              <w:spacing w:line="300" w:lineRule="exact"/>
              <w:jc w:val="center"/>
              <w:rPr>
                <w:rFonts w:ascii="方正仿宋_GBK" w:eastAsia="方正仿宋_GBK"/>
                <w:highlight w:val="none"/>
              </w:rPr>
            </w:pPr>
          </w:p>
        </w:tc>
        <w:tc>
          <w:tcPr>
            <w:tcW w:w="2070" w:type="dxa"/>
            <w:gridSpan w:val="2"/>
            <w:noWrap w:val="0"/>
            <w:vAlign w:val="center"/>
          </w:tcPr>
          <w:p w14:paraId="68848E10">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专家论证审查</w:t>
            </w:r>
          </w:p>
        </w:tc>
        <w:tc>
          <w:tcPr>
            <w:tcW w:w="6645" w:type="dxa"/>
            <w:noWrap w:val="0"/>
            <w:vAlign w:val="center"/>
          </w:tcPr>
          <w:p w14:paraId="4C64C5E0">
            <w:pPr>
              <w:pStyle w:val="31"/>
              <w:spacing w:line="300" w:lineRule="exact"/>
              <w:rPr>
                <w:rFonts w:ascii="方正仿宋_GBK" w:eastAsia="方正仿宋_GBK"/>
                <w:highlight w:val="none"/>
              </w:rPr>
            </w:pPr>
            <w:r>
              <w:rPr>
                <w:rFonts w:hint="eastAsia" w:ascii="方正仿宋_GBK" w:eastAsia="方正仿宋_GBK" w:cs="方正仿宋_GBK"/>
                <w:highlight w:val="none"/>
              </w:rPr>
              <w:t>超过一定规模的危险性较大分部分项工程专家论证审查。</w:t>
            </w:r>
          </w:p>
        </w:tc>
      </w:tr>
      <w:tr w14:paraId="12D86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31FB76C0">
            <w:pPr>
              <w:pStyle w:val="31"/>
              <w:spacing w:line="300" w:lineRule="exact"/>
              <w:jc w:val="center"/>
              <w:rPr>
                <w:rFonts w:ascii="方正仿宋_GBK" w:eastAsia="方正仿宋_GBK"/>
                <w:highlight w:val="none"/>
              </w:rPr>
            </w:pPr>
          </w:p>
        </w:tc>
        <w:tc>
          <w:tcPr>
            <w:tcW w:w="2070" w:type="dxa"/>
            <w:gridSpan w:val="2"/>
            <w:noWrap w:val="0"/>
            <w:vAlign w:val="center"/>
          </w:tcPr>
          <w:p w14:paraId="7B66FDB7">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应急救援预案</w:t>
            </w:r>
          </w:p>
        </w:tc>
        <w:tc>
          <w:tcPr>
            <w:tcW w:w="6645" w:type="dxa"/>
            <w:noWrap w:val="0"/>
            <w:vAlign w:val="center"/>
          </w:tcPr>
          <w:p w14:paraId="15F36793">
            <w:pPr>
              <w:pStyle w:val="31"/>
              <w:spacing w:line="300" w:lineRule="exact"/>
              <w:rPr>
                <w:rFonts w:ascii="方正仿宋_GBK" w:eastAsia="方正仿宋_GBK"/>
                <w:highlight w:val="none"/>
              </w:rPr>
            </w:pPr>
            <w:r>
              <w:rPr>
                <w:rFonts w:hint="eastAsia" w:ascii="方正仿宋_GBK" w:eastAsia="方正仿宋_GBK" w:cs="方正仿宋_GBK"/>
                <w:highlight w:val="none"/>
              </w:rPr>
              <w:t>救援器材准备及演练等。</w:t>
            </w:r>
          </w:p>
        </w:tc>
      </w:tr>
      <w:tr w14:paraId="5B021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016A7537">
            <w:pPr>
              <w:pStyle w:val="31"/>
              <w:spacing w:line="300" w:lineRule="exact"/>
              <w:jc w:val="center"/>
              <w:rPr>
                <w:rFonts w:ascii="方正仿宋_GBK" w:eastAsia="方正仿宋_GBK"/>
                <w:highlight w:val="none"/>
              </w:rPr>
            </w:pPr>
          </w:p>
        </w:tc>
        <w:tc>
          <w:tcPr>
            <w:tcW w:w="2070" w:type="dxa"/>
            <w:gridSpan w:val="2"/>
            <w:tcBorders>
              <w:bottom w:val="single" w:color="auto" w:sz="12" w:space="0"/>
            </w:tcBorders>
            <w:noWrap w:val="0"/>
            <w:vAlign w:val="center"/>
          </w:tcPr>
          <w:p w14:paraId="7F5778A1">
            <w:pPr>
              <w:pStyle w:val="31"/>
              <w:spacing w:line="300" w:lineRule="exact"/>
              <w:jc w:val="center"/>
              <w:rPr>
                <w:rFonts w:ascii="方正仿宋_GBK" w:eastAsia="方正仿宋_GBK"/>
                <w:highlight w:val="none"/>
              </w:rPr>
            </w:pPr>
            <w:r>
              <w:rPr>
                <w:rFonts w:hint="eastAsia" w:ascii="方正仿宋_GBK" w:eastAsia="方正仿宋_GBK" w:cs="方正仿宋_GBK"/>
                <w:highlight w:val="none"/>
              </w:rPr>
              <w:t>非正常情况施工</w:t>
            </w:r>
          </w:p>
        </w:tc>
        <w:tc>
          <w:tcPr>
            <w:tcW w:w="6645" w:type="dxa"/>
            <w:tcBorders>
              <w:bottom w:val="single" w:color="auto" w:sz="12" w:space="0"/>
            </w:tcBorders>
            <w:noWrap w:val="0"/>
            <w:vAlign w:val="center"/>
          </w:tcPr>
          <w:p w14:paraId="5B2FFDFD">
            <w:pPr>
              <w:pStyle w:val="31"/>
              <w:spacing w:line="300" w:lineRule="exact"/>
              <w:rPr>
                <w:rFonts w:ascii="方正仿宋_GBK" w:eastAsia="方正仿宋_GBK"/>
                <w:highlight w:val="none"/>
              </w:rPr>
            </w:pPr>
            <w:r>
              <w:rPr>
                <w:rFonts w:hint="eastAsia" w:ascii="方正仿宋_GBK" w:eastAsia="方正仿宋_GBK" w:cs="方正仿宋_GBK"/>
                <w:highlight w:val="none"/>
              </w:rPr>
              <w:t>其它特殊情况下的防护费用，如：城市主干道、人流密集、河边等处施工及文物、古建筑、古树保护等。</w:t>
            </w:r>
          </w:p>
        </w:tc>
      </w:tr>
    </w:tbl>
    <w:p w14:paraId="7F123A17">
      <w:pPr>
        <w:pStyle w:val="31"/>
        <w:spacing w:line="240" w:lineRule="atLeast"/>
        <w:ind w:firstLine="546"/>
        <w:jc w:val="center"/>
        <w:rPr>
          <w:rFonts w:hint="eastAsia"/>
          <w:b/>
          <w:bCs/>
          <w:w w:val="90"/>
          <w:sz w:val="24"/>
          <w:szCs w:val="24"/>
          <w:highlight w:val="none"/>
        </w:rPr>
      </w:pPr>
    </w:p>
    <w:p w14:paraId="69A70BCF">
      <w:pPr>
        <w:spacing w:before="120" w:beforeLines="50"/>
        <w:ind w:firstLine="420" w:firstLineChars="200"/>
        <w:rPr>
          <w:rFonts w:cs="宋体"/>
          <w:highlight w:val="none"/>
        </w:rPr>
      </w:pPr>
      <w:r>
        <w:rPr>
          <w:rFonts w:hint="eastAsia" w:cs="宋体"/>
          <w:highlight w:val="none"/>
        </w:rPr>
        <w:t>注：本表所列建筑工程安全文明施工费，是依据现行法律法规及标准规范确定的。如法律法规和标准规范修订，本表所列项目应按照修订后的法律法规和标准规范进行调整。</w:t>
      </w:r>
    </w:p>
    <w:p w14:paraId="53800D54">
      <w:pPr>
        <w:spacing w:line="500" w:lineRule="exact"/>
        <w:jc w:val="center"/>
        <w:rPr>
          <w:rFonts w:hint="eastAsia" w:ascii="宋体" w:hAnsi="宋体" w:cs="仿宋_GB2312"/>
          <w:color w:val="000000"/>
          <w:kern w:val="0"/>
          <w:sz w:val="24"/>
          <w:highlight w:val="none"/>
          <w:lang w:val="zh-CN"/>
        </w:rPr>
        <w:sectPr>
          <w:pgSz w:w="11910" w:h="16840"/>
          <w:pgMar w:top="1417" w:right="1417" w:bottom="1417" w:left="1417" w:header="720" w:footer="720" w:gutter="0"/>
          <w:pgNumType w:fmt="decimal"/>
          <w:cols w:space="720" w:num="1"/>
          <w:rtlGutter w:val="0"/>
        </w:sectPr>
      </w:pPr>
      <w:r>
        <w:rPr>
          <w:rFonts w:hint="eastAsia" w:ascii="宋体" w:hAnsi="宋体" w:eastAsia="宋体" w:cs="宋体"/>
          <w:b/>
          <w:color w:val="auto"/>
          <w:kern w:val="2"/>
          <w:sz w:val="30"/>
          <w:szCs w:val="30"/>
          <w:lang w:val="en-US" w:eastAsia="zh-CN" w:bidi="ar-SA"/>
        </w:rPr>
        <w:br w:type="page"/>
      </w:r>
    </w:p>
    <w:p w14:paraId="5BDF8074">
      <w:pPr>
        <w:autoSpaceDE w:val="0"/>
        <w:autoSpaceDN w:val="0"/>
        <w:spacing w:line="360" w:lineRule="auto"/>
        <w:ind w:firstLine="6505" w:firstLineChars="2700"/>
        <w:rPr>
          <w:rFonts w:ascii="宋体" w:hAnsi="宋体" w:cs="仿宋_GB2312"/>
          <w:b/>
          <w:bCs/>
          <w:color w:val="000000"/>
          <w:sz w:val="24"/>
          <w:highlight w:val="none"/>
        </w:rPr>
      </w:pPr>
    </w:p>
    <w:p w14:paraId="5C7F3952">
      <w:pPr>
        <w:keepNext/>
        <w:keepLines/>
        <w:spacing w:before="260" w:after="260" w:line="416" w:lineRule="auto"/>
        <w:jc w:val="center"/>
        <w:outlineLvl w:val="1"/>
        <w:rPr>
          <w:rFonts w:ascii="宋体" w:hAnsi="宋体"/>
          <w:b/>
          <w:bCs/>
          <w:color w:val="000000"/>
          <w:sz w:val="32"/>
          <w:szCs w:val="32"/>
          <w:highlight w:val="none"/>
        </w:rPr>
      </w:pPr>
      <w:bookmarkStart w:id="86" w:name="_Toc80205941"/>
      <w:bookmarkStart w:id="87" w:name="_Toc7630"/>
      <w:r>
        <w:rPr>
          <w:rFonts w:hint="eastAsia" w:ascii="宋体" w:hAnsi="宋体"/>
          <w:b/>
          <w:bCs/>
          <w:color w:val="000000"/>
          <w:sz w:val="32"/>
          <w:szCs w:val="32"/>
          <w:highlight w:val="none"/>
        </w:rPr>
        <w:t>第四节 报价文件格式</w:t>
      </w:r>
      <w:bookmarkEnd w:id="86"/>
      <w:bookmarkEnd w:id="87"/>
    </w:p>
    <w:p w14:paraId="5DFBC598">
      <w:pPr>
        <w:snapToGrid w:val="0"/>
        <w:spacing w:before="120" w:beforeLines="50" w:after="50"/>
        <w:rPr>
          <w:rFonts w:ascii="宋体" w:hAnsi="宋体"/>
          <w:bCs/>
          <w:color w:val="000000"/>
          <w:sz w:val="32"/>
          <w:szCs w:val="20"/>
          <w:highlight w:val="none"/>
        </w:rPr>
      </w:pPr>
      <w:r>
        <w:rPr>
          <w:rFonts w:hint="eastAsia" w:ascii="宋体" w:hAnsi="宋体"/>
          <w:bCs/>
          <w:color w:val="000000"/>
          <w:highlight w:val="none"/>
        </w:rPr>
        <w:t>全流程电子文件</w:t>
      </w:r>
    </w:p>
    <w:p w14:paraId="6E9ACB5A">
      <w:pPr>
        <w:snapToGrid w:val="0"/>
        <w:spacing w:before="120" w:beforeLines="50" w:after="50"/>
        <w:rPr>
          <w:rFonts w:ascii="宋体" w:hAnsi="宋体"/>
          <w:color w:val="000000"/>
          <w:sz w:val="24"/>
          <w:szCs w:val="20"/>
          <w:highlight w:val="none"/>
        </w:rPr>
      </w:pPr>
    </w:p>
    <w:p w14:paraId="29283AB7">
      <w:pPr>
        <w:snapToGrid w:val="0"/>
        <w:spacing w:before="120" w:beforeLines="50" w:after="50"/>
        <w:rPr>
          <w:rFonts w:ascii="宋体" w:hAnsi="宋体"/>
          <w:color w:val="000000"/>
          <w:sz w:val="24"/>
          <w:szCs w:val="20"/>
          <w:highlight w:val="none"/>
        </w:rPr>
      </w:pPr>
    </w:p>
    <w:p w14:paraId="1AB07B96">
      <w:pPr>
        <w:snapToGrid w:val="0"/>
        <w:spacing w:before="120" w:beforeLines="50" w:after="50"/>
        <w:rPr>
          <w:rFonts w:ascii="宋体" w:hAnsi="宋体"/>
          <w:color w:val="000000"/>
          <w:sz w:val="24"/>
          <w:szCs w:val="20"/>
          <w:highlight w:val="none"/>
        </w:rPr>
      </w:pPr>
    </w:p>
    <w:p w14:paraId="771B0979">
      <w:pPr>
        <w:snapToGrid w:val="0"/>
        <w:spacing w:before="120" w:beforeLines="50" w:after="50"/>
        <w:jc w:val="center"/>
        <w:rPr>
          <w:rFonts w:ascii="宋体" w:hAnsi="宋体" w:cs="方正小标宋简体"/>
          <w:bCs/>
          <w:color w:val="000000"/>
          <w:sz w:val="44"/>
          <w:szCs w:val="44"/>
          <w:highlight w:val="none"/>
        </w:rPr>
      </w:pPr>
      <w:r>
        <w:rPr>
          <w:rFonts w:hint="eastAsia" w:ascii="宋体" w:hAnsi="宋体" w:cs="方正小标宋简体"/>
          <w:bCs/>
          <w:color w:val="000000"/>
          <w:sz w:val="44"/>
          <w:szCs w:val="44"/>
          <w:highlight w:val="none"/>
        </w:rPr>
        <w:t>报价文件（封面）</w:t>
      </w:r>
    </w:p>
    <w:p w14:paraId="526AB1BD">
      <w:pPr>
        <w:snapToGrid w:val="0"/>
        <w:spacing w:before="120" w:beforeLines="50" w:after="50"/>
        <w:rPr>
          <w:rFonts w:ascii="宋体" w:hAnsi="宋体"/>
          <w:bCs/>
          <w:color w:val="000000"/>
          <w:sz w:val="24"/>
          <w:szCs w:val="20"/>
          <w:highlight w:val="none"/>
        </w:rPr>
      </w:pPr>
    </w:p>
    <w:p w14:paraId="5438C899">
      <w:pPr>
        <w:snapToGrid w:val="0"/>
        <w:spacing w:before="120" w:beforeLines="50" w:after="50"/>
        <w:rPr>
          <w:rFonts w:ascii="宋体" w:hAnsi="宋体"/>
          <w:bCs/>
          <w:color w:val="000000"/>
          <w:sz w:val="24"/>
          <w:szCs w:val="20"/>
          <w:highlight w:val="none"/>
        </w:rPr>
      </w:pPr>
    </w:p>
    <w:p w14:paraId="1143C18B">
      <w:pPr>
        <w:snapToGrid w:val="0"/>
        <w:spacing w:before="120" w:beforeLines="50" w:after="50"/>
        <w:rPr>
          <w:rFonts w:ascii="宋体" w:hAnsi="宋体"/>
          <w:bCs/>
          <w:color w:val="000000"/>
          <w:sz w:val="24"/>
          <w:szCs w:val="20"/>
          <w:highlight w:val="none"/>
        </w:rPr>
      </w:pPr>
    </w:p>
    <w:p w14:paraId="11B8E1CB">
      <w:pPr>
        <w:snapToGrid w:val="0"/>
        <w:spacing w:before="120" w:beforeLines="50" w:after="50"/>
        <w:rPr>
          <w:rFonts w:ascii="宋体" w:hAnsi="宋体"/>
          <w:bCs/>
          <w:color w:val="000000"/>
          <w:sz w:val="24"/>
          <w:szCs w:val="20"/>
          <w:highlight w:val="none"/>
        </w:rPr>
      </w:pPr>
    </w:p>
    <w:p w14:paraId="072B96CE">
      <w:pPr>
        <w:snapToGrid w:val="0"/>
        <w:spacing w:before="120" w:beforeLines="50" w:after="50"/>
        <w:rPr>
          <w:rFonts w:ascii="宋体" w:hAnsi="宋体"/>
          <w:bCs/>
          <w:color w:val="000000"/>
          <w:sz w:val="24"/>
          <w:szCs w:val="20"/>
          <w:highlight w:val="none"/>
        </w:rPr>
      </w:pPr>
    </w:p>
    <w:p w14:paraId="21C790C7">
      <w:pPr>
        <w:snapToGrid w:val="0"/>
        <w:spacing w:before="120" w:beforeLines="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项目名称：</w:t>
      </w:r>
    </w:p>
    <w:p w14:paraId="457C3663">
      <w:pPr>
        <w:snapToGrid w:val="0"/>
        <w:spacing w:before="120" w:beforeLines="50" w:after="50"/>
        <w:ind w:firstLine="720" w:firstLineChars="225"/>
        <w:rPr>
          <w:rFonts w:ascii="宋体" w:hAnsi="宋体" w:cs="仿宋_GB2312"/>
          <w:bCs/>
          <w:color w:val="000000"/>
          <w:sz w:val="32"/>
          <w:szCs w:val="32"/>
          <w:highlight w:val="none"/>
        </w:rPr>
      </w:pPr>
    </w:p>
    <w:p w14:paraId="16378BAF">
      <w:pPr>
        <w:snapToGrid w:val="0"/>
        <w:spacing w:before="120" w:beforeLines="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项目编号：</w:t>
      </w:r>
    </w:p>
    <w:p w14:paraId="13A6E673">
      <w:pPr>
        <w:snapToGrid w:val="0"/>
        <w:spacing w:before="120" w:beforeLines="50" w:after="50"/>
        <w:ind w:firstLine="720" w:firstLineChars="225"/>
        <w:rPr>
          <w:rFonts w:ascii="宋体" w:hAnsi="宋体" w:cs="仿宋_GB2312"/>
          <w:bCs/>
          <w:color w:val="000000"/>
          <w:sz w:val="32"/>
          <w:szCs w:val="32"/>
          <w:highlight w:val="none"/>
        </w:rPr>
      </w:pPr>
    </w:p>
    <w:p w14:paraId="792D8429">
      <w:pPr>
        <w:snapToGrid w:val="0"/>
        <w:spacing w:before="120" w:beforeLines="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所竞分标（如有则填写，无分标时填写“无”或者留空）：</w:t>
      </w:r>
    </w:p>
    <w:p w14:paraId="50143CF2">
      <w:pPr>
        <w:snapToGrid w:val="0"/>
        <w:spacing w:before="120" w:beforeLines="50" w:after="50"/>
        <w:ind w:firstLine="720" w:firstLineChars="225"/>
        <w:rPr>
          <w:rFonts w:ascii="宋体" w:hAnsi="宋体" w:cs="仿宋_GB2312"/>
          <w:bCs/>
          <w:color w:val="000000"/>
          <w:sz w:val="32"/>
          <w:szCs w:val="32"/>
          <w:highlight w:val="none"/>
        </w:rPr>
      </w:pPr>
    </w:p>
    <w:p w14:paraId="3840259B">
      <w:pPr>
        <w:snapToGrid w:val="0"/>
        <w:spacing w:before="50" w:after="50"/>
        <w:ind w:firstLine="640" w:firstLineChars="200"/>
        <w:rPr>
          <w:rFonts w:ascii="宋体" w:hAnsi="宋体" w:cs="仿宋_GB2312"/>
          <w:bCs/>
          <w:color w:val="000000"/>
          <w:sz w:val="32"/>
          <w:szCs w:val="32"/>
          <w:highlight w:val="none"/>
        </w:rPr>
      </w:pPr>
      <w:r>
        <w:rPr>
          <w:rFonts w:hint="eastAsia" w:ascii="宋体" w:hAnsi="宋体" w:cs="仿宋_GB2312"/>
          <w:bCs/>
          <w:color w:val="000000"/>
          <w:sz w:val="32"/>
          <w:szCs w:val="32"/>
          <w:highlight w:val="none"/>
        </w:rPr>
        <w:t>供应商名称：</w:t>
      </w:r>
    </w:p>
    <w:p w14:paraId="3C9F6B89">
      <w:pPr>
        <w:snapToGrid w:val="0"/>
        <w:spacing w:before="50" w:after="50"/>
        <w:ind w:firstLine="720" w:firstLineChars="225"/>
        <w:rPr>
          <w:rFonts w:ascii="宋体" w:hAnsi="宋体" w:cs="仿宋_GB2312"/>
          <w:bCs/>
          <w:color w:val="000000"/>
          <w:sz w:val="32"/>
          <w:szCs w:val="32"/>
          <w:highlight w:val="none"/>
        </w:rPr>
      </w:pPr>
    </w:p>
    <w:p w14:paraId="0C01E12D">
      <w:pPr>
        <w:snapToGrid w:val="0"/>
        <w:spacing w:before="50" w:after="50"/>
        <w:ind w:firstLine="720" w:firstLineChars="225"/>
        <w:rPr>
          <w:rFonts w:ascii="宋体" w:hAnsi="宋体" w:cs="仿宋_GB2312"/>
          <w:bCs/>
          <w:color w:val="000000"/>
          <w:sz w:val="32"/>
          <w:szCs w:val="32"/>
          <w:highlight w:val="none"/>
        </w:rPr>
      </w:pPr>
    </w:p>
    <w:p w14:paraId="3D5E9324">
      <w:pPr>
        <w:snapToGrid w:val="0"/>
        <w:spacing w:before="50" w:after="50"/>
        <w:ind w:firstLine="1280" w:firstLineChars="400"/>
        <w:rPr>
          <w:rFonts w:ascii="宋体" w:hAnsi="宋体" w:cs="仿宋_GB2312"/>
          <w:bCs/>
          <w:color w:val="000000"/>
          <w:sz w:val="32"/>
          <w:szCs w:val="32"/>
          <w:highlight w:val="none"/>
        </w:rPr>
      </w:pPr>
    </w:p>
    <w:p w14:paraId="46F3F657">
      <w:pPr>
        <w:snapToGrid w:val="0"/>
        <w:spacing w:before="120" w:beforeLines="50" w:after="50"/>
        <w:jc w:val="center"/>
        <w:rPr>
          <w:rFonts w:ascii="宋体" w:hAnsi="宋体" w:cs="仿宋_GB2312"/>
          <w:color w:val="000000"/>
          <w:sz w:val="32"/>
          <w:szCs w:val="32"/>
          <w:highlight w:val="none"/>
        </w:rPr>
      </w:pPr>
      <w:r>
        <w:rPr>
          <w:rFonts w:hint="eastAsia" w:ascii="宋体" w:hAnsi="宋体" w:cs="仿宋_GB2312"/>
          <w:color w:val="000000"/>
          <w:sz w:val="32"/>
          <w:szCs w:val="32"/>
          <w:highlight w:val="none"/>
        </w:rPr>
        <w:t>年    月    日</w:t>
      </w:r>
    </w:p>
    <w:p w14:paraId="3A46CABD">
      <w:pPr>
        <w:snapToGrid w:val="0"/>
        <w:spacing w:before="120" w:beforeLines="50" w:after="50" w:line="400" w:lineRule="exact"/>
        <w:jc w:val="center"/>
        <w:rPr>
          <w:rFonts w:ascii="宋体" w:hAnsi="宋体"/>
          <w:b/>
          <w:bCs/>
          <w:color w:val="000000"/>
          <w:sz w:val="32"/>
          <w:szCs w:val="32"/>
          <w:highlight w:val="none"/>
        </w:rPr>
      </w:pPr>
      <w:r>
        <w:rPr>
          <w:rFonts w:ascii="宋体" w:hAnsi="宋体"/>
          <w:color w:val="000000"/>
          <w:sz w:val="24"/>
          <w:highlight w:val="none"/>
        </w:rPr>
        <w:br w:type="page"/>
      </w:r>
      <w:r>
        <w:rPr>
          <w:rFonts w:hint="eastAsia" w:ascii="宋体" w:hAnsi="宋体"/>
          <w:b/>
          <w:bCs/>
          <w:color w:val="000000"/>
          <w:sz w:val="32"/>
          <w:szCs w:val="32"/>
          <w:highlight w:val="none"/>
        </w:rPr>
        <w:t>报价文件目录</w:t>
      </w:r>
    </w:p>
    <w:p w14:paraId="7BB764EB">
      <w:pPr>
        <w:rPr>
          <w:rFonts w:ascii="宋体" w:hAnsi="宋体" w:cs="宋体"/>
          <w:color w:val="000000"/>
          <w:highlight w:val="none"/>
        </w:rPr>
      </w:pPr>
    </w:p>
    <w:p w14:paraId="2153D64F">
      <w:pPr>
        <w:spacing w:line="360" w:lineRule="auto"/>
        <w:jc w:val="center"/>
        <w:rPr>
          <w:rFonts w:hint="eastAsia" w:ascii="仿宋_GB2312" w:hAnsi="仿宋" w:eastAsia="仿宋_GB2312" w:cs="仿宋_GB2312"/>
          <w:b/>
          <w:bCs/>
          <w:color w:val="auto"/>
          <w:sz w:val="28"/>
          <w:szCs w:val="28"/>
          <w:highlight w:val="none"/>
        </w:rPr>
      </w:pPr>
      <w:r>
        <w:rPr>
          <w:rFonts w:hint="eastAsia" w:ascii="宋体" w:hAnsi="宋体"/>
          <w:color w:val="auto"/>
          <w:sz w:val="28"/>
          <w:szCs w:val="28"/>
          <w:highlight w:val="none"/>
        </w:rPr>
        <w:t>根据</w:t>
      </w:r>
      <w:r>
        <w:rPr>
          <w:rFonts w:hint="eastAsia" w:ascii="宋体" w:hAnsi="宋体"/>
          <w:color w:val="auto"/>
          <w:sz w:val="28"/>
          <w:szCs w:val="28"/>
          <w:highlight w:val="none"/>
          <w:lang w:eastAsia="zh-CN"/>
        </w:rPr>
        <w:t>采购文件“</w:t>
      </w:r>
      <w:r>
        <w:rPr>
          <w:rFonts w:hint="eastAsia" w:ascii="宋体" w:hAnsi="宋体"/>
          <w:color w:val="auto"/>
          <w:sz w:val="28"/>
          <w:szCs w:val="28"/>
          <w:highlight w:val="none"/>
        </w:rPr>
        <w:t xml:space="preserve">第三章  </w:t>
      </w: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 xml:space="preserve">须知 </w:t>
      </w:r>
      <w:r>
        <w:rPr>
          <w:rFonts w:hint="eastAsia" w:ascii="宋体" w:hAnsi="宋体"/>
          <w:color w:val="auto"/>
          <w:sz w:val="28"/>
          <w:szCs w:val="28"/>
          <w:highlight w:val="none"/>
          <w:lang w:val="en-US" w:eastAsia="zh-CN"/>
        </w:rPr>
        <w:t>12.1</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 xml:space="preserve">3 </w:t>
      </w:r>
      <w:r>
        <w:rPr>
          <w:rFonts w:hint="eastAsia" w:ascii="宋体" w:hAnsi="宋体"/>
          <w:color w:val="auto"/>
          <w:sz w:val="28"/>
          <w:szCs w:val="28"/>
          <w:highlight w:val="none"/>
          <w:lang w:eastAsia="zh-CN"/>
        </w:rPr>
        <w:t>报价</w:t>
      </w:r>
      <w:r>
        <w:rPr>
          <w:rFonts w:hint="eastAsia" w:ascii="宋体" w:hAnsi="宋体"/>
          <w:color w:val="auto"/>
          <w:sz w:val="28"/>
          <w:szCs w:val="28"/>
          <w:highlight w:val="none"/>
        </w:rPr>
        <w:t>文件组成</w:t>
      </w:r>
      <w:r>
        <w:rPr>
          <w:rFonts w:hint="eastAsia" w:ascii="宋体" w:hAnsi="宋体"/>
          <w:color w:val="auto"/>
          <w:sz w:val="28"/>
          <w:szCs w:val="28"/>
          <w:highlight w:val="none"/>
          <w:lang w:val="en-US" w:eastAsia="zh-CN"/>
        </w:rPr>
        <w:t xml:space="preserve"> ”的规定</w:t>
      </w:r>
      <w:r>
        <w:rPr>
          <w:rFonts w:hint="eastAsia" w:ascii="宋体" w:hAnsi="宋体"/>
          <w:color w:val="auto"/>
          <w:sz w:val="28"/>
          <w:szCs w:val="28"/>
          <w:highlight w:val="none"/>
        </w:rPr>
        <w:t>及</w:t>
      </w: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提供的材料自行编写目录。</w:t>
      </w:r>
    </w:p>
    <w:p w14:paraId="37B12B49">
      <w:pPr>
        <w:pStyle w:val="13"/>
        <w:spacing w:line="360" w:lineRule="auto"/>
        <w:ind w:firstLine="420"/>
        <w:rPr>
          <w:rFonts w:hAnsi="宋体"/>
          <w:color w:val="auto"/>
          <w:sz w:val="30"/>
          <w:highlight w:val="none"/>
        </w:rPr>
      </w:pPr>
    </w:p>
    <w:p w14:paraId="7F5DEF26">
      <w:pPr>
        <w:rPr>
          <w:rFonts w:hAnsi="宋体"/>
          <w:color w:val="auto"/>
          <w:sz w:val="30"/>
          <w:highlight w:val="none"/>
        </w:rPr>
      </w:pPr>
    </w:p>
    <w:p w14:paraId="02F30D17">
      <w:pPr>
        <w:snapToGrid w:val="0"/>
        <w:spacing w:before="120" w:beforeLines="50" w:after="50" w:line="360" w:lineRule="auto"/>
        <w:ind w:left="142" w:firstLine="640" w:firstLineChars="200"/>
        <w:jc w:val="left"/>
        <w:rPr>
          <w:rFonts w:ascii="宋体" w:hAnsi="宋体" w:cs="仿宋_GB2312"/>
          <w:color w:val="000000"/>
          <w:sz w:val="32"/>
          <w:szCs w:val="32"/>
          <w:highlight w:val="none"/>
        </w:rPr>
      </w:pPr>
    </w:p>
    <w:p w14:paraId="05057CDB">
      <w:pPr>
        <w:snapToGrid w:val="0"/>
        <w:spacing w:before="120" w:beforeLines="50" w:after="50" w:line="360" w:lineRule="auto"/>
        <w:ind w:left="142" w:firstLine="480" w:firstLineChars="200"/>
        <w:jc w:val="center"/>
        <w:rPr>
          <w:rFonts w:ascii="宋体" w:hAnsi="宋体"/>
          <w:b/>
          <w:bCs/>
          <w:color w:val="000000"/>
          <w:kern w:val="0"/>
          <w:sz w:val="30"/>
          <w:szCs w:val="30"/>
          <w:highlight w:val="none"/>
        </w:rPr>
      </w:pPr>
      <w:r>
        <w:rPr>
          <w:rFonts w:ascii="宋体" w:hAnsi="宋体" w:cs="仿宋_GB2312"/>
          <w:color w:val="000000"/>
          <w:sz w:val="24"/>
          <w:highlight w:val="none"/>
        </w:rPr>
        <w:br w:type="page"/>
      </w:r>
      <w:r>
        <w:rPr>
          <w:rFonts w:hint="eastAsia" w:ascii="宋体" w:hAnsi="宋体"/>
          <w:b/>
          <w:bCs/>
          <w:color w:val="000000"/>
          <w:kern w:val="0"/>
          <w:sz w:val="36"/>
          <w:szCs w:val="36"/>
          <w:highlight w:val="none"/>
        </w:rPr>
        <w:t>响应函</w:t>
      </w:r>
    </w:p>
    <w:p w14:paraId="04F06556">
      <w:pPr>
        <w:spacing w:line="360" w:lineRule="auto"/>
        <w:rPr>
          <w:rFonts w:hint="default" w:ascii="宋体" w:hAnsi="宋体" w:eastAsia="宋体"/>
          <w:color w:val="000000"/>
          <w:kern w:val="0"/>
          <w:sz w:val="24"/>
          <w:szCs w:val="24"/>
          <w:highlight w:val="none"/>
          <w:lang w:val="en-US" w:eastAsia="zh-CN"/>
        </w:rPr>
      </w:pPr>
      <w:r>
        <w:rPr>
          <w:rFonts w:hint="eastAsia" w:ascii="宋体" w:hAnsi="宋体"/>
          <w:color w:val="000000"/>
          <w:kern w:val="0"/>
          <w:sz w:val="24"/>
          <w:szCs w:val="24"/>
          <w:highlight w:val="none"/>
        </w:rPr>
        <w:t>致：</w:t>
      </w:r>
      <w:r>
        <w:rPr>
          <w:rFonts w:hint="eastAsia" w:ascii="宋体" w:hAnsi="宋体"/>
          <w:color w:val="000000"/>
          <w:kern w:val="0"/>
          <w:sz w:val="24"/>
          <w:szCs w:val="24"/>
          <w:highlight w:val="none"/>
          <w:u w:val="single"/>
          <w:lang w:val="en-US" w:eastAsia="zh-CN"/>
        </w:rPr>
        <w:t xml:space="preserve">          </w:t>
      </w:r>
      <w:r>
        <w:rPr>
          <w:rFonts w:hint="eastAsia" w:ascii="宋体" w:hAnsi="宋体" w:eastAsia="宋体" w:cs="宋体"/>
          <w:color w:val="000000"/>
          <w:sz w:val="24"/>
          <w:szCs w:val="24"/>
          <w:highlight w:val="none"/>
        </w:rPr>
        <w:t>（采购代理机构名称）</w:t>
      </w:r>
    </w:p>
    <w:p w14:paraId="112A8F3F">
      <w:pPr>
        <w:spacing w:line="360" w:lineRule="auto"/>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我方已仔细阅读了贵方组织的</w:t>
      </w:r>
      <w:r>
        <w:rPr>
          <w:rFonts w:hint="eastAsia" w:ascii="宋体" w:hAnsi="宋体"/>
          <w:color w:val="000000"/>
          <w:kern w:val="0"/>
          <w:sz w:val="24"/>
          <w:szCs w:val="24"/>
          <w:highlight w:val="none"/>
          <w:u w:val="single"/>
          <w:lang w:val="en-US" w:eastAsia="zh-CN"/>
        </w:rPr>
        <w:t xml:space="preserve">            </w:t>
      </w:r>
      <w:r>
        <w:rPr>
          <w:rFonts w:hint="eastAsia" w:ascii="宋体" w:hAnsi="宋体"/>
          <w:color w:val="000000"/>
          <w:kern w:val="0"/>
          <w:sz w:val="24"/>
          <w:szCs w:val="24"/>
          <w:highlight w:val="none"/>
        </w:rPr>
        <w:t>项目（项目名称）（项目编号：</w:t>
      </w:r>
      <w:r>
        <w:rPr>
          <w:rFonts w:hint="eastAsia" w:ascii="宋体" w:hAnsi="宋体"/>
          <w:color w:val="000000"/>
          <w:kern w:val="0"/>
          <w:sz w:val="24"/>
          <w:szCs w:val="24"/>
          <w:highlight w:val="none"/>
          <w:u w:val="single"/>
          <w:lang w:val="en-US" w:eastAsia="zh-CN"/>
        </w:rPr>
        <w:t xml:space="preserve">     </w:t>
      </w:r>
      <w:r>
        <w:rPr>
          <w:rFonts w:hint="eastAsia" w:ascii="宋体" w:hAnsi="宋体"/>
          <w:color w:val="000000"/>
          <w:kern w:val="0"/>
          <w:sz w:val="24"/>
          <w:szCs w:val="24"/>
          <w:highlight w:val="none"/>
        </w:rPr>
        <w:t xml:space="preserve">）的竞争性磋商采购文件的全部内容，现正式递交下述文件参加贵方组织的本次政府采购活动： </w:t>
      </w:r>
    </w:p>
    <w:p w14:paraId="49F2A791">
      <w:pPr>
        <w:spacing w:line="360" w:lineRule="auto"/>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一、首次报价文件电子版</w:t>
      </w:r>
      <w:r>
        <w:rPr>
          <w:rFonts w:hint="eastAsia" w:ascii="宋体" w:hAnsi="宋体"/>
          <w:color w:val="000000"/>
          <w:kern w:val="0"/>
          <w:sz w:val="24"/>
          <w:szCs w:val="24"/>
          <w:highlight w:val="none"/>
          <w:u w:val="single"/>
          <w:lang w:val="en-US" w:eastAsia="zh-CN"/>
        </w:rPr>
        <w:t xml:space="preserve">    </w:t>
      </w:r>
      <w:r>
        <w:rPr>
          <w:rFonts w:hint="eastAsia" w:ascii="宋体" w:hAnsi="宋体"/>
          <w:color w:val="000000"/>
          <w:kern w:val="0"/>
          <w:sz w:val="24"/>
          <w:szCs w:val="24"/>
          <w:highlight w:val="none"/>
        </w:rPr>
        <w:t>份（包含按“第三章 供应商须知”提交的全部文件）；</w:t>
      </w:r>
    </w:p>
    <w:p w14:paraId="07EAC86C">
      <w:pPr>
        <w:spacing w:line="360" w:lineRule="auto"/>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二、技术文件电子版</w:t>
      </w:r>
      <w:r>
        <w:rPr>
          <w:rFonts w:hint="eastAsia" w:ascii="宋体" w:hAnsi="宋体"/>
          <w:color w:val="000000"/>
          <w:kern w:val="0"/>
          <w:sz w:val="24"/>
          <w:szCs w:val="24"/>
          <w:highlight w:val="none"/>
          <w:u w:val="single"/>
          <w:lang w:val="en-US" w:eastAsia="zh-CN"/>
        </w:rPr>
        <w:t xml:space="preserve">    </w:t>
      </w:r>
      <w:r>
        <w:rPr>
          <w:rFonts w:hint="eastAsia" w:ascii="宋体" w:hAnsi="宋体"/>
          <w:color w:val="000000"/>
          <w:kern w:val="0"/>
          <w:sz w:val="24"/>
          <w:szCs w:val="24"/>
          <w:highlight w:val="none"/>
        </w:rPr>
        <w:t>份（包含按“第三章 供应商须知”提交的全部文件）；商务文件电子版</w:t>
      </w:r>
      <w:r>
        <w:rPr>
          <w:rFonts w:hint="eastAsia" w:ascii="宋体" w:hAnsi="宋体"/>
          <w:color w:val="000000"/>
          <w:kern w:val="0"/>
          <w:sz w:val="24"/>
          <w:szCs w:val="24"/>
          <w:highlight w:val="none"/>
          <w:u w:val="single"/>
          <w:lang w:val="en-US" w:eastAsia="zh-CN"/>
        </w:rPr>
        <w:t xml:space="preserve">    </w:t>
      </w:r>
      <w:r>
        <w:rPr>
          <w:rFonts w:hint="eastAsia" w:ascii="宋体" w:hAnsi="宋体"/>
          <w:color w:val="000000"/>
          <w:kern w:val="0"/>
          <w:sz w:val="24"/>
          <w:szCs w:val="24"/>
          <w:highlight w:val="none"/>
        </w:rPr>
        <w:t>份（包含按“第三章 供应商须知”提交的全部文件）；（商务技术文件已合并装订成册）</w:t>
      </w:r>
    </w:p>
    <w:p w14:paraId="4951AB4A">
      <w:pPr>
        <w:spacing w:line="360" w:lineRule="auto"/>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据此函，签字人兹宣布：</w:t>
      </w:r>
    </w:p>
    <w:p w14:paraId="7409297F">
      <w:pPr>
        <w:spacing w:line="360" w:lineRule="auto"/>
        <w:ind w:firstLine="482"/>
        <w:rPr>
          <w:rFonts w:ascii="宋体" w:hAnsi="宋体"/>
          <w:color w:val="000000"/>
          <w:kern w:val="0"/>
          <w:sz w:val="24"/>
          <w:szCs w:val="24"/>
          <w:highlight w:val="none"/>
        </w:rPr>
      </w:pPr>
      <w:r>
        <w:rPr>
          <w:rFonts w:hint="eastAsia" w:ascii="宋体" w:hAnsi="宋体"/>
          <w:color w:val="000000"/>
          <w:kern w:val="0"/>
          <w:sz w:val="24"/>
          <w:szCs w:val="24"/>
          <w:highlight w:val="none"/>
        </w:rPr>
        <w:t>1、我方愿意以（大写）人民币</w:t>
      </w:r>
      <w:r>
        <w:rPr>
          <w:rFonts w:hint="eastAsia" w:ascii="宋体" w:hAnsi="宋体"/>
          <w:color w:val="000000"/>
          <w:kern w:val="0"/>
          <w:sz w:val="24"/>
          <w:szCs w:val="24"/>
          <w:highlight w:val="none"/>
          <w:u w:val="single"/>
          <w:lang w:val="en-US" w:eastAsia="zh-CN"/>
        </w:rPr>
        <w:t xml:space="preserve">      </w:t>
      </w:r>
      <w:r>
        <w:rPr>
          <w:rFonts w:hint="eastAsia" w:ascii="宋体" w:hAnsi="宋体"/>
          <w:color w:val="000000"/>
          <w:kern w:val="0"/>
          <w:sz w:val="24"/>
          <w:szCs w:val="24"/>
          <w:highlight w:val="none"/>
          <w:lang w:val="en-US" w:eastAsia="zh-CN"/>
        </w:rPr>
        <w:t xml:space="preserve"> </w:t>
      </w:r>
      <w:r>
        <w:rPr>
          <w:rFonts w:hint="eastAsia" w:ascii="宋体" w:hAnsi="宋体"/>
          <w:color w:val="000000"/>
          <w:kern w:val="0"/>
          <w:sz w:val="24"/>
          <w:szCs w:val="24"/>
          <w:highlight w:val="none"/>
        </w:rPr>
        <w:t>（￥</w:t>
      </w:r>
      <w:r>
        <w:rPr>
          <w:rFonts w:hint="eastAsia" w:ascii="宋体" w:hAnsi="宋体"/>
          <w:color w:val="000000"/>
          <w:kern w:val="0"/>
          <w:sz w:val="24"/>
          <w:szCs w:val="24"/>
          <w:highlight w:val="none"/>
          <w:u w:val="single"/>
          <w:lang w:val="en-US" w:eastAsia="zh-CN"/>
        </w:rPr>
        <w:t xml:space="preserve">          </w:t>
      </w:r>
      <w:r>
        <w:rPr>
          <w:rFonts w:hint="eastAsia" w:ascii="宋体" w:hAnsi="宋体"/>
          <w:color w:val="000000"/>
          <w:kern w:val="0"/>
          <w:sz w:val="24"/>
          <w:szCs w:val="24"/>
          <w:highlight w:val="none"/>
        </w:rPr>
        <w:t>元)的竞标总报价，工期：</w:t>
      </w:r>
      <w:r>
        <w:rPr>
          <w:rFonts w:hint="eastAsia" w:ascii="宋体" w:hAnsi="宋体"/>
          <w:color w:val="000000"/>
          <w:kern w:val="0"/>
          <w:sz w:val="24"/>
          <w:szCs w:val="24"/>
          <w:highlight w:val="none"/>
          <w:u w:val="single"/>
          <w:lang w:val="en-US" w:eastAsia="zh-CN"/>
        </w:rPr>
        <w:t xml:space="preserve">      </w:t>
      </w:r>
      <w:r>
        <w:rPr>
          <w:rFonts w:hint="eastAsia" w:ascii="宋体" w:hAnsi="宋体"/>
          <w:color w:val="000000"/>
          <w:kern w:val="0"/>
          <w:sz w:val="24"/>
          <w:szCs w:val="24"/>
          <w:highlight w:val="none"/>
        </w:rPr>
        <w:t>，</w:t>
      </w:r>
      <w:r>
        <w:rPr>
          <w:rFonts w:hint="eastAsia" w:ascii="宋体" w:hAnsi="宋体"/>
          <w:color w:val="000000"/>
          <w:kern w:val="0"/>
          <w:sz w:val="24"/>
          <w:szCs w:val="24"/>
          <w:highlight w:val="none"/>
          <w:lang w:val="en-US" w:eastAsia="zh-CN"/>
        </w:rPr>
        <w:t>工程</w:t>
      </w:r>
      <w:r>
        <w:rPr>
          <w:rFonts w:hint="eastAsia" w:ascii="宋体" w:hAnsi="宋体"/>
          <w:color w:val="000000"/>
          <w:kern w:val="0"/>
          <w:sz w:val="24"/>
          <w:szCs w:val="24"/>
          <w:highlight w:val="none"/>
        </w:rPr>
        <w:t>质量：</w:t>
      </w:r>
      <w:r>
        <w:rPr>
          <w:rFonts w:hint="eastAsia" w:ascii="宋体" w:hAnsi="宋体"/>
          <w:color w:val="000000"/>
          <w:kern w:val="0"/>
          <w:sz w:val="24"/>
          <w:szCs w:val="24"/>
          <w:highlight w:val="none"/>
          <w:u w:val="single"/>
          <w:lang w:val="en-US" w:eastAsia="zh-CN"/>
        </w:rPr>
        <w:t xml:space="preserve">          </w:t>
      </w:r>
      <w:r>
        <w:rPr>
          <w:rFonts w:hint="eastAsia" w:ascii="宋体" w:hAnsi="宋体"/>
          <w:color w:val="000000"/>
          <w:kern w:val="0"/>
          <w:sz w:val="24"/>
          <w:szCs w:val="24"/>
          <w:highlight w:val="none"/>
          <w:lang w:val="en-US" w:eastAsia="zh-CN"/>
        </w:rPr>
        <w:t xml:space="preserve"> </w:t>
      </w:r>
      <w:r>
        <w:rPr>
          <w:rFonts w:hint="eastAsia" w:ascii="宋体" w:hAnsi="宋体"/>
          <w:color w:val="000000"/>
          <w:kern w:val="0"/>
          <w:sz w:val="24"/>
          <w:szCs w:val="24"/>
          <w:highlight w:val="none"/>
        </w:rPr>
        <w:t>，提供本项目竞争性磋商采购文件第二章“采购需求一览表”中相应的采购内容。</w:t>
      </w:r>
    </w:p>
    <w:p w14:paraId="32CC6408">
      <w:pPr>
        <w:spacing w:line="360" w:lineRule="auto"/>
        <w:ind w:firstLine="482"/>
        <w:rPr>
          <w:rFonts w:ascii="宋体" w:hAnsi="宋体"/>
          <w:color w:val="000000"/>
          <w:kern w:val="0"/>
          <w:sz w:val="24"/>
          <w:szCs w:val="24"/>
          <w:highlight w:val="none"/>
        </w:rPr>
      </w:pPr>
      <w:r>
        <w:rPr>
          <w:rFonts w:hint="eastAsia" w:ascii="宋体" w:hAnsi="宋体"/>
          <w:color w:val="000000"/>
          <w:kern w:val="0"/>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5FC7DB8B">
      <w:pPr>
        <w:spacing w:line="360" w:lineRule="auto"/>
        <w:ind w:firstLine="482"/>
        <w:rPr>
          <w:rFonts w:ascii="宋体" w:hAnsi="宋体"/>
          <w:color w:val="000000"/>
          <w:kern w:val="0"/>
          <w:sz w:val="24"/>
          <w:szCs w:val="24"/>
          <w:highlight w:val="none"/>
        </w:rPr>
      </w:pPr>
      <w:r>
        <w:rPr>
          <w:rFonts w:hint="eastAsia" w:ascii="宋体" w:hAnsi="宋体"/>
          <w:color w:val="000000"/>
          <w:kern w:val="0"/>
          <w:sz w:val="24"/>
          <w:szCs w:val="24"/>
          <w:highlight w:val="none"/>
        </w:rPr>
        <w:t>3、我方在此声明，所递交的响应文件及有关资料内容完整、真实和准确。</w:t>
      </w:r>
    </w:p>
    <w:p w14:paraId="57DCD6B4">
      <w:pPr>
        <w:spacing w:line="360" w:lineRule="auto"/>
        <w:ind w:firstLine="482"/>
        <w:rPr>
          <w:rFonts w:ascii="宋体" w:hAnsi="宋体"/>
          <w:color w:val="000000"/>
          <w:kern w:val="0"/>
          <w:sz w:val="24"/>
          <w:szCs w:val="24"/>
          <w:highlight w:val="none"/>
        </w:rPr>
      </w:pPr>
      <w:r>
        <w:rPr>
          <w:rFonts w:hint="eastAsia" w:ascii="宋体" w:hAnsi="宋体"/>
          <w:color w:val="000000"/>
          <w:kern w:val="0"/>
          <w:sz w:val="24"/>
          <w:szCs w:val="24"/>
          <w:highlight w:val="none"/>
        </w:rPr>
        <w:t>4、如本项目采购内容涉及须符合国家强制规定的，我方承诺我方本次竞标均符合国家有关强制规定。</w:t>
      </w:r>
    </w:p>
    <w:p w14:paraId="1A8A7F83">
      <w:pPr>
        <w:spacing w:line="360" w:lineRule="auto"/>
        <w:ind w:firstLine="482"/>
        <w:rPr>
          <w:rFonts w:ascii="宋体" w:hAnsi="宋体"/>
          <w:color w:val="000000"/>
          <w:kern w:val="0"/>
          <w:sz w:val="24"/>
          <w:szCs w:val="24"/>
          <w:highlight w:val="none"/>
        </w:rPr>
      </w:pPr>
      <w:r>
        <w:rPr>
          <w:rFonts w:hint="eastAsia" w:ascii="宋体" w:hAnsi="宋体"/>
          <w:color w:val="000000"/>
          <w:kern w:val="0"/>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602C30E">
      <w:pPr>
        <w:spacing w:line="360" w:lineRule="auto"/>
        <w:ind w:firstLine="482"/>
        <w:rPr>
          <w:rFonts w:ascii="宋体" w:hAnsi="宋体"/>
          <w:color w:val="000000"/>
          <w:kern w:val="0"/>
          <w:sz w:val="24"/>
          <w:szCs w:val="24"/>
          <w:highlight w:val="none"/>
        </w:rPr>
      </w:pPr>
      <w:r>
        <w:rPr>
          <w:rFonts w:hint="eastAsia" w:ascii="宋体" w:hAnsi="宋体"/>
          <w:color w:val="000000"/>
          <w:kern w:val="0"/>
          <w:sz w:val="24"/>
          <w:szCs w:val="24"/>
          <w:highlight w:val="none"/>
        </w:rPr>
        <w:t>6、我方已详细审核竞争性磋商采购文件，我方知道必须放弃提出含糊不清或误解问题的权利。</w:t>
      </w:r>
    </w:p>
    <w:p w14:paraId="730C448B">
      <w:pPr>
        <w:spacing w:line="360" w:lineRule="auto"/>
        <w:ind w:firstLine="482"/>
        <w:rPr>
          <w:rFonts w:ascii="宋体" w:hAnsi="宋体"/>
          <w:color w:val="000000"/>
          <w:kern w:val="0"/>
          <w:sz w:val="24"/>
          <w:szCs w:val="24"/>
          <w:highlight w:val="none"/>
        </w:rPr>
      </w:pPr>
      <w:r>
        <w:rPr>
          <w:rFonts w:hint="eastAsia" w:ascii="宋体" w:hAnsi="宋体"/>
          <w:color w:val="000000"/>
          <w:kern w:val="0"/>
          <w:sz w:val="24"/>
          <w:szCs w:val="24"/>
          <w:highlight w:val="none"/>
        </w:rPr>
        <w:t>7、我方承诺满足竞争性磋商采购文件第六章“合同文本”的条款，承担完成合同的责任和义务。</w:t>
      </w:r>
    </w:p>
    <w:p w14:paraId="4170F1FF">
      <w:pPr>
        <w:spacing w:line="360" w:lineRule="auto"/>
        <w:ind w:firstLine="482"/>
        <w:rPr>
          <w:rFonts w:ascii="宋体" w:hAnsi="宋体"/>
          <w:color w:val="000000"/>
          <w:kern w:val="0"/>
          <w:sz w:val="24"/>
          <w:szCs w:val="24"/>
          <w:highlight w:val="none"/>
        </w:rPr>
      </w:pPr>
      <w:r>
        <w:rPr>
          <w:rFonts w:hint="eastAsia" w:ascii="宋体" w:hAnsi="宋体"/>
          <w:color w:val="000000"/>
          <w:kern w:val="0"/>
          <w:sz w:val="24"/>
          <w:szCs w:val="24"/>
          <w:highlight w:val="none"/>
        </w:rPr>
        <w:t>8、我方同意应贵方要求提供与本竞标有关的任何数据或资料。若贵方需要，我方愿意提供我方作出的一切承诺的证明材料。</w:t>
      </w:r>
    </w:p>
    <w:p w14:paraId="5D6B83F7">
      <w:pPr>
        <w:spacing w:line="360" w:lineRule="auto"/>
        <w:ind w:firstLine="482"/>
        <w:rPr>
          <w:rFonts w:ascii="宋体" w:hAnsi="宋体"/>
          <w:color w:val="000000"/>
          <w:kern w:val="0"/>
          <w:sz w:val="24"/>
          <w:szCs w:val="24"/>
          <w:highlight w:val="none"/>
        </w:rPr>
      </w:pPr>
      <w:r>
        <w:rPr>
          <w:rFonts w:hint="eastAsia" w:ascii="宋体" w:hAnsi="宋体"/>
          <w:color w:val="000000"/>
          <w:kern w:val="0"/>
          <w:sz w:val="24"/>
          <w:szCs w:val="24"/>
          <w:highlight w:val="none"/>
        </w:rPr>
        <w:t>9、我方完全理解贵方不一定接受响应报价最低的竞标人为成交供应商的行为。</w:t>
      </w:r>
    </w:p>
    <w:p w14:paraId="3395B6F6">
      <w:pPr>
        <w:spacing w:line="360" w:lineRule="auto"/>
        <w:ind w:firstLine="482"/>
        <w:rPr>
          <w:rFonts w:ascii="宋体" w:hAnsi="宋体"/>
          <w:color w:val="000000"/>
          <w:kern w:val="0"/>
          <w:sz w:val="24"/>
          <w:szCs w:val="24"/>
          <w:highlight w:val="none"/>
        </w:rPr>
      </w:pPr>
      <w:r>
        <w:rPr>
          <w:rFonts w:hint="eastAsia" w:ascii="宋体" w:hAnsi="宋体"/>
          <w:color w:val="000000"/>
          <w:kern w:val="0"/>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8B137BE">
      <w:pPr>
        <w:numPr>
          <w:ilvl w:val="0"/>
          <w:numId w:val="6"/>
        </w:numPr>
        <w:tabs>
          <w:tab w:val="left" w:pos="945"/>
        </w:tabs>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提供虚假材料谋取中标、成交的；</w:t>
      </w:r>
    </w:p>
    <w:p w14:paraId="7CFCB48F">
      <w:pPr>
        <w:numPr>
          <w:ilvl w:val="0"/>
          <w:numId w:val="6"/>
        </w:numPr>
        <w:tabs>
          <w:tab w:val="left" w:pos="945"/>
        </w:tabs>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采取不正当手段诋毁、排挤其他供应商的；</w:t>
      </w:r>
    </w:p>
    <w:p w14:paraId="70DDF1E6">
      <w:pPr>
        <w:numPr>
          <w:ilvl w:val="0"/>
          <w:numId w:val="6"/>
        </w:numPr>
        <w:tabs>
          <w:tab w:val="left" w:pos="945"/>
        </w:tabs>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与采购人、其他供应商或者采购代理机构恶意串通的；</w:t>
      </w:r>
    </w:p>
    <w:p w14:paraId="34AA1731">
      <w:pPr>
        <w:numPr>
          <w:ilvl w:val="0"/>
          <w:numId w:val="6"/>
        </w:numPr>
        <w:tabs>
          <w:tab w:val="left" w:pos="945"/>
        </w:tabs>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向采购人、采购代理机构行贿或者提供其他不正当利益的；</w:t>
      </w:r>
    </w:p>
    <w:p w14:paraId="6C88333C">
      <w:pPr>
        <w:numPr>
          <w:ilvl w:val="0"/>
          <w:numId w:val="6"/>
        </w:numPr>
        <w:tabs>
          <w:tab w:val="left" w:pos="945"/>
        </w:tabs>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在采购过程中与采购人进行协商谈判的；</w:t>
      </w:r>
    </w:p>
    <w:p w14:paraId="75BB460D">
      <w:pPr>
        <w:numPr>
          <w:ilvl w:val="0"/>
          <w:numId w:val="6"/>
        </w:numPr>
        <w:tabs>
          <w:tab w:val="left" w:pos="945"/>
        </w:tabs>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拒绝有关部门监督检查或提供虚假情况的。</w:t>
      </w:r>
    </w:p>
    <w:p w14:paraId="38369CDD">
      <w:pPr>
        <w:spacing w:line="360" w:lineRule="auto"/>
        <w:ind w:firstLine="420"/>
        <w:rPr>
          <w:rFonts w:ascii="宋体" w:hAnsi="宋体"/>
          <w:color w:val="000000"/>
          <w:kern w:val="0"/>
          <w:sz w:val="24"/>
          <w:szCs w:val="24"/>
          <w:highlight w:val="none"/>
        </w:rPr>
      </w:pPr>
      <w:r>
        <w:rPr>
          <w:rFonts w:hint="eastAsia" w:ascii="宋体" w:hAnsi="宋体" w:cs="宋体"/>
          <w:color w:val="000000"/>
          <w:kern w:val="0"/>
          <w:sz w:val="24"/>
          <w:szCs w:val="24"/>
          <w:highlight w:val="none"/>
        </w:rPr>
        <w:t>11</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与本磋商有关的一切正式往来信函请寄</w:t>
      </w:r>
      <w:r>
        <w:rPr>
          <w:rFonts w:hint="eastAsia" w:ascii="宋体" w:hAnsi="宋体"/>
          <w:color w:val="000000"/>
          <w:kern w:val="0"/>
          <w:sz w:val="24"/>
          <w:szCs w:val="24"/>
          <w:highlight w:val="none"/>
        </w:rPr>
        <w:t>：</w:t>
      </w:r>
    </w:p>
    <w:p w14:paraId="1335053F">
      <w:pPr>
        <w:spacing w:line="360" w:lineRule="auto"/>
        <w:ind w:firstLine="420"/>
        <w:rPr>
          <w:rFonts w:ascii="宋体" w:hAnsi="宋体"/>
          <w:color w:val="000000"/>
          <w:kern w:val="0"/>
          <w:sz w:val="24"/>
          <w:szCs w:val="24"/>
          <w:highlight w:val="none"/>
        </w:rPr>
      </w:pPr>
      <w:r>
        <w:rPr>
          <w:rFonts w:hint="eastAsia" w:ascii="宋体" w:hAnsi="宋体"/>
          <w:color w:val="000000"/>
          <w:kern w:val="0"/>
          <w:sz w:val="24"/>
          <w:szCs w:val="24"/>
          <w:highlight w:val="none"/>
        </w:rPr>
        <w:t>地址：</w:t>
      </w:r>
    </w:p>
    <w:p w14:paraId="284DE6D8">
      <w:pPr>
        <w:spacing w:line="360" w:lineRule="auto"/>
        <w:ind w:firstLine="420"/>
        <w:rPr>
          <w:rFonts w:ascii="宋体" w:hAnsi="宋体"/>
          <w:color w:val="000000"/>
          <w:kern w:val="0"/>
          <w:sz w:val="24"/>
          <w:szCs w:val="24"/>
          <w:highlight w:val="none"/>
          <w:u w:val="single"/>
        </w:rPr>
      </w:pPr>
      <w:r>
        <w:rPr>
          <w:rFonts w:hint="eastAsia" w:ascii="宋体" w:hAnsi="宋体"/>
          <w:color w:val="000000"/>
          <w:kern w:val="0"/>
          <w:sz w:val="24"/>
          <w:szCs w:val="24"/>
          <w:highlight w:val="none"/>
        </w:rPr>
        <w:t>电话：</w:t>
      </w:r>
    </w:p>
    <w:p w14:paraId="0B3C9AD8">
      <w:pPr>
        <w:spacing w:line="360" w:lineRule="auto"/>
        <w:ind w:firstLine="420"/>
        <w:rPr>
          <w:rFonts w:ascii="宋体" w:hAnsi="宋体"/>
          <w:color w:val="000000"/>
          <w:kern w:val="0"/>
          <w:sz w:val="24"/>
          <w:szCs w:val="24"/>
          <w:highlight w:val="none"/>
        </w:rPr>
      </w:pPr>
      <w:r>
        <w:rPr>
          <w:rFonts w:hint="eastAsia" w:ascii="宋体" w:hAnsi="宋体"/>
          <w:color w:val="000000"/>
          <w:kern w:val="0"/>
          <w:sz w:val="24"/>
          <w:szCs w:val="24"/>
          <w:highlight w:val="none"/>
        </w:rPr>
        <w:t>传真：</w:t>
      </w:r>
    </w:p>
    <w:p w14:paraId="401B4E70">
      <w:pPr>
        <w:spacing w:line="360" w:lineRule="auto"/>
        <w:ind w:firstLine="420"/>
        <w:rPr>
          <w:rFonts w:ascii="宋体" w:hAnsi="宋体"/>
          <w:color w:val="000000"/>
          <w:kern w:val="0"/>
          <w:sz w:val="24"/>
          <w:szCs w:val="24"/>
          <w:highlight w:val="none"/>
          <w:u w:val="single"/>
        </w:rPr>
      </w:pPr>
      <w:r>
        <w:rPr>
          <w:rFonts w:hint="eastAsia" w:ascii="宋体" w:hAnsi="宋体"/>
          <w:color w:val="000000"/>
          <w:kern w:val="0"/>
          <w:sz w:val="24"/>
          <w:szCs w:val="24"/>
          <w:highlight w:val="none"/>
        </w:rPr>
        <w:t>邮政编码：</w:t>
      </w:r>
    </w:p>
    <w:p w14:paraId="60896D25">
      <w:pPr>
        <w:spacing w:line="360" w:lineRule="auto"/>
        <w:ind w:firstLine="420"/>
        <w:rPr>
          <w:rFonts w:ascii="宋体" w:hAnsi="宋体"/>
          <w:color w:val="000000"/>
          <w:kern w:val="0"/>
          <w:sz w:val="24"/>
          <w:szCs w:val="24"/>
          <w:highlight w:val="none"/>
          <w:u w:val="single"/>
        </w:rPr>
      </w:pPr>
      <w:r>
        <w:rPr>
          <w:rFonts w:hint="eastAsia" w:ascii="宋体" w:hAnsi="宋体"/>
          <w:color w:val="000000"/>
          <w:kern w:val="0"/>
          <w:sz w:val="24"/>
          <w:szCs w:val="24"/>
          <w:highlight w:val="none"/>
        </w:rPr>
        <w:t>开户名称：</w:t>
      </w:r>
    </w:p>
    <w:p w14:paraId="793A11B5">
      <w:pPr>
        <w:spacing w:line="360" w:lineRule="auto"/>
        <w:ind w:firstLine="420"/>
        <w:rPr>
          <w:rFonts w:ascii="宋体" w:hAnsi="宋体"/>
          <w:color w:val="000000"/>
          <w:kern w:val="0"/>
          <w:sz w:val="24"/>
          <w:szCs w:val="24"/>
          <w:highlight w:val="none"/>
          <w:u w:val="single"/>
        </w:rPr>
      </w:pPr>
      <w:r>
        <w:rPr>
          <w:rFonts w:hint="eastAsia" w:ascii="宋体" w:hAnsi="宋体"/>
          <w:color w:val="000000"/>
          <w:kern w:val="0"/>
          <w:sz w:val="24"/>
          <w:szCs w:val="24"/>
          <w:highlight w:val="none"/>
        </w:rPr>
        <w:t>开户银行：</w:t>
      </w:r>
    </w:p>
    <w:p w14:paraId="4E278AB9">
      <w:pPr>
        <w:spacing w:line="360" w:lineRule="auto"/>
        <w:ind w:firstLine="420"/>
        <w:rPr>
          <w:rFonts w:ascii="宋体" w:hAnsi="宋体"/>
          <w:color w:val="000000"/>
          <w:kern w:val="0"/>
          <w:sz w:val="24"/>
          <w:szCs w:val="24"/>
          <w:highlight w:val="none"/>
          <w:u w:val="single"/>
        </w:rPr>
      </w:pPr>
      <w:r>
        <w:rPr>
          <w:rFonts w:hint="eastAsia" w:ascii="宋体" w:hAnsi="宋体"/>
          <w:color w:val="000000"/>
          <w:kern w:val="0"/>
          <w:sz w:val="24"/>
          <w:szCs w:val="24"/>
          <w:highlight w:val="none"/>
        </w:rPr>
        <w:t>银行账号：</w:t>
      </w:r>
    </w:p>
    <w:p w14:paraId="2DE744CA">
      <w:pPr>
        <w:tabs>
          <w:tab w:val="left" w:pos="939"/>
        </w:tabs>
        <w:spacing w:line="360" w:lineRule="auto"/>
        <w:ind w:left="141" w:leftChars="67" w:firstLine="360" w:firstLineChars="150"/>
        <w:contextualSpacing/>
        <w:rPr>
          <w:rFonts w:ascii="宋体" w:hAnsi="宋体" w:cs="宋体"/>
          <w:color w:val="000000"/>
          <w:sz w:val="24"/>
          <w:szCs w:val="24"/>
          <w:highlight w:val="none"/>
        </w:rPr>
      </w:pPr>
      <w:r>
        <w:rPr>
          <w:rFonts w:hint="eastAsia" w:ascii="宋体" w:hAnsi="宋体" w:cs="宋体"/>
          <w:color w:val="000000"/>
          <w:sz w:val="24"/>
          <w:szCs w:val="24"/>
          <w:highlight w:val="none"/>
        </w:rPr>
        <w:t>特此承诺。</w:t>
      </w:r>
    </w:p>
    <w:p w14:paraId="0E5364BB">
      <w:pPr>
        <w:spacing w:line="360" w:lineRule="auto"/>
        <w:contextualSpacing/>
        <w:jc w:val="left"/>
        <w:rPr>
          <w:rFonts w:ascii="宋体" w:hAnsi="宋体" w:cs="宋体"/>
          <w:color w:val="000000"/>
          <w:sz w:val="24"/>
          <w:szCs w:val="24"/>
          <w:highlight w:val="none"/>
        </w:rPr>
      </w:pPr>
    </w:p>
    <w:p w14:paraId="76A4AA31">
      <w:pPr>
        <w:autoSpaceDE w:val="0"/>
        <w:autoSpaceDN w:val="0"/>
        <w:spacing w:line="360" w:lineRule="auto"/>
        <w:ind w:left="4335" w:leftChars="1950" w:hanging="240" w:hangingChars="100"/>
        <w:rPr>
          <w:rFonts w:ascii="宋体" w:hAnsi="宋体" w:cs="仿宋_GB2312"/>
          <w:color w:val="000000"/>
          <w:kern w:val="0"/>
          <w:sz w:val="24"/>
          <w:szCs w:val="24"/>
          <w:highlight w:val="none"/>
        </w:rPr>
      </w:pPr>
      <w:r>
        <w:rPr>
          <w:rFonts w:hint="eastAsia" w:ascii="宋体" w:hAnsi="宋体" w:cs="仿宋_GB2312"/>
          <w:color w:val="000000"/>
          <w:kern w:val="0"/>
          <w:sz w:val="24"/>
          <w:szCs w:val="24"/>
          <w:highlight w:val="none"/>
        </w:rPr>
        <w:t>供应商名称（电子签章）：</w:t>
      </w:r>
    </w:p>
    <w:p w14:paraId="247BF62C">
      <w:pPr>
        <w:autoSpaceDE w:val="0"/>
        <w:autoSpaceDN w:val="0"/>
        <w:spacing w:line="360" w:lineRule="auto"/>
        <w:ind w:firstLine="6480" w:firstLineChars="2700"/>
        <w:rPr>
          <w:rFonts w:ascii="宋体" w:hAnsi="宋体" w:cs="仿宋_GB2312"/>
          <w:color w:val="000000"/>
          <w:kern w:val="0"/>
          <w:sz w:val="24"/>
          <w:szCs w:val="24"/>
          <w:highlight w:val="none"/>
          <w:lang w:val="zh-CN"/>
        </w:rPr>
      </w:pPr>
      <w:r>
        <w:rPr>
          <w:rFonts w:hint="eastAsia" w:ascii="宋体" w:hAnsi="宋体" w:cs="仿宋_GB2312"/>
          <w:color w:val="000000"/>
          <w:kern w:val="0"/>
          <w:sz w:val="24"/>
          <w:szCs w:val="24"/>
          <w:highlight w:val="none"/>
          <w:lang w:val="zh-CN"/>
        </w:rPr>
        <w:t>日期：  年  月   日</w:t>
      </w:r>
    </w:p>
    <w:p w14:paraId="1A13F64D">
      <w:pPr>
        <w:rPr>
          <w:rFonts w:ascii="宋体" w:hAnsi="宋体"/>
          <w:color w:val="000000"/>
          <w:highlight w:val="none"/>
          <w:lang w:val="zh-CN"/>
        </w:rPr>
      </w:pPr>
    </w:p>
    <w:p w14:paraId="117054FE">
      <w:pPr>
        <w:rPr>
          <w:rFonts w:ascii="宋体" w:hAnsi="宋体"/>
          <w:color w:val="000000"/>
          <w:highlight w:val="none"/>
          <w:lang w:val="zh-CN"/>
        </w:rPr>
      </w:pPr>
    </w:p>
    <w:p w14:paraId="7F8C9F56">
      <w:pPr>
        <w:rPr>
          <w:rFonts w:ascii="宋体" w:hAnsi="宋体"/>
          <w:color w:val="000000"/>
          <w:highlight w:val="none"/>
          <w:lang w:val="zh-CN"/>
        </w:rPr>
      </w:pPr>
    </w:p>
    <w:p w14:paraId="5F9320E2">
      <w:pPr>
        <w:rPr>
          <w:rFonts w:ascii="宋体" w:hAnsi="宋体"/>
          <w:color w:val="000000"/>
          <w:highlight w:val="none"/>
          <w:lang w:val="zh-CN"/>
        </w:rPr>
      </w:pPr>
    </w:p>
    <w:p w14:paraId="11932A52">
      <w:pPr>
        <w:rPr>
          <w:rFonts w:ascii="宋体" w:hAnsi="宋体"/>
          <w:color w:val="000000"/>
          <w:highlight w:val="none"/>
          <w:lang w:val="zh-CN"/>
        </w:rPr>
      </w:pPr>
    </w:p>
    <w:p w14:paraId="67977F6D">
      <w:pPr>
        <w:rPr>
          <w:rFonts w:ascii="宋体" w:hAnsi="宋体"/>
          <w:color w:val="000000"/>
          <w:highlight w:val="none"/>
          <w:lang w:val="zh-CN"/>
        </w:rPr>
      </w:pPr>
    </w:p>
    <w:p w14:paraId="529F5277">
      <w:pPr>
        <w:rPr>
          <w:rFonts w:ascii="宋体" w:hAnsi="宋体"/>
          <w:color w:val="000000"/>
          <w:highlight w:val="none"/>
          <w:lang w:val="zh-CN"/>
        </w:rPr>
      </w:pPr>
    </w:p>
    <w:p w14:paraId="591AF874">
      <w:pPr>
        <w:rPr>
          <w:rFonts w:ascii="宋体" w:hAnsi="宋体"/>
          <w:color w:val="000000"/>
          <w:highlight w:val="none"/>
          <w:lang w:val="zh-CN"/>
        </w:rPr>
      </w:pPr>
    </w:p>
    <w:p w14:paraId="2502A0B8">
      <w:pPr>
        <w:rPr>
          <w:rFonts w:ascii="宋体" w:hAnsi="宋体"/>
          <w:color w:val="000000"/>
          <w:highlight w:val="none"/>
          <w:lang w:val="zh-CN"/>
        </w:rPr>
      </w:pPr>
    </w:p>
    <w:p w14:paraId="73969258">
      <w:pPr>
        <w:rPr>
          <w:rFonts w:ascii="宋体" w:hAnsi="宋体"/>
          <w:color w:val="000000"/>
          <w:highlight w:val="none"/>
          <w:lang w:val="zh-CN"/>
        </w:rPr>
      </w:pPr>
    </w:p>
    <w:p w14:paraId="4D52CB5E">
      <w:pPr>
        <w:rPr>
          <w:rFonts w:ascii="宋体" w:hAnsi="宋体"/>
          <w:color w:val="000000"/>
          <w:highlight w:val="none"/>
          <w:lang w:val="zh-CN"/>
        </w:rPr>
      </w:pPr>
    </w:p>
    <w:p w14:paraId="67BD1EC5">
      <w:pPr>
        <w:rPr>
          <w:rFonts w:ascii="宋体" w:hAnsi="宋体"/>
          <w:color w:val="000000"/>
          <w:highlight w:val="none"/>
          <w:lang w:val="zh-CN"/>
        </w:rPr>
      </w:pPr>
    </w:p>
    <w:p w14:paraId="0A0742AB">
      <w:pPr>
        <w:rPr>
          <w:rFonts w:ascii="宋体" w:hAnsi="宋体"/>
          <w:color w:val="000000"/>
          <w:highlight w:val="none"/>
          <w:lang w:val="zh-CN"/>
        </w:rPr>
      </w:pPr>
    </w:p>
    <w:p w14:paraId="3C1A1FCF">
      <w:pPr>
        <w:pStyle w:val="13"/>
        <w:spacing w:line="360" w:lineRule="auto"/>
        <w:ind w:firstLine="9577" w:firstLineChars="2650"/>
        <w:rPr>
          <w:rFonts w:hAnsi="宋体" w:cs="宋体"/>
          <w:sz w:val="24"/>
          <w:lang w:val="zh-CN"/>
        </w:rPr>
        <w:sectPr>
          <w:pgSz w:w="11910" w:h="16840"/>
          <w:pgMar w:top="1304" w:right="1304" w:bottom="1304" w:left="1304" w:header="720" w:footer="720" w:gutter="0"/>
          <w:cols w:space="720" w:num="1"/>
        </w:sectPr>
      </w:pPr>
      <w:r>
        <w:rPr>
          <w:rFonts w:hint="eastAsia" w:ascii="宋体" w:hAnsi="宋体"/>
          <w:b/>
          <w:bCs/>
          <w:color w:val="000000"/>
          <w:sz w:val="36"/>
          <w:szCs w:val="36"/>
          <w:highlight w:val="none"/>
        </w:rPr>
        <w:br w:type="page"/>
      </w:r>
    </w:p>
    <w:p w14:paraId="20C16AF0">
      <w:pPr>
        <w:spacing w:line="520" w:lineRule="exact"/>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响应报价表</w:t>
      </w:r>
    </w:p>
    <w:p w14:paraId="0C7A88CA">
      <w:pPr>
        <w:pStyle w:val="9"/>
        <w:rPr>
          <w:color w:val="000000"/>
          <w:highlight w:val="none"/>
        </w:rPr>
      </w:pPr>
    </w:p>
    <w:p w14:paraId="41651E56">
      <w:pPr>
        <w:snapToGrid w:val="0"/>
        <w:spacing w:before="50" w:after="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872432F">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分标：</w:t>
      </w:r>
      <w:r>
        <w:rPr>
          <w:rFonts w:hint="eastAsia" w:ascii="宋体" w:hAnsi="宋体" w:eastAsia="宋体" w:cs="宋体"/>
          <w:color w:val="auto"/>
          <w:sz w:val="24"/>
          <w:szCs w:val="24"/>
          <w:highlight w:val="none"/>
          <w:u w:val="single"/>
        </w:rPr>
        <w:t xml:space="preserve">           </w:t>
      </w:r>
    </w:p>
    <w:p w14:paraId="7A3CD4F3">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761BF99">
      <w:pPr>
        <w:pageBreakBefore w:val="0"/>
        <w:kinsoku/>
        <w:overflowPunct/>
        <w:topLinePunct w:val="0"/>
        <w:bidi w:val="0"/>
        <w:spacing w:line="360" w:lineRule="auto"/>
        <w:ind w:left="238" w:hanging="2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币种：人民币</w:t>
      </w:r>
      <w:r>
        <w:rPr>
          <w:rFonts w:hint="eastAsia" w:ascii="宋体" w:hAnsi="宋体" w:eastAsia="宋体" w:cs="宋体"/>
          <w:color w:val="auto"/>
          <w:sz w:val="24"/>
          <w:szCs w:val="24"/>
          <w:highlight w:val="none"/>
          <w:vertAlign w:val="superscript"/>
        </w:rPr>
        <w:t xml:space="preserve"> </w:t>
      </w:r>
    </w:p>
    <w:tbl>
      <w:tblPr>
        <w:tblStyle w:val="22"/>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3508"/>
        <w:gridCol w:w="2717"/>
        <w:gridCol w:w="1353"/>
      </w:tblGrid>
      <w:tr w14:paraId="0865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174" w:type="dxa"/>
            <w:gridSpan w:val="2"/>
            <w:vAlign w:val="center"/>
          </w:tcPr>
          <w:p w14:paraId="3178297D">
            <w:pPr>
              <w:keepNext w:val="0"/>
              <w:keepLines w:val="0"/>
              <w:pageBreakBefore w:val="0"/>
              <w:widowControl/>
              <w:tabs>
                <w:tab w:val="left" w:pos="2720"/>
              </w:tabs>
              <w:kinsoku/>
              <w:overflowPunct/>
              <w:topLinePunct w:val="0"/>
              <w:autoSpaceDE/>
              <w:autoSpaceDN/>
              <w:bidi w:val="0"/>
              <w:adjustRightInd w:val="0"/>
              <w:snapToGrid w:val="0"/>
              <w:spacing w:line="440" w:lineRule="exact"/>
              <w:ind w:left="18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磋商总报价</w:t>
            </w:r>
          </w:p>
        </w:tc>
        <w:tc>
          <w:tcPr>
            <w:tcW w:w="2717" w:type="dxa"/>
            <w:vAlign w:val="center"/>
          </w:tcPr>
          <w:p w14:paraId="1DC22C2A">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万元  </w:t>
            </w:r>
          </w:p>
        </w:tc>
        <w:tc>
          <w:tcPr>
            <w:tcW w:w="1353" w:type="dxa"/>
            <w:vAlign w:val="top"/>
          </w:tcPr>
          <w:p w14:paraId="163DAA01">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1F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666" w:type="dxa"/>
            <w:vMerge w:val="restart"/>
            <w:vAlign w:val="center"/>
          </w:tcPr>
          <w:p w14:paraId="3D5C3D78">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3508" w:type="dxa"/>
            <w:vAlign w:val="center"/>
          </w:tcPr>
          <w:p w14:paraId="03390674">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安全文明施工费</w:t>
            </w:r>
          </w:p>
        </w:tc>
        <w:tc>
          <w:tcPr>
            <w:tcW w:w="2717" w:type="dxa"/>
            <w:vAlign w:val="center"/>
          </w:tcPr>
          <w:p w14:paraId="5971D590">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万元  </w:t>
            </w:r>
          </w:p>
        </w:tc>
        <w:tc>
          <w:tcPr>
            <w:tcW w:w="1353" w:type="dxa"/>
            <w:vAlign w:val="top"/>
          </w:tcPr>
          <w:p w14:paraId="1D50B3A6">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jc w:val="right"/>
              <w:textAlignment w:val="auto"/>
              <w:outlineLvl w:val="9"/>
              <w:rPr>
                <w:rFonts w:hint="eastAsia" w:ascii="宋体" w:hAnsi="宋体" w:eastAsia="宋体" w:cs="宋体"/>
                <w:color w:val="auto"/>
                <w:sz w:val="24"/>
                <w:szCs w:val="24"/>
                <w:highlight w:val="none"/>
              </w:rPr>
            </w:pPr>
          </w:p>
        </w:tc>
      </w:tr>
      <w:tr w14:paraId="3BA7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666" w:type="dxa"/>
            <w:vMerge w:val="continue"/>
            <w:vAlign w:val="center"/>
          </w:tcPr>
          <w:p w14:paraId="3A29F507">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p>
        </w:tc>
        <w:tc>
          <w:tcPr>
            <w:tcW w:w="3508" w:type="dxa"/>
            <w:vAlign w:val="center"/>
          </w:tcPr>
          <w:p w14:paraId="6F884C4A">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发包人提供材料</w:t>
            </w:r>
            <w:r>
              <w:rPr>
                <w:rFonts w:hint="eastAsia" w:ascii="宋体" w:hAnsi="宋体" w:eastAsia="宋体" w:cs="宋体"/>
                <w:color w:val="auto"/>
                <w:sz w:val="24"/>
                <w:szCs w:val="24"/>
                <w:highlight w:val="none"/>
                <w:lang w:eastAsia="zh-CN"/>
              </w:rPr>
              <w:t>（设备）暂估价（如有）</w:t>
            </w:r>
          </w:p>
        </w:tc>
        <w:tc>
          <w:tcPr>
            <w:tcW w:w="2717" w:type="dxa"/>
            <w:vAlign w:val="center"/>
          </w:tcPr>
          <w:p w14:paraId="4ECE5A2C">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万元  </w:t>
            </w:r>
          </w:p>
        </w:tc>
        <w:tc>
          <w:tcPr>
            <w:tcW w:w="1353" w:type="dxa"/>
            <w:vAlign w:val="top"/>
          </w:tcPr>
          <w:p w14:paraId="417AADC8">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jc w:val="right"/>
              <w:textAlignment w:val="auto"/>
              <w:outlineLvl w:val="9"/>
              <w:rPr>
                <w:rFonts w:hint="eastAsia" w:ascii="宋体" w:hAnsi="宋体" w:eastAsia="宋体" w:cs="宋体"/>
                <w:color w:val="auto"/>
                <w:sz w:val="24"/>
                <w:szCs w:val="24"/>
                <w:highlight w:val="none"/>
              </w:rPr>
            </w:pPr>
          </w:p>
        </w:tc>
      </w:tr>
      <w:tr w14:paraId="6D3A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6" w:type="dxa"/>
            <w:vMerge w:val="continue"/>
            <w:vAlign w:val="center"/>
          </w:tcPr>
          <w:p w14:paraId="2AA14EB1">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p>
        </w:tc>
        <w:tc>
          <w:tcPr>
            <w:tcW w:w="3508" w:type="dxa"/>
            <w:vAlign w:val="center"/>
          </w:tcPr>
          <w:p w14:paraId="7D20425C">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专业工程暂估</w:t>
            </w:r>
            <w:r>
              <w:rPr>
                <w:rFonts w:hint="eastAsia" w:ascii="宋体" w:hAnsi="宋体" w:eastAsia="宋体" w:cs="宋体"/>
                <w:color w:val="auto"/>
                <w:sz w:val="24"/>
                <w:szCs w:val="24"/>
                <w:highlight w:val="none"/>
                <w:lang w:eastAsia="zh-CN"/>
              </w:rPr>
              <w:t>价（如有）</w:t>
            </w:r>
          </w:p>
        </w:tc>
        <w:tc>
          <w:tcPr>
            <w:tcW w:w="2717" w:type="dxa"/>
            <w:vAlign w:val="center"/>
          </w:tcPr>
          <w:p w14:paraId="2844FE03">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万元  </w:t>
            </w:r>
          </w:p>
        </w:tc>
        <w:tc>
          <w:tcPr>
            <w:tcW w:w="1353" w:type="dxa"/>
            <w:vAlign w:val="top"/>
          </w:tcPr>
          <w:p w14:paraId="6F1FBEEF">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jc w:val="right"/>
              <w:textAlignment w:val="auto"/>
              <w:outlineLvl w:val="9"/>
              <w:rPr>
                <w:rFonts w:hint="eastAsia" w:ascii="宋体" w:hAnsi="宋体" w:eastAsia="宋体" w:cs="宋体"/>
                <w:color w:val="auto"/>
                <w:sz w:val="24"/>
                <w:szCs w:val="24"/>
                <w:highlight w:val="none"/>
              </w:rPr>
            </w:pPr>
          </w:p>
        </w:tc>
      </w:tr>
      <w:tr w14:paraId="6AFC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66" w:type="dxa"/>
            <w:vMerge w:val="continue"/>
            <w:vAlign w:val="center"/>
          </w:tcPr>
          <w:p w14:paraId="7DB0F89C">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p>
        </w:tc>
        <w:tc>
          <w:tcPr>
            <w:tcW w:w="3508" w:type="dxa"/>
            <w:vAlign w:val="center"/>
          </w:tcPr>
          <w:p w14:paraId="53FD00EE">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暂列金额</w:t>
            </w:r>
            <w:r>
              <w:rPr>
                <w:rFonts w:hint="eastAsia" w:ascii="宋体" w:hAnsi="宋体" w:eastAsia="宋体" w:cs="宋体"/>
                <w:color w:val="auto"/>
                <w:sz w:val="24"/>
                <w:szCs w:val="24"/>
                <w:highlight w:val="none"/>
                <w:lang w:eastAsia="zh-CN"/>
              </w:rPr>
              <w:t>（如有）</w:t>
            </w:r>
          </w:p>
        </w:tc>
        <w:tc>
          <w:tcPr>
            <w:tcW w:w="2717" w:type="dxa"/>
            <w:vAlign w:val="center"/>
          </w:tcPr>
          <w:p w14:paraId="47D70EFF">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万元  </w:t>
            </w:r>
          </w:p>
        </w:tc>
        <w:tc>
          <w:tcPr>
            <w:tcW w:w="1353" w:type="dxa"/>
            <w:vAlign w:val="top"/>
          </w:tcPr>
          <w:p w14:paraId="1B8F4C67">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jc w:val="right"/>
              <w:textAlignment w:val="auto"/>
              <w:outlineLvl w:val="9"/>
              <w:rPr>
                <w:rFonts w:hint="eastAsia" w:ascii="宋体" w:hAnsi="宋体" w:eastAsia="宋体" w:cs="宋体"/>
                <w:color w:val="auto"/>
                <w:sz w:val="24"/>
                <w:szCs w:val="24"/>
                <w:highlight w:val="none"/>
              </w:rPr>
            </w:pPr>
          </w:p>
        </w:tc>
      </w:tr>
      <w:tr w14:paraId="5365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66" w:type="dxa"/>
            <w:vMerge w:val="restart"/>
            <w:vAlign w:val="center"/>
          </w:tcPr>
          <w:p w14:paraId="0584365D">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主要材料用量</w:t>
            </w:r>
          </w:p>
        </w:tc>
        <w:tc>
          <w:tcPr>
            <w:tcW w:w="3508" w:type="dxa"/>
            <w:vAlign w:val="center"/>
          </w:tcPr>
          <w:p w14:paraId="629EAC6F">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钢筋</w:t>
            </w:r>
          </w:p>
        </w:tc>
        <w:tc>
          <w:tcPr>
            <w:tcW w:w="2717" w:type="dxa"/>
            <w:vAlign w:val="center"/>
          </w:tcPr>
          <w:p w14:paraId="04C3A99F">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ind w:right="14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吨 </w:t>
            </w:r>
          </w:p>
        </w:tc>
        <w:tc>
          <w:tcPr>
            <w:tcW w:w="1353" w:type="dxa"/>
            <w:vAlign w:val="top"/>
          </w:tcPr>
          <w:p w14:paraId="1DA16B44">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ind w:right="140"/>
              <w:jc w:val="right"/>
              <w:textAlignment w:val="auto"/>
              <w:outlineLvl w:val="9"/>
              <w:rPr>
                <w:rFonts w:hint="eastAsia" w:ascii="宋体" w:hAnsi="宋体" w:eastAsia="宋体" w:cs="宋体"/>
                <w:color w:val="auto"/>
                <w:sz w:val="24"/>
                <w:szCs w:val="24"/>
                <w:highlight w:val="none"/>
              </w:rPr>
            </w:pPr>
          </w:p>
        </w:tc>
      </w:tr>
      <w:tr w14:paraId="091D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666" w:type="dxa"/>
            <w:vMerge w:val="continue"/>
            <w:vAlign w:val="center"/>
          </w:tcPr>
          <w:p w14:paraId="1E8F3CF1">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p>
        </w:tc>
        <w:tc>
          <w:tcPr>
            <w:tcW w:w="3508" w:type="dxa"/>
            <w:vAlign w:val="center"/>
          </w:tcPr>
          <w:p w14:paraId="73A49A9E">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水泥（不含商品混凝土用量）</w:t>
            </w:r>
          </w:p>
        </w:tc>
        <w:tc>
          <w:tcPr>
            <w:tcW w:w="2717" w:type="dxa"/>
            <w:vAlign w:val="center"/>
          </w:tcPr>
          <w:p w14:paraId="7088BD98">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ind w:right="14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吨 </w:t>
            </w:r>
          </w:p>
        </w:tc>
        <w:tc>
          <w:tcPr>
            <w:tcW w:w="1353" w:type="dxa"/>
            <w:vAlign w:val="top"/>
          </w:tcPr>
          <w:p w14:paraId="17FE5C69">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ind w:right="140"/>
              <w:jc w:val="right"/>
              <w:textAlignment w:val="auto"/>
              <w:outlineLvl w:val="9"/>
              <w:rPr>
                <w:rFonts w:hint="eastAsia" w:ascii="宋体" w:hAnsi="宋体" w:eastAsia="宋体" w:cs="宋体"/>
                <w:color w:val="auto"/>
                <w:sz w:val="24"/>
                <w:szCs w:val="24"/>
                <w:highlight w:val="none"/>
              </w:rPr>
            </w:pPr>
          </w:p>
        </w:tc>
      </w:tr>
      <w:tr w14:paraId="6679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6" w:type="dxa"/>
            <w:vMerge w:val="continue"/>
            <w:vAlign w:val="center"/>
          </w:tcPr>
          <w:p w14:paraId="37936289">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p>
        </w:tc>
        <w:tc>
          <w:tcPr>
            <w:tcW w:w="3508" w:type="dxa"/>
            <w:vAlign w:val="center"/>
          </w:tcPr>
          <w:p w14:paraId="59B54FFA">
            <w:pPr>
              <w:keepNext w:val="0"/>
              <w:keepLines w:val="0"/>
              <w:pageBreakBefore w:val="0"/>
              <w:widowControl/>
              <w:tabs>
                <w:tab w:val="left" w:pos="2720"/>
              </w:tabs>
              <w:kinsoku/>
              <w:overflowPunct/>
              <w:topLinePunct w:val="0"/>
              <w:autoSpaceDE/>
              <w:autoSpaceDN/>
              <w:bidi w:val="0"/>
              <w:adjustRightInd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商品砼</w:t>
            </w:r>
          </w:p>
        </w:tc>
        <w:tc>
          <w:tcPr>
            <w:tcW w:w="2717" w:type="dxa"/>
            <w:vAlign w:val="center"/>
          </w:tcPr>
          <w:p w14:paraId="3E506F48">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ind w:right="14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3</w:t>
            </w:r>
          </w:p>
        </w:tc>
        <w:tc>
          <w:tcPr>
            <w:tcW w:w="1353" w:type="dxa"/>
            <w:vAlign w:val="top"/>
          </w:tcPr>
          <w:p w14:paraId="4649E9B9">
            <w:pPr>
              <w:keepNext w:val="0"/>
              <w:keepLines w:val="0"/>
              <w:pageBreakBefore w:val="0"/>
              <w:widowControl/>
              <w:tabs>
                <w:tab w:val="left" w:pos="2720"/>
              </w:tabs>
              <w:kinsoku/>
              <w:wordWrap w:val="0"/>
              <w:overflowPunct/>
              <w:topLinePunct w:val="0"/>
              <w:autoSpaceDE/>
              <w:autoSpaceDN/>
              <w:bidi w:val="0"/>
              <w:adjustRightInd w:val="0"/>
              <w:snapToGrid w:val="0"/>
              <w:spacing w:line="440" w:lineRule="exact"/>
              <w:ind w:right="140"/>
              <w:jc w:val="right"/>
              <w:textAlignment w:val="auto"/>
              <w:outlineLvl w:val="9"/>
              <w:rPr>
                <w:rFonts w:hint="eastAsia" w:ascii="宋体" w:hAnsi="宋体" w:eastAsia="宋体" w:cs="宋体"/>
                <w:color w:val="auto"/>
                <w:sz w:val="24"/>
                <w:szCs w:val="24"/>
                <w:highlight w:val="none"/>
              </w:rPr>
            </w:pPr>
          </w:p>
        </w:tc>
      </w:tr>
    </w:tbl>
    <w:p w14:paraId="3B54C931">
      <w:pPr>
        <w:pageBreakBefore w:val="0"/>
        <w:kinsoku/>
        <w:overflowPunct/>
        <w:topLinePunct w:val="0"/>
        <w:bidi w:val="0"/>
        <w:spacing w:line="360" w:lineRule="auto"/>
        <w:rPr>
          <w:rFonts w:hint="eastAsia" w:ascii="宋体" w:hAnsi="宋体" w:eastAsia="宋体" w:cs="宋体"/>
          <w:color w:val="auto"/>
          <w:sz w:val="24"/>
          <w:szCs w:val="24"/>
          <w:highlight w:val="none"/>
        </w:rPr>
      </w:pPr>
    </w:p>
    <w:p w14:paraId="3F15F899">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备注：总报价含建安劳保费</w:t>
      </w:r>
    </w:p>
    <w:p w14:paraId="0FFB19E1">
      <w:pPr>
        <w:snapToGrid w:val="0"/>
        <w:spacing w:before="50" w:after="50"/>
        <w:ind w:firstLine="480" w:firstLineChars="200"/>
        <w:jc w:val="left"/>
        <w:rPr>
          <w:rFonts w:hint="eastAsia" w:ascii="宋体" w:hAnsi="宋体" w:eastAsia="宋体" w:cs="宋体"/>
          <w:color w:val="auto"/>
          <w:kern w:val="0"/>
          <w:sz w:val="24"/>
          <w:szCs w:val="24"/>
          <w:highlight w:val="none"/>
          <w:lang w:val="zh-CN"/>
        </w:rPr>
      </w:pPr>
    </w:p>
    <w:p w14:paraId="0E3AC153">
      <w:pPr>
        <w:snapToGrid w:val="0"/>
        <w:spacing w:before="50" w:after="50"/>
        <w:ind w:firstLine="480" w:firstLineChars="200"/>
        <w:jc w:val="left"/>
        <w:rPr>
          <w:rFonts w:hint="eastAsia" w:ascii="宋体" w:hAnsi="宋体" w:eastAsia="宋体" w:cs="宋体"/>
          <w:color w:val="auto"/>
          <w:kern w:val="0"/>
          <w:sz w:val="24"/>
          <w:szCs w:val="24"/>
          <w:highlight w:val="none"/>
          <w:lang w:val="zh-CN"/>
        </w:rPr>
      </w:pPr>
    </w:p>
    <w:p w14:paraId="3F54AD3D">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07084543">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8FBB836">
      <w:pPr>
        <w:pStyle w:val="13"/>
        <w:spacing w:line="500" w:lineRule="exact"/>
        <w:ind w:firstLine="6360" w:firstLineChars="26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14:paraId="50C1BFD4">
      <w:pPr>
        <w:widowControl/>
        <w:jc w:val="left"/>
        <w:rPr>
          <w:rFonts w:hint="eastAsia" w:ascii="宋体" w:hAnsi="宋体" w:eastAsia="宋体" w:cs="宋体"/>
          <w:color w:val="auto"/>
          <w:kern w:val="0"/>
          <w:sz w:val="21"/>
          <w:szCs w:val="21"/>
          <w:highlight w:val="none"/>
          <w:lang w:val="zh-CN"/>
        </w:rPr>
      </w:pPr>
    </w:p>
    <w:p w14:paraId="6CC2B679">
      <w:pPr>
        <w:widowControl/>
        <w:jc w:val="left"/>
        <w:rPr>
          <w:rFonts w:hint="eastAsia" w:ascii="宋体" w:hAnsi="宋体" w:eastAsia="宋体" w:cs="宋体"/>
          <w:b/>
          <w:color w:val="auto"/>
          <w:kern w:val="0"/>
          <w:sz w:val="21"/>
          <w:szCs w:val="21"/>
          <w:highlight w:val="none"/>
          <w:lang w:val="en-US" w:eastAsia="zh-CN"/>
        </w:rPr>
        <w:sectPr>
          <w:pgSz w:w="11910" w:h="16840"/>
          <w:pgMar w:top="1440" w:right="1080" w:bottom="1440" w:left="1080" w:header="720" w:footer="720" w:gutter="0"/>
          <w:pgNumType w:fmt="decimal"/>
          <w:cols w:space="720" w:num="1"/>
        </w:sectPr>
      </w:pPr>
    </w:p>
    <w:p w14:paraId="3C05C1F3">
      <w:pPr>
        <w:pStyle w:val="13"/>
        <w:pageBreakBefore w:val="0"/>
        <w:numPr>
          <w:ilvl w:val="0"/>
          <w:numId w:val="0"/>
        </w:numPr>
        <w:kinsoku/>
        <w:overflowPunct/>
        <w:topLinePunct w:val="0"/>
        <w:bidi w:val="0"/>
        <w:spacing w:line="360" w:lineRule="auto"/>
        <w:ind w:firstLine="723" w:firstLineChars="200"/>
        <w:jc w:val="center"/>
        <w:rPr>
          <w:rFonts w:hint="eastAsia" w:ascii="宋体" w:hAnsi="宋体" w:eastAsia="宋体" w:cs="仿宋_GB2312"/>
          <w:b/>
          <w:color w:val="000000"/>
          <w:kern w:val="0"/>
          <w:sz w:val="36"/>
          <w:szCs w:val="36"/>
          <w:highlight w:val="none"/>
          <w:lang w:val="zh-CN"/>
        </w:rPr>
      </w:pPr>
    </w:p>
    <w:p w14:paraId="0FC1E7BC">
      <w:pPr>
        <w:pStyle w:val="13"/>
        <w:pageBreakBefore w:val="0"/>
        <w:numPr>
          <w:ilvl w:val="0"/>
          <w:numId w:val="0"/>
        </w:numPr>
        <w:kinsoku/>
        <w:overflowPunct/>
        <w:topLinePunct w:val="0"/>
        <w:bidi w:val="0"/>
        <w:spacing w:line="360" w:lineRule="auto"/>
        <w:ind w:firstLine="723" w:firstLineChars="200"/>
        <w:jc w:val="center"/>
        <w:rPr>
          <w:rFonts w:hint="eastAsia" w:ascii="宋体" w:hAnsi="宋体" w:eastAsia="宋体" w:cs="宋体"/>
          <w:b/>
          <w:color w:val="auto"/>
          <w:kern w:val="2"/>
          <w:sz w:val="32"/>
          <w:szCs w:val="32"/>
          <w:highlight w:val="none"/>
        </w:rPr>
      </w:pPr>
      <w:r>
        <w:rPr>
          <w:rFonts w:hint="eastAsia" w:ascii="宋体" w:hAnsi="宋体" w:eastAsia="宋体" w:cs="仿宋_GB2312"/>
          <w:b/>
          <w:color w:val="000000"/>
          <w:kern w:val="0"/>
          <w:sz w:val="36"/>
          <w:szCs w:val="36"/>
          <w:highlight w:val="none"/>
          <w:lang w:val="zh-CN"/>
        </w:rPr>
        <w:t>已标价工程量清单有关资料</w:t>
      </w:r>
    </w:p>
    <w:p w14:paraId="579B2CFB">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14B1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 “</w:t>
      </w:r>
      <w:r>
        <w:rPr>
          <w:rFonts w:hint="eastAsia" w:ascii="宋体" w:hAnsi="宋体" w:cs="宋体"/>
          <w:b w:val="0"/>
          <w:bCs w:val="0"/>
          <w:color w:val="auto"/>
          <w:sz w:val="24"/>
          <w:szCs w:val="24"/>
          <w:highlight w:val="none"/>
          <w:lang w:val="en-US" w:eastAsia="zh-CN"/>
        </w:rPr>
        <w:t>招标控制价</w:t>
      </w:r>
      <w:r>
        <w:rPr>
          <w:rFonts w:hint="eastAsia" w:ascii="宋体" w:hAnsi="宋体" w:eastAsia="宋体" w:cs="宋体"/>
          <w:b w:val="0"/>
          <w:bCs w:val="0"/>
          <w:color w:val="auto"/>
          <w:sz w:val="24"/>
          <w:szCs w:val="24"/>
          <w:highlight w:val="none"/>
          <w:lang w:val="en-US" w:eastAsia="zh-CN"/>
        </w:rPr>
        <w:t>”中的相关表格及投标报价说明填写</w:t>
      </w:r>
      <w:r>
        <w:rPr>
          <w:rFonts w:hint="eastAsia" w:ascii="宋体" w:hAnsi="宋体" w:cs="宋体"/>
          <w:b w:val="0"/>
          <w:bCs w:val="0"/>
          <w:color w:val="auto"/>
          <w:sz w:val="24"/>
          <w:szCs w:val="24"/>
          <w:highlight w:val="none"/>
          <w:lang w:val="en-US" w:eastAsia="zh-CN"/>
        </w:rPr>
        <w:t>。</w:t>
      </w:r>
    </w:p>
    <w:p w14:paraId="77EDC3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p>
    <w:p w14:paraId="3175C9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p w14:paraId="433A73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本项目执行工程量清单报价（首次报价、最终报价）。如首次报价与最终报价一致，视为最终报价按首次递交的已标价工程量清单执行；如最终报价与首次报价不一致且未上传最终计价的工程量清单作为附件的，视为退出磋商，退出磋商的供应商的响应文件按无效响应处理。</w:t>
      </w:r>
    </w:p>
    <w:p w14:paraId="682932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szCs w:val="24"/>
          <w:highlight w:val="none"/>
          <w:lang w:val="en-US" w:eastAsia="zh-CN"/>
        </w:rPr>
        <w:sectPr>
          <w:pgSz w:w="11910" w:h="16840"/>
          <w:pgMar w:top="1440" w:right="1080" w:bottom="1440" w:left="1080" w:header="720" w:footer="720" w:gutter="0"/>
          <w:pgNumType w:fmt="decimal"/>
          <w:cols w:space="720" w:num="1"/>
        </w:sect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kern w:val="2"/>
          <w:sz w:val="24"/>
          <w:szCs w:val="24"/>
          <w:highlight w:val="none"/>
          <w:lang w:val="en-US" w:eastAsia="zh-CN" w:bidi="ar-SA"/>
        </w:rPr>
        <w:t>磋商总价封面，必须经供应商加盖公章，并由法定代表人（或其授权人）签字（或盖章），同时由造价编制人员签字并加盖执业章。</w:t>
      </w:r>
    </w:p>
    <w:p w14:paraId="1DAF9D41">
      <w:pPr>
        <w:pStyle w:val="20"/>
        <w:keepNext w:val="0"/>
        <w:keepLines w:val="0"/>
        <w:pageBreakBefore w:val="0"/>
        <w:widowControl/>
        <w:kinsoku/>
        <w:wordWrap/>
        <w:overflowPunct/>
        <w:topLinePunct w:val="0"/>
        <w:autoSpaceDE/>
        <w:autoSpaceDN/>
        <w:bidi w:val="0"/>
        <w:adjustRightInd/>
        <w:snapToGrid/>
        <w:spacing w:before="0"/>
        <w:jc w:val="center"/>
        <w:textAlignment w:val="auto"/>
        <w:outlineLvl w:val="0"/>
        <w:rPr>
          <w:rFonts w:hint="eastAsia" w:ascii="宋体" w:hAnsi="宋体" w:eastAsia="宋体" w:cs="Times New Roman"/>
          <w:b/>
          <w:bCs/>
          <w:color w:val="000000"/>
          <w:kern w:val="44"/>
          <w:sz w:val="44"/>
          <w:szCs w:val="44"/>
          <w:highlight w:val="none"/>
          <w:lang w:val="en-US" w:eastAsia="zh-CN"/>
        </w:rPr>
      </w:pPr>
      <w:bookmarkStart w:id="88" w:name="_Toc20680"/>
    </w:p>
    <w:p w14:paraId="16F15171">
      <w:pPr>
        <w:pStyle w:val="20"/>
        <w:keepNext w:val="0"/>
        <w:keepLines w:val="0"/>
        <w:pageBreakBefore w:val="0"/>
        <w:widowControl/>
        <w:kinsoku/>
        <w:wordWrap/>
        <w:overflowPunct/>
        <w:topLinePunct w:val="0"/>
        <w:autoSpaceDE/>
        <w:autoSpaceDN/>
        <w:bidi w:val="0"/>
        <w:adjustRightInd/>
        <w:snapToGrid/>
        <w:spacing w:before="0"/>
        <w:jc w:val="center"/>
        <w:textAlignment w:val="auto"/>
        <w:outlineLvl w:val="0"/>
        <w:rPr>
          <w:rFonts w:hint="eastAsia" w:ascii="宋体" w:hAnsi="宋体" w:eastAsia="宋体" w:cs="Times New Roman"/>
          <w:b/>
          <w:bCs/>
          <w:color w:val="000000"/>
          <w:kern w:val="44"/>
          <w:sz w:val="44"/>
          <w:szCs w:val="44"/>
          <w:highlight w:val="none"/>
          <w:lang w:val="en-US" w:eastAsia="zh-CN"/>
        </w:rPr>
      </w:pPr>
    </w:p>
    <w:p w14:paraId="710DEB27">
      <w:pPr>
        <w:pStyle w:val="20"/>
        <w:keepNext w:val="0"/>
        <w:keepLines w:val="0"/>
        <w:pageBreakBefore w:val="0"/>
        <w:widowControl/>
        <w:kinsoku/>
        <w:wordWrap/>
        <w:overflowPunct/>
        <w:topLinePunct w:val="0"/>
        <w:autoSpaceDE/>
        <w:autoSpaceDN/>
        <w:bidi w:val="0"/>
        <w:adjustRightInd/>
        <w:snapToGrid/>
        <w:spacing w:before="0"/>
        <w:jc w:val="center"/>
        <w:textAlignment w:val="auto"/>
        <w:outlineLvl w:val="0"/>
        <w:rPr>
          <w:rFonts w:hint="eastAsia" w:ascii="宋体" w:hAnsi="宋体" w:eastAsia="宋体" w:cs="Times New Roman"/>
          <w:b/>
          <w:bCs/>
          <w:color w:val="000000"/>
          <w:kern w:val="44"/>
          <w:sz w:val="44"/>
          <w:szCs w:val="44"/>
          <w:highlight w:val="none"/>
          <w:lang w:val="en-US" w:eastAsia="zh-CN"/>
        </w:rPr>
      </w:pPr>
    </w:p>
    <w:p w14:paraId="1C4EA929">
      <w:pPr>
        <w:pStyle w:val="20"/>
        <w:keepNext w:val="0"/>
        <w:keepLines w:val="0"/>
        <w:pageBreakBefore w:val="0"/>
        <w:widowControl/>
        <w:kinsoku/>
        <w:wordWrap/>
        <w:overflowPunct/>
        <w:topLinePunct w:val="0"/>
        <w:autoSpaceDE/>
        <w:autoSpaceDN/>
        <w:bidi w:val="0"/>
        <w:adjustRightInd/>
        <w:snapToGrid/>
        <w:spacing w:before="0"/>
        <w:jc w:val="center"/>
        <w:textAlignment w:val="auto"/>
        <w:outlineLvl w:val="0"/>
        <w:rPr>
          <w:rFonts w:hint="eastAsia" w:ascii="宋体" w:hAnsi="宋体" w:eastAsia="宋体" w:cs="Times New Roman"/>
          <w:b/>
          <w:bCs/>
          <w:color w:val="000000"/>
          <w:kern w:val="44"/>
          <w:sz w:val="44"/>
          <w:szCs w:val="44"/>
          <w:highlight w:val="none"/>
          <w:lang w:val="en-US" w:eastAsia="zh-CN"/>
        </w:rPr>
      </w:pPr>
    </w:p>
    <w:p w14:paraId="764BC65D">
      <w:pPr>
        <w:pStyle w:val="20"/>
        <w:keepNext w:val="0"/>
        <w:keepLines w:val="0"/>
        <w:pageBreakBefore w:val="0"/>
        <w:widowControl/>
        <w:kinsoku/>
        <w:wordWrap/>
        <w:overflowPunct/>
        <w:topLinePunct w:val="0"/>
        <w:autoSpaceDE/>
        <w:autoSpaceDN/>
        <w:bidi w:val="0"/>
        <w:adjustRightInd/>
        <w:snapToGrid/>
        <w:spacing w:before="0"/>
        <w:jc w:val="center"/>
        <w:textAlignment w:val="auto"/>
        <w:outlineLvl w:val="0"/>
        <w:rPr>
          <w:rFonts w:hint="eastAsia" w:ascii="宋体" w:hAnsi="宋体" w:eastAsia="宋体" w:cs="Times New Roman"/>
          <w:b/>
          <w:bCs/>
          <w:color w:val="000000"/>
          <w:kern w:val="44"/>
          <w:sz w:val="44"/>
          <w:szCs w:val="44"/>
          <w:highlight w:val="none"/>
          <w:lang w:val="en-US" w:eastAsia="zh-CN"/>
        </w:rPr>
      </w:pPr>
    </w:p>
    <w:p w14:paraId="78DA324A">
      <w:pPr>
        <w:pStyle w:val="20"/>
        <w:keepNext w:val="0"/>
        <w:keepLines w:val="0"/>
        <w:pageBreakBefore w:val="0"/>
        <w:widowControl/>
        <w:kinsoku/>
        <w:wordWrap/>
        <w:overflowPunct/>
        <w:topLinePunct w:val="0"/>
        <w:autoSpaceDE/>
        <w:autoSpaceDN/>
        <w:bidi w:val="0"/>
        <w:adjustRightInd/>
        <w:snapToGrid/>
        <w:spacing w:before="0"/>
        <w:jc w:val="center"/>
        <w:textAlignment w:val="auto"/>
        <w:outlineLvl w:val="0"/>
        <w:rPr>
          <w:rFonts w:hint="eastAsia" w:ascii="宋体" w:hAnsi="宋体" w:eastAsia="宋体" w:cs="Times New Roman"/>
          <w:b/>
          <w:bCs/>
          <w:color w:val="000000"/>
          <w:kern w:val="44"/>
          <w:sz w:val="44"/>
          <w:szCs w:val="44"/>
          <w:highlight w:val="none"/>
          <w:lang w:val="en-US" w:eastAsia="zh-CN"/>
        </w:rPr>
      </w:pPr>
    </w:p>
    <w:p w14:paraId="330D725C">
      <w:pPr>
        <w:pStyle w:val="20"/>
        <w:keepNext w:val="0"/>
        <w:keepLines w:val="0"/>
        <w:pageBreakBefore w:val="0"/>
        <w:widowControl/>
        <w:kinsoku/>
        <w:wordWrap/>
        <w:overflowPunct/>
        <w:topLinePunct w:val="0"/>
        <w:autoSpaceDE/>
        <w:autoSpaceDN/>
        <w:bidi w:val="0"/>
        <w:adjustRightInd/>
        <w:snapToGrid/>
        <w:spacing w:before="0"/>
        <w:jc w:val="center"/>
        <w:textAlignment w:val="auto"/>
        <w:outlineLvl w:val="0"/>
        <w:rPr>
          <w:rFonts w:hint="eastAsia" w:ascii="宋体" w:hAnsi="宋体" w:eastAsia="宋体" w:cs="Times New Roman"/>
          <w:b/>
          <w:bCs/>
          <w:color w:val="000000"/>
          <w:kern w:val="44"/>
          <w:sz w:val="44"/>
          <w:szCs w:val="44"/>
          <w:highlight w:val="none"/>
          <w:lang w:val="en-US" w:eastAsia="zh-CN"/>
        </w:rPr>
      </w:pPr>
    </w:p>
    <w:p w14:paraId="63F585D6">
      <w:pPr>
        <w:pStyle w:val="20"/>
        <w:keepNext w:val="0"/>
        <w:keepLines w:val="0"/>
        <w:pageBreakBefore w:val="0"/>
        <w:widowControl/>
        <w:kinsoku/>
        <w:wordWrap/>
        <w:overflowPunct/>
        <w:topLinePunct w:val="0"/>
        <w:autoSpaceDE/>
        <w:autoSpaceDN/>
        <w:bidi w:val="0"/>
        <w:adjustRightInd/>
        <w:snapToGrid/>
        <w:spacing w:before="0"/>
        <w:jc w:val="center"/>
        <w:textAlignment w:val="auto"/>
        <w:outlineLvl w:val="0"/>
        <w:rPr>
          <w:rFonts w:hint="eastAsia" w:ascii="宋体" w:hAnsi="宋体" w:eastAsia="宋体" w:cs="Times New Roman"/>
          <w:b/>
          <w:bCs/>
          <w:color w:val="000000"/>
          <w:kern w:val="44"/>
          <w:sz w:val="44"/>
          <w:szCs w:val="44"/>
          <w:highlight w:val="none"/>
          <w:lang w:val="en-US" w:eastAsia="zh-CN"/>
        </w:rPr>
      </w:pPr>
    </w:p>
    <w:p w14:paraId="069A0779">
      <w:pPr>
        <w:pStyle w:val="20"/>
        <w:keepNext w:val="0"/>
        <w:keepLines w:val="0"/>
        <w:pageBreakBefore w:val="0"/>
        <w:widowControl/>
        <w:kinsoku/>
        <w:wordWrap/>
        <w:overflowPunct/>
        <w:topLinePunct w:val="0"/>
        <w:autoSpaceDE/>
        <w:autoSpaceDN/>
        <w:bidi w:val="0"/>
        <w:adjustRightInd/>
        <w:snapToGrid/>
        <w:spacing w:before="0"/>
        <w:jc w:val="center"/>
        <w:textAlignment w:val="auto"/>
        <w:outlineLvl w:val="0"/>
        <w:rPr>
          <w:rFonts w:hint="eastAsia" w:ascii="宋体" w:hAnsi="宋体" w:eastAsia="宋体" w:cs="宋体"/>
          <w:color w:val="000000"/>
          <w:highlight w:val="none"/>
        </w:rPr>
      </w:pPr>
      <w:r>
        <w:rPr>
          <w:rFonts w:hint="eastAsia" w:ascii="宋体" w:hAnsi="宋体" w:eastAsia="宋体" w:cs="Times New Roman"/>
          <w:b/>
          <w:bCs/>
          <w:color w:val="000000"/>
          <w:kern w:val="44"/>
          <w:sz w:val="44"/>
          <w:szCs w:val="44"/>
          <w:highlight w:val="none"/>
          <w:lang w:val="en-US" w:eastAsia="zh-CN"/>
        </w:rPr>
        <w:t>第六章 合同文本</w:t>
      </w:r>
      <w:r>
        <w:rPr>
          <w:rFonts w:ascii="宋体" w:hAnsi="宋体"/>
          <w:color w:val="000000"/>
          <w:kern w:val="44"/>
          <w:sz w:val="44"/>
          <w:szCs w:val="44"/>
          <w:highlight w:val="none"/>
        </w:rPr>
        <w:br w:type="page"/>
      </w:r>
      <w:bookmarkEnd w:id="88"/>
    </w:p>
    <w:p w14:paraId="3ABD5DD0">
      <w:pPr>
        <w:pageBreakBefore w:val="0"/>
        <w:kinsoku/>
        <w:overflowPunct/>
        <w:topLinePunct w:val="0"/>
        <w:bidi w:val="0"/>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p>
    <w:p w14:paraId="5DF25EDF">
      <w:pPr>
        <w:pageBreakBefore w:val="0"/>
        <w:kinsoku/>
        <w:overflowPunct/>
        <w:topLinePunct w:val="0"/>
        <w:bidi w:val="0"/>
        <w:spacing w:line="360" w:lineRule="auto"/>
        <w:jc w:val="center"/>
        <w:rPr>
          <w:rFonts w:hint="eastAsia" w:ascii="宋体" w:hAnsi="宋体" w:eastAsia="宋体" w:cs="宋体"/>
          <w:b/>
          <w:bCs/>
          <w:color w:val="000000"/>
          <w:sz w:val="44"/>
          <w:highlight w:val="none"/>
          <w:lang w:val="en-US" w:eastAsia="zh-CN"/>
        </w:rPr>
      </w:pPr>
      <w:r>
        <w:rPr>
          <w:rFonts w:hint="eastAsia" w:ascii="宋体" w:hAnsi="宋体" w:eastAsia="宋体" w:cs="宋体"/>
          <w:b/>
          <w:bCs/>
          <w:color w:val="000000"/>
          <w:sz w:val="44"/>
          <w:highlight w:val="none"/>
          <w:lang w:val="en-US" w:eastAsia="zh-CN"/>
        </w:rPr>
        <w:t xml:space="preserve"> </w:t>
      </w:r>
    </w:p>
    <w:p w14:paraId="64C7A655">
      <w:pPr>
        <w:pageBreakBefore w:val="0"/>
        <w:kinsoku/>
        <w:overflowPunct/>
        <w:topLinePunct w:val="0"/>
        <w:bidi w:val="0"/>
        <w:spacing w:line="360" w:lineRule="auto"/>
        <w:jc w:val="center"/>
        <w:rPr>
          <w:rFonts w:hint="eastAsia" w:ascii="宋体" w:hAnsi="宋体" w:eastAsia="宋体" w:cs="宋体"/>
          <w:b/>
          <w:bCs/>
          <w:color w:val="000000"/>
          <w:sz w:val="44"/>
          <w:highlight w:val="none"/>
        </w:rPr>
      </w:pPr>
      <w:r>
        <w:rPr>
          <w:rFonts w:hint="eastAsia" w:ascii="宋体" w:hAnsi="宋体" w:eastAsia="宋体" w:cs="宋体"/>
          <w:b/>
          <w:bCs/>
          <w:color w:val="000000"/>
          <w:sz w:val="44"/>
          <w:highlight w:val="none"/>
          <w:lang w:val="en-US" w:eastAsia="zh-CN"/>
        </w:rPr>
        <w:t>扶隆镇那农村那雪组香料产业粪污资源化利用项目工程施工</w:t>
      </w:r>
      <w:r>
        <w:rPr>
          <w:rFonts w:hint="eastAsia" w:ascii="宋体" w:hAnsi="宋体" w:eastAsia="宋体" w:cs="宋体"/>
          <w:b/>
          <w:bCs/>
          <w:color w:val="000000"/>
          <w:sz w:val="44"/>
          <w:highlight w:val="none"/>
        </w:rPr>
        <w:t>合同</w:t>
      </w:r>
    </w:p>
    <w:p w14:paraId="008A5D4A">
      <w:pPr>
        <w:pageBreakBefore w:val="0"/>
        <w:kinsoku/>
        <w:overflowPunct/>
        <w:topLinePunct w:val="0"/>
        <w:bidi w:val="0"/>
        <w:spacing w:line="360" w:lineRule="auto"/>
        <w:jc w:val="center"/>
        <w:rPr>
          <w:rFonts w:hint="eastAsia" w:ascii="宋体" w:hAnsi="宋体" w:eastAsia="宋体" w:cs="宋体"/>
          <w:b/>
          <w:bCs/>
          <w:color w:val="000000"/>
          <w:sz w:val="44"/>
          <w:highlight w:val="none"/>
        </w:rPr>
      </w:pPr>
    </w:p>
    <w:p w14:paraId="0E5970E8">
      <w:pPr>
        <w:pageBreakBefore w:val="0"/>
        <w:kinsoku/>
        <w:overflowPunct/>
        <w:topLinePunct w:val="0"/>
        <w:bidi w:val="0"/>
        <w:spacing w:line="360" w:lineRule="auto"/>
        <w:ind w:firstLine="3507" w:firstLineChars="794"/>
        <w:rPr>
          <w:rFonts w:hint="eastAsia" w:ascii="宋体" w:hAnsi="宋体" w:eastAsia="宋体" w:cs="宋体"/>
          <w:b/>
          <w:bCs/>
          <w:color w:val="000000"/>
          <w:sz w:val="44"/>
          <w:highlight w:val="none"/>
        </w:rPr>
      </w:pPr>
    </w:p>
    <w:p w14:paraId="3576B3A1">
      <w:pPr>
        <w:pageBreakBefore w:val="0"/>
        <w:kinsoku/>
        <w:overflowPunct/>
        <w:topLinePunct w:val="0"/>
        <w:bidi w:val="0"/>
        <w:spacing w:line="360" w:lineRule="auto"/>
        <w:ind w:firstLine="1084" w:firstLineChars="300"/>
        <w:rPr>
          <w:rFonts w:hint="eastAsia" w:ascii="宋体" w:hAnsi="宋体" w:eastAsia="宋体" w:cs="宋体"/>
          <w:b/>
          <w:color w:val="000000"/>
          <w:sz w:val="36"/>
          <w:szCs w:val="36"/>
          <w:highlight w:val="none"/>
          <w:lang w:val="en-US"/>
        </w:rPr>
      </w:pPr>
      <w:r>
        <w:rPr>
          <w:rFonts w:hint="eastAsia" w:ascii="宋体" w:hAnsi="宋体" w:eastAsia="宋体" w:cs="宋体"/>
          <w:b/>
          <w:color w:val="000000"/>
          <w:sz w:val="36"/>
          <w:szCs w:val="36"/>
          <w:highlight w:val="none"/>
          <w:lang w:eastAsia="zh-CN"/>
        </w:rPr>
        <w:t>项目编号：</w:t>
      </w:r>
      <w:r>
        <w:rPr>
          <w:rFonts w:hint="eastAsia" w:ascii="宋体" w:hAnsi="宋体" w:eastAsia="宋体" w:cs="宋体"/>
          <w:b/>
          <w:color w:val="000000"/>
          <w:sz w:val="36"/>
          <w:szCs w:val="36"/>
          <w:highlight w:val="none"/>
          <w:u w:val="single"/>
          <w:lang w:val="en-US" w:eastAsia="zh-CN"/>
        </w:rPr>
        <w:t xml:space="preserve"> FCZC2025-C2-030146-ZTZX </w:t>
      </w:r>
    </w:p>
    <w:p w14:paraId="4083CF06">
      <w:pPr>
        <w:pageBreakBefore w:val="0"/>
        <w:kinsoku/>
        <w:overflowPunct/>
        <w:topLinePunct w:val="0"/>
        <w:bidi w:val="0"/>
        <w:spacing w:line="360" w:lineRule="auto"/>
        <w:ind w:firstLine="1084" w:firstLineChars="300"/>
        <w:rPr>
          <w:rFonts w:hint="default" w:ascii="宋体" w:hAnsi="宋体" w:eastAsia="宋体" w:cs="宋体"/>
          <w:b/>
          <w:color w:val="000000"/>
          <w:sz w:val="36"/>
          <w:szCs w:val="36"/>
          <w:highlight w:val="none"/>
          <w:u w:val="single"/>
          <w:lang w:val="en-US" w:eastAsia="zh-CN"/>
        </w:rPr>
      </w:pPr>
      <w:r>
        <w:rPr>
          <w:rFonts w:hint="eastAsia" w:ascii="宋体" w:hAnsi="宋体" w:eastAsia="宋体" w:cs="宋体"/>
          <w:b/>
          <w:color w:val="000000"/>
          <w:sz w:val="36"/>
          <w:szCs w:val="36"/>
          <w:highlight w:val="none"/>
        </w:rPr>
        <w:t>采购计划编号：</w:t>
      </w:r>
      <w:r>
        <w:rPr>
          <w:rFonts w:hint="eastAsia" w:ascii="宋体" w:hAnsi="宋体" w:eastAsia="宋体" w:cs="宋体"/>
          <w:b/>
          <w:color w:val="000000"/>
          <w:sz w:val="36"/>
          <w:szCs w:val="36"/>
          <w:highlight w:val="none"/>
          <w:u w:val="single"/>
          <w:lang w:val="en-US" w:eastAsia="zh-CN"/>
        </w:rPr>
        <w:t xml:space="preserve"> FCZC2025-C2-00825  </w:t>
      </w:r>
    </w:p>
    <w:p w14:paraId="42128198">
      <w:pPr>
        <w:pageBreakBefore w:val="0"/>
        <w:kinsoku/>
        <w:overflowPunct/>
        <w:topLinePunct w:val="0"/>
        <w:bidi w:val="0"/>
        <w:spacing w:line="360" w:lineRule="auto"/>
        <w:ind w:firstLine="1308" w:firstLineChars="545"/>
        <w:rPr>
          <w:rFonts w:hint="eastAsia" w:ascii="宋体" w:hAnsi="宋体" w:eastAsia="宋体" w:cs="宋体"/>
          <w:color w:val="000000"/>
          <w:sz w:val="24"/>
          <w:highlight w:val="none"/>
        </w:rPr>
      </w:pPr>
    </w:p>
    <w:p w14:paraId="524BA417">
      <w:pPr>
        <w:pageBreakBefore w:val="0"/>
        <w:kinsoku/>
        <w:overflowPunct/>
        <w:topLinePunct w:val="0"/>
        <w:bidi w:val="0"/>
        <w:spacing w:line="360" w:lineRule="auto"/>
        <w:ind w:firstLine="1995" w:firstLineChars="552"/>
        <w:rPr>
          <w:rFonts w:hint="eastAsia" w:ascii="宋体" w:hAnsi="宋体" w:eastAsia="宋体" w:cs="宋体"/>
          <w:b/>
          <w:color w:val="000000"/>
          <w:sz w:val="36"/>
          <w:szCs w:val="36"/>
          <w:highlight w:val="none"/>
          <w:u w:val="single"/>
        </w:rPr>
      </w:pPr>
    </w:p>
    <w:p w14:paraId="74E63679">
      <w:pPr>
        <w:pageBreakBefore w:val="0"/>
        <w:kinsoku/>
        <w:overflowPunct/>
        <w:topLinePunct w:val="0"/>
        <w:bidi w:val="0"/>
        <w:spacing w:line="360" w:lineRule="auto"/>
        <w:ind w:firstLine="1995" w:firstLineChars="552"/>
        <w:rPr>
          <w:rFonts w:hint="eastAsia" w:ascii="宋体" w:hAnsi="宋体" w:eastAsia="宋体" w:cs="宋体"/>
          <w:b/>
          <w:color w:val="000000"/>
          <w:sz w:val="36"/>
          <w:szCs w:val="36"/>
          <w:highlight w:val="none"/>
          <w:u w:val="single"/>
        </w:rPr>
      </w:pPr>
    </w:p>
    <w:p w14:paraId="76114A1F">
      <w:pPr>
        <w:pStyle w:val="33"/>
        <w:rPr>
          <w:rFonts w:hint="eastAsia" w:ascii="宋体" w:hAnsi="宋体" w:eastAsia="宋体" w:cs="宋体"/>
          <w:kern w:val="0"/>
          <w:sz w:val="30"/>
          <w:szCs w:val="30"/>
          <w:highlight w:val="none"/>
          <w:u w:val="none" w:color="000000"/>
          <w:lang w:val="zh-CN" w:bidi="zh-CN"/>
        </w:rPr>
      </w:pPr>
    </w:p>
    <w:p w14:paraId="1BC9EA22">
      <w:pPr>
        <w:pStyle w:val="33"/>
        <w:rPr>
          <w:rFonts w:hint="eastAsia" w:ascii="宋体" w:hAnsi="宋体" w:eastAsia="宋体" w:cs="宋体"/>
          <w:kern w:val="0"/>
          <w:sz w:val="30"/>
          <w:szCs w:val="30"/>
          <w:highlight w:val="none"/>
          <w:u w:val="none" w:color="000000"/>
          <w:lang w:val="zh-CN" w:bidi="zh-CN"/>
        </w:rPr>
      </w:pPr>
    </w:p>
    <w:p w14:paraId="69505555">
      <w:pPr>
        <w:pStyle w:val="33"/>
        <w:rPr>
          <w:rFonts w:hint="eastAsia" w:ascii="宋体" w:hAnsi="宋体" w:eastAsia="宋体" w:cs="宋体"/>
          <w:kern w:val="0"/>
          <w:sz w:val="30"/>
          <w:szCs w:val="30"/>
          <w:highlight w:val="none"/>
          <w:u w:val="none" w:color="000000"/>
          <w:lang w:val="zh-CN" w:bidi="zh-CN"/>
        </w:rPr>
      </w:pPr>
    </w:p>
    <w:p w14:paraId="2C63D2B6">
      <w:pPr>
        <w:pStyle w:val="33"/>
        <w:rPr>
          <w:rFonts w:hint="eastAsia" w:ascii="宋体" w:hAnsi="宋体" w:eastAsia="宋体" w:cs="宋体"/>
          <w:kern w:val="0"/>
          <w:sz w:val="30"/>
          <w:szCs w:val="30"/>
          <w:highlight w:val="none"/>
          <w:u w:val="none" w:color="000000"/>
          <w:lang w:val="zh-CN" w:bidi="zh-CN"/>
        </w:rPr>
      </w:pPr>
    </w:p>
    <w:p w14:paraId="70B132A5">
      <w:pPr>
        <w:keepNext w:val="0"/>
        <w:keepLines w:val="0"/>
        <w:pageBreakBefore w:val="0"/>
        <w:widowControl w:val="0"/>
        <w:kinsoku/>
        <w:wordWrap/>
        <w:overflowPunct/>
        <w:topLinePunct w:val="0"/>
        <w:autoSpaceDE w:val="0"/>
        <w:autoSpaceDN w:val="0"/>
        <w:bidi w:val="0"/>
        <w:snapToGrid/>
        <w:spacing w:line="900" w:lineRule="exact"/>
        <w:jc w:val="center"/>
        <w:textAlignment w:val="auto"/>
        <w:rPr>
          <w:rFonts w:hint="eastAsia" w:ascii="宋体" w:hAnsi="宋体" w:eastAsia="宋体" w:cs="宋体"/>
          <w:b w:val="0"/>
          <w:bCs w:val="0"/>
          <w:kern w:val="0"/>
          <w:sz w:val="36"/>
          <w:szCs w:val="36"/>
          <w:highlight w:val="none"/>
          <w:u w:val="single"/>
          <w:lang w:val="zh-CN" w:bidi="zh-CN"/>
        </w:rPr>
      </w:pPr>
      <w:r>
        <w:rPr>
          <w:rFonts w:hint="eastAsia" w:ascii="宋体" w:hAnsi="宋体" w:eastAsia="宋体" w:cs="宋体"/>
          <w:b w:val="0"/>
          <w:bCs w:val="0"/>
          <w:kern w:val="0"/>
          <w:sz w:val="36"/>
          <w:szCs w:val="36"/>
          <w:highlight w:val="none"/>
          <w:lang w:val="zh-CN" w:eastAsia="zh-CN" w:bidi="zh-CN"/>
        </w:rPr>
        <w:t>发</w:t>
      </w:r>
      <w:r>
        <w:rPr>
          <w:rFonts w:hint="eastAsia" w:ascii="宋体" w:hAnsi="宋体" w:eastAsia="宋体" w:cs="宋体"/>
          <w:b w:val="0"/>
          <w:bCs w:val="0"/>
          <w:kern w:val="0"/>
          <w:sz w:val="36"/>
          <w:szCs w:val="36"/>
          <w:highlight w:val="none"/>
          <w:lang w:val="zh-CN" w:bidi="zh-CN"/>
        </w:rPr>
        <w:t>包人（全称）：</w:t>
      </w:r>
      <w:r>
        <w:rPr>
          <w:rFonts w:hint="eastAsia" w:ascii="宋体" w:hAnsi="宋体" w:eastAsia="宋体" w:cs="宋体"/>
          <w:b w:val="0"/>
          <w:bCs w:val="0"/>
          <w:kern w:val="0"/>
          <w:sz w:val="36"/>
          <w:szCs w:val="36"/>
          <w:highlight w:val="none"/>
          <w:u w:val="single"/>
          <w:lang w:val="zh-CN" w:bidi="zh-CN"/>
        </w:rPr>
        <w:t>广西防城港市防城区农业农村局</w:t>
      </w:r>
    </w:p>
    <w:p w14:paraId="03174DFD">
      <w:pPr>
        <w:keepNext w:val="0"/>
        <w:keepLines w:val="0"/>
        <w:pageBreakBefore w:val="0"/>
        <w:widowControl w:val="0"/>
        <w:kinsoku/>
        <w:wordWrap/>
        <w:overflowPunct/>
        <w:topLinePunct w:val="0"/>
        <w:autoSpaceDE w:val="0"/>
        <w:autoSpaceDN w:val="0"/>
        <w:bidi w:val="0"/>
        <w:snapToGrid/>
        <w:spacing w:line="900" w:lineRule="exact"/>
        <w:ind w:firstLine="720" w:firstLineChars="200"/>
        <w:jc w:val="both"/>
        <w:textAlignment w:val="auto"/>
        <w:rPr>
          <w:rFonts w:hint="eastAsia" w:ascii="宋体" w:hAnsi="宋体" w:cs="宋体"/>
          <w:b w:val="0"/>
          <w:bCs w:val="0"/>
          <w:sz w:val="36"/>
          <w:szCs w:val="36"/>
          <w:highlight w:val="none"/>
          <w:u w:val="single"/>
          <w:lang w:val="en-US" w:eastAsia="zh-CN"/>
        </w:rPr>
      </w:pPr>
      <w:r>
        <w:rPr>
          <w:rFonts w:hint="eastAsia" w:ascii="宋体" w:hAnsi="宋体" w:eastAsia="宋体" w:cs="宋体"/>
          <w:b w:val="0"/>
          <w:bCs w:val="0"/>
          <w:kern w:val="0"/>
          <w:sz w:val="36"/>
          <w:szCs w:val="36"/>
          <w:highlight w:val="none"/>
          <w:lang w:val="zh-CN" w:bidi="zh-CN"/>
        </w:rPr>
        <w:t>承包人（全称）：</w:t>
      </w:r>
      <w:r>
        <w:rPr>
          <w:rFonts w:hint="eastAsia" w:ascii="宋体" w:hAnsi="宋体" w:cs="宋体"/>
          <w:b w:val="0"/>
          <w:bCs w:val="0"/>
          <w:sz w:val="36"/>
          <w:szCs w:val="36"/>
          <w:highlight w:val="none"/>
          <w:u w:val="single"/>
          <w:lang w:val="en-US" w:eastAsia="zh-CN"/>
        </w:rPr>
        <w:t xml:space="preserve">                            </w:t>
      </w:r>
    </w:p>
    <w:p w14:paraId="29865F9C">
      <w:pPr>
        <w:keepNext w:val="0"/>
        <w:keepLines w:val="0"/>
        <w:pageBreakBefore w:val="0"/>
        <w:widowControl w:val="0"/>
        <w:kinsoku/>
        <w:wordWrap/>
        <w:overflowPunct/>
        <w:topLinePunct w:val="0"/>
        <w:autoSpaceDE w:val="0"/>
        <w:autoSpaceDN w:val="0"/>
        <w:bidi w:val="0"/>
        <w:snapToGrid/>
        <w:spacing w:line="900" w:lineRule="exact"/>
        <w:ind w:firstLine="1800" w:firstLineChars="500"/>
        <w:jc w:val="both"/>
        <w:textAlignment w:val="auto"/>
        <w:rPr>
          <w:rFonts w:hint="eastAsia" w:ascii="宋体" w:hAnsi="宋体" w:eastAsia="宋体" w:cs="宋体"/>
          <w:b w:val="0"/>
          <w:bCs w:val="0"/>
          <w:kern w:val="0"/>
          <w:sz w:val="36"/>
          <w:szCs w:val="36"/>
          <w:highlight w:val="none"/>
          <w:u w:val="none" w:color="000000"/>
          <w:lang w:val="zh-CN" w:bidi="zh-CN"/>
        </w:rPr>
      </w:pPr>
      <w:r>
        <w:rPr>
          <w:rFonts w:hint="eastAsia"/>
          <w:b w:val="0"/>
          <w:bCs w:val="0"/>
          <w:sz w:val="36"/>
          <w:szCs w:val="36"/>
          <w:lang w:val="en-US" w:eastAsia="zh-CN"/>
        </w:rPr>
        <w:t>日期：      年    月     日</w:t>
      </w:r>
    </w:p>
    <w:p w14:paraId="513638AC">
      <w:pPr>
        <w:pageBreakBefore w:val="0"/>
        <w:tabs>
          <w:tab w:val="left" w:pos="7380"/>
        </w:tabs>
        <w:kinsoku/>
        <w:overflowPunct/>
        <w:topLinePunct w:val="0"/>
        <w:bidi w:val="0"/>
        <w:spacing w:line="360" w:lineRule="auto"/>
        <w:rPr>
          <w:rFonts w:hint="eastAsia" w:ascii="宋体" w:hAnsi="宋体" w:eastAsia="宋体" w:cs="宋体"/>
          <w:b/>
          <w:bCs/>
          <w:color w:val="000000"/>
          <w:sz w:val="44"/>
          <w:highlight w:val="none"/>
        </w:rPr>
      </w:pPr>
    </w:p>
    <w:p w14:paraId="43E9A987">
      <w:pPr>
        <w:keepNext/>
        <w:keepLines/>
        <w:pageBreakBefore w:val="0"/>
        <w:kinsoku/>
        <w:overflowPunct/>
        <w:topLinePunct w:val="0"/>
        <w:bidi w:val="0"/>
        <w:spacing w:line="360" w:lineRule="auto"/>
        <w:jc w:val="center"/>
        <w:rPr>
          <w:rFonts w:hint="eastAsia" w:ascii="宋体" w:hAnsi="宋体" w:eastAsia="宋体" w:cs="宋体"/>
          <w:b/>
          <w:color w:val="000000"/>
          <w:kern w:val="0"/>
          <w:sz w:val="24"/>
          <w:szCs w:val="20"/>
          <w:highlight w:val="none"/>
        </w:rPr>
      </w:pPr>
      <w:r>
        <w:rPr>
          <w:rFonts w:hint="eastAsia" w:ascii="宋体" w:hAnsi="宋体" w:eastAsia="宋体" w:cs="宋体"/>
          <w:b/>
          <w:bCs/>
          <w:color w:val="000000"/>
          <w:sz w:val="44"/>
          <w:highlight w:val="none"/>
        </w:rPr>
        <w:br w:type="page"/>
      </w:r>
      <w:r>
        <w:rPr>
          <w:rFonts w:hint="eastAsia" w:ascii="宋体" w:hAnsi="宋体" w:eastAsia="宋体" w:cs="宋体"/>
          <w:b/>
          <w:color w:val="000000"/>
          <w:sz w:val="28"/>
          <w:szCs w:val="28"/>
          <w:highlight w:val="none"/>
        </w:rPr>
        <w:t>第一部分</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协议书</w:t>
      </w:r>
    </w:p>
    <w:p w14:paraId="359E50D2">
      <w:pPr>
        <w:pageBreakBefore w:val="0"/>
        <w:kinsoku/>
        <w:overflowPunct/>
        <w:topLinePunct w:val="0"/>
        <w:bidi w:val="0"/>
        <w:spacing w:line="360" w:lineRule="auto"/>
        <w:ind w:firstLine="475"/>
        <w:rPr>
          <w:rFonts w:hint="eastAsia" w:ascii="宋体" w:hAnsi="宋体" w:eastAsia="宋体" w:cs="宋体"/>
          <w:color w:val="000000"/>
          <w:highlight w:val="none"/>
        </w:rPr>
      </w:pPr>
    </w:p>
    <w:p w14:paraId="15F7F4F8">
      <w:pPr>
        <w:pageBreakBefore w:val="0"/>
        <w:kinsoku/>
        <w:overflowPunct/>
        <w:topLinePunct w:val="0"/>
        <w:bidi w:val="0"/>
        <w:spacing w:line="360" w:lineRule="auto"/>
        <w:ind w:firstLine="475"/>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发包人（全称）：</w:t>
      </w:r>
      <w:r>
        <w:rPr>
          <w:rFonts w:hint="eastAsia" w:ascii="宋体" w:hAnsi="宋体" w:eastAsia="宋体" w:cs="宋体"/>
          <w:color w:val="000000"/>
          <w:sz w:val="21"/>
          <w:szCs w:val="21"/>
          <w:highlight w:val="none"/>
          <w:u w:val="single"/>
          <w:lang w:val="zh-CN"/>
        </w:rPr>
        <w:t>广西防城港市防城区农业农村局</w:t>
      </w:r>
    </w:p>
    <w:p w14:paraId="3773B2DA">
      <w:pPr>
        <w:pageBreakBefore w:val="0"/>
        <w:kinsoku/>
        <w:overflowPunct/>
        <w:topLinePunct w:val="0"/>
        <w:bidi w:val="0"/>
        <w:spacing w:line="360" w:lineRule="auto"/>
        <w:ind w:firstLine="475"/>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承包人（全称）：</w:t>
      </w:r>
      <w:r>
        <w:rPr>
          <w:rFonts w:hint="eastAsia" w:ascii="宋体" w:hAnsi="宋体" w:eastAsia="宋体" w:cs="宋体"/>
          <w:color w:val="000000"/>
          <w:sz w:val="21"/>
          <w:szCs w:val="21"/>
          <w:highlight w:val="none"/>
          <w:u w:val="single"/>
        </w:rPr>
        <w:t xml:space="preserve">                              </w:t>
      </w:r>
    </w:p>
    <w:p w14:paraId="3926EF0D">
      <w:pPr>
        <w:pageBreakBefore w:val="0"/>
        <w:kinsoku/>
        <w:overflowPunct/>
        <w:topLinePunct w:val="0"/>
        <w:bidi w:val="0"/>
        <w:spacing w:line="360" w:lineRule="auto"/>
        <w:ind w:firstLine="47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依照《中华人民共和国民法典》、《中华人民共和国建筑法》及其他有关法律、行政法规，遵循平等、自愿、公平和诚实信用的原则，双方就</w:t>
      </w:r>
      <w:r>
        <w:rPr>
          <w:rFonts w:hint="eastAsia" w:ascii="宋体" w:hAnsi="宋体" w:eastAsia="宋体" w:cs="宋体"/>
          <w:color w:val="000000"/>
          <w:sz w:val="21"/>
          <w:szCs w:val="21"/>
          <w:highlight w:val="none"/>
          <w:u w:val="single"/>
          <w:lang w:val="en-US" w:eastAsia="zh-CN"/>
        </w:rPr>
        <w:t>扶隆镇那农村那雪组香料产业粪污资源化利用项目</w:t>
      </w:r>
      <w:r>
        <w:rPr>
          <w:rFonts w:hint="eastAsia" w:ascii="宋体" w:hAnsi="宋体" w:eastAsia="宋体" w:cs="宋体"/>
          <w:color w:val="000000"/>
          <w:sz w:val="21"/>
          <w:szCs w:val="21"/>
          <w:highlight w:val="none"/>
        </w:rPr>
        <w:t>施工事项协商一致，订立本合同。</w:t>
      </w:r>
    </w:p>
    <w:p w14:paraId="261A9FE2">
      <w:pPr>
        <w:pageBreakBefore w:val="0"/>
        <w:kinsoku/>
        <w:overflowPunct/>
        <w:topLinePunct w:val="0"/>
        <w:bidi w:val="0"/>
        <w:spacing w:line="360" w:lineRule="auto"/>
        <w:ind w:firstLine="51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一、工程概况</w:t>
      </w:r>
    </w:p>
    <w:p w14:paraId="3CBD15E5">
      <w:pPr>
        <w:pageBreakBefore w:val="0"/>
        <w:kinsoku/>
        <w:overflowPunct/>
        <w:topLinePunct w:val="0"/>
        <w:bidi w:val="0"/>
        <w:spacing w:line="360" w:lineRule="auto"/>
        <w:ind w:firstLine="420" w:firstLineChars="200"/>
        <w:rPr>
          <w:rFonts w:hint="eastAsia"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rPr>
        <w:t>工程名称：</w:t>
      </w:r>
      <w:r>
        <w:rPr>
          <w:rFonts w:hint="eastAsia" w:ascii="宋体" w:hAnsi="宋体" w:eastAsia="宋体" w:cs="宋体"/>
          <w:color w:val="000000"/>
          <w:sz w:val="21"/>
          <w:szCs w:val="21"/>
          <w:highlight w:val="none"/>
          <w:u w:val="single"/>
          <w:lang w:val="en-US" w:eastAsia="zh-CN"/>
        </w:rPr>
        <w:t>扶隆镇那农村那雪组香料产业粪污资源化利用项目</w:t>
      </w:r>
    </w:p>
    <w:p w14:paraId="169B7760">
      <w:pPr>
        <w:pageBreakBefore w:val="0"/>
        <w:kinsoku/>
        <w:overflowPunct/>
        <w:topLinePunct w:val="0"/>
        <w:bidi w:val="0"/>
        <w:spacing w:line="360" w:lineRule="auto"/>
        <w:ind w:firstLine="420" w:firstLineChars="200"/>
        <w:rPr>
          <w:rFonts w:hint="default"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rPr>
        <w:t>工程地点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u w:val="single"/>
          <w:lang w:val="en-US" w:eastAsia="zh-CN"/>
        </w:rPr>
        <w:t>广西防城港市防城区扶隆镇那农村。</w:t>
      </w:r>
    </w:p>
    <w:p w14:paraId="09B8C040">
      <w:pPr>
        <w:pageBreakBefore w:val="0"/>
        <w:kinsoku/>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工程内容：</w:t>
      </w:r>
      <w:r>
        <w:rPr>
          <w:rFonts w:hint="eastAsia" w:ascii="宋体" w:hAnsi="宋体" w:eastAsia="宋体" w:cs="宋体"/>
          <w:color w:val="000000"/>
          <w:sz w:val="21"/>
          <w:szCs w:val="21"/>
          <w:highlight w:val="none"/>
          <w:u w:val="single"/>
          <w:lang w:val="en-US" w:eastAsia="zh-CN"/>
        </w:rPr>
        <w:t>本项目为新建工程：厌氧消化沼气池1座，沉砂池1座，调节池1座，沉淀池、清水池、好氧池、贮液池1座、管理用房、入户道路、沼气、沼肥利用设施一套，具体内容详见施工图纸及招标控制价。</w:t>
      </w:r>
    </w:p>
    <w:p w14:paraId="0CBA3F75">
      <w:pPr>
        <w:pageBreakBefore w:val="0"/>
        <w:kinsoku/>
        <w:overflowPunct/>
        <w:topLinePunct w:val="0"/>
        <w:bidi w:val="0"/>
        <w:spacing w:line="360" w:lineRule="auto"/>
        <w:ind w:firstLine="51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工程立项批准文号：</w:t>
      </w:r>
      <w:r>
        <w:rPr>
          <w:rFonts w:hint="eastAsia" w:ascii="宋体" w:hAnsi="宋体" w:cs="宋体"/>
          <w:color w:val="000000"/>
          <w:sz w:val="21"/>
          <w:szCs w:val="21"/>
          <w:highlight w:val="none"/>
          <w:lang w:val="en-US" w:eastAsia="zh-CN"/>
        </w:rPr>
        <w:t xml:space="preserve">       </w:t>
      </w:r>
    </w:p>
    <w:p w14:paraId="3B2AF069">
      <w:pPr>
        <w:pageBreakBefore w:val="0"/>
        <w:kinsoku/>
        <w:overflowPunct/>
        <w:topLinePunct w:val="0"/>
        <w:bidi w:val="0"/>
        <w:spacing w:line="360" w:lineRule="auto"/>
        <w:ind w:firstLine="510"/>
        <w:rPr>
          <w:rFonts w:hint="default"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rPr>
        <w:t>资金来源：</w:t>
      </w:r>
    </w:p>
    <w:p w14:paraId="4BC9794C">
      <w:pPr>
        <w:pageBreakBefore w:val="0"/>
        <w:kinsoku/>
        <w:overflowPunct/>
        <w:topLinePunct w:val="0"/>
        <w:bidi w:val="0"/>
        <w:spacing w:line="360" w:lineRule="auto"/>
        <w:ind w:firstLine="506"/>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二、工程承包范围</w:t>
      </w:r>
    </w:p>
    <w:p w14:paraId="07FF6647">
      <w:pPr>
        <w:pageBreakBefore w:val="0"/>
        <w:kinsoku/>
        <w:overflowPunct/>
        <w:topLinePunct w:val="0"/>
        <w:bidi w:val="0"/>
        <w:spacing w:line="360" w:lineRule="auto"/>
        <w:ind w:firstLine="510"/>
        <w:rPr>
          <w:rFonts w:hint="eastAsia"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rPr>
        <w:t>承包范围：</w:t>
      </w:r>
      <w:r>
        <w:rPr>
          <w:rFonts w:hint="eastAsia" w:ascii="宋体" w:hAnsi="宋体" w:eastAsia="宋体" w:cs="宋体"/>
          <w:color w:val="000000"/>
          <w:sz w:val="21"/>
          <w:szCs w:val="21"/>
          <w:highlight w:val="none"/>
          <w:u w:val="single"/>
          <w:lang w:val="en-US" w:eastAsia="zh-CN"/>
        </w:rPr>
        <w:t>施工图纸及招标控制价包含的全部内容。</w:t>
      </w:r>
    </w:p>
    <w:p w14:paraId="52F4207C">
      <w:pPr>
        <w:pageBreakBefore w:val="0"/>
        <w:kinsoku/>
        <w:overflowPunct/>
        <w:topLinePunct w:val="0"/>
        <w:bidi w:val="0"/>
        <w:spacing w:line="360" w:lineRule="auto"/>
        <w:ind w:firstLine="51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三、合同工期</w:t>
      </w:r>
    </w:p>
    <w:p w14:paraId="16A8CAB0">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开工日期：</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64764A5D">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竣工日期：</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08F1E64A">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合同工期总日历天数_____天。</w:t>
      </w:r>
    </w:p>
    <w:p w14:paraId="2737D5EF">
      <w:pPr>
        <w:pageBreakBefore w:val="0"/>
        <w:kinsoku/>
        <w:overflowPunct/>
        <w:topLinePunct w:val="0"/>
        <w:bidi w:val="0"/>
        <w:spacing w:line="360" w:lineRule="auto"/>
        <w:ind w:firstLine="52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四、质量标准</w:t>
      </w:r>
    </w:p>
    <w:p w14:paraId="4131E108">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工程质量标准：</w:t>
      </w:r>
      <w:r>
        <w:rPr>
          <w:rFonts w:hint="eastAsia" w:ascii="宋体" w:hAnsi="宋体" w:eastAsia="宋体" w:cs="宋体"/>
          <w:color w:val="000000"/>
          <w:sz w:val="21"/>
          <w:szCs w:val="21"/>
          <w:highlight w:val="none"/>
          <w:u w:val="single"/>
          <w:lang w:val="en-US" w:eastAsia="zh-CN"/>
        </w:rPr>
        <w:t>施工质量达到合格要求，工程质量标准必须符合现行国家有关工程施工质量验收规范和标准的要求。</w:t>
      </w:r>
    </w:p>
    <w:p w14:paraId="165079D7">
      <w:pPr>
        <w:pageBreakBefore w:val="0"/>
        <w:kinsoku/>
        <w:overflowPunct/>
        <w:topLinePunct w:val="0"/>
        <w:bidi w:val="0"/>
        <w:spacing w:line="360" w:lineRule="auto"/>
        <w:ind w:firstLine="51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五、合同价款</w:t>
      </w:r>
    </w:p>
    <w:p w14:paraId="6FB8588C">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金额（大写）：________________________元（人民币）</w:t>
      </w:r>
    </w:p>
    <w:p w14:paraId="69BFDD81">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￥：_________________________元</w:t>
      </w:r>
    </w:p>
    <w:p w14:paraId="69241382">
      <w:pPr>
        <w:pageBreakBefore w:val="0"/>
        <w:kinsoku/>
        <w:overflowPunct/>
        <w:topLinePunct w:val="0"/>
        <w:bidi w:val="0"/>
        <w:spacing w:line="360" w:lineRule="auto"/>
        <w:ind w:firstLine="51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六、组成合同的文件</w:t>
      </w:r>
    </w:p>
    <w:p w14:paraId="45F1975D">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组成本合同的文件包括：</w:t>
      </w:r>
    </w:p>
    <w:p w14:paraId="32C80066">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1、本合同协议书</w:t>
      </w:r>
    </w:p>
    <w:p w14:paraId="1D109CFC">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2、成交通知书</w:t>
      </w:r>
    </w:p>
    <w:p w14:paraId="6F06DAF5">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3、响应文件及其附件</w:t>
      </w:r>
    </w:p>
    <w:p w14:paraId="64E1E77A">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4、本合同专用条款</w:t>
      </w:r>
    </w:p>
    <w:p w14:paraId="18D485E6">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5、本合同通用条款</w:t>
      </w:r>
    </w:p>
    <w:p w14:paraId="1B8CEE6F">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6、标准、规范及有关技术文件</w:t>
      </w:r>
    </w:p>
    <w:p w14:paraId="098F73A1">
      <w:pPr>
        <w:pageBreakBefore w:val="0"/>
        <w:kinsoku/>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7、工程量清单</w:t>
      </w:r>
    </w:p>
    <w:p w14:paraId="15923681">
      <w:pPr>
        <w:pageBreakBefore w:val="0"/>
        <w:kinsoku/>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其他合同文件：</w:t>
      </w:r>
    </w:p>
    <w:p w14:paraId="19C6C11D">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双方有关工程听洽商、变更等书面协议或文件视为本合同的组成部分。</w:t>
      </w:r>
    </w:p>
    <w:p w14:paraId="3D0FA4CA">
      <w:pPr>
        <w:pageBreakBefore w:val="0"/>
        <w:kinsoku/>
        <w:overflowPunct/>
        <w:topLinePunct w:val="0"/>
        <w:bidi w:val="0"/>
        <w:spacing w:line="360" w:lineRule="auto"/>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七、本协议书中有关词语定义与本合同第二部分《通用条款》中分别赋予它们的定义相同。</w:t>
      </w:r>
    </w:p>
    <w:p w14:paraId="39C3D314">
      <w:pPr>
        <w:pageBreakBefore w:val="0"/>
        <w:kinsoku/>
        <w:overflowPunct/>
        <w:topLinePunct w:val="0"/>
        <w:bidi w:val="0"/>
        <w:spacing w:line="360" w:lineRule="auto"/>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八、承包人向发包人承诺按照合同约定进行施工、竣工并在质量保修期内承担工程质量保修责任。</w:t>
      </w:r>
    </w:p>
    <w:p w14:paraId="36481100">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九、发包人向承包人承诺按照合同约定的期限和方式支付合同价款及其他应当支付的款项。</w:t>
      </w:r>
    </w:p>
    <w:p w14:paraId="45B78E2B">
      <w:pPr>
        <w:pageBreakBefore w:val="0"/>
        <w:kinsoku/>
        <w:overflowPunct/>
        <w:topLinePunct w:val="0"/>
        <w:bidi w:val="0"/>
        <w:spacing w:line="360" w:lineRule="auto"/>
        <w:ind w:firstLine="51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十、合同生效</w:t>
      </w:r>
    </w:p>
    <w:p w14:paraId="4D9EEBAF">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合同订立时间：________年________月________日</w:t>
      </w:r>
    </w:p>
    <w:p w14:paraId="60F2F376">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合同订立地点：________</w:t>
      </w:r>
    </w:p>
    <w:p w14:paraId="6E758420">
      <w:pPr>
        <w:pageBreakBefore w:val="0"/>
        <w:kinsoku/>
        <w:overflowPunct/>
        <w:topLinePunct w:val="0"/>
        <w:bidi w:val="0"/>
        <w:spacing w:line="360" w:lineRule="auto"/>
        <w:ind w:firstLine="5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本合同双方约定</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双方法定代表人或其授权代理人签字或盖章并加盖单位公章</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后生效。</w:t>
      </w:r>
    </w:p>
    <w:p w14:paraId="43D582D1">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val="0"/>
          <w:i w:val="0"/>
          <w:iCs w:val="0"/>
          <w:sz w:val="21"/>
          <w:szCs w:val="21"/>
          <w:highlight w:val="none"/>
        </w:rPr>
      </w:pPr>
      <w:r>
        <w:rPr>
          <w:rFonts w:hint="eastAsia" w:ascii="宋体" w:hAnsi="宋体" w:eastAsia="宋体" w:cs="宋体"/>
          <w:b/>
          <w:bCs w:val="0"/>
          <w:i w:val="0"/>
          <w:iCs w:val="0"/>
          <w:kern w:val="0"/>
          <w:sz w:val="21"/>
          <w:szCs w:val="21"/>
          <w:lang w:val="en-US" w:eastAsia="zh-CN" w:bidi="ar-SA"/>
        </w:rPr>
        <w:t>十一、</w:t>
      </w:r>
      <w:r>
        <w:rPr>
          <w:rFonts w:hint="eastAsia" w:ascii="宋体" w:hAnsi="宋体" w:eastAsia="宋体" w:cs="宋体"/>
          <w:b/>
          <w:bCs w:val="0"/>
          <w:i w:val="0"/>
          <w:iCs w:val="0"/>
          <w:sz w:val="21"/>
          <w:szCs w:val="21"/>
          <w:highlight w:val="none"/>
        </w:rPr>
        <w:t>合同份数</w:t>
      </w:r>
    </w:p>
    <w:p w14:paraId="0637A3F6">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Cs w:val="0"/>
          <w:i w:val="0"/>
          <w:iCs w:val="0"/>
          <w:spacing w:val="0"/>
          <w:kern w:val="2"/>
          <w:sz w:val="21"/>
          <w:szCs w:val="21"/>
          <w:highlight w:val="none"/>
        </w:rPr>
      </w:pPr>
      <w:r>
        <w:rPr>
          <w:rFonts w:hint="eastAsia" w:ascii="宋体" w:hAnsi="宋体" w:eastAsia="宋体" w:cs="宋体"/>
          <w:bCs w:val="0"/>
          <w:i w:val="0"/>
          <w:iCs w:val="0"/>
          <w:spacing w:val="0"/>
          <w:kern w:val="2"/>
          <w:sz w:val="21"/>
          <w:szCs w:val="21"/>
          <w:highlight w:val="none"/>
        </w:rPr>
        <w:t>本合同</w:t>
      </w:r>
      <w:r>
        <w:rPr>
          <w:rFonts w:hint="eastAsia" w:ascii="宋体" w:hAnsi="宋体" w:eastAsia="宋体" w:cs="宋体"/>
          <w:bCs w:val="0"/>
          <w:i w:val="0"/>
          <w:iCs w:val="0"/>
          <w:spacing w:val="0"/>
          <w:kern w:val="2"/>
          <w:sz w:val="21"/>
          <w:szCs w:val="21"/>
          <w:highlight w:val="none"/>
          <w:u w:val="single"/>
          <w:lang w:val="en-US" w:eastAsia="zh-CN"/>
        </w:rPr>
        <w:t xml:space="preserve"> 壹 </w:t>
      </w:r>
      <w:r>
        <w:rPr>
          <w:rFonts w:hint="eastAsia" w:ascii="宋体" w:hAnsi="宋体" w:eastAsia="宋体" w:cs="宋体"/>
          <w:bCs w:val="0"/>
          <w:i w:val="0"/>
          <w:iCs w:val="0"/>
          <w:spacing w:val="0"/>
          <w:kern w:val="2"/>
          <w:sz w:val="21"/>
          <w:szCs w:val="21"/>
          <w:highlight w:val="none"/>
        </w:rPr>
        <w:t>式</w:t>
      </w:r>
      <w:r>
        <w:rPr>
          <w:rFonts w:hint="eastAsia" w:ascii="宋体" w:hAnsi="宋体" w:eastAsia="宋体" w:cs="宋体"/>
          <w:bCs w:val="0"/>
          <w:i w:val="0"/>
          <w:iCs w:val="0"/>
          <w:spacing w:val="0"/>
          <w:kern w:val="2"/>
          <w:sz w:val="21"/>
          <w:szCs w:val="21"/>
          <w:highlight w:val="none"/>
          <w:u w:val="single"/>
          <w:lang w:val="en-US" w:eastAsia="zh-CN"/>
        </w:rPr>
        <w:t xml:space="preserve"> </w:t>
      </w:r>
      <w:r>
        <w:rPr>
          <w:rFonts w:hint="eastAsia" w:ascii="宋体" w:hAnsi="宋体" w:eastAsia="宋体" w:cs="宋体"/>
          <w:bCs w:val="0"/>
          <w:i w:val="0"/>
          <w:iCs w:val="0"/>
          <w:spacing w:val="0"/>
          <w:kern w:val="2"/>
          <w:sz w:val="21"/>
          <w:szCs w:val="21"/>
          <w:highlight w:val="none"/>
          <w:u w:val="single"/>
          <w:lang w:eastAsia="zh-CN"/>
        </w:rPr>
        <w:t>陆</w:t>
      </w:r>
      <w:r>
        <w:rPr>
          <w:rFonts w:hint="eastAsia" w:ascii="宋体" w:hAnsi="宋体" w:eastAsia="宋体" w:cs="宋体"/>
          <w:bCs w:val="0"/>
          <w:i w:val="0"/>
          <w:iCs w:val="0"/>
          <w:spacing w:val="0"/>
          <w:kern w:val="2"/>
          <w:sz w:val="21"/>
          <w:szCs w:val="21"/>
          <w:highlight w:val="none"/>
          <w:u w:val="single"/>
          <w:lang w:val="en-US" w:eastAsia="zh-CN"/>
        </w:rPr>
        <w:t xml:space="preserve"> </w:t>
      </w:r>
      <w:r>
        <w:rPr>
          <w:rFonts w:hint="eastAsia" w:ascii="宋体" w:hAnsi="宋体" w:eastAsia="宋体" w:cs="宋体"/>
          <w:bCs w:val="0"/>
          <w:i w:val="0"/>
          <w:iCs w:val="0"/>
          <w:spacing w:val="0"/>
          <w:kern w:val="2"/>
          <w:sz w:val="21"/>
          <w:szCs w:val="21"/>
          <w:highlight w:val="none"/>
        </w:rPr>
        <w:t>份，</w:t>
      </w:r>
      <w:r>
        <w:rPr>
          <w:rFonts w:hint="eastAsia" w:ascii="宋体" w:hAnsi="宋体" w:eastAsia="宋体" w:cs="宋体"/>
          <w:bCs w:val="0"/>
          <w:i w:val="0"/>
          <w:iCs w:val="0"/>
          <w:spacing w:val="0"/>
          <w:kern w:val="2"/>
          <w:sz w:val="21"/>
          <w:szCs w:val="21"/>
          <w:highlight w:val="none"/>
          <w:lang w:eastAsia="zh-CN"/>
        </w:rPr>
        <w:t>正本</w:t>
      </w:r>
      <w:r>
        <w:rPr>
          <w:rFonts w:hint="eastAsia" w:ascii="宋体" w:hAnsi="宋体" w:eastAsia="宋体" w:cs="宋体"/>
          <w:bCs w:val="0"/>
          <w:i w:val="0"/>
          <w:iCs w:val="0"/>
          <w:spacing w:val="0"/>
          <w:kern w:val="2"/>
          <w:sz w:val="21"/>
          <w:szCs w:val="21"/>
          <w:highlight w:val="none"/>
          <w:u w:val="single"/>
          <w:lang w:val="en-US" w:eastAsia="zh-CN"/>
        </w:rPr>
        <w:t xml:space="preserve"> </w:t>
      </w:r>
      <w:r>
        <w:rPr>
          <w:rFonts w:hint="eastAsia" w:ascii="宋体" w:hAnsi="宋体" w:eastAsia="宋体" w:cs="宋体"/>
          <w:bCs w:val="0"/>
          <w:i w:val="0"/>
          <w:iCs w:val="0"/>
          <w:spacing w:val="0"/>
          <w:kern w:val="2"/>
          <w:sz w:val="21"/>
          <w:szCs w:val="21"/>
          <w:highlight w:val="none"/>
          <w:u w:val="single"/>
          <w:lang w:eastAsia="zh-CN"/>
        </w:rPr>
        <w:t>贰</w:t>
      </w:r>
      <w:r>
        <w:rPr>
          <w:rFonts w:hint="eastAsia" w:ascii="宋体" w:hAnsi="宋体" w:eastAsia="宋体" w:cs="宋体"/>
          <w:bCs w:val="0"/>
          <w:i w:val="0"/>
          <w:iCs w:val="0"/>
          <w:spacing w:val="0"/>
          <w:kern w:val="2"/>
          <w:sz w:val="21"/>
          <w:szCs w:val="21"/>
          <w:highlight w:val="none"/>
          <w:u w:val="single"/>
          <w:lang w:val="en-US" w:eastAsia="zh-CN"/>
        </w:rPr>
        <w:t xml:space="preserve"> </w:t>
      </w:r>
      <w:r>
        <w:rPr>
          <w:rFonts w:hint="eastAsia" w:ascii="宋体" w:hAnsi="宋体" w:eastAsia="宋体" w:cs="宋体"/>
          <w:bCs w:val="0"/>
          <w:i w:val="0"/>
          <w:iCs w:val="0"/>
          <w:spacing w:val="0"/>
          <w:kern w:val="2"/>
          <w:sz w:val="21"/>
          <w:szCs w:val="21"/>
          <w:highlight w:val="none"/>
          <w:lang w:eastAsia="zh-CN"/>
        </w:rPr>
        <w:t>份，副本</w:t>
      </w:r>
      <w:r>
        <w:rPr>
          <w:rFonts w:hint="eastAsia" w:ascii="宋体" w:hAnsi="宋体" w:eastAsia="宋体" w:cs="宋体"/>
          <w:bCs w:val="0"/>
          <w:i w:val="0"/>
          <w:iCs w:val="0"/>
          <w:spacing w:val="0"/>
          <w:kern w:val="2"/>
          <w:sz w:val="21"/>
          <w:szCs w:val="21"/>
          <w:highlight w:val="none"/>
          <w:u w:val="single"/>
          <w:lang w:val="en-US" w:eastAsia="zh-CN"/>
        </w:rPr>
        <w:t xml:space="preserve"> </w:t>
      </w:r>
      <w:r>
        <w:rPr>
          <w:rFonts w:hint="eastAsia" w:ascii="宋体" w:hAnsi="宋体" w:eastAsia="宋体" w:cs="宋体"/>
          <w:bCs w:val="0"/>
          <w:i w:val="0"/>
          <w:iCs w:val="0"/>
          <w:spacing w:val="0"/>
          <w:kern w:val="2"/>
          <w:sz w:val="21"/>
          <w:szCs w:val="21"/>
          <w:highlight w:val="none"/>
          <w:u w:val="single"/>
          <w:lang w:eastAsia="zh-CN"/>
        </w:rPr>
        <w:t>肆</w:t>
      </w:r>
      <w:r>
        <w:rPr>
          <w:rFonts w:hint="eastAsia" w:ascii="宋体" w:hAnsi="宋体" w:eastAsia="宋体" w:cs="宋体"/>
          <w:bCs w:val="0"/>
          <w:i w:val="0"/>
          <w:iCs w:val="0"/>
          <w:spacing w:val="0"/>
          <w:kern w:val="2"/>
          <w:sz w:val="21"/>
          <w:szCs w:val="21"/>
          <w:highlight w:val="none"/>
          <w:u w:val="single"/>
          <w:lang w:val="en-US" w:eastAsia="zh-CN"/>
        </w:rPr>
        <w:t xml:space="preserve"> </w:t>
      </w:r>
      <w:r>
        <w:rPr>
          <w:rFonts w:hint="eastAsia" w:ascii="宋体" w:hAnsi="宋体" w:eastAsia="宋体" w:cs="宋体"/>
          <w:bCs w:val="0"/>
          <w:i w:val="0"/>
          <w:iCs w:val="0"/>
          <w:spacing w:val="0"/>
          <w:kern w:val="2"/>
          <w:sz w:val="21"/>
          <w:szCs w:val="21"/>
          <w:highlight w:val="none"/>
          <w:lang w:eastAsia="zh-CN"/>
        </w:rPr>
        <w:t>份，</w:t>
      </w:r>
      <w:r>
        <w:rPr>
          <w:rFonts w:hint="eastAsia" w:ascii="宋体" w:hAnsi="宋体" w:eastAsia="宋体" w:cs="宋体"/>
          <w:bCs w:val="0"/>
          <w:i w:val="0"/>
          <w:iCs w:val="0"/>
          <w:spacing w:val="0"/>
          <w:kern w:val="2"/>
          <w:sz w:val="21"/>
          <w:szCs w:val="21"/>
          <w:highlight w:val="none"/>
        </w:rPr>
        <w:t>均具有同等法律效力</w:t>
      </w:r>
      <w:r>
        <w:rPr>
          <w:rFonts w:hint="eastAsia" w:ascii="宋体" w:hAnsi="宋体" w:eastAsia="宋体" w:cs="宋体"/>
          <w:bCs w:val="0"/>
          <w:i w:val="0"/>
          <w:iCs w:val="0"/>
          <w:spacing w:val="0"/>
          <w:kern w:val="2"/>
          <w:sz w:val="21"/>
          <w:szCs w:val="21"/>
          <w:highlight w:val="none"/>
          <w:lang w:eastAsia="zh-CN"/>
        </w:rPr>
        <w:t>。</w:t>
      </w:r>
      <w:r>
        <w:rPr>
          <w:rFonts w:hint="eastAsia" w:ascii="宋体" w:hAnsi="宋体" w:eastAsia="宋体" w:cs="宋体"/>
          <w:bCs w:val="0"/>
          <w:i w:val="0"/>
          <w:iCs w:val="0"/>
          <w:spacing w:val="0"/>
          <w:kern w:val="2"/>
          <w:sz w:val="21"/>
          <w:szCs w:val="21"/>
          <w:highlight w:val="none"/>
        </w:rPr>
        <w:t>发包人</w:t>
      </w:r>
      <w:r>
        <w:rPr>
          <w:rFonts w:hint="eastAsia" w:ascii="宋体" w:hAnsi="宋体" w:eastAsia="宋体" w:cs="宋体"/>
          <w:bCs w:val="0"/>
          <w:i w:val="0"/>
          <w:iCs w:val="0"/>
          <w:spacing w:val="0"/>
          <w:kern w:val="2"/>
          <w:sz w:val="21"/>
          <w:szCs w:val="21"/>
          <w:highlight w:val="none"/>
          <w:lang w:eastAsia="zh-CN"/>
        </w:rPr>
        <w:t>、</w:t>
      </w:r>
      <w:r>
        <w:rPr>
          <w:rFonts w:hint="eastAsia" w:ascii="宋体" w:hAnsi="宋体" w:eastAsia="宋体" w:cs="宋体"/>
          <w:bCs w:val="0"/>
          <w:i w:val="0"/>
          <w:iCs w:val="0"/>
          <w:spacing w:val="0"/>
          <w:kern w:val="2"/>
          <w:sz w:val="21"/>
          <w:szCs w:val="21"/>
          <w:highlight w:val="none"/>
        </w:rPr>
        <w:t>承包人</w:t>
      </w:r>
      <w:r>
        <w:rPr>
          <w:rFonts w:hint="eastAsia" w:ascii="宋体" w:hAnsi="宋体" w:eastAsia="宋体" w:cs="宋体"/>
          <w:bCs w:val="0"/>
          <w:i w:val="0"/>
          <w:iCs w:val="0"/>
          <w:spacing w:val="0"/>
          <w:kern w:val="2"/>
          <w:sz w:val="21"/>
          <w:szCs w:val="21"/>
          <w:highlight w:val="none"/>
          <w:lang w:eastAsia="zh-CN"/>
        </w:rPr>
        <w:t>各</w:t>
      </w:r>
      <w:r>
        <w:rPr>
          <w:rFonts w:hint="eastAsia" w:ascii="宋体" w:hAnsi="宋体" w:eastAsia="宋体" w:cs="宋体"/>
          <w:bCs w:val="0"/>
          <w:i w:val="0"/>
          <w:iCs w:val="0"/>
          <w:spacing w:val="0"/>
          <w:kern w:val="2"/>
          <w:sz w:val="21"/>
          <w:szCs w:val="21"/>
          <w:highlight w:val="none"/>
        </w:rPr>
        <w:t>执</w:t>
      </w:r>
      <w:r>
        <w:rPr>
          <w:rFonts w:hint="eastAsia" w:ascii="宋体" w:hAnsi="宋体" w:eastAsia="宋体" w:cs="宋体"/>
          <w:bCs w:val="0"/>
          <w:i w:val="0"/>
          <w:iCs w:val="0"/>
          <w:spacing w:val="0"/>
          <w:kern w:val="2"/>
          <w:sz w:val="21"/>
          <w:szCs w:val="21"/>
          <w:highlight w:val="none"/>
          <w:lang w:eastAsia="zh-CN"/>
        </w:rPr>
        <w:t>正本</w:t>
      </w:r>
      <w:r>
        <w:rPr>
          <w:rFonts w:hint="eastAsia" w:ascii="宋体" w:hAnsi="宋体" w:eastAsia="宋体" w:cs="宋体"/>
          <w:bCs w:val="0"/>
          <w:i w:val="0"/>
          <w:iCs w:val="0"/>
          <w:spacing w:val="0"/>
          <w:kern w:val="2"/>
          <w:sz w:val="21"/>
          <w:szCs w:val="21"/>
          <w:highlight w:val="none"/>
          <w:u w:val="single"/>
          <w:lang w:val="en-US" w:eastAsia="zh-CN"/>
        </w:rPr>
        <w:t xml:space="preserve"> 壹 </w:t>
      </w:r>
      <w:r>
        <w:rPr>
          <w:rFonts w:hint="eastAsia" w:ascii="宋体" w:hAnsi="宋体" w:eastAsia="宋体" w:cs="宋体"/>
          <w:bCs w:val="0"/>
          <w:i w:val="0"/>
          <w:iCs w:val="0"/>
          <w:spacing w:val="0"/>
          <w:kern w:val="2"/>
          <w:sz w:val="21"/>
          <w:szCs w:val="21"/>
          <w:highlight w:val="none"/>
          <w:lang w:eastAsia="zh-CN"/>
        </w:rPr>
        <w:t>份，副本</w:t>
      </w:r>
      <w:r>
        <w:rPr>
          <w:rFonts w:hint="eastAsia" w:ascii="宋体" w:hAnsi="宋体" w:eastAsia="宋体" w:cs="宋体"/>
          <w:bCs w:val="0"/>
          <w:i w:val="0"/>
          <w:iCs w:val="0"/>
          <w:spacing w:val="0"/>
          <w:kern w:val="2"/>
          <w:sz w:val="21"/>
          <w:szCs w:val="21"/>
          <w:highlight w:val="none"/>
          <w:u w:val="single"/>
          <w:lang w:val="en-US" w:eastAsia="zh-CN"/>
        </w:rPr>
        <w:t xml:space="preserve"> </w:t>
      </w:r>
      <w:r>
        <w:rPr>
          <w:rFonts w:hint="eastAsia" w:ascii="宋体" w:hAnsi="宋体" w:eastAsia="宋体" w:cs="宋体"/>
          <w:bCs w:val="0"/>
          <w:i w:val="0"/>
          <w:iCs w:val="0"/>
          <w:spacing w:val="0"/>
          <w:kern w:val="2"/>
          <w:sz w:val="21"/>
          <w:szCs w:val="21"/>
          <w:highlight w:val="none"/>
          <w:u w:val="single"/>
        </w:rPr>
        <w:t>贰</w:t>
      </w:r>
      <w:r>
        <w:rPr>
          <w:rFonts w:hint="eastAsia" w:ascii="宋体" w:hAnsi="宋体" w:eastAsia="宋体" w:cs="宋体"/>
          <w:bCs w:val="0"/>
          <w:i w:val="0"/>
          <w:iCs w:val="0"/>
          <w:spacing w:val="0"/>
          <w:kern w:val="2"/>
          <w:sz w:val="21"/>
          <w:szCs w:val="21"/>
          <w:highlight w:val="none"/>
          <w:u w:val="single"/>
          <w:lang w:val="en-US" w:eastAsia="zh-CN"/>
        </w:rPr>
        <w:t xml:space="preserve"> </w:t>
      </w:r>
      <w:r>
        <w:rPr>
          <w:rFonts w:hint="eastAsia" w:ascii="宋体" w:hAnsi="宋体" w:eastAsia="宋体" w:cs="宋体"/>
          <w:bCs w:val="0"/>
          <w:i w:val="0"/>
          <w:iCs w:val="0"/>
          <w:spacing w:val="0"/>
          <w:kern w:val="2"/>
          <w:sz w:val="21"/>
          <w:szCs w:val="21"/>
          <w:highlight w:val="none"/>
        </w:rPr>
        <w:t>份。</w:t>
      </w:r>
    </w:p>
    <w:p w14:paraId="3E580A7B">
      <w:pPr>
        <w:spacing w:line="400" w:lineRule="exact"/>
        <w:ind w:firstLine="420" w:firstLineChars="200"/>
        <w:rPr>
          <w:rFonts w:hint="eastAsia" w:ascii="宋体" w:hAnsi="宋体" w:eastAsia="宋体" w:cs="宋体"/>
          <w:i w:val="0"/>
          <w:iCs w:val="0"/>
          <w:sz w:val="21"/>
          <w:szCs w:val="21"/>
          <w:highlight w:val="none"/>
        </w:rPr>
      </w:pPr>
    </w:p>
    <w:p w14:paraId="7068A2A1">
      <w:pPr>
        <w:spacing w:line="360" w:lineRule="auto"/>
        <w:ind w:right="-512" w:rightChars="-244"/>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发包人：</w:t>
      </w:r>
      <w:r>
        <w:rPr>
          <w:rFonts w:hint="eastAsia" w:ascii="宋体" w:hAnsi="宋体" w:eastAsia="宋体" w:cs="宋体"/>
          <w:sz w:val="21"/>
          <w:szCs w:val="21"/>
          <w:highlight w:val="none"/>
          <w:u w:val="single"/>
        </w:rPr>
        <w:t>广西防城港市防城区农业农村局</w:t>
      </w:r>
      <w:r>
        <w:rPr>
          <w:rFonts w:hint="eastAsia" w:ascii="宋体" w:hAnsi="宋体" w:eastAsia="宋体" w:cs="宋体"/>
          <w:b w:val="0"/>
          <w:bCs/>
          <w:sz w:val="21"/>
          <w:szCs w:val="21"/>
          <w:highlight w:val="none"/>
          <w:u w:val="none"/>
          <w:lang w:val="en-US" w:eastAsia="zh-CN"/>
        </w:rPr>
        <w:t xml:space="preserve">    </w:t>
      </w:r>
      <w:r>
        <w:rPr>
          <w:rFonts w:hint="eastAsia" w:ascii="宋体" w:hAnsi="宋体" w:eastAsia="宋体" w:cs="宋体"/>
          <w:sz w:val="21"/>
          <w:szCs w:val="21"/>
          <w:highlight w:val="none"/>
        </w:rPr>
        <w:t>承包人：</w:t>
      </w:r>
      <w:r>
        <w:rPr>
          <w:rFonts w:hint="eastAsia" w:ascii="宋体" w:hAnsi="宋体" w:eastAsia="宋体" w:cs="宋体"/>
          <w:sz w:val="21"/>
          <w:szCs w:val="21"/>
          <w:highlight w:val="none"/>
          <w:u w:val="single"/>
          <w:lang w:val="en-US" w:eastAsia="zh-CN"/>
        </w:rPr>
        <w:t xml:space="preserve">                    </w:t>
      </w:r>
    </w:p>
    <w:p w14:paraId="36719CF6">
      <w:pPr>
        <w:spacing w:line="360" w:lineRule="auto"/>
        <w:ind w:right="-512" w:rightChars="-244" w:firstLine="1680" w:firstLineChars="8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（公章）</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（公章）                         </w:t>
      </w:r>
    </w:p>
    <w:p w14:paraId="4EF8342D">
      <w:pPr>
        <w:spacing w:line="360" w:lineRule="auto"/>
        <w:ind w:right="-512" w:rightChars="-244"/>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法定代表人</w:t>
      </w:r>
    </w:p>
    <w:p w14:paraId="253F8856">
      <w:pPr>
        <w:spacing w:line="360" w:lineRule="auto"/>
        <w:ind w:right="-512" w:rightChars="-244"/>
        <w:rPr>
          <w:rFonts w:hint="eastAsia" w:ascii="宋体" w:hAnsi="宋体" w:eastAsia="宋体" w:cs="宋体"/>
          <w:sz w:val="21"/>
          <w:szCs w:val="21"/>
          <w:highlight w:val="none"/>
        </w:rPr>
      </w:pP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或</w:t>
      </w:r>
    </w:p>
    <w:p w14:paraId="03BE4E5E">
      <w:pPr>
        <w:spacing w:line="360" w:lineRule="auto"/>
        <w:ind w:right="-512" w:rightChars="-24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其委托代理人：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其委托代理人：</w:t>
      </w:r>
    </w:p>
    <w:p w14:paraId="48E15CC2">
      <w:pPr>
        <w:tabs>
          <w:tab w:val="left" w:pos="4410"/>
        </w:tabs>
        <w:spacing w:line="360" w:lineRule="auto"/>
        <w:ind w:right="-512" w:rightChars="-244"/>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组织机构代码：</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组织机构代码：</w:t>
      </w:r>
      <w:r>
        <w:rPr>
          <w:rFonts w:hint="eastAsia" w:ascii="宋体" w:hAnsi="宋体" w:eastAsia="宋体" w:cs="宋体"/>
          <w:sz w:val="21"/>
          <w:szCs w:val="21"/>
          <w:highlight w:val="none"/>
          <w:u w:val="single"/>
          <w:lang w:val="en-US" w:eastAsia="zh-CN"/>
        </w:rPr>
        <w:t xml:space="preserve">                  </w:t>
      </w:r>
    </w:p>
    <w:p w14:paraId="14444AD7">
      <w:pPr>
        <w:spacing w:line="360" w:lineRule="auto"/>
        <w:ind w:left="5520" w:right="-512" w:rightChars="-244" w:hanging="4830" w:hangingChars="23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lang w:val="en-US" w:eastAsia="zh-CN"/>
        </w:rPr>
        <w:t xml:space="preserve">                        </w:t>
      </w:r>
    </w:p>
    <w:p w14:paraId="53D5CCF8">
      <w:pPr>
        <w:spacing w:line="360" w:lineRule="auto"/>
        <w:ind w:right="-512" w:rightChars="-244"/>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 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lang w:val="en-US" w:eastAsia="zh-CN"/>
        </w:rPr>
        <w:t xml:space="preserve">                      </w:t>
      </w:r>
    </w:p>
    <w:p w14:paraId="7F5993E8">
      <w:pPr>
        <w:spacing w:line="360" w:lineRule="auto"/>
        <w:ind w:right="-512" w:rightChars="-244"/>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lang w:val="en-US" w:eastAsia="zh-CN"/>
        </w:rPr>
        <w:t xml:space="preserve">                        </w:t>
      </w:r>
    </w:p>
    <w:p w14:paraId="431D6FBA">
      <w:pPr>
        <w:spacing w:line="360" w:lineRule="auto"/>
        <w:ind w:right="-512" w:rightChars="-244"/>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传  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传  真：</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 xml:space="preserve"> </w:t>
      </w:r>
    </w:p>
    <w:p w14:paraId="7B1C26F0">
      <w:pPr>
        <w:spacing w:line="360" w:lineRule="auto"/>
        <w:ind w:right="-512" w:rightChars="-244"/>
        <w:rPr>
          <w:rFonts w:hint="eastAsia" w:ascii="宋体" w:hAnsi="宋体" w:eastAsia="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 xml:space="preserve">          </w:t>
      </w:r>
    </w:p>
    <w:p w14:paraId="4C18A8E7">
      <w:pPr>
        <w:spacing w:line="360" w:lineRule="auto"/>
        <w:ind w:right="-512" w:rightChars="-244"/>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u w:val="single"/>
          <w:lang w:val="en-US" w:eastAsia="zh-CN"/>
        </w:rPr>
        <w:t xml:space="preserve">                      </w:t>
      </w:r>
    </w:p>
    <w:p w14:paraId="3E2B38B8">
      <w:pPr>
        <w:spacing w:line="360" w:lineRule="auto"/>
        <w:ind w:right="-512" w:rightChars="-244"/>
        <w:rPr>
          <w:rFonts w:hint="default" w:ascii="宋体" w:hAnsi="宋体" w:eastAsia="宋体" w:cs="宋体"/>
          <w:b/>
          <w:bCs/>
          <w:i w:val="0"/>
          <w:iCs w:val="0"/>
          <w:sz w:val="21"/>
          <w:szCs w:val="21"/>
          <w:highlight w:val="none"/>
          <w:lang w:val="en-US" w:eastAsia="zh-CN"/>
        </w:rPr>
      </w:pPr>
      <w:r>
        <w:rPr>
          <w:rFonts w:hint="eastAsia" w:ascii="宋体" w:hAnsi="宋体" w:eastAsia="宋体" w:cs="宋体"/>
          <w:sz w:val="21"/>
          <w:szCs w:val="21"/>
          <w:highlight w:val="none"/>
        </w:rPr>
        <w:t>账  号：</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账  号：</w:t>
      </w:r>
      <w:r>
        <w:rPr>
          <w:rFonts w:hint="eastAsia" w:ascii="宋体" w:hAnsi="宋体" w:eastAsia="宋体" w:cs="宋体"/>
          <w:sz w:val="21"/>
          <w:szCs w:val="21"/>
          <w:highlight w:val="none"/>
          <w:u w:val="single"/>
          <w:lang w:val="en-US" w:eastAsia="zh-CN"/>
        </w:rPr>
        <w:t xml:space="preserve">                        </w:t>
      </w:r>
    </w:p>
    <w:p w14:paraId="470EDF32">
      <w:pPr>
        <w:pageBreakBefore w:val="0"/>
        <w:kinsoku/>
        <w:overflowPunct/>
        <w:topLinePunct w:val="0"/>
        <w:bidi w:val="0"/>
        <w:spacing w:line="360" w:lineRule="auto"/>
        <w:ind w:firstLine="520"/>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 xml:space="preserve">                        </w:t>
      </w:r>
    </w:p>
    <w:p w14:paraId="5759AE79">
      <w:pPr>
        <w:pageBreakBefore w:val="0"/>
        <w:tabs>
          <w:tab w:val="left" w:pos="6195"/>
        </w:tabs>
        <w:kinsoku/>
        <w:overflowPunct/>
        <w:topLinePunct w:val="0"/>
        <w:bidi w:val="0"/>
        <w:spacing w:line="360" w:lineRule="auto"/>
        <w:jc w:val="center"/>
        <w:rPr>
          <w:rFonts w:hint="eastAsia" w:ascii="宋体" w:hAnsi="宋体" w:eastAsia="宋体" w:cs="宋体"/>
          <w:color w:val="000000"/>
          <w:sz w:val="21"/>
          <w:szCs w:val="21"/>
          <w:highlight w:val="none"/>
        </w:rPr>
      </w:pPr>
    </w:p>
    <w:p w14:paraId="5CF342EC">
      <w:pPr>
        <w:pageBreakBefore w:val="0"/>
        <w:widowControl/>
        <w:kinsoku/>
        <w:overflowPunct/>
        <w:topLinePunct w:val="0"/>
        <w:bidi w:val="0"/>
        <w:spacing w:line="360" w:lineRule="auto"/>
        <w:jc w:val="left"/>
        <w:rPr>
          <w:rFonts w:hint="eastAsia" w:ascii="宋体" w:hAnsi="宋体" w:eastAsia="宋体" w:cs="宋体"/>
          <w:color w:val="000000"/>
          <w:sz w:val="21"/>
          <w:szCs w:val="21"/>
          <w:highlight w:val="none"/>
        </w:rPr>
      </w:pPr>
    </w:p>
    <w:p w14:paraId="17EFA440">
      <w:pPr>
        <w:pageBreakBefore w:val="0"/>
        <w:kinsoku/>
        <w:overflowPunct/>
        <w:topLinePunct w:val="0"/>
        <w:bidi w:val="0"/>
        <w:spacing w:line="360" w:lineRule="auto"/>
        <w:rPr>
          <w:rFonts w:hint="eastAsia" w:ascii="宋体" w:hAnsi="宋体" w:eastAsia="宋体" w:cs="宋体"/>
          <w:b/>
          <w:color w:val="000000"/>
          <w:sz w:val="36"/>
          <w:highlight w:val="none"/>
        </w:rPr>
      </w:pPr>
    </w:p>
    <w:p w14:paraId="0E8832A5">
      <w:pPr>
        <w:pageBreakBefore w:val="0"/>
        <w:kinsoku/>
        <w:overflowPunct/>
        <w:topLinePunct w:val="0"/>
        <w:bidi w:val="0"/>
        <w:spacing w:line="360" w:lineRule="auto"/>
        <w:rPr>
          <w:rFonts w:hint="eastAsia" w:ascii="宋体" w:hAnsi="宋体" w:eastAsia="宋体" w:cs="宋体"/>
          <w:b/>
          <w:color w:val="000000"/>
          <w:sz w:val="36"/>
          <w:highlight w:val="none"/>
        </w:rPr>
      </w:pPr>
    </w:p>
    <w:p w14:paraId="31520087">
      <w:pPr>
        <w:keepNext/>
        <w:keepLines/>
        <w:pageBreakBefore w:val="0"/>
        <w:kinsoku/>
        <w:overflowPunct/>
        <w:topLinePunct w:val="0"/>
        <w:bidi w:val="0"/>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第二部分</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合同通用条款</w:t>
      </w:r>
    </w:p>
    <w:p w14:paraId="2D723301">
      <w:pPr>
        <w:pageBreakBefore w:val="0"/>
        <w:kinsoku/>
        <w:overflowPunct/>
        <w:topLinePunct w:val="0"/>
        <w:bidi w:val="0"/>
        <w:snapToGrid w:val="0"/>
        <w:spacing w:line="360" w:lineRule="auto"/>
        <w:rPr>
          <w:rFonts w:hint="eastAsia" w:ascii="宋体" w:hAnsi="宋体" w:eastAsia="宋体" w:cs="宋体"/>
          <w:b/>
          <w:color w:val="000000"/>
          <w:sz w:val="36"/>
          <w:highlight w:val="none"/>
        </w:rPr>
      </w:pPr>
    </w:p>
    <w:p w14:paraId="478F7908">
      <w:pPr>
        <w:pageBreakBefore w:val="0"/>
        <w:kinsoku/>
        <w:overflowPunct/>
        <w:topLinePunct w:val="0"/>
        <w:bidi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“合同通用条款”，采用国家工商行政管理局和建设部颁发的《建设工程施工合同（示范文本）》（GF-2017-0201）的“合同通用条款”。</w:t>
      </w:r>
    </w:p>
    <w:p w14:paraId="2B7E615A">
      <w:pPr>
        <w:pageBreakBefore w:val="0"/>
        <w:kinsoku/>
        <w:overflowPunct/>
        <w:topLinePunct w:val="0"/>
        <w:bidi w:val="0"/>
        <w:spacing w:line="360" w:lineRule="auto"/>
        <w:ind w:firstLine="198"/>
        <w:rPr>
          <w:rFonts w:hint="eastAsia" w:ascii="宋体" w:hAnsi="宋体" w:eastAsia="宋体" w:cs="宋体"/>
          <w:color w:val="000000"/>
          <w:highlight w:val="none"/>
        </w:rPr>
      </w:pPr>
    </w:p>
    <w:p w14:paraId="724BDB96">
      <w:pPr>
        <w:pageBreakBefore w:val="0"/>
        <w:kinsoku/>
        <w:overflowPunct/>
        <w:topLinePunct w:val="0"/>
        <w:bidi w:val="0"/>
        <w:spacing w:line="360" w:lineRule="auto"/>
        <w:ind w:firstLine="198"/>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7276AA31">
      <w:pPr>
        <w:keepNext/>
        <w:keepLines/>
        <w:pageBreakBefore w:val="0"/>
        <w:kinsoku/>
        <w:overflowPunct/>
        <w:topLinePunct w:val="0"/>
        <w:bidi w:val="0"/>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第三部分</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合同专用条款</w:t>
      </w:r>
    </w:p>
    <w:p w14:paraId="74AA70DC">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9" w:name="_Toc15810"/>
      <w:bookmarkStart w:id="90" w:name="_Toc351203633"/>
      <w:bookmarkStart w:id="91" w:name="_Toc373227692"/>
      <w:bookmarkStart w:id="92" w:name="_Toc389065258"/>
      <w:bookmarkStart w:id="93" w:name="_Toc373478339"/>
      <w:r>
        <w:rPr>
          <w:rFonts w:hint="eastAsia" w:ascii="宋体" w:hAnsi="宋体" w:eastAsia="宋体" w:cs="宋体"/>
          <w:color w:val="000000"/>
          <w:sz w:val="21"/>
          <w:szCs w:val="21"/>
          <w:highlight w:val="none"/>
        </w:rPr>
        <w:t>1</w:t>
      </w:r>
      <w:bookmarkStart w:id="94" w:name="_Toc296347155"/>
      <w:bookmarkStart w:id="95" w:name="_Toc296346657"/>
      <w:bookmarkStart w:id="96" w:name="_Toc297048342"/>
      <w:bookmarkStart w:id="97" w:name="_Toc296891196"/>
      <w:bookmarkStart w:id="98" w:name="_Toc296503156"/>
      <w:bookmarkStart w:id="99" w:name="_Toc292559361"/>
      <w:bookmarkStart w:id="100" w:name="_Toc297120456"/>
      <w:bookmarkStart w:id="101" w:name="_Toc296944495"/>
      <w:bookmarkStart w:id="102" w:name="_Toc296890984"/>
      <w:bookmarkStart w:id="103" w:name="_Toc292559866"/>
      <w:r>
        <w:rPr>
          <w:rFonts w:hint="eastAsia" w:ascii="宋体" w:hAnsi="宋体" w:eastAsia="宋体" w:cs="宋体"/>
          <w:color w:val="000000"/>
          <w:sz w:val="21"/>
          <w:szCs w:val="21"/>
          <w:highlight w:val="none"/>
        </w:rPr>
        <w:t>. 一般约定</w:t>
      </w:r>
      <w:bookmarkEnd w:id="89"/>
      <w:bookmarkEnd w:id="90"/>
      <w:bookmarkEnd w:id="91"/>
      <w:bookmarkEnd w:id="92"/>
      <w:bookmarkEnd w:id="93"/>
    </w:p>
    <w:bookmarkEnd w:id="94"/>
    <w:bookmarkEnd w:id="95"/>
    <w:bookmarkEnd w:id="96"/>
    <w:bookmarkEnd w:id="97"/>
    <w:bookmarkEnd w:id="98"/>
    <w:bookmarkEnd w:id="99"/>
    <w:bookmarkEnd w:id="100"/>
    <w:bookmarkEnd w:id="101"/>
    <w:bookmarkEnd w:id="102"/>
    <w:bookmarkEnd w:id="103"/>
    <w:p w14:paraId="4D8FC6EC">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04" w:name="_Toc373227693"/>
      <w:bookmarkStart w:id="105" w:name="_Toc389065259"/>
      <w:bookmarkStart w:id="106" w:name="_Toc373478340"/>
      <w:bookmarkStart w:id="107" w:name="_Toc19922"/>
      <w:r>
        <w:rPr>
          <w:rFonts w:hint="eastAsia" w:ascii="宋体" w:hAnsi="宋体" w:eastAsia="宋体" w:cs="宋体"/>
          <w:color w:val="000000"/>
          <w:sz w:val="21"/>
          <w:szCs w:val="21"/>
          <w:highlight w:val="none"/>
        </w:rPr>
        <w:t>1.1 词语定义</w:t>
      </w:r>
      <w:bookmarkEnd w:id="104"/>
      <w:bookmarkEnd w:id="105"/>
      <w:bookmarkEnd w:id="106"/>
      <w:bookmarkEnd w:id="107"/>
    </w:p>
    <w:p w14:paraId="70194393">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1.1.1 合同</w:t>
      </w:r>
    </w:p>
    <w:p w14:paraId="414F7D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1.1.1.10 其他合同文件包括：</w:t>
      </w:r>
      <w:r>
        <w:rPr>
          <w:rFonts w:hint="eastAsia" w:ascii="宋体" w:hAnsi="宋体" w:eastAsia="宋体" w:cs="宋体"/>
          <w:color w:val="000000"/>
          <w:sz w:val="21"/>
          <w:szCs w:val="21"/>
          <w:highlight w:val="none"/>
          <w:u w:val="single"/>
        </w:rPr>
        <w:t>（1）本合同协议书；（2）</w:t>
      </w:r>
      <w:r>
        <w:rPr>
          <w:rFonts w:hint="eastAsia" w:ascii="宋体" w:hAnsi="宋体" w:eastAsia="宋体" w:cs="宋体"/>
          <w:color w:val="000000"/>
          <w:sz w:val="21"/>
          <w:szCs w:val="21"/>
          <w:highlight w:val="none"/>
          <w:u w:val="single"/>
          <w:lang w:val="en-US" w:eastAsia="zh-CN"/>
        </w:rPr>
        <w:t>成交</w:t>
      </w:r>
      <w:r>
        <w:rPr>
          <w:rFonts w:hint="eastAsia" w:ascii="宋体" w:hAnsi="宋体" w:eastAsia="宋体" w:cs="宋体"/>
          <w:color w:val="000000"/>
          <w:sz w:val="21"/>
          <w:szCs w:val="21"/>
          <w:highlight w:val="none"/>
          <w:u w:val="single"/>
        </w:rPr>
        <w:t>通知书；（</w:t>
      </w:r>
      <w:r>
        <w:rPr>
          <w:rFonts w:hint="eastAsia" w:ascii="宋体" w:hAnsi="宋体" w:eastAsia="宋体" w:cs="宋体"/>
          <w:color w:val="000000"/>
          <w:sz w:val="21"/>
          <w:szCs w:val="21"/>
          <w:highlight w:val="none"/>
          <w:u w:val="single"/>
          <w:lang w:val="en-US" w:eastAsia="zh-CN"/>
        </w:rPr>
        <w:t>3）响应函及响应报价表；</w:t>
      </w:r>
      <w:r>
        <w:rPr>
          <w:rFonts w:hint="eastAsia" w:ascii="宋体" w:hAnsi="宋体" w:eastAsia="宋体" w:cs="宋体"/>
          <w:color w:val="000000"/>
          <w:sz w:val="21"/>
          <w:szCs w:val="21"/>
          <w:highlight w:val="none"/>
          <w:u w:val="single"/>
        </w:rPr>
        <w:t>（4）专用合同条款及其附件；（5）本通用合同条款；（6）技术标准和要求；（7）图纸会审记录、施工组织设计及施工方案、设计变更、发包人和监理工程师通知及指令、现场签证、工程技术联系单、发承包人确认的相关文件资料等有关工程洽商、变更等书面协议；（8）工程报告单及预算书；（9）</w:t>
      </w:r>
      <w:r>
        <w:rPr>
          <w:rFonts w:hint="eastAsia" w:ascii="宋体" w:hAnsi="宋体" w:eastAsia="宋体" w:cs="宋体"/>
          <w:color w:val="000000"/>
          <w:sz w:val="21"/>
          <w:szCs w:val="21"/>
          <w:highlight w:val="none"/>
          <w:u w:val="single"/>
          <w:lang w:val="en-US" w:eastAsia="zh-CN"/>
        </w:rPr>
        <w:t>竞争性磋商</w:t>
      </w:r>
      <w:r>
        <w:rPr>
          <w:rFonts w:hint="eastAsia" w:ascii="宋体" w:hAnsi="宋体" w:eastAsia="宋体" w:cs="宋体"/>
          <w:color w:val="000000"/>
          <w:sz w:val="21"/>
          <w:szCs w:val="21"/>
          <w:highlight w:val="none"/>
          <w:u w:val="single"/>
        </w:rPr>
        <w:t xml:space="preserve">文件及其附件 </w:t>
      </w:r>
      <w:r>
        <w:rPr>
          <w:rFonts w:hint="eastAsia" w:ascii="宋体" w:hAnsi="宋体" w:eastAsia="宋体" w:cs="宋体"/>
          <w:color w:val="000000"/>
          <w:sz w:val="21"/>
          <w:szCs w:val="21"/>
          <w:highlight w:val="none"/>
        </w:rPr>
        <w:t>。</w:t>
      </w:r>
    </w:p>
    <w:p w14:paraId="28CA6CF5">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 合同当事人及其他相关方</w:t>
      </w:r>
    </w:p>
    <w:p w14:paraId="3E74CD1D">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1.1.2.4 监理人：</w:t>
      </w:r>
    </w:p>
    <w:p w14:paraId="5D28AAE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    称：</w:t>
      </w:r>
      <w:r>
        <w:rPr>
          <w:rFonts w:hint="eastAsia" w:ascii="宋体" w:hAnsi="宋体" w:eastAsia="宋体" w:cs="宋体"/>
          <w:color w:val="000000"/>
          <w:sz w:val="21"/>
          <w:szCs w:val="21"/>
          <w:highlight w:val="none"/>
          <w:u w:val="single"/>
        </w:rPr>
        <w:t xml:space="preserve">                </w:t>
      </w:r>
      <w:r>
        <w:rPr>
          <w:rFonts w:hint="eastAsia" w:ascii="宋体" w:hAnsi="宋体" w:eastAsia="宋体" w:cs="宋体"/>
          <w:color w:val="000000"/>
          <w:sz w:val="21"/>
          <w:szCs w:val="21"/>
          <w:highlight w:val="none"/>
        </w:rPr>
        <w:t>；</w:t>
      </w:r>
    </w:p>
    <w:p w14:paraId="33E941DE">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资质类别和等级：</w:t>
      </w:r>
      <w:r>
        <w:rPr>
          <w:rFonts w:hint="eastAsia" w:ascii="宋体" w:hAnsi="宋体" w:eastAsia="宋体" w:cs="宋体"/>
          <w:color w:val="000000"/>
          <w:sz w:val="21"/>
          <w:szCs w:val="21"/>
          <w:highlight w:val="none"/>
          <w:u w:val="single"/>
        </w:rPr>
        <w:t>               </w:t>
      </w:r>
      <w:r>
        <w:rPr>
          <w:rFonts w:hint="eastAsia" w:ascii="宋体" w:hAnsi="宋体" w:eastAsia="宋体" w:cs="宋体"/>
          <w:color w:val="000000"/>
          <w:sz w:val="21"/>
          <w:szCs w:val="21"/>
          <w:highlight w:val="none"/>
        </w:rPr>
        <w:t>；</w:t>
      </w:r>
    </w:p>
    <w:p w14:paraId="0FB4E91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4E1F7EA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w:t>
      </w:r>
    </w:p>
    <w:p w14:paraId="75AFC64D">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1D123737">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1.1.2.5 设计人：</w:t>
      </w:r>
    </w:p>
    <w:p w14:paraId="7BC08B9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    称：</w:t>
      </w:r>
      <w:r>
        <w:rPr>
          <w:rFonts w:hint="eastAsia" w:ascii="宋体" w:hAnsi="宋体" w:eastAsia="宋体" w:cs="宋体"/>
          <w:color w:val="000000"/>
          <w:sz w:val="21"/>
          <w:szCs w:val="21"/>
          <w:highlight w:val="none"/>
          <w:u w:val="single"/>
        </w:rPr>
        <w:t xml:space="preserve">                 </w:t>
      </w:r>
      <w:r>
        <w:rPr>
          <w:rFonts w:hint="eastAsia" w:ascii="宋体" w:hAnsi="宋体" w:eastAsia="宋体" w:cs="宋体"/>
          <w:color w:val="000000"/>
          <w:sz w:val="21"/>
          <w:szCs w:val="21"/>
          <w:highlight w:val="none"/>
        </w:rPr>
        <w:t>；</w:t>
      </w:r>
    </w:p>
    <w:p w14:paraId="2A42DD6B">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资质类别和等级：</w:t>
      </w:r>
      <w:r>
        <w:rPr>
          <w:rFonts w:hint="eastAsia" w:ascii="宋体" w:hAnsi="宋体" w:eastAsia="宋体" w:cs="宋体"/>
          <w:color w:val="000000"/>
          <w:sz w:val="21"/>
          <w:szCs w:val="21"/>
          <w:highlight w:val="none"/>
          <w:u w:val="single"/>
        </w:rPr>
        <w:t>               </w:t>
      </w:r>
      <w:r>
        <w:rPr>
          <w:rFonts w:hint="eastAsia" w:ascii="宋体" w:hAnsi="宋体" w:eastAsia="宋体" w:cs="宋体"/>
          <w:color w:val="000000"/>
          <w:sz w:val="21"/>
          <w:szCs w:val="21"/>
          <w:highlight w:val="none"/>
        </w:rPr>
        <w:t>；</w:t>
      </w:r>
    </w:p>
    <w:p w14:paraId="362B4F5F">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rPr>
        <w:t>                 </w:t>
      </w:r>
      <w:r>
        <w:rPr>
          <w:rFonts w:hint="eastAsia" w:ascii="宋体" w:hAnsi="宋体" w:eastAsia="宋体" w:cs="宋体"/>
          <w:color w:val="000000"/>
          <w:sz w:val="21"/>
          <w:szCs w:val="21"/>
          <w:highlight w:val="none"/>
        </w:rPr>
        <w:t>；</w:t>
      </w:r>
    </w:p>
    <w:p w14:paraId="4461F5A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xml:space="preserve">                    </w:t>
      </w:r>
      <w:r>
        <w:rPr>
          <w:rFonts w:hint="eastAsia" w:ascii="宋体" w:hAnsi="宋体" w:eastAsia="宋体" w:cs="宋体"/>
          <w:color w:val="000000"/>
          <w:sz w:val="21"/>
          <w:szCs w:val="21"/>
          <w:highlight w:val="none"/>
        </w:rPr>
        <w:t>；</w:t>
      </w:r>
    </w:p>
    <w:p w14:paraId="4CA4E198">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01F81940">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 工程和设备</w:t>
      </w:r>
    </w:p>
    <w:p w14:paraId="375C167E">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1.1.3.7 作为施工现场组成部分的其他场所包括：</w:t>
      </w:r>
      <w:r>
        <w:rPr>
          <w:rFonts w:hint="eastAsia" w:ascii="宋体" w:hAnsi="宋体" w:eastAsia="宋体" w:cs="宋体"/>
          <w:color w:val="000000"/>
          <w:sz w:val="21"/>
          <w:szCs w:val="21"/>
          <w:highlight w:val="none"/>
          <w:u w:val="single"/>
        </w:rPr>
        <w:t xml:space="preserve">永久占地和临时占地  </w:t>
      </w:r>
      <w:r>
        <w:rPr>
          <w:rFonts w:hint="eastAsia" w:ascii="宋体" w:hAnsi="宋体" w:eastAsia="宋体" w:cs="宋体"/>
          <w:color w:val="000000"/>
          <w:sz w:val="21"/>
          <w:szCs w:val="21"/>
          <w:highlight w:val="none"/>
        </w:rPr>
        <w:t>。</w:t>
      </w:r>
    </w:p>
    <w:p w14:paraId="55FE5E0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1.1.3.9 永久占地包括：</w:t>
      </w:r>
      <w:r>
        <w:rPr>
          <w:rFonts w:hint="eastAsia" w:ascii="宋体" w:hAnsi="宋体" w:eastAsia="宋体" w:cs="宋体"/>
          <w:color w:val="000000"/>
          <w:sz w:val="21"/>
          <w:szCs w:val="21"/>
          <w:highlight w:val="none"/>
          <w:u w:val="single"/>
        </w:rPr>
        <w:t xml:space="preserve">  通用条款1.1.3.9 执行    </w:t>
      </w:r>
      <w:r>
        <w:rPr>
          <w:rFonts w:hint="eastAsia" w:ascii="宋体" w:hAnsi="宋体" w:eastAsia="宋体" w:cs="宋体"/>
          <w:color w:val="000000"/>
          <w:sz w:val="21"/>
          <w:szCs w:val="21"/>
          <w:highlight w:val="none"/>
        </w:rPr>
        <w:t>。</w:t>
      </w:r>
    </w:p>
    <w:p w14:paraId="70BD6FD4">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1.1.3.10 临时占地包括：</w:t>
      </w:r>
      <w:r>
        <w:rPr>
          <w:rStyle w:val="24"/>
          <w:rFonts w:hint="eastAsia" w:ascii="Calibri" w:hAnsi="Calibri" w:eastAsia="宋体" w:cs="Times New Roman"/>
          <w:color w:val="auto"/>
          <w:highlight w:val="none"/>
          <w:u w:val="single"/>
        </w:rPr>
        <w:t>现场临时生活区、材料堆放场地、临时道路</w:t>
      </w:r>
      <w:r>
        <w:rPr>
          <w:rFonts w:hint="eastAsia" w:ascii="宋体" w:hAnsi="宋体" w:eastAsia="宋体" w:cs="宋体"/>
          <w:color w:val="000000"/>
          <w:sz w:val="21"/>
          <w:szCs w:val="21"/>
          <w:highlight w:val="none"/>
        </w:rPr>
        <w:t>。</w:t>
      </w:r>
    </w:p>
    <w:p w14:paraId="3721635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08" w:name="_Toc389065260"/>
      <w:bookmarkStart w:id="109" w:name="_Toc5337"/>
      <w:bookmarkStart w:id="110" w:name="_Toc373478341"/>
      <w:bookmarkStart w:id="111" w:name="_Toc373227694"/>
      <w:r>
        <w:rPr>
          <w:rFonts w:hint="eastAsia" w:ascii="宋体" w:hAnsi="宋体" w:eastAsia="宋体" w:cs="宋体"/>
          <w:color w:val="000000"/>
          <w:sz w:val="21"/>
          <w:szCs w:val="21"/>
          <w:highlight w:val="none"/>
        </w:rPr>
        <w:t>1.3 法律</w:t>
      </w:r>
      <w:bookmarkEnd w:id="108"/>
      <w:bookmarkEnd w:id="109"/>
      <w:bookmarkEnd w:id="110"/>
      <w:bookmarkEnd w:id="111"/>
    </w:p>
    <w:p w14:paraId="0F4F0A2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适用于合同的其他规范性文件：</w:t>
      </w:r>
      <w:r>
        <w:rPr>
          <w:rStyle w:val="24"/>
          <w:rFonts w:hint="eastAsia" w:ascii="Calibri" w:hAnsi="宋体" w:eastAsia="宋体" w:cs="Times New Roman"/>
          <w:color w:val="auto"/>
          <w:highlight w:val="none"/>
          <w:u w:val="single"/>
        </w:rPr>
        <w:t>国家、广西壮族自治区及建设行政主管部门颁布的现行法律、行政法规及其它规范性文件</w:t>
      </w:r>
      <w:r>
        <w:rPr>
          <w:rFonts w:hint="eastAsia" w:ascii="宋体" w:hAnsi="宋体" w:eastAsia="宋体" w:cs="宋体"/>
          <w:color w:val="000000"/>
          <w:sz w:val="21"/>
          <w:szCs w:val="21"/>
          <w:highlight w:val="none"/>
        </w:rPr>
        <w:t>。</w:t>
      </w:r>
    </w:p>
    <w:p w14:paraId="436B7989">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12" w:name="_Toc12820"/>
      <w:bookmarkStart w:id="113" w:name="_Toc389065261"/>
      <w:bookmarkStart w:id="114" w:name="_Toc373227695"/>
      <w:bookmarkStart w:id="115" w:name="_Toc373478342"/>
      <w:r>
        <w:rPr>
          <w:rFonts w:hint="eastAsia" w:ascii="宋体" w:hAnsi="宋体" w:eastAsia="宋体" w:cs="宋体"/>
          <w:color w:val="000000"/>
          <w:sz w:val="21"/>
          <w:szCs w:val="21"/>
          <w:highlight w:val="none"/>
        </w:rPr>
        <w:t>1.4 标准和规范</w:t>
      </w:r>
      <w:bookmarkEnd w:id="112"/>
      <w:bookmarkEnd w:id="113"/>
      <w:bookmarkEnd w:id="114"/>
      <w:bookmarkEnd w:id="115"/>
    </w:p>
    <w:p w14:paraId="683DEB2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1.4.1 适用于工程的标准规范包括：</w:t>
      </w:r>
      <w:r>
        <w:rPr>
          <w:rFonts w:hint="eastAsia" w:ascii="宋体" w:hAnsi="宋体" w:eastAsia="宋体" w:cs="宋体"/>
          <w:color w:val="000000"/>
          <w:sz w:val="21"/>
          <w:szCs w:val="21"/>
          <w:highlight w:val="none"/>
          <w:u w:val="single"/>
        </w:rPr>
        <w:t xml:space="preserve">按通用条款1.4.1条执行 </w:t>
      </w:r>
      <w:r>
        <w:rPr>
          <w:rFonts w:hint="eastAsia" w:ascii="宋体" w:hAnsi="宋体" w:eastAsia="宋体" w:cs="宋体"/>
          <w:color w:val="000000"/>
          <w:sz w:val="21"/>
          <w:szCs w:val="21"/>
          <w:highlight w:val="none"/>
        </w:rPr>
        <w:t>。</w:t>
      </w:r>
    </w:p>
    <w:p w14:paraId="71515870">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1.4.2 发包人提供国外标准、规范的名称：</w:t>
      </w:r>
      <w:r>
        <w:rPr>
          <w:rFonts w:hint="eastAsia" w:ascii="宋体" w:hAnsi="宋体" w:eastAsia="宋体" w:cs="宋体"/>
          <w:color w:val="000000"/>
          <w:sz w:val="21"/>
          <w:szCs w:val="21"/>
          <w:highlight w:val="none"/>
          <w:u w:val="single"/>
        </w:rPr>
        <w:t xml:space="preserve">无  </w:t>
      </w:r>
      <w:r>
        <w:rPr>
          <w:rFonts w:hint="eastAsia" w:ascii="宋体" w:hAnsi="宋体" w:eastAsia="宋体" w:cs="宋体"/>
          <w:color w:val="000000"/>
          <w:sz w:val="21"/>
          <w:szCs w:val="21"/>
          <w:highlight w:val="none"/>
        </w:rPr>
        <w:t>；</w:t>
      </w:r>
    </w:p>
    <w:p w14:paraId="1A5E6C0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发包人提供国外标准、规范的份数：</w:t>
      </w:r>
      <w:r>
        <w:rPr>
          <w:rFonts w:hint="eastAsia" w:ascii="宋体" w:hAnsi="宋体" w:eastAsia="宋体" w:cs="宋体"/>
          <w:color w:val="000000"/>
          <w:sz w:val="21"/>
          <w:szCs w:val="21"/>
          <w:highlight w:val="none"/>
          <w:u w:val="single"/>
        </w:rPr>
        <w:t xml:space="preserve">  无    </w:t>
      </w:r>
      <w:r>
        <w:rPr>
          <w:rFonts w:hint="eastAsia" w:ascii="宋体" w:hAnsi="宋体" w:eastAsia="宋体" w:cs="宋体"/>
          <w:color w:val="000000"/>
          <w:sz w:val="21"/>
          <w:szCs w:val="21"/>
          <w:highlight w:val="none"/>
        </w:rPr>
        <w:t>；</w:t>
      </w:r>
    </w:p>
    <w:p w14:paraId="43D68DC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发包人提供国外标准、规范的名称：</w:t>
      </w:r>
      <w:r>
        <w:rPr>
          <w:rFonts w:hint="eastAsia" w:ascii="宋体" w:hAnsi="宋体" w:eastAsia="宋体" w:cs="宋体"/>
          <w:color w:val="000000"/>
          <w:sz w:val="21"/>
          <w:szCs w:val="21"/>
          <w:highlight w:val="none"/>
          <w:u w:val="single"/>
        </w:rPr>
        <w:t xml:space="preserve">  无     </w:t>
      </w:r>
      <w:r>
        <w:rPr>
          <w:rFonts w:hint="eastAsia" w:ascii="宋体" w:hAnsi="宋体" w:eastAsia="宋体" w:cs="宋体"/>
          <w:color w:val="000000"/>
          <w:sz w:val="21"/>
          <w:szCs w:val="21"/>
          <w:highlight w:val="none"/>
        </w:rPr>
        <w:t>。</w:t>
      </w:r>
    </w:p>
    <w:p w14:paraId="307543C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1.4.3 发包人对工程的技术标准和功能要求的特殊要求：</w:t>
      </w:r>
      <w:r>
        <w:rPr>
          <w:rFonts w:hint="eastAsia" w:ascii="宋体" w:hAnsi="宋体" w:eastAsia="宋体" w:cs="宋体"/>
          <w:color w:val="000000"/>
          <w:sz w:val="21"/>
          <w:szCs w:val="21"/>
          <w:highlight w:val="none"/>
          <w:u w:val="single"/>
        </w:rPr>
        <w:t xml:space="preserve">无   </w:t>
      </w:r>
      <w:r>
        <w:rPr>
          <w:rFonts w:hint="eastAsia" w:ascii="宋体" w:hAnsi="宋体" w:eastAsia="宋体" w:cs="宋体"/>
          <w:color w:val="000000"/>
          <w:sz w:val="21"/>
          <w:szCs w:val="21"/>
          <w:highlight w:val="none"/>
        </w:rPr>
        <w:t>。</w:t>
      </w:r>
    </w:p>
    <w:p w14:paraId="2F67C739">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16" w:name="_Toc373478343"/>
      <w:bookmarkStart w:id="117" w:name="_Toc373227696"/>
      <w:bookmarkStart w:id="118" w:name="_Toc15264"/>
      <w:bookmarkStart w:id="119" w:name="_Toc389065262"/>
      <w:r>
        <w:rPr>
          <w:rFonts w:hint="eastAsia" w:ascii="宋体" w:hAnsi="宋体" w:eastAsia="宋体" w:cs="宋体"/>
          <w:color w:val="000000"/>
          <w:sz w:val="21"/>
          <w:szCs w:val="21"/>
          <w:highlight w:val="none"/>
        </w:rPr>
        <w:t>1.5 合同文件的优先顺序</w:t>
      </w:r>
      <w:bookmarkEnd w:id="116"/>
      <w:bookmarkEnd w:id="117"/>
      <w:bookmarkEnd w:id="118"/>
      <w:bookmarkEnd w:id="119"/>
    </w:p>
    <w:p w14:paraId="0760D70C">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合同文件组成及优先顺序为：</w:t>
      </w:r>
    </w:p>
    <w:p w14:paraId="61CEFEDC">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（1）合同协议书；</w:t>
      </w:r>
    </w:p>
    <w:p w14:paraId="7840DE5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成交</w:t>
      </w:r>
      <w:r>
        <w:rPr>
          <w:rFonts w:hint="eastAsia" w:ascii="宋体" w:hAnsi="宋体" w:eastAsia="宋体" w:cs="宋体"/>
          <w:color w:val="000000"/>
          <w:sz w:val="21"/>
          <w:szCs w:val="21"/>
          <w:highlight w:val="none"/>
        </w:rPr>
        <w:t>通知书；</w:t>
      </w:r>
    </w:p>
    <w:p w14:paraId="5BA4EE9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响应函及响应报价表</w:t>
      </w:r>
      <w:r>
        <w:rPr>
          <w:rFonts w:hint="eastAsia" w:ascii="宋体" w:hAnsi="宋体" w:eastAsia="宋体" w:cs="宋体"/>
          <w:color w:val="000000"/>
          <w:sz w:val="21"/>
          <w:szCs w:val="21"/>
          <w:highlight w:val="none"/>
        </w:rPr>
        <w:t>；</w:t>
      </w:r>
    </w:p>
    <w:p w14:paraId="59623DEF">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（4）专用合同条款及其附件；</w:t>
      </w:r>
    </w:p>
    <w:p w14:paraId="237856D0">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（5）通用合同条款；</w:t>
      </w:r>
    </w:p>
    <w:p w14:paraId="2D5120FD">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u w:val="single"/>
        </w:rPr>
        <w:t xml:space="preserve"> 技术标准和要求 </w:t>
      </w:r>
      <w:r>
        <w:rPr>
          <w:rFonts w:hint="eastAsia" w:ascii="宋体" w:hAnsi="宋体" w:eastAsia="宋体" w:cs="宋体"/>
          <w:color w:val="000000"/>
          <w:sz w:val="21"/>
          <w:szCs w:val="21"/>
          <w:highlight w:val="none"/>
        </w:rPr>
        <w:t>；</w:t>
      </w:r>
    </w:p>
    <w:p w14:paraId="6A721C0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u w:val="single"/>
        </w:rPr>
        <w:t xml:space="preserve">  图纸  </w:t>
      </w:r>
      <w:r>
        <w:rPr>
          <w:rFonts w:hint="eastAsia" w:ascii="宋体" w:hAnsi="宋体" w:eastAsia="宋体" w:cs="宋体"/>
          <w:color w:val="000000"/>
          <w:sz w:val="21"/>
          <w:szCs w:val="21"/>
          <w:highlight w:val="none"/>
        </w:rPr>
        <w:t>；</w:t>
      </w:r>
    </w:p>
    <w:p w14:paraId="01E20925">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r>
        <w:rPr>
          <w:rFonts w:hint="eastAsia" w:ascii="宋体" w:hAnsi="宋体" w:eastAsia="宋体" w:cs="宋体"/>
          <w:color w:val="000000"/>
          <w:sz w:val="21"/>
          <w:szCs w:val="21"/>
          <w:highlight w:val="none"/>
          <w:u w:val="single"/>
        </w:rPr>
        <w:t xml:space="preserve">  已标价工程量清单</w:t>
      </w:r>
      <w:r>
        <w:rPr>
          <w:rFonts w:hint="eastAsia" w:ascii="宋体" w:hAnsi="宋体" w:eastAsia="宋体" w:cs="宋体"/>
          <w:color w:val="000000"/>
          <w:sz w:val="21"/>
          <w:szCs w:val="21"/>
          <w:highlight w:val="none"/>
        </w:rPr>
        <w:t xml:space="preserve">  ；</w:t>
      </w:r>
    </w:p>
    <w:p w14:paraId="5422D3DB">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 (适用于实行工程量清单计价的项目) ；</w:t>
      </w:r>
    </w:p>
    <w:p w14:paraId="7BBCEB9A">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w:t>
      </w:r>
      <w:r>
        <w:rPr>
          <w:rFonts w:hint="eastAsia" w:ascii="宋体" w:hAnsi="宋体" w:eastAsia="宋体" w:cs="宋体"/>
          <w:color w:val="000000"/>
          <w:sz w:val="21"/>
          <w:szCs w:val="21"/>
          <w:highlight w:val="none"/>
          <w:u w:val="single"/>
        </w:rPr>
        <w:t xml:space="preserve">其他合同文件  </w:t>
      </w:r>
      <w:r>
        <w:rPr>
          <w:rFonts w:hint="eastAsia" w:ascii="宋体" w:hAnsi="宋体" w:eastAsia="宋体" w:cs="宋体"/>
          <w:color w:val="000000"/>
          <w:sz w:val="21"/>
          <w:szCs w:val="21"/>
          <w:highlight w:val="none"/>
        </w:rPr>
        <w:t>。</w:t>
      </w:r>
    </w:p>
    <w:p w14:paraId="665D0E18">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上述各项合同文件包括合同当事人就该项合同文件所作出的补充和修改，属于同一类内容的文件，应以最新签署的为准（违反</w:t>
      </w:r>
      <w:r>
        <w:rPr>
          <w:rFonts w:hint="eastAsia" w:ascii="宋体" w:hAnsi="宋体" w:eastAsia="宋体" w:cs="宋体"/>
          <w:color w:val="000000"/>
          <w:sz w:val="21"/>
          <w:szCs w:val="21"/>
          <w:highlight w:val="none"/>
          <w:lang w:val="en-US" w:eastAsia="zh-CN"/>
        </w:rPr>
        <w:t>竞争性磋商</w:t>
      </w:r>
      <w:r>
        <w:rPr>
          <w:rFonts w:hint="eastAsia" w:ascii="宋体" w:hAnsi="宋体" w:eastAsia="宋体" w:cs="宋体"/>
          <w:color w:val="000000"/>
          <w:sz w:val="21"/>
          <w:szCs w:val="21"/>
          <w:highlight w:val="none"/>
        </w:rPr>
        <w:t>文件实质性内容的约定除外）。专用合同条款及其附件须经合同当事人签字或盖章。</w:t>
      </w:r>
    </w:p>
    <w:p w14:paraId="176D4317">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说明：（6）、（7）、（8）、（10）填空内容分别限于技术标准和要求、图纸、已标价工程量清单或预算书、其他合同文件四者之一，其优先顺序可根据采取的不同合同方式由双方约定。</w:t>
      </w:r>
    </w:p>
    <w:p w14:paraId="3C43D866">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20" w:name="_Toc373227697"/>
      <w:bookmarkStart w:id="121" w:name="_Toc389065263"/>
      <w:bookmarkStart w:id="122" w:name="_Toc373478344"/>
      <w:bookmarkStart w:id="123" w:name="_Toc4783"/>
      <w:r>
        <w:rPr>
          <w:rFonts w:hint="eastAsia" w:ascii="宋体" w:hAnsi="宋体" w:eastAsia="宋体" w:cs="宋体"/>
          <w:color w:val="000000"/>
          <w:sz w:val="21"/>
          <w:szCs w:val="21"/>
          <w:highlight w:val="none"/>
        </w:rPr>
        <w:t>1.6 图纸和承包人文件</w:t>
      </w:r>
      <w:bookmarkEnd w:id="120"/>
      <w:bookmarkEnd w:id="121"/>
      <w:bookmarkEnd w:id="122"/>
      <w:bookmarkEnd w:id="123"/>
      <w:r>
        <w:rPr>
          <w:rFonts w:hint="eastAsia" w:ascii="宋体" w:hAnsi="宋体" w:eastAsia="宋体" w:cs="宋体"/>
          <w:color w:val="000000"/>
          <w:sz w:val="21"/>
          <w:szCs w:val="21"/>
          <w:highlight w:val="none"/>
        </w:rPr>
        <w:tab/>
      </w:r>
    </w:p>
    <w:p w14:paraId="6EF68BEA">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1.6.1 图纸的提供</w:t>
      </w:r>
    </w:p>
    <w:p w14:paraId="60785781">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发包人向承包人提供图纸的期限：</w:t>
      </w:r>
      <w:r>
        <w:rPr>
          <w:rFonts w:hint="eastAsia" w:ascii="宋体" w:hAnsi="宋体" w:eastAsia="宋体" w:cs="宋体"/>
          <w:color w:val="000000"/>
          <w:sz w:val="21"/>
          <w:szCs w:val="21"/>
          <w:highlight w:val="none"/>
          <w:u w:val="single"/>
        </w:rPr>
        <w:t>开工前</w:t>
      </w:r>
      <w:r>
        <w:rPr>
          <w:rFonts w:hint="eastAsia" w:ascii="宋体" w:hAnsi="宋体" w:eastAsia="宋体" w:cs="宋体"/>
          <w:color w:val="000000"/>
          <w:sz w:val="21"/>
          <w:szCs w:val="21"/>
          <w:highlight w:val="none"/>
          <w:u w:val="single"/>
          <w:lang w:val="en-US" w:eastAsia="zh-CN"/>
        </w:rPr>
        <w:t>7个工作日</w:t>
      </w:r>
      <w:r>
        <w:rPr>
          <w:rFonts w:hint="eastAsia" w:ascii="宋体" w:hAnsi="宋体" w:eastAsia="宋体" w:cs="宋体"/>
          <w:color w:val="000000"/>
          <w:sz w:val="21"/>
          <w:szCs w:val="21"/>
          <w:highlight w:val="none"/>
          <w:u w:val="single"/>
        </w:rPr>
        <w:t>内</w:t>
      </w:r>
      <w:r>
        <w:rPr>
          <w:rFonts w:hint="eastAsia" w:ascii="宋体" w:hAnsi="宋体" w:eastAsia="宋体" w:cs="宋体"/>
          <w:color w:val="000000"/>
          <w:sz w:val="21"/>
          <w:szCs w:val="21"/>
          <w:highlight w:val="none"/>
        </w:rPr>
        <w:t>；</w:t>
      </w:r>
    </w:p>
    <w:p w14:paraId="434A118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发包人向承包人提供图纸的数量：</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一式贰</w:t>
      </w:r>
      <w:r>
        <w:rPr>
          <w:rFonts w:hint="eastAsia" w:ascii="宋体" w:hAnsi="宋体" w:eastAsia="宋体" w:cs="宋体"/>
          <w:color w:val="000000"/>
          <w:sz w:val="21"/>
          <w:szCs w:val="21"/>
          <w:highlight w:val="none"/>
          <w:u w:val="single"/>
        </w:rPr>
        <w:t>套，承包人需要增加图纸套数的，发包人应代为复制，复制费用由承包人承担</w:t>
      </w:r>
      <w:r>
        <w:rPr>
          <w:rFonts w:hint="eastAsia" w:ascii="宋体" w:hAnsi="宋体" w:eastAsia="宋体" w:cs="宋体"/>
          <w:color w:val="000000"/>
          <w:sz w:val="21"/>
          <w:szCs w:val="21"/>
          <w:highlight w:val="none"/>
        </w:rPr>
        <w:t>；</w:t>
      </w:r>
    </w:p>
    <w:p w14:paraId="46241DAA">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发包人向承包人提供图纸的内容：</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经施工图审查通过的施工图纸</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w:t>
      </w:r>
    </w:p>
    <w:p w14:paraId="61D96738">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1.6.4 承包人文件</w:t>
      </w:r>
    </w:p>
    <w:p w14:paraId="3E8A49A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需要由承包人提供的文件，包括：</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rPr>
        <w:t>1）提交施工组织设计（施工方案）；（2）提交符合规定的工程总进度计划；（3）进度计划和相应的进度统计报表</w:t>
      </w:r>
      <w:r>
        <w:rPr>
          <w:rFonts w:hint="eastAsia" w:ascii="宋体" w:hAnsi="宋体" w:eastAsia="宋体" w:cs="宋体"/>
          <w:color w:val="000000"/>
          <w:sz w:val="21"/>
          <w:szCs w:val="21"/>
          <w:highlight w:val="none"/>
        </w:rPr>
        <w:t>；</w:t>
      </w:r>
    </w:p>
    <w:p w14:paraId="014B7C8B">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rPr>
        <w:t>承包人提供的文件的期限为：</w:t>
      </w:r>
      <w:r>
        <w:rPr>
          <w:rFonts w:hint="eastAsia" w:ascii="宋体" w:hAnsi="宋体" w:eastAsia="宋体" w:cs="宋体"/>
          <w:color w:val="000000"/>
          <w:sz w:val="21"/>
          <w:szCs w:val="21"/>
          <w:highlight w:val="none"/>
          <w:u w:val="single"/>
        </w:rPr>
        <w:t>（1）收到发包人全部设计图纸后3天内提供；（2）在开工前7天；月报表每月25日前提交</w:t>
      </w:r>
      <w:r>
        <w:rPr>
          <w:rFonts w:hint="eastAsia" w:ascii="宋体" w:hAnsi="宋体" w:eastAsia="宋体" w:cs="宋体"/>
          <w:color w:val="000000"/>
          <w:sz w:val="21"/>
          <w:szCs w:val="21"/>
          <w:highlight w:val="none"/>
        </w:rPr>
        <w:t>；</w:t>
      </w:r>
    </w:p>
    <w:p w14:paraId="0AAB0800">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承包人提供的文件的数量为：</w:t>
      </w:r>
      <w:r>
        <w:rPr>
          <w:rFonts w:hint="eastAsia" w:ascii="宋体" w:hAnsi="宋体" w:eastAsia="宋体" w:cs="宋体"/>
          <w:color w:val="000000"/>
          <w:sz w:val="21"/>
          <w:szCs w:val="21"/>
          <w:highlight w:val="none"/>
          <w:u w:val="single"/>
          <w:lang w:val="en-US" w:eastAsia="zh-CN"/>
        </w:rPr>
        <w:t>一式贰</w:t>
      </w:r>
      <w:r>
        <w:rPr>
          <w:rFonts w:hint="eastAsia" w:ascii="宋体" w:hAnsi="宋体" w:eastAsia="宋体" w:cs="宋体"/>
          <w:color w:val="000000"/>
          <w:sz w:val="21"/>
          <w:szCs w:val="21"/>
          <w:highlight w:val="none"/>
          <w:u w:val="single"/>
        </w:rPr>
        <w:t>套</w:t>
      </w:r>
      <w:r>
        <w:rPr>
          <w:rFonts w:hint="eastAsia" w:ascii="宋体" w:hAnsi="宋体" w:eastAsia="宋体" w:cs="宋体"/>
          <w:color w:val="000000"/>
          <w:sz w:val="21"/>
          <w:szCs w:val="21"/>
          <w:highlight w:val="none"/>
        </w:rPr>
        <w:t>；</w:t>
      </w:r>
    </w:p>
    <w:p w14:paraId="4828635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承包人提供的文件的形式为：</w:t>
      </w:r>
      <w:r>
        <w:rPr>
          <w:rFonts w:hint="eastAsia" w:ascii="宋体" w:hAnsi="宋体" w:eastAsia="宋体" w:cs="宋体"/>
          <w:color w:val="000000"/>
          <w:sz w:val="21"/>
          <w:szCs w:val="21"/>
          <w:highlight w:val="none"/>
          <w:u w:val="single"/>
        </w:rPr>
        <w:t>书面材料</w:t>
      </w:r>
      <w:r>
        <w:rPr>
          <w:rFonts w:hint="eastAsia" w:ascii="宋体" w:hAnsi="宋体" w:eastAsia="宋体" w:cs="宋体"/>
          <w:color w:val="000000"/>
          <w:sz w:val="21"/>
          <w:szCs w:val="21"/>
          <w:highlight w:val="none"/>
        </w:rPr>
        <w:t>；</w:t>
      </w:r>
    </w:p>
    <w:p w14:paraId="0C4859A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发包人审批承包人文件的期限：</w:t>
      </w:r>
      <w:r>
        <w:rPr>
          <w:rFonts w:hint="eastAsia" w:ascii="宋体" w:hAnsi="宋体" w:eastAsia="宋体" w:cs="宋体"/>
          <w:color w:val="000000"/>
          <w:sz w:val="21"/>
          <w:szCs w:val="21"/>
          <w:highlight w:val="none"/>
          <w:u w:val="single"/>
        </w:rPr>
        <w:t>收到后7</w:t>
      </w:r>
      <w:r>
        <w:rPr>
          <w:rFonts w:hint="eastAsia" w:ascii="宋体" w:hAnsi="宋体" w:eastAsia="宋体" w:cs="宋体"/>
          <w:color w:val="000000"/>
          <w:sz w:val="21"/>
          <w:szCs w:val="21"/>
          <w:highlight w:val="none"/>
          <w:u w:val="single"/>
          <w:lang w:val="en-US" w:eastAsia="zh-CN"/>
        </w:rPr>
        <w:t>个工作日</w:t>
      </w:r>
      <w:r>
        <w:rPr>
          <w:rFonts w:hint="eastAsia" w:ascii="宋体" w:hAnsi="宋体" w:eastAsia="宋体" w:cs="宋体"/>
          <w:color w:val="000000"/>
          <w:sz w:val="21"/>
          <w:szCs w:val="21"/>
          <w:highlight w:val="none"/>
          <w:u w:val="single"/>
        </w:rPr>
        <w:t>内</w:t>
      </w:r>
      <w:r>
        <w:rPr>
          <w:rFonts w:hint="eastAsia" w:ascii="宋体" w:hAnsi="宋体" w:eastAsia="宋体" w:cs="宋体"/>
          <w:color w:val="000000"/>
          <w:sz w:val="21"/>
          <w:szCs w:val="21"/>
          <w:highlight w:val="none"/>
        </w:rPr>
        <w:t>。</w:t>
      </w:r>
    </w:p>
    <w:p w14:paraId="6656CCBF">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1.6.5 现场图纸准备</w:t>
      </w:r>
    </w:p>
    <w:p w14:paraId="320C493E">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关于现场图纸准备的约定：</w:t>
      </w:r>
      <w:r>
        <w:rPr>
          <w:rFonts w:hint="eastAsia" w:ascii="宋体" w:hAnsi="宋体" w:eastAsia="宋体" w:cs="宋体"/>
          <w:color w:val="000000"/>
          <w:sz w:val="21"/>
          <w:szCs w:val="21"/>
          <w:highlight w:val="none"/>
          <w:u w:val="single"/>
        </w:rPr>
        <w:t>按通用条款1.6.5条执行</w:t>
      </w:r>
      <w:r>
        <w:rPr>
          <w:rFonts w:hint="eastAsia" w:ascii="宋体" w:hAnsi="宋体" w:eastAsia="宋体" w:cs="宋体"/>
          <w:color w:val="000000"/>
          <w:sz w:val="21"/>
          <w:szCs w:val="21"/>
          <w:highlight w:val="none"/>
        </w:rPr>
        <w:t>。</w:t>
      </w:r>
    </w:p>
    <w:p w14:paraId="7B13AC29">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24" w:name="_Toc373227698"/>
      <w:bookmarkStart w:id="125" w:name="_Toc11291"/>
      <w:bookmarkStart w:id="126" w:name="_Toc389065264"/>
      <w:bookmarkStart w:id="127" w:name="_Toc373478345"/>
      <w:r>
        <w:rPr>
          <w:rFonts w:hint="eastAsia" w:ascii="宋体" w:hAnsi="宋体" w:eastAsia="宋体" w:cs="宋体"/>
          <w:color w:val="000000"/>
          <w:sz w:val="21"/>
          <w:szCs w:val="21"/>
          <w:highlight w:val="none"/>
        </w:rPr>
        <w:t>1.7 联络</w:t>
      </w:r>
      <w:bookmarkEnd w:id="124"/>
      <w:bookmarkEnd w:id="125"/>
      <w:bookmarkEnd w:id="126"/>
      <w:bookmarkEnd w:id="127"/>
    </w:p>
    <w:p w14:paraId="6759A37A">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1.7.1发包人和承包人应当在</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天内将与合同有关的通知、批准、证明、证书、指示、指令、要求、请求、同意、意见、确定和决定等书面函件送达对方当事人。</w:t>
      </w:r>
    </w:p>
    <w:p w14:paraId="5CBD1335">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1.7.2 发包人接收文件的地点：</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发包人指定地点</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w:t>
      </w:r>
    </w:p>
    <w:p w14:paraId="7A128AE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发包人指定的接收人为：</w:t>
      </w:r>
      <w:r>
        <w:rPr>
          <w:rFonts w:hint="eastAsia" w:ascii="宋体" w:hAnsi="宋体" w:eastAsia="宋体" w:cs="宋体"/>
          <w:color w:val="000000"/>
          <w:sz w:val="21"/>
          <w:szCs w:val="21"/>
          <w:highlight w:val="none"/>
          <w:u w:val="single"/>
        </w:rPr>
        <w:t>业主代表（现场）    </w:t>
      </w:r>
      <w:r>
        <w:rPr>
          <w:rFonts w:hint="eastAsia" w:ascii="宋体" w:hAnsi="宋体" w:eastAsia="宋体" w:cs="宋体"/>
          <w:color w:val="000000"/>
          <w:sz w:val="21"/>
          <w:szCs w:val="21"/>
          <w:highlight w:val="none"/>
        </w:rPr>
        <w:t>。</w:t>
      </w:r>
    </w:p>
    <w:p w14:paraId="2AEF66D9">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承包人接收文件的地点：</w:t>
      </w:r>
      <w:r>
        <w:rPr>
          <w:rFonts w:hint="eastAsia" w:ascii="宋体" w:hAnsi="宋体" w:eastAsia="宋体" w:cs="宋体"/>
          <w:color w:val="000000"/>
          <w:sz w:val="21"/>
          <w:szCs w:val="21"/>
          <w:highlight w:val="none"/>
          <w:u w:val="single"/>
        </w:rPr>
        <w:t>承包人施工场地管理机构的办公地点</w:t>
      </w:r>
      <w:r>
        <w:rPr>
          <w:rFonts w:hint="eastAsia" w:ascii="宋体" w:hAnsi="宋体" w:eastAsia="宋体" w:cs="宋体"/>
          <w:color w:val="000000"/>
          <w:sz w:val="21"/>
          <w:szCs w:val="21"/>
          <w:highlight w:val="none"/>
        </w:rPr>
        <w:t>；</w:t>
      </w:r>
    </w:p>
    <w:p w14:paraId="5F889615">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承包人指定的接收人为：</w:t>
      </w:r>
      <w:r>
        <w:rPr>
          <w:rFonts w:hint="eastAsia" w:ascii="宋体" w:hAnsi="宋体" w:eastAsia="宋体" w:cs="宋体"/>
          <w:color w:val="000000"/>
          <w:sz w:val="21"/>
          <w:szCs w:val="21"/>
          <w:highlight w:val="none"/>
          <w:u w:val="single"/>
        </w:rPr>
        <w:t>项目经理或资料员</w:t>
      </w:r>
      <w:r>
        <w:rPr>
          <w:rFonts w:hint="eastAsia" w:ascii="宋体" w:hAnsi="宋体" w:eastAsia="宋体" w:cs="宋体"/>
          <w:color w:val="000000"/>
          <w:sz w:val="21"/>
          <w:szCs w:val="21"/>
          <w:highlight w:val="none"/>
        </w:rPr>
        <w:t>。</w:t>
      </w:r>
    </w:p>
    <w:p w14:paraId="3A4EC668">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监理人接收文件的地点：</w:t>
      </w:r>
      <w:r>
        <w:rPr>
          <w:rFonts w:hint="eastAsia" w:ascii="宋体" w:hAnsi="宋体" w:eastAsia="宋体" w:cs="宋体"/>
          <w:color w:val="000000"/>
          <w:sz w:val="21"/>
          <w:szCs w:val="21"/>
          <w:highlight w:val="none"/>
          <w:u w:val="single"/>
        </w:rPr>
        <w:t>施工现场监理人办公地点 </w:t>
      </w:r>
      <w:r>
        <w:rPr>
          <w:rFonts w:hint="eastAsia" w:ascii="宋体" w:hAnsi="宋体" w:eastAsia="宋体" w:cs="宋体"/>
          <w:color w:val="000000"/>
          <w:sz w:val="21"/>
          <w:szCs w:val="21"/>
          <w:highlight w:val="none"/>
        </w:rPr>
        <w:t>；</w:t>
      </w:r>
    </w:p>
    <w:p w14:paraId="1024C3E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监理人指定的接收人为：</w:t>
      </w:r>
      <w:r>
        <w:rPr>
          <w:rFonts w:hint="eastAsia" w:ascii="宋体" w:hAnsi="宋体" w:eastAsia="宋体" w:cs="宋体"/>
          <w:color w:val="000000"/>
          <w:sz w:val="21"/>
          <w:szCs w:val="21"/>
          <w:highlight w:val="none"/>
          <w:u w:val="single"/>
        </w:rPr>
        <w:t>总监理工程师或总监代表  </w:t>
      </w:r>
      <w:r>
        <w:rPr>
          <w:rFonts w:hint="eastAsia" w:ascii="宋体" w:hAnsi="宋体" w:eastAsia="宋体" w:cs="宋体"/>
          <w:color w:val="000000"/>
          <w:sz w:val="21"/>
          <w:szCs w:val="21"/>
          <w:highlight w:val="none"/>
        </w:rPr>
        <w:t>。</w:t>
      </w:r>
    </w:p>
    <w:p w14:paraId="56D39C43">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28" w:name="_Toc22269"/>
      <w:bookmarkStart w:id="129" w:name="_Toc389065265"/>
      <w:bookmarkStart w:id="130" w:name="_Toc373478346"/>
      <w:bookmarkStart w:id="131" w:name="_Toc373227699"/>
      <w:r>
        <w:rPr>
          <w:rFonts w:hint="eastAsia" w:ascii="宋体" w:hAnsi="宋体" w:eastAsia="宋体" w:cs="宋体"/>
          <w:color w:val="000000"/>
          <w:sz w:val="21"/>
          <w:szCs w:val="21"/>
          <w:highlight w:val="none"/>
        </w:rPr>
        <w:t>1.10 交通运输</w:t>
      </w:r>
      <w:bookmarkEnd w:id="128"/>
      <w:bookmarkEnd w:id="129"/>
      <w:bookmarkEnd w:id="130"/>
      <w:bookmarkEnd w:id="131"/>
    </w:p>
    <w:p w14:paraId="4B9E5E3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bookmarkStart w:id="132" w:name="_Toc318581155"/>
      <w:bookmarkStart w:id="133" w:name="_Toc303539100"/>
      <w:bookmarkStart w:id="134" w:name="_Toc304295521"/>
      <w:bookmarkStart w:id="135" w:name="_Toc312677986"/>
      <w:bookmarkStart w:id="136" w:name="_Toc300934943"/>
      <w:r>
        <w:rPr>
          <w:rFonts w:hint="eastAsia" w:ascii="宋体" w:hAnsi="宋体" w:eastAsia="宋体" w:cs="宋体"/>
          <w:color w:val="000000"/>
          <w:sz w:val="21"/>
          <w:szCs w:val="21"/>
          <w:highlight w:val="none"/>
        </w:rPr>
        <w:t>.10.1 出入现场的权利</w:t>
      </w:r>
    </w:p>
    <w:p w14:paraId="2EDBCC6D">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关于出入现场的权利的约定：</w:t>
      </w:r>
      <w:r>
        <w:rPr>
          <w:rFonts w:hint="eastAsia" w:ascii="宋体" w:hAnsi="宋体" w:eastAsia="宋体" w:cs="宋体"/>
          <w:color w:val="000000"/>
          <w:sz w:val="21"/>
          <w:szCs w:val="21"/>
          <w:highlight w:val="none"/>
          <w:u w:val="single"/>
        </w:rPr>
        <w:t>与施工无关的人员需出入现场须经承发包双方同意</w:t>
      </w:r>
      <w:r>
        <w:rPr>
          <w:rFonts w:hint="eastAsia" w:ascii="宋体" w:hAnsi="宋体" w:eastAsia="宋体" w:cs="宋体"/>
          <w:color w:val="000000"/>
          <w:sz w:val="21"/>
          <w:szCs w:val="21"/>
          <w:highlight w:val="none"/>
        </w:rPr>
        <w:t>。</w:t>
      </w:r>
    </w:p>
    <w:bookmarkEnd w:id="132"/>
    <w:bookmarkEnd w:id="133"/>
    <w:bookmarkEnd w:id="134"/>
    <w:bookmarkEnd w:id="135"/>
    <w:bookmarkEnd w:id="136"/>
    <w:p w14:paraId="2107DBD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bookmarkStart w:id="137" w:name="_Toc304295522"/>
      <w:bookmarkStart w:id="138" w:name="_Toc303539101"/>
      <w:bookmarkStart w:id="139" w:name="_Toc318581156"/>
      <w:bookmarkStart w:id="140" w:name="_Toc312677987"/>
      <w:bookmarkStart w:id="141" w:name="_Toc300934944"/>
      <w:r>
        <w:rPr>
          <w:rFonts w:hint="eastAsia" w:ascii="宋体" w:hAnsi="宋体" w:eastAsia="宋体" w:cs="宋体"/>
          <w:color w:val="000000"/>
          <w:sz w:val="21"/>
          <w:szCs w:val="21"/>
          <w:highlight w:val="none"/>
        </w:rPr>
        <w:t>.10.3 场内交通</w:t>
      </w:r>
    </w:p>
    <w:p w14:paraId="555065B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关于场外交通和场内交通的边界的约定：</w:t>
      </w:r>
      <w:r>
        <w:rPr>
          <w:rStyle w:val="24"/>
          <w:rFonts w:ascii="Calibri" w:hAnsi="Calibri" w:eastAsia="宋体" w:cs="Times New Roman"/>
          <w:color w:val="auto"/>
          <w:spacing w:val="-7"/>
          <w:sz w:val="21"/>
          <w:szCs w:val="21"/>
          <w:u w:val="single" w:color="auto"/>
        </w:rPr>
        <w:t>施工现场封闭围挡范围以内为</w:t>
      </w:r>
      <w:r>
        <w:rPr>
          <w:rStyle w:val="24"/>
          <w:rFonts w:ascii="Calibri" w:hAnsi="Calibri" w:eastAsia="宋体" w:cs="Times New Roman"/>
          <w:color w:val="auto"/>
          <w:spacing w:val="-8"/>
          <w:sz w:val="21"/>
          <w:szCs w:val="21"/>
          <w:u w:val="single" w:color="auto"/>
        </w:rPr>
        <w:t>场内交通，</w:t>
      </w:r>
      <w:r>
        <w:rPr>
          <w:rStyle w:val="24"/>
          <w:rFonts w:ascii="Calibri" w:hAnsi="Calibri" w:eastAsia="宋体" w:cs="Times New Roman"/>
          <w:color w:val="auto"/>
          <w:spacing w:val="30"/>
          <w:sz w:val="21"/>
          <w:szCs w:val="21"/>
          <w:u w:val="single" w:color="auto"/>
        </w:rPr>
        <w:t xml:space="preserve"> </w:t>
      </w:r>
      <w:r>
        <w:rPr>
          <w:rStyle w:val="24"/>
          <w:rFonts w:ascii="Calibri" w:hAnsi="Calibri" w:eastAsia="宋体" w:cs="Times New Roman"/>
          <w:color w:val="auto"/>
          <w:spacing w:val="-8"/>
          <w:sz w:val="21"/>
          <w:szCs w:val="21"/>
          <w:u w:val="single" w:color="auto"/>
        </w:rPr>
        <w:t>范围以</w:t>
      </w:r>
      <w:r>
        <w:rPr>
          <w:rStyle w:val="24"/>
          <w:rFonts w:hint="eastAsia" w:ascii="Calibri" w:hAnsi="Calibri" w:eastAsia="宋体" w:cs="Times New Roman"/>
          <w:color w:val="auto"/>
          <w:spacing w:val="-8"/>
          <w:sz w:val="21"/>
          <w:szCs w:val="21"/>
          <w:u w:val="single" w:color="auto"/>
        </w:rPr>
        <w:t xml:space="preserve">外为场外交通 </w:t>
      </w:r>
      <w:r>
        <w:rPr>
          <w:rFonts w:hint="eastAsia" w:ascii="宋体" w:hAnsi="宋体" w:eastAsia="宋体" w:cs="宋体"/>
          <w:color w:val="000000"/>
          <w:sz w:val="21"/>
          <w:szCs w:val="21"/>
          <w:highlight w:val="none"/>
        </w:rPr>
        <w:t>。</w:t>
      </w:r>
    </w:p>
    <w:p w14:paraId="3A9F1C5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关于发包人向承包人免费提供满足工程施工需要的场内道路和交通设施的约定：</w:t>
      </w:r>
      <w:r>
        <w:rPr>
          <w:rFonts w:hint="eastAsia" w:ascii="宋体" w:hAnsi="宋体" w:eastAsia="宋体" w:cs="宋体"/>
          <w:color w:val="000000"/>
          <w:sz w:val="21"/>
          <w:szCs w:val="21"/>
          <w:highlight w:val="none"/>
          <w:u w:val="single"/>
        </w:rPr>
        <w:t xml:space="preserve">由承包人根据现场实际自行考虑，费用自理  </w:t>
      </w:r>
      <w:r>
        <w:rPr>
          <w:rFonts w:hint="eastAsia" w:ascii="宋体" w:hAnsi="宋体" w:eastAsia="宋体" w:cs="宋体"/>
          <w:color w:val="000000"/>
          <w:sz w:val="21"/>
          <w:szCs w:val="21"/>
          <w:highlight w:val="none"/>
        </w:rPr>
        <w:t>。</w:t>
      </w:r>
      <w:bookmarkEnd w:id="137"/>
      <w:bookmarkEnd w:id="138"/>
      <w:bookmarkEnd w:id="139"/>
      <w:bookmarkEnd w:id="140"/>
      <w:bookmarkEnd w:id="141"/>
      <w:bookmarkStart w:id="142" w:name="_Toc318581157"/>
    </w:p>
    <w:p w14:paraId="218EC8C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1.10.4 超大件和超重件的运输</w:t>
      </w:r>
    </w:p>
    <w:p w14:paraId="4FACB0C4">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运输超大件或超重件所需的道路和桥梁临时加固改造费用和其他有关费用由</w:t>
      </w:r>
      <w:r>
        <w:rPr>
          <w:rFonts w:hint="eastAsia" w:ascii="宋体" w:hAnsi="宋体" w:eastAsia="宋体" w:cs="宋体"/>
          <w:color w:val="000000"/>
          <w:sz w:val="21"/>
          <w:szCs w:val="21"/>
          <w:highlight w:val="none"/>
          <w:u w:val="single"/>
        </w:rPr>
        <w:t xml:space="preserve"> 承包人 </w:t>
      </w:r>
      <w:r>
        <w:rPr>
          <w:rFonts w:hint="eastAsia" w:ascii="宋体" w:hAnsi="宋体" w:eastAsia="宋体" w:cs="宋体"/>
          <w:color w:val="000000"/>
          <w:sz w:val="21"/>
          <w:szCs w:val="21"/>
          <w:highlight w:val="none"/>
        </w:rPr>
        <w:t>承担。</w:t>
      </w:r>
    </w:p>
    <w:bookmarkEnd w:id="142"/>
    <w:p w14:paraId="66ED583E">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43" w:name="_Toc373478347"/>
      <w:bookmarkStart w:id="144" w:name="_Toc14351"/>
      <w:bookmarkStart w:id="145" w:name="_Toc389065266"/>
      <w:bookmarkStart w:id="146" w:name="_Toc373227700"/>
      <w:r>
        <w:rPr>
          <w:rFonts w:hint="eastAsia" w:ascii="宋体" w:hAnsi="宋体" w:eastAsia="宋体" w:cs="宋体"/>
          <w:color w:val="000000"/>
          <w:sz w:val="21"/>
          <w:szCs w:val="21"/>
          <w:highlight w:val="none"/>
        </w:rPr>
        <w:t>1.11 知识产权</w:t>
      </w:r>
      <w:bookmarkEnd w:id="143"/>
      <w:bookmarkEnd w:id="144"/>
      <w:bookmarkEnd w:id="145"/>
      <w:bookmarkEnd w:id="146"/>
    </w:p>
    <w:p w14:paraId="3DEDE0FC">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1"/>
          <w:szCs w:val="21"/>
          <w:highlight w:val="none"/>
          <w:u w:val="single"/>
        </w:rPr>
        <w:t xml:space="preserve">属于发包人  </w:t>
      </w:r>
      <w:r>
        <w:rPr>
          <w:rFonts w:hint="eastAsia" w:ascii="宋体" w:hAnsi="宋体" w:eastAsia="宋体" w:cs="宋体"/>
          <w:color w:val="000000"/>
          <w:sz w:val="21"/>
          <w:szCs w:val="21"/>
          <w:highlight w:val="none"/>
        </w:rPr>
        <w:t>。</w:t>
      </w:r>
    </w:p>
    <w:p w14:paraId="688171AA">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关于发包人提供的上述文件的使用限制的要求：</w:t>
      </w:r>
      <w:r>
        <w:rPr>
          <w:rFonts w:hint="eastAsia" w:ascii="宋体" w:hAnsi="宋体" w:eastAsia="宋体" w:cs="宋体"/>
          <w:color w:val="000000"/>
          <w:sz w:val="21"/>
          <w:szCs w:val="21"/>
          <w:highlight w:val="none"/>
          <w:u w:val="single"/>
        </w:rPr>
        <w:t xml:space="preserve">  承包人可以为实现本合同目的而复制、使用此类文件，但不能用于与合同无关的其他事项，未经发包人同意，承包人不得为了合同以外的目的而复制、使用上述文件或将之提供给任何第三方  </w:t>
      </w:r>
      <w:r>
        <w:rPr>
          <w:rFonts w:hint="eastAsia" w:ascii="宋体" w:hAnsi="宋体" w:eastAsia="宋体" w:cs="宋体"/>
          <w:color w:val="000000"/>
          <w:sz w:val="21"/>
          <w:szCs w:val="21"/>
          <w:highlight w:val="none"/>
        </w:rPr>
        <w:t>。</w:t>
      </w:r>
    </w:p>
    <w:p w14:paraId="0E59E1AF">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1.11.2 关于承包人为实施工程所编制文件的著作权的归属：</w:t>
      </w:r>
      <w:r>
        <w:rPr>
          <w:rFonts w:hint="eastAsia" w:ascii="宋体" w:hAnsi="宋体" w:eastAsia="宋体" w:cs="宋体"/>
          <w:color w:val="000000"/>
          <w:sz w:val="21"/>
          <w:szCs w:val="21"/>
          <w:highlight w:val="none"/>
          <w:u w:val="single"/>
        </w:rPr>
        <w:t xml:space="preserve"> 属于承包人   </w:t>
      </w:r>
      <w:r>
        <w:rPr>
          <w:rFonts w:hint="eastAsia" w:ascii="宋体" w:hAnsi="宋体" w:eastAsia="宋体" w:cs="宋体"/>
          <w:color w:val="000000"/>
          <w:sz w:val="21"/>
          <w:szCs w:val="21"/>
          <w:highlight w:val="none"/>
        </w:rPr>
        <w:t>。</w:t>
      </w:r>
    </w:p>
    <w:p w14:paraId="70D6EC90">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关于承包人提供的上述文件的使用限制的要求：</w:t>
      </w:r>
      <w:r>
        <w:rPr>
          <w:rFonts w:hint="eastAsia" w:ascii="宋体" w:hAnsi="宋体" w:eastAsia="宋体" w:cs="宋体"/>
          <w:color w:val="000000"/>
          <w:sz w:val="21"/>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eastAsia="宋体" w:cs="宋体"/>
          <w:color w:val="000000"/>
          <w:sz w:val="21"/>
          <w:szCs w:val="21"/>
          <w:highlight w:val="none"/>
        </w:rPr>
        <w:t>。</w:t>
      </w:r>
    </w:p>
    <w:p w14:paraId="2B967A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1.11.4 承包人在施工过程中所采用的专利、专有技术、技术秘密的使用费的承担方式：</w:t>
      </w:r>
      <w:r>
        <w:rPr>
          <w:rFonts w:hint="eastAsia" w:ascii="宋体" w:hAnsi="宋体" w:eastAsia="宋体" w:cs="宋体"/>
          <w:color w:val="000000"/>
          <w:sz w:val="21"/>
          <w:szCs w:val="21"/>
          <w:highlight w:val="none"/>
          <w:u w:val="single"/>
        </w:rPr>
        <w:t xml:space="preserve">承包人在合同签订前和签订时已确定采用的专利、专有技术、技术秘密的使用费已包含在签约合同价中。（由承包人承担） </w:t>
      </w:r>
      <w:r>
        <w:rPr>
          <w:rFonts w:hint="eastAsia" w:ascii="宋体" w:hAnsi="宋体" w:eastAsia="宋体" w:cs="宋体"/>
          <w:color w:val="000000"/>
          <w:sz w:val="21"/>
          <w:szCs w:val="21"/>
          <w:highlight w:val="none"/>
        </w:rPr>
        <w:t>。</w:t>
      </w:r>
    </w:p>
    <w:p w14:paraId="25A7970B">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47" w:name="_Toc389065267"/>
      <w:bookmarkStart w:id="148" w:name="_Toc23074"/>
      <w:bookmarkStart w:id="149" w:name="_Toc373478348"/>
      <w:bookmarkStart w:id="150" w:name="_Toc373227701"/>
      <w:r>
        <w:rPr>
          <w:rFonts w:hint="eastAsia" w:ascii="宋体" w:hAnsi="宋体" w:eastAsia="宋体" w:cs="宋体"/>
          <w:color w:val="000000"/>
          <w:sz w:val="21"/>
          <w:szCs w:val="21"/>
          <w:highlight w:val="none"/>
        </w:rPr>
        <w:t>1.13工程量清单错误的修正</w:t>
      </w:r>
      <w:bookmarkEnd w:id="147"/>
      <w:bookmarkEnd w:id="148"/>
      <w:bookmarkEnd w:id="149"/>
      <w:bookmarkEnd w:id="150"/>
    </w:p>
    <w:p w14:paraId="6286A430">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出现工程量清单工程量偏差时，是否调整合同价格：</w:t>
      </w:r>
      <w:r>
        <w:rPr>
          <w:rFonts w:hint="eastAsia" w:ascii="宋体" w:hAnsi="宋体" w:eastAsia="宋体" w:cs="宋体"/>
          <w:color w:val="000000"/>
          <w:sz w:val="21"/>
          <w:szCs w:val="21"/>
          <w:highlight w:val="none"/>
          <w:u w:val="single"/>
        </w:rPr>
        <w:t xml:space="preserve">□是     </w:t>
      </w:r>
      <w:r>
        <w:rPr>
          <w:rFonts w:hint="eastAsia" w:ascii="宋体" w:hAnsi="宋体" w:eastAsia="宋体" w:cs="宋体"/>
          <w:color w:val="000000"/>
          <w:sz w:val="21"/>
          <w:szCs w:val="21"/>
          <w:highlight w:val="none"/>
          <w:u w:val="single"/>
        </w:rPr>
        <w:sym w:font="Wingdings 2" w:char="0052"/>
      </w:r>
      <w:r>
        <w:rPr>
          <w:rFonts w:hint="eastAsia" w:ascii="宋体" w:hAnsi="宋体" w:eastAsia="宋体" w:cs="宋体"/>
          <w:color w:val="000000"/>
          <w:sz w:val="21"/>
          <w:szCs w:val="21"/>
          <w:highlight w:val="none"/>
          <w:u w:val="single"/>
        </w:rPr>
        <w:t>否</w:t>
      </w:r>
      <w:r>
        <w:rPr>
          <w:rFonts w:hint="eastAsia" w:ascii="宋体" w:hAnsi="宋体" w:eastAsia="宋体" w:cs="宋体"/>
          <w:color w:val="000000"/>
          <w:sz w:val="21"/>
          <w:szCs w:val="21"/>
          <w:highlight w:val="none"/>
        </w:rPr>
        <w:t>。</w:t>
      </w:r>
    </w:p>
    <w:p w14:paraId="558C82F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允许调整合同价格的工程量偏差范围及其调整办法：</w:t>
      </w:r>
    </w:p>
    <w:p w14:paraId="56C9C5B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除严重不平衡报价外，无论分部分项工程量清单项目中的工程量变化多少均不调整                 </w:t>
      </w:r>
      <w:r>
        <w:rPr>
          <w:rFonts w:hint="eastAsia" w:ascii="宋体" w:hAnsi="宋体" w:eastAsia="宋体" w:cs="宋体"/>
          <w:color w:val="000000"/>
          <w:sz w:val="21"/>
          <w:szCs w:val="21"/>
          <w:highlight w:val="none"/>
        </w:rPr>
        <w:t>。</w:t>
      </w:r>
    </w:p>
    <w:p w14:paraId="32126F25">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53129DAE">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51" w:name="_Toc351203634"/>
      <w:bookmarkStart w:id="152" w:name="_Toc389065268"/>
      <w:bookmarkStart w:id="153" w:name="_Toc373227702"/>
      <w:bookmarkStart w:id="154" w:name="_Toc9409"/>
      <w:bookmarkStart w:id="155" w:name="_Toc373478349"/>
      <w:r>
        <w:rPr>
          <w:rFonts w:hint="eastAsia" w:ascii="宋体" w:hAnsi="宋体" w:eastAsia="宋体" w:cs="宋体"/>
          <w:color w:val="000000"/>
          <w:sz w:val="21"/>
          <w:szCs w:val="21"/>
          <w:highlight w:val="none"/>
        </w:rPr>
        <w:t>2</w:t>
      </w:r>
      <w:bookmarkStart w:id="156" w:name="_Toc296890985"/>
      <w:bookmarkStart w:id="157" w:name="_Toc296347156"/>
      <w:bookmarkStart w:id="158" w:name="_Toc296891197"/>
      <w:bookmarkStart w:id="159" w:name="_Toc292559362"/>
      <w:bookmarkStart w:id="160" w:name="_Toc296944496"/>
      <w:bookmarkStart w:id="161" w:name="_Toc297120457"/>
      <w:bookmarkStart w:id="162" w:name="_Toc292559867"/>
      <w:bookmarkStart w:id="163" w:name="_Toc297048343"/>
      <w:bookmarkStart w:id="164" w:name="_Toc296346658"/>
      <w:bookmarkStart w:id="165" w:name="_Toc296503157"/>
      <w:r>
        <w:rPr>
          <w:rFonts w:hint="eastAsia" w:ascii="宋体" w:hAnsi="宋体" w:eastAsia="宋体" w:cs="宋体"/>
          <w:color w:val="000000"/>
          <w:sz w:val="21"/>
          <w:szCs w:val="21"/>
          <w:highlight w:val="none"/>
        </w:rPr>
        <w:t>. 发包人</w:t>
      </w:r>
      <w:bookmarkEnd w:id="151"/>
      <w:bookmarkEnd w:id="152"/>
      <w:bookmarkEnd w:id="153"/>
      <w:bookmarkEnd w:id="154"/>
      <w:bookmarkEnd w:id="155"/>
    </w:p>
    <w:bookmarkEnd w:id="156"/>
    <w:bookmarkEnd w:id="157"/>
    <w:bookmarkEnd w:id="158"/>
    <w:bookmarkEnd w:id="159"/>
    <w:bookmarkEnd w:id="160"/>
    <w:bookmarkEnd w:id="161"/>
    <w:bookmarkEnd w:id="162"/>
    <w:bookmarkEnd w:id="163"/>
    <w:bookmarkEnd w:id="164"/>
    <w:bookmarkEnd w:id="165"/>
    <w:p w14:paraId="3A7D2FC8">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66" w:name="_Toc373478350"/>
      <w:bookmarkStart w:id="167" w:name="_Toc373227703"/>
      <w:bookmarkStart w:id="168" w:name="_Toc389065269"/>
      <w:bookmarkStart w:id="169" w:name="_Toc28751"/>
      <w:r>
        <w:rPr>
          <w:rFonts w:hint="eastAsia" w:ascii="宋体" w:hAnsi="宋体" w:eastAsia="宋体" w:cs="宋体"/>
          <w:color w:val="000000"/>
          <w:sz w:val="21"/>
          <w:szCs w:val="21"/>
          <w:highlight w:val="none"/>
        </w:rPr>
        <w:t>2.2 发包人代表</w:t>
      </w:r>
      <w:bookmarkEnd w:id="166"/>
      <w:bookmarkEnd w:id="167"/>
      <w:bookmarkEnd w:id="168"/>
      <w:bookmarkEnd w:id="169"/>
    </w:p>
    <w:p w14:paraId="7212479D">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发包人代表：</w:t>
      </w:r>
    </w:p>
    <w:p w14:paraId="4146EDA5">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w:t>
      </w:r>
      <w:r>
        <w:rPr>
          <w:rFonts w:hint="eastAsia" w:ascii="宋体" w:hAnsi="宋体" w:eastAsia="宋体" w:cs="宋体"/>
          <w:color w:val="000000"/>
          <w:sz w:val="21"/>
          <w:szCs w:val="21"/>
          <w:highlight w:val="none"/>
          <w:u w:val="single"/>
        </w:rPr>
        <w:t>     </w:t>
      </w:r>
      <w:r>
        <w:rPr>
          <w:rFonts w:hint="eastAsia" w:ascii="宋体" w:hAnsi="宋体" w:eastAsia="宋体" w:cs="宋体"/>
          <w:color w:val="000000"/>
          <w:sz w:val="21"/>
          <w:szCs w:val="21"/>
          <w:highlight w:val="none"/>
        </w:rPr>
        <w:t>；</w:t>
      </w:r>
    </w:p>
    <w:p w14:paraId="1EB8804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w:t>
      </w:r>
      <w:r>
        <w:rPr>
          <w:rFonts w:hint="eastAsia" w:ascii="宋体" w:hAnsi="宋体" w:eastAsia="宋体" w:cs="宋体"/>
          <w:color w:val="000000"/>
          <w:sz w:val="21"/>
          <w:szCs w:val="21"/>
          <w:highlight w:val="none"/>
          <w:u w:val="single"/>
        </w:rPr>
        <w:t>      </w:t>
      </w:r>
      <w:r>
        <w:rPr>
          <w:rFonts w:hint="eastAsia" w:ascii="宋体" w:hAnsi="宋体" w:eastAsia="宋体" w:cs="宋体"/>
          <w:color w:val="000000"/>
          <w:sz w:val="21"/>
          <w:szCs w:val="21"/>
          <w:highlight w:val="none"/>
        </w:rPr>
        <w:t>；</w:t>
      </w:r>
    </w:p>
    <w:p w14:paraId="76B72B3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    务：</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0DCD9E45">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rPr>
        <w:t>     </w:t>
      </w:r>
      <w:r>
        <w:rPr>
          <w:rFonts w:hint="eastAsia" w:ascii="宋体" w:hAnsi="宋体" w:eastAsia="宋体" w:cs="宋体"/>
          <w:color w:val="000000"/>
          <w:sz w:val="21"/>
          <w:szCs w:val="21"/>
          <w:highlight w:val="none"/>
        </w:rPr>
        <w:t>；</w:t>
      </w:r>
    </w:p>
    <w:p w14:paraId="1C4B84C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   </w:t>
      </w:r>
      <w:r>
        <w:rPr>
          <w:rFonts w:hint="eastAsia" w:ascii="宋体" w:hAnsi="宋体" w:eastAsia="宋体" w:cs="宋体"/>
          <w:color w:val="000000"/>
          <w:sz w:val="21"/>
          <w:szCs w:val="21"/>
          <w:highlight w:val="none"/>
        </w:rPr>
        <w:t>；</w:t>
      </w:r>
    </w:p>
    <w:p w14:paraId="1D6CB169">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2A6B93DA">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发包人对发包人代表的授权范围如下：</w:t>
      </w:r>
      <w:r>
        <w:rPr>
          <w:rFonts w:hint="eastAsia" w:ascii="宋体" w:hAnsi="宋体" w:eastAsia="宋体" w:cs="宋体"/>
          <w:color w:val="000000"/>
          <w:sz w:val="21"/>
          <w:szCs w:val="21"/>
          <w:highlight w:val="none"/>
          <w:u w:val="single"/>
        </w:rPr>
        <w:t>负责处理合同履行过程中与发包人有关的事宜：对本工程质量、工期、进度、安全、文明施工及材料和设备进场进行监督检查；对涉及工期延长、设计变更、现场收方及签证、已完工程量报告、竣工结算报告等影响工程造价的相关事项作出处理；办理中间交工、工程验收手续；审核工程进度报表、督促监理工程师行使职权以及协调施工现场各方面的关系</w:t>
      </w:r>
      <w:r>
        <w:rPr>
          <w:rFonts w:hint="eastAsia" w:ascii="宋体" w:hAnsi="宋体" w:eastAsia="宋体" w:cs="宋体"/>
          <w:color w:val="000000"/>
          <w:sz w:val="21"/>
          <w:szCs w:val="21"/>
          <w:highlight w:val="none"/>
        </w:rPr>
        <w:t>。</w:t>
      </w:r>
    </w:p>
    <w:p w14:paraId="3C2D0A65">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70" w:name="_Toc389065270"/>
      <w:bookmarkStart w:id="171" w:name="_Toc4499"/>
      <w:bookmarkStart w:id="172" w:name="_Toc373227704"/>
      <w:bookmarkStart w:id="173" w:name="_Toc373478351"/>
      <w:r>
        <w:rPr>
          <w:rFonts w:hint="eastAsia" w:ascii="宋体" w:hAnsi="宋体" w:eastAsia="宋体" w:cs="宋体"/>
          <w:color w:val="000000"/>
          <w:sz w:val="21"/>
          <w:szCs w:val="21"/>
          <w:highlight w:val="none"/>
        </w:rPr>
        <w:t>2.4 施工现场、施工条件和基础资料的提供</w:t>
      </w:r>
      <w:bookmarkEnd w:id="170"/>
      <w:bookmarkEnd w:id="171"/>
      <w:bookmarkEnd w:id="172"/>
      <w:bookmarkEnd w:id="173"/>
    </w:p>
    <w:p w14:paraId="5E8F572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2.4.1 提供施工现场</w:t>
      </w:r>
    </w:p>
    <w:p w14:paraId="04B58F1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关于发包人移交施工现场的期限要求：</w:t>
      </w:r>
      <w:r>
        <w:rPr>
          <w:rFonts w:hint="eastAsia" w:ascii="宋体" w:hAnsi="宋体" w:eastAsia="宋体" w:cs="宋体"/>
          <w:color w:val="000000"/>
          <w:sz w:val="21"/>
          <w:szCs w:val="21"/>
          <w:highlight w:val="none"/>
          <w:u w:val="single"/>
        </w:rPr>
        <w:t xml:space="preserve">无 </w:t>
      </w:r>
      <w:r>
        <w:rPr>
          <w:rFonts w:hint="eastAsia" w:ascii="宋体" w:hAnsi="宋体" w:eastAsia="宋体" w:cs="宋体"/>
          <w:color w:val="000000"/>
          <w:sz w:val="21"/>
          <w:szCs w:val="21"/>
          <w:highlight w:val="none"/>
        </w:rPr>
        <w:t>。</w:t>
      </w:r>
    </w:p>
    <w:p w14:paraId="692D8F21">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2.4.2 提供施工条件</w:t>
      </w:r>
    </w:p>
    <w:p w14:paraId="3B55262D">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关于发包人应负责提供施工所需要的条件，包括：</w:t>
      </w:r>
      <w:r>
        <w:rPr>
          <w:rFonts w:hint="eastAsia" w:ascii="宋体" w:hAnsi="宋体" w:eastAsia="宋体" w:cs="宋体"/>
          <w:color w:val="000000"/>
          <w:sz w:val="21"/>
          <w:szCs w:val="21"/>
          <w:highlight w:val="none"/>
          <w:u w:val="single"/>
        </w:rPr>
        <w:t xml:space="preserve">    无  </w:t>
      </w:r>
      <w:r>
        <w:rPr>
          <w:rFonts w:hint="eastAsia" w:ascii="宋体" w:hAnsi="宋体" w:eastAsia="宋体" w:cs="宋体"/>
          <w:color w:val="000000"/>
          <w:sz w:val="21"/>
          <w:szCs w:val="21"/>
          <w:highlight w:val="none"/>
        </w:rPr>
        <w:t>。</w:t>
      </w:r>
    </w:p>
    <w:p w14:paraId="5A8D7A22">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74" w:name="_Toc373478352"/>
      <w:bookmarkStart w:id="175" w:name="_Toc389065271"/>
      <w:bookmarkStart w:id="176" w:name="_Toc373227705"/>
      <w:bookmarkStart w:id="177" w:name="_Toc20337"/>
      <w:r>
        <w:rPr>
          <w:rFonts w:hint="eastAsia" w:ascii="宋体" w:hAnsi="宋体" w:eastAsia="宋体" w:cs="宋体"/>
          <w:color w:val="000000"/>
          <w:sz w:val="21"/>
          <w:szCs w:val="21"/>
          <w:highlight w:val="none"/>
        </w:rPr>
        <w:t>2.5 资金来源证明及支付担保</w:t>
      </w:r>
      <w:bookmarkEnd w:id="174"/>
      <w:bookmarkEnd w:id="175"/>
      <w:bookmarkEnd w:id="176"/>
      <w:bookmarkEnd w:id="177"/>
    </w:p>
    <w:p w14:paraId="570A42A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发包人提供资金来源证明的期限要求：</w:t>
      </w:r>
      <w:r>
        <w:rPr>
          <w:rFonts w:hint="eastAsia" w:ascii="宋体" w:hAnsi="宋体" w:eastAsia="宋体" w:cs="宋体"/>
          <w:color w:val="000000"/>
          <w:sz w:val="21"/>
          <w:szCs w:val="21"/>
          <w:highlight w:val="none"/>
          <w:u w:val="single"/>
        </w:rPr>
        <w:t xml:space="preserve">无    </w:t>
      </w:r>
      <w:r>
        <w:rPr>
          <w:rFonts w:hint="eastAsia" w:ascii="宋体" w:hAnsi="宋体" w:eastAsia="宋体" w:cs="宋体"/>
          <w:color w:val="000000"/>
          <w:sz w:val="21"/>
          <w:szCs w:val="21"/>
          <w:highlight w:val="none"/>
        </w:rPr>
        <w:t>。</w:t>
      </w:r>
    </w:p>
    <w:p w14:paraId="51F0151A">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发包人是否提供支付担保：</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否</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55EB75A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发包人提供支付担保的形式：</w:t>
      </w:r>
      <w:r>
        <w:rPr>
          <w:rFonts w:hint="eastAsia" w:ascii="宋体" w:hAnsi="宋体" w:eastAsia="宋体" w:cs="宋体"/>
          <w:color w:val="000000"/>
          <w:sz w:val="21"/>
          <w:szCs w:val="21"/>
          <w:highlight w:val="none"/>
          <w:u w:val="single"/>
        </w:rPr>
        <w:t>无 </w:t>
      </w:r>
      <w:r>
        <w:rPr>
          <w:rFonts w:hint="eastAsia" w:ascii="宋体" w:hAnsi="宋体" w:eastAsia="宋体" w:cs="宋体"/>
          <w:color w:val="000000"/>
          <w:sz w:val="21"/>
          <w:szCs w:val="21"/>
          <w:highlight w:val="none"/>
        </w:rPr>
        <w:t>。</w:t>
      </w:r>
    </w:p>
    <w:p w14:paraId="68B96E3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78" w:name="_Toc373478353"/>
      <w:bookmarkStart w:id="179" w:name="_Toc26761"/>
      <w:bookmarkStart w:id="180" w:name="_Toc351203635"/>
      <w:bookmarkStart w:id="181" w:name="_Toc389065272"/>
      <w:bookmarkStart w:id="182" w:name="_Toc373227706"/>
      <w:r>
        <w:rPr>
          <w:rFonts w:hint="eastAsia" w:ascii="宋体" w:hAnsi="宋体" w:eastAsia="宋体" w:cs="宋体"/>
          <w:color w:val="000000"/>
          <w:sz w:val="21"/>
          <w:szCs w:val="21"/>
          <w:highlight w:val="none"/>
        </w:rPr>
        <w:t>3</w:t>
      </w:r>
      <w:bookmarkStart w:id="183" w:name="_Toc296890986"/>
      <w:bookmarkStart w:id="184" w:name="_Toc296891198"/>
      <w:bookmarkStart w:id="185" w:name="_Toc292559868"/>
      <w:bookmarkStart w:id="186" w:name="_Toc296347157"/>
      <w:bookmarkStart w:id="187" w:name="_Toc296346659"/>
      <w:bookmarkStart w:id="188" w:name="_Toc292559363"/>
      <w:bookmarkStart w:id="189" w:name="_Toc297120458"/>
      <w:bookmarkStart w:id="190" w:name="_Toc296503158"/>
      <w:bookmarkStart w:id="191" w:name="_Toc297048344"/>
      <w:bookmarkStart w:id="192" w:name="_Toc296944497"/>
      <w:r>
        <w:rPr>
          <w:rFonts w:hint="eastAsia" w:ascii="宋体" w:hAnsi="宋体" w:eastAsia="宋体" w:cs="宋体"/>
          <w:color w:val="000000"/>
          <w:sz w:val="21"/>
          <w:szCs w:val="21"/>
          <w:highlight w:val="none"/>
        </w:rPr>
        <w:t>. 承包人</w:t>
      </w:r>
      <w:bookmarkEnd w:id="178"/>
      <w:bookmarkEnd w:id="179"/>
      <w:bookmarkEnd w:id="180"/>
      <w:bookmarkEnd w:id="181"/>
      <w:bookmarkEnd w:id="182"/>
    </w:p>
    <w:bookmarkEnd w:id="183"/>
    <w:bookmarkEnd w:id="184"/>
    <w:bookmarkEnd w:id="185"/>
    <w:bookmarkEnd w:id="186"/>
    <w:bookmarkEnd w:id="187"/>
    <w:bookmarkEnd w:id="188"/>
    <w:bookmarkEnd w:id="189"/>
    <w:bookmarkEnd w:id="190"/>
    <w:bookmarkEnd w:id="191"/>
    <w:bookmarkEnd w:id="192"/>
    <w:p w14:paraId="5072415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93" w:name="_Toc15899"/>
      <w:bookmarkStart w:id="194" w:name="_Toc373227707"/>
      <w:bookmarkStart w:id="195" w:name="_Toc373478354"/>
      <w:bookmarkStart w:id="196" w:name="_Toc389065273"/>
      <w:r>
        <w:rPr>
          <w:rFonts w:hint="eastAsia" w:ascii="宋体" w:hAnsi="宋体" w:eastAsia="宋体" w:cs="宋体"/>
          <w:color w:val="000000"/>
          <w:sz w:val="21"/>
          <w:szCs w:val="21"/>
          <w:highlight w:val="none"/>
        </w:rPr>
        <w:t>3.1 承包人的一般义务</w:t>
      </w:r>
      <w:bookmarkEnd w:id="193"/>
      <w:bookmarkEnd w:id="194"/>
      <w:bookmarkEnd w:id="195"/>
      <w:bookmarkEnd w:id="196"/>
    </w:p>
    <w:p w14:paraId="3ECFB129">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（9）承包人提交的竣工资料的内容：</w:t>
      </w:r>
    </w:p>
    <w:p w14:paraId="3E9EED93">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  按照法律规定和合同约定编制的竣工资料，符合工程所在地建设行政主管部门和（或）城市建设档案管理机构有关施工资料的要求，并立卷及归档   </w:t>
      </w:r>
      <w:r>
        <w:rPr>
          <w:rFonts w:hint="eastAsia" w:ascii="宋体" w:hAnsi="宋体" w:eastAsia="宋体" w:cs="宋体"/>
          <w:color w:val="000000"/>
          <w:sz w:val="21"/>
          <w:szCs w:val="21"/>
          <w:highlight w:val="none"/>
        </w:rPr>
        <w:t>。</w:t>
      </w:r>
    </w:p>
    <w:p w14:paraId="6298C98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承包人需要提交的竣工资料套数：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壹式</w:t>
      </w:r>
      <w:r>
        <w:rPr>
          <w:rFonts w:hint="eastAsia" w:ascii="宋体" w:hAnsi="宋体" w:eastAsia="宋体" w:cs="宋体"/>
          <w:color w:val="000000"/>
          <w:sz w:val="21"/>
          <w:szCs w:val="21"/>
          <w:highlight w:val="none"/>
          <w:u w:val="single"/>
        </w:rPr>
        <w:t xml:space="preserve">肆套  </w:t>
      </w:r>
      <w:r>
        <w:rPr>
          <w:rFonts w:hint="eastAsia" w:ascii="宋体" w:hAnsi="宋体" w:eastAsia="宋体" w:cs="宋体"/>
          <w:color w:val="000000"/>
          <w:sz w:val="21"/>
          <w:szCs w:val="21"/>
          <w:highlight w:val="none"/>
        </w:rPr>
        <w:t>。</w:t>
      </w:r>
    </w:p>
    <w:p w14:paraId="6A16EDA0">
      <w:pPr>
        <w:pageBreakBefore w:val="0"/>
        <w:kinsoku/>
        <w:overflowPunct/>
        <w:topLinePunct w:val="0"/>
        <w:bidi w:val="0"/>
        <w:spacing w:line="360" w:lineRule="auto"/>
        <w:ind w:left="424" w:leftChars="202"/>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承包人提交的竣工资料的费用承担：</w:t>
      </w:r>
      <w:r>
        <w:rPr>
          <w:rFonts w:hint="eastAsia" w:ascii="宋体" w:hAnsi="宋体" w:eastAsia="宋体" w:cs="宋体"/>
          <w:color w:val="000000"/>
          <w:sz w:val="21"/>
          <w:szCs w:val="21"/>
          <w:highlight w:val="none"/>
          <w:u w:val="single"/>
        </w:rPr>
        <w:t xml:space="preserve">  由承包人承担  </w:t>
      </w:r>
      <w:r>
        <w:rPr>
          <w:rFonts w:hint="eastAsia" w:ascii="宋体" w:hAnsi="宋体" w:eastAsia="宋体" w:cs="宋体"/>
          <w:color w:val="000000"/>
          <w:sz w:val="21"/>
          <w:szCs w:val="21"/>
          <w:highlight w:val="none"/>
        </w:rPr>
        <w:t>。</w:t>
      </w:r>
    </w:p>
    <w:p w14:paraId="12207BCC">
      <w:pPr>
        <w:pageBreakBefore w:val="0"/>
        <w:kinsoku/>
        <w:overflowPunct/>
        <w:topLinePunct w:val="0"/>
        <w:bidi w:val="0"/>
        <w:spacing w:line="360" w:lineRule="auto"/>
        <w:ind w:left="424" w:leftChars="202"/>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承包人提交的竣工资料移交时间：</w:t>
      </w:r>
      <w:r>
        <w:rPr>
          <w:rFonts w:hint="eastAsia" w:ascii="宋体" w:hAnsi="宋体" w:eastAsia="宋体" w:cs="宋体"/>
          <w:color w:val="000000"/>
          <w:sz w:val="21"/>
          <w:szCs w:val="21"/>
          <w:highlight w:val="none"/>
          <w:u w:val="single"/>
        </w:rPr>
        <w:t xml:space="preserve">  经过验收合格后</w:t>
      </w:r>
      <w:r>
        <w:rPr>
          <w:rFonts w:hint="eastAsia" w:ascii="宋体" w:hAnsi="宋体" w:eastAsia="宋体" w:cs="宋体"/>
          <w:color w:val="000000"/>
          <w:sz w:val="21"/>
          <w:szCs w:val="21"/>
          <w:highlight w:val="none"/>
          <w:u w:val="single"/>
          <w:lang w:val="en-US" w:eastAsia="zh-CN"/>
        </w:rPr>
        <w:t>30日历天</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765DAC66">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承包人提交的竣工资料形式要求：</w:t>
      </w:r>
      <w:r>
        <w:rPr>
          <w:rFonts w:hint="eastAsia" w:ascii="宋体" w:hAnsi="宋体" w:eastAsia="宋体" w:cs="宋体"/>
          <w:color w:val="000000"/>
          <w:sz w:val="21"/>
          <w:szCs w:val="21"/>
          <w:highlight w:val="none"/>
          <w:u w:val="single"/>
        </w:rPr>
        <w:t xml:space="preserve">  书面及电子文档  </w:t>
      </w:r>
      <w:r>
        <w:rPr>
          <w:rFonts w:hint="eastAsia" w:ascii="宋体" w:hAnsi="宋体" w:eastAsia="宋体" w:cs="宋体"/>
          <w:color w:val="000000"/>
          <w:sz w:val="21"/>
          <w:szCs w:val="21"/>
          <w:highlight w:val="none"/>
        </w:rPr>
        <w:t>。</w:t>
      </w:r>
    </w:p>
    <w:p w14:paraId="7968B9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（10）承包人应履行的其他义务：</w:t>
      </w:r>
      <w:r>
        <w:rPr>
          <w:rStyle w:val="24"/>
          <w:rFonts w:hint="eastAsia" w:ascii="宋体" w:hAnsi="宋体" w:eastAsia="宋体" w:cs="宋体"/>
          <w:color w:val="auto"/>
          <w:spacing w:val="0"/>
          <w:sz w:val="21"/>
          <w:szCs w:val="21"/>
          <w:u w:val="single" w:color="auto"/>
        </w:rPr>
        <w:t>1）协调处理施工场地内及场地周围地下管线和邻近市政公用物、构筑物（含文物保护市政公用）、古树名木的保护工作。 2）充分考虑工地现场的周围环境、交通道路、现场条件、施工图纸、施工组织设计、施工技术措施、安全文明施工措施等因素，应积极做好综合组织和协调，负责解决施工扰民问题和民扰问题。 3）对于施工过程中有需发包人配合完成的工作，承包人应提前足够时间通知发包人。 4)承包人须在发包人提供的土地红线、用林范围内施工，超出范围造成被处罚的所有责任和费用由承包人承担。施工区内临时设施、水电管线安装和保养，施工现场内地下管线和临近市政公用物、构筑物及临街交通要道、人行道的保护，所产生的费用由承包人负担。因承包人防护不力而发生事故，相关责任和费用由承包人承担。承包人施工完毕后，对所破坏的公共设施、劳动成果及道路应修复原貌，若承包人无能力或未在规定的时间内修复，由发包人代为修复， 费用由承包人承担，在工程款中相应核减。 5) 承包人须在现场踏勘的基础上充分考虑场内临时道路的施工维护， 并在合同总价中包含。6) 承包人应在工程开工之前按项目当地人力资源和社会保障局的规定将农民工工资保障金存入指定账户。7) 本项目的取土场、弃土场所需手续和费用由承包人承担，发包人提供协助</w:t>
      </w:r>
      <w:r>
        <w:rPr>
          <w:rFonts w:hint="eastAsia" w:ascii="宋体" w:hAnsi="宋体" w:eastAsia="宋体" w:cs="宋体"/>
          <w:color w:val="000000"/>
          <w:sz w:val="21"/>
          <w:szCs w:val="21"/>
          <w:highlight w:val="none"/>
        </w:rPr>
        <w:t>。</w:t>
      </w:r>
    </w:p>
    <w:p w14:paraId="3F4303B0">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197" w:name="_Toc373478355"/>
      <w:bookmarkStart w:id="198" w:name="_Toc389065274"/>
      <w:bookmarkStart w:id="199" w:name="_Toc373227708"/>
      <w:bookmarkStart w:id="200" w:name="_Toc20483"/>
      <w:r>
        <w:rPr>
          <w:rFonts w:hint="eastAsia" w:ascii="宋体" w:hAnsi="宋体" w:eastAsia="宋体" w:cs="宋体"/>
          <w:color w:val="000000"/>
          <w:sz w:val="21"/>
          <w:szCs w:val="21"/>
          <w:highlight w:val="none"/>
        </w:rPr>
        <w:t>3.2 项目经理</w:t>
      </w:r>
      <w:bookmarkEnd w:id="197"/>
      <w:bookmarkEnd w:id="198"/>
      <w:bookmarkEnd w:id="199"/>
      <w:bookmarkEnd w:id="200"/>
    </w:p>
    <w:p w14:paraId="742AD3C3">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3.2.1 项目经理：</w:t>
      </w:r>
    </w:p>
    <w:p w14:paraId="50AD183E">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w:t>
      </w:r>
      <w:r>
        <w:rPr>
          <w:rFonts w:hint="eastAsia" w:ascii="宋体" w:hAnsi="宋体" w:eastAsia="宋体" w:cs="宋体"/>
          <w:color w:val="000000"/>
          <w:sz w:val="21"/>
          <w:szCs w:val="21"/>
          <w:highlight w:val="none"/>
          <w:u w:val="single"/>
        </w:rPr>
        <w:t>         </w:t>
      </w:r>
      <w:r>
        <w:rPr>
          <w:rFonts w:hint="eastAsia" w:ascii="宋体" w:hAnsi="宋体" w:eastAsia="宋体" w:cs="宋体"/>
          <w:color w:val="000000"/>
          <w:sz w:val="21"/>
          <w:szCs w:val="21"/>
          <w:highlight w:val="none"/>
        </w:rPr>
        <w:t>；</w:t>
      </w:r>
    </w:p>
    <w:p w14:paraId="52B8D2C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w:t>
      </w:r>
      <w:r>
        <w:rPr>
          <w:rFonts w:hint="eastAsia" w:ascii="宋体" w:hAnsi="宋体" w:eastAsia="宋体" w:cs="宋体"/>
          <w:color w:val="000000"/>
          <w:sz w:val="21"/>
          <w:szCs w:val="21"/>
          <w:highlight w:val="none"/>
          <w:u w:val="single"/>
        </w:rPr>
        <w:t>         </w:t>
      </w:r>
      <w:r>
        <w:rPr>
          <w:rFonts w:hint="eastAsia" w:ascii="宋体" w:hAnsi="宋体" w:eastAsia="宋体" w:cs="宋体"/>
          <w:color w:val="000000"/>
          <w:sz w:val="21"/>
          <w:szCs w:val="21"/>
          <w:highlight w:val="none"/>
        </w:rPr>
        <w:t>；</w:t>
      </w:r>
    </w:p>
    <w:p w14:paraId="6E3EBCD0">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建造师执业资格等级：</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71C41D5D">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建造师注册证书号：</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w:t>
      </w:r>
    </w:p>
    <w:p w14:paraId="4E2ECC18">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建造师执业印章号：</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w:t>
      </w:r>
    </w:p>
    <w:p w14:paraId="6A55C96F">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安全生产考核合格证书号：</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w:t>
      </w:r>
    </w:p>
    <w:p w14:paraId="201E4083">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rPr>
        <w:t>         </w:t>
      </w:r>
      <w:r>
        <w:rPr>
          <w:rFonts w:hint="eastAsia" w:ascii="宋体" w:hAnsi="宋体" w:eastAsia="宋体" w:cs="宋体"/>
          <w:color w:val="000000"/>
          <w:sz w:val="21"/>
          <w:szCs w:val="21"/>
          <w:highlight w:val="none"/>
        </w:rPr>
        <w:t>；</w:t>
      </w:r>
    </w:p>
    <w:p w14:paraId="7228D3A9">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0402799C">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55E1B428">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承包人对项目经理的授权范围如下：</w:t>
      </w:r>
      <w:r>
        <w:rPr>
          <w:rFonts w:hint="eastAsia" w:ascii="宋体" w:hAnsi="宋体" w:eastAsia="宋体" w:cs="宋体"/>
          <w:color w:val="000000"/>
          <w:sz w:val="21"/>
          <w:szCs w:val="21"/>
          <w:highlight w:val="none"/>
          <w:u w:val="single"/>
        </w:rPr>
        <w:t xml:space="preserve">  全面负责施工前期准备和施工过程中的安全、质量、进度管理及相关技术文件的确认。项目经理和项目部管理人员未经承包人书面授权及委托的不得以承包人名义向外赊购材料、借款、租用建筑周转材料、雇佣劳动力、签订分包合同等一切为承包人创设债权或债务的行为    </w:t>
      </w:r>
      <w:r>
        <w:rPr>
          <w:rFonts w:hint="eastAsia" w:ascii="宋体" w:hAnsi="宋体" w:eastAsia="宋体" w:cs="宋体"/>
          <w:color w:val="000000"/>
          <w:sz w:val="21"/>
          <w:szCs w:val="21"/>
          <w:highlight w:val="none"/>
        </w:rPr>
        <w:t>。</w:t>
      </w:r>
    </w:p>
    <w:p w14:paraId="26BAA853">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关于项目经理每月在施工现场的时间要求：</w:t>
      </w:r>
      <w:r>
        <w:rPr>
          <w:rFonts w:hint="eastAsia" w:ascii="宋体" w:hAnsi="宋体" w:eastAsia="宋体" w:cs="宋体"/>
          <w:color w:val="000000"/>
          <w:sz w:val="21"/>
          <w:szCs w:val="21"/>
          <w:highlight w:val="none"/>
          <w:u w:val="single"/>
        </w:rPr>
        <w:t xml:space="preserve"> 不得少于施工时间的80%</w:t>
      </w:r>
      <w:r>
        <w:rPr>
          <w:rFonts w:hint="eastAsia" w:ascii="宋体" w:hAnsi="宋体" w:eastAsia="宋体" w:cs="宋体"/>
          <w:color w:val="000000"/>
          <w:sz w:val="21"/>
          <w:szCs w:val="21"/>
          <w:highlight w:val="none"/>
        </w:rPr>
        <w:t>。</w:t>
      </w:r>
    </w:p>
    <w:p w14:paraId="02C94BE3">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承包人未提交劳动合同，以及没有为项目经理缴纳社会保险证明的违约责任：</w:t>
      </w:r>
      <w:r>
        <w:rPr>
          <w:rFonts w:hint="eastAsia" w:ascii="宋体" w:hAnsi="宋体" w:eastAsia="宋体" w:cs="宋体"/>
          <w:color w:val="000000"/>
          <w:sz w:val="21"/>
          <w:szCs w:val="21"/>
          <w:highlight w:val="none"/>
          <w:u w:val="single"/>
        </w:rPr>
        <w:t>承包人应向发包人支付 5</w:t>
      </w:r>
      <w:r>
        <w:rPr>
          <w:rFonts w:hint="eastAsia" w:ascii="宋体" w:hAnsi="宋体" w:eastAsia="宋体" w:cs="宋体"/>
          <w:color w:val="000000"/>
          <w:sz w:val="21"/>
          <w:szCs w:val="21"/>
          <w:highlight w:val="none"/>
          <w:u w:val="single"/>
          <w:lang w:val="en-US" w:eastAsia="zh-CN"/>
        </w:rPr>
        <w:t>000</w:t>
      </w:r>
      <w:r>
        <w:rPr>
          <w:rFonts w:hint="eastAsia" w:ascii="宋体" w:hAnsi="宋体" w:eastAsia="宋体" w:cs="宋体"/>
          <w:color w:val="000000"/>
          <w:sz w:val="21"/>
          <w:szCs w:val="21"/>
          <w:highlight w:val="none"/>
          <w:u w:val="single"/>
        </w:rPr>
        <w:t xml:space="preserve">元的违约金，发包人有权责令承包人限期提交劳动合同并补缴社会保险，如逾期不提交劳动合同或不补缴社会保险的，视为承包人违约，承包人应从发包人责令其提交合同或补缴社会保险（以先出现的时间为准）之日起，按 1000元/天的标准向发包人支付违约金   </w:t>
      </w:r>
      <w:r>
        <w:rPr>
          <w:rFonts w:hint="eastAsia" w:ascii="宋体" w:hAnsi="宋体" w:eastAsia="宋体" w:cs="宋体"/>
          <w:color w:val="000000"/>
          <w:sz w:val="21"/>
          <w:szCs w:val="21"/>
          <w:highlight w:val="none"/>
        </w:rPr>
        <w:t>。</w:t>
      </w:r>
    </w:p>
    <w:p w14:paraId="5ADFD03B">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项目经理未经批准，擅自离开施工现场的违约责任：</w:t>
      </w:r>
      <w:r>
        <w:rPr>
          <w:rFonts w:hint="eastAsia" w:ascii="宋体" w:hAnsi="宋体" w:eastAsia="宋体" w:cs="宋体"/>
          <w:color w:val="000000"/>
          <w:sz w:val="21"/>
          <w:szCs w:val="21"/>
          <w:highlight w:val="none"/>
          <w:u w:val="single"/>
        </w:rPr>
        <w:t xml:space="preserve">项目经理每月在岗带班时间不得少于当月施工时间的80%。未经发包人同意或正当理由，项目经理每月在岗带班时间少于当月施工时间80%的，少在岗带班一天，发包人有权处违约金 </w:t>
      </w:r>
      <w:r>
        <w:rPr>
          <w:rFonts w:hint="eastAsia" w:ascii="宋体" w:hAnsi="宋体" w:eastAsia="宋体" w:cs="宋体"/>
          <w:color w:val="000000"/>
          <w:sz w:val="21"/>
          <w:szCs w:val="21"/>
          <w:highlight w:val="none"/>
          <w:u w:val="single"/>
          <w:lang w:val="en-US" w:eastAsia="zh-CN"/>
        </w:rPr>
        <w:t>500</w:t>
      </w:r>
      <w:r>
        <w:rPr>
          <w:rFonts w:hint="eastAsia" w:ascii="宋体" w:hAnsi="宋体" w:eastAsia="宋体" w:cs="宋体"/>
          <w:color w:val="000000"/>
          <w:sz w:val="21"/>
          <w:szCs w:val="21"/>
          <w:highlight w:val="none"/>
          <w:u w:val="single"/>
        </w:rPr>
        <w:t xml:space="preserve">元/日（人民币）  </w:t>
      </w:r>
      <w:r>
        <w:rPr>
          <w:rFonts w:hint="eastAsia" w:ascii="宋体" w:hAnsi="宋体" w:eastAsia="宋体" w:cs="宋体"/>
          <w:color w:val="000000"/>
          <w:sz w:val="21"/>
          <w:szCs w:val="21"/>
          <w:highlight w:val="none"/>
        </w:rPr>
        <w:t>。</w:t>
      </w:r>
    </w:p>
    <w:p w14:paraId="14F98ADD">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3.2.3 承包人擅自更换项目经理的违约责任：</w:t>
      </w:r>
      <w:r>
        <w:rPr>
          <w:rFonts w:hint="eastAsia" w:ascii="宋体" w:hAnsi="宋体" w:eastAsia="宋体" w:cs="宋体"/>
          <w:color w:val="000000"/>
          <w:sz w:val="21"/>
          <w:szCs w:val="21"/>
          <w:highlight w:val="none"/>
          <w:u w:val="single"/>
        </w:rPr>
        <w:t>承包人项目经理必须与承包人投标时所承诺的人员一致，并在开工日期</w:t>
      </w:r>
      <w:r>
        <w:rPr>
          <w:rFonts w:hint="eastAsia" w:ascii="宋体" w:hAnsi="宋体" w:eastAsia="宋体" w:cs="宋体"/>
          <w:color w:val="000000"/>
          <w:sz w:val="21"/>
          <w:szCs w:val="21"/>
          <w:highlight w:val="none"/>
          <w:u w:val="single"/>
          <w:lang w:val="en-US" w:eastAsia="zh-CN"/>
        </w:rPr>
        <w:t>10天</w:t>
      </w:r>
      <w:r>
        <w:rPr>
          <w:rFonts w:hint="eastAsia" w:ascii="宋体" w:hAnsi="宋体" w:eastAsia="宋体" w:cs="宋体"/>
          <w:color w:val="000000"/>
          <w:sz w:val="21"/>
          <w:szCs w:val="21"/>
          <w:highlight w:val="none"/>
          <w:u w:val="single"/>
        </w:rPr>
        <w:t>前到任。在监理人向承包人颁发竣工验收合格证书前，项目经理不得同时兼任其他任何项目的项目经理（符合桂建管﹝2013﹞17号和桂建管﹝2014﹞25号文除外）。未经发包人书面同意，承包人擅自更换项目经理的视为违约，发包人有权上报建设行政主管部门并</w:t>
      </w:r>
      <w:r>
        <w:rPr>
          <w:rFonts w:hint="eastAsia" w:ascii="宋体" w:hAnsi="宋体" w:eastAsia="宋体" w:cs="宋体"/>
          <w:color w:val="000000"/>
          <w:sz w:val="21"/>
          <w:szCs w:val="21"/>
          <w:highlight w:val="none"/>
          <w:u w:val="single"/>
          <w:lang w:val="en-US" w:eastAsia="zh-CN"/>
        </w:rPr>
        <w:t>按</w:t>
      </w:r>
      <w:r>
        <w:rPr>
          <w:rFonts w:hint="eastAsia" w:ascii="宋体" w:hAnsi="宋体" w:eastAsia="宋体" w:cs="宋体"/>
          <w:color w:val="000000"/>
          <w:sz w:val="21"/>
          <w:szCs w:val="21"/>
          <w:highlight w:val="none"/>
          <w:u w:val="single"/>
        </w:rPr>
        <w:t>有关规定处罚</w:t>
      </w:r>
      <w:r>
        <w:rPr>
          <w:rFonts w:hint="eastAsia" w:ascii="宋体" w:hAnsi="宋体" w:eastAsia="宋体" w:cs="宋体"/>
          <w:color w:val="000000"/>
          <w:sz w:val="21"/>
          <w:szCs w:val="21"/>
          <w:highlight w:val="none"/>
        </w:rPr>
        <w:t>。</w:t>
      </w:r>
    </w:p>
    <w:p w14:paraId="3F14255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3.2.4 承包人无正当理由拒绝更换项目经理的违约责任：</w:t>
      </w:r>
      <w:r>
        <w:rPr>
          <w:rFonts w:hint="eastAsia" w:ascii="宋体" w:hAnsi="宋体" w:eastAsia="宋体" w:cs="宋体"/>
          <w:color w:val="000000"/>
          <w:sz w:val="21"/>
          <w:szCs w:val="21"/>
          <w:highlight w:val="none"/>
          <w:u w:val="single"/>
        </w:rPr>
        <w:t>因承包人项目经理不称职，发包人要求调换而未及时调换的，视为承包人违约，发包人有权上报建设行政主管部门并</w:t>
      </w:r>
      <w:r>
        <w:rPr>
          <w:rFonts w:hint="eastAsia" w:ascii="宋体" w:hAnsi="宋体" w:eastAsia="宋体" w:cs="宋体"/>
          <w:color w:val="000000"/>
          <w:sz w:val="21"/>
          <w:szCs w:val="21"/>
          <w:highlight w:val="none"/>
          <w:u w:val="single"/>
          <w:lang w:val="en-US" w:eastAsia="zh-CN"/>
        </w:rPr>
        <w:t>按</w:t>
      </w:r>
      <w:r>
        <w:rPr>
          <w:rFonts w:hint="eastAsia" w:ascii="宋体" w:hAnsi="宋体" w:eastAsia="宋体" w:cs="宋体"/>
          <w:color w:val="000000"/>
          <w:sz w:val="21"/>
          <w:szCs w:val="21"/>
          <w:highlight w:val="none"/>
          <w:u w:val="single"/>
        </w:rPr>
        <w:t>有关规定处罚</w:t>
      </w:r>
      <w:r>
        <w:rPr>
          <w:rFonts w:hint="eastAsia" w:ascii="宋体" w:hAnsi="宋体" w:eastAsia="宋体" w:cs="宋体"/>
          <w:color w:val="000000"/>
          <w:sz w:val="21"/>
          <w:szCs w:val="21"/>
          <w:highlight w:val="none"/>
        </w:rPr>
        <w:t>。</w:t>
      </w:r>
    </w:p>
    <w:p w14:paraId="6102B7FC">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201" w:name="_Toc389065275"/>
      <w:bookmarkStart w:id="202" w:name="_Toc17124"/>
      <w:bookmarkStart w:id="203" w:name="_Toc373227709"/>
      <w:bookmarkStart w:id="204" w:name="_Toc373478356"/>
      <w:r>
        <w:rPr>
          <w:rFonts w:hint="eastAsia" w:ascii="宋体" w:hAnsi="宋体" w:eastAsia="宋体" w:cs="宋体"/>
          <w:color w:val="000000"/>
          <w:sz w:val="21"/>
          <w:szCs w:val="21"/>
          <w:highlight w:val="none"/>
        </w:rPr>
        <w:t>3.3 承包人人员</w:t>
      </w:r>
      <w:bookmarkEnd w:id="201"/>
      <w:bookmarkEnd w:id="202"/>
      <w:bookmarkEnd w:id="203"/>
      <w:bookmarkEnd w:id="204"/>
    </w:p>
    <w:p w14:paraId="6E235D0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3.3.1 承包人提交项目管理机构及施工现场管理人员安排报告的期限：</w:t>
      </w:r>
      <w:r>
        <w:rPr>
          <w:rFonts w:hint="eastAsia" w:ascii="宋体" w:hAnsi="宋体" w:eastAsia="宋体" w:cs="宋体"/>
          <w:color w:val="000000"/>
          <w:sz w:val="21"/>
          <w:szCs w:val="21"/>
          <w:highlight w:val="none"/>
          <w:u w:val="single"/>
        </w:rPr>
        <w:t xml:space="preserve"> 拟投入本项目管理机构及施工现场管理人员必须与承包人投标时所承诺的人员一致，开工前</w:t>
      </w:r>
      <w:r>
        <w:rPr>
          <w:rFonts w:hint="eastAsia" w:ascii="宋体" w:hAnsi="宋体" w:eastAsia="宋体" w:cs="宋体"/>
          <w:color w:val="000000"/>
          <w:sz w:val="21"/>
          <w:szCs w:val="21"/>
          <w:highlight w:val="none"/>
          <w:u w:val="single"/>
          <w:lang w:val="en-US" w:eastAsia="zh-CN"/>
        </w:rPr>
        <w:t>7个工作日</w:t>
      </w:r>
      <w:r>
        <w:rPr>
          <w:rFonts w:hint="eastAsia" w:ascii="宋体" w:hAnsi="宋体" w:eastAsia="宋体" w:cs="宋体"/>
          <w:color w:val="000000"/>
          <w:sz w:val="21"/>
          <w:szCs w:val="21"/>
          <w:highlight w:val="none"/>
          <w:u w:val="single"/>
        </w:rPr>
        <w:t xml:space="preserve">提交  </w:t>
      </w:r>
      <w:r>
        <w:rPr>
          <w:rFonts w:hint="eastAsia" w:ascii="宋体" w:hAnsi="宋体" w:eastAsia="宋体" w:cs="宋体"/>
          <w:color w:val="000000"/>
          <w:sz w:val="21"/>
          <w:szCs w:val="21"/>
          <w:highlight w:val="none"/>
        </w:rPr>
        <w:t>。</w:t>
      </w:r>
    </w:p>
    <w:p w14:paraId="4283FCA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3.3.3 承包人无正当理由拒绝撤换主要施工管理人员的违约责任：</w:t>
      </w:r>
      <w:r>
        <w:rPr>
          <w:rFonts w:hint="eastAsia" w:ascii="宋体" w:hAnsi="宋体" w:eastAsia="宋体" w:cs="宋体"/>
          <w:color w:val="000000"/>
          <w:sz w:val="21"/>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eastAsia="宋体" w:cs="宋体"/>
          <w:color w:val="000000"/>
          <w:sz w:val="21"/>
          <w:szCs w:val="21"/>
          <w:highlight w:val="none"/>
          <w:u w:val="single"/>
          <w:lang w:val="en-US" w:eastAsia="zh-CN"/>
        </w:rPr>
        <w:t>1000</w:t>
      </w:r>
      <w:r>
        <w:rPr>
          <w:rFonts w:hint="eastAsia" w:ascii="宋体" w:hAnsi="宋体" w:eastAsia="宋体" w:cs="宋体"/>
          <w:color w:val="000000"/>
          <w:sz w:val="21"/>
          <w:szCs w:val="21"/>
          <w:highlight w:val="none"/>
          <w:u w:val="single"/>
        </w:rPr>
        <w:t>元/人•次（人民币）；专业工程师</w:t>
      </w:r>
      <w:r>
        <w:rPr>
          <w:rFonts w:hint="eastAsia" w:ascii="宋体" w:hAnsi="宋体" w:eastAsia="宋体" w:cs="宋体"/>
          <w:color w:val="000000"/>
          <w:sz w:val="21"/>
          <w:szCs w:val="21"/>
          <w:highlight w:val="none"/>
          <w:u w:val="single"/>
          <w:lang w:val="en-US" w:eastAsia="zh-CN"/>
        </w:rPr>
        <w:t>800</w:t>
      </w:r>
      <w:r>
        <w:rPr>
          <w:rFonts w:hint="eastAsia" w:ascii="宋体" w:hAnsi="宋体" w:eastAsia="宋体" w:cs="宋体"/>
          <w:color w:val="000000"/>
          <w:sz w:val="21"/>
          <w:szCs w:val="21"/>
          <w:highlight w:val="none"/>
          <w:u w:val="single"/>
        </w:rPr>
        <w:t>元/人•次（人民币）</w:t>
      </w:r>
      <w:r>
        <w:rPr>
          <w:rFonts w:hint="eastAsia" w:ascii="宋体" w:hAnsi="宋体" w:eastAsia="宋体" w:cs="宋体"/>
          <w:color w:val="000000"/>
          <w:sz w:val="21"/>
          <w:szCs w:val="21"/>
          <w:highlight w:val="none"/>
        </w:rPr>
        <w:t>。</w:t>
      </w:r>
    </w:p>
    <w:p w14:paraId="08231031">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3.3.4 承包人主要施工管理人员离开施工现场的批准要求：</w:t>
      </w:r>
      <w:r>
        <w:rPr>
          <w:rFonts w:hint="eastAsia" w:ascii="宋体" w:hAnsi="宋体" w:eastAsia="宋体" w:cs="宋体"/>
          <w:color w:val="000000"/>
          <w:sz w:val="21"/>
          <w:szCs w:val="21"/>
          <w:highlight w:val="none"/>
          <w:u w:val="single"/>
        </w:rPr>
        <w:t xml:space="preserve">  经项目业主批准同意方能离开  </w:t>
      </w:r>
      <w:r>
        <w:rPr>
          <w:rFonts w:hint="eastAsia" w:ascii="宋体" w:hAnsi="宋体" w:eastAsia="宋体" w:cs="宋体"/>
          <w:color w:val="000000"/>
          <w:sz w:val="21"/>
          <w:szCs w:val="21"/>
          <w:highlight w:val="none"/>
        </w:rPr>
        <w:t>。</w:t>
      </w:r>
    </w:p>
    <w:p w14:paraId="6AA47B01">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3.3.5 承包人擅自更换主要施工管理人员的违约责任：</w:t>
      </w:r>
      <w:r>
        <w:rPr>
          <w:rFonts w:hint="eastAsia" w:ascii="宋体" w:hAnsi="宋体" w:eastAsia="宋体" w:cs="宋体"/>
          <w:color w:val="000000"/>
          <w:sz w:val="21"/>
          <w:szCs w:val="21"/>
          <w:highlight w:val="none"/>
          <w:u w:val="single"/>
        </w:rPr>
        <w:t>项目技术负责人、专职安全员及其承诺的其它在场管理人员未经发包人书面同意不准擅自更换，擅自更换项目技术负责人处10000元/人•次（人民币）违约金；擅自更换专职安全员处</w:t>
      </w:r>
      <w:r>
        <w:rPr>
          <w:rFonts w:hint="eastAsia" w:ascii="宋体" w:hAnsi="宋体" w:eastAsia="宋体" w:cs="宋体"/>
          <w:color w:val="000000"/>
          <w:sz w:val="21"/>
          <w:szCs w:val="21"/>
          <w:highlight w:val="none"/>
          <w:u w:val="single"/>
          <w:lang w:val="en-US" w:eastAsia="zh-CN"/>
        </w:rPr>
        <w:t>5</w:t>
      </w:r>
      <w:r>
        <w:rPr>
          <w:rFonts w:hint="eastAsia" w:ascii="宋体" w:hAnsi="宋体" w:eastAsia="宋体" w:cs="宋体"/>
          <w:color w:val="000000"/>
          <w:sz w:val="21"/>
          <w:szCs w:val="21"/>
          <w:highlight w:val="none"/>
          <w:u w:val="single"/>
        </w:rPr>
        <w:t>000元/人•次（人民币）违约金；擅自更换其它在场管理人员处500元/人•次（人民币）违约金</w:t>
      </w:r>
      <w:r>
        <w:rPr>
          <w:rFonts w:hint="eastAsia" w:ascii="宋体" w:hAnsi="宋体" w:eastAsia="宋体" w:cs="宋体"/>
          <w:color w:val="000000"/>
          <w:sz w:val="21"/>
          <w:szCs w:val="21"/>
          <w:highlight w:val="none"/>
        </w:rPr>
        <w:t>。</w:t>
      </w:r>
    </w:p>
    <w:p w14:paraId="282C6F57">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承包人主要施工管理人员擅自离开施工现场的违约责任：</w:t>
      </w:r>
      <w:r>
        <w:rPr>
          <w:rFonts w:hint="eastAsia" w:ascii="宋体" w:hAnsi="宋体" w:eastAsia="宋体" w:cs="宋体"/>
          <w:color w:val="000000"/>
          <w:sz w:val="21"/>
          <w:szCs w:val="21"/>
          <w:highlight w:val="none"/>
          <w:u w:val="single"/>
        </w:rPr>
        <w:t>未经发包人同意，项目技术负责人擅自离岗的，视为承包人违约，发包人有权上报建设行政主管部门并</w:t>
      </w:r>
      <w:r>
        <w:rPr>
          <w:rFonts w:hint="eastAsia" w:ascii="宋体" w:hAnsi="宋体" w:eastAsia="宋体" w:cs="宋体"/>
          <w:color w:val="000000"/>
          <w:sz w:val="21"/>
          <w:szCs w:val="21"/>
          <w:highlight w:val="none"/>
          <w:u w:val="single"/>
          <w:lang w:val="en-US" w:eastAsia="zh-CN"/>
        </w:rPr>
        <w:t>按</w:t>
      </w:r>
      <w:r>
        <w:rPr>
          <w:rFonts w:hint="eastAsia" w:ascii="宋体" w:hAnsi="宋体" w:eastAsia="宋体" w:cs="宋体"/>
          <w:color w:val="000000"/>
          <w:sz w:val="21"/>
          <w:szCs w:val="21"/>
          <w:highlight w:val="none"/>
          <w:u w:val="single"/>
        </w:rPr>
        <w:t>有关规定处罚；未经发包人同意，专职安全员擅自离岗的，视为承包人违约，发包人有权上报建设行政主管部门并</w:t>
      </w:r>
      <w:r>
        <w:rPr>
          <w:rFonts w:hint="eastAsia" w:ascii="宋体" w:hAnsi="宋体" w:eastAsia="宋体" w:cs="宋体"/>
          <w:color w:val="000000"/>
          <w:sz w:val="21"/>
          <w:szCs w:val="21"/>
          <w:highlight w:val="none"/>
          <w:u w:val="single"/>
          <w:lang w:val="en-US" w:eastAsia="zh-CN"/>
        </w:rPr>
        <w:t>按</w:t>
      </w:r>
      <w:r>
        <w:rPr>
          <w:rFonts w:hint="eastAsia" w:ascii="宋体" w:hAnsi="宋体" w:eastAsia="宋体" w:cs="宋体"/>
          <w:color w:val="000000"/>
          <w:sz w:val="21"/>
          <w:szCs w:val="21"/>
          <w:highlight w:val="none"/>
          <w:u w:val="single"/>
        </w:rPr>
        <w:t>有关规定处罚；其它在场管理人员擅自离岗的，视为承包人违约，发包人有权上报建设行政主管部门并</w:t>
      </w:r>
      <w:r>
        <w:rPr>
          <w:rFonts w:hint="eastAsia" w:ascii="宋体" w:hAnsi="宋体" w:eastAsia="宋体" w:cs="宋体"/>
          <w:color w:val="000000"/>
          <w:sz w:val="21"/>
          <w:szCs w:val="21"/>
          <w:highlight w:val="none"/>
          <w:u w:val="single"/>
          <w:lang w:val="en-US" w:eastAsia="zh-CN"/>
        </w:rPr>
        <w:t>按</w:t>
      </w:r>
      <w:r>
        <w:rPr>
          <w:rFonts w:hint="eastAsia" w:ascii="宋体" w:hAnsi="宋体" w:eastAsia="宋体" w:cs="宋体"/>
          <w:color w:val="000000"/>
          <w:sz w:val="21"/>
          <w:szCs w:val="21"/>
          <w:highlight w:val="none"/>
          <w:u w:val="single"/>
        </w:rPr>
        <w:t>有关规定处罚</w:t>
      </w:r>
      <w:r>
        <w:rPr>
          <w:rFonts w:hint="eastAsia" w:ascii="宋体" w:hAnsi="宋体" w:eastAsia="宋体" w:cs="宋体"/>
          <w:color w:val="000000"/>
          <w:sz w:val="21"/>
          <w:szCs w:val="21"/>
          <w:highlight w:val="none"/>
        </w:rPr>
        <w:t>。</w:t>
      </w:r>
    </w:p>
    <w:p w14:paraId="0B3CFEEC">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205" w:name="_Toc373227710"/>
      <w:bookmarkStart w:id="206" w:name="_Toc373478357"/>
      <w:bookmarkStart w:id="207" w:name="_Toc389065276"/>
      <w:bookmarkStart w:id="208" w:name="_Toc3880"/>
      <w:r>
        <w:rPr>
          <w:rFonts w:hint="eastAsia" w:ascii="宋体" w:hAnsi="宋体" w:eastAsia="宋体" w:cs="宋体"/>
          <w:color w:val="000000"/>
          <w:sz w:val="21"/>
          <w:szCs w:val="21"/>
          <w:highlight w:val="none"/>
        </w:rPr>
        <w:t>3</w:t>
      </w:r>
      <w:bookmarkStart w:id="209" w:name="_Toc300934945"/>
      <w:bookmarkStart w:id="210" w:name="_Toc296346660"/>
      <w:bookmarkStart w:id="211" w:name="_Toc297216151"/>
      <w:bookmarkStart w:id="212" w:name="_Toc296347158"/>
      <w:bookmarkStart w:id="213" w:name="_Toc296503159"/>
      <w:bookmarkStart w:id="214" w:name="_Toc297048345"/>
      <w:bookmarkStart w:id="215" w:name="_Toc297123492"/>
      <w:bookmarkStart w:id="216" w:name="_Toc296890987"/>
      <w:bookmarkStart w:id="217" w:name="_Toc292559869"/>
      <w:bookmarkStart w:id="218" w:name="_Toc303539102"/>
      <w:bookmarkStart w:id="219" w:name="_Toc292559364"/>
      <w:bookmarkStart w:id="220" w:name="_Toc312677988"/>
      <w:bookmarkStart w:id="221" w:name="_Toc304295523"/>
      <w:bookmarkStart w:id="222" w:name="_Toc297120459"/>
      <w:bookmarkStart w:id="223" w:name="_Toc296891199"/>
      <w:bookmarkStart w:id="224" w:name="_Toc296944498"/>
      <w:r>
        <w:rPr>
          <w:rFonts w:hint="eastAsia" w:ascii="宋体" w:hAnsi="宋体" w:eastAsia="宋体" w:cs="宋体"/>
          <w:color w:val="000000"/>
          <w:sz w:val="21"/>
          <w:szCs w:val="21"/>
          <w:highlight w:val="none"/>
        </w:rPr>
        <w:t>.5 分包</w:t>
      </w:r>
      <w:bookmarkEnd w:id="205"/>
      <w:bookmarkEnd w:id="206"/>
      <w:bookmarkEnd w:id="207"/>
      <w:bookmarkEnd w:id="208"/>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14:paraId="52786F07">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bookmarkStart w:id="225" w:name="_Toc318581158"/>
      <w:bookmarkStart w:id="226" w:name="_Toc292559870"/>
      <w:bookmarkStart w:id="227" w:name="_Toc312677989"/>
      <w:bookmarkStart w:id="228" w:name="_Toc297120460"/>
      <w:bookmarkStart w:id="229" w:name="_Toc296890988"/>
      <w:bookmarkStart w:id="230" w:name="_Toc304295524"/>
      <w:bookmarkStart w:id="231" w:name="_Toc297048346"/>
      <w:bookmarkStart w:id="232" w:name="_Toc292559365"/>
      <w:bookmarkStart w:id="233" w:name="_Toc300934946"/>
      <w:bookmarkStart w:id="234" w:name="_Toc296347159"/>
      <w:bookmarkStart w:id="235" w:name="_Toc303539103"/>
      <w:bookmarkStart w:id="236" w:name="_Toc296503160"/>
      <w:bookmarkStart w:id="237" w:name="_Toc297216152"/>
      <w:bookmarkStart w:id="238" w:name="_Toc297123493"/>
      <w:bookmarkStart w:id="239" w:name="_Toc296346661"/>
      <w:bookmarkStart w:id="240" w:name="_Toc296944499"/>
      <w:bookmarkStart w:id="241" w:name="_Toc296891200"/>
      <w:r>
        <w:rPr>
          <w:rFonts w:hint="eastAsia" w:ascii="宋体" w:hAnsi="宋体" w:eastAsia="宋体" w:cs="宋体"/>
          <w:color w:val="000000"/>
          <w:sz w:val="21"/>
          <w:szCs w:val="21"/>
          <w:highlight w:val="none"/>
        </w:rPr>
        <w:t>.5.1 分包的一般约定</w:t>
      </w:r>
    </w:p>
    <w:p w14:paraId="25AF3EA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禁止分包的工程包括：</w:t>
      </w:r>
      <w:r>
        <w:rPr>
          <w:rFonts w:hint="eastAsia" w:ascii="宋体" w:hAnsi="宋体" w:eastAsia="宋体" w:cs="宋体"/>
          <w:color w:val="000000"/>
          <w:sz w:val="21"/>
          <w:szCs w:val="21"/>
          <w:highlight w:val="none"/>
          <w:u w:val="single"/>
        </w:rPr>
        <w:t xml:space="preserve">本工程禁止分包   </w:t>
      </w:r>
      <w:r>
        <w:rPr>
          <w:rFonts w:hint="eastAsia" w:ascii="宋体" w:hAnsi="宋体" w:eastAsia="宋体" w:cs="宋体"/>
          <w:color w:val="000000"/>
          <w:sz w:val="21"/>
          <w:szCs w:val="21"/>
          <w:highlight w:val="none"/>
        </w:rPr>
        <w:t>。</w:t>
      </w:r>
    </w:p>
    <w:p w14:paraId="2FA2E54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主体结构、关键性工作的范围：</w:t>
      </w:r>
      <w:r>
        <w:rPr>
          <w:rFonts w:hint="eastAsia" w:ascii="宋体" w:hAnsi="宋体" w:eastAsia="宋体" w:cs="宋体"/>
          <w:color w:val="000000"/>
          <w:sz w:val="21"/>
          <w:szCs w:val="21"/>
          <w:highlight w:val="none"/>
          <w:u w:val="single"/>
        </w:rPr>
        <w:t xml:space="preserve">本工程不允许违法分包   </w:t>
      </w:r>
      <w:r>
        <w:rPr>
          <w:rFonts w:hint="eastAsia" w:ascii="宋体" w:hAnsi="宋体" w:eastAsia="宋体" w:cs="宋体"/>
          <w:color w:val="000000"/>
          <w:sz w:val="21"/>
          <w:szCs w:val="21"/>
          <w:highlight w:val="none"/>
        </w:rPr>
        <w:t>。</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836C27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bookmarkStart w:id="242" w:name="_Toc312677990"/>
      <w:bookmarkStart w:id="243" w:name="_Toc318581159"/>
      <w:r>
        <w:rPr>
          <w:rFonts w:hint="eastAsia" w:ascii="宋体" w:hAnsi="宋体" w:eastAsia="宋体" w:cs="宋体"/>
          <w:color w:val="000000"/>
          <w:sz w:val="21"/>
          <w:szCs w:val="21"/>
          <w:highlight w:val="none"/>
        </w:rPr>
        <w:t>.5.2 分包的确定</w:t>
      </w:r>
    </w:p>
    <w:p w14:paraId="43992D2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允许分包的专业工程包括：</w:t>
      </w:r>
      <w:r>
        <w:rPr>
          <w:rFonts w:hint="eastAsia" w:ascii="宋体" w:hAnsi="宋体" w:eastAsia="宋体" w:cs="宋体"/>
          <w:color w:val="000000"/>
          <w:sz w:val="21"/>
          <w:szCs w:val="21"/>
          <w:highlight w:val="none"/>
          <w:u w:val="single"/>
        </w:rPr>
        <w:t xml:space="preserve">所需分包的工程需经过发包人书面同意   </w:t>
      </w:r>
      <w:r>
        <w:rPr>
          <w:rFonts w:hint="eastAsia" w:ascii="宋体" w:hAnsi="宋体" w:eastAsia="宋体" w:cs="宋体"/>
          <w:color w:val="000000"/>
          <w:sz w:val="21"/>
          <w:szCs w:val="21"/>
          <w:highlight w:val="none"/>
        </w:rPr>
        <w:t>。</w:t>
      </w:r>
    </w:p>
    <w:p w14:paraId="3E4CFC73">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其他关于分包的约定：</w:t>
      </w:r>
    </w:p>
    <w:p w14:paraId="0B14A222">
      <w:pPr>
        <w:pageBreakBefore w:val="0"/>
        <w:numPr>
          <w:ilvl w:val="0"/>
          <w:numId w:val="7"/>
        </w:numPr>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8FA88DE">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（2）在相关分包合同签订并报送有关建设行政主管部门备案后7天内，承包人应当将一份副本提交给监理人，承包人应保障分包工作不得再次分包。</w:t>
      </w:r>
    </w:p>
    <w:p w14:paraId="09F28F0F">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（3）未经承包人和监理人审批同意的分包工程和分包人，承包人有权拒绝验收分包工程和支付相应款项，由此引起的发包人费用增加和(或)延误的工期由发包人承担。</w:t>
      </w:r>
    </w:p>
    <w:p w14:paraId="78C82B4A">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（4）承包人有以下情况之一者，发包人有权解除合同：</w:t>
      </w:r>
    </w:p>
    <w:p w14:paraId="316FF123">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①个人承包工程，包括本人单位及外单位人员承包，发包人不承认其个人拥有任何资质等级及营业许可资格。</w:t>
      </w:r>
    </w:p>
    <w:p w14:paraId="077DB8E7">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②几个人联合承包工程，就地组织暗分包队伍，不具备完成本工程的技术、机械能力，被发包人判定为没有能力履行的承包人。</w:t>
      </w:r>
    </w:p>
    <w:p w14:paraId="2A801D50">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③就地转包全部的工程，以谋取高额转让费、管理费的承包人。</w:t>
      </w:r>
    </w:p>
    <w:p w14:paraId="78D86546">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④承包人有部分分包现象（其中包括冒充承包人下属单位的挂勾单位，凭口头协议参与施工的分包人及其他暗分包个体户），一经发现核实，发包人将采取驱逐该暗分包人措施。</w:t>
      </w:r>
    </w:p>
    <w:p w14:paraId="48C0DEB8">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3.5.4 分包合同价款</w:t>
      </w:r>
    </w:p>
    <w:bookmarkEnd w:id="242"/>
    <w:bookmarkEnd w:id="243"/>
    <w:p w14:paraId="5B72F3FE">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bookmarkStart w:id="244" w:name="_Toc389065277"/>
      <w:bookmarkStart w:id="245" w:name="_Toc373478358"/>
      <w:bookmarkStart w:id="246" w:name="_Toc373227711"/>
      <w:r>
        <w:rPr>
          <w:rFonts w:hint="eastAsia" w:ascii="宋体" w:hAnsi="宋体" w:eastAsia="宋体" w:cs="宋体"/>
          <w:color w:val="000000"/>
          <w:sz w:val="21"/>
          <w:szCs w:val="21"/>
          <w:highlight w:val="none"/>
        </w:rPr>
        <w:t>关于分包合同价款支付的约定：</w:t>
      </w:r>
      <w:r>
        <w:rPr>
          <w:rFonts w:hint="eastAsia" w:ascii="宋体" w:hAnsi="宋体" w:eastAsia="宋体" w:cs="宋体"/>
          <w:color w:val="000000"/>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28BFBC98">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247" w:name="_Toc8082"/>
      <w:r>
        <w:rPr>
          <w:rFonts w:hint="eastAsia" w:ascii="宋体" w:hAnsi="宋体" w:eastAsia="宋体" w:cs="宋体"/>
          <w:color w:val="000000"/>
          <w:sz w:val="21"/>
          <w:szCs w:val="21"/>
          <w:highlight w:val="none"/>
        </w:rPr>
        <w:t>3.6 工程照管与成品、半成品保护</w:t>
      </w:r>
      <w:bookmarkEnd w:id="244"/>
      <w:bookmarkEnd w:id="245"/>
      <w:bookmarkEnd w:id="246"/>
      <w:bookmarkEnd w:id="247"/>
    </w:p>
    <w:p w14:paraId="057FEA9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承包人负责照管工程及工程相关的材料、工程设备的起始时间：</w:t>
      </w:r>
      <w:r>
        <w:rPr>
          <w:rFonts w:hint="eastAsia" w:ascii="宋体" w:hAnsi="宋体" w:eastAsia="宋体" w:cs="宋体"/>
          <w:color w:val="000000"/>
          <w:sz w:val="21"/>
          <w:szCs w:val="21"/>
          <w:highlight w:val="none"/>
          <w:u w:val="single"/>
        </w:rPr>
        <w:t xml:space="preserve">  签订合同之日起，完成工程移交之日止  </w:t>
      </w:r>
      <w:r>
        <w:rPr>
          <w:rFonts w:hint="eastAsia" w:ascii="宋体" w:hAnsi="宋体" w:eastAsia="宋体" w:cs="宋体"/>
          <w:color w:val="000000"/>
          <w:sz w:val="21"/>
          <w:szCs w:val="21"/>
          <w:highlight w:val="none"/>
        </w:rPr>
        <w:t>。</w:t>
      </w:r>
    </w:p>
    <w:p w14:paraId="03D50BAF">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248" w:name="_Toc373227712"/>
      <w:bookmarkStart w:id="249" w:name="_Toc389065278"/>
      <w:bookmarkStart w:id="250" w:name="_Toc373478359"/>
      <w:bookmarkStart w:id="251" w:name="_Toc8926"/>
      <w:r>
        <w:rPr>
          <w:rFonts w:hint="eastAsia" w:ascii="宋体" w:hAnsi="宋体" w:eastAsia="宋体" w:cs="宋体"/>
          <w:color w:val="000000"/>
          <w:sz w:val="21"/>
          <w:szCs w:val="21"/>
          <w:highlight w:val="none"/>
        </w:rPr>
        <w:t>3.7 履约</w:t>
      </w:r>
      <w:bookmarkEnd w:id="248"/>
      <w:bookmarkEnd w:id="249"/>
      <w:bookmarkEnd w:id="250"/>
      <w:r>
        <w:rPr>
          <w:rFonts w:hint="eastAsia" w:ascii="宋体" w:hAnsi="宋体" w:eastAsia="宋体" w:cs="宋体"/>
          <w:color w:val="000000"/>
          <w:sz w:val="21"/>
          <w:szCs w:val="21"/>
          <w:highlight w:val="none"/>
        </w:rPr>
        <w:t>保证金</w:t>
      </w:r>
      <w:bookmarkEnd w:id="251"/>
    </w:p>
    <w:p w14:paraId="4B222394">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lang w:val="en-US" w:eastAsia="zh-CN"/>
        </w:rPr>
      </w:pPr>
      <w:bookmarkStart w:id="252" w:name="_Toc389065279"/>
      <w:bookmarkStart w:id="253" w:name="_Toc373478360"/>
      <w:bookmarkStart w:id="254" w:name="_Toc373227713"/>
      <w:bookmarkStart w:id="255" w:name="_Toc351203636"/>
      <w:r>
        <w:rPr>
          <w:rFonts w:hint="eastAsia" w:ascii="宋体" w:hAnsi="宋体" w:eastAsia="宋体" w:cs="宋体"/>
          <w:color w:val="000000"/>
          <w:sz w:val="21"/>
          <w:szCs w:val="21"/>
          <w:highlight w:val="none"/>
        </w:rPr>
        <w:t>承包人提供履约担保的形式、金额及期限的：</w:t>
      </w:r>
      <w:r>
        <w:rPr>
          <w:rFonts w:hint="eastAsia" w:ascii="宋体" w:hAnsi="宋体" w:eastAsia="宋体" w:cs="宋体"/>
          <w:color w:val="000000"/>
          <w:sz w:val="21"/>
          <w:szCs w:val="21"/>
          <w:highlight w:val="none"/>
          <w:lang w:val="en-US" w:eastAsia="zh-CN"/>
        </w:rPr>
        <w:t>本项目不收取履约保证金。</w:t>
      </w:r>
    </w:p>
    <w:p w14:paraId="07C5AD40">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256" w:name="_Toc32460"/>
      <w:r>
        <w:rPr>
          <w:rFonts w:hint="eastAsia" w:ascii="宋体" w:hAnsi="宋体" w:eastAsia="宋体" w:cs="宋体"/>
          <w:color w:val="000000"/>
          <w:sz w:val="21"/>
          <w:szCs w:val="21"/>
          <w:highlight w:val="none"/>
        </w:rPr>
        <w:t>4</w:t>
      </w:r>
      <w:bookmarkStart w:id="257" w:name="_Toc292559366"/>
      <w:bookmarkStart w:id="258" w:name="_Toc296503162"/>
      <w:bookmarkStart w:id="259" w:name="_Toc267251413"/>
      <w:bookmarkStart w:id="260" w:name="_Toc296944501"/>
      <w:bookmarkStart w:id="261" w:name="_Toc296891202"/>
      <w:bookmarkStart w:id="262" w:name="_Toc297120462"/>
      <w:bookmarkStart w:id="263" w:name="_Toc296346663"/>
      <w:bookmarkStart w:id="264" w:name="_Toc296890990"/>
      <w:bookmarkStart w:id="265" w:name="_Toc292559871"/>
      <w:bookmarkStart w:id="266" w:name="_Toc296347161"/>
      <w:bookmarkStart w:id="267" w:name="_Toc297048348"/>
      <w:r>
        <w:rPr>
          <w:rFonts w:hint="eastAsia" w:ascii="宋体" w:hAnsi="宋体" w:eastAsia="宋体" w:cs="宋体"/>
          <w:color w:val="000000"/>
          <w:sz w:val="21"/>
          <w:szCs w:val="21"/>
          <w:highlight w:val="none"/>
        </w:rPr>
        <w:t>. 监</w:t>
      </w:r>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000000"/>
          <w:sz w:val="21"/>
          <w:szCs w:val="21"/>
          <w:highlight w:val="none"/>
        </w:rPr>
        <w:t>理人</w:t>
      </w:r>
      <w:bookmarkEnd w:id="252"/>
      <w:bookmarkEnd w:id="253"/>
      <w:bookmarkEnd w:id="254"/>
      <w:bookmarkEnd w:id="255"/>
      <w:bookmarkEnd w:id="256"/>
    </w:p>
    <w:p w14:paraId="0D959A7A">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268" w:name="_Toc389065280"/>
      <w:bookmarkStart w:id="269" w:name="_Toc373227714"/>
      <w:bookmarkStart w:id="270" w:name="_Toc28478"/>
      <w:bookmarkStart w:id="271" w:name="_Toc373478361"/>
      <w:r>
        <w:rPr>
          <w:rFonts w:hint="eastAsia" w:ascii="宋体" w:hAnsi="宋体" w:eastAsia="宋体" w:cs="宋体"/>
          <w:color w:val="000000"/>
          <w:sz w:val="21"/>
          <w:szCs w:val="21"/>
          <w:highlight w:val="none"/>
        </w:rPr>
        <w:t>4.1 监理人的一般规定</w:t>
      </w:r>
      <w:bookmarkEnd w:id="268"/>
      <w:bookmarkEnd w:id="269"/>
      <w:bookmarkEnd w:id="270"/>
      <w:bookmarkEnd w:id="271"/>
    </w:p>
    <w:p w14:paraId="0D25419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关于监理人的监理内容：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7D69726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关于监理人的监理权限：</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3A99BC8D">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关于监理人在施工现场的办公场所、生活场所的提供和费用承担的约定：</w:t>
      </w:r>
      <w:r>
        <w:rPr>
          <w:rFonts w:hint="eastAsia" w:ascii="宋体" w:hAnsi="宋体" w:eastAsia="宋体" w:cs="宋体"/>
          <w:color w:val="000000"/>
          <w:sz w:val="21"/>
          <w:szCs w:val="21"/>
          <w:highlight w:val="none"/>
          <w:u w:val="single"/>
        </w:rPr>
        <w:t xml:space="preserve">              </w:t>
      </w:r>
    </w:p>
    <w:p w14:paraId="7FC7E864">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281F51AC">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272" w:name="_Toc373478362"/>
      <w:bookmarkStart w:id="273" w:name="_Toc373227715"/>
      <w:bookmarkStart w:id="274" w:name="_Toc389065281"/>
      <w:bookmarkStart w:id="275" w:name="_Toc12326"/>
      <w:r>
        <w:rPr>
          <w:rFonts w:hint="eastAsia" w:ascii="宋体" w:hAnsi="宋体" w:eastAsia="宋体" w:cs="宋体"/>
          <w:color w:val="000000"/>
          <w:sz w:val="21"/>
          <w:szCs w:val="21"/>
          <w:highlight w:val="none"/>
        </w:rPr>
        <w:t>4.2 监理人员</w:t>
      </w:r>
      <w:bookmarkEnd w:id="272"/>
      <w:bookmarkEnd w:id="273"/>
      <w:bookmarkEnd w:id="274"/>
      <w:bookmarkEnd w:id="275"/>
    </w:p>
    <w:p w14:paraId="69E82C5A">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总监理工程师：</w:t>
      </w:r>
    </w:p>
    <w:p w14:paraId="2A9D721F">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2603BB9F">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    务：</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2F697EBF">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监理工程师执业资格证书号：</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w:t>
      </w:r>
    </w:p>
    <w:p w14:paraId="6CF2EF9B">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3CC8233F">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65D8C382">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207C4FB8">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关于监理人的其他约定：</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4B4A2313">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276" w:name="_Toc373478363"/>
      <w:bookmarkStart w:id="277" w:name="_Toc389065282"/>
      <w:bookmarkStart w:id="278" w:name="_Toc6626"/>
      <w:bookmarkStart w:id="279" w:name="_Toc373227716"/>
      <w:r>
        <w:rPr>
          <w:rFonts w:hint="eastAsia" w:ascii="宋体" w:hAnsi="宋体" w:eastAsia="宋体" w:cs="宋体"/>
          <w:color w:val="000000"/>
          <w:sz w:val="21"/>
          <w:szCs w:val="21"/>
          <w:highlight w:val="none"/>
        </w:rPr>
        <w:t>4.4 商定或确定</w:t>
      </w:r>
      <w:bookmarkEnd w:id="276"/>
      <w:bookmarkEnd w:id="277"/>
      <w:bookmarkEnd w:id="278"/>
      <w:bookmarkEnd w:id="279"/>
    </w:p>
    <w:p w14:paraId="33C97105">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bookmarkStart w:id="280" w:name="_Toc267251418"/>
      <w:r>
        <w:rPr>
          <w:rFonts w:hint="eastAsia" w:ascii="宋体" w:hAnsi="宋体" w:eastAsia="宋体" w:cs="宋体"/>
          <w:color w:val="000000"/>
          <w:sz w:val="21"/>
          <w:szCs w:val="21"/>
          <w:highlight w:val="none"/>
        </w:rPr>
        <w:t>在发包人和承包人不能通过协商达成一致意见时，发包人授权监理人对以下事项进行确定：</w:t>
      </w:r>
    </w:p>
    <w:p w14:paraId="74AD449D">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1DF3C2ED">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536A1138">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328C7E8E">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281" w:name="_Toc373227717"/>
      <w:bookmarkStart w:id="282" w:name="_Toc373478364"/>
      <w:bookmarkStart w:id="283" w:name="_Toc28100"/>
      <w:bookmarkStart w:id="284" w:name="_Toc351203637"/>
      <w:bookmarkStart w:id="285" w:name="_Toc389065283"/>
      <w:r>
        <w:rPr>
          <w:rFonts w:hint="eastAsia" w:ascii="宋体" w:hAnsi="宋体" w:eastAsia="宋体" w:cs="宋体"/>
          <w:color w:val="000000"/>
          <w:sz w:val="21"/>
          <w:szCs w:val="21"/>
          <w:highlight w:val="none"/>
        </w:rPr>
        <w:t>5</w:t>
      </w:r>
      <w:bookmarkEnd w:id="280"/>
      <w:bookmarkStart w:id="286" w:name="_Toc296346664"/>
      <w:bookmarkStart w:id="287" w:name="_Toc292559367"/>
      <w:bookmarkStart w:id="288" w:name="_Toc292559872"/>
      <w:bookmarkStart w:id="289" w:name="_Toc296890991"/>
      <w:bookmarkStart w:id="290" w:name="_Toc297048349"/>
      <w:bookmarkStart w:id="291" w:name="_Toc296891203"/>
      <w:bookmarkStart w:id="292" w:name="_Toc296347162"/>
      <w:bookmarkStart w:id="293" w:name="_Toc296503163"/>
      <w:bookmarkStart w:id="294" w:name="_Toc297120463"/>
      <w:bookmarkStart w:id="295" w:name="_Toc296944502"/>
      <w:r>
        <w:rPr>
          <w:rFonts w:hint="eastAsia" w:ascii="宋体" w:hAnsi="宋体" w:eastAsia="宋体" w:cs="宋体"/>
          <w:color w:val="000000"/>
          <w:sz w:val="21"/>
          <w:szCs w:val="21"/>
          <w:highlight w:val="none"/>
        </w:rPr>
        <w:t>. 工程质量</w:t>
      </w:r>
      <w:bookmarkEnd w:id="281"/>
      <w:bookmarkEnd w:id="282"/>
      <w:bookmarkEnd w:id="283"/>
      <w:bookmarkEnd w:id="284"/>
      <w:bookmarkEnd w:id="285"/>
    </w:p>
    <w:p w14:paraId="7F1338EA">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296" w:name="_Toc15241"/>
      <w:bookmarkStart w:id="297" w:name="_Toc373478365"/>
      <w:bookmarkStart w:id="298" w:name="_Toc373227718"/>
      <w:bookmarkStart w:id="299" w:name="_Toc389065284"/>
      <w:r>
        <w:rPr>
          <w:rFonts w:hint="eastAsia" w:ascii="宋体" w:hAnsi="宋体" w:eastAsia="宋体" w:cs="宋体"/>
          <w:color w:val="000000"/>
          <w:sz w:val="21"/>
          <w:szCs w:val="21"/>
          <w:highlight w:val="none"/>
        </w:rPr>
        <w:t>5.1 质量要求</w:t>
      </w:r>
      <w:bookmarkEnd w:id="296"/>
      <w:bookmarkEnd w:id="297"/>
      <w:bookmarkEnd w:id="298"/>
      <w:bookmarkEnd w:id="299"/>
    </w:p>
    <w:p w14:paraId="19899E8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5</w:t>
      </w:r>
      <w:bookmarkStart w:id="300" w:name="_Toc303539106"/>
      <w:bookmarkStart w:id="301" w:name="_Toc304295527"/>
      <w:bookmarkStart w:id="302" w:name="_Toc300934949"/>
      <w:bookmarkStart w:id="303" w:name="_Toc297123496"/>
      <w:bookmarkStart w:id="304" w:name="_Toc312677997"/>
      <w:bookmarkStart w:id="305" w:name="_Toc318581164"/>
      <w:bookmarkStart w:id="306" w:name="_Toc297216155"/>
      <w:r>
        <w:rPr>
          <w:rFonts w:hint="eastAsia" w:ascii="宋体" w:hAnsi="宋体" w:eastAsia="宋体" w:cs="宋体"/>
          <w:color w:val="000000"/>
          <w:sz w:val="21"/>
          <w:szCs w:val="21"/>
          <w:highlight w:val="none"/>
        </w:rPr>
        <w:t>.1.1 特殊质量标准和要求：</w:t>
      </w:r>
      <w:r>
        <w:rPr>
          <w:rStyle w:val="24"/>
          <w:rFonts w:hint="eastAsia" w:ascii="Calibri" w:hAnsi="Calibri" w:eastAsia="宋体" w:cs="Times New Roman"/>
          <w:color w:val="auto"/>
          <w:highlight w:val="none"/>
          <w:u w:val="single"/>
        </w:rPr>
        <w:t>达到国家建设工程施工质量验收规范合格标准</w:t>
      </w:r>
      <w:r>
        <w:rPr>
          <w:rStyle w:val="24"/>
          <w:rFonts w:hint="eastAsia" w:ascii="Calibri" w:hAnsi="Calibri" w:eastAsia="宋体" w:cs="Times New Roman"/>
          <w:color w:val="auto"/>
          <w:highlight w:val="none"/>
          <w:u w:val="single"/>
          <w:lang w:eastAsia="zh-CN"/>
        </w:rPr>
        <w:t>，</w:t>
      </w:r>
      <w:r>
        <w:rPr>
          <w:rFonts w:hint="eastAsia" w:ascii="宋体" w:hAnsi="宋体" w:eastAsia="宋体" w:cs="宋体"/>
          <w:color w:val="000000"/>
          <w:sz w:val="21"/>
          <w:szCs w:val="21"/>
          <w:highlight w:val="none"/>
          <w:u w:val="single"/>
        </w:rPr>
        <w:t>严格执行广西壮族自治区住房和城乡建设厅《关于严格实行房屋建筑和市政基础设施工程质量终身责任承诺、永久性质量责任标牌、终身责任信息档案等制度的通知》(桂建管[2014]96号)要求，落实建设工程质量终身责任。</w:t>
      </w:r>
    </w:p>
    <w:p w14:paraId="199A44F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关于工程奖项的约定：</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7FCB4CC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5.3 隐蔽工程检查</w:t>
      </w:r>
    </w:p>
    <w:p w14:paraId="7755301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5.3.2承包人提前通知监理人隐蔽工程检查的期限的约定：</w:t>
      </w:r>
      <w:r>
        <w:rPr>
          <w:rFonts w:hint="eastAsia" w:ascii="宋体" w:hAnsi="宋体" w:eastAsia="宋体" w:cs="宋体"/>
          <w:bCs/>
          <w:color w:val="000000"/>
          <w:sz w:val="21"/>
          <w:szCs w:val="21"/>
          <w:highlight w:val="non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001F543">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监理人不能按时进行检查时，应提前</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24</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小时提交书面延期要求。</w:t>
      </w:r>
    </w:p>
    <w:p w14:paraId="4DA03E9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关于延期最长不得超过：</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48</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小时。</w:t>
      </w:r>
    </w:p>
    <w:p w14:paraId="0680E2EB">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307" w:name="_Toc389065285"/>
      <w:bookmarkStart w:id="308" w:name="_Toc16364"/>
      <w:bookmarkStart w:id="309" w:name="_Toc351203638"/>
      <w:bookmarkStart w:id="310" w:name="_Toc373478366"/>
      <w:bookmarkStart w:id="311" w:name="_Toc373227719"/>
      <w:r>
        <w:rPr>
          <w:rFonts w:hint="eastAsia" w:ascii="宋体" w:hAnsi="宋体" w:eastAsia="宋体" w:cs="宋体"/>
          <w:color w:val="000000"/>
          <w:sz w:val="21"/>
          <w:szCs w:val="21"/>
          <w:highlight w:val="none"/>
        </w:rPr>
        <w:t>6. 安全文明施工与环境保护</w:t>
      </w:r>
      <w:bookmarkEnd w:id="307"/>
      <w:bookmarkEnd w:id="308"/>
      <w:bookmarkEnd w:id="309"/>
      <w:bookmarkEnd w:id="310"/>
      <w:bookmarkEnd w:id="311"/>
    </w:p>
    <w:p w14:paraId="0AE3305C">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312" w:name="_Toc373478367"/>
      <w:bookmarkStart w:id="313" w:name="_Toc373227720"/>
      <w:bookmarkStart w:id="314" w:name="_Toc19419"/>
      <w:bookmarkStart w:id="315" w:name="_Toc389065286"/>
      <w:r>
        <w:rPr>
          <w:rFonts w:hint="eastAsia" w:ascii="宋体" w:hAnsi="宋体" w:eastAsia="宋体" w:cs="宋体"/>
          <w:color w:val="000000"/>
          <w:sz w:val="21"/>
          <w:szCs w:val="21"/>
          <w:highlight w:val="none"/>
        </w:rPr>
        <w:t>6.1 安全文明施工</w:t>
      </w:r>
      <w:bookmarkEnd w:id="312"/>
      <w:bookmarkEnd w:id="313"/>
      <w:bookmarkEnd w:id="314"/>
      <w:bookmarkEnd w:id="315"/>
    </w:p>
    <w:p w14:paraId="565172B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6.1.1 项目安全生产的达标目标及相应事项的约定：</w:t>
      </w:r>
      <w:r>
        <w:rPr>
          <w:rFonts w:hint="eastAsia" w:ascii="宋体" w:hAnsi="宋体" w:eastAsia="宋体" w:cs="宋体"/>
          <w:color w:val="000000"/>
          <w:sz w:val="21"/>
          <w:szCs w:val="21"/>
          <w:highlight w:val="none"/>
          <w:u w:val="single"/>
        </w:rPr>
        <w:t xml:space="preserve">   按合同通用条款 6.1.1 款执行 。</w:t>
      </w:r>
    </w:p>
    <w:p w14:paraId="5EB8002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关于安全文明施工奖项的约定：</w:t>
      </w:r>
      <w:r>
        <w:rPr>
          <w:rFonts w:hint="eastAsia" w:ascii="宋体" w:hAnsi="宋体" w:eastAsia="宋体" w:cs="宋体"/>
          <w:color w:val="000000"/>
          <w:sz w:val="21"/>
          <w:szCs w:val="21"/>
          <w:highlight w:val="none"/>
          <w:u w:val="single"/>
        </w:rPr>
        <w:t xml:space="preserve">   无   </w:t>
      </w:r>
      <w:r>
        <w:rPr>
          <w:rFonts w:hint="eastAsia" w:ascii="宋体" w:hAnsi="宋体" w:eastAsia="宋体" w:cs="宋体"/>
          <w:color w:val="000000"/>
          <w:sz w:val="21"/>
          <w:szCs w:val="21"/>
          <w:highlight w:val="none"/>
        </w:rPr>
        <w:t>。</w:t>
      </w:r>
    </w:p>
    <w:p w14:paraId="0E4C856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6.1.4 关于治安保卫的特别约定：</w:t>
      </w:r>
      <w:r>
        <w:rPr>
          <w:rFonts w:hint="eastAsia" w:ascii="宋体" w:hAnsi="宋体" w:eastAsia="宋体" w:cs="宋体"/>
          <w:color w:val="000000"/>
          <w:sz w:val="21"/>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1B3C34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关于编制施工场地治安管理计划的约定：</w:t>
      </w:r>
      <w:r>
        <w:rPr>
          <w:rFonts w:hint="eastAsia" w:ascii="宋体" w:hAnsi="宋体" w:eastAsia="宋体" w:cs="宋体"/>
          <w:color w:val="000000"/>
          <w:sz w:val="21"/>
          <w:szCs w:val="21"/>
          <w:highlight w:val="none"/>
          <w:u w:val="single"/>
        </w:rPr>
        <w:t xml:space="preserve">       按通用条款 6.1.4 执行      </w:t>
      </w:r>
      <w:r>
        <w:rPr>
          <w:rFonts w:hint="eastAsia" w:ascii="宋体" w:hAnsi="宋体" w:eastAsia="宋体" w:cs="宋体"/>
          <w:color w:val="000000"/>
          <w:sz w:val="21"/>
          <w:szCs w:val="21"/>
          <w:highlight w:val="none"/>
        </w:rPr>
        <w:t>。</w:t>
      </w:r>
    </w:p>
    <w:p w14:paraId="5231374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6.1.5 文明施工</w:t>
      </w:r>
    </w:p>
    <w:p w14:paraId="45DCFC00">
      <w:pPr>
        <w:pStyle w:val="37"/>
        <w:pageBreakBefore w:val="0"/>
        <w:kinsoku/>
        <w:overflowPunct/>
        <w:topLinePunct w:val="0"/>
        <w:bidi w:val="0"/>
        <w:spacing w:line="360" w:lineRule="auto"/>
        <w:ind w:firstLine="420" w:firstLineChars="200"/>
        <w:jc w:val="left"/>
        <w:outlineLvl w:val="9"/>
        <w:rPr>
          <w:rStyle w:val="24"/>
          <w:rFonts w:hint="eastAsia" w:ascii="Calibri" w:hAnsi="Calibri" w:eastAsia="宋体" w:cs="宋体"/>
          <w:color w:val="auto"/>
          <w:highlight w:val="none"/>
        </w:rPr>
      </w:pPr>
      <w:bookmarkStart w:id="316" w:name="_Toc373478368"/>
      <w:bookmarkStart w:id="317" w:name="_Toc373227721"/>
      <w:bookmarkStart w:id="318" w:name="_Toc389065287"/>
      <w:r>
        <w:rPr>
          <w:rStyle w:val="24"/>
          <w:rFonts w:hint="eastAsia" w:ascii="Calibri" w:hAnsi="宋体" w:eastAsia="宋体" w:cs="宋体"/>
          <w:color w:val="auto"/>
          <w:highlight w:val="none"/>
        </w:rPr>
        <w:t>合同当事人对文明施工的要求：</w:t>
      </w:r>
      <w:r>
        <w:rPr>
          <w:rFonts w:hint="eastAsia" w:ascii="宋体" w:hAnsi="宋体" w:eastAsia="宋体" w:cs="宋体"/>
          <w:color w:val="000000"/>
          <w:kern w:val="2"/>
          <w:sz w:val="21"/>
          <w:szCs w:val="21"/>
          <w:highlight w:val="none"/>
          <w:u w:val="single"/>
          <w:lang w:val="en-US" w:eastAsia="zh-CN" w:bidi="ar-SA"/>
        </w:rPr>
        <w:t xml:space="preserve">要求达到《建筑施工安全检查标准》（JGJ59-2011)的标准和符合《广西壮族自治区建设工程安全文明施工费使用管理细则》（桂建质〔2015〕16号）的要求 </w:t>
      </w:r>
      <w:r>
        <w:rPr>
          <w:rStyle w:val="24"/>
          <w:rFonts w:hint="eastAsia" w:ascii="Calibri" w:hAnsi="Calibri" w:eastAsia="宋体" w:cs="宋体"/>
          <w:color w:val="auto"/>
          <w:highlight w:val="none"/>
        </w:rPr>
        <w:t>。</w:t>
      </w:r>
    </w:p>
    <w:p w14:paraId="4EF025F8">
      <w:pPr>
        <w:pStyle w:val="37"/>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6.1.6 关于安全文明施工费支付比例和支付期限的约定：</w:t>
      </w:r>
    </w:p>
    <w:p w14:paraId="097FBE41">
      <w:pPr>
        <w:pStyle w:val="37"/>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（1）本合同价款已包含安全文明施工费</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元。</w:t>
      </w:r>
    </w:p>
    <w:p w14:paraId="36215444">
      <w:pPr>
        <w:pStyle w:val="37"/>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（2）使用要求：专款专用。具体按</w:t>
      </w:r>
      <w:r>
        <w:rPr>
          <w:rFonts w:hint="eastAsia" w:ascii="宋体" w:hAnsi="宋体" w:eastAsia="宋体" w:cs="宋体"/>
          <w:color w:val="000000"/>
          <w:kern w:val="0"/>
          <w:sz w:val="21"/>
          <w:szCs w:val="21"/>
          <w:highlight w:val="none"/>
          <w:u w:val="single"/>
        </w:rPr>
        <w:t>《广西壮族自治区建设工程安全文明施工费使用管理细则》（桂建质〔2015〕16号）</w:t>
      </w:r>
      <w:r>
        <w:rPr>
          <w:rFonts w:hint="eastAsia" w:ascii="宋体" w:hAnsi="宋体" w:cs="宋体"/>
          <w:color w:val="000000"/>
          <w:kern w:val="0"/>
          <w:sz w:val="21"/>
          <w:szCs w:val="21"/>
          <w:highlight w:val="none"/>
          <w:u w:val="none"/>
          <w:lang w:val="en-US" w:eastAsia="zh-CN"/>
        </w:rPr>
        <w:t>和</w:t>
      </w:r>
      <w:r>
        <w:rPr>
          <w:rFonts w:hint="eastAsia" w:ascii="宋体" w:hAnsi="宋体" w:cs="宋体"/>
          <w:color w:val="000000"/>
          <w:kern w:val="0"/>
          <w:sz w:val="21"/>
          <w:szCs w:val="21"/>
          <w:highlight w:val="none"/>
          <w:u w:val="single"/>
          <w:lang w:val="en-US" w:eastAsia="zh-CN"/>
        </w:rPr>
        <w:t>防城港</w:t>
      </w:r>
      <w:r>
        <w:rPr>
          <w:rFonts w:hint="eastAsia" w:ascii="宋体" w:hAnsi="宋体" w:cs="宋体"/>
          <w:color w:val="000000"/>
          <w:kern w:val="0"/>
          <w:sz w:val="21"/>
          <w:szCs w:val="21"/>
          <w:highlight w:val="none"/>
          <w:u w:val="none"/>
          <w:lang w:val="en-US" w:eastAsia="zh-CN"/>
        </w:rPr>
        <w:t>市</w:t>
      </w:r>
      <w:r>
        <w:rPr>
          <w:rFonts w:hint="eastAsia" w:ascii="宋体" w:hAnsi="宋体" w:eastAsia="宋体" w:cs="宋体"/>
          <w:color w:val="000000"/>
          <w:kern w:val="0"/>
          <w:sz w:val="21"/>
          <w:szCs w:val="21"/>
          <w:highlight w:val="none"/>
        </w:rPr>
        <w:t>相关规定执行。</w:t>
      </w:r>
    </w:p>
    <w:p w14:paraId="403B7BE6">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（3）支付约定：</w:t>
      </w:r>
      <w:r>
        <w:rPr>
          <w:rStyle w:val="24"/>
          <w:rFonts w:hint="eastAsia" w:ascii="Calibri" w:hAnsi="Calibri" w:eastAsia="宋体" w:cs="宋体"/>
          <w:color w:val="auto"/>
          <w:kern w:val="0"/>
          <w:highlight w:val="none"/>
        </w:rPr>
        <w:t>结合项目实际情况，安全文明施工费与工程款同期支付</w:t>
      </w:r>
      <w:r>
        <w:rPr>
          <w:rFonts w:hint="eastAsia" w:ascii="宋体" w:hAnsi="宋体" w:eastAsia="宋体" w:cs="宋体"/>
          <w:color w:val="000000"/>
          <w:sz w:val="21"/>
          <w:szCs w:val="21"/>
          <w:highlight w:val="none"/>
        </w:rPr>
        <w:t>。</w:t>
      </w:r>
    </w:p>
    <w:p w14:paraId="6F473774">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（4）建设单位按规定将安全生产费用转入施工单位设立的安全生产费用专户。</w:t>
      </w:r>
    </w:p>
    <w:p w14:paraId="62C435DA">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（5）工程施工完成后安全生产费用尚有结余的，结余部分由建设单位收回。</w:t>
      </w:r>
    </w:p>
    <w:p w14:paraId="491A65F6">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（6）施工单位将安全生产费用使用情况定期报告建设单位和监理单位，并提供相应的材料接受建设行政主管部门对此事项监管。</w:t>
      </w:r>
    </w:p>
    <w:p w14:paraId="58980C8E">
      <w:pPr>
        <w:pStyle w:val="37"/>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（7）安全生产费用专户：       安全生产费用专户。     账号：        。</w:t>
      </w:r>
    </w:p>
    <w:p w14:paraId="53C6BAC1">
      <w:pPr>
        <w:pageBreakBefore w:val="0"/>
        <w:kinsoku/>
        <w:overflowPunct/>
        <w:topLinePunct w:val="0"/>
        <w:bidi w:val="0"/>
        <w:spacing w:line="360" w:lineRule="auto"/>
        <w:outlineLvl w:val="9"/>
        <w:rPr>
          <w:rFonts w:hint="eastAsia" w:ascii="宋体" w:hAnsi="宋体" w:eastAsia="宋体" w:cs="宋体"/>
          <w:b w:val="0"/>
          <w:bCs w:val="0"/>
          <w:color w:val="000000"/>
          <w:kern w:val="0"/>
          <w:sz w:val="21"/>
          <w:szCs w:val="21"/>
          <w:highlight w:val="none"/>
        </w:rPr>
      </w:pPr>
      <w:bookmarkStart w:id="319" w:name="_Toc30263"/>
      <w:r>
        <w:rPr>
          <w:rFonts w:hint="eastAsia" w:ascii="宋体" w:hAnsi="宋体" w:eastAsia="宋体" w:cs="宋体"/>
          <w:color w:val="000000"/>
          <w:sz w:val="21"/>
          <w:szCs w:val="21"/>
          <w:highlight w:val="none"/>
        </w:rPr>
        <w:t xml:space="preserve">6.3 </w:t>
      </w:r>
      <w:r>
        <w:rPr>
          <w:rFonts w:hint="eastAsia" w:ascii="宋体" w:hAnsi="宋体" w:eastAsia="宋体" w:cs="宋体"/>
          <w:b w:val="0"/>
          <w:bCs w:val="0"/>
          <w:color w:val="000000"/>
          <w:kern w:val="0"/>
          <w:sz w:val="21"/>
          <w:szCs w:val="21"/>
          <w:highlight w:val="none"/>
        </w:rPr>
        <w:t>环境保护</w:t>
      </w:r>
      <w:bookmarkEnd w:id="316"/>
      <w:bookmarkEnd w:id="317"/>
      <w:bookmarkEnd w:id="318"/>
      <w:bookmarkEnd w:id="319"/>
    </w:p>
    <w:p w14:paraId="45C9EF0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因施工需要，经发包人批准，由承包人办理有关施工场地交通、环卫和施工噪音管理等手续，费用由承包人负责。</w:t>
      </w:r>
    </w:p>
    <w:p w14:paraId="469591C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经过城市道路的施工车辆，必须按交警、城管、运输等部门相关规定执行。由于施工车辆造成的道路、环境等污染，其责任和费用均由承包人承担。</w:t>
      </w:r>
    </w:p>
    <w:bookmarkEnd w:id="300"/>
    <w:bookmarkEnd w:id="301"/>
    <w:bookmarkEnd w:id="302"/>
    <w:bookmarkEnd w:id="303"/>
    <w:bookmarkEnd w:id="304"/>
    <w:bookmarkEnd w:id="305"/>
    <w:bookmarkEnd w:id="306"/>
    <w:p w14:paraId="3D47F90F">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320" w:name="_Toc389065288"/>
      <w:bookmarkStart w:id="321" w:name="_Toc373478369"/>
      <w:bookmarkStart w:id="322" w:name="_Toc373227722"/>
      <w:bookmarkStart w:id="323" w:name="_Toc351203639"/>
      <w:bookmarkStart w:id="324" w:name="_Toc89"/>
      <w:r>
        <w:rPr>
          <w:rFonts w:hint="eastAsia" w:ascii="宋体" w:hAnsi="宋体" w:eastAsia="宋体" w:cs="宋体"/>
          <w:color w:val="000000"/>
          <w:sz w:val="21"/>
          <w:szCs w:val="21"/>
          <w:highlight w:val="none"/>
        </w:rPr>
        <w:t>7. 工期和进度</w:t>
      </w:r>
      <w:bookmarkEnd w:id="320"/>
      <w:bookmarkEnd w:id="321"/>
      <w:bookmarkEnd w:id="322"/>
      <w:bookmarkEnd w:id="323"/>
      <w:bookmarkEnd w:id="324"/>
    </w:p>
    <w:p w14:paraId="64C44266">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325" w:name="_Toc373227723"/>
      <w:bookmarkStart w:id="326" w:name="_Toc389065289"/>
      <w:bookmarkStart w:id="327" w:name="_Toc11077"/>
      <w:bookmarkStart w:id="328" w:name="_Toc373478370"/>
      <w:r>
        <w:rPr>
          <w:rFonts w:hint="eastAsia" w:ascii="宋体" w:hAnsi="宋体" w:eastAsia="宋体" w:cs="宋体"/>
          <w:color w:val="000000"/>
          <w:sz w:val="21"/>
          <w:szCs w:val="21"/>
          <w:highlight w:val="none"/>
        </w:rPr>
        <w:t>7.1 施工组织设计</w:t>
      </w:r>
      <w:bookmarkEnd w:id="325"/>
      <w:bookmarkEnd w:id="326"/>
      <w:bookmarkEnd w:id="327"/>
      <w:bookmarkEnd w:id="328"/>
    </w:p>
    <w:p w14:paraId="0F1C9ABD">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7.1.1 合同当事人约定的施工组织设计应包括的其他内容：</w:t>
      </w:r>
      <w:r>
        <w:rPr>
          <w:rFonts w:hint="eastAsia" w:ascii="宋体" w:hAnsi="宋体" w:eastAsia="宋体" w:cs="宋体"/>
          <w:color w:val="000000"/>
          <w:sz w:val="21"/>
          <w:szCs w:val="21"/>
          <w:highlight w:val="none"/>
          <w:u w:val="single"/>
        </w:rPr>
        <w:t xml:space="preserve"> 按有关规定执行  </w:t>
      </w:r>
      <w:r>
        <w:rPr>
          <w:rFonts w:hint="eastAsia" w:ascii="宋体" w:hAnsi="宋体" w:eastAsia="宋体" w:cs="宋体"/>
          <w:color w:val="000000"/>
          <w:sz w:val="21"/>
          <w:szCs w:val="21"/>
          <w:highlight w:val="none"/>
        </w:rPr>
        <w:t>。</w:t>
      </w:r>
    </w:p>
    <w:p w14:paraId="2E92B962">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7.1.2 施工组织设计的提交和修改</w:t>
      </w:r>
    </w:p>
    <w:p w14:paraId="5ED5D8D1">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承包人提交详细施工组织设计的期限的约定：</w:t>
      </w:r>
      <w:r>
        <w:rPr>
          <w:rFonts w:hint="eastAsia" w:ascii="宋体" w:hAnsi="宋体" w:eastAsia="宋体" w:cs="宋体"/>
          <w:color w:val="000000"/>
          <w:sz w:val="21"/>
          <w:szCs w:val="21"/>
          <w:highlight w:val="none"/>
          <w:u w:val="single"/>
        </w:rPr>
        <w:t xml:space="preserve">  工程开工前</w:t>
      </w:r>
      <w:r>
        <w:rPr>
          <w:rFonts w:hint="eastAsia" w:ascii="宋体" w:hAnsi="宋体" w:eastAsia="宋体" w:cs="宋体"/>
          <w:color w:val="000000"/>
          <w:sz w:val="21"/>
          <w:szCs w:val="21"/>
          <w:highlight w:val="none"/>
          <w:u w:val="single"/>
          <w:lang w:val="en-US" w:eastAsia="zh-CN"/>
        </w:rPr>
        <w:t>7个工作日</w:t>
      </w:r>
      <w:r>
        <w:rPr>
          <w:rFonts w:hint="eastAsia" w:ascii="宋体" w:hAnsi="宋体" w:eastAsia="宋体" w:cs="宋体"/>
          <w:color w:val="000000"/>
          <w:sz w:val="21"/>
          <w:szCs w:val="21"/>
          <w:highlight w:val="none"/>
          <w:u w:val="single"/>
        </w:rPr>
        <w:t xml:space="preserve">内   </w:t>
      </w:r>
      <w:r>
        <w:rPr>
          <w:rFonts w:hint="eastAsia" w:ascii="宋体" w:hAnsi="宋体" w:eastAsia="宋体" w:cs="宋体"/>
          <w:color w:val="000000"/>
          <w:sz w:val="21"/>
          <w:szCs w:val="21"/>
          <w:highlight w:val="none"/>
        </w:rPr>
        <w:t>。</w:t>
      </w:r>
    </w:p>
    <w:p w14:paraId="13A7804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发包人和监理人在收到详细的施工组织设计后确认或提出修改意见的期限：</w:t>
      </w:r>
      <w:r>
        <w:rPr>
          <w:rFonts w:hint="eastAsia" w:ascii="宋体" w:hAnsi="宋体" w:eastAsia="宋体" w:cs="宋体"/>
          <w:color w:val="000000"/>
          <w:sz w:val="21"/>
          <w:szCs w:val="21"/>
          <w:highlight w:val="none"/>
          <w:u w:val="single"/>
        </w:rPr>
        <w:t xml:space="preserve">  从收到承包人提供的施工组织设计（施工方案）之日起七天内予以确认，如有重大异议必须在收到上述资料之日起五天内以书面形式送达承包人，逾期不确认也不提出书面意见的，视为同意   </w:t>
      </w:r>
      <w:r>
        <w:rPr>
          <w:rFonts w:hint="eastAsia" w:ascii="宋体" w:hAnsi="宋体" w:eastAsia="宋体" w:cs="宋体"/>
          <w:color w:val="000000"/>
          <w:sz w:val="21"/>
          <w:szCs w:val="21"/>
          <w:highlight w:val="none"/>
        </w:rPr>
        <w:t>。</w:t>
      </w:r>
    </w:p>
    <w:p w14:paraId="11D49805">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329" w:name="_Toc373227724"/>
      <w:bookmarkStart w:id="330" w:name="_Toc389065290"/>
      <w:bookmarkStart w:id="331" w:name="_Toc373478371"/>
      <w:bookmarkStart w:id="332" w:name="_Toc24506"/>
      <w:r>
        <w:rPr>
          <w:rFonts w:hint="eastAsia" w:ascii="宋体" w:hAnsi="宋体" w:eastAsia="宋体" w:cs="宋体"/>
          <w:color w:val="000000"/>
          <w:sz w:val="21"/>
          <w:szCs w:val="21"/>
          <w:highlight w:val="none"/>
        </w:rPr>
        <w:t>7</w:t>
      </w:r>
      <w:bookmarkStart w:id="333" w:name="_Toc312677479"/>
      <w:bookmarkStart w:id="334" w:name="_Toc303539123"/>
      <w:bookmarkStart w:id="335" w:name="_Toc312678005"/>
      <w:bookmarkStart w:id="336" w:name="_Toc297123514"/>
      <w:bookmarkStart w:id="337" w:name="_Toc297216173"/>
      <w:bookmarkStart w:id="338" w:name="_Toc300934966"/>
      <w:bookmarkStart w:id="339" w:name="_Toc304295541"/>
      <w:r>
        <w:rPr>
          <w:rFonts w:hint="eastAsia" w:ascii="宋体" w:hAnsi="宋体" w:eastAsia="宋体" w:cs="宋体"/>
          <w:color w:val="000000"/>
          <w:sz w:val="21"/>
          <w:szCs w:val="21"/>
          <w:highlight w:val="none"/>
        </w:rPr>
        <w:t>.2 施工进度计划</w:t>
      </w:r>
      <w:bookmarkEnd w:id="329"/>
      <w:bookmarkEnd w:id="330"/>
      <w:bookmarkEnd w:id="331"/>
      <w:bookmarkEnd w:id="332"/>
    </w:p>
    <w:p w14:paraId="1F3B48E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7.2.2 施工进度计划的修订</w:t>
      </w:r>
    </w:p>
    <w:p w14:paraId="2DA9851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发包人和监理人在收到修订的施工进度计划后确认或提出修改意见的期限： </w:t>
      </w:r>
      <w:r>
        <w:rPr>
          <w:rFonts w:hint="eastAsia" w:ascii="宋体" w:hAnsi="宋体" w:eastAsia="宋体" w:cs="宋体"/>
          <w:color w:val="000000"/>
          <w:sz w:val="21"/>
          <w:szCs w:val="21"/>
          <w:highlight w:val="none"/>
          <w:u w:val="single"/>
        </w:rPr>
        <w:t xml:space="preserve">收到之后3 </w:t>
      </w:r>
      <w:r>
        <w:rPr>
          <w:rFonts w:hint="eastAsia" w:ascii="宋体" w:hAnsi="宋体" w:eastAsia="宋体" w:cs="宋体"/>
          <w:color w:val="000000"/>
          <w:sz w:val="21"/>
          <w:szCs w:val="21"/>
          <w:highlight w:val="none"/>
          <w:u w:val="single"/>
          <w:lang w:val="en-US" w:eastAsia="zh-CN"/>
        </w:rPr>
        <w:t>个工作</w:t>
      </w:r>
      <w:r>
        <w:rPr>
          <w:rFonts w:hint="eastAsia" w:ascii="宋体" w:hAnsi="宋体" w:eastAsia="宋体" w:cs="宋体"/>
          <w:color w:val="000000"/>
          <w:sz w:val="21"/>
          <w:szCs w:val="21"/>
          <w:highlight w:val="none"/>
          <w:u w:val="single"/>
        </w:rPr>
        <w:t xml:space="preserve">日内 </w:t>
      </w:r>
      <w:r>
        <w:rPr>
          <w:rFonts w:hint="eastAsia" w:ascii="宋体" w:hAnsi="宋体" w:eastAsia="宋体" w:cs="宋体"/>
          <w:color w:val="000000"/>
          <w:sz w:val="21"/>
          <w:szCs w:val="21"/>
          <w:highlight w:val="none"/>
        </w:rPr>
        <w:t xml:space="preserve"> 。</w:t>
      </w:r>
    </w:p>
    <w:p w14:paraId="78A877B6">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340" w:name="_Toc373478372"/>
      <w:bookmarkStart w:id="341" w:name="_Toc373227725"/>
      <w:bookmarkStart w:id="342" w:name="_Toc12066"/>
      <w:bookmarkStart w:id="343" w:name="_Toc389065291"/>
      <w:r>
        <w:rPr>
          <w:rFonts w:hint="eastAsia" w:ascii="宋体" w:hAnsi="宋体" w:eastAsia="宋体" w:cs="宋体"/>
          <w:color w:val="000000"/>
          <w:sz w:val="21"/>
          <w:szCs w:val="21"/>
          <w:highlight w:val="none"/>
        </w:rPr>
        <w:t>7.3 开工</w:t>
      </w:r>
      <w:bookmarkEnd w:id="340"/>
      <w:bookmarkEnd w:id="341"/>
      <w:bookmarkEnd w:id="342"/>
      <w:bookmarkEnd w:id="343"/>
    </w:p>
    <w:p w14:paraId="53D18FD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7.3.1 开工准备</w:t>
      </w:r>
    </w:p>
    <w:p w14:paraId="2767C17A">
      <w:pPr>
        <w:pageBreakBefore w:val="0"/>
        <w:kinsoku/>
        <w:overflowPunct/>
        <w:topLinePunct w:val="0"/>
        <w:bidi w:val="0"/>
        <w:spacing w:line="360" w:lineRule="auto"/>
        <w:ind w:firstLine="426"/>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关于承包人提交工程开工报审表的期限：</w:t>
      </w:r>
      <w:r>
        <w:rPr>
          <w:rFonts w:hint="eastAsia" w:ascii="宋体" w:hAnsi="宋体" w:eastAsia="宋体" w:cs="宋体"/>
          <w:color w:val="000000"/>
          <w:sz w:val="21"/>
          <w:szCs w:val="21"/>
          <w:highlight w:val="none"/>
          <w:u w:val="single"/>
        </w:rPr>
        <w:t xml:space="preserve">  承包人在图纸会审和设计交底之日起 7 </w:t>
      </w:r>
      <w:r>
        <w:rPr>
          <w:rFonts w:hint="eastAsia" w:ascii="宋体" w:hAnsi="宋体" w:eastAsia="宋体" w:cs="宋体"/>
          <w:color w:val="000000"/>
          <w:sz w:val="21"/>
          <w:szCs w:val="21"/>
          <w:highlight w:val="none"/>
          <w:u w:val="single"/>
          <w:lang w:val="en-US" w:eastAsia="zh-CN"/>
        </w:rPr>
        <w:t>个工作日</w:t>
      </w:r>
      <w:r>
        <w:rPr>
          <w:rFonts w:hint="eastAsia" w:ascii="宋体" w:hAnsi="宋体" w:eastAsia="宋体" w:cs="宋体"/>
          <w:color w:val="000000"/>
          <w:sz w:val="21"/>
          <w:szCs w:val="21"/>
          <w:highlight w:val="none"/>
          <w:u w:val="single"/>
        </w:rPr>
        <w:t xml:space="preserve">内报送 </w:t>
      </w:r>
      <w:r>
        <w:rPr>
          <w:rFonts w:hint="eastAsia" w:ascii="宋体" w:hAnsi="宋体" w:eastAsia="宋体" w:cs="宋体"/>
          <w:color w:val="000000"/>
          <w:sz w:val="21"/>
          <w:szCs w:val="21"/>
          <w:highlight w:val="none"/>
        </w:rPr>
        <w:t>。</w:t>
      </w:r>
    </w:p>
    <w:p w14:paraId="3C5BF8F7">
      <w:pPr>
        <w:pageBreakBefore w:val="0"/>
        <w:kinsoku/>
        <w:overflowPunct/>
        <w:topLinePunct w:val="0"/>
        <w:bidi w:val="0"/>
        <w:spacing w:line="360" w:lineRule="auto"/>
        <w:ind w:firstLine="426"/>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关于发包人应完成的其他开工准备工作及期限：</w:t>
      </w:r>
      <w:r>
        <w:rPr>
          <w:rFonts w:hint="eastAsia" w:ascii="宋体" w:hAnsi="宋体" w:eastAsia="宋体" w:cs="宋体"/>
          <w:color w:val="000000"/>
          <w:sz w:val="21"/>
          <w:szCs w:val="21"/>
          <w:highlight w:val="none"/>
          <w:u w:val="single"/>
        </w:rPr>
        <w:t xml:space="preserve">  签订合同后 14 天内 </w:t>
      </w:r>
      <w:r>
        <w:rPr>
          <w:rFonts w:hint="eastAsia" w:ascii="宋体" w:hAnsi="宋体" w:eastAsia="宋体" w:cs="宋体"/>
          <w:color w:val="000000"/>
          <w:sz w:val="21"/>
          <w:szCs w:val="21"/>
          <w:highlight w:val="none"/>
        </w:rPr>
        <w:t>。</w:t>
      </w:r>
    </w:p>
    <w:p w14:paraId="685965E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关于承包人应完成的其他开工准备工作及期限：</w:t>
      </w:r>
      <w:r>
        <w:rPr>
          <w:rFonts w:hint="eastAsia" w:ascii="宋体" w:hAnsi="宋体" w:eastAsia="宋体" w:cs="宋体"/>
          <w:color w:val="000000"/>
          <w:sz w:val="21"/>
          <w:szCs w:val="21"/>
          <w:highlight w:val="none"/>
          <w:u w:val="single"/>
        </w:rPr>
        <w:t xml:space="preserve">  签订合同后 14 天内 </w:t>
      </w:r>
      <w:r>
        <w:rPr>
          <w:rFonts w:hint="eastAsia" w:ascii="宋体" w:hAnsi="宋体" w:eastAsia="宋体" w:cs="宋体"/>
          <w:color w:val="000000"/>
          <w:sz w:val="21"/>
          <w:szCs w:val="21"/>
          <w:highlight w:val="none"/>
        </w:rPr>
        <w:t>。</w:t>
      </w:r>
    </w:p>
    <w:p w14:paraId="0DC01A1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7.3.2 开工通知</w:t>
      </w:r>
    </w:p>
    <w:p w14:paraId="6DF1B3C4">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因发包人原因造成监理人未能在计划开工日期之日起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90</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天内发出开工通知的，承包人有权提出价格调整要求，或者解除合同。</w:t>
      </w:r>
    </w:p>
    <w:bookmarkEnd w:id="333"/>
    <w:bookmarkEnd w:id="334"/>
    <w:bookmarkEnd w:id="335"/>
    <w:bookmarkEnd w:id="336"/>
    <w:bookmarkEnd w:id="337"/>
    <w:bookmarkEnd w:id="338"/>
    <w:bookmarkEnd w:id="339"/>
    <w:p w14:paraId="275C80B6">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344" w:name="_Toc373227726"/>
      <w:bookmarkStart w:id="345" w:name="_Toc373478373"/>
      <w:bookmarkStart w:id="346" w:name="_Toc5444"/>
      <w:bookmarkStart w:id="347" w:name="_Toc389065292"/>
      <w:r>
        <w:rPr>
          <w:rFonts w:hint="eastAsia" w:ascii="宋体" w:hAnsi="宋体" w:eastAsia="宋体" w:cs="宋体"/>
          <w:color w:val="000000"/>
          <w:sz w:val="21"/>
          <w:szCs w:val="21"/>
          <w:highlight w:val="none"/>
        </w:rPr>
        <w:t>7.4 测量放线</w:t>
      </w:r>
      <w:bookmarkEnd w:id="344"/>
      <w:bookmarkEnd w:id="345"/>
      <w:bookmarkEnd w:id="346"/>
      <w:bookmarkEnd w:id="347"/>
    </w:p>
    <w:p w14:paraId="5D53D064">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7.4.1发包人通过监理人向承包人提供测量基准点、基准线和水准点及其书面资料的期限：</w:t>
      </w:r>
    </w:p>
    <w:p w14:paraId="144C8655">
      <w:pPr>
        <w:pageBreakBefore w:val="0"/>
        <w:kinsoku/>
        <w:overflowPunct/>
        <w:topLinePunct w:val="0"/>
        <w:bidi w:val="0"/>
        <w:spacing w:line="360" w:lineRule="auto"/>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开工日期前七天内 </w:t>
      </w:r>
      <w:r>
        <w:rPr>
          <w:rFonts w:hint="eastAsia" w:ascii="宋体" w:hAnsi="宋体" w:eastAsia="宋体" w:cs="宋体"/>
          <w:color w:val="000000"/>
          <w:sz w:val="21"/>
          <w:szCs w:val="21"/>
          <w:highlight w:val="none"/>
        </w:rPr>
        <w:t>。</w:t>
      </w:r>
    </w:p>
    <w:p w14:paraId="198FEFCB">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348" w:name="_Toc389065293"/>
      <w:bookmarkStart w:id="349" w:name="_Toc373227727"/>
      <w:bookmarkStart w:id="350" w:name="_Toc373478374"/>
      <w:bookmarkStart w:id="351" w:name="_Toc21949"/>
      <w:r>
        <w:rPr>
          <w:rFonts w:hint="eastAsia" w:ascii="宋体" w:hAnsi="宋体" w:eastAsia="宋体" w:cs="宋体"/>
          <w:color w:val="000000"/>
          <w:sz w:val="21"/>
          <w:szCs w:val="21"/>
          <w:highlight w:val="none"/>
        </w:rPr>
        <w:t>7</w:t>
      </w:r>
      <w:bookmarkStart w:id="352" w:name="_Toc304295546"/>
      <w:bookmarkStart w:id="353" w:name="_Toc303539125"/>
      <w:bookmarkStart w:id="354" w:name="_Toc297216175"/>
      <w:bookmarkStart w:id="355" w:name="_Toc300934968"/>
      <w:bookmarkStart w:id="356" w:name="_Toc312677484"/>
      <w:bookmarkStart w:id="357" w:name="_Toc312678010"/>
      <w:bookmarkStart w:id="358" w:name="_Toc297123516"/>
      <w:r>
        <w:rPr>
          <w:rFonts w:hint="eastAsia" w:ascii="宋体" w:hAnsi="宋体" w:eastAsia="宋体" w:cs="宋体"/>
          <w:color w:val="000000"/>
          <w:sz w:val="21"/>
          <w:szCs w:val="21"/>
          <w:highlight w:val="none"/>
        </w:rPr>
        <w:t>.5 工期延误</w:t>
      </w:r>
      <w:bookmarkEnd w:id="348"/>
      <w:bookmarkEnd w:id="349"/>
      <w:bookmarkEnd w:id="350"/>
      <w:bookmarkEnd w:id="351"/>
    </w:p>
    <w:bookmarkEnd w:id="352"/>
    <w:bookmarkEnd w:id="353"/>
    <w:bookmarkEnd w:id="354"/>
    <w:bookmarkEnd w:id="355"/>
    <w:bookmarkEnd w:id="356"/>
    <w:bookmarkEnd w:id="357"/>
    <w:bookmarkEnd w:id="358"/>
    <w:p w14:paraId="673CAAD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7.5.1 因发包人原因导致工期延误</w:t>
      </w:r>
    </w:p>
    <w:p w14:paraId="0133895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（7）因发包人原因导致工期延误的其他情形：</w:t>
      </w:r>
      <w:r>
        <w:rPr>
          <w:rFonts w:hint="eastAsia" w:ascii="宋体" w:hAnsi="宋体" w:eastAsia="宋体" w:cs="宋体"/>
          <w:color w:val="000000"/>
          <w:sz w:val="21"/>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000000"/>
          <w:sz w:val="21"/>
          <w:szCs w:val="21"/>
          <w:highlight w:val="none"/>
        </w:rPr>
        <w:t xml:space="preserve"> 。</w:t>
      </w:r>
    </w:p>
    <w:p w14:paraId="2AA666A4">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bookmarkStart w:id="359" w:name="_Toc318581169"/>
      <w:bookmarkStart w:id="360" w:name="_Toc312677486"/>
      <w:bookmarkStart w:id="361" w:name="_Toc312678012"/>
      <w:bookmarkStart w:id="362" w:name="_Toc297123518"/>
      <w:bookmarkStart w:id="363" w:name="_Toc300934970"/>
      <w:bookmarkStart w:id="364" w:name="_Toc297216177"/>
      <w:bookmarkStart w:id="365" w:name="_Toc303539127"/>
      <w:bookmarkStart w:id="366" w:name="_Toc304295548"/>
      <w:r>
        <w:rPr>
          <w:rFonts w:hint="eastAsia" w:ascii="宋体" w:hAnsi="宋体" w:eastAsia="宋体" w:cs="宋体"/>
          <w:color w:val="000000"/>
          <w:sz w:val="21"/>
          <w:szCs w:val="21"/>
          <w:highlight w:val="none"/>
        </w:rPr>
        <w:t>.5.2 因承包人原因导致工期延误</w:t>
      </w:r>
    </w:p>
    <w:bookmarkEnd w:id="359"/>
    <w:bookmarkEnd w:id="360"/>
    <w:bookmarkEnd w:id="361"/>
    <w:p w14:paraId="67B4C853">
      <w:pPr>
        <w:pStyle w:val="39"/>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双方约定经监理工程师确认，工期相应顺延的情况： </w:t>
      </w:r>
      <w:r>
        <w:rPr>
          <w:rFonts w:hint="eastAsia" w:ascii="宋体" w:hAnsi="宋体" w:eastAsia="宋体" w:cs="宋体"/>
          <w:color w:val="000000"/>
          <w:kern w:val="0"/>
          <w:sz w:val="21"/>
          <w:szCs w:val="21"/>
          <w:highlight w:val="none"/>
          <w:u w:val="single"/>
        </w:rPr>
        <w:t xml:space="preserve"> 满足专用条款第 7.5.1 条 及专用条款 7.7 条及当地政府指令性要求（包括规划调整、征地等）原因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3EECF92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w:t>
      </w:r>
      <w:bookmarkStart w:id="367" w:name="_Toc312677487"/>
      <w:bookmarkStart w:id="368" w:name="_Toc312678013"/>
      <w:bookmarkStart w:id="369" w:name="_Toc318581170"/>
      <w:r>
        <w:rPr>
          <w:rFonts w:hint="eastAsia" w:ascii="宋体" w:hAnsi="宋体" w:eastAsia="宋体" w:cs="宋体"/>
          <w:color w:val="000000"/>
          <w:sz w:val="21"/>
          <w:szCs w:val="21"/>
          <w:highlight w:val="none"/>
        </w:rPr>
        <w:t>承包人原因造成工期延误，逾期竣工违约金的计算方法为：</w:t>
      </w:r>
      <w:bookmarkEnd w:id="362"/>
      <w:bookmarkEnd w:id="363"/>
      <w:bookmarkEnd w:id="364"/>
      <w:bookmarkEnd w:id="365"/>
      <w:bookmarkEnd w:id="366"/>
      <w:bookmarkEnd w:id="367"/>
      <w:bookmarkEnd w:id="368"/>
      <w:bookmarkEnd w:id="369"/>
      <w:r>
        <w:rPr>
          <w:rFonts w:hint="eastAsia" w:ascii="宋体" w:hAnsi="宋体" w:eastAsia="宋体" w:cs="宋体"/>
          <w:color w:val="000000"/>
          <w:sz w:val="21"/>
          <w:szCs w:val="21"/>
          <w:highlight w:val="none"/>
          <w:u w:val="single"/>
        </w:rPr>
        <w:t>按逾期竣工的单项工程罚款，每延误一天,按单项工程应支付给承包人的结算造价的万分之四处罚,罚款直接从结算款中扣除。误期时间从规定竣工日期起直到实际竣工日期的天数（扣除发包人批准顺延的工期）。</w:t>
      </w:r>
      <w:r>
        <w:rPr>
          <w:rFonts w:hint="eastAsia" w:ascii="宋体" w:hAnsi="宋体" w:eastAsia="宋体" w:cs="宋体"/>
          <w:color w:val="000000"/>
          <w:sz w:val="21"/>
          <w:szCs w:val="21"/>
          <w:highlight w:val="none"/>
        </w:rPr>
        <w:t>因承包人原因造成工期延误，逾期竣工违约金的上限：</w:t>
      </w:r>
      <w:r>
        <w:rPr>
          <w:rFonts w:hint="eastAsia" w:ascii="宋体" w:hAnsi="宋体" w:eastAsia="宋体" w:cs="宋体"/>
          <w:color w:val="000000"/>
          <w:sz w:val="21"/>
          <w:szCs w:val="21"/>
          <w:highlight w:val="none"/>
          <w:u w:val="single"/>
        </w:rPr>
        <w:t>逾期竣工的单位工程合同价扣除建安劳保费、发包人材料价款后的5%</w:t>
      </w:r>
      <w:r>
        <w:rPr>
          <w:rFonts w:hint="eastAsia" w:ascii="宋体" w:hAnsi="宋体" w:eastAsia="宋体" w:cs="宋体"/>
          <w:color w:val="000000"/>
          <w:sz w:val="21"/>
          <w:szCs w:val="21"/>
          <w:highlight w:val="none"/>
        </w:rPr>
        <w:t>。</w:t>
      </w:r>
      <w:bookmarkStart w:id="370" w:name="_Toc318581171"/>
      <w:bookmarkStart w:id="371" w:name="_Toc312678014"/>
    </w:p>
    <w:bookmarkEnd w:id="370"/>
    <w:bookmarkEnd w:id="371"/>
    <w:p w14:paraId="372A2D6C">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372" w:name="_Toc373478375"/>
      <w:bookmarkStart w:id="373" w:name="_Toc373227728"/>
      <w:bookmarkStart w:id="374" w:name="_Toc11238"/>
      <w:bookmarkStart w:id="375" w:name="_Toc389065294"/>
      <w:r>
        <w:rPr>
          <w:rFonts w:hint="eastAsia" w:ascii="宋体" w:hAnsi="宋体" w:eastAsia="宋体" w:cs="宋体"/>
          <w:color w:val="000000"/>
          <w:sz w:val="21"/>
          <w:szCs w:val="21"/>
          <w:highlight w:val="none"/>
        </w:rPr>
        <w:t>7</w:t>
      </w:r>
      <w:bookmarkStart w:id="376" w:name="_Toc304295549"/>
      <w:bookmarkStart w:id="377" w:name="_Toc312678015"/>
      <w:bookmarkStart w:id="378" w:name="_Toc297216178"/>
      <w:bookmarkStart w:id="379" w:name="_Toc303539128"/>
      <w:bookmarkStart w:id="380" w:name="_Toc297123519"/>
      <w:bookmarkStart w:id="381" w:name="_Toc300934971"/>
      <w:r>
        <w:rPr>
          <w:rFonts w:hint="eastAsia" w:ascii="宋体" w:hAnsi="宋体" w:eastAsia="宋体" w:cs="宋体"/>
          <w:color w:val="000000"/>
          <w:sz w:val="21"/>
          <w:szCs w:val="21"/>
          <w:highlight w:val="none"/>
        </w:rPr>
        <w:t>.6 不</w:t>
      </w:r>
      <w:bookmarkEnd w:id="376"/>
      <w:bookmarkEnd w:id="377"/>
      <w:bookmarkEnd w:id="378"/>
      <w:bookmarkEnd w:id="379"/>
      <w:bookmarkEnd w:id="380"/>
      <w:bookmarkEnd w:id="381"/>
      <w:r>
        <w:rPr>
          <w:rFonts w:hint="eastAsia" w:ascii="宋体" w:hAnsi="宋体" w:eastAsia="宋体" w:cs="宋体"/>
          <w:color w:val="000000"/>
          <w:sz w:val="21"/>
          <w:szCs w:val="21"/>
          <w:highlight w:val="none"/>
        </w:rPr>
        <w:t>利物质条件</w:t>
      </w:r>
      <w:bookmarkEnd w:id="372"/>
      <w:bookmarkEnd w:id="373"/>
      <w:bookmarkEnd w:id="374"/>
      <w:bookmarkEnd w:id="375"/>
    </w:p>
    <w:p w14:paraId="1A6D76E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bookmarkStart w:id="382" w:name="_Toc304295550"/>
      <w:bookmarkStart w:id="383" w:name="_Toc312678016"/>
      <w:bookmarkStart w:id="384" w:name="_Toc300934972"/>
      <w:bookmarkStart w:id="385" w:name="_Toc318581172"/>
      <w:bookmarkStart w:id="386" w:name="_Toc303539129"/>
      <w:bookmarkStart w:id="387" w:name="_Toc297216179"/>
      <w:bookmarkStart w:id="388" w:name="_Toc297123520"/>
      <w:r>
        <w:rPr>
          <w:rFonts w:hint="eastAsia" w:ascii="宋体" w:hAnsi="宋体" w:eastAsia="宋体" w:cs="宋体"/>
          <w:color w:val="000000"/>
          <w:sz w:val="21"/>
          <w:szCs w:val="21"/>
          <w:highlight w:val="none"/>
        </w:rPr>
        <w:t>不利物质条件的其他情形和有关约定：</w:t>
      </w:r>
      <w:r>
        <w:rPr>
          <w:rFonts w:hint="eastAsia" w:ascii="宋体" w:hAnsi="宋体" w:eastAsia="宋体" w:cs="宋体"/>
          <w:color w:val="000000"/>
          <w:sz w:val="21"/>
          <w:szCs w:val="21"/>
          <w:highlight w:val="none"/>
          <w:u w:val="single"/>
        </w:rPr>
        <w:t xml:space="preserve"> 以有关部门发布的文告或文件为准  </w:t>
      </w:r>
      <w:r>
        <w:rPr>
          <w:rFonts w:hint="eastAsia" w:ascii="宋体" w:hAnsi="宋体" w:eastAsia="宋体" w:cs="宋体"/>
          <w:color w:val="000000"/>
          <w:sz w:val="21"/>
          <w:szCs w:val="21"/>
          <w:highlight w:val="none"/>
        </w:rPr>
        <w:t>。</w:t>
      </w:r>
    </w:p>
    <w:bookmarkEnd w:id="382"/>
    <w:bookmarkEnd w:id="383"/>
    <w:bookmarkEnd w:id="384"/>
    <w:bookmarkEnd w:id="385"/>
    <w:bookmarkEnd w:id="386"/>
    <w:bookmarkEnd w:id="387"/>
    <w:bookmarkEnd w:id="388"/>
    <w:p w14:paraId="32E3445B">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389" w:name="_Toc373478376"/>
      <w:bookmarkStart w:id="390" w:name="_Toc389065295"/>
      <w:bookmarkStart w:id="391" w:name="_Toc21019"/>
      <w:bookmarkStart w:id="392" w:name="_Toc373227729"/>
      <w:r>
        <w:rPr>
          <w:rFonts w:hint="eastAsia" w:ascii="宋体" w:hAnsi="宋体" w:eastAsia="宋体" w:cs="宋体"/>
          <w:color w:val="000000"/>
          <w:sz w:val="21"/>
          <w:szCs w:val="21"/>
          <w:highlight w:val="none"/>
        </w:rPr>
        <w:t>7</w:t>
      </w:r>
      <w:bookmarkStart w:id="393" w:name="_Toc304295551"/>
      <w:bookmarkStart w:id="394" w:name="_Toc297123521"/>
      <w:bookmarkStart w:id="395" w:name="_Toc300934973"/>
      <w:bookmarkStart w:id="396" w:name="_Toc312678017"/>
      <w:bookmarkStart w:id="397" w:name="_Toc297216180"/>
      <w:bookmarkStart w:id="398" w:name="_Toc303539130"/>
      <w:r>
        <w:rPr>
          <w:rFonts w:hint="eastAsia" w:ascii="宋体" w:hAnsi="宋体" w:eastAsia="宋体" w:cs="宋体"/>
          <w:color w:val="000000"/>
          <w:sz w:val="21"/>
          <w:szCs w:val="21"/>
          <w:highlight w:val="none"/>
        </w:rPr>
        <w:t>.7 异常恶劣的气候条件</w:t>
      </w:r>
      <w:bookmarkEnd w:id="389"/>
      <w:bookmarkEnd w:id="390"/>
      <w:bookmarkEnd w:id="391"/>
      <w:bookmarkEnd w:id="392"/>
    </w:p>
    <w:bookmarkEnd w:id="393"/>
    <w:bookmarkEnd w:id="394"/>
    <w:bookmarkEnd w:id="395"/>
    <w:bookmarkEnd w:id="396"/>
    <w:bookmarkEnd w:id="397"/>
    <w:bookmarkEnd w:id="398"/>
    <w:p w14:paraId="21D452E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发包人和承包人同意以下情形视为异常恶劣的气候条件：</w:t>
      </w:r>
    </w:p>
    <w:p w14:paraId="29826D0C">
      <w:pPr>
        <w:pStyle w:val="39"/>
        <w:pageBreakBefore w:val="0"/>
        <w:kinsoku/>
        <w:overflowPunct/>
        <w:topLinePunct w:val="0"/>
        <w:bidi w:val="0"/>
        <w:spacing w:line="360" w:lineRule="auto"/>
        <w:jc w:val="left"/>
        <w:outlineLvl w:val="9"/>
        <w:rPr>
          <w:rFonts w:hint="eastAsia" w:ascii="宋体" w:hAnsi="宋体" w:eastAsia="宋体" w:cs="宋体"/>
          <w:color w:val="000000"/>
          <w:kern w:val="0"/>
          <w:sz w:val="21"/>
          <w:szCs w:val="21"/>
          <w:highlight w:val="none"/>
        </w:rPr>
      </w:pPr>
      <w:bookmarkStart w:id="399" w:name="_Toc389065296"/>
      <w:bookmarkStart w:id="400" w:name="_Toc373227730"/>
      <w:bookmarkStart w:id="401" w:name="_Toc22298"/>
      <w:bookmarkStart w:id="402" w:name="_Toc373478377"/>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u w:val="single"/>
        </w:rPr>
        <w:t xml:space="preserve"> 6 级以上地震 ； </w:t>
      </w:r>
    </w:p>
    <w:p w14:paraId="1DDDB0E3">
      <w:pPr>
        <w:pStyle w:val="39"/>
        <w:pageBreakBefore w:val="0"/>
        <w:kinsoku/>
        <w:overflowPunct/>
        <w:topLinePunct w:val="0"/>
        <w:bidi w:val="0"/>
        <w:spacing w:line="360" w:lineRule="auto"/>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（2） </w:t>
      </w:r>
      <w:r>
        <w:rPr>
          <w:rFonts w:hint="eastAsia" w:ascii="宋体" w:hAnsi="宋体" w:eastAsia="宋体" w:cs="宋体"/>
          <w:color w:val="000000"/>
          <w:kern w:val="0"/>
          <w:sz w:val="21"/>
          <w:szCs w:val="21"/>
          <w:highlight w:val="none"/>
          <w:u w:val="single"/>
        </w:rPr>
        <w:t xml:space="preserve">10 级以上持续 1 天的大风 ； </w:t>
      </w:r>
    </w:p>
    <w:p w14:paraId="259E8416">
      <w:pPr>
        <w:pStyle w:val="39"/>
        <w:pageBreakBefore w:val="0"/>
        <w:kinsoku/>
        <w:overflowPunct/>
        <w:topLinePunct w:val="0"/>
        <w:bidi w:val="0"/>
        <w:spacing w:line="360" w:lineRule="auto"/>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（3） </w:t>
      </w:r>
      <w:r>
        <w:rPr>
          <w:rFonts w:hint="eastAsia" w:ascii="宋体" w:hAnsi="宋体" w:eastAsia="宋体" w:cs="宋体"/>
          <w:color w:val="000000"/>
          <w:kern w:val="0"/>
          <w:sz w:val="21"/>
          <w:szCs w:val="21"/>
          <w:highlight w:val="none"/>
          <w:u w:val="single"/>
        </w:rPr>
        <w:t>日气温低于零摄氏度的严寒大于 3 天；</w:t>
      </w:r>
      <w:r>
        <w:rPr>
          <w:rFonts w:hint="eastAsia" w:ascii="宋体" w:hAnsi="宋体" w:eastAsia="宋体" w:cs="宋体"/>
          <w:color w:val="000000"/>
          <w:kern w:val="0"/>
          <w:sz w:val="21"/>
          <w:szCs w:val="21"/>
          <w:highlight w:val="none"/>
        </w:rPr>
        <w:t xml:space="preserve"> </w:t>
      </w:r>
    </w:p>
    <w:p w14:paraId="30ADA1FE">
      <w:pPr>
        <w:pStyle w:val="39"/>
        <w:pageBreakBefore w:val="0"/>
        <w:kinsoku/>
        <w:overflowPunct/>
        <w:topLinePunct w:val="0"/>
        <w:bidi w:val="0"/>
        <w:spacing w:line="360" w:lineRule="auto"/>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（4） </w:t>
      </w:r>
      <w:r>
        <w:rPr>
          <w:rFonts w:hint="eastAsia" w:ascii="宋体" w:hAnsi="宋体" w:eastAsia="宋体" w:cs="宋体"/>
          <w:color w:val="000000"/>
          <w:kern w:val="0"/>
          <w:sz w:val="21"/>
          <w:szCs w:val="21"/>
          <w:highlight w:val="none"/>
          <w:u w:val="single"/>
        </w:rPr>
        <w:t xml:space="preserve">日气温超过 40 摄氏度的高温大于 3 天； </w:t>
      </w:r>
    </w:p>
    <w:p w14:paraId="7D43BAB9">
      <w:pPr>
        <w:pStyle w:val="39"/>
        <w:pageBreakBefore w:val="0"/>
        <w:kinsoku/>
        <w:overflowPunct/>
        <w:topLinePunct w:val="0"/>
        <w:bidi w:val="0"/>
        <w:spacing w:line="360" w:lineRule="auto"/>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（5） </w:t>
      </w:r>
      <w:r>
        <w:rPr>
          <w:rFonts w:hint="eastAsia" w:ascii="宋体" w:hAnsi="宋体" w:eastAsia="宋体" w:cs="宋体"/>
          <w:color w:val="000000"/>
          <w:kern w:val="0"/>
          <w:sz w:val="21"/>
          <w:szCs w:val="21"/>
          <w:highlight w:val="none"/>
          <w:u w:val="single"/>
        </w:rPr>
        <w:t xml:space="preserve">一日内降雨达 200mm 的暴雨（以气象部门公布的为准） </w:t>
      </w:r>
      <w:r>
        <w:rPr>
          <w:rFonts w:hint="eastAsia" w:ascii="宋体" w:hAnsi="宋体" w:eastAsia="宋体" w:cs="宋体"/>
          <w:color w:val="000000"/>
          <w:kern w:val="0"/>
          <w:sz w:val="21"/>
          <w:szCs w:val="21"/>
          <w:highlight w:val="none"/>
        </w:rPr>
        <w:t>；</w:t>
      </w:r>
    </w:p>
    <w:p w14:paraId="48E03C4E">
      <w:pPr>
        <w:pStyle w:val="39"/>
        <w:pageBreakBefore w:val="0"/>
        <w:kinsoku/>
        <w:overflowPunct/>
        <w:topLinePunct w:val="0"/>
        <w:bidi w:val="0"/>
        <w:spacing w:line="360" w:lineRule="auto"/>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r>
        <w:rPr>
          <w:rFonts w:hint="eastAsia" w:ascii="宋体" w:hAnsi="宋体" w:eastAsia="宋体" w:cs="宋体"/>
          <w:color w:val="000000"/>
          <w:kern w:val="0"/>
          <w:sz w:val="21"/>
          <w:szCs w:val="21"/>
          <w:highlight w:val="none"/>
          <w:u w:val="single"/>
        </w:rPr>
        <w:t>造成的工程损坏的冰雹和大雪灾害；其它异常恶劣气候灾害（以气象部门公布的为准）</w:t>
      </w:r>
      <w:r>
        <w:rPr>
          <w:rFonts w:hint="eastAsia" w:ascii="宋体" w:hAnsi="宋体" w:eastAsia="宋体" w:cs="宋体"/>
          <w:color w:val="000000"/>
          <w:kern w:val="0"/>
          <w:sz w:val="21"/>
          <w:szCs w:val="21"/>
          <w:highlight w:val="none"/>
        </w:rPr>
        <w:t>。</w:t>
      </w:r>
    </w:p>
    <w:p w14:paraId="0DFBC8DF">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7.9 提前竣工</w:t>
      </w:r>
      <w:bookmarkEnd w:id="399"/>
      <w:bookmarkEnd w:id="400"/>
      <w:bookmarkEnd w:id="401"/>
      <w:bookmarkEnd w:id="402"/>
    </w:p>
    <w:p w14:paraId="367456D9">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7.9.2提前竣工（赶工）增加费的计算方法：</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1FE4CFA6">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403" w:name="_Toc19507"/>
      <w:bookmarkStart w:id="404" w:name="_Toc351203640"/>
      <w:bookmarkStart w:id="405" w:name="_Toc373478378"/>
      <w:bookmarkStart w:id="406" w:name="_Toc389065297"/>
      <w:bookmarkStart w:id="407" w:name="_Toc373227731"/>
      <w:r>
        <w:rPr>
          <w:rFonts w:hint="eastAsia" w:ascii="宋体" w:hAnsi="宋体" w:eastAsia="宋体" w:cs="宋体"/>
          <w:color w:val="000000"/>
          <w:sz w:val="21"/>
          <w:szCs w:val="21"/>
          <w:highlight w:val="none"/>
        </w:rPr>
        <w:t>8. 材料与设备</w:t>
      </w:r>
      <w:bookmarkEnd w:id="403"/>
      <w:bookmarkEnd w:id="404"/>
      <w:bookmarkEnd w:id="405"/>
      <w:bookmarkEnd w:id="406"/>
      <w:bookmarkEnd w:id="407"/>
    </w:p>
    <w:bookmarkEnd w:id="286"/>
    <w:bookmarkEnd w:id="287"/>
    <w:bookmarkEnd w:id="288"/>
    <w:bookmarkEnd w:id="289"/>
    <w:bookmarkEnd w:id="290"/>
    <w:bookmarkEnd w:id="291"/>
    <w:bookmarkEnd w:id="292"/>
    <w:bookmarkEnd w:id="293"/>
    <w:bookmarkEnd w:id="294"/>
    <w:bookmarkEnd w:id="295"/>
    <w:p w14:paraId="3B7F2FB7">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408" w:name="_Toc373227732"/>
      <w:bookmarkStart w:id="409" w:name="_Toc24535"/>
      <w:bookmarkStart w:id="410" w:name="_Toc389065298"/>
      <w:bookmarkStart w:id="411" w:name="_Toc373478379"/>
      <w:r>
        <w:rPr>
          <w:rFonts w:hint="eastAsia" w:ascii="宋体" w:hAnsi="宋体" w:eastAsia="宋体" w:cs="宋体"/>
          <w:color w:val="000000"/>
          <w:sz w:val="21"/>
          <w:szCs w:val="21"/>
          <w:highlight w:val="none"/>
        </w:rPr>
        <w:t>8.2 承包人采购材料与工程设备</w:t>
      </w:r>
      <w:bookmarkEnd w:id="408"/>
      <w:bookmarkEnd w:id="409"/>
      <w:bookmarkEnd w:id="410"/>
      <w:bookmarkEnd w:id="411"/>
    </w:p>
    <w:p w14:paraId="0E3F5064">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已标价工程量清单中明确的材料、工程设备外，由承包人负责材料和工程设备的采购、运输和保管，承包人所采购的材料和工程设施各类技术参数，必须满足或优于施工图的技术参数要求，如发现不符合施工图技术参数要求的，发包人可拒绝验收，一切损失及造成的后果由承包人承担。</w:t>
      </w:r>
    </w:p>
    <w:p w14:paraId="2204DA27">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bookmarkStart w:id="412" w:name="_Toc373478380"/>
      <w:bookmarkStart w:id="413" w:name="_Toc389065299"/>
      <w:bookmarkStart w:id="414" w:name="_Toc373227733"/>
      <w:r>
        <w:rPr>
          <w:rFonts w:hint="eastAsia" w:ascii="宋体" w:hAnsi="宋体" w:eastAsia="宋体" w:cs="宋体"/>
          <w:color w:val="000000"/>
          <w:sz w:val="21"/>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A343583">
      <w:pPr>
        <w:pStyle w:val="26"/>
        <w:autoSpaceDE w:val="0"/>
        <w:autoSpaceDN w:val="0"/>
        <w:adjustRightInd w:val="0"/>
        <w:spacing w:line="360" w:lineRule="auto"/>
        <w:ind w:firstLine="420" w:firstLineChars="200"/>
        <w:jc w:val="left"/>
        <w:rPr>
          <w:rStyle w:val="24"/>
          <w:rFonts w:hint="eastAsia" w:ascii="Calibri" w:hAnsi="Calibri" w:eastAsia="宋体" w:cs="Times New Roman"/>
          <w:color w:val="auto"/>
          <w:highlight w:val="none"/>
        </w:rPr>
      </w:pPr>
      <w:bookmarkStart w:id="415" w:name="_Toc3731"/>
      <w:r>
        <w:rPr>
          <w:rStyle w:val="24"/>
          <w:rFonts w:hint="eastAsia" w:ascii="Calibri" w:hAnsi="Calibri" w:eastAsia="宋体" w:cs="Times New Roman"/>
          <w:color w:val="auto"/>
          <w:highlight w:val="none"/>
        </w:rPr>
        <w:t>禁止使用松木、松木包装材料设备、种子、苗木、花卉及繁殖材料。</w:t>
      </w:r>
    </w:p>
    <w:p w14:paraId="1A8F85AE">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bookmarkStart w:id="416" w:name="_Toc296503167"/>
      <w:bookmarkStart w:id="417" w:name="_Toc280868654"/>
      <w:bookmarkStart w:id="418" w:name="_Toc312677493"/>
      <w:bookmarkStart w:id="419" w:name="_Toc300934979"/>
      <w:bookmarkStart w:id="420" w:name="_Toc296347166"/>
      <w:bookmarkStart w:id="421" w:name="_Toc292559877"/>
      <w:bookmarkStart w:id="422" w:name="_Toc312678019"/>
      <w:bookmarkStart w:id="423" w:name="_Toc296346668"/>
      <w:bookmarkStart w:id="424" w:name="_Toc297048353"/>
      <w:bookmarkStart w:id="425" w:name="_Toc292559372"/>
      <w:bookmarkStart w:id="426" w:name="_Toc297216186"/>
      <w:bookmarkStart w:id="427" w:name="_Toc303539136"/>
      <w:bookmarkStart w:id="428" w:name="_Toc296890995"/>
      <w:bookmarkStart w:id="429" w:name="_Toc304295556"/>
      <w:bookmarkStart w:id="430" w:name="_Toc297120467"/>
      <w:bookmarkStart w:id="431" w:name="_Toc296944506"/>
      <w:bookmarkStart w:id="432" w:name="_Toc296891207"/>
      <w:bookmarkStart w:id="433" w:name="_Toc297123527"/>
      <w:bookmarkStart w:id="434" w:name="_Toc267251424"/>
      <w:bookmarkStart w:id="435" w:name="_Toc280868656"/>
      <w:bookmarkStart w:id="436" w:name="_Toc280868655"/>
      <w:r>
        <w:rPr>
          <w:rFonts w:hint="eastAsia" w:ascii="宋体" w:hAnsi="宋体" w:eastAsia="宋体" w:cs="宋体"/>
          <w:color w:val="000000"/>
          <w:sz w:val="21"/>
          <w:szCs w:val="21"/>
          <w:highlight w:val="none"/>
        </w:rPr>
        <w:t>.4 材料与工程设备的保管与使用</w:t>
      </w:r>
      <w:bookmarkEnd w:id="412"/>
      <w:bookmarkEnd w:id="413"/>
      <w:bookmarkEnd w:id="414"/>
      <w:bookmarkEnd w:id="415"/>
    </w:p>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14:paraId="78AE8A52">
      <w:pPr>
        <w:pStyle w:val="39"/>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kern w:val="0"/>
          <w:sz w:val="21"/>
          <w:szCs w:val="21"/>
          <w:highlight w:val="none"/>
        </w:rPr>
        <w:t>8</w:t>
      </w:r>
      <w:bookmarkStart w:id="437" w:name="_Toc292559373"/>
      <w:bookmarkStart w:id="438" w:name="_Toc292559878"/>
      <w:bookmarkStart w:id="439" w:name="_Toc318581173"/>
      <w:bookmarkStart w:id="440" w:name="_Toc296944507"/>
      <w:bookmarkStart w:id="441" w:name="_Toc297123528"/>
      <w:bookmarkStart w:id="442" w:name="_Toc312678020"/>
      <w:bookmarkStart w:id="443" w:name="_Toc312677494"/>
      <w:bookmarkStart w:id="444" w:name="_Toc300934980"/>
      <w:bookmarkStart w:id="445" w:name="_Toc297048354"/>
      <w:bookmarkStart w:id="446" w:name="_Toc297120468"/>
      <w:bookmarkStart w:id="447" w:name="_Toc296346669"/>
      <w:bookmarkStart w:id="448" w:name="_Toc296503168"/>
      <w:bookmarkStart w:id="449" w:name="_Toc296347167"/>
      <w:bookmarkStart w:id="450" w:name="_Toc304295557"/>
      <w:bookmarkStart w:id="451" w:name="_Toc297216187"/>
      <w:bookmarkStart w:id="452" w:name="_Toc296890996"/>
      <w:bookmarkStart w:id="453" w:name="_Toc303539137"/>
      <w:bookmarkStart w:id="454" w:name="_Toc296891208"/>
      <w:r>
        <w:rPr>
          <w:rFonts w:hint="eastAsia" w:ascii="宋体" w:hAnsi="宋体" w:eastAsia="宋体" w:cs="宋体"/>
          <w:color w:val="000000"/>
          <w:kern w:val="0"/>
          <w:sz w:val="21"/>
          <w:szCs w:val="21"/>
          <w:highlight w:val="none"/>
        </w:rPr>
        <w:t>.4.1发包人供应的材料设备的保管费用的承担：</w:t>
      </w:r>
      <w:r>
        <w:rPr>
          <w:rFonts w:hint="eastAsia" w:ascii="宋体" w:hAnsi="宋体" w:eastAsia="宋体" w:cs="宋体"/>
          <w:color w:val="000000"/>
          <w:kern w:val="0"/>
          <w:sz w:val="21"/>
          <w:szCs w:val="21"/>
          <w:highlight w:val="none"/>
          <w:u w:val="single"/>
        </w:rPr>
        <w:t xml:space="preserve"> 材料设备堆放至</w:t>
      </w:r>
      <w:r>
        <w:rPr>
          <w:rFonts w:hint="eastAsia" w:ascii="宋体" w:hAnsi="宋体" w:cs="宋体"/>
          <w:color w:val="000000"/>
          <w:kern w:val="0"/>
          <w:sz w:val="21"/>
          <w:szCs w:val="21"/>
          <w:highlight w:val="none"/>
          <w:u w:val="single"/>
          <w:lang w:val="en-US" w:eastAsia="zh-CN"/>
        </w:rPr>
        <w:t>承包</w:t>
      </w:r>
      <w:r>
        <w:rPr>
          <w:rFonts w:hint="eastAsia" w:ascii="宋体" w:hAnsi="宋体" w:eastAsia="宋体" w:cs="宋体"/>
          <w:color w:val="000000"/>
          <w:kern w:val="0"/>
          <w:sz w:val="21"/>
          <w:szCs w:val="21"/>
          <w:highlight w:val="none"/>
          <w:u w:val="single"/>
        </w:rPr>
        <w:t xml:space="preserve">人指定的存放地点后，所发生的一切保管、运输费用均由承包人承担，因保管不力所造成的损失由承包人负责。移交承包人之前由发包人承担  </w:t>
      </w:r>
      <w:r>
        <w:rPr>
          <w:rFonts w:hint="eastAsia" w:ascii="宋体" w:hAnsi="宋体" w:eastAsia="宋体" w:cs="宋体"/>
          <w:color w:val="000000"/>
          <w:sz w:val="21"/>
          <w:szCs w:val="21"/>
          <w:highlight w:val="none"/>
        </w:rPr>
        <w:t>。</w:t>
      </w:r>
    </w:p>
    <w:bookmarkEnd w:id="437"/>
    <w:bookmarkEnd w:id="438"/>
    <w:p w14:paraId="53255BC5">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455" w:name="_Toc389065300"/>
      <w:bookmarkStart w:id="456" w:name="_Toc373478381"/>
      <w:bookmarkStart w:id="457" w:name="_Toc15900"/>
      <w:bookmarkStart w:id="458" w:name="_Toc373227734"/>
      <w:r>
        <w:rPr>
          <w:rFonts w:hint="eastAsia" w:ascii="宋体" w:hAnsi="宋体" w:eastAsia="宋体" w:cs="宋体"/>
          <w:color w:val="000000"/>
          <w:sz w:val="21"/>
          <w:szCs w:val="21"/>
          <w:highlight w:val="none"/>
        </w:rPr>
        <w:t>8.6 样品</w:t>
      </w:r>
      <w:bookmarkEnd w:id="455"/>
      <w:bookmarkEnd w:id="456"/>
      <w:bookmarkEnd w:id="457"/>
      <w:bookmarkEnd w:id="458"/>
    </w:p>
    <w:p w14:paraId="378FCDC1">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8.6.1 样品的报送与封存</w:t>
      </w:r>
    </w:p>
    <w:p w14:paraId="603AB4CC">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需要承包人报送样品的材料或工程设备，样品的种类、名称、规格、数量要求：</w:t>
      </w:r>
      <w:r>
        <w:rPr>
          <w:rFonts w:hint="eastAsia" w:ascii="宋体" w:hAnsi="宋体" w:eastAsia="宋体" w:cs="宋体"/>
          <w:color w:val="000000"/>
          <w:sz w:val="21"/>
          <w:szCs w:val="21"/>
          <w:highlight w:val="none"/>
          <w:u w:val="single"/>
        </w:rPr>
        <w:t>主要材料涉及品种、款式、颜色等方面内容的，承包人应提交准备合格的材料样品送发包人选定。</w:t>
      </w:r>
    </w:p>
    <w:p w14:paraId="7466854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459" w:name="_Toc373478382"/>
      <w:bookmarkStart w:id="460" w:name="_Toc21051"/>
      <w:bookmarkStart w:id="461" w:name="_Toc389065301"/>
      <w:bookmarkStart w:id="462" w:name="_Toc373227735"/>
      <w:r>
        <w:rPr>
          <w:rFonts w:hint="eastAsia" w:ascii="宋体" w:hAnsi="宋体" w:eastAsia="宋体" w:cs="宋体"/>
          <w:color w:val="000000"/>
          <w:sz w:val="21"/>
          <w:szCs w:val="21"/>
          <w:highlight w:val="none"/>
        </w:rPr>
        <w:t>8.8 施工设备和临时设施</w:t>
      </w:r>
      <w:bookmarkEnd w:id="459"/>
      <w:bookmarkEnd w:id="460"/>
      <w:bookmarkEnd w:id="461"/>
      <w:bookmarkEnd w:id="462"/>
    </w:p>
    <w:p w14:paraId="1959C5F7">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8.8.1 承包人提供的施工设备和临时设施</w:t>
      </w:r>
    </w:p>
    <w:p w14:paraId="70C775AD">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p>
    <w:p w14:paraId="6EF1F0D1">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关于修建临时设施费用承担的约定：</w:t>
      </w:r>
      <w:r>
        <w:rPr>
          <w:rFonts w:hint="eastAsia" w:ascii="宋体" w:hAnsi="宋体" w:eastAsia="宋体" w:cs="宋体"/>
          <w:color w:val="000000"/>
          <w:sz w:val="21"/>
          <w:szCs w:val="21"/>
          <w:highlight w:val="none"/>
          <w:u w:val="single"/>
        </w:rPr>
        <w:t xml:space="preserve"> 由承包人</w:t>
      </w:r>
      <w:r>
        <w:rPr>
          <w:rFonts w:hint="eastAsia" w:ascii="宋体" w:hAnsi="宋体" w:eastAsia="宋体" w:cs="宋体"/>
          <w:color w:val="000000"/>
          <w:sz w:val="21"/>
          <w:szCs w:val="21"/>
          <w:highlight w:val="none"/>
          <w:u w:val="single"/>
          <w:lang w:val="en-US" w:eastAsia="zh-CN"/>
        </w:rPr>
        <w:t>自行承担</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rPr>
        <w:t xml:space="preserve"> </w:t>
      </w:r>
    </w:p>
    <w:p w14:paraId="3D50E669">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8.8.2 发包人提供的施工设备和临时设施</w:t>
      </w:r>
    </w:p>
    <w:p w14:paraId="123D72D0">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发包人提供的施工设备和临时设施：</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0485E039">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发包人提供的施工设备和临时设施的运行、维护、拆除、清运费用的承担人：</w:t>
      </w:r>
      <w:r>
        <w:rPr>
          <w:rFonts w:hint="eastAsia" w:ascii="宋体" w:hAnsi="宋体" w:eastAsia="宋体" w:cs="宋体"/>
          <w:color w:val="000000"/>
          <w:sz w:val="21"/>
          <w:szCs w:val="21"/>
          <w:highlight w:val="none"/>
          <w:u w:val="single"/>
        </w:rPr>
        <w:t xml:space="preserve"> 承包人   </w:t>
      </w:r>
      <w:r>
        <w:rPr>
          <w:rFonts w:hint="eastAsia" w:ascii="宋体" w:hAnsi="宋体" w:eastAsia="宋体" w:cs="宋体"/>
          <w:color w:val="000000"/>
          <w:sz w:val="21"/>
          <w:szCs w:val="21"/>
          <w:highlight w:val="none"/>
        </w:rPr>
        <w:t>。</w:t>
      </w:r>
    </w:p>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14:paraId="1B444B9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463" w:name="_Toc373478383"/>
      <w:bookmarkStart w:id="464" w:name="_Toc351203641"/>
      <w:bookmarkStart w:id="465" w:name="_Toc373227736"/>
      <w:bookmarkStart w:id="466" w:name="_Toc389065302"/>
      <w:bookmarkStart w:id="467" w:name="_Toc27616"/>
      <w:r>
        <w:rPr>
          <w:rFonts w:hint="eastAsia" w:ascii="宋体" w:hAnsi="宋体" w:eastAsia="宋体" w:cs="宋体"/>
          <w:color w:val="000000"/>
          <w:sz w:val="21"/>
          <w:szCs w:val="21"/>
          <w:highlight w:val="none"/>
        </w:rPr>
        <w:t>9</w:t>
      </w:r>
      <w:bookmarkEnd w:id="434"/>
      <w:bookmarkEnd w:id="435"/>
      <w:bookmarkEnd w:id="436"/>
      <w:bookmarkStart w:id="468" w:name="_Toc297123533"/>
      <w:bookmarkStart w:id="469" w:name="_Toc304295559"/>
      <w:bookmarkStart w:id="470" w:name="_Toc297216192"/>
      <w:bookmarkStart w:id="471" w:name="_Toc303539139"/>
      <w:bookmarkStart w:id="472" w:name="_Toc312678021"/>
      <w:bookmarkStart w:id="473" w:name="_Toc312677495"/>
      <w:bookmarkStart w:id="474" w:name="_Toc300934982"/>
      <w:bookmarkStart w:id="475" w:name="_Toc296503173"/>
      <w:bookmarkStart w:id="476" w:name="_Toc267251427"/>
      <w:bookmarkStart w:id="477" w:name="_Toc296944512"/>
      <w:bookmarkStart w:id="478" w:name="_Toc292559378"/>
      <w:bookmarkStart w:id="479" w:name="_Toc296346674"/>
      <w:bookmarkStart w:id="480" w:name="_Toc296891213"/>
      <w:bookmarkStart w:id="481" w:name="_Toc296891001"/>
      <w:bookmarkStart w:id="482" w:name="_Toc297120473"/>
      <w:bookmarkStart w:id="483" w:name="_Toc297048359"/>
      <w:bookmarkStart w:id="484" w:name="_Toc267251428"/>
      <w:bookmarkStart w:id="485" w:name="_Toc296347172"/>
      <w:bookmarkStart w:id="486" w:name="_Toc292559883"/>
      <w:r>
        <w:rPr>
          <w:rFonts w:hint="eastAsia" w:ascii="宋体" w:hAnsi="宋体" w:eastAsia="宋体" w:cs="宋体"/>
          <w:color w:val="000000"/>
          <w:sz w:val="21"/>
          <w:szCs w:val="21"/>
          <w:highlight w:val="none"/>
        </w:rPr>
        <w:t>. 试验与检验</w:t>
      </w:r>
      <w:bookmarkEnd w:id="463"/>
      <w:bookmarkEnd w:id="464"/>
      <w:bookmarkEnd w:id="465"/>
      <w:bookmarkEnd w:id="466"/>
      <w:bookmarkEnd w:id="467"/>
    </w:p>
    <w:bookmarkEnd w:id="468"/>
    <w:bookmarkEnd w:id="469"/>
    <w:bookmarkEnd w:id="470"/>
    <w:bookmarkEnd w:id="471"/>
    <w:bookmarkEnd w:id="472"/>
    <w:bookmarkEnd w:id="473"/>
    <w:bookmarkEnd w:id="474"/>
    <w:p w14:paraId="062DF34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487" w:name="_Toc373227737"/>
      <w:bookmarkStart w:id="488" w:name="_Toc373478384"/>
      <w:bookmarkStart w:id="489" w:name="_Toc8792"/>
      <w:bookmarkStart w:id="490" w:name="_Toc389065303"/>
      <w:r>
        <w:rPr>
          <w:rFonts w:hint="eastAsia" w:ascii="宋体" w:hAnsi="宋体" w:eastAsia="宋体" w:cs="宋体"/>
          <w:color w:val="000000"/>
          <w:sz w:val="21"/>
          <w:szCs w:val="21"/>
          <w:highlight w:val="none"/>
        </w:rPr>
        <w:t>9</w:t>
      </w:r>
      <w:bookmarkStart w:id="491" w:name="_Toc304295560"/>
      <w:bookmarkStart w:id="492" w:name="_Toc312677496"/>
      <w:bookmarkStart w:id="493" w:name="_Toc303539140"/>
      <w:bookmarkStart w:id="494" w:name="_Toc297216193"/>
      <w:bookmarkStart w:id="495" w:name="_Toc297123534"/>
      <w:bookmarkStart w:id="496" w:name="_Toc312678022"/>
      <w:bookmarkStart w:id="497" w:name="_Toc300934983"/>
      <w:r>
        <w:rPr>
          <w:rFonts w:hint="eastAsia" w:ascii="宋体" w:hAnsi="宋体" w:eastAsia="宋体" w:cs="宋体"/>
          <w:color w:val="000000"/>
          <w:sz w:val="21"/>
          <w:szCs w:val="21"/>
          <w:highlight w:val="none"/>
        </w:rPr>
        <w:t>.1 试验设备与试验人员</w:t>
      </w:r>
      <w:bookmarkEnd w:id="487"/>
      <w:bookmarkEnd w:id="488"/>
      <w:bookmarkEnd w:id="489"/>
      <w:bookmarkEnd w:id="490"/>
    </w:p>
    <w:bookmarkEnd w:id="491"/>
    <w:bookmarkEnd w:id="492"/>
    <w:bookmarkEnd w:id="493"/>
    <w:bookmarkEnd w:id="494"/>
    <w:bookmarkEnd w:id="495"/>
    <w:bookmarkEnd w:id="496"/>
    <w:bookmarkEnd w:id="497"/>
    <w:p w14:paraId="49F5DD9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bookmarkStart w:id="498" w:name="_Toc312677497"/>
      <w:bookmarkStart w:id="499" w:name="_Toc297216194"/>
      <w:bookmarkStart w:id="500" w:name="_Toc297123535"/>
      <w:bookmarkStart w:id="501" w:name="_Toc304295561"/>
      <w:bookmarkStart w:id="502" w:name="_Toc312678023"/>
      <w:bookmarkStart w:id="503" w:name="_Toc300934984"/>
      <w:bookmarkStart w:id="504" w:name="_Toc303539141"/>
      <w:bookmarkStart w:id="505" w:name="_Toc318581174"/>
      <w:r>
        <w:rPr>
          <w:rFonts w:hint="eastAsia" w:ascii="宋体" w:hAnsi="宋体" w:eastAsia="宋体" w:cs="宋体"/>
          <w:color w:val="000000"/>
          <w:sz w:val="21"/>
          <w:szCs w:val="21"/>
          <w:highlight w:val="none"/>
        </w:rPr>
        <w:t>.1.2 试验设备</w:t>
      </w:r>
    </w:p>
    <w:p w14:paraId="7247EAE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施工现场需要配置的试验场所：</w:t>
      </w:r>
      <w:bookmarkEnd w:id="498"/>
      <w:bookmarkEnd w:id="499"/>
      <w:bookmarkEnd w:id="500"/>
      <w:bookmarkEnd w:id="501"/>
      <w:bookmarkEnd w:id="502"/>
      <w:bookmarkEnd w:id="503"/>
      <w:bookmarkEnd w:id="504"/>
      <w:bookmarkStart w:id="506" w:name="_Toc304295562"/>
      <w:bookmarkStart w:id="507" w:name="_Toc312678024"/>
      <w:bookmarkStart w:id="508" w:name="_Toc300934985"/>
      <w:bookmarkStart w:id="509" w:name="_Toc312677498"/>
      <w:bookmarkStart w:id="510" w:name="_Toc303539142"/>
      <w:bookmarkStart w:id="511" w:name="_Toc297123536"/>
      <w:bookmarkStart w:id="512" w:name="_Toc297216195"/>
      <w:r>
        <w:rPr>
          <w:rFonts w:hint="eastAsia" w:ascii="宋体" w:hAnsi="宋体" w:eastAsia="宋体" w:cs="宋体"/>
          <w:color w:val="000000"/>
          <w:sz w:val="21"/>
          <w:szCs w:val="21"/>
          <w:highlight w:val="none"/>
          <w:u w:val="single"/>
        </w:rPr>
        <w:t xml:space="preserve">    由承包人自理      </w:t>
      </w:r>
      <w:r>
        <w:rPr>
          <w:rFonts w:hint="eastAsia" w:ascii="宋体" w:hAnsi="宋体" w:eastAsia="宋体" w:cs="宋体"/>
          <w:color w:val="000000"/>
          <w:sz w:val="21"/>
          <w:szCs w:val="21"/>
          <w:highlight w:val="none"/>
        </w:rPr>
        <w:t>。</w:t>
      </w:r>
    </w:p>
    <w:p w14:paraId="2486CDE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施工现场需要配备的试验设备：</w:t>
      </w:r>
      <w:r>
        <w:rPr>
          <w:rFonts w:hint="eastAsia" w:ascii="宋体" w:hAnsi="宋体" w:eastAsia="宋体" w:cs="宋体"/>
          <w:color w:val="000000"/>
          <w:sz w:val="21"/>
          <w:szCs w:val="21"/>
          <w:highlight w:val="none"/>
          <w:u w:val="single"/>
        </w:rPr>
        <w:t xml:space="preserve">   由承包人自理        </w:t>
      </w:r>
      <w:r>
        <w:rPr>
          <w:rFonts w:hint="eastAsia" w:ascii="宋体" w:hAnsi="宋体" w:eastAsia="宋体" w:cs="宋体"/>
          <w:color w:val="000000"/>
          <w:sz w:val="21"/>
          <w:szCs w:val="21"/>
          <w:highlight w:val="none"/>
        </w:rPr>
        <w:t>。</w:t>
      </w:r>
    </w:p>
    <w:p w14:paraId="327F517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施工现场需要具备的其他试验条件：</w:t>
      </w:r>
      <w:r>
        <w:rPr>
          <w:rFonts w:hint="eastAsia" w:ascii="宋体" w:hAnsi="宋体" w:eastAsia="宋体" w:cs="宋体"/>
          <w:color w:val="000000"/>
          <w:sz w:val="21"/>
          <w:szCs w:val="21"/>
          <w:highlight w:val="none"/>
          <w:u w:val="single"/>
        </w:rPr>
        <w:t xml:space="preserve">  由承包人自理      </w:t>
      </w:r>
      <w:r>
        <w:rPr>
          <w:rFonts w:hint="eastAsia" w:ascii="宋体" w:hAnsi="宋体" w:eastAsia="宋体" w:cs="宋体"/>
          <w:color w:val="000000"/>
          <w:sz w:val="21"/>
          <w:szCs w:val="21"/>
          <w:highlight w:val="none"/>
        </w:rPr>
        <w:t>。</w:t>
      </w:r>
    </w:p>
    <w:p w14:paraId="057EE0FA">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513" w:name="_Toc373478385"/>
      <w:bookmarkStart w:id="514" w:name="_Toc373227738"/>
      <w:bookmarkStart w:id="515" w:name="_Toc9320"/>
      <w:bookmarkStart w:id="516" w:name="_Toc389065304"/>
      <w:r>
        <w:rPr>
          <w:rFonts w:hint="eastAsia" w:ascii="宋体" w:hAnsi="宋体" w:eastAsia="宋体" w:cs="宋体"/>
          <w:color w:val="000000"/>
          <w:sz w:val="21"/>
          <w:szCs w:val="21"/>
          <w:highlight w:val="none"/>
        </w:rPr>
        <w:t>9.4 现场工艺试验</w:t>
      </w:r>
      <w:bookmarkEnd w:id="513"/>
      <w:bookmarkEnd w:id="514"/>
      <w:bookmarkEnd w:id="515"/>
      <w:bookmarkEnd w:id="516"/>
      <w:r>
        <w:rPr>
          <w:rFonts w:hint="eastAsia" w:ascii="宋体" w:hAnsi="宋体" w:eastAsia="宋体" w:cs="宋体"/>
          <w:color w:val="000000"/>
          <w:sz w:val="21"/>
          <w:szCs w:val="21"/>
          <w:highlight w:val="none"/>
        </w:rPr>
        <w:t xml:space="preserve"> </w:t>
      </w:r>
    </w:p>
    <w:p w14:paraId="276EE63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现场工艺试验的有关约定：</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按有关规定执行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665D6408">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517" w:name="_Toc24256"/>
      <w:bookmarkStart w:id="518" w:name="OLE_LINK1"/>
      <w:r>
        <w:rPr>
          <w:rFonts w:hint="eastAsia" w:ascii="宋体" w:hAnsi="宋体" w:eastAsia="宋体" w:cs="宋体"/>
          <w:color w:val="000000"/>
          <w:sz w:val="21"/>
          <w:szCs w:val="21"/>
          <w:highlight w:val="none"/>
        </w:rPr>
        <w:t>9.5 检验费用</w:t>
      </w:r>
      <w:bookmarkEnd w:id="517"/>
    </w:p>
    <w:p w14:paraId="13379E69">
      <w:pPr>
        <w:pageBreakBefore w:val="0"/>
        <w:kinsoku/>
        <w:overflowPunct/>
        <w:topLinePunct w:val="0"/>
        <w:bidi w:val="0"/>
        <w:spacing w:line="360" w:lineRule="auto"/>
        <w:ind w:firstLine="411" w:firstLineChars="196"/>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根据《建设工程质量检测管理办法》（建设部令第141号）以及</w:t>
      </w:r>
      <w:r>
        <w:rPr>
          <w:rFonts w:hint="eastAsia" w:ascii="宋体" w:hAnsi="宋体" w:eastAsia="宋体" w:cs="宋体"/>
          <w:bCs/>
          <w:color w:val="000000"/>
          <w:sz w:val="21"/>
          <w:szCs w:val="21"/>
          <w:highlight w:val="none"/>
        </w:rPr>
        <w:t>《广西壮族自治区建设工程质量检测管理规定》（桂建管〔2013〕11号）</w:t>
      </w:r>
      <w:r>
        <w:rPr>
          <w:rFonts w:hint="eastAsia" w:ascii="宋体" w:hAnsi="宋体" w:eastAsia="宋体" w:cs="宋体"/>
          <w:color w:val="000000"/>
          <w:sz w:val="21"/>
          <w:szCs w:val="21"/>
          <w:highlight w:val="none"/>
        </w:rPr>
        <w:t>规定，工程质量检测业务由发包人委托有相应资质的检测机构检测。费用从发包人的项目建设经费中支出并直接支付给检测机构，不计入合同价款内。</w:t>
      </w:r>
    </w:p>
    <w:bookmarkEnd w:id="505"/>
    <w:bookmarkEnd w:id="506"/>
    <w:bookmarkEnd w:id="507"/>
    <w:bookmarkEnd w:id="508"/>
    <w:bookmarkEnd w:id="509"/>
    <w:bookmarkEnd w:id="510"/>
    <w:bookmarkEnd w:id="511"/>
    <w:bookmarkEnd w:id="512"/>
    <w:bookmarkEnd w:id="518"/>
    <w:p w14:paraId="3AA62AFF">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519" w:name="_Toc6988"/>
      <w:bookmarkStart w:id="520" w:name="_Toc373478386"/>
      <w:bookmarkStart w:id="521" w:name="_Toc373227739"/>
      <w:bookmarkStart w:id="522" w:name="_Toc351203642"/>
      <w:bookmarkStart w:id="523" w:name="_Toc389065305"/>
      <w:r>
        <w:rPr>
          <w:rFonts w:hint="eastAsia" w:ascii="宋体" w:hAnsi="宋体" w:eastAsia="宋体" w:cs="宋体"/>
          <w:color w:val="000000"/>
          <w:sz w:val="21"/>
          <w:szCs w:val="21"/>
          <w:highlight w:val="none"/>
        </w:rPr>
        <w:t>1</w:t>
      </w:r>
      <w:bookmarkEnd w:id="475"/>
      <w:bookmarkEnd w:id="476"/>
      <w:bookmarkEnd w:id="477"/>
      <w:bookmarkEnd w:id="478"/>
      <w:bookmarkEnd w:id="479"/>
      <w:bookmarkEnd w:id="480"/>
      <w:bookmarkEnd w:id="481"/>
      <w:bookmarkEnd w:id="482"/>
      <w:bookmarkEnd w:id="483"/>
      <w:bookmarkEnd w:id="484"/>
      <w:bookmarkEnd w:id="485"/>
      <w:bookmarkEnd w:id="486"/>
      <w:bookmarkStart w:id="524" w:name="_Toc297120493"/>
      <w:bookmarkStart w:id="525" w:name="_Toc296891021"/>
      <w:bookmarkStart w:id="526" w:name="_Toc292559903"/>
      <w:bookmarkStart w:id="527" w:name="_Toc300934989"/>
      <w:bookmarkStart w:id="528" w:name="_Toc296503193"/>
      <w:bookmarkStart w:id="529" w:name="_Toc296891233"/>
      <w:bookmarkStart w:id="530" w:name="_Toc292559398"/>
      <w:bookmarkStart w:id="531" w:name="_Toc296944532"/>
      <w:bookmarkStart w:id="532" w:name="_Toc297123540"/>
      <w:bookmarkStart w:id="533" w:name="_Toc296346694"/>
      <w:bookmarkStart w:id="534" w:name="_Toc304295566"/>
      <w:bookmarkStart w:id="535" w:name="_Toc297216199"/>
      <w:bookmarkStart w:id="536" w:name="_Toc303539146"/>
      <w:bookmarkStart w:id="537" w:name="_Toc297048379"/>
      <w:bookmarkStart w:id="538" w:name="_Toc296347192"/>
      <w:bookmarkStart w:id="539" w:name="_Toc312678025"/>
      <w:bookmarkStart w:id="540" w:name="_Toc312677499"/>
      <w:bookmarkStart w:id="541" w:name="_Toc267251437"/>
      <w:bookmarkStart w:id="542" w:name="_Toc267251441"/>
      <w:bookmarkStart w:id="543" w:name="_Toc267251440"/>
      <w:bookmarkStart w:id="544" w:name="_Toc267251433"/>
      <w:bookmarkStart w:id="545" w:name="_Toc267251439"/>
      <w:bookmarkStart w:id="546" w:name="_Toc267251435"/>
      <w:bookmarkStart w:id="547" w:name="_Toc267251442"/>
      <w:r>
        <w:rPr>
          <w:rFonts w:hint="eastAsia" w:ascii="宋体" w:hAnsi="宋体" w:eastAsia="宋体" w:cs="宋体"/>
          <w:color w:val="000000"/>
          <w:sz w:val="21"/>
          <w:szCs w:val="21"/>
          <w:highlight w:val="none"/>
        </w:rPr>
        <w:t>0. 变更</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bookmarkEnd w:id="539"/>
    <w:bookmarkEnd w:id="540"/>
    <w:p w14:paraId="534F297A">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548" w:name="_Toc373227740"/>
      <w:bookmarkStart w:id="549" w:name="_Toc23389"/>
      <w:bookmarkStart w:id="550" w:name="_Toc373478387"/>
      <w:bookmarkStart w:id="551" w:name="_Toc389065306"/>
      <w:r>
        <w:rPr>
          <w:rFonts w:hint="eastAsia" w:ascii="宋体" w:hAnsi="宋体" w:eastAsia="宋体" w:cs="宋体"/>
          <w:color w:val="000000"/>
          <w:sz w:val="21"/>
          <w:szCs w:val="21"/>
          <w:highlight w:val="none"/>
        </w:rPr>
        <w:t>1</w:t>
      </w:r>
      <w:bookmarkStart w:id="552" w:name="_Toc303539147"/>
      <w:bookmarkStart w:id="553" w:name="_Toc296347193"/>
      <w:bookmarkStart w:id="554" w:name="_Toc296503194"/>
      <w:bookmarkStart w:id="555" w:name="_Toc297123541"/>
      <w:bookmarkStart w:id="556" w:name="_Toc297120494"/>
      <w:bookmarkStart w:id="557" w:name="_Toc304295567"/>
      <w:bookmarkStart w:id="558" w:name="_Toc292559399"/>
      <w:bookmarkStart w:id="559" w:name="_Toc300934990"/>
      <w:bookmarkStart w:id="560" w:name="_Toc297048380"/>
      <w:bookmarkStart w:id="561" w:name="_Toc296891022"/>
      <w:bookmarkStart w:id="562" w:name="_Toc292559904"/>
      <w:bookmarkStart w:id="563" w:name="_Toc296346695"/>
      <w:bookmarkStart w:id="564" w:name="_Toc312677500"/>
      <w:bookmarkStart w:id="565" w:name="_Toc297216200"/>
      <w:bookmarkStart w:id="566" w:name="_Toc312678026"/>
      <w:bookmarkStart w:id="567" w:name="_Toc296891234"/>
      <w:bookmarkStart w:id="568" w:name="_Toc296944533"/>
      <w:r>
        <w:rPr>
          <w:rFonts w:hint="eastAsia" w:ascii="宋体" w:hAnsi="宋体" w:eastAsia="宋体" w:cs="宋体"/>
          <w:color w:val="000000"/>
          <w:sz w:val="21"/>
          <w:szCs w:val="21"/>
          <w:highlight w:val="none"/>
        </w:rPr>
        <w:t>0.1 变更的范围</w:t>
      </w:r>
      <w:bookmarkEnd w:id="548"/>
      <w:bookmarkEnd w:id="549"/>
      <w:bookmarkEnd w:id="550"/>
      <w:bookmarkEnd w:id="551"/>
    </w:p>
    <w:p w14:paraId="2E4F8F5D">
      <w:pPr>
        <w:pStyle w:val="39"/>
        <w:pageBreakBefore w:val="0"/>
        <w:kinsoku/>
        <w:overflowPunct/>
        <w:topLinePunct w:val="0"/>
        <w:bidi w:val="0"/>
        <w:spacing w:line="360" w:lineRule="auto"/>
        <w:ind w:firstLine="426"/>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关于变更的范围的约定：</w:t>
      </w:r>
      <w:r>
        <w:rPr>
          <w:rFonts w:hint="eastAsia" w:ascii="宋体" w:hAnsi="宋体" w:eastAsia="宋体" w:cs="宋体"/>
          <w:color w:val="000000"/>
          <w:sz w:val="21"/>
          <w:szCs w:val="21"/>
          <w:highlight w:val="none"/>
          <w:u w:val="single"/>
        </w:rPr>
        <w:t xml:space="preserve">  除通用合同条款约定的范围外，发包人有权根据本工程的实际提出其他的变更事项。凡涉及合同价款增减变化的变更事项，必须以发包人代表及总监理工程师共同签字并经发包人盖章确认后的书面文件为准    </w:t>
      </w:r>
      <w:r>
        <w:rPr>
          <w:rFonts w:hint="eastAsia" w:ascii="宋体" w:hAnsi="宋体" w:eastAsia="宋体" w:cs="宋体"/>
          <w:color w:val="000000"/>
          <w:sz w:val="21"/>
          <w:szCs w:val="21"/>
          <w:highlight w:val="none"/>
        </w:rPr>
        <w:t>。</w:t>
      </w:r>
    </w:p>
    <w:p w14:paraId="72A974DA">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569" w:name="_Toc373478388"/>
      <w:bookmarkStart w:id="570" w:name="_Toc389065307"/>
      <w:bookmarkStart w:id="571" w:name="_Toc373227741"/>
      <w:bookmarkStart w:id="572" w:name="_Toc20664"/>
      <w:r>
        <w:rPr>
          <w:rFonts w:hint="eastAsia" w:ascii="宋体" w:hAnsi="宋体" w:eastAsia="宋体" w:cs="宋体"/>
          <w:color w:val="000000"/>
          <w:sz w:val="21"/>
          <w:szCs w:val="21"/>
          <w:highlight w:val="none"/>
        </w:rPr>
        <w:t>10.3 变更程序</w:t>
      </w:r>
      <w:bookmarkEnd w:id="569"/>
      <w:bookmarkEnd w:id="570"/>
      <w:bookmarkEnd w:id="571"/>
      <w:bookmarkEnd w:id="572"/>
    </w:p>
    <w:p w14:paraId="1990C575">
      <w:pPr>
        <w:pStyle w:val="13"/>
        <w:pageBreakBefore w:val="0"/>
        <w:kinsoku/>
        <w:overflowPunct/>
        <w:topLinePunct w:val="0"/>
        <w:bidi w:val="0"/>
        <w:spacing w:line="360" w:lineRule="auto"/>
        <w:ind w:firstLine="441" w:firstLineChars="210"/>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10.3.1国有投资项目：</w:t>
      </w:r>
    </w:p>
    <w:p w14:paraId="777581F8">
      <w:pPr>
        <w:pStyle w:val="13"/>
        <w:pageBreakBefore w:val="0"/>
        <w:kinsoku/>
        <w:overflowPunct/>
        <w:topLinePunct w:val="0"/>
        <w:bidi w:val="0"/>
        <w:spacing w:line="360" w:lineRule="auto"/>
        <w:ind w:firstLine="441" w:firstLineChars="210"/>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⑴设计变更和工程签证，按</w:t>
      </w:r>
      <w:r>
        <w:rPr>
          <w:rFonts w:hint="eastAsia" w:hAnsi="宋体" w:eastAsia="宋体" w:cs="宋体"/>
          <w:bCs/>
          <w:color w:val="000000"/>
          <w:sz w:val="21"/>
          <w:szCs w:val="21"/>
          <w:highlight w:val="none"/>
          <w:lang w:val="en-US" w:eastAsia="zh-CN"/>
        </w:rPr>
        <w:t>防城港</w:t>
      </w:r>
      <w:r>
        <w:rPr>
          <w:rFonts w:hint="eastAsia" w:ascii="宋体" w:hAnsi="宋体" w:eastAsia="宋体" w:cs="宋体"/>
          <w:bCs/>
          <w:color w:val="000000"/>
          <w:sz w:val="21"/>
          <w:szCs w:val="21"/>
          <w:highlight w:val="none"/>
        </w:rPr>
        <w:t>市政府或相关部门的规定办理。属不可抗力（自然灾害、突发事件等）造成变更的，按特事特办原则予以办理。</w:t>
      </w:r>
    </w:p>
    <w:p w14:paraId="5F4B7905">
      <w:pPr>
        <w:pStyle w:val="13"/>
        <w:pageBreakBefore w:val="0"/>
        <w:kinsoku/>
        <w:overflowPunct/>
        <w:topLinePunct w:val="0"/>
        <w:bidi w:val="0"/>
        <w:spacing w:line="360" w:lineRule="auto"/>
        <w:ind w:firstLine="441" w:firstLineChars="210"/>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⑵建设单位在实施项目过程中，若发生单价变动，由建设单位、监理单位、施工单位及其他相关单位共同商定并签字确认，并按规定办理相关手续。</w:t>
      </w:r>
    </w:p>
    <w:p w14:paraId="56DB64E1">
      <w:pPr>
        <w:pageBreakBefore w:val="0"/>
        <w:kinsoku/>
        <w:overflowPunct/>
        <w:topLinePunct w:val="0"/>
        <w:bidi w:val="0"/>
        <w:spacing w:line="360" w:lineRule="auto"/>
        <w:ind w:firstLine="420" w:firstLineChars="200"/>
        <w:jc w:val="left"/>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45819DB9">
      <w:pPr>
        <w:pageBreakBefore w:val="0"/>
        <w:kinsoku/>
        <w:overflowPunct/>
        <w:topLinePunct w:val="0"/>
        <w:bidi w:val="0"/>
        <w:spacing w:line="360" w:lineRule="auto"/>
        <w:ind w:firstLine="420" w:firstLineChars="200"/>
        <w:jc w:val="left"/>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10.3.2 非国有投资项目：</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u w:val="single"/>
          <w:lang w:val="en-US" w:eastAsia="zh-CN"/>
        </w:rPr>
        <w:t>无</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w:t>
      </w:r>
    </w:p>
    <w:p w14:paraId="518B3C99">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573" w:name="_Toc373227742"/>
      <w:bookmarkStart w:id="574" w:name="_Toc19438"/>
      <w:bookmarkStart w:id="575" w:name="_Toc389065308"/>
      <w:bookmarkStart w:id="576" w:name="_Toc373478389"/>
      <w:r>
        <w:rPr>
          <w:rFonts w:hint="eastAsia" w:ascii="宋体" w:hAnsi="宋体" w:eastAsia="宋体" w:cs="宋体"/>
          <w:color w:val="000000"/>
          <w:sz w:val="21"/>
          <w:szCs w:val="21"/>
          <w:highlight w:val="none"/>
        </w:rPr>
        <w:t>10.4 变更估价</w:t>
      </w:r>
      <w:bookmarkEnd w:id="573"/>
      <w:bookmarkEnd w:id="574"/>
      <w:bookmarkEnd w:id="575"/>
      <w:bookmarkEnd w:id="576"/>
    </w:p>
    <w:p w14:paraId="087B92F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10.4.1 变更估价原则</w:t>
      </w:r>
    </w:p>
    <w:p w14:paraId="1ACCDAAE">
      <w:pPr>
        <w:pStyle w:val="39"/>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bookmarkStart w:id="577" w:name="_Toc251051742"/>
      <w:r>
        <w:rPr>
          <w:rFonts w:hint="eastAsia" w:ascii="宋体" w:hAnsi="宋体" w:eastAsia="宋体" w:cs="宋体"/>
          <w:color w:val="000000"/>
          <w:sz w:val="21"/>
          <w:szCs w:val="21"/>
          <w:highlight w:val="none"/>
        </w:rPr>
        <w:t xml:space="preserve">关于变更估价的约定: </w:t>
      </w:r>
      <w:bookmarkEnd w:id="577"/>
      <w:r>
        <w:rPr>
          <w:rFonts w:hint="eastAsia" w:ascii="宋体" w:hAnsi="宋体" w:eastAsia="宋体" w:cs="宋体"/>
          <w:color w:val="000000"/>
          <w:sz w:val="21"/>
          <w:szCs w:val="21"/>
          <w:highlight w:val="none"/>
          <w:u w:val="single"/>
        </w:rPr>
        <w:t>本合同实施期间因工程量清单漏项、工程变更及相关签证引起工程项目、工程量变化的</w:t>
      </w:r>
      <w:r>
        <w:rPr>
          <w:rFonts w:hint="eastAsia" w:ascii="宋体" w:hAnsi="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rPr>
        <w:t>其工程量按实际发生并监理工程师及发包人确认，变更合同价款按下列方法进行：（1） 合同中已有相同清单项目的，按合同该清单项目价格进行计算；（2） 合同中只有类似清单项目的，参照该类似清单项目价格进行计算；（3）合同中没有适用或类似</w:t>
      </w:r>
      <w:r>
        <w:rPr>
          <w:rFonts w:hint="eastAsia" w:ascii="宋体" w:hAnsi="宋体" w:cs="宋体"/>
          <w:color w:val="000000"/>
          <w:sz w:val="21"/>
          <w:szCs w:val="21"/>
          <w:highlight w:val="none"/>
          <w:u w:val="single"/>
          <w:lang w:val="en-US" w:eastAsia="zh-CN"/>
        </w:rPr>
        <w:t>清单项目</w:t>
      </w:r>
      <w:r>
        <w:rPr>
          <w:rFonts w:hint="eastAsia" w:ascii="宋体" w:hAnsi="宋体" w:eastAsia="宋体" w:cs="宋体"/>
          <w:color w:val="000000"/>
          <w:sz w:val="21"/>
          <w:szCs w:val="21"/>
          <w:highlight w:val="none"/>
          <w:u w:val="single"/>
        </w:rPr>
        <w:t>的价格计算方法：有定额的套定额（土石方工程除外），并乘以下浮系数（中标价/公布的工程招标控制价）计算，</w:t>
      </w:r>
      <w:r>
        <w:rPr>
          <w:rStyle w:val="24"/>
          <w:rFonts w:hint="eastAsia" w:ascii="Calibri" w:hAnsi="宋体" w:eastAsia="宋体" w:cs="宋体"/>
          <w:color w:val="auto"/>
          <w:highlight w:val="none"/>
          <w:u w:val="single"/>
          <w:lang w:eastAsia="zh-CN"/>
        </w:rPr>
        <w:t>材料设备价格按施工期间的《防城港市建设工程造价信息》相应信息价的加权平均值计算，《防城港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eastAsia="宋体" w:cs="宋体"/>
          <w:color w:val="000000"/>
          <w:sz w:val="21"/>
          <w:szCs w:val="21"/>
          <w:highlight w:val="none"/>
          <w:u w:val="single"/>
        </w:rPr>
        <w:t>。</w:t>
      </w:r>
    </w:p>
    <w:p w14:paraId="0FC1E398">
      <w:pPr>
        <w:pStyle w:val="39"/>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工程变更导致实际完成的变更工程量与已标价清单或预算书中列明的该项目工程量有偏差时，其综合单价的确定按专用条款“1.13 工程量清单错误的修正”执行。</w:t>
      </w:r>
    </w:p>
    <w:p w14:paraId="5DF524A4">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578" w:name="_Toc373227743"/>
      <w:bookmarkStart w:id="579" w:name="_Toc389065309"/>
      <w:bookmarkStart w:id="580" w:name="_Toc5293"/>
      <w:bookmarkStart w:id="581" w:name="_Toc373478390"/>
      <w:r>
        <w:rPr>
          <w:rFonts w:hint="eastAsia" w:ascii="宋体" w:hAnsi="宋体" w:eastAsia="宋体" w:cs="宋体"/>
          <w:color w:val="000000"/>
          <w:sz w:val="21"/>
          <w:szCs w:val="21"/>
          <w:highlight w:val="none"/>
        </w:rPr>
        <w:t>1</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Start w:id="582" w:name="_Toc303539150"/>
      <w:bookmarkStart w:id="583" w:name="_Toc296944536"/>
      <w:bookmarkStart w:id="584" w:name="_Toc297216203"/>
      <w:bookmarkStart w:id="585" w:name="_Toc300934993"/>
      <w:bookmarkStart w:id="586" w:name="_Toc296891025"/>
      <w:bookmarkStart w:id="587" w:name="_Toc292559907"/>
      <w:bookmarkStart w:id="588" w:name="_Toc297048383"/>
      <w:bookmarkStart w:id="589" w:name="_Toc296503197"/>
      <w:bookmarkStart w:id="590" w:name="_Toc292559402"/>
      <w:bookmarkStart w:id="591" w:name="_Toc296891237"/>
      <w:bookmarkStart w:id="592" w:name="_Toc297120497"/>
      <w:bookmarkStart w:id="593" w:name="_Toc296346698"/>
      <w:bookmarkStart w:id="594" w:name="_Toc296347196"/>
      <w:bookmarkStart w:id="595" w:name="_Toc297123544"/>
      <w:bookmarkStart w:id="596" w:name="_Toc312678029"/>
      <w:bookmarkStart w:id="597" w:name="_Toc312677503"/>
      <w:bookmarkStart w:id="598" w:name="_Toc304295570"/>
      <w:r>
        <w:rPr>
          <w:rFonts w:hint="eastAsia" w:ascii="宋体" w:hAnsi="宋体" w:eastAsia="宋体" w:cs="宋体"/>
          <w:color w:val="000000"/>
          <w:sz w:val="21"/>
          <w:szCs w:val="21"/>
          <w:highlight w:val="none"/>
        </w:rPr>
        <w:t>0.5 承</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Start w:id="599" w:name="_Toc296347202"/>
      <w:bookmarkStart w:id="600" w:name="_Toc297120503"/>
      <w:bookmarkStart w:id="601" w:name="_Toc296891243"/>
      <w:bookmarkStart w:id="602" w:name="_Toc297048389"/>
      <w:bookmarkStart w:id="603" w:name="_Toc296891031"/>
      <w:bookmarkStart w:id="604" w:name="_Toc297123545"/>
      <w:bookmarkStart w:id="605" w:name="_Toc296346704"/>
      <w:bookmarkStart w:id="606" w:name="_Toc296944542"/>
      <w:bookmarkStart w:id="607" w:name="_Toc300934994"/>
      <w:bookmarkStart w:id="608" w:name="_Toc303539151"/>
      <w:bookmarkStart w:id="609" w:name="_Toc292559913"/>
      <w:bookmarkStart w:id="610" w:name="_Toc292559408"/>
      <w:bookmarkStart w:id="611" w:name="_Toc296503203"/>
      <w:bookmarkStart w:id="612" w:name="_Toc297216204"/>
      <w:r>
        <w:rPr>
          <w:rFonts w:hint="eastAsia" w:ascii="宋体" w:hAnsi="宋体" w:eastAsia="宋体" w:cs="宋体"/>
          <w:color w:val="000000"/>
          <w:sz w:val="21"/>
          <w:szCs w:val="21"/>
          <w:highlight w:val="none"/>
        </w:rPr>
        <w:t>包人的合理化建议</w:t>
      </w:r>
      <w:bookmarkEnd w:id="578"/>
      <w:bookmarkEnd w:id="579"/>
      <w:bookmarkEnd w:id="580"/>
      <w:bookmarkEnd w:id="581"/>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53C2838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监理人审查承包人合理化建议的期限：</w:t>
      </w:r>
      <w:r>
        <w:rPr>
          <w:rFonts w:hint="eastAsia" w:ascii="宋体" w:hAnsi="宋体" w:eastAsia="宋体" w:cs="宋体"/>
          <w:color w:val="000000"/>
          <w:sz w:val="21"/>
          <w:szCs w:val="21"/>
          <w:highlight w:val="none"/>
          <w:u w:val="single"/>
        </w:rPr>
        <w:t xml:space="preserve"> 按通用条款 10.5 执行 </w:t>
      </w:r>
      <w:r>
        <w:rPr>
          <w:rFonts w:hint="eastAsia" w:ascii="宋体" w:hAnsi="宋体" w:eastAsia="宋体" w:cs="宋体"/>
          <w:color w:val="000000"/>
          <w:sz w:val="21"/>
          <w:szCs w:val="21"/>
          <w:highlight w:val="none"/>
        </w:rPr>
        <w:t>。</w:t>
      </w:r>
    </w:p>
    <w:p w14:paraId="3A082F3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发包人审批承包人合理化建议的期限：</w:t>
      </w:r>
      <w:r>
        <w:rPr>
          <w:rFonts w:hint="eastAsia" w:ascii="宋体" w:hAnsi="宋体" w:eastAsia="宋体" w:cs="宋体"/>
          <w:color w:val="000000"/>
          <w:sz w:val="21"/>
          <w:szCs w:val="21"/>
          <w:highlight w:val="none"/>
          <w:u w:val="single"/>
        </w:rPr>
        <w:t xml:space="preserve"> 按通用条款 10.5 执行 </w:t>
      </w:r>
      <w:r>
        <w:rPr>
          <w:rFonts w:hint="eastAsia" w:ascii="宋体" w:hAnsi="宋体" w:eastAsia="宋体" w:cs="宋体"/>
          <w:color w:val="000000"/>
          <w:sz w:val="21"/>
          <w:szCs w:val="21"/>
          <w:highlight w:val="none"/>
        </w:rPr>
        <w:t>。</w:t>
      </w:r>
    </w:p>
    <w:p w14:paraId="4BD808D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承</w:t>
      </w:r>
      <w:bookmarkStart w:id="613" w:name="_Toc297120504"/>
      <w:bookmarkStart w:id="614" w:name="_Toc297123546"/>
      <w:bookmarkStart w:id="615" w:name="_Toc312677504"/>
      <w:bookmarkStart w:id="616" w:name="_Toc297216205"/>
      <w:bookmarkStart w:id="617" w:name="_Toc303539152"/>
      <w:bookmarkStart w:id="618" w:name="_Toc292559409"/>
      <w:bookmarkStart w:id="619" w:name="_Toc304295571"/>
      <w:bookmarkStart w:id="620" w:name="_Toc296891244"/>
      <w:bookmarkStart w:id="621" w:name="_Toc296347203"/>
      <w:bookmarkStart w:id="622" w:name="_Toc312678030"/>
      <w:bookmarkStart w:id="623" w:name="_Toc296944543"/>
      <w:bookmarkStart w:id="624" w:name="_Toc296891032"/>
      <w:bookmarkStart w:id="625" w:name="_Toc318581175"/>
      <w:bookmarkStart w:id="626" w:name="_Toc300934995"/>
      <w:bookmarkStart w:id="627" w:name="_Toc296503204"/>
      <w:bookmarkStart w:id="628" w:name="_Toc296346705"/>
      <w:bookmarkStart w:id="629" w:name="_Toc297048390"/>
      <w:bookmarkStart w:id="630" w:name="_Toc292559914"/>
      <w:r>
        <w:rPr>
          <w:rFonts w:hint="eastAsia" w:ascii="宋体" w:hAnsi="宋体" w:eastAsia="宋体" w:cs="宋体"/>
          <w:color w:val="000000"/>
          <w:sz w:val="21"/>
          <w:szCs w:val="21"/>
          <w:highlight w:val="none"/>
        </w:rPr>
        <w:t>包人提出的合理化建议降低了合同价格或者提高了工程经济效益的奖励的方法和金额为：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14:paraId="183497FF">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631" w:name="_Toc26302"/>
      <w:bookmarkStart w:id="632" w:name="_Toc389065310"/>
      <w:bookmarkStart w:id="633" w:name="_Toc373227744"/>
      <w:bookmarkStart w:id="634" w:name="_Toc373478391"/>
      <w:r>
        <w:rPr>
          <w:rFonts w:hint="eastAsia" w:ascii="宋体" w:hAnsi="宋体" w:eastAsia="宋体" w:cs="宋体"/>
          <w:color w:val="000000"/>
          <w:sz w:val="21"/>
          <w:szCs w:val="21"/>
          <w:highlight w:val="none"/>
        </w:rPr>
        <w:t>1</w:t>
      </w:r>
      <w:bookmarkStart w:id="635" w:name="_Toc296347198"/>
      <w:bookmarkStart w:id="636" w:name="_Toc296944538"/>
      <w:bookmarkStart w:id="637" w:name="_Toc300934997"/>
      <w:bookmarkStart w:id="638" w:name="_Toc292559404"/>
      <w:bookmarkStart w:id="639" w:name="_Toc312678033"/>
      <w:bookmarkStart w:id="640" w:name="_Toc304295574"/>
      <w:bookmarkStart w:id="641" w:name="_Toc296503199"/>
      <w:bookmarkStart w:id="642" w:name="_Toc303539154"/>
      <w:bookmarkStart w:id="643" w:name="_Toc297216207"/>
      <w:bookmarkStart w:id="644" w:name="_Toc297048385"/>
      <w:bookmarkStart w:id="645" w:name="_Toc292559909"/>
      <w:bookmarkStart w:id="646" w:name="_Toc312677507"/>
      <w:bookmarkStart w:id="647" w:name="_Toc297123548"/>
      <w:bookmarkStart w:id="648" w:name="_Toc296891239"/>
      <w:bookmarkStart w:id="649" w:name="_Toc296891027"/>
      <w:bookmarkStart w:id="650" w:name="_Toc297120499"/>
      <w:bookmarkStart w:id="651" w:name="_Toc296346700"/>
      <w:r>
        <w:rPr>
          <w:rFonts w:hint="eastAsia" w:ascii="宋体" w:hAnsi="宋体" w:eastAsia="宋体" w:cs="宋体"/>
          <w:color w:val="000000"/>
          <w:sz w:val="21"/>
          <w:szCs w:val="21"/>
          <w:highlight w:val="none"/>
        </w:rPr>
        <w:t>0.7 暂估价</w:t>
      </w:r>
      <w:bookmarkEnd w:id="631"/>
      <w:bookmarkEnd w:id="632"/>
      <w:bookmarkEnd w:id="633"/>
      <w:bookmarkEnd w:id="634"/>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14:paraId="0A18750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暂</w:t>
      </w:r>
      <w:bookmarkStart w:id="652" w:name="_Toc312678034"/>
      <w:bookmarkStart w:id="653" w:name="_Toc318581176"/>
      <w:bookmarkStart w:id="654" w:name="_Toc312677508"/>
      <w:r>
        <w:rPr>
          <w:rFonts w:hint="eastAsia" w:ascii="宋体" w:hAnsi="宋体" w:eastAsia="宋体" w:cs="宋体"/>
          <w:color w:val="000000"/>
          <w:sz w:val="21"/>
          <w:szCs w:val="21"/>
          <w:highlight w:val="none"/>
        </w:rPr>
        <w:t>估价材料和工程设备的明细详见已标价工程量清单。</w:t>
      </w:r>
    </w:p>
    <w:bookmarkEnd w:id="652"/>
    <w:bookmarkEnd w:id="653"/>
    <w:bookmarkEnd w:id="654"/>
    <w:p w14:paraId="43DB3C1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bookmarkStart w:id="655" w:name="_Toc312677509"/>
      <w:bookmarkStart w:id="656" w:name="_Toc312678035"/>
      <w:bookmarkStart w:id="657" w:name="_Toc318581177"/>
      <w:r>
        <w:rPr>
          <w:rFonts w:hint="eastAsia" w:ascii="宋体" w:hAnsi="宋体" w:eastAsia="宋体" w:cs="宋体"/>
          <w:color w:val="000000"/>
          <w:sz w:val="21"/>
          <w:szCs w:val="21"/>
          <w:highlight w:val="none"/>
        </w:rPr>
        <w:t>0.7.1 依法必须招标的暂估价项目</w:t>
      </w:r>
    </w:p>
    <w:bookmarkEnd w:id="655"/>
    <w:bookmarkEnd w:id="656"/>
    <w:bookmarkEnd w:id="657"/>
    <w:p w14:paraId="74183AAE">
      <w:pPr>
        <w:pStyle w:val="26"/>
        <w:spacing w:line="360" w:lineRule="auto"/>
        <w:ind w:firstLine="420" w:firstLineChars="200"/>
        <w:jc w:val="left"/>
        <w:rPr>
          <w:rStyle w:val="24"/>
          <w:rFonts w:hint="eastAsia" w:ascii="Calibri" w:hAnsi="宋体" w:eastAsia="宋体" w:cs="宋体"/>
          <w:color w:val="auto"/>
          <w:highlight w:val="none"/>
        </w:rPr>
      </w:pPr>
      <w:r>
        <w:rPr>
          <w:rStyle w:val="24"/>
          <w:rFonts w:hint="eastAsia" w:ascii="Calibri" w:hAnsi="宋体" w:eastAsia="宋体" w:cs="宋体"/>
          <w:color w:val="auto"/>
          <w:highlight w:val="none"/>
        </w:rPr>
        <w:t>对于依法必须招标的暂估价项目的确认和批准采取</w:t>
      </w:r>
      <w:r>
        <w:rPr>
          <w:rStyle w:val="24"/>
          <w:rFonts w:hint="eastAsia" w:ascii="Calibri" w:hAnsi="宋体" w:eastAsia="宋体" w:cs="宋体"/>
          <w:color w:val="auto"/>
          <w:highlight w:val="none"/>
          <w:lang w:val="en-US" w:eastAsia="zh-CN"/>
        </w:rPr>
        <w:t>通用条款暂估价第10.7.1</w:t>
      </w:r>
      <w:r>
        <w:rPr>
          <w:rStyle w:val="24"/>
          <w:rFonts w:hint="eastAsia" w:ascii="Calibri" w:hAnsi="宋体" w:eastAsia="宋体" w:cs="宋体"/>
          <w:color w:val="auto"/>
          <w:highlight w:val="none"/>
        </w:rPr>
        <w:t>第</w:t>
      </w:r>
      <w:r>
        <w:rPr>
          <w:rStyle w:val="24"/>
          <w:rFonts w:ascii="Calibri" w:hAnsi="Calibri" w:eastAsia="宋体" w:cs="Times New Roman"/>
          <w:color w:val="auto"/>
          <w:highlight w:val="none"/>
          <w:u w:val="single"/>
        </w:rPr>
        <w:t xml:space="preserve">  </w:t>
      </w:r>
      <w:r>
        <w:rPr>
          <w:rStyle w:val="24"/>
          <w:rFonts w:hint="eastAsia" w:ascii="Calibri" w:hAnsi="Calibri" w:eastAsia="宋体" w:cs="Times New Roman"/>
          <w:color w:val="auto"/>
          <w:highlight w:val="none"/>
          <w:u w:val="single"/>
          <w:lang w:val="en-US" w:eastAsia="zh-CN"/>
        </w:rPr>
        <w:t>1</w:t>
      </w:r>
      <w:r>
        <w:rPr>
          <w:rStyle w:val="24"/>
          <w:rFonts w:ascii="Calibri" w:hAnsi="Calibri" w:eastAsia="宋体" w:cs="Times New Roman"/>
          <w:color w:val="auto"/>
          <w:highlight w:val="none"/>
          <w:u w:val="single"/>
        </w:rPr>
        <w:t xml:space="preserve"> </w:t>
      </w:r>
      <w:r>
        <w:rPr>
          <w:rStyle w:val="24"/>
          <w:rFonts w:hint="eastAsia" w:ascii="Calibri" w:hAnsi="宋体" w:eastAsia="宋体" w:cs="宋体"/>
          <w:color w:val="auto"/>
          <w:highlight w:val="none"/>
        </w:rPr>
        <w:t>种方式确定。</w:t>
      </w:r>
    </w:p>
    <w:p w14:paraId="422CD2F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10.7.2 不属于依法必须招标的暂估价项目</w:t>
      </w:r>
    </w:p>
    <w:p w14:paraId="551B2559">
      <w:pPr>
        <w:pStyle w:val="26"/>
        <w:spacing w:line="360" w:lineRule="auto"/>
        <w:ind w:firstLine="420" w:firstLineChars="200"/>
        <w:jc w:val="left"/>
        <w:rPr>
          <w:rFonts w:hint="eastAsia" w:ascii="宋体" w:hAnsi="宋体" w:eastAsia="宋体" w:cs="宋体"/>
          <w:color w:val="000000"/>
          <w:sz w:val="21"/>
          <w:szCs w:val="21"/>
          <w:highlight w:val="none"/>
        </w:rPr>
      </w:pPr>
      <w:r>
        <w:rPr>
          <w:rStyle w:val="24"/>
          <w:rFonts w:hint="eastAsia" w:ascii="Calibri" w:hAnsi="宋体" w:eastAsia="宋体" w:cs="宋体"/>
          <w:color w:val="auto"/>
          <w:highlight w:val="none"/>
        </w:rPr>
        <w:t>对于不属于依法必须招标的暂估价项目的确认和批准采取</w:t>
      </w:r>
      <w:r>
        <w:rPr>
          <w:rStyle w:val="24"/>
          <w:rFonts w:hint="eastAsia" w:ascii="Calibri" w:hAnsi="宋体" w:eastAsia="宋体" w:cs="宋体"/>
          <w:color w:val="auto"/>
          <w:highlight w:val="none"/>
          <w:lang w:val="en-US" w:eastAsia="zh-CN"/>
        </w:rPr>
        <w:t>通用条款暂估价第10.7.2</w:t>
      </w:r>
      <w:r>
        <w:rPr>
          <w:rStyle w:val="24"/>
          <w:rFonts w:hint="eastAsia" w:ascii="Calibri" w:hAnsi="宋体" w:eastAsia="宋体" w:cs="宋体"/>
          <w:color w:val="auto"/>
          <w:highlight w:val="none"/>
        </w:rPr>
        <w:t>第</w:t>
      </w:r>
      <w:r>
        <w:rPr>
          <w:rStyle w:val="24"/>
          <w:rFonts w:ascii="Calibri" w:hAnsi="Calibri" w:eastAsia="宋体" w:cs="Times New Roman"/>
          <w:color w:val="auto"/>
          <w:highlight w:val="none"/>
          <w:u w:val="single"/>
        </w:rPr>
        <w:t xml:space="preserve"> </w:t>
      </w:r>
      <w:r>
        <w:rPr>
          <w:rStyle w:val="24"/>
          <w:rFonts w:hint="eastAsia" w:ascii="Calibri" w:hAnsi="Calibri" w:eastAsia="宋体" w:cs="Times New Roman"/>
          <w:color w:val="auto"/>
          <w:highlight w:val="none"/>
          <w:u w:val="single"/>
          <w:lang w:val="en-US" w:eastAsia="zh-CN"/>
        </w:rPr>
        <w:t>2</w:t>
      </w:r>
      <w:r>
        <w:rPr>
          <w:rStyle w:val="24"/>
          <w:rFonts w:ascii="Calibri" w:hAnsi="Calibri" w:eastAsia="宋体" w:cs="Times New Roman"/>
          <w:color w:val="auto"/>
          <w:highlight w:val="none"/>
          <w:u w:val="single"/>
        </w:rPr>
        <w:t xml:space="preserve"> </w:t>
      </w:r>
      <w:r>
        <w:rPr>
          <w:rStyle w:val="24"/>
          <w:rFonts w:ascii="Calibri" w:hAnsi="Calibri" w:eastAsia="宋体" w:cs="Times New Roman"/>
          <w:color w:val="auto"/>
          <w:highlight w:val="none"/>
        </w:rPr>
        <w:t xml:space="preserve"> </w:t>
      </w:r>
      <w:r>
        <w:rPr>
          <w:rStyle w:val="24"/>
          <w:rFonts w:hint="eastAsia" w:ascii="Calibri" w:hAnsi="宋体" w:eastAsia="宋体" w:cs="宋体"/>
          <w:color w:val="auto"/>
          <w:highlight w:val="none"/>
        </w:rPr>
        <w:t>种方式确定。</w:t>
      </w:r>
    </w:p>
    <w:p w14:paraId="1292AF8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第3种方式：承包人直接实施的暂估价项目</w:t>
      </w:r>
    </w:p>
    <w:p w14:paraId="1C2389A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承包人直接实施的暂估价项目的约定：</w:t>
      </w:r>
      <w:r>
        <w:rPr>
          <w:rFonts w:hint="eastAsia" w:ascii="宋体" w:hAnsi="宋体" w:eastAsia="宋体" w:cs="宋体"/>
          <w:color w:val="000000"/>
          <w:sz w:val="21"/>
          <w:szCs w:val="21"/>
          <w:highlight w:val="none"/>
          <w:u w:val="single"/>
        </w:rPr>
        <w:t xml:space="preserve">  报经发包人同意之后方可实施 </w:t>
      </w:r>
      <w:r>
        <w:rPr>
          <w:rFonts w:hint="eastAsia" w:ascii="宋体" w:hAnsi="宋体" w:eastAsia="宋体" w:cs="宋体"/>
          <w:color w:val="000000"/>
          <w:sz w:val="21"/>
          <w:szCs w:val="21"/>
          <w:highlight w:val="none"/>
        </w:rPr>
        <w:t>。</w:t>
      </w:r>
    </w:p>
    <w:p w14:paraId="24993DF9">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658" w:name="_Toc389065311"/>
      <w:bookmarkStart w:id="659" w:name="_Toc6476"/>
      <w:bookmarkStart w:id="660" w:name="_Toc373478392"/>
      <w:bookmarkStart w:id="661" w:name="_Toc373227745"/>
      <w:r>
        <w:rPr>
          <w:rFonts w:hint="eastAsia" w:ascii="宋体" w:hAnsi="宋体" w:eastAsia="宋体" w:cs="宋体"/>
          <w:color w:val="000000"/>
          <w:sz w:val="21"/>
          <w:szCs w:val="21"/>
          <w:highlight w:val="none"/>
        </w:rPr>
        <w:t>10.8 暂列金额</w:t>
      </w:r>
      <w:bookmarkEnd w:id="658"/>
      <w:bookmarkEnd w:id="659"/>
      <w:bookmarkEnd w:id="660"/>
      <w:bookmarkEnd w:id="661"/>
    </w:p>
    <w:p w14:paraId="12F917F0">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合同当事人关于暂列金额使用的约定：</w:t>
      </w:r>
      <w:r>
        <w:rPr>
          <w:rFonts w:hint="eastAsia" w:ascii="宋体" w:hAnsi="宋体" w:eastAsia="宋体" w:cs="宋体"/>
          <w:color w:val="000000"/>
          <w:sz w:val="21"/>
          <w:szCs w:val="21"/>
          <w:highlight w:val="none"/>
          <w:u w:val="single"/>
        </w:rPr>
        <w:t xml:space="preserve"> 以发包人要求为准，内容详见工程量清单  </w:t>
      </w:r>
      <w:r>
        <w:rPr>
          <w:rFonts w:hint="eastAsia" w:ascii="宋体" w:hAnsi="宋体" w:eastAsia="宋体" w:cs="宋体"/>
          <w:color w:val="000000"/>
          <w:sz w:val="21"/>
          <w:szCs w:val="21"/>
          <w:highlight w:val="none"/>
        </w:rPr>
        <w:t>。</w:t>
      </w:r>
    </w:p>
    <w:p w14:paraId="556F81C4">
      <w:pPr>
        <w:pageBreakBefore w:val="0"/>
        <w:numPr>
          <w:ilvl w:val="0"/>
          <w:numId w:val="8"/>
        </w:numPr>
        <w:kinsoku/>
        <w:overflowPunct/>
        <w:topLinePunct w:val="0"/>
        <w:bidi w:val="0"/>
        <w:spacing w:line="360" w:lineRule="auto"/>
        <w:outlineLvl w:val="9"/>
        <w:rPr>
          <w:rFonts w:hint="eastAsia" w:ascii="宋体" w:hAnsi="宋体" w:eastAsia="宋体" w:cs="宋体"/>
          <w:color w:val="000000"/>
          <w:sz w:val="21"/>
          <w:szCs w:val="21"/>
          <w:highlight w:val="none"/>
        </w:rPr>
      </w:pPr>
      <w:bookmarkStart w:id="662" w:name="_Toc373478393"/>
      <w:bookmarkStart w:id="663" w:name="_Toc373227746"/>
      <w:bookmarkStart w:id="664" w:name="_Toc389065312"/>
      <w:bookmarkStart w:id="665" w:name="_Toc15950"/>
      <w:bookmarkStart w:id="666" w:name="_Toc351203643"/>
      <w:r>
        <w:rPr>
          <w:rFonts w:hint="eastAsia" w:ascii="宋体" w:hAnsi="宋体" w:eastAsia="宋体" w:cs="宋体"/>
          <w:color w:val="000000"/>
          <w:sz w:val="21"/>
          <w:szCs w:val="21"/>
          <w:highlight w:val="none"/>
        </w:rPr>
        <w:t>价格调整</w:t>
      </w:r>
      <w:bookmarkEnd w:id="662"/>
      <w:bookmarkEnd w:id="663"/>
      <w:bookmarkEnd w:id="664"/>
      <w:bookmarkEnd w:id="665"/>
      <w:bookmarkEnd w:id="666"/>
    </w:p>
    <w:p w14:paraId="768A16A9">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①法律变化引起的调整；</w:t>
      </w:r>
    </w:p>
    <w:p w14:paraId="78A522D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②工程变更、项目特征不符、工程量清单缺项、工程量偏差引起的调整；</w:t>
      </w:r>
    </w:p>
    <w:p w14:paraId="093D402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③计日工引起的调整。</w:t>
      </w:r>
    </w:p>
    <w:p w14:paraId="6EFA961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667" w:name="_Toc13425"/>
      <w:bookmarkStart w:id="668" w:name="_Toc389065313"/>
      <w:bookmarkStart w:id="669" w:name="_Toc373478394"/>
      <w:bookmarkStart w:id="670" w:name="_Toc373227747"/>
      <w:bookmarkStart w:id="671" w:name="_Toc303539157"/>
      <w:bookmarkStart w:id="672" w:name="_Toc296944540"/>
      <w:bookmarkStart w:id="673" w:name="_Toc296346702"/>
      <w:bookmarkStart w:id="674" w:name="_Toc296347200"/>
      <w:bookmarkStart w:id="675" w:name="_Toc292559406"/>
      <w:bookmarkStart w:id="676" w:name="_Toc297216209"/>
      <w:bookmarkStart w:id="677" w:name="_Toc304295577"/>
      <w:bookmarkStart w:id="678" w:name="_Toc312678039"/>
      <w:bookmarkStart w:id="679" w:name="_Toc297123550"/>
      <w:bookmarkStart w:id="680" w:name="_Toc297120501"/>
      <w:bookmarkStart w:id="681" w:name="_Toc296503201"/>
      <w:bookmarkStart w:id="682" w:name="_Toc292559911"/>
      <w:bookmarkStart w:id="683" w:name="_Toc296891029"/>
      <w:bookmarkStart w:id="684" w:name="_Toc297048387"/>
      <w:bookmarkStart w:id="685" w:name="_Toc296891241"/>
      <w:bookmarkStart w:id="686" w:name="_Toc300935000"/>
      <w:r>
        <w:rPr>
          <w:rFonts w:hint="eastAsia" w:ascii="宋体" w:hAnsi="宋体" w:eastAsia="宋体" w:cs="宋体"/>
          <w:color w:val="000000"/>
          <w:sz w:val="21"/>
          <w:szCs w:val="21"/>
          <w:highlight w:val="none"/>
        </w:rPr>
        <w:t>11.1 市场价格波动引起的调整</w:t>
      </w:r>
      <w:bookmarkEnd w:id="667"/>
      <w:bookmarkEnd w:id="668"/>
      <w:bookmarkEnd w:id="669"/>
      <w:bookmarkEnd w:id="670"/>
    </w:p>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14:paraId="1CE71E6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市场价格波动是否调整合同价格的约定：</w:t>
      </w:r>
      <w:r>
        <w:rPr>
          <w:rFonts w:hint="eastAsia" w:ascii="宋体" w:hAnsi="宋体" w:eastAsia="宋体" w:cs="宋体"/>
          <w:color w:val="000000"/>
          <w:sz w:val="21"/>
          <w:szCs w:val="21"/>
          <w:highlight w:val="none"/>
          <w:u w:val="single"/>
        </w:rPr>
        <w:t xml:space="preserve"> 第三种方式    </w:t>
      </w:r>
      <w:r>
        <w:rPr>
          <w:rFonts w:hint="eastAsia" w:ascii="宋体" w:hAnsi="宋体" w:eastAsia="宋体" w:cs="宋体"/>
          <w:color w:val="000000"/>
          <w:sz w:val="21"/>
          <w:szCs w:val="21"/>
          <w:highlight w:val="none"/>
        </w:rPr>
        <w:t>。</w:t>
      </w:r>
    </w:p>
    <w:p w14:paraId="58080C4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因市场价格波动调整合同价格，采用以下第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种方式对合同价格进行调整：</w:t>
      </w:r>
    </w:p>
    <w:p w14:paraId="495343F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第1种方式：采用价格指数进行价格调整。</w:t>
      </w:r>
    </w:p>
    <w:p w14:paraId="17E2FD0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关于各可调因子、定值和变值权重，以及基本价格指数及其来源的约定：</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494DAF6">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第2种方式：采用造价信息进行价格调整。</w:t>
      </w:r>
    </w:p>
    <w:p w14:paraId="3F47172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（1）允许调整的主要材料和设备、基期价格、风险系数、投标报价：详见《承包人提供主要材料和设备一览表》,价差调整部分仅计算税金，除此表列明的材料、设备外，其余材料设备价差原则上不予调整。</w:t>
      </w:r>
    </w:p>
    <w:p w14:paraId="19F6872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（2）主要材料和设备确认价：</w:t>
      </w:r>
    </w:p>
    <w:p w14:paraId="7B4CF08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按施工期间《</w:t>
      </w:r>
      <w:r>
        <w:rPr>
          <w:rFonts w:hint="eastAsia" w:ascii="宋体" w:hAnsi="宋体" w:eastAsia="宋体" w:cs="宋体"/>
          <w:color w:val="000000"/>
          <w:sz w:val="21"/>
          <w:szCs w:val="21"/>
          <w:highlight w:val="none"/>
          <w:u w:val="single"/>
          <w:lang w:val="en-US" w:eastAsia="zh-CN"/>
        </w:rPr>
        <w:t>防城港</w:t>
      </w:r>
      <w:r>
        <w:rPr>
          <w:rFonts w:hint="eastAsia" w:ascii="宋体" w:hAnsi="宋体" w:eastAsia="宋体" w:cs="宋体"/>
          <w:color w:val="000000"/>
          <w:sz w:val="21"/>
          <w:szCs w:val="21"/>
          <w:highlight w:val="none"/>
        </w:rPr>
        <w:t>市建设工程造价信息》加权平均计算，信息价没有的按通用条款规定确定。</w:t>
      </w:r>
    </w:p>
    <w:p w14:paraId="088CE58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（3）价差计算方法：</w:t>
      </w:r>
    </w:p>
    <w:p w14:paraId="6FC5243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单价*（1+风险系数），价格下跌价差=确认价-投标报价*（1+风险系数）。</w:t>
      </w:r>
    </w:p>
    <w:p w14:paraId="5FC917D9">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45C18D2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承包人在《承包人提供主要材料和设备一览表》中载明的材料和设备单价等于基准单价的：合同履行期间材料和设备单价涨跌幅以基准单价为基础超过约定的风险范围时，其超过部分据实调整。价差计算公式：上涨或下跌价差=确认价-基准单价*（1+风险系数）</w:t>
      </w:r>
    </w:p>
    <w:p w14:paraId="1C10F8FB">
      <w:pPr>
        <w:pageBreakBefore w:val="0"/>
        <w:kinsoku/>
        <w:overflowPunct/>
        <w:topLinePunct w:val="0"/>
        <w:bidi w:val="0"/>
        <w:spacing w:line="360" w:lineRule="auto"/>
        <w:ind w:firstLine="645"/>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第3种方式：</w:t>
      </w:r>
      <w:r>
        <w:rPr>
          <w:rFonts w:hint="eastAsia" w:ascii="宋体" w:hAnsi="宋体" w:eastAsia="宋体" w:cs="宋体"/>
          <w:color w:val="000000"/>
          <w:sz w:val="21"/>
          <w:szCs w:val="21"/>
          <w:highlight w:val="none"/>
          <w:u w:val="single"/>
        </w:rPr>
        <w:t>其他价格调整方式：除合同约定可以调整的主要材料外，材料单价在合同实施期间不因市场价格变化因素而变动，因征地拆迁影响及重大设计变更等发包人的原因，在招标后延迟开工或中途停建重新复工的施工工期内，主要材料涨跌的调整幅度</w:t>
      </w:r>
      <w:r>
        <w:rPr>
          <w:rFonts w:hint="eastAsia" w:ascii="宋体" w:hAnsi="宋体" w:eastAsia="宋体" w:cs="宋体"/>
          <w:color w:val="000000"/>
          <w:sz w:val="21"/>
          <w:szCs w:val="21"/>
          <w:highlight w:val="none"/>
          <w:u w:val="single"/>
          <w:lang w:eastAsia="zh-CN"/>
        </w:rPr>
        <w:t>由</w:t>
      </w:r>
      <w:r>
        <w:rPr>
          <w:rFonts w:hint="eastAsia" w:ascii="宋体" w:hAnsi="宋体" w:eastAsia="宋体" w:cs="宋体"/>
          <w:color w:val="000000"/>
          <w:sz w:val="21"/>
          <w:szCs w:val="21"/>
          <w:highlight w:val="none"/>
          <w:u w:val="single"/>
        </w:rPr>
        <w:t xml:space="preserve">甲乙双方协商调价，以招标控制价采用的《防城港市建设工程造价信息》上发布的市场价格信息确定为基准材料价格  </w:t>
      </w:r>
      <w:r>
        <w:rPr>
          <w:rFonts w:hint="eastAsia" w:ascii="宋体" w:hAnsi="宋体" w:eastAsia="宋体" w:cs="宋体"/>
          <w:color w:val="000000"/>
          <w:sz w:val="21"/>
          <w:szCs w:val="21"/>
          <w:highlight w:val="none"/>
        </w:rPr>
        <w:t>。</w:t>
      </w:r>
    </w:p>
    <w:bookmarkEnd w:id="541"/>
    <w:bookmarkEnd w:id="542"/>
    <w:bookmarkEnd w:id="543"/>
    <w:bookmarkEnd w:id="544"/>
    <w:bookmarkEnd w:id="545"/>
    <w:bookmarkEnd w:id="546"/>
    <w:p w14:paraId="3CF72FC4">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687" w:name="_Toc292559915"/>
      <w:bookmarkStart w:id="688" w:name="_Toc296944544"/>
      <w:bookmarkStart w:id="689" w:name="_Toc296891033"/>
      <w:bookmarkStart w:id="690" w:name="_Toc296503205"/>
      <w:bookmarkStart w:id="691" w:name="_Toc296347204"/>
      <w:bookmarkStart w:id="692" w:name="_Toc296891245"/>
      <w:bookmarkStart w:id="693" w:name="_Toc292559410"/>
      <w:bookmarkStart w:id="694" w:name="_Toc297120505"/>
      <w:bookmarkStart w:id="695" w:name="_Toc297048391"/>
      <w:bookmarkStart w:id="696" w:name="_Toc296346706"/>
      <w:bookmarkStart w:id="697" w:name="_Toc351203644"/>
      <w:bookmarkStart w:id="698" w:name="_Toc373478395"/>
      <w:bookmarkStart w:id="699" w:name="_Toc4351"/>
      <w:bookmarkStart w:id="700" w:name="_Toc373227748"/>
      <w:bookmarkStart w:id="701" w:name="_Toc304295579"/>
      <w:bookmarkStart w:id="702" w:name="_Toc303539159"/>
      <w:bookmarkStart w:id="703" w:name="_Toc312678040"/>
      <w:bookmarkStart w:id="704" w:name="_Toc300935002"/>
      <w:bookmarkStart w:id="705" w:name="_Toc297216211"/>
      <w:bookmarkStart w:id="706" w:name="_Toc297123552"/>
      <w:r>
        <w:rPr>
          <w:rFonts w:hint="eastAsia" w:ascii="宋体" w:hAnsi="宋体" w:eastAsia="宋体" w:cs="宋体"/>
          <w:color w:val="000000"/>
          <w:sz w:val="21"/>
          <w:szCs w:val="21"/>
          <w:highlight w:val="none"/>
        </w:rPr>
        <w:t xml:space="preserve">12. </w:t>
      </w:r>
      <w:bookmarkEnd w:id="687"/>
      <w:bookmarkEnd w:id="688"/>
      <w:bookmarkEnd w:id="689"/>
      <w:bookmarkEnd w:id="690"/>
      <w:bookmarkEnd w:id="691"/>
      <w:bookmarkEnd w:id="692"/>
      <w:bookmarkEnd w:id="693"/>
      <w:bookmarkEnd w:id="694"/>
      <w:bookmarkEnd w:id="695"/>
      <w:bookmarkEnd w:id="696"/>
      <w:r>
        <w:rPr>
          <w:rFonts w:hint="eastAsia" w:ascii="宋体" w:hAnsi="宋体" w:eastAsia="宋体" w:cs="宋体"/>
          <w:color w:val="000000"/>
          <w:sz w:val="21"/>
          <w:szCs w:val="21"/>
          <w:highlight w:val="none"/>
        </w:rPr>
        <w:t>合同价格、计量与支付</w:t>
      </w:r>
      <w:bookmarkEnd w:id="697"/>
      <w:bookmarkEnd w:id="698"/>
      <w:bookmarkEnd w:id="699"/>
      <w:bookmarkEnd w:id="700"/>
    </w:p>
    <w:bookmarkEnd w:id="701"/>
    <w:bookmarkEnd w:id="702"/>
    <w:bookmarkEnd w:id="703"/>
    <w:bookmarkEnd w:id="704"/>
    <w:bookmarkEnd w:id="705"/>
    <w:bookmarkEnd w:id="706"/>
    <w:p w14:paraId="406AEF46">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707" w:name="_Toc292559411"/>
      <w:bookmarkStart w:id="708" w:name="_Toc292559916"/>
      <w:bookmarkStart w:id="709" w:name="_Toc267251461"/>
      <w:bookmarkStart w:id="710" w:name="_Toc296503206"/>
      <w:bookmarkStart w:id="711" w:name="_Toc297048392"/>
      <w:bookmarkStart w:id="712" w:name="_Toc296891246"/>
      <w:bookmarkStart w:id="713" w:name="_Toc296891034"/>
      <w:bookmarkStart w:id="714" w:name="_Toc296347205"/>
      <w:bookmarkStart w:id="715" w:name="_Toc297120506"/>
      <w:bookmarkStart w:id="716" w:name="_Toc296944545"/>
      <w:bookmarkStart w:id="717" w:name="_Toc296346707"/>
      <w:bookmarkStart w:id="718" w:name="_Toc373227749"/>
      <w:bookmarkStart w:id="719" w:name="_Toc389065314"/>
      <w:bookmarkStart w:id="720" w:name="_Toc13093"/>
      <w:bookmarkStart w:id="721" w:name="_Toc373478396"/>
      <w:bookmarkStart w:id="722" w:name="_Toc300935003"/>
      <w:bookmarkStart w:id="723" w:name="_Toc297216212"/>
      <w:bookmarkStart w:id="724" w:name="_Toc303539160"/>
      <w:bookmarkStart w:id="725" w:name="_Toc312678041"/>
      <w:bookmarkStart w:id="726" w:name="_Toc304295580"/>
      <w:bookmarkStart w:id="727" w:name="_Toc297123553"/>
      <w:r>
        <w:rPr>
          <w:rFonts w:hint="eastAsia" w:ascii="宋体" w:hAnsi="宋体" w:eastAsia="宋体" w:cs="宋体"/>
          <w:color w:val="000000"/>
          <w:sz w:val="21"/>
          <w:szCs w:val="21"/>
          <w:highlight w:val="none"/>
        </w:rPr>
        <w:t>12.1 合</w:t>
      </w:r>
      <w:bookmarkEnd w:id="707"/>
      <w:bookmarkEnd w:id="708"/>
      <w:bookmarkEnd w:id="709"/>
      <w:r>
        <w:rPr>
          <w:rFonts w:hint="eastAsia" w:ascii="宋体" w:hAnsi="宋体" w:eastAsia="宋体" w:cs="宋体"/>
          <w:color w:val="000000"/>
          <w:sz w:val="21"/>
          <w:szCs w:val="21"/>
          <w:highlight w:val="none"/>
        </w:rPr>
        <w:t>同价</w:t>
      </w:r>
      <w:bookmarkEnd w:id="710"/>
      <w:bookmarkEnd w:id="711"/>
      <w:bookmarkEnd w:id="712"/>
      <w:bookmarkEnd w:id="713"/>
      <w:bookmarkEnd w:id="714"/>
      <w:bookmarkEnd w:id="715"/>
      <w:bookmarkEnd w:id="716"/>
      <w:bookmarkEnd w:id="717"/>
      <w:r>
        <w:rPr>
          <w:rFonts w:hint="eastAsia" w:ascii="宋体" w:hAnsi="宋体" w:eastAsia="宋体" w:cs="宋体"/>
          <w:color w:val="000000"/>
          <w:sz w:val="21"/>
          <w:szCs w:val="21"/>
          <w:highlight w:val="none"/>
        </w:rPr>
        <w:t>格形式</w:t>
      </w:r>
      <w:bookmarkEnd w:id="718"/>
      <w:bookmarkEnd w:id="719"/>
      <w:bookmarkEnd w:id="720"/>
      <w:bookmarkEnd w:id="721"/>
    </w:p>
    <w:bookmarkEnd w:id="722"/>
    <w:bookmarkEnd w:id="723"/>
    <w:bookmarkEnd w:id="724"/>
    <w:bookmarkEnd w:id="725"/>
    <w:bookmarkEnd w:id="726"/>
    <w:bookmarkEnd w:id="727"/>
    <w:p w14:paraId="687C92F4">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bookmarkStart w:id="728" w:name="_Toc373478397"/>
      <w:bookmarkStart w:id="729" w:name="_Toc373227750"/>
      <w:bookmarkStart w:id="730" w:name="_Toc389065315"/>
      <w:bookmarkStart w:id="731" w:name="_Toc312678042"/>
      <w:bookmarkStart w:id="732" w:name="_Toc297216213"/>
      <w:bookmarkStart w:id="733" w:name="_Toc297123554"/>
      <w:bookmarkStart w:id="734" w:name="_Toc303539161"/>
      <w:bookmarkStart w:id="735" w:name="_Toc300935004"/>
      <w:bookmarkStart w:id="736" w:name="_Toc304295581"/>
      <w:bookmarkStart w:id="737" w:name="_Toc292559917"/>
      <w:bookmarkStart w:id="738" w:name="_Toc296944546"/>
      <w:bookmarkStart w:id="739" w:name="_Toc296346708"/>
      <w:bookmarkStart w:id="740" w:name="_Toc297120507"/>
      <w:bookmarkStart w:id="741" w:name="_Toc297048393"/>
      <w:bookmarkStart w:id="742" w:name="_Toc296503207"/>
      <w:bookmarkStart w:id="743" w:name="_Toc296347206"/>
      <w:bookmarkStart w:id="744" w:name="_Toc296891035"/>
      <w:bookmarkStart w:id="745" w:name="_Toc296891247"/>
      <w:bookmarkStart w:id="746" w:name="_Toc292559412"/>
      <w:r>
        <w:rPr>
          <w:rFonts w:hint="eastAsia" w:ascii="宋体" w:hAnsi="宋体" w:eastAsia="宋体" w:cs="宋体"/>
          <w:color w:val="000000"/>
          <w:sz w:val="21"/>
          <w:szCs w:val="21"/>
          <w:highlight w:val="none"/>
        </w:rPr>
        <w:t>本工程采用</w:t>
      </w:r>
      <w:r>
        <w:rPr>
          <w:rFonts w:hint="eastAsia" w:ascii="宋体" w:hAnsi="宋体" w:eastAsia="宋体" w:cs="宋体"/>
          <w:color w:val="000000"/>
          <w:sz w:val="21"/>
          <w:szCs w:val="21"/>
          <w:highlight w:val="none"/>
          <w:u w:val="single"/>
        </w:rPr>
        <w:t xml:space="preserve">  固定综合单价 </w:t>
      </w:r>
      <w:r>
        <w:rPr>
          <w:rFonts w:hint="eastAsia" w:ascii="宋体" w:hAnsi="宋体" w:eastAsia="宋体" w:cs="宋体"/>
          <w:color w:val="000000"/>
          <w:sz w:val="21"/>
          <w:szCs w:val="21"/>
          <w:highlight w:val="none"/>
        </w:rPr>
        <w:t>合同价格形式，合同价格包含增值税，本工程计价时采用的增值税计税方法为：</w:t>
      </w:r>
      <w:r>
        <w:rPr>
          <w:rFonts w:hint="eastAsia" w:ascii="宋体" w:hAnsi="宋体" w:eastAsia="宋体" w:cs="宋体"/>
          <w:color w:val="000000"/>
          <w:sz w:val="21"/>
          <w:szCs w:val="21"/>
          <w:highlight w:val="none"/>
        </w:rPr>
        <w:sym w:font="Wingdings 2" w:char="0052"/>
      </w:r>
      <w:r>
        <w:rPr>
          <w:rFonts w:hint="eastAsia" w:ascii="宋体" w:hAnsi="宋体" w:eastAsia="宋体" w:cs="宋体"/>
          <w:color w:val="000000"/>
          <w:sz w:val="21"/>
          <w:szCs w:val="21"/>
          <w:highlight w:val="none"/>
        </w:rPr>
        <w:t>一般计税法   □简易计税法。</w:t>
      </w:r>
    </w:p>
    <w:p w14:paraId="39F3167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（1）单价合同。</w:t>
      </w:r>
    </w:p>
    <w:p w14:paraId="4C1A18D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采用综合单价合同方式时，工程量按建设单位、监理单位、施工单位三方确认的竣工图结算。</w:t>
      </w:r>
    </w:p>
    <w:p w14:paraId="2A6A155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综合单价包含的风险范围：</w:t>
      </w:r>
      <w:r>
        <w:rPr>
          <w:rFonts w:hint="eastAsia" w:ascii="宋体" w:hAnsi="宋体" w:eastAsia="宋体" w:cs="宋体"/>
          <w:color w:val="000000"/>
          <w:sz w:val="21"/>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751A865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风险范围以外合同价格的调整方法：</w:t>
      </w:r>
    </w:p>
    <w:p w14:paraId="0F317BC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①工程变更、项目特征不符、工程量清单缺项：按10.4.1变更估价原则的约定调整。</w:t>
      </w:r>
    </w:p>
    <w:p w14:paraId="155B55F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②工程量偏差：按1.13工程量清单错误修正的约定调整。</w:t>
      </w:r>
    </w:p>
    <w:p w14:paraId="13B1543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③政策性调整：按自治区住房城乡建设厅或工程所在地住房城乡建设主管部门颁布的文件执行。</w:t>
      </w:r>
    </w:p>
    <w:p w14:paraId="3EC2FC6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④材料价格风险：按11.1的约定调整。</w:t>
      </w:r>
    </w:p>
    <w:p w14:paraId="480DF2A6">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⑤其它：</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0ADDB78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（2）总价合同。</w:t>
      </w:r>
    </w:p>
    <w:p w14:paraId="05E89A3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总价包含的风险范围：包含除工程变更、政策性调整、</w:t>
      </w:r>
      <w:r>
        <w:rPr>
          <w:rFonts w:hint="eastAsia" w:ascii="宋体" w:hAnsi="宋体" w:eastAsia="宋体" w:cs="宋体"/>
          <w:color w:val="000000"/>
          <w:sz w:val="21"/>
          <w:szCs w:val="21"/>
          <w:highlight w:val="none"/>
          <w:u w:val="single"/>
        </w:rPr>
        <w:t xml:space="preserve">本工程《承包人提供主要材料和设备一览表》中约定的材料和设备价格变动风险以外的其他风险。除工程变更外，结算时不再对招标施工图对应的工程量重新计量    </w:t>
      </w:r>
      <w:r>
        <w:rPr>
          <w:rFonts w:hint="eastAsia" w:ascii="宋体" w:hAnsi="宋体" w:eastAsia="宋体" w:cs="宋体"/>
          <w:color w:val="000000"/>
          <w:sz w:val="21"/>
          <w:szCs w:val="21"/>
          <w:highlight w:val="none"/>
          <w:u w:val="single"/>
          <w:lang w:eastAsia="zh-CN"/>
        </w:rPr>
        <w:t>。</w:t>
      </w:r>
    </w:p>
    <w:p w14:paraId="60D92A8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风险范围以外合同价格的调整方法：</w:t>
      </w:r>
    </w:p>
    <w:p w14:paraId="79A6711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①工程变更：按10.4.1变更估价原则的约定调整。</w:t>
      </w:r>
    </w:p>
    <w:p w14:paraId="61F2B56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②政策性调整：按自治区住房</w:t>
      </w:r>
      <w:r>
        <w:rPr>
          <w:rFonts w:hint="eastAsia" w:ascii="宋体" w:hAnsi="宋体" w:cs="宋体"/>
          <w:color w:val="000000"/>
          <w:sz w:val="21"/>
          <w:szCs w:val="21"/>
          <w:highlight w:val="none"/>
          <w:lang w:val="en-US" w:eastAsia="zh-CN"/>
        </w:rPr>
        <w:t>和</w:t>
      </w:r>
      <w:r>
        <w:rPr>
          <w:rFonts w:hint="eastAsia" w:ascii="宋体" w:hAnsi="宋体" w:eastAsia="宋体" w:cs="宋体"/>
          <w:color w:val="000000"/>
          <w:sz w:val="21"/>
          <w:szCs w:val="21"/>
          <w:highlight w:val="none"/>
        </w:rPr>
        <w:t>城乡建设厅或工程所在地住房城乡建设主管部门颁布的文件执行。</w:t>
      </w:r>
    </w:p>
    <w:p w14:paraId="7E918A0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③材料价格风险：按11.1的约定调整。</w:t>
      </w:r>
    </w:p>
    <w:p w14:paraId="1AC3F81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 4 \* GB3 </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rPr>
        <w:t>④</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0F912C63">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（3）其他价格方式：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6DB8A6DF">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747" w:name="_Toc1843"/>
      <w:r>
        <w:rPr>
          <w:rFonts w:hint="eastAsia" w:ascii="宋体" w:hAnsi="宋体" w:eastAsia="宋体" w:cs="宋体"/>
          <w:color w:val="000000"/>
          <w:sz w:val="21"/>
          <w:szCs w:val="21"/>
          <w:highlight w:val="none"/>
        </w:rPr>
        <w:t>12.2 预付款</w:t>
      </w:r>
      <w:bookmarkEnd w:id="728"/>
      <w:bookmarkEnd w:id="729"/>
      <w:bookmarkEnd w:id="730"/>
      <w:bookmarkEnd w:id="747"/>
    </w:p>
    <w:bookmarkEnd w:id="731"/>
    <w:bookmarkEnd w:id="732"/>
    <w:bookmarkEnd w:id="733"/>
    <w:bookmarkEnd w:id="734"/>
    <w:bookmarkEnd w:id="735"/>
    <w:bookmarkEnd w:id="736"/>
    <w:p w14:paraId="0339B59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12.2.1 预付款的支付</w:t>
      </w:r>
    </w:p>
    <w:p w14:paraId="0E26AC8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预付款支付比例或金额：</w:t>
      </w:r>
      <w:r>
        <w:rPr>
          <w:rFonts w:hint="eastAsia" w:ascii="宋体" w:hAnsi="宋体" w:eastAsia="宋体" w:cs="宋体"/>
          <w:color w:val="000000"/>
          <w:sz w:val="21"/>
          <w:szCs w:val="21"/>
          <w:highlight w:val="none"/>
          <w:u w:val="single"/>
          <w:lang w:val="en-US" w:eastAsia="zh-CN"/>
        </w:rPr>
        <w:t xml:space="preserve">合同价款的30% 。 </w:t>
      </w:r>
    </w:p>
    <w:p w14:paraId="2D9507C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预付款支付期限</w:t>
      </w:r>
      <w:r>
        <w:rPr>
          <w:rFonts w:hint="eastAsia" w:ascii="宋体" w:hAnsi="宋体" w:eastAsia="宋体" w:cs="宋体"/>
          <w:color w:val="000000"/>
          <w:sz w:val="21"/>
          <w:szCs w:val="21"/>
          <w:highlight w:val="none"/>
          <w:u w:val="single"/>
          <w:lang w:val="en-US" w:eastAsia="zh-CN"/>
        </w:rPr>
        <w:t xml:space="preserve">：合同签订后    天之内 </w:t>
      </w:r>
      <w:r>
        <w:rPr>
          <w:rFonts w:hint="eastAsia" w:ascii="宋体" w:hAnsi="宋体" w:eastAsia="宋体" w:cs="宋体"/>
          <w:color w:val="000000"/>
          <w:sz w:val="21"/>
          <w:szCs w:val="21"/>
          <w:highlight w:val="none"/>
        </w:rPr>
        <w:t>。</w:t>
      </w:r>
    </w:p>
    <w:p w14:paraId="12CE66D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预付款扣回的方式：</w:t>
      </w:r>
      <w:r>
        <w:rPr>
          <w:rFonts w:hint="eastAsia" w:ascii="宋体" w:hAnsi="宋体" w:eastAsia="宋体" w:cs="宋体"/>
          <w:color w:val="000000"/>
          <w:sz w:val="21"/>
          <w:szCs w:val="21"/>
          <w:highlight w:val="none"/>
          <w:u w:val="single"/>
          <w:lang w:val="en-US" w:eastAsia="zh-CN"/>
        </w:rPr>
        <w:t>每</w:t>
      </w:r>
      <w:r>
        <w:rPr>
          <w:rFonts w:hint="eastAsia" w:ascii="宋体" w:hAnsi="宋体" w:eastAsia="宋体" w:cs="宋体"/>
          <w:color w:val="000000"/>
          <w:sz w:val="21"/>
          <w:szCs w:val="21"/>
          <w:highlight w:val="none"/>
          <w:u w:val="single"/>
          <w:lang w:val="zh-TW" w:eastAsia="zh-CN"/>
        </w:rPr>
        <w:t>次抵扣的比例为每次进度款付款金额的</w:t>
      </w:r>
      <w:r>
        <w:rPr>
          <w:rFonts w:hint="eastAsia" w:ascii="宋体" w:hAnsi="宋体" w:eastAsia="宋体" w:cs="宋体"/>
          <w:color w:val="000000"/>
          <w:sz w:val="21"/>
          <w:szCs w:val="21"/>
          <w:highlight w:val="none"/>
          <w:u w:val="single"/>
          <w:lang w:val="en-US" w:eastAsia="zh-CN"/>
        </w:rPr>
        <w:t>100%，直至扣完预付款为止。</w:t>
      </w:r>
    </w:p>
    <w:p w14:paraId="70BBA473">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12.2.2 预付款担保</w:t>
      </w:r>
    </w:p>
    <w:p w14:paraId="1C26838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承包人提交预付款担保的期限：</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eastAsia="zh-CN"/>
        </w:rPr>
        <w:t>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3C3A857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预付款担保的形式为：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eastAsia="zh-CN"/>
        </w:rPr>
        <w:t>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bookmarkEnd w:id="737"/>
    <w:bookmarkEnd w:id="738"/>
    <w:bookmarkEnd w:id="739"/>
    <w:bookmarkEnd w:id="740"/>
    <w:bookmarkEnd w:id="741"/>
    <w:bookmarkEnd w:id="742"/>
    <w:bookmarkEnd w:id="743"/>
    <w:bookmarkEnd w:id="744"/>
    <w:bookmarkEnd w:id="745"/>
    <w:bookmarkEnd w:id="746"/>
    <w:p w14:paraId="57E26BEA">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748" w:name="_Toc30134"/>
      <w:bookmarkStart w:id="749" w:name="_Toc373227751"/>
      <w:bookmarkStart w:id="750" w:name="_Toc373478398"/>
      <w:bookmarkStart w:id="751" w:name="_Toc389065316"/>
      <w:r>
        <w:rPr>
          <w:rFonts w:hint="eastAsia" w:ascii="宋体" w:hAnsi="宋体" w:eastAsia="宋体" w:cs="宋体"/>
          <w:color w:val="000000"/>
          <w:sz w:val="21"/>
          <w:szCs w:val="21"/>
          <w:highlight w:val="none"/>
        </w:rPr>
        <w:t>12.3 计量</w:t>
      </w:r>
      <w:bookmarkEnd w:id="748"/>
      <w:bookmarkEnd w:id="749"/>
      <w:bookmarkEnd w:id="750"/>
      <w:bookmarkEnd w:id="751"/>
    </w:p>
    <w:p w14:paraId="4D47C824">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12.3.1 计量原则</w:t>
      </w:r>
    </w:p>
    <w:p w14:paraId="74F48F43">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工程量计算规则：</w:t>
      </w:r>
      <w:r>
        <w:rPr>
          <w:rFonts w:hint="eastAsia" w:ascii="宋体" w:hAnsi="宋体" w:eastAsia="宋体" w:cs="宋体"/>
          <w:color w:val="000000"/>
          <w:sz w:val="21"/>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42FB4F1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12.3.2 计量周期</w:t>
      </w:r>
    </w:p>
    <w:p w14:paraId="7B26B2D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关于计量周期的约定：</w:t>
      </w:r>
      <w:r>
        <w:rPr>
          <w:rFonts w:hint="eastAsia" w:ascii="宋体" w:hAnsi="宋体" w:eastAsia="宋体" w:cs="宋体"/>
          <w:color w:val="000000"/>
          <w:sz w:val="21"/>
          <w:szCs w:val="21"/>
          <w:highlight w:val="none"/>
          <w:u w:val="single"/>
        </w:rPr>
        <w:t>每月25日前</w:t>
      </w:r>
      <w:r>
        <w:rPr>
          <w:rFonts w:hint="eastAsia" w:ascii="宋体" w:hAnsi="宋体" w:eastAsia="宋体" w:cs="宋体"/>
          <w:color w:val="000000"/>
          <w:sz w:val="21"/>
          <w:szCs w:val="21"/>
          <w:highlight w:val="none"/>
        </w:rPr>
        <w:t>。</w:t>
      </w:r>
    </w:p>
    <w:p w14:paraId="7CDD44D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12.3.3 单价合同的计量</w:t>
      </w:r>
    </w:p>
    <w:p w14:paraId="3465560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关于单价合同计量的约定：</w:t>
      </w:r>
    </w:p>
    <w:p w14:paraId="624827CC">
      <w:pPr>
        <w:pageBreakBefore w:val="0"/>
        <w:kinsoku/>
        <w:overflowPunct/>
        <w:topLinePunct w:val="0"/>
        <w:bidi w:val="0"/>
        <w:spacing w:line="360" w:lineRule="auto"/>
        <w:ind w:firstLine="441" w:firstLineChars="21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2DAB3AF7">
      <w:pPr>
        <w:pageBreakBefore w:val="0"/>
        <w:kinsoku/>
        <w:overflowPunct/>
        <w:topLinePunct w:val="0"/>
        <w:bidi w:val="0"/>
        <w:spacing w:line="360" w:lineRule="auto"/>
        <w:ind w:firstLine="441" w:firstLineChars="21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A83450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12.3.4 总价合同的计量</w:t>
      </w:r>
    </w:p>
    <w:p w14:paraId="4AE6118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（1）总价合同计量约定：进度款按支付分解表支付，支付分解表在招标完成后签合同之前制定，具体详见本专用合同条款12.4.6。</w:t>
      </w:r>
    </w:p>
    <w:p w14:paraId="1E615EA9">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12.3.6 其他价格形式合同的计量</w:t>
      </w:r>
    </w:p>
    <w:p w14:paraId="18CA2B73">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其他价格形式的计量方式和程序：</w:t>
      </w:r>
      <w:r>
        <w:rPr>
          <w:rFonts w:hint="eastAsia" w:ascii="宋体" w:hAnsi="宋体" w:eastAsia="宋体" w:cs="宋体"/>
          <w:color w:val="000000"/>
          <w:sz w:val="21"/>
          <w:szCs w:val="21"/>
          <w:highlight w:val="none"/>
          <w:u w:val="single"/>
          <w:lang w:eastAsia="zh-CN"/>
        </w:rPr>
        <w:t>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4E25BF27">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752" w:name="_Toc373227752"/>
      <w:bookmarkStart w:id="753" w:name="_Toc23445"/>
      <w:bookmarkStart w:id="754" w:name="_Toc373478399"/>
      <w:bookmarkStart w:id="755" w:name="_Toc389065317"/>
      <w:r>
        <w:rPr>
          <w:rFonts w:hint="eastAsia" w:ascii="宋体" w:hAnsi="宋体" w:eastAsia="宋体" w:cs="宋体"/>
          <w:color w:val="000000"/>
          <w:sz w:val="21"/>
          <w:szCs w:val="21"/>
          <w:highlight w:val="none"/>
        </w:rPr>
        <w:t>12.4 工程进度款支付</w:t>
      </w:r>
      <w:bookmarkEnd w:id="752"/>
      <w:bookmarkEnd w:id="753"/>
      <w:bookmarkEnd w:id="754"/>
      <w:bookmarkEnd w:id="755"/>
    </w:p>
    <w:p w14:paraId="37468C3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lang w:val="en-US" w:eastAsia="zh-CN"/>
        </w:rPr>
      </w:pPr>
      <w:bookmarkStart w:id="756" w:name="_Toc296503211"/>
      <w:bookmarkStart w:id="757" w:name="_Toc297048397"/>
      <w:bookmarkStart w:id="758" w:name="_Toc292559921"/>
      <w:bookmarkStart w:id="759" w:name="_Toc296944550"/>
      <w:bookmarkStart w:id="760" w:name="_Toc300935006"/>
      <w:bookmarkStart w:id="761" w:name="_Toc303539163"/>
      <w:bookmarkStart w:id="762" w:name="_Toc296891251"/>
      <w:bookmarkStart w:id="763" w:name="_Toc296347210"/>
      <w:bookmarkStart w:id="764" w:name="_Toc297123556"/>
      <w:bookmarkStart w:id="765" w:name="_Toc292559416"/>
      <w:bookmarkStart w:id="766" w:name="_Toc297120511"/>
      <w:bookmarkStart w:id="767" w:name="_Toc296891039"/>
      <w:bookmarkStart w:id="768" w:name="_Toc296346712"/>
      <w:bookmarkStart w:id="769" w:name="_Toc297216215"/>
      <w:r>
        <w:rPr>
          <w:rFonts w:hint="eastAsia" w:ascii="宋体" w:hAnsi="宋体" w:eastAsia="宋体" w:cs="宋体"/>
          <w:color w:val="000000"/>
          <w:sz w:val="21"/>
          <w:szCs w:val="21"/>
          <w:highlight w:val="none"/>
        </w:rPr>
        <w:t>12.4.1 付款方式及条件：工程款原则上按月支付，合同内进度款支付限额为已完成工程量的80%；工程变更部分进度款支付限额为已完成工程量的60%；工程验收达到质量要求后支付至工程款的</w:t>
      </w:r>
      <w:r>
        <w:rPr>
          <w:rFonts w:hint="eastAsia" w:ascii="宋体" w:hAnsi="宋体" w:eastAsia="宋体" w:cs="宋体"/>
          <w:color w:val="000000"/>
          <w:sz w:val="21"/>
          <w:szCs w:val="21"/>
          <w:highlight w:val="none"/>
          <w:lang w:val="en-US" w:eastAsia="zh-CN"/>
        </w:rPr>
        <w:t>80</w:t>
      </w:r>
      <w:r>
        <w:rPr>
          <w:rFonts w:hint="eastAsia" w:ascii="宋体" w:hAnsi="宋体" w:eastAsia="宋体" w:cs="宋体"/>
          <w:color w:val="000000"/>
          <w:sz w:val="21"/>
          <w:szCs w:val="21"/>
          <w:highlight w:val="none"/>
        </w:rPr>
        <w:t>%；完成工程结算经财政或审计部门审定后，按审定工程款支付至结算总价的97%；发包人按工程价款结算总额的3%预留工程质量保修金，待工程缺陷责任期满后返还（无息）。</w:t>
      </w:r>
    </w:p>
    <w:p w14:paraId="4EE4ABB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12.4.2 进度付款申请单的编制</w:t>
      </w:r>
    </w:p>
    <w:p w14:paraId="195F396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关于进度付款申请单编制的约定：</w:t>
      </w:r>
      <w:r>
        <w:rPr>
          <w:rFonts w:hint="eastAsia" w:ascii="宋体" w:hAnsi="宋体" w:eastAsia="宋体" w:cs="宋体"/>
          <w:color w:val="000000"/>
          <w:sz w:val="21"/>
          <w:szCs w:val="21"/>
          <w:highlight w:val="none"/>
          <w:u w:val="single"/>
        </w:rPr>
        <w:t xml:space="preserve">  按通用条款12.4.2执行   </w:t>
      </w:r>
      <w:r>
        <w:rPr>
          <w:rFonts w:hint="eastAsia" w:ascii="宋体" w:hAnsi="宋体" w:eastAsia="宋体" w:cs="宋体"/>
          <w:color w:val="000000"/>
          <w:sz w:val="21"/>
          <w:szCs w:val="21"/>
          <w:highlight w:val="none"/>
        </w:rPr>
        <w:t>。</w:t>
      </w:r>
    </w:p>
    <w:p w14:paraId="733AF9F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Pr>
          <w:rFonts w:hint="eastAsia" w:ascii="宋体" w:hAnsi="宋体" w:eastAsia="宋体" w:cs="宋体"/>
          <w:color w:val="000000"/>
          <w:sz w:val="21"/>
          <w:szCs w:val="21"/>
          <w:highlight w:val="none"/>
        </w:rPr>
        <w:t>2.4.3 进度付款申请单的提交</w:t>
      </w:r>
    </w:p>
    <w:p w14:paraId="7CFFB5C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（1）单价合同进度付款申请单提交的约定：</w:t>
      </w:r>
      <w:r>
        <w:rPr>
          <w:rFonts w:hint="eastAsia" w:ascii="宋体" w:hAnsi="宋体" w:eastAsia="宋体" w:cs="宋体"/>
          <w:bCs/>
          <w:color w:val="000000"/>
          <w:sz w:val="21"/>
          <w:szCs w:val="21"/>
          <w:highlight w:val="none"/>
          <w:u w:val="single"/>
          <w:lang w:val="en-US" w:eastAsia="zh-CN"/>
        </w:rPr>
        <w:t>按“通用合同条款执行”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7D93DF6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（2）总价合同进度付款申请单提交的约定：</w:t>
      </w:r>
      <w:r>
        <w:rPr>
          <w:rFonts w:hint="eastAsia" w:ascii="宋体" w:hAnsi="宋体" w:eastAsia="宋体" w:cs="宋体"/>
          <w:color w:val="000000"/>
          <w:sz w:val="21"/>
          <w:szCs w:val="21"/>
          <w:highlight w:val="none"/>
          <w:u w:val="single"/>
        </w:rPr>
        <w:t xml:space="preserve">   无      </w:t>
      </w:r>
      <w:r>
        <w:rPr>
          <w:rFonts w:hint="eastAsia" w:ascii="宋体" w:hAnsi="宋体" w:eastAsia="宋体" w:cs="宋体"/>
          <w:color w:val="000000"/>
          <w:sz w:val="21"/>
          <w:szCs w:val="21"/>
          <w:highlight w:val="none"/>
        </w:rPr>
        <w:t>。</w:t>
      </w:r>
    </w:p>
    <w:p w14:paraId="166FDD5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（3）其他价格形式合同进度付款申请单提交的约定：</w:t>
      </w:r>
      <w:r>
        <w:rPr>
          <w:rFonts w:hint="eastAsia" w:ascii="宋体" w:hAnsi="宋体" w:eastAsia="宋体" w:cs="宋体"/>
          <w:color w:val="000000"/>
          <w:sz w:val="21"/>
          <w:szCs w:val="21"/>
          <w:highlight w:val="none"/>
          <w:u w:val="single"/>
        </w:rPr>
        <w:t xml:space="preserve">  无    </w:t>
      </w:r>
      <w:r>
        <w:rPr>
          <w:rFonts w:hint="eastAsia" w:ascii="宋体" w:hAnsi="宋体" w:eastAsia="宋体" w:cs="宋体"/>
          <w:color w:val="000000"/>
          <w:sz w:val="21"/>
          <w:szCs w:val="21"/>
          <w:highlight w:val="none"/>
        </w:rPr>
        <w:t>。</w:t>
      </w:r>
    </w:p>
    <w:p w14:paraId="3F6BF7B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12.4.4 进度款审核和支付</w:t>
      </w:r>
    </w:p>
    <w:p w14:paraId="2FA2CCE8">
      <w:pPr>
        <w:pStyle w:val="39"/>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（1）监理人审查并报送发包人的期限：</w:t>
      </w:r>
      <w:r>
        <w:rPr>
          <w:rFonts w:hint="eastAsia" w:ascii="宋体" w:hAnsi="宋体" w:eastAsia="宋体" w:cs="宋体"/>
          <w:color w:val="000000"/>
          <w:sz w:val="21"/>
          <w:szCs w:val="21"/>
          <w:highlight w:val="none"/>
          <w:u w:val="single"/>
        </w:rPr>
        <w:t xml:space="preserve"> 监理人应在收到承包人进度付款申请单以及相关资料后 7 个工作</w:t>
      </w:r>
      <w:r>
        <w:rPr>
          <w:rFonts w:hint="eastAsia" w:ascii="宋体" w:hAnsi="宋体" w:cs="宋体"/>
          <w:color w:val="000000"/>
          <w:sz w:val="21"/>
          <w:szCs w:val="21"/>
          <w:highlight w:val="none"/>
          <w:u w:val="single"/>
          <w:lang w:val="en-US" w:eastAsia="zh-CN"/>
        </w:rPr>
        <w:t>日</w:t>
      </w:r>
      <w:r>
        <w:rPr>
          <w:rFonts w:hint="eastAsia" w:ascii="宋体" w:hAnsi="宋体" w:eastAsia="宋体" w:cs="宋体"/>
          <w:color w:val="000000"/>
          <w:sz w:val="21"/>
          <w:szCs w:val="21"/>
          <w:highlight w:val="none"/>
          <w:u w:val="single"/>
        </w:rPr>
        <w:t xml:space="preserve">内完成审查并报送发包人   </w:t>
      </w:r>
      <w:r>
        <w:rPr>
          <w:rFonts w:hint="eastAsia" w:ascii="宋体" w:hAnsi="宋体" w:eastAsia="宋体" w:cs="宋体"/>
          <w:color w:val="000000"/>
          <w:sz w:val="21"/>
          <w:szCs w:val="21"/>
          <w:highlight w:val="none"/>
        </w:rPr>
        <w:t>。</w:t>
      </w:r>
    </w:p>
    <w:p w14:paraId="0403828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发包人完成审批并签发进度款支付证书的期限：</w:t>
      </w:r>
      <w:r>
        <w:rPr>
          <w:rFonts w:hint="eastAsia" w:ascii="宋体" w:hAnsi="宋体" w:eastAsia="宋体" w:cs="宋体"/>
          <w:color w:val="000000"/>
          <w:sz w:val="21"/>
          <w:szCs w:val="21"/>
          <w:highlight w:val="none"/>
          <w:u w:val="single"/>
        </w:rPr>
        <w:t xml:space="preserve"> 发包人应在收到后 7 </w:t>
      </w:r>
      <w:r>
        <w:rPr>
          <w:rFonts w:hint="eastAsia" w:ascii="宋体" w:hAnsi="宋体" w:eastAsia="宋体" w:cs="宋体"/>
          <w:color w:val="000000"/>
          <w:sz w:val="21"/>
          <w:szCs w:val="21"/>
          <w:highlight w:val="none"/>
          <w:u w:val="single"/>
          <w:lang w:val="en-US" w:eastAsia="zh-CN"/>
        </w:rPr>
        <w:t>个工作日</w:t>
      </w:r>
      <w:r>
        <w:rPr>
          <w:rFonts w:hint="eastAsia" w:ascii="宋体" w:hAnsi="宋体" w:eastAsia="宋体" w:cs="宋体"/>
          <w:color w:val="000000"/>
          <w:sz w:val="21"/>
          <w:szCs w:val="21"/>
          <w:highlight w:val="none"/>
          <w:u w:val="single"/>
        </w:rPr>
        <w:t xml:space="preserve">内完成审批并签发进度款支付证书       </w:t>
      </w:r>
      <w:r>
        <w:rPr>
          <w:rFonts w:hint="eastAsia" w:ascii="宋体" w:hAnsi="宋体" w:eastAsia="宋体" w:cs="宋体"/>
          <w:color w:val="000000"/>
          <w:sz w:val="21"/>
          <w:szCs w:val="21"/>
          <w:highlight w:val="none"/>
        </w:rPr>
        <w:t>。</w:t>
      </w:r>
    </w:p>
    <w:p w14:paraId="17F4DDD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（2）发包人支付进度款的期限：</w:t>
      </w:r>
      <w:r>
        <w:rPr>
          <w:rFonts w:hint="eastAsia" w:ascii="宋体" w:hAnsi="宋体" w:eastAsia="宋体" w:cs="宋体"/>
          <w:color w:val="000000"/>
          <w:sz w:val="21"/>
          <w:szCs w:val="21"/>
          <w:highlight w:val="none"/>
          <w:u w:val="single"/>
        </w:rPr>
        <w:t xml:space="preserve">  自收到承包人递交的申请单起15天内 </w:t>
      </w:r>
      <w:r>
        <w:rPr>
          <w:rFonts w:hint="eastAsia" w:ascii="宋体" w:hAnsi="宋体" w:eastAsia="宋体" w:cs="宋体"/>
          <w:color w:val="000000"/>
          <w:sz w:val="21"/>
          <w:szCs w:val="21"/>
          <w:highlight w:val="none"/>
        </w:rPr>
        <w:t>。</w:t>
      </w:r>
    </w:p>
    <w:p w14:paraId="669449CA">
      <w:pPr>
        <w:pageBreakBefore w:val="0"/>
        <w:kinsoku/>
        <w:overflowPunct/>
        <w:topLinePunct w:val="0"/>
        <w:bidi w:val="0"/>
        <w:spacing w:line="360" w:lineRule="auto"/>
        <w:ind w:firstLine="525" w:firstLineChars="25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发包人逾期支付进度款的违约金的计算方式：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eastAsia="zh-CN"/>
        </w:rPr>
        <w:t>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411F6F51">
      <w:pPr>
        <w:pageBreakBefore w:val="0"/>
        <w:kinsoku/>
        <w:overflowPunct/>
        <w:topLinePunct w:val="0"/>
        <w:bidi w:val="0"/>
        <w:spacing w:line="360" w:lineRule="auto"/>
        <w:ind w:firstLine="525" w:firstLineChars="25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进度款支付方式：</w:t>
      </w:r>
      <w:r>
        <w:rPr>
          <w:rFonts w:hint="eastAsia" w:ascii="宋体" w:hAnsi="宋体" w:eastAsia="宋体" w:cs="宋体"/>
          <w:color w:val="000000"/>
          <w:sz w:val="21"/>
          <w:szCs w:val="21"/>
          <w:highlight w:val="none"/>
          <w:u w:val="single"/>
        </w:rPr>
        <w:t>银行转账</w:t>
      </w:r>
      <w:r>
        <w:rPr>
          <w:rFonts w:hint="eastAsia" w:ascii="宋体" w:hAnsi="宋体" w:eastAsia="宋体" w:cs="宋体"/>
          <w:color w:val="000000"/>
          <w:sz w:val="21"/>
          <w:szCs w:val="21"/>
          <w:highlight w:val="none"/>
        </w:rPr>
        <w:t>。</w:t>
      </w:r>
    </w:p>
    <w:p w14:paraId="4991F1C7">
      <w:pPr>
        <w:pageBreakBefore w:val="0"/>
        <w:kinsoku/>
        <w:overflowPunct/>
        <w:topLinePunct w:val="0"/>
        <w:bidi w:val="0"/>
        <w:spacing w:line="360" w:lineRule="auto"/>
        <w:ind w:firstLine="525" w:firstLineChars="25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农民工工资支付</w:t>
      </w:r>
    </w:p>
    <w:p w14:paraId="59552372">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1781338C">
      <w:pPr>
        <w:pageBreakBefore w:val="0"/>
        <w:kinsoku/>
        <w:overflowPunct/>
        <w:topLinePunct w:val="0"/>
        <w:bidi w:val="0"/>
        <w:spacing w:line="360" w:lineRule="auto"/>
        <w:ind w:firstLine="525" w:firstLineChars="25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   %，其余工程进度款项由发包人支付到承包人的单位基本户。</w:t>
      </w:r>
    </w:p>
    <w:p w14:paraId="017320DB">
      <w:pPr>
        <w:pageBreakBefore w:val="0"/>
        <w:kinsoku/>
        <w:overflowPunct/>
        <w:topLinePunct w:val="0"/>
        <w:bidi w:val="0"/>
        <w:spacing w:line="360" w:lineRule="auto"/>
        <w:ind w:firstLine="525" w:firstLineChars="25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%。其余分包工程进度款项由承包人支付到分包人的单位基本户。</w:t>
      </w:r>
    </w:p>
    <w:p w14:paraId="64927275">
      <w:pPr>
        <w:pageBreakBefore w:val="0"/>
        <w:kinsoku/>
        <w:overflowPunct/>
        <w:topLinePunct w:val="0"/>
        <w:bidi w:val="0"/>
        <w:spacing w:line="360" w:lineRule="auto"/>
        <w:ind w:firstLine="525" w:firstLineChars="25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4）凡未向付款单位提供农民工工资专户的，或者请款单位在申请工程进度款时未将人工费单列的，付款单位有权拒绝支付工程进度款。</w:t>
      </w:r>
    </w:p>
    <w:p w14:paraId="25B2D0E0">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5）农民工工资使用要求：专款专用，除发放工人工资外，不得用于其他用途。</w:t>
      </w:r>
    </w:p>
    <w:p w14:paraId="415D8E05">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6）承包人将农民工工资支付情况定期报告发包人和监理单位，并提供相应的材料接受建设行政主管部门和劳动保障行政主管部门对此事项监管。</w:t>
      </w:r>
    </w:p>
    <w:p w14:paraId="61126C74">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（4）农民工工资支付专用账户：××××公司农民工工资支付专用账户 。账号：                   </w:t>
      </w:r>
    </w:p>
    <w:p w14:paraId="1194B398">
      <w:pPr>
        <w:pageBreakBefore w:val="0"/>
        <w:kinsoku/>
        <w:overflowPunct/>
        <w:topLinePunct w:val="0"/>
        <w:bidi w:val="0"/>
        <w:spacing w:line="360" w:lineRule="auto"/>
        <w:ind w:firstLine="525" w:firstLineChars="25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12.4.6 支付分解表的编制</w:t>
      </w:r>
    </w:p>
    <w:p w14:paraId="1B3650A3">
      <w:pPr>
        <w:pageBreakBefore w:val="0"/>
        <w:kinsoku/>
        <w:overflowPunct/>
        <w:topLinePunct w:val="0"/>
        <w:bidi w:val="0"/>
        <w:spacing w:line="360" w:lineRule="auto"/>
        <w:ind w:firstLine="525" w:firstLineChars="25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（1） 总价合同支付分解表的编制与审批：</w:t>
      </w:r>
      <w:r>
        <w:rPr>
          <w:rFonts w:hint="eastAsia" w:ascii="宋体" w:hAnsi="宋体" w:eastAsia="宋体" w:cs="宋体"/>
          <w:color w:val="000000"/>
          <w:sz w:val="21"/>
          <w:szCs w:val="21"/>
          <w:highlight w:val="none"/>
          <w:u w:val="single"/>
        </w:rPr>
        <w:t xml:space="preserve">  总价合同支付分分解表在招标完成后由发包人和承包人共同编制，发包人审批，并作为本合同内容，具体详见合同附件14。</w:t>
      </w:r>
    </w:p>
    <w:p w14:paraId="38C76D6E">
      <w:pPr>
        <w:pageBreakBefore w:val="0"/>
        <w:kinsoku/>
        <w:overflowPunct/>
        <w:topLinePunct w:val="0"/>
        <w:bidi w:val="0"/>
        <w:spacing w:line="360" w:lineRule="auto"/>
        <w:ind w:firstLine="525" w:firstLineChars="25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（2）单价合同的总价项目支付分解表的编制与审批：总价项目不采用支付分解表的方式计算，而按《建设工程工程量清单计价规范（GB50500-2013）广西壮族自治区实施细则》的规定执行。</w:t>
      </w:r>
    </w:p>
    <w:bookmarkEnd w:id="547"/>
    <w:p w14:paraId="1E3641FC">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770" w:name="_Toc373478400"/>
      <w:bookmarkStart w:id="771" w:name="_Toc351203645"/>
      <w:bookmarkStart w:id="772" w:name="_Toc373227753"/>
      <w:bookmarkStart w:id="773" w:name="_Toc372"/>
      <w:bookmarkStart w:id="774" w:name="_Toc389065318"/>
      <w:bookmarkStart w:id="775" w:name="_Toc300935015"/>
      <w:bookmarkStart w:id="776" w:name="_Toc296503219"/>
      <w:bookmarkStart w:id="777" w:name="_Toc296346720"/>
      <w:bookmarkStart w:id="778" w:name="_Toc297048405"/>
      <w:bookmarkStart w:id="779" w:name="_Toc292559929"/>
      <w:bookmarkStart w:id="780" w:name="_Toc312678053"/>
      <w:bookmarkStart w:id="781" w:name="_Toc296891047"/>
      <w:bookmarkStart w:id="782" w:name="_Toc296891259"/>
      <w:bookmarkStart w:id="783" w:name="_Toc303539172"/>
      <w:bookmarkStart w:id="784" w:name="_Toc297216223"/>
      <w:bookmarkStart w:id="785" w:name="_Toc296347218"/>
      <w:bookmarkStart w:id="786" w:name="_Toc304295593"/>
      <w:bookmarkStart w:id="787" w:name="_Toc297123564"/>
      <w:bookmarkStart w:id="788" w:name="_Toc292559424"/>
      <w:bookmarkStart w:id="789" w:name="_Toc297120519"/>
      <w:bookmarkStart w:id="790" w:name="_Toc296944558"/>
      <w:r>
        <w:rPr>
          <w:rFonts w:hint="eastAsia" w:ascii="宋体" w:hAnsi="宋体" w:eastAsia="宋体" w:cs="宋体"/>
          <w:color w:val="000000"/>
          <w:sz w:val="21"/>
          <w:szCs w:val="21"/>
          <w:highlight w:val="none"/>
        </w:rPr>
        <w:t>13. 验收和工程试车</w:t>
      </w:r>
      <w:bookmarkEnd w:id="770"/>
      <w:bookmarkEnd w:id="771"/>
      <w:bookmarkEnd w:id="772"/>
      <w:bookmarkEnd w:id="773"/>
      <w:bookmarkEnd w:id="774"/>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0BAE961F">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791" w:name="_Toc1622"/>
      <w:bookmarkStart w:id="792" w:name="_Toc389065319"/>
      <w:bookmarkStart w:id="793" w:name="_Toc373478401"/>
      <w:bookmarkStart w:id="794" w:name="_Toc373227754"/>
      <w:r>
        <w:rPr>
          <w:rFonts w:hint="eastAsia" w:ascii="宋体" w:hAnsi="宋体" w:eastAsia="宋体" w:cs="宋体"/>
          <w:color w:val="000000"/>
          <w:sz w:val="21"/>
          <w:szCs w:val="21"/>
          <w:highlight w:val="none"/>
        </w:rPr>
        <w:t>13.1 分部分项工程验收</w:t>
      </w:r>
      <w:bookmarkEnd w:id="791"/>
      <w:bookmarkEnd w:id="792"/>
      <w:bookmarkEnd w:id="793"/>
      <w:bookmarkEnd w:id="794"/>
    </w:p>
    <w:p w14:paraId="68AA1A3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13.1.2监理人不能按时进行验收时，应提前</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48</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小时提交书面延期要求。</w:t>
      </w:r>
    </w:p>
    <w:p w14:paraId="29B4FC03">
      <w:pPr>
        <w:pageBreakBefore w:val="0"/>
        <w:kinsoku/>
        <w:overflowPunct/>
        <w:topLinePunct w:val="0"/>
        <w:bidi w:val="0"/>
        <w:spacing w:line="360" w:lineRule="auto"/>
        <w:ind w:firstLine="420" w:firstLineChars="200"/>
        <w:jc w:val="left"/>
        <w:outlineLvl w:val="9"/>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关于延期最长不得超过：</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24</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小时。</w:t>
      </w:r>
    </w:p>
    <w:p w14:paraId="63AC06F5">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795" w:name="_Toc373478402"/>
      <w:bookmarkStart w:id="796" w:name="_Toc23904"/>
      <w:bookmarkStart w:id="797" w:name="_Toc373227755"/>
      <w:bookmarkStart w:id="798" w:name="_Toc389065320"/>
      <w:bookmarkStart w:id="799" w:name="_Toc292559428"/>
      <w:bookmarkStart w:id="800" w:name="_Toc296944562"/>
      <w:bookmarkStart w:id="801" w:name="_Toc296503223"/>
      <w:bookmarkStart w:id="802" w:name="_Toc297120523"/>
      <w:bookmarkStart w:id="803" w:name="_Toc304295596"/>
      <w:bookmarkStart w:id="804" w:name="_Toc297216224"/>
      <w:bookmarkStart w:id="805" w:name="_Toc303539173"/>
      <w:bookmarkStart w:id="806" w:name="_Toc296891263"/>
      <w:bookmarkStart w:id="807" w:name="_Toc297048409"/>
      <w:bookmarkStart w:id="808" w:name="_Toc296347222"/>
      <w:bookmarkStart w:id="809" w:name="_Toc296891051"/>
      <w:bookmarkStart w:id="810" w:name="_Toc312678056"/>
      <w:bookmarkStart w:id="811" w:name="_Toc292559933"/>
      <w:bookmarkStart w:id="812" w:name="_Toc297123565"/>
      <w:bookmarkStart w:id="813" w:name="_Toc300935016"/>
      <w:bookmarkStart w:id="814" w:name="_Toc296346724"/>
      <w:bookmarkStart w:id="815" w:name="_Toc267251473"/>
      <w:bookmarkStart w:id="816" w:name="_Toc267251474"/>
      <w:bookmarkStart w:id="817" w:name="_Toc267251476"/>
      <w:bookmarkStart w:id="818" w:name="_Toc267251471"/>
      <w:bookmarkStart w:id="819" w:name="_Toc267251475"/>
      <w:bookmarkStart w:id="820" w:name="_Toc267251472"/>
      <w:bookmarkStart w:id="821" w:name="_Toc267251470"/>
      <w:r>
        <w:rPr>
          <w:rFonts w:hint="eastAsia" w:ascii="宋体" w:hAnsi="宋体" w:eastAsia="宋体" w:cs="宋体"/>
          <w:color w:val="000000"/>
          <w:sz w:val="21"/>
          <w:szCs w:val="21"/>
          <w:highlight w:val="none"/>
        </w:rPr>
        <w:t>13.2 竣工验收</w:t>
      </w:r>
      <w:bookmarkEnd w:id="795"/>
      <w:bookmarkEnd w:id="796"/>
      <w:bookmarkEnd w:id="797"/>
      <w:bookmarkEnd w:id="798"/>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14:paraId="7EBA41A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bookmarkStart w:id="822" w:name="_Toc280868704"/>
      <w:bookmarkStart w:id="823" w:name="_Toc280868705"/>
      <w:bookmarkStart w:id="824" w:name="_Toc280868706"/>
      <w:bookmarkStart w:id="825" w:name="_Toc280868707"/>
      <w:bookmarkStart w:id="826" w:name="_Toc280868708"/>
      <w:bookmarkStart w:id="827" w:name="_Toc280868709"/>
      <w:r>
        <w:rPr>
          <w:rFonts w:hint="eastAsia" w:ascii="宋体" w:hAnsi="宋体" w:eastAsia="宋体" w:cs="宋体"/>
          <w:color w:val="000000"/>
          <w:sz w:val="21"/>
          <w:szCs w:val="21"/>
          <w:highlight w:val="none"/>
        </w:rPr>
        <w:t>13.2.1竣工验收条件</w:t>
      </w:r>
    </w:p>
    <w:p w14:paraId="63275745">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sz w:val="21"/>
          <w:szCs w:val="21"/>
          <w:highlight w:val="none"/>
          <w:u w:val="single"/>
          <w:lang w:val="en-US" w:eastAsia="zh-CN"/>
        </w:rPr>
        <w:t xml:space="preserve"> 按发包人要求执行     </w:t>
      </w:r>
      <w:r>
        <w:rPr>
          <w:rFonts w:hint="eastAsia" w:ascii="宋体" w:hAnsi="宋体" w:eastAsia="宋体" w:cs="宋体"/>
          <w:color w:val="000000"/>
          <w:sz w:val="21"/>
          <w:szCs w:val="21"/>
          <w:highlight w:val="none"/>
        </w:rPr>
        <w:t>。</w:t>
      </w:r>
    </w:p>
    <w:p w14:paraId="69FA08A9">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竣工验收资料的份数：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按发包人要求执行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79D975B9">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承包人提供竣工图的约定：</w:t>
      </w:r>
      <w:r>
        <w:rPr>
          <w:rFonts w:hint="eastAsia" w:ascii="宋体" w:hAnsi="宋体" w:eastAsia="宋体" w:cs="宋体"/>
          <w:bCs/>
          <w:color w:val="000000"/>
          <w:sz w:val="21"/>
          <w:szCs w:val="21"/>
          <w:highlight w:val="none"/>
          <w:u w:val="single"/>
        </w:rPr>
        <w:t>竣工验收正式通过后5天（工程造价在500万元以下含500万元）、10天（工程造价在500万元至1000万元之间含1000万元）、15天（工程造价在1000万元以上），提供竣工图的数量分别为2套、4套、6套。</w:t>
      </w:r>
    </w:p>
    <w:p w14:paraId="093EF1D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13.2.2竣工验收程序</w:t>
      </w:r>
    </w:p>
    <w:bookmarkEnd w:id="822"/>
    <w:p w14:paraId="19A2A47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关于竣工验收程序的约定：</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按发包人要求执行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5B58278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发包人不按照本项约定组织竣工验收、颁发工程接收证书的违约金的计算方法：</w:t>
      </w:r>
      <w:r>
        <w:rPr>
          <w:rFonts w:hint="eastAsia" w:ascii="宋体" w:hAnsi="宋体" w:eastAsia="宋体" w:cs="宋体"/>
          <w:color w:val="000000"/>
          <w:sz w:val="21"/>
          <w:szCs w:val="21"/>
          <w:highlight w:val="none"/>
          <w:u w:val="single"/>
          <w:lang w:val="en-US" w:eastAsia="zh-CN"/>
        </w:rPr>
        <w:t xml:space="preserve"> 无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bookmarkEnd w:id="823"/>
    <w:p w14:paraId="49328EA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13.2.5移交、接收全部与部分工程</w:t>
      </w:r>
    </w:p>
    <w:bookmarkEnd w:id="824"/>
    <w:p w14:paraId="193136C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承包人向发包人移交工程的期限：</w:t>
      </w:r>
      <w:r>
        <w:rPr>
          <w:rFonts w:hint="eastAsia" w:ascii="宋体" w:hAnsi="宋体" w:eastAsia="宋体" w:cs="宋体"/>
          <w:color w:val="000000"/>
          <w:sz w:val="21"/>
          <w:szCs w:val="21"/>
          <w:highlight w:val="none"/>
          <w:u w:val="single"/>
        </w:rPr>
        <w:t xml:space="preserve"> 颁发工程接收证书后 7 </w:t>
      </w:r>
      <w:r>
        <w:rPr>
          <w:rFonts w:hint="eastAsia" w:ascii="宋体" w:hAnsi="宋体" w:eastAsia="宋体" w:cs="宋体"/>
          <w:color w:val="000000"/>
          <w:sz w:val="21"/>
          <w:szCs w:val="21"/>
          <w:highlight w:val="none"/>
          <w:u w:val="single"/>
          <w:lang w:val="en-US" w:eastAsia="zh-CN"/>
        </w:rPr>
        <w:t>个工作日</w:t>
      </w:r>
      <w:r>
        <w:rPr>
          <w:rFonts w:hint="eastAsia" w:ascii="宋体" w:hAnsi="宋体" w:eastAsia="宋体" w:cs="宋体"/>
          <w:color w:val="000000"/>
          <w:sz w:val="21"/>
          <w:szCs w:val="21"/>
          <w:highlight w:val="none"/>
          <w:u w:val="single"/>
        </w:rPr>
        <w:t xml:space="preserve">内完成工程的移交  </w:t>
      </w:r>
      <w:r>
        <w:rPr>
          <w:rFonts w:hint="eastAsia" w:ascii="宋体" w:hAnsi="宋体" w:eastAsia="宋体" w:cs="宋体"/>
          <w:color w:val="000000"/>
          <w:sz w:val="21"/>
          <w:szCs w:val="21"/>
          <w:highlight w:val="none"/>
        </w:rPr>
        <w:t>。</w:t>
      </w:r>
    </w:p>
    <w:p w14:paraId="12D3033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发包人未按本合同约定接收全部或部分工程的，违约金的计算方法为：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bookmarkEnd w:id="825"/>
    <w:p w14:paraId="666A7EB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承包人未按时移交工程的，违约金的计算方法为：</w:t>
      </w:r>
      <w:r>
        <w:rPr>
          <w:rFonts w:hint="eastAsia" w:ascii="宋体" w:hAnsi="宋体" w:eastAsia="宋体" w:cs="宋体"/>
          <w:color w:val="000000"/>
          <w:sz w:val="21"/>
          <w:szCs w:val="21"/>
          <w:highlight w:val="none"/>
          <w:u w:val="single"/>
        </w:rPr>
        <w:t xml:space="preserve"> 每逾期一天，承包人按合同价款的万分之四向发包人支付违约金    </w:t>
      </w:r>
      <w:r>
        <w:rPr>
          <w:rFonts w:hint="eastAsia" w:ascii="宋体" w:hAnsi="宋体" w:eastAsia="宋体" w:cs="宋体"/>
          <w:color w:val="000000"/>
          <w:sz w:val="21"/>
          <w:szCs w:val="21"/>
          <w:highlight w:val="none"/>
        </w:rPr>
        <w:t>。</w:t>
      </w:r>
    </w:p>
    <w:p w14:paraId="5EEF3022">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28" w:name="_Toc373478403"/>
      <w:bookmarkStart w:id="829" w:name="_Toc389065321"/>
      <w:bookmarkStart w:id="830" w:name="_Toc373227756"/>
      <w:bookmarkStart w:id="831" w:name="_Toc2983"/>
      <w:r>
        <w:rPr>
          <w:rFonts w:hint="eastAsia" w:ascii="宋体" w:hAnsi="宋体" w:eastAsia="宋体" w:cs="宋体"/>
          <w:color w:val="000000"/>
          <w:sz w:val="21"/>
          <w:szCs w:val="21"/>
          <w:highlight w:val="none"/>
        </w:rPr>
        <w:t>13.3 工程试车</w:t>
      </w:r>
      <w:bookmarkEnd w:id="828"/>
      <w:bookmarkEnd w:id="829"/>
      <w:bookmarkEnd w:id="830"/>
      <w:bookmarkEnd w:id="831"/>
    </w:p>
    <w:bookmarkEnd w:id="826"/>
    <w:p w14:paraId="73687886">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13.3.1 试车程序</w:t>
      </w:r>
    </w:p>
    <w:p w14:paraId="0191E2E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工程试车内容：</w:t>
      </w:r>
      <w:r>
        <w:rPr>
          <w:rFonts w:hint="eastAsia" w:ascii="宋体" w:hAnsi="宋体" w:eastAsia="宋体" w:cs="宋体"/>
          <w:color w:val="000000"/>
          <w:sz w:val="21"/>
          <w:szCs w:val="21"/>
          <w:highlight w:val="none"/>
          <w:u w:val="single"/>
        </w:rPr>
        <w:t xml:space="preserve">    按通用条款 13.3.1 条执行     </w:t>
      </w:r>
      <w:r>
        <w:rPr>
          <w:rFonts w:hint="eastAsia" w:ascii="宋体" w:hAnsi="宋体" w:eastAsia="宋体" w:cs="宋体"/>
          <w:color w:val="000000"/>
          <w:sz w:val="21"/>
          <w:szCs w:val="21"/>
          <w:highlight w:val="none"/>
        </w:rPr>
        <w:t>。</w:t>
      </w:r>
    </w:p>
    <w:p w14:paraId="492422A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（1）单机无负荷试车费用由</w:t>
      </w:r>
      <w:r>
        <w:rPr>
          <w:rFonts w:hint="eastAsia" w:ascii="宋体" w:hAnsi="宋体" w:eastAsia="宋体" w:cs="宋体"/>
          <w:color w:val="000000"/>
          <w:sz w:val="21"/>
          <w:szCs w:val="21"/>
          <w:highlight w:val="none"/>
          <w:u w:val="single"/>
        </w:rPr>
        <w:t xml:space="preserve">   承包人        </w:t>
      </w:r>
      <w:r>
        <w:rPr>
          <w:rFonts w:hint="eastAsia" w:ascii="宋体" w:hAnsi="宋体" w:eastAsia="宋体" w:cs="宋体"/>
          <w:color w:val="000000"/>
          <w:sz w:val="21"/>
          <w:szCs w:val="21"/>
          <w:highlight w:val="none"/>
        </w:rPr>
        <w:t>承担；</w:t>
      </w:r>
    </w:p>
    <w:p w14:paraId="74CAE17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（2）无负荷联动试车费用由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承包人        </w:t>
      </w:r>
      <w:r>
        <w:rPr>
          <w:rFonts w:hint="eastAsia" w:ascii="宋体" w:hAnsi="宋体" w:eastAsia="宋体" w:cs="宋体"/>
          <w:color w:val="000000"/>
          <w:sz w:val="21"/>
          <w:szCs w:val="21"/>
          <w:highlight w:val="none"/>
        </w:rPr>
        <w:t>承担。</w:t>
      </w:r>
    </w:p>
    <w:p w14:paraId="068F8E0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13.3.3 投料试车</w:t>
      </w:r>
    </w:p>
    <w:p w14:paraId="53631DA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关于投料试车相关事项的约定：</w:t>
      </w:r>
      <w:r>
        <w:rPr>
          <w:rFonts w:hint="eastAsia" w:ascii="宋体" w:hAnsi="宋体" w:eastAsia="宋体" w:cs="宋体"/>
          <w:color w:val="000000"/>
          <w:sz w:val="21"/>
          <w:szCs w:val="21"/>
          <w:highlight w:val="none"/>
          <w:u w:val="single"/>
          <w:lang w:val="en-US" w:eastAsia="zh-CN"/>
        </w:rPr>
        <w:t>另行约定</w:t>
      </w:r>
      <w:r>
        <w:rPr>
          <w:rFonts w:hint="eastAsia" w:ascii="宋体" w:hAnsi="宋体" w:eastAsia="宋体" w:cs="宋体"/>
          <w:color w:val="000000"/>
          <w:sz w:val="21"/>
          <w:szCs w:val="21"/>
          <w:highlight w:val="none"/>
        </w:rPr>
        <w:t>。</w:t>
      </w:r>
    </w:p>
    <w:p w14:paraId="3A7689EB">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32" w:name="_Toc31058"/>
      <w:bookmarkStart w:id="833" w:name="_Toc389065322"/>
      <w:bookmarkStart w:id="834" w:name="_Toc373227757"/>
      <w:bookmarkStart w:id="835" w:name="_Toc373478404"/>
      <w:r>
        <w:rPr>
          <w:rFonts w:hint="eastAsia" w:ascii="宋体" w:hAnsi="宋体" w:eastAsia="宋体" w:cs="宋体"/>
          <w:color w:val="000000"/>
          <w:sz w:val="21"/>
          <w:szCs w:val="21"/>
          <w:highlight w:val="none"/>
        </w:rPr>
        <w:t>13.6 竣工退场</w:t>
      </w:r>
      <w:bookmarkEnd w:id="832"/>
      <w:bookmarkEnd w:id="833"/>
      <w:bookmarkEnd w:id="834"/>
      <w:bookmarkEnd w:id="835"/>
    </w:p>
    <w:p w14:paraId="172B44D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13.6.1 竣工退场</w:t>
      </w:r>
    </w:p>
    <w:p w14:paraId="184AA693">
      <w:pPr>
        <w:pStyle w:val="39"/>
        <w:pageBreakBefore w:val="0"/>
        <w:kinsoku/>
        <w:overflowPunct/>
        <w:topLinePunct w:val="0"/>
        <w:bidi w:val="0"/>
        <w:spacing w:line="360" w:lineRule="auto"/>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承包人完成竣工退场的期限：</w:t>
      </w:r>
      <w:r>
        <w:rPr>
          <w:rFonts w:hint="eastAsia" w:ascii="宋体" w:hAnsi="宋体" w:eastAsia="宋体" w:cs="宋体"/>
          <w:color w:val="000000"/>
          <w:sz w:val="21"/>
          <w:szCs w:val="21"/>
          <w:highlight w:val="none"/>
          <w:u w:val="single"/>
        </w:rPr>
        <w:t xml:space="preserve">  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  </w:t>
      </w:r>
      <w:r>
        <w:rPr>
          <w:rFonts w:hint="eastAsia" w:ascii="宋体" w:hAnsi="宋体" w:eastAsia="宋体" w:cs="宋体"/>
          <w:color w:val="000000"/>
          <w:kern w:val="0"/>
          <w:sz w:val="21"/>
          <w:szCs w:val="21"/>
          <w:highlight w:val="none"/>
        </w:rPr>
        <w:t>。</w:t>
      </w:r>
    </w:p>
    <w:p w14:paraId="02E01D24">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36" w:name="_Toc389065323"/>
      <w:bookmarkStart w:id="837" w:name="_Toc373227758"/>
      <w:bookmarkStart w:id="838" w:name="_Toc351203646"/>
      <w:bookmarkStart w:id="839" w:name="_Toc373478405"/>
      <w:bookmarkStart w:id="840" w:name="_Toc20157"/>
      <w:r>
        <w:rPr>
          <w:rFonts w:hint="eastAsia" w:ascii="宋体" w:hAnsi="宋体" w:eastAsia="宋体" w:cs="宋体"/>
          <w:color w:val="000000"/>
          <w:sz w:val="21"/>
          <w:szCs w:val="21"/>
          <w:highlight w:val="none"/>
        </w:rPr>
        <w:t>14. 竣工结算</w:t>
      </w:r>
      <w:bookmarkEnd w:id="836"/>
      <w:bookmarkEnd w:id="837"/>
      <w:bookmarkEnd w:id="838"/>
      <w:bookmarkEnd w:id="839"/>
      <w:bookmarkEnd w:id="840"/>
    </w:p>
    <w:p w14:paraId="1344DC43">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41" w:name="_Toc373478406"/>
      <w:bookmarkStart w:id="842" w:name="_Toc389065324"/>
      <w:bookmarkStart w:id="843" w:name="_Toc7016"/>
      <w:bookmarkStart w:id="844" w:name="_Toc373227759"/>
      <w:r>
        <w:rPr>
          <w:rFonts w:hint="eastAsia" w:ascii="宋体" w:hAnsi="宋体" w:eastAsia="宋体" w:cs="宋体"/>
          <w:color w:val="000000"/>
          <w:sz w:val="21"/>
          <w:szCs w:val="21"/>
          <w:highlight w:val="none"/>
        </w:rPr>
        <w:t>14.1 竣工付款申请</w:t>
      </w:r>
      <w:bookmarkEnd w:id="841"/>
      <w:bookmarkEnd w:id="842"/>
      <w:bookmarkEnd w:id="843"/>
      <w:bookmarkEnd w:id="844"/>
    </w:p>
    <w:p w14:paraId="7A2DB52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bookmarkStart w:id="845" w:name="_Toc389065325"/>
      <w:bookmarkStart w:id="846" w:name="_Toc373227760"/>
      <w:bookmarkStart w:id="847" w:name="_Toc373478407"/>
      <w:r>
        <w:rPr>
          <w:rFonts w:hint="eastAsia" w:ascii="宋体" w:hAnsi="宋体" w:eastAsia="宋体" w:cs="宋体"/>
          <w:color w:val="000000"/>
          <w:sz w:val="21"/>
          <w:szCs w:val="21"/>
          <w:highlight w:val="none"/>
        </w:rPr>
        <w:t>承包人提交竣工付款申请单的期限：</w:t>
      </w:r>
      <w:r>
        <w:rPr>
          <w:rFonts w:hint="eastAsia" w:ascii="宋体" w:hAnsi="宋体" w:eastAsia="宋体" w:cs="宋体"/>
          <w:color w:val="000000"/>
          <w:sz w:val="21"/>
          <w:szCs w:val="21"/>
          <w:highlight w:val="none"/>
          <w:u w:val="single"/>
        </w:rPr>
        <w:t xml:space="preserve"> 本工程结算审定后 28 日内  </w:t>
      </w:r>
      <w:r>
        <w:rPr>
          <w:rFonts w:hint="eastAsia" w:ascii="宋体" w:hAnsi="宋体" w:eastAsia="宋体" w:cs="宋体"/>
          <w:color w:val="000000"/>
          <w:sz w:val="21"/>
          <w:szCs w:val="21"/>
          <w:highlight w:val="none"/>
        </w:rPr>
        <w:t>。</w:t>
      </w:r>
    </w:p>
    <w:p w14:paraId="2F86B4C5">
      <w:pPr>
        <w:pStyle w:val="39"/>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竣工付款申请单应包括的内容：</w:t>
      </w:r>
      <w:r>
        <w:rPr>
          <w:rFonts w:hint="eastAsia" w:ascii="宋体" w:hAnsi="宋体" w:eastAsia="宋体" w:cs="宋体"/>
          <w:color w:val="000000"/>
          <w:sz w:val="21"/>
          <w:szCs w:val="21"/>
          <w:highlight w:val="none"/>
          <w:u w:val="single"/>
        </w:rPr>
        <w:t xml:space="preserve">   除通用合同条款第 14.1 款约定的内容外，还应包括：工程结算审核结论书   </w:t>
      </w:r>
      <w:r>
        <w:rPr>
          <w:rFonts w:hint="eastAsia" w:ascii="宋体" w:hAnsi="宋体" w:eastAsia="宋体" w:cs="宋体"/>
          <w:color w:val="000000"/>
          <w:sz w:val="21"/>
          <w:szCs w:val="21"/>
          <w:highlight w:val="none"/>
        </w:rPr>
        <w:t>。</w:t>
      </w:r>
    </w:p>
    <w:p w14:paraId="49ACFBF8">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48" w:name="_Toc5653"/>
      <w:r>
        <w:rPr>
          <w:rFonts w:hint="eastAsia" w:ascii="宋体" w:hAnsi="宋体" w:eastAsia="宋体" w:cs="宋体"/>
          <w:color w:val="000000"/>
          <w:sz w:val="21"/>
          <w:szCs w:val="21"/>
          <w:highlight w:val="none"/>
        </w:rPr>
        <w:t>14.2 竣工结算审核</w:t>
      </w:r>
      <w:bookmarkEnd w:id="845"/>
      <w:bookmarkEnd w:id="846"/>
      <w:bookmarkEnd w:id="847"/>
      <w:bookmarkEnd w:id="848"/>
    </w:p>
    <w:p w14:paraId="279DD9D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发包人审批竣工付款申请单的期限：</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643"/>
        <w:gridCol w:w="6357"/>
      </w:tblGrid>
      <w:tr w14:paraId="02A1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1ADC0E88">
            <w:pPr>
              <w:pageBreakBefore w:val="0"/>
              <w:kinsoku/>
              <w:overflowPunct/>
              <w:topLinePunct w:val="0"/>
              <w:bidi w:val="0"/>
              <w:spacing w:line="360" w:lineRule="auto"/>
              <w:outlineLvl w:val="9"/>
              <w:rPr>
                <w:rFonts w:hint="eastAsia" w:ascii="宋体" w:hAnsi="宋体" w:eastAsia="宋体" w:cs="宋体"/>
                <w:bCs/>
                <w:color w:val="000000"/>
                <w:sz w:val="21"/>
                <w:szCs w:val="21"/>
                <w:highlight w:val="none"/>
              </w:rPr>
            </w:pPr>
          </w:p>
        </w:tc>
        <w:tc>
          <w:tcPr>
            <w:tcW w:w="2643" w:type="dxa"/>
            <w:noWrap w:val="0"/>
            <w:vAlign w:val="center"/>
          </w:tcPr>
          <w:p w14:paraId="7C632ACE">
            <w:pPr>
              <w:pageBreakBefore w:val="0"/>
              <w:kinsoku/>
              <w:overflowPunct/>
              <w:topLinePunct w:val="0"/>
              <w:bidi w:val="0"/>
              <w:spacing w:line="360" w:lineRule="auto"/>
              <w:ind w:firstLine="27" w:firstLineChars="13"/>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工程竣工结算报告金额</w:t>
            </w:r>
          </w:p>
        </w:tc>
        <w:tc>
          <w:tcPr>
            <w:tcW w:w="6357" w:type="dxa"/>
            <w:noWrap w:val="0"/>
            <w:vAlign w:val="center"/>
          </w:tcPr>
          <w:p w14:paraId="75DF501C">
            <w:pPr>
              <w:pageBreakBefore w:val="0"/>
              <w:kinsoku/>
              <w:overflowPunct/>
              <w:topLinePunct w:val="0"/>
              <w:bidi w:val="0"/>
              <w:spacing w:line="360" w:lineRule="auto"/>
              <w:ind w:firstLine="441" w:firstLineChars="210"/>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发包人审查时间</w:t>
            </w:r>
          </w:p>
        </w:tc>
      </w:tr>
      <w:tr w14:paraId="6E05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16C35108">
            <w:pPr>
              <w:pageBreakBefore w:val="0"/>
              <w:kinsoku/>
              <w:overflowPunct/>
              <w:topLinePunct w:val="0"/>
              <w:bidi w:val="0"/>
              <w:spacing w:line="360" w:lineRule="auto"/>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2643" w:type="dxa"/>
            <w:noWrap w:val="0"/>
            <w:vAlign w:val="center"/>
          </w:tcPr>
          <w:p w14:paraId="0E8F9E1A">
            <w:pPr>
              <w:pageBreakBefore w:val="0"/>
              <w:kinsoku/>
              <w:overflowPunct/>
              <w:topLinePunct w:val="0"/>
              <w:bidi w:val="0"/>
              <w:spacing w:line="360" w:lineRule="auto"/>
              <w:ind w:firstLine="27" w:firstLineChars="13"/>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500万元以下</w:t>
            </w:r>
          </w:p>
        </w:tc>
        <w:tc>
          <w:tcPr>
            <w:tcW w:w="6357" w:type="dxa"/>
            <w:noWrap w:val="0"/>
            <w:vAlign w:val="center"/>
          </w:tcPr>
          <w:p w14:paraId="646BF68B">
            <w:pPr>
              <w:pageBreakBefore w:val="0"/>
              <w:kinsoku/>
              <w:overflowPunct/>
              <w:topLinePunct w:val="0"/>
              <w:bidi w:val="0"/>
              <w:spacing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从接到竣工结算报告和完整的竣工结算资料之日起20天</w:t>
            </w:r>
          </w:p>
        </w:tc>
      </w:tr>
      <w:tr w14:paraId="4732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2252D800">
            <w:pPr>
              <w:pageBreakBefore w:val="0"/>
              <w:kinsoku/>
              <w:overflowPunct/>
              <w:topLinePunct w:val="0"/>
              <w:bidi w:val="0"/>
              <w:spacing w:line="360" w:lineRule="auto"/>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w:t>
            </w:r>
          </w:p>
        </w:tc>
        <w:tc>
          <w:tcPr>
            <w:tcW w:w="2643" w:type="dxa"/>
            <w:noWrap w:val="0"/>
            <w:vAlign w:val="center"/>
          </w:tcPr>
          <w:p w14:paraId="7039BCC7">
            <w:pPr>
              <w:pageBreakBefore w:val="0"/>
              <w:kinsoku/>
              <w:overflowPunct/>
              <w:topLinePunct w:val="0"/>
              <w:bidi w:val="0"/>
              <w:spacing w:line="360" w:lineRule="auto"/>
              <w:ind w:firstLine="27" w:firstLineChars="13"/>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500万元-2000万元</w:t>
            </w:r>
          </w:p>
        </w:tc>
        <w:tc>
          <w:tcPr>
            <w:tcW w:w="6357" w:type="dxa"/>
            <w:noWrap w:val="0"/>
            <w:vAlign w:val="center"/>
          </w:tcPr>
          <w:p w14:paraId="0D95E630">
            <w:pPr>
              <w:pageBreakBefore w:val="0"/>
              <w:kinsoku/>
              <w:overflowPunct/>
              <w:topLinePunct w:val="0"/>
              <w:bidi w:val="0"/>
              <w:spacing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从接到竣工结算报告和完整的竣工结算资料之日起30天</w:t>
            </w:r>
          </w:p>
        </w:tc>
      </w:tr>
      <w:tr w14:paraId="75C3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7666D99C">
            <w:pPr>
              <w:pageBreakBefore w:val="0"/>
              <w:kinsoku/>
              <w:overflowPunct/>
              <w:topLinePunct w:val="0"/>
              <w:bidi w:val="0"/>
              <w:spacing w:line="360" w:lineRule="auto"/>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w:t>
            </w:r>
          </w:p>
        </w:tc>
        <w:tc>
          <w:tcPr>
            <w:tcW w:w="2643" w:type="dxa"/>
            <w:noWrap w:val="0"/>
            <w:vAlign w:val="center"/>
          </w:tcPr>
          <w:p w14:paraId="6EF095D5">
            <w:pPr>
              <w:pageBreakBefore w:val="0"/>
              <w:kinsoku/>
              <w:overflowPunct/>
              <w:topLinePunct w:val="0"/>
              <w:bidi w:val="0"/>
              <w:spacing w:line="360" w:lineRule="auto"/>
              <w:ind w:firstLine="27" w:firstLineChars="13"/>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2000万元-5000万元</w:t>
            </w:r>
          </w:p>
        </w:tc>
        <w:tc>
          <w:tcPr>
            <w:tcW w:w="6357" w:type="dxa"/>
            <w:noWrap w:val="0"/>
            <w:vAlign w:val="center"/>
          </w:tcPr>
          <w:p w14:paraId="348E278A">
            <w:pPr>
              <w:pageBreakBefore w:val="0"/>
              <w:kinsoku/>
              <w:overflowPunct/>
              <w:topLinePunct w:val="0"/>
              <w:bidi w:val="0"/>
              <w:spacing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从接到竣工结算报告和完整的竣工结算资料之日起45天</w:t>
            </w:r>
          </w:p>
        </w:tc>
      </w:tr>
      <w:tr w14:paraId="7125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19085105">
            <w:pPr>
              <w:pageBreakBefore w:val="0"/>
              <w:kinsoku/>
              <w:overflowPunct/>
              <w:topLinePunct w:val="0"/>
              <w:bidi w:val="0"/>
              <w:spacing w:line="360" w:lineRule="auto"/>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w:t>
            </w:r>
          </w:p>
        </w:tc>
        <w:tc>
          <w:tcPr>
            <w:tcW w:w="2643" w:type="dxa"/>
            <w:noWrap w:val="0"/>
            <w:vAlign w:val="center"/>
          </w:tcPr>
          <w:p w14:paraId="4E12AF1F">
            <w:pPr>
              <w:pageBreakBefore w:val="0"/>
              <w:kinsoku/>
              <w:overflowPunct/>
              <w:topLinePunct w:val="0"/>
              <w:bidi w:val="0"/>
              <w:spacing w:line="360" w:lineRule="auto"/>
              <w:ind w:firstLine="27" w:firstLineChars="13"/>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5000万元以上</w:t>
            </w:r>
          </w:p>
        </w:tc>
        <w:tc>
          <w:tcPr>
            <w:tcW w:w="6357" w:type="dxa"/>
            <w:noWrap w:val="0"/>
            <w:vAlign w:val="center"/>
          </w:tcPr>
          <w:p w14:paraId="06F482BC">
            <w:pPr>
              <w:pageBreakBefore w:val="0"/>
              <w:kinsoku/>
              <w:overflowPunct/>
              <w:topLinePunct w:val="0"/>
              <w:bidi w:val="0"/>
              <w:spacing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从接到竣工结算报告和完整的竣工结算资料之日起60天</w:t>
            </w:r>
          </w:p>
        </w:tc>
      </w:tr>
      <w:tr w14:paraId="0A95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auto" w:sz="4" w:space="0"/>
              <w:left w:val="single" w:color="auto" w:sz="4" w:space="0"/>
              <w:bottom w:val="single" w:color="auto" w:sz="4" w:space="0"/>
              <w:right w:val="single" w:color="auto" w:sz="4" w:space="0"/>
            </w:tcBorders>
            <w:noWrap w:val="0"/>
            <w:vAlign w:val="center"/>
          </w:tcPr>
          <w:p w14:paraId="6151C1B8">
            <w:pPr>
              <w:pageBreakBefore w:val="0"/>
              <w:kinsoku/>
              <w:overflowPunct/>
              <w:topLinePunct w:val="0"/>
              <w:bidi w:val="0"/>
              <w:spacing w:line="360" w:lineRule="auto"/>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w:t>
            </w:r>
          </w:p>
        </w:tc>
        <w:tc>
          <w:tcPr>
            <w:tcW w:w="2643" w:type="dxa"/>
            <w:tcBorders>
              <w:top w:val="single" w:color="auto" w:sz="4" w:space="0"/>
              <w:left w:val="single" w:color="auto" w:sz="4" w:space="0"/>
              <w:bottom w:val="single" w:color="auto" w:sz="4" w:space="0"/>
              <w:right w:val="single" w:color="auto" w:sz="4" w:space="0"/>
            </w:tcBorders>
            <w:noWrap w:val="0"/>
            <w:vAlign w:val="center"/>
          </w:tcPr>
          <w:p w14:paraId="5683C323">
            <w:pPr>
              <w:pageBreakBefore w:val="0"/>
              <w:kinsoku/>
              <w:overflowPunct/>
              <w:topLinePunct w:val="0"/>
              <w:bidi w:val="0"/>
              <w:spacing w:line="360" w:lineRule="auto"/>
              <w:ind w:firstLine="27" w:firstLineChars="13"/>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5000万以上每增加0.5亿(不足0.5亿不增加)</w:t>
            </w:r>
          </w:p>
        </w:tc>
        <w:tc>
          <w:tcPr>
            <w:tcW w:w="6357" w:type="dxa"/>
            <w:tcBorders>
              <w:top w:val="single" w:color="auto" w:sz="4" w:space="0"/>
              <w:left w:val="single" w:color="auto" w:sz="4" w:space="0"/>
              <w:bottom w:val="single" w:color="auto" w:sz="4" w:space="0"/>
              <w:right w:val="single" w:color="auto" w:sz="4" w:space="0"/>
            </w:tcBorders>
            <w:noWrap w:val="0"/>
            <w:vAlign w:val="center"/>
          </w:tcPr>
          <w:p w14:paraId="4EC8BA30">
            <w:pPr>
              <w:pageBreakBefore w:val="0"/>
              <w:kinsoku/>
              <w:overflowPunct/>
              <w:topLinePunct w:val="0"/>
              <w:bidi w:val="0"/>
              <w:spacing w:line="360" w:lineRule="auto"/>
              <w:ind w:firstLine="441" w:firstLineChars="210"/>
              <w:jc w:val="center"/>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增加10天</w:t>
            </w:r>
          </w:p>
        </w:tc>
      </w:tr>
    </w:tbl>
    <w:p w14:paraId="1AE7F2B3">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因承包人提供的结算资料不完整而需要补充或承包人不按时对账耽误时间时，审查时间应相应顺延</w:t>
      </w:r>
      <w:r>
        <w:rPr>
          <w:rFonts w:hint="eastAsia" w:ascii="宋体" w:hAnsi="宋体" w:eastAsia="宋体" w:cs="宋体"/>
          <w:color w:val="000000"/>
          <w:sz w:val="21"/>
          <w:szCs w:val="21"/>
          <w:highlight w:val="none"/>
        </w:rPr>
        <w:t>。</w:t>
      </w:r>
    </w:p>
    <w:p w14:paraId="286EB43D">
      <w:pPr>
        <w:pageBreakBefore w:val="0"/>
        <w:kinsoku/>
        <w:overflowPunct/>
        <w:topLinePunct w:val="0"/>
        <w:bidi w:val="0"/>
        <w:spacing w:line="360" w:lineRule="auto"/>
        <w:ind w:firstLine="411" w:firstLineChars="196"/>
        <w:outlineLvl w:val="9"/>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竣工</w:t>
      </w:r>
      <w:r>
        <w:rPr>
          <w:rFonts w:hint="eastAsia" w:ascii="宋体" w:hAnsi="宋体" w:eastAsia="宋体" w:cs="宋体"/>
          <w:bCs/>
          <w:color w:val="000000"/>
          <w:sz w:val="21"/>
          <w:szCs w:val="21"/>
          <w:highlight w:val="none"/>
        </w:rPr>
        <w:t>结算审核约定：</w:t>
      </w:r>
    </w:p>
    <w:p w14:paraId="21534C6A">
      <w:pPr>
        <w:pageBreakBefore w:val="0"/>
        <w:kinsoku/>
        <w:overflowPunct/>
        <w:topLinePunct w:val="0"/>
        <w:bidi w:val="0"/>
        <w:spacing w:line="360" w:lineRule="auto"/>
        <w:ind w:firstLine="411" w:firstLineChars="196"/>
        <w:outlineLvl w:val="9"/>
        <w:rPr>
          <w:rFonts w:hint="eastAsia" w:ascii="宋体" w:hAnsi="宋体" w:eastAsia="宋体" w:cs="宋体"/>
          <w:bCs/>
          <w:color w:val="000000"/>
          <w:sz w:val="21"/>
          <w:szCs w:val="21"/>
          <w:highlight w:val="none"/>
          <w:u w:val="single"/>
        </w:rPr>
      </w:pPr>
      <w:r>
        <w:rPr>
          <w:rFonts w:hint="eastAsia" w:ascii="宋体" w:hAnsi="宋体" w:eastAsia="宋体" w:cs="宋体"/>
          <w:bCs/>
          <w:color w:val="000000"/>
          <w:sz w:val="21"/>
          <w:szCs w:val="21"/>
          <w:highlight w:val="none"/>
        </w:rPr>
        <w:t>非国有投资项目：</w:t>
      </w:r>
      <w:r>
        <w:rPr>
          <w:rFonts w:hint="eastAsia" w:ascii="宋体" w:hAnsi="宋体" w:eastAsia="宋体" w:cs="宋体"/>
          <w:bCs/>
          <w:color w:val="000000"/>
          <w:sz w:val="21"/>
          <w:szCs w:val="21"/>
          <w:highlight w:val="none"/>
          <w:u w:val="single"/>
        </w:rPr>
        <w:t>1、工程竣工验收报告经发包人认可后</w:t>
      </w:r>
      <w:r>
        <w:rPr>
          <w:rFonts w:hint="eastAsia" w:ascii="宋体" w:hAnsi="宋体" w:eastAsia="宋体" w:cs="宋体"/>
          <w:bCs/>
          <w:color w:val="000000"/>
          <w:sz w:val="21"/>
          <w:szCs w:val="21"/>
          <w:highlight w:val="none"/>
          <w:u w:val="single"/>
          <w:lang w:val="en-US" w:eastAsia="zh-CN"/>
        </w:rPr>
        <w:t>30</w:t>
      </w:r>
      <w:r>
        <w:rPr>
          <w:rFonts w:hint="eastAsia" w:ascii="宋体" w:hAnsi="宋体" w:eastAsia="宋体" w:cs="宋体"/>
          <w:bCs/>
          <w:color w:val="000000"/>
          <w:sz w:val="21"/>
          <w:szCs w:val="21"/>
          <w:highlight w:val="none"/>
          <w:u w:val="single"/>
        </w:rPr>
        <w:t xml:space="preserve">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p>
    <w:p w14:paraId="0B67EC34">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u w:val="single"/>
        </w:rPr>
        <w:t xml:space="preserve">国有投资项目：（双方结合各地政府或有关部门管理规定进行局部调整）              </w:t>
      </w:r>
    </w:p>
    <w:p w14:paraId="7F501F1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发包人完成竣工付款的期限：</w:t>
      </w:r>
      <w:r>
        <w:rPr>
          <w:rFonts w:hint="eastAsia" w:ascii="宋体" w:hAnsi="宋体" w:eastAsia="宋体" w:cs="宋体"/>
          <w:color w:val="000000"/>
          <w:sz w:val="21"/>
          <w:szCs w:val="21"/>
          <w:highlight w:val="none"/>
          <w:u w:val="single"/>
        </w:rPr>
        <w:t xml:space="preserve">     56 天内       </w:t>
      </w:r>
      <w:r>
        <w:rPr>
          <w:rFonts w:hint="eastAsia" w:ascii="宋体" w:hAnsi="宋体" w:eastAsia="宋体" w:cs="宋体"/>
          <w:color w:val="000000"/>
          <w:sz w:val="21"/>
          <w:szCs w:val="21"/>
          <w:highlight w:val="none"/>
        </w:rPr>
        <w:t>。</w:t>
      </w:r>
    </w:p>
    <w:p w14:paraId="619156B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关于竣工付款证书异议部分复核的方式和程序：</w:t>
      </w:r>
      <w:r>
        <w:rPr>
          <w:rFonts w:hint="eastAsia" w:ascii="宋体" w:hAnsi="宋体" w:eastAsia="宋体" w:cs="宋体"/>
          <w:color w:val="000000"/>
          <w:sz w:val="21"/>
          <w:szCs w:val="21"/>
          <w:highlight w:val="none"/>
          <w:u w:val="single"/>
        </w:rPr>
        <w:t xml:space="preserve">    按本合同通用条款    </w:t>
      </w:r>
      <w:r>
        <w:rPr>
          <w:rFonts w:hint="eastAsia" w:ascii="宋体" w:hAnsi="宋体" w:eastAsia="宋体" w:cs="宋体"/>
          <w:color w:val="000000"/>
          <w:sz w:val="21"/>
          <w:szCs w:val="21"/>
          <w:highlight w:val="none"/>
        </w:rPr>
        <w:t>。</w:t>
      </w:r>
    </w:p>
    <w:p w14:paraId="1987062F">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49" w:name="_Toc389065326"/>
      <w:bookmarkStart w:id="850" w:name="_Toc373227761"/>
      <w:bookmarkStart w:id="851" w:name="_Toc28081"/>
      <w:bookmarkStart w:id="852" w:name="_Toc373478408"/>
      <w:r>
        <w:rPr>
          <w:rFonts w:hint="eastAsia" w:ascii="宋体" w:hAnsi="宋体" w:eastAsia="宋体" w:cs="宋体"/>
          <w:color w:val="000000"/>
          <w:sz w:val="21"/>
          <w:szCs w:val="21"/>
          <w:highlight w:val="none"/>
        </w:rPr>
        <w:t>14.4 最终结清</w:t>
      </w:r>
      <w:bookmarkEnd w:id="849"/>
      <w:bookmarkEnd w:id="850"/>
      <w:bookmarkEnd w:id="851"/>
      <w:bookmarkEnd w:id="852"/>
    </w:p>
    <w:p w14:paraId="606B668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14.4.1 最终结清申请单</w:t>
      </w:r>
    </w:p>
    <w:p w14:paraId="67DFF2E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承包人提交最终结清申请单的份数：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壹</w:t>
      </w:r>
      <w:r>
        <w:rPr>
          <w:rFonts w:hint="eastAsia" w:ascii="宋体" w:hAnsi="宋体" w:eastAsia="宋体" w:cs="宋体"/>
          <w:color w:val="000000"/>
          <w:sz w:val="21"/>
          <w:szCs w:val="21"/>
          <w:highlight w:val="none"/>
          <w:u w:val="single"/>
        </w:rPr>
        <w:t xml:space="preserve">式陆份    </w:t>
      </w:r>
      <w:r>
        <w:rPr>
          <w:rFonts w:hint="eastAsia" w:ascii="宋体" w:hAnsi="宋体" w:eastAsia="宋体" w:cs="宋体"/>
          <w:color w:val="000000"/>
          <w:sz w:val="21"/>
          <w:szCs w:val="21"/>
          <w:highlight w:val="none"/>
        </w:rPr>
        <w:t>。</w:t>
      </w:r>
    </w:p>
    <w:p w14:paraId="7075824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承包人提交最终结算申请单的期限：</w:t>
      </w:r>
      <w:r>
        <w:rPr>
          <w:rFonts w:hint="eastAsia" w:ascii="宋体" w:hAnsi="宋体" w:eastAsia="宋体" w:cs="宋体"/>
          <w:color w:val="000000"/>
          <w:sz w:val="21"/>
          <w:szCs w:val="21"/>
          <w:highlight w:val="none"/>
          <w:u w:val="single"/>
        </w:rPr>
        <w:t xml:space="preserve">   按合同通用条款执行    </w:t>
      </w:r>
      <w:r>
        <w:rPr>
          <w:rFonts w:hint="eastAsia" w:ascii="宋体" w:hAnsi="宋体" w:eastAsia="宋体" w:cs="宋体"/>
          <w:color w:val="000000"/>
          <w:sz w:val="21"/>
          <w:szCs w:val="21"/>
          <w:highlight w:val="none"/>
        </w:rPr>
        <w:t xml:space="preserve">。 </w:t>
      </w:r>
    </w:p>
    <w:p w14:paraId="79D74C4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14.4.2 最终结清证书和支付</w:t>
      </w:r>
    </w:p>
    <w:p w14:paraId="1D1C6328">
      <w:pPr>
        <w:pStyle w:val="39"/>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（1）发包人完成最终结清申请单的审批并颁发最终结清证书的期限：</w:t>
      </w:r>
      <w:r>
        <w:rPr>
          <w:rFonts w:hint="eastAsia" w:ascii="宋体" w:hAnsi="宋体" w:eastAsia="宋体" w:cs="宋体"/>
          <w:color w:val="000000"/>
          <w:sz w:val="21"/>
          <w:szCs w:val="21"/>
          <w:highlight w:val="none"/>
          <w:u w:val="single"/>
        </w:rPr>
        <w:t xml:space="preserve"> 缺陷责任期终止证书颁发后 14 天内          </w:t>
      </w:r>
      <w:r>
        <w:rPr>
          <w:rFonts w:hint="eastAsia" w:ascii="宋体" w:hAnsi="宋体" w:eastAsia="宋体" w:cs="宋体"/>
          <w:color w:val="000000"/>
          <w:sz w:val="21"/>
          <w:szCs w:val="21"/>
          <w:highlight w:val="none"/>
        </w:rPr>
        <w:t>。</w:t>
      </w:r>
    </w:p>
    <w:p w14:paraId="7D20256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（2）发包人完成支付的期限：</w:t>
      </w:r>
      <w:r>
        <w:rPr>
          <w:rFonts w:hint="eastAsia" w:ascii="宋体" w:hAnsi="宋体" w:eastAsia="宋体" w:cs="宋体"/>
          <w:color w:val="000000"/>
          <w:sz w:val="21"/>
          <w:szCs w:val="21"/>
          <w:highlight w:val="none"/>
          <w:u w:val="single"/>
        </w:rPr>
        <w:t xml:space="preserve"> 缺陷责任期终止证书颁发后 28 天内   </w:t>
      </w:r>
      <w:r>
        <w:rPr>
          <w:rFonts w:hint="eastAsia" w:ascii="宋体" w:hAnsi="宋体" w:eastAsia="宋体" w:cs="宋体"/>
          <w:color w:val="000000"/>
          <w:sz w:val="21"/>
          <w:szCs w:val="21"/>
          <w:highlight w:val="none"/>
        </w:rPr>
        <w:t>。</w:t>
      </w:r>
    </w:p>
    <w:bookmarkEnd w:id="815"/>
    <w:bookmarkEnd w:id="816"/>
    <w:bookmarkEnd w:id="817"/>
    <w:bookmarkEnd w:id="818"/>
    <w:bookmarkEnd w:id="819"/>
    <w:bookmarkEnd w:id="820"/>
    <w:bookmarkEnd w:id="821"/>
    <w:bookmarkEnd w:id="827"/>
    <w:p w14:paraId="6B220CA1">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53" w:name="_Toc351203647"/>
      <w:bookmarkStart w:id="854" w:name="_Toc373227762"/>
      <w:bookmarkStart w:id="855" w:name="_Toc389065327"/>
      <w:bookmarkStart w:id="856" w:name="_Toc373478409"/>
      <w:bookmarkStart w:id="857" w:name="_Toc4833"/>
      <w:bookmarkStart w:id="858" w:name="_Toc267251483"/>
      <w:bookmarkStart w:id="859" w:name="_Toc267251484"/>
      <w:bookmarkStart w:id="860" w:name="_Toc267251482"/>
      <w:bookmarkStart w:id="861" w:name="_Toc267251485"/>
      <w:bookmarkStart w:id="862" w:name="_Toc267251488"/>
      <w:bookmarkStart w:id="863" w:name="_Toc267251489"/>
      <w:bookmarkStart w:id="864" w:name="_Toc267251486"/>
      <w:bookmarkStart w:id="865" w:name="_Toc267251490"/>
      <w:bookmarkStart w:id="866" w:name="_Toc267251493"/>
      <w:bookmarkStart w:id="867" w:name="_Toc267251503"/>
      <w:bookmarkStart w:id="868" w:name="_Toc267251492"/>
      <w:bookmarkStart w:id="869" w:name="_Toc267251498"/>
      <w:bookmarkStart w:id="870" w:name="_Toc267251496"/>
      <w:bookmarkStart w:id="871" w:name="_Toc267251494"/>
      <w:bookmarkStart w:id="872" w:name="_Toc267251495"/>
      <w:bookmarkStart w:id="873" w:name="_Toc267251502"/>
      <w:bookmarkStart w:id="874" w:name="_Toc267251501"/>
      <w:bookmarkStart w:id="875" w:name="_Toc267251499"/>
      <w:bookmarkStart w:id="876" w:name="_Toc267251497"/>
      <w:bookmarkStart w:id="877" w:name="_Toc267251491"/>
      <w:bookmarkStart w:id="878" w:name="_Toc267251506"/>
      <w:bookmarkStart w:id="879" w:name="_Toc267251504"/>
      <w:bookmarkStart w:id="880" w:name="_Toc267251507"/>
      <w:bookmarkStart w:id="881" w:name="_Toc267251508"/>
      <w:bookmarkStart w:id="882" w:name="_Toc267251513"/>
      <w:bookmarkStart w:id="883" w:name="_Toc267251514"/>
      <w:bookmarkStart w:id="884" w:name="_Toc267251509"/>
      <w:bookmarkStart w:id="885" w:name="_Toc267251511"/>
      <w:bookmarkStart w:id="886" w:name="_Toc267251515"/>
      <w:bookmarkStart w:id="887" w:name="_Toc267251510"/>
      <w:r>
        <w:rPr>
          <w:rFonts w:hint="eastAsia" w:ascii="宋体" w:hAnsi="宋体" w:eastAsia="宋体" w:cs="宋体"/>
          <w:color w:val="000000"/>
          <w:sz w:val="21"/>
          <w:szCs w:val="21"/>
          <w:highlight w:val="none"/>
        </w:rPr>
        <w:t>15. 缺陷责任期与保修</w:t>
      </w:r>
      <w:bookmarkEnd w:id="853"/>
      <w:bookmarkEnd w:id="854"/>
      <w:bookmarkEnd w:id="855"/>
      <w:bookmarkEnd w:id="856"/>
      <w:bookmarkEnd w:id="857"/>
    </w:p>
    <w:p w14:paraId="7202AB5A">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88" w:name="_Toc373227763"/>
      <w:bookmarkStart w:id="889" w:name="_Toc373478410"/>
      <w:bookmarkStart w:id="890" w:name="_Toc22134"/>
      <w:bookmarkStart w:id="891" w:name="_Toc389065328"/>
      <w:r>
        <w:rPr>
          <w:rFonts w:hint="eastAsia" w:ascii="宋体" w:hAnsi="宋体" w:eastAsia="宋体" w:cs="宋体"/>
          <w:color w:val="000000"/>
          <w:sz w:val="21"/>
          <w:szCs w:val="21"/>
          <w:highlight w:val="none"/>
        </w:rPr>
        <w:t>15.2 缺陷责任期</w:t>
      </w:r>
      <w:bookmarkEnd w:id="858"/>
      <w:bookmarkEnd w:id="888"/>
      <w:bookmarkEnd w:id="889"/>
      <w:bookmarkEnd w:id="890"/>
      <w:bookmarkEnd w:id="891"/>
    </w:p>
    <w:p w14:paraId="652D135F">
      <w:pPr>
        <w:pStyle w:val="26"/>
        <w:spacing w:line="360" w:lineRule="auto"/>
        <w:ind w:firstLine="420" w:firstLineChars="200"/>
        <w:jc w:val="left"/>
        <w:rPr>
          <w:rStyle w:val="24"/>
          <w:rFonts w:hint="eastAsia" w:ascii="Calibri" w:hAnsi="宋体" w:eastAsia="宋体" w:cs="宋体"/>
          <w:color w:val="auto"/>
          <w:highlight w:val="none"/>
        </w:rPr>
      </w:pPr>
      <w:r>
        <w:rPr>
          <w:rFonts w:hint="eastAsia" w:ascii="宋体" w:hAnsi="宋体" w:eastAsia="宋体" w:cs="宋体"/>
          <w:color w:val="000000"/>
          <w:sz w:val="21"/>
          <w:szCs w:val="21"/>
          <w:highlight w:val="none"/>
        </w:rPr>
        <w:t>缺陷责任期的具体期限：</w:t>
      </w:r>
      <w:r>
        <w:rPr>
          <w:rStyle w:val="24"/>
          <w:rFonts w:hint="eastAsia" w:ascii="Calibri" w:hAnsi="宋体" w:eastAsia="宋体" w:cs="宋体"/>
          <w:color w:val="auto"/>
          <w:highlight w:val="none"/>
          <w:u w:val="single"/>
        </w:rPr>
        <w:t>缺陷责任期从工程通过竣工验收之日起计，缺陷责任期限为： 2 年 。由于承包人原因导致工程无法按规定期限进行竣工验收的，缺陷责任期从实际通过竣工验收之日起计。由于发包人原因导致工程无法按规定期限进行竣工验收的，在承包人提交竣工验收报告 90 天后，工程自动进入缺陷责任期</w:t>
      </w:r>
      <w:r>
        <w:rPr>
          <w:rStyle w:val="24"/>
          <w:rFonts w:hint="eastAsia" w:ascii="Calibri" w:hAnsi="宋体" w:eastAsia="宋体" w:cs="宋体"/>
          <w:color w:val="auto"/>
          <w:highlight w:val="none"/>
        </w:rPr>
        <w:t>。</w:t>
      </w:r>
    </w:p>
    <w:p w14:paraId="6A1B749D">
      <w:pPr>
        <w:pStyle w:val="26"/>
        <w:spacing w:line="360" w:lineRule="auto"/>
        <w:ind w:firstLine="420" w:firstLineChars="200"/>
        <w:jc w:val="left"/>
        <w:rPr>
          <w:rFonts w:hint="eastAsia" w:ascii="宋体" w:hAnsi="宋体" w:eastAsia="宋体" w:cs="宋体"/>
          <w:color w:val="000000"/>
          <w:sz w:val="21"/>
          <w:szCs w:val="21"/>
          <w:highlight w:val="none"/>
          <w:u w:val="single"/>
        </w:rPr>
      </w:pPr>
      <w:r>
        <w:rPr>
          <w:rStyle w:val="24"/>
          <w:rFonts w:hint="eastAsia" w:ascii="Calibri" w:hAnsi="宋体" w:eastAsia="宋体" w:cs="宋体"/>
          <w:color w:val="auto"/>
          <w:highlight w:val="none"/>
          <w:u w:val="single"/>
        </w:rPr>
        <w:t>单位工程先于全部工程进行验收，经验收合格并交付使用的，该单位工程缺陷责任期自单位工程验收合格之日起算。发包人未经竣工验收擅自使用工程的，缺陷责任期自工程转移占有之日起开始计算</w:t>
      </w:r>
      <w:r>
        <w:rPr>
          <w:rFonts w:hint="eastAsia" w:ascii="宋体" w:hAnsi="宋体" w:eastAsia="宋体" w:cs="宋体"/>
          <w:color w:val="000000"/>
          <w:sz w:val="21"/>
          <w:szCs w:val="21"/>
          <w:highlight w:val="none"/>
        </w:rPr>
        <w:t>。</w:t>
      </w:r>
    </w:p>
    <w:p w14:paraId="291DEFEE">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92" w:name="_Toc3258"/>
      <w:bookmarkStart w:id="893" w:name="_Toc389065329"/>
      <w:bookmarkStart w:id="894" w:name="_Toc373227764"/>
      <w:bookmarkStart w:id="895" w:name="_Toc373478411"/>
      <w:r>
        <w:rPr>
          <w:rFonts w:hint="eastAsia" w:ascii="宋体" w:hAnsi="宋体" w:eastAsia="宋体" w:cs="宋体"/>
          <w:color w:val="000000"/>
          <w:sz w:val="21"/>
          <w:szCs w:val="21"/>
          <w:highlight w:val="none"/>
        </w:rPr>
        <w:t>15.3 质量保证金</w:t>
      </w:r>
      <w:bookmarkEnd w:id="892"/>
      <w:bookmarkEnd w:id="893"/>
      <w:bookmarkEnd w:id="894"/>
      <w:bookmarkEnd w:id="895"/>
    </w:p>
    <w:p w14:paraId="14D102B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关于是否扣留质量保证金的约定：</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是</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5EF446B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15.3.1 承包人提供质量保证金的方式</w:t>
      </w:r>
    </w:p>
    <w:p w14:paraId="793D93A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质量保证金采用以下第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2</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种方式：</w:t>
      </w:r>
    </w:p>
    <w:p w14:paraId="3D3380D9">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（1）质量保证金保函，保证金额为：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184CE01A">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bCs/>
          <w:color w:val="000000"/>
          <w:sz w:val="21"/>
          <w:szCs w:val="21"/>
          <w:highlight w:val="none"/>
        </w:rPr>
        <w:t>发包人按工程价款结算总额的</w:t>
      </w:r>
      <w:r>
        <w:rPr>
          <w:rFonts w:hint="eastAsia" w:ascii="宋体" w:hAnsi="宋体" w:eastAsia="宋体" w:cs="宋体"/>
          <w:bCs/>
          <w:color w:val="000000"/>
          <w:sz w:val="21"/>
          <w:szCs w:val="21"/>
          <w:highlight w:val="none"/>
          <w:u w:val="single"/>
          <w:lang w:val="en-US" w:eastAsia="zh-CN"/>
        </w:rPr>
        <w:t xml:space="preserve"> 3 </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不得超过3%</w:t>
      </w:r>
      <w:r>
        <w:rPr>
          <w:rFonts w:hint="eastAsia" w:ascii="宋体" w:hAnsi="宋体" w:eastAsia="宋体" w:cs="宋体"/>
          <w:bCs/>
          <w:color w:val="000000"/>
          <w:sz w:val="21"/>
          <w:szCs w:val="21"/>
          <w:highlight w:val="none"/>
        </w:rPr>
        <w:t>）预留工程质量保修金，待缺陷责任期满后返还，</w:t>
      </w:r>
      <w:r>
        <w:rPr>
          <w:rFonts w:hint="eastAsia" w:ascii="宋体" w:hAnsi="宋体" w:eastAsia="宋体" w:cs="宋体"/>
          <w:color w:val="000000"/>
          <w:sz w:val="21"/>
          <w:szCs w:val="21"/>
          <w:highlight w:val="none"/>
        </w:rPr>
        <w:t>是否付息及利息计算方式为：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不付利息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5AF83EF4">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（3）其他方式：</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u w:val="single"/>
          <w:lang w:val="en-US" w:eastAsia="zh-CN"/>
        </w:rPr>
        <w:t>/</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w:t>
      </w:r>
    </w:p>
    <w:p w14:paraId="3149FDF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15.3.2 质量保证金的扣留</w:t>
      </w:r>
    </w:p>
    <w:p w14:paraId="13A491E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质量保证金的扣留采取以下第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种方式：</w:t>
      </w:r>
    </w:p>
    <w:p w14:paraId="556CDD4F">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（1）在支付工程进度款时逐次扣留，质量保证金的计算基数不包括预付款的支付、扣回以及价格调整的金额；</w:t>
      </w:r>
    </w:p>
    <w:p w14:paraId="2BEE33F0">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（2）工程竣工结算时，一次性扣留质量保证金，由承包人以银行保函、保证保险替代预留质量保证金，保函金额不得高于工程价款结算总额的</w:t>
      </w:r>
      <w:r>
        <w:rPr>
          <w:rFonts w:hint="eastAsia" w:ascii="宋体" w:hAnsi="宋体" w:eastAsia="宋体" w:cs="宋体"/>
          <w:color w:val="000000"/>
          <w:sz w:val="21"/>
          <w:szCs w:val="21"/>
          <w:highlight w:val="none"/>
          <w:lang w:val="en-US" w:eastAsia="zh-CN"/>
        </w:rPr>
        <w:t xml:space="preserve"> 3 </w:t>
      </w:r>
      <w:r>
        <w:rPr>
          <w:rFonts w:hint="eastAsia" w:ascii="宋体" w:hAnsi="宋体" w:eastAsia="宋体" w:cs="宋体"/>
          <w:color w:val="000000"/>
          <w:sz w:val="21"/>
          <w:szCs w:val="21"/>
          <w:highlight w:val="none"/>
        </w:rPr>
        <w:t>%；</w:t>
      </w:r>
    </w:p>
    <w:p w14:paraId="204C3AE6">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（3）其他扣留方式: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65DCF4B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关于质量保证金的补充约定：</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bookmarkEnd w:id="859"/>
    <w:bookmarkEnd w:id="860"/>
    <w:p w14:paraId="4CF521B5">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896" w:name="_Toc389065330"/>
      <w:bookmarkStart w:id="897" w:name="_Toc22419"/>
      <w:bookmarkStart w:id="898" w:name="_Toc373478412"/>
      <w:bookmarkStart w:id="899" w:name="_Toc373227765"/>
      <w:r>
        <w:rPr>
          <w:rFonts w:hint="eastAsia" w:ascii="宋体" w:hAnsi="宋体" w:eastAsia="宋体" w:cs="宋体"/>
          <w:color w:val="000000"/>
          <w:sz w:val="21"/>
          <w:szCs w:val="21"/>
          <w:highlight w:val="none"/>
        </w:rPr>
        <w:t>15.4 保修</w:t>
      </w:r>
      <w:bookmarkEnd w:id="896"/>
      <w:bookmarkEnd w:id="897"/>
      <w:bookmarkEnd w:id="898"/>
      <w:bookmarkEnd w:id="899"/>
    </w:p>
    <w:bookmarkEnd w:id="861"/>
    <w:p w14:paraId="5763E445">
      <w:pPr>
        <w:pageBreakBefore w:val="0"/>
        <w:kinsoku/>
        <w:overflowPunct/>
        <w:topLinePunct w:val="0"/>
        <w:bidi w:val="0"/>
        <w:spacing w:line="360" w:lineRule="auto"/>
        <w:ind w:firstLine="409" w:firstLineChars="195"/>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15.4.1 保修责任</w:t>
      </w:r>
    </w:p>
    <w:p w14:paraId="5BE2782B">
      <w:pPr>
        <w:pageBreakBefore w:val="0"/>
        <w:kinsoku/>
        <w:overflowPunct/>
        <w:topLinePunct w:val="0"/>
        <w:bidi w:val="0"/>
        <w:spacing w:line="360" w:lineRule="auto"/>
        <w:ind w:firstLine="409" w:firstLineChars="195"/>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工程保修期为：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见“工程质量保修书”</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6D6C98C9">
      <w:pPr>
        <w:pageBreakBefore w:val="0"/>
        <w:kinsoku/>
        <w:overflowPunct/>
        <w:topLinePunct w:val="0"/>
        <w:bidi w:val="0"/>
        <w:spacing w:line="360" w:lineRule="auto"/>
        <w:ind w:firstLine="409" w:firstLineChars="195"/>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工程保修书具体内容见合同附件2。</w:t>
      </w:r>
    </w:p>
    <w:p w14:paraId="048FBD42">
      <w:pPr>
        <w:pageBreakBefore w:val="0"/>
        <w:kinsoku/>
        <w:overflowPunct/>
        <w:topLinePunct w:val="0"/>
        <w:bidi w:val="0"/>
        <w:spacing w:line="360" w:lineRule="auto"/>
        <w:ind w:firstLine="409" w:firstLineChars="195"/>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15.4.3 修复通知</w:t>
      </w:r>
    </w:p>
    <w:p w14:paraId="133962FC">
      <w:pPr>
        <w:pageBreakBefore w:val="0"/>
        <w:kinsoku/>
        <w:overflowPunct/>
        <w:topLinePunct w:val="0"/>
        <w:bidi w:val="0"/>
        <w:spacing w:line="360" w:lineRule="auto"/>
        <w:ind w:firstLine="409" w:firstLineChars="195"/>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承包人收到保修通知并到达工程现场的合理时间：</w:t>
      </w:r>
      <w:r>
        <w:rPr>
          <w:rStyle w:val="24"/>
          <w:rFonts w:hint="eastAsia" w:ascii="Calibri" w:hAnsi="Calibri" w:eastAsia="宋体" w:cs="Times New Roman"/>
          <w:color w:val="auto"/>
          <w:kern w:val="0"/>
          <w:highlight w:val="none"/>
          <w:u w:val="single"/>
        </w:rPr>
        <w:t>接</w:t>
      </w:r>
      <w:r>
        <w:rPr>
          <w:rStyle w:val="24"/>
          <w:rFonts w:hint="eastAsia" w:ascii="Calibri" w:hAnsi="Calibri" w:eastAsia="宋体" w:cs="Times New Roman"/>
          <w:color w:val="auto"/>
          <w:kern w:val="0"/>
          <w:highlight w:val="none"/>
          <w:u w:val="single"/>
          <w:lang w:eastAsia="zh-CN"/>
        </w:rPr>
        <w:t>到</w:t>
      </w:r>
      <w:r>
        <w:rPr>
          <w:rStyle w:val="24"/>
          <w:rFonts w:hint="eastAsia" w:ascii="Calibri" w:hAnsi="Calibri" w:eastAsia="宋体" w:cs="Times New Roman"/>
          <w:color w:val="auto"/>
          <w:kern w:val="0"/>
          <w:highlight w:val="none"/>
          <w:u w:val="single"/>
        </w:rPr>
        <w:t>发包人通知之日起</w:t>
      </w:r>
      <w:r>
        <w:rPr>
          <w:rStyle w:val="24"/>
          <w:rFonts w:hint="eastAsia" w:ascii="Calibri" w:hAnsi="Calibri" w:eastAsia="宋体" w:cs="Times New Roman"/>
          <w:color w:val="auto"/>
          <w:kern w:val="0"/>
          <w:highlight w:val="none"/>
          <w:u w:val="single"/>
          <w:lang w:val="en-US" w:eastAsia="zh-CN"/>
        </w:rPr>
        <w:t>24小时</w:t>
      </w:r>
      <w:r>
        <w:rPr>
          <w:rStyle w:val="24"/>
          <w:rFonts w:hint="eastAsia" w:ascii="Calibri" w:hAnsi="Calibri" w:eastAsia="宋体" w:cs="Times New Roman"/>
          <w:color w:val="auto"/>
          <w:kern w:val="0"/>
          <w:highlight w:val="none"/>
          <w:u w:val="single"/>
        </w:rPr>
        <w:t>内到达</w:t>
      </w:r>
      <w:r>
        <w:rPr>
          <w:rStyle w:val="24"/>
          <w:rFonts w:ascii="Calibri" w:hAnsi="Calibri" w:eastAsia="宋体" w:cs="Times New Roman"/>
          <w:color w:val="auto"/>
          <w:kern w:val="0"/>
          <w:highlight w:val="none"/>
          <w:u w:val="singl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bookmarkEnd w:id="862"/>
    <w:bookmarkEnd w:id="863"/>
    <w:bookmarkEnd w:id="864"/>
    <w:bookmarkEnd w:id="865"/>
    <w:p w14:paraId="66567293">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00" w:name="_Toc389065331"/>
      <w:bookmarkStart w:id="901" w:name="_Toc351203648"/>
      <w:bookmarkStart w:id="902" w:name="_Toc373227766"/>
      <w:bookmarkStart w:id="903" w:name="_Toc373478413"/>
      <w:bookmarkStart w:id="904" w:name="_Toc7183"/>
      <w:bookmarkStart w:id="905" w:name="_Toc280868717"/>
      <w:bookmarkStart w:id="906" w:name="_Toc280868718"/>
      <w:r>
        <w:rPr>
          <w:rFonts w:hint="eastAsia" w:ascii="宋体" w:hAnsi="宋体" w:eastAsia="宋体" w:cs="宋体"/>
          <w:color w:val="000000"/>
          <w:sz w:val="21"/>
          <w:szCs w:val="21"/>
          <w:highlight w:val="none"/>
        </w:rPr>
        <w:t>16. 违约</w:t>
      </w:r>
      <w:bookmarkEnd w:id="900"/>
      <w:bookmarkEnd w:id="901"/>
      <w:bookmarkEnd w:id="902"/>
      <w:bookmarkEnd w:id="903"/>
      <w:bookmarkEnd w:id="904"/>
    </w:p>
    <w:p w14:paraId="326DDC94">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07" w:name="_Toc389065332"/>
      <w:bookmarkStart w:id="908" w:name="_Toc373227767"/>
      <w:bookmarkStart w:id="909" w:name="_Toc21939"/>
      <w:bookmarkStart w:id="910" w:name="_Toc373478414"/>
      <w:r>
        <w:rPr>
          <w:rFonts w:hint="eastAsia" w:ascii="宋体" w:hAnsi="宋体" w:eastAsia="宋体" w:cs="宋体"/>
          <w:color w:val="000000"/>
          <w:sz w:val="21"/>
          <w:szCs w:val="21"/>
          <w:highlight w:val="none"/>
        </w:rPr>
        <w:t>16.1 发包人违约</w:t>
      </w:r>
      <w:bookmarkEnd w:id="907"/>
      <w:bookmarkEnd w:id="908"/>
      <w:bookmarkEnd w:id="909"/>
      <w:bookmarkEnd w:id="910"/>
    </w:p>
    <w:p w14:paraId="41285106">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16.1.1发包人违约的情形</w:t>
      </w:r>
    </w:p>
    <w:p w14:paraId="7C3F941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发包人违约的其他情形：</w:t>
      </w:r>
      <w:r>
        <w:rPr>
          <w:rFonts w:hint="eastAsia" w:ascii="宋体" w:hAnsi="宋体" w:eastAsia="宋体" w:cs="宋体"/>
          <w:color w:val="000000"/>
          <w:sz w:val="21"/>
          <w:szCs w:val="21"/>
          <w:highlight w:val="none"/>
          <w:u w:val="single"/>
        </w:rPr>
        <w:t xml:space="preserve">      无      </w:t>
      </w:r>
      <w:r>
        <w:rPr>
          <w:rFonts w:hint="eastAsia" w:ascii="宋体" w:hAnsi="宋体" w:eastAsia="宋体" w:cs="宋体"/>
          <w:color w:val="000000"/>
          <w:sz w:val="21"/>
          <w:szCs w:val="21"/>
          <w:highlight w:val="none"/>
        </w:rPr>
        <w:t>。</w:t>
      </w:r>
    </w:p>
    <w:p w14:paraId="54D61AD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16.1.2 发包人违约的责任</w:t>
      </w:r>
    </w:p>
    <w:p w14:paraId="371B1A3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发包人违约责任的承担方式和计算方法：</w:t>
      </w:r>
    </w:p>
    <w:p w14:paraId="2A461279">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（1）因发包人原因未能在计划开工日期前7天内下达开工通知的违约责任：</w:t>
      </w:r>
      <w:r>
        <w:rPr>
          <w:rFonts w:hint="eastAsia" w:ascii="宋体" w:hAnsi="宋体" w:eastAsia="宋体" w:cs="宋体"/>
          <w:color w:val="000000"/>
          <w:sz w:val="21"/>
          <w:szCs w:val="21"/>
          <w:highlight w:val="none"/>
          <w:u w:val="single"/>
        </w:rPr>
        <w:t xml:space="preserve">    </w:t>
      </w:r>
      <w:r>
        <w:rPr>
          <w:rStyle w:val="24"/>
          <w:rFonts w:hint="eastAsia" w:ascii="Calibri" w:hAnsi="Calibri" w:eastAsia="宋体" w:cs="Times New Roman"/>
          <w:color w:val="auto"/>
          <w:kern w:val="0"/>
          <w:highlight w:val="none"/>
          <w:u w:val="single"/>
          <w:lang w:eastAsia="zh-CN"/>
        </w:rPr>
        <w:t>工期顺延</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66E062F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（2）因发包人原因未能按合同约定支付合同价款的违约责任：</w:t>
      </w:r>
      <w:r>
        <w:rPr>
          <w:rFonts w:hint="eastAsia" w:ascii="宋体" w:hAnsi="宋体" w:eastAsia="宋体" w:cs="宋体"/>
          <w:color w:val="000000"/>
          <w:sz w:val="21"/>
          <w:szCs w:val="21"/>
          <w:highlight w:val="none"/>
          <w:u w:val="single"/>
        </w:rPr>
        <w:t xml:space="preserve"> </w:t>
      </w:r>
      <w:r>
        <w:rPr>
          <w:rStyle w:val="24"/>
          <w:rFonts w:hint="eastAsia" w:ascii="Calibri" w:hAnsi="Calibri" w:eastAsia="宋体" w:cs="Times New Roman"/>
          <w:color w:val="auto"/>
          <w:kern w:val="0"/>
          <w:highlight w:val="none"/>
          <w:u w:val="single"/>
          <w:lang w:eastAsia="zh-CN"/>
        </w:rPr>
        <w:t>工期顺延，</w:t>
      </w:r>
      <w:r>
        <w:rPr>
          <w:rStyle w:val="24"/>
          <w:rFonts w:hint="eastAsia" w:ascii="Calibri" w:hAnsi="Calibri" w:eastAsia="宋体" w:cs="Times New Roman"/>
          <w:color w:val="auto"/>
          <w:kern w:val="0"/>
          <w:highlight w:val="none"/>
          <w:u w:val="single"/>
          <w:lang w:val="en-US" w:eastAsia="zh-CN"/>
        </w:rPr>
        <w:t>不支付延期利息</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15B2033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（3）发包人违反第10.1款〔变更的范围〕第（2）项约定，自行实施被取消的工作或转由他人实施的违约责任：</w:t>
      </w:r>
      <w:r>
        <w:rPr>
          <w:rStyle w:val="24"/>
          <w:rFonts w:ascii="Calibri" w:hAnsi="Calibri" w:eastAsia="宋体" w:cs="Times New Roman"/>
          <w:color w:val="auto"/>
          <w:kern w:val="0"/>
          <w:highlight w:val="none"/>
          <w:u w:val="single"/>
        </w:rPr>
        <w:t xml:space="preserve">  </w:t>
      </w:r>
      <w:r>
        <w:rPr>
          <w:rStyle w:val="24"/>
          <w:rFonts w:hint="eastAsia" w:ascii="Calibri" w:hAnsi="Calibri" w:eastAsia="宋体" w:cs="Times New Roman"/>
          <w:color w:val="auto"/>
          <w:kern w:val="0"/>
          <w:highlight w:val="none"/>
          <w:u w:val="single"/>
        </w:rPr>
        <w:t>甲乙双方商定，另签补充协议</w:t>
      </w:r>
      <w:r>
        <w:rPr>
          <w:rStyle w:val="24"/>
          <w:rFonts w:ascii="Calibri" w:hAnsi="Calibri" w:eastAsia="宋体" w:cs="Times New Roman"/>
          <w:color w:val="auto"/>
          <w:kern w:val="0"/>
          <w:highlight w:val="none"/>
          <w:u w:val="single"/>
        </w:rPr>
        <w:t xml:space="preserve">  </w:t>
      </w:r>
      <w:r>
        <w:rPr>
          <w:rStyle w:val="24"/>
          <w:rFonts w:hint="eastAsia" w:ascii="Calibri" w:hAnsi="Calibri" w:eastAsia="宋体" w:cs="Times New Roman"/>
          <w:color w:val="auto"/>
          <w:kern w:val="0"/>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227A683C">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（4）发包人提供的材料、工程设备的规格、数量或质量不符合合同约定，或因发包人原因导致交货日期延误或交货地点变更等情况的违约责任：</w:t>
      </w:r>
      <w:r>
        <w:rPr>
          <w:rStyle w:val="24"/>
          <w:rFonts w:ascii="Calibri" w:hAnsi="Calibri" w:eastAsia="宋体" w:cs="Times New Roman"/>
          <w:color w:val="auto"/>
          <w:kern w:val="0"/>
          <w:highlight w:val="none"/>
          <w:u w:val="single"/>
        </w:rPr>
        <w:t xml:space="preserve">   </w:t>
      </w:r>
      <w:r>
        <w:rPr>
          <w:rStyle w:val="24"/>
          <w:rFonts w:hint="eastAsia" w:ascii="Calibri" w:hAnsi="Calibri" w:eastAsia="宋体" w:cs="Times New Roman"/>
          <w:color w:val="auto"/>
          <w:kern w:val="0"/>
          <w:highlight w:val="none"/>
          <w:u w:val="single"/>
          <w:lang w:eastAsia="zh-CN"/>
        </w:rPr>
        <w:t>更换材料设备，工期顺延</w:t>
      </w:r>
      <w:r>
        <w:rPr>
          <w:rStyle w:val="24"/>
          <w:rFonts w:ascii="Calibri" w:hAnsi="Calibri" w:eastAsia="宋体" w:cs="Times New Roman"/>
          <w:color w:val="auto"/>
          <w:kern w:val="0"/>
          <w:highlight w:val="none"/>
          <w:u w:val="single"/>
        </w:rPr>
        <w:t xml:space="preserve">  </w:t>
      </w:r>
      <w:r>
        <w:rPr>
          <w:rFonts w:hint="eastAsia" w:ascii="宋体" w:hAnsi="宋体" w:eastAsia="宋体" w:cs="宋体"/>
          <w:color w:val="000000"/>
          <w:sz w:val="21"/>
          <w:szCs w:val="21"/>
          <w:highlight w:val="none"/>
        </w:rPr>
        <w:t>。</w:t>
      </w:r>
    </w:p>
    <w:p w14:paraId="1F5E61A6">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（5）因发包人违反合同约定造成暂停施工的违约责任：</w:t>
      </w:r>
      <w:r>
        <w:rPr>
          <w:rFonts w:hint="eastAsia" w:ascii="宋体" w:hAnsi="宋体" w:eastAsia="宋体" w:cs="宋体"/>
          <w:color w:val="000000"/>
          <w:sz w:val="21"/>
          <w:szCs w:val="21"/>
          <w:highlight w:val="none"/>
          <w:u w:val="single"/>
        </w:rPr>
        <w:t xml:space="preserve">  </w:t>
      </w:r>
      <w:r>
        <w:rPr>
          <w:rStyle w:val="24"/>
          <w:rFonts w:hint="eastAsia" w:ascii="Calibri" w:hAnsi="Calibri" w:eastAsia="宋体" w:cs="Times New Roman"/>
          <w:color w:val="auto"/>
          <w:kern w:val="0"/>
          <w:highlight w:val="none"/>
          <w:u w:val="single"/>
          <w:lang w:eastAsia="zh-CN"/>
        </w:rPr>
        <w:t>工期顺延</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35C83AFE">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（6）发包人无正当理由没有在约定期限内发出复工指示，导致承包人无法复工的违约责任：</w:t>
      </w:r>
      <w:r>
        <w:rPr>
          <w:rFonts w:hint="eastAsia" w:ascii="宋体" w:hAnsi="宋体" w:eastAsia="宋体" w:cs="宋体"/>
          <w:color w:val="000000"/>
          <w:sz w:val="21"/>
          <w:szCs w:val="21"/>
          <w:highlight w:val="none"/>
          <w:u w:val="single"/>
        </w:rPr>
        <w:t xml:space="preserve">  </w:t>
      </w:r>
      <w:r>
        <w:rPr>
          <w:rStyle w:val="24"/>
          <w:rFonts w:hint="eastAsia" w:ascii="Calibri" w:hAnsi="Calibri" w:eastAsia="宋体" w:cs="Times New Roman"/>
          <w:color w:val="auto"/>
          <w:kern w:val="0"/>
          <w:highlight w:val="none"/>
          <w:u w:val="single"/>
          <w:lang w:eastAsia="zh-CN"/>
        </w:rPr>
        <w:t>工期顺延</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057F4001">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（7）其他：</w:t>
      </w:r>
      <w:r>
        <w:rPr>
          <w:rFonts w:hint="eastAsia" w:ascii="宋体" w:hAnsi="宋体" w:eastAsia="宋体" w:cs="宋体"/>
          <w:color w:val="000000"/>
          <w:sz w:val="21"/>
          <w:szCs w:val="21"/>
          <w:highlight w:val="none"/>
          <w:u w:val="single"/>
        </w:rPr>
        <w:t xml:space="preserve">  无  </w:t>
      </w:r>
      <w:r>
        <w:rPr>
          <w:rFonts w:hint="eastAsia" w:ascii="宋体" w:hAnsi="宋体" w:eastAsia="宋体" w:cs="宋体"/>
          <w:color w:val="000000"/>
          <w:sz w:val="21"/>
          <w:szCs w:val="21"/>
          <w:highlight w:val="none"/>
        </w:rPr>
        <w:t>。</w:t>
      </w:r>
    </w:p>
    <w:p w14:paraId="08F8720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16.1.3 因发包人违约解除合同</w:t>
      </w:r>
    </w:p>
    <w:p w14:paraId="529A1142">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承包人按16.1.1项〔发包人违约的情形〕约定暂停施工满</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28</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天后发包人仍不纠正其违约行为并致使合同目的不能实现的，承包人有权解除合同。</w:t>
      </w:r>
    </w:p>
    <w:p w14:paraId="6EE86ECA">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11" w:name="_Toc389065333"/>
      <w:bookmarkStart w:id="912" w:name="_Toc28910"/>
      <w:bookmarkStart w:id="913" w:name="_Toc373478415"/>
      <w:bookmarkStart w:id="914" w:name="_Toc373227768"/>
      <w:r>
        <w:rPr>
          <w:rFonts w:hint="eastAsia" w:ascii="宋体" w:hAnsi="宋体" w:eastAsia="宋体" w:cs="宋体"/>
          <w:color w:val="000000"/>
          <w:sz w:val="21"/>
          <w:szCs w:val="21"/>
          <w:highlight w:val="none"/>
        </w:rPr>
        <w:t>16.2 承包人违约</w:t>
      </w:r>
      <w:bookmarkEnd w:id="911"/>
      <w:bookmarkEnd w:id="912"/>
      <w:bookmarkEnd w:id="913"/>
      <w:bookmarkEnd w:id="914"/>
    </w:p>
    <w:p w14:paraId="3FF18EF6">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16.2.1 承包人违约的情形</w:t>
      </w:r>
    </w:p>
    <w:p w14:paraId="04E163C7">
      <w:pPr>
        <w:pStyle w:val="39"/>
        <w:spacing w:line="360" w:lineRule="auto"/>
        <w:ind w:firstLine="420" w:firstLineChars="200"/>
        <w:jc w:val="left"/>
        <w:rPr>
          <w:rStyle w:val="24"/>
          <w:rFonts w:ascii="宋体" w:hAnsi="宋体" w:eastAsia="宋体" w:cs="Times New Roman"/>
          <w:color w:val="auto"/>
          <w:kern w:val="0"/>
          <w:sz w:val="21"/>
          <w:szCs w:val="21"/>
          <w:highlight w:val="none"/>
          <w:u w:val="none"/>
        </w:rPr>
      </w:pPr>
      <w:r>
        <w:rPr>
          <w:rStyle w:val="24"/>
          <w:rFonts w:hint="eastAsia" w:ascii="宋体" w:hAnsi="宋体" w:eastAsia="宋体" w:cs="Times New Roman"/>
          <w:color w:val="auto"/>
          <w:kern w:val="0"/>
          <w:sz w:val="21"/>
          <w:szCs w:val="21"/>
          <w:highlight w:val="none"/>
          <w:u w:val="none"/>
        </w:rPr>
        <w:t>（</w:t>
      </w:r>
      <w:r>
        <w:rPr>
          <w:rStyle w:val="24"/>
          <w:rFonts w:hint="eastAsia" w:ascii="宋体" w:hAnsi="宋体" w:eastAsia="宋体" w:cs="Times New Roman"/>
          <w:color w:val="auto"/>
          <w:kern w:val="0"/>
          <w:sz w:val="21"/>
          <w:szCs w:val="21"/>
          <w:highlight w:val="none"/>
          <w:u w:val="none"/>
          <w:lang w:val="en-US" w:eastAsia="zh-CN"/>
        </w:rPr>
        <w:t>1</w:t>
      </w:r>
      <w:r>
        <w:rPr>
          <w:rStyle w:val="24"/>
          <w:rFonts w:hint="eastAsia" w:ascii="宋体" w:hAnsi="宋体" w:eastAsia="宋体" w:cs="Times New Roman"/>
          <w:color w:val="auto"/>
          <w:kern w:val="0"/>
          <w:sz w:val="21"/>
          <w:szCs w:val="21"/>
          <w:highlight w:val="none"/>
          <w:u w:val="none"/>
        </w:rPr>
        <w:t>）承包人未经发包人、监理人事先同意，擅自更换合同工程项目经理、技术负责人或其他主要管理人员。</w:t>
      </w:r>
    </w:p>
    <w:p w14:paraId="33C6E8B9">
      <w:pPr>
        <w:pStyle w:val="39"/>
        <w:spacing w:line="360" w:lineRule="auto"/>
        <w:ind w:firstLine="420" w:firstLineChars="200"/>
        <w:jc w:val="left"/>
        <w:rPr>
          <w:rStyle w:val="24"/>
          <w:rFonts w:ascii="宋体" w:hAnsi="宋体" w:eastAsia="宋体" w:cs="Times New Roman"/>
          <w:color w:val="auto"/>
          <w:kern w:val="0"/>
          <w:sz w:val="21"/>
          <w:szCs w:val="21"/>
          <w:highlight w:val="none"/>
          <w:u w:val="none"/>
        </w:rPr>
      </w:pPr>
      <w:r>
        <w:rPr>
          <w:rStyle w:val="24"/>
          <w:rFonts w:hint="eastAsia" w:ascii="宋体" w:hAnsi="宋体" w:eastAsia="宋体" w:cs="Times New Roman"/>
          <w:color w:val="auto"/>
          <w:kern w:val="0"/>
          <w:sz w:val="21"/>
          <w:szCs w:val="21"/>
          <w:highlight w:val="none"/>
          <w:u w:val="none"/>
        </w:rPr>
        <w:t>（</w:t>
      </w:r>
      <w:r>
        <w:rPr>
          <w:rStyle w:val="24"/>
          <w:rFonts w:hint="eastAsia" w:ascii="宋体" w:hAnsi="宋体" w:eastAsia="宋体" w:cs="Times New Roman"/>
          <w:color w:val="auto"/>
          <w:kern w:val="0"/>
          <w:sz w:val="21"/>
          <w:szCs w:val="21"/>
          <w:highlight w:val="none"/>
          <w:u w:val="none"/>
          <w:lang w:val="en-US" w:eastAsia="zh-CN"/>
        </w:rPr>
        <w:t>2</w:t>
      </w:r>
      <w:r>
        <w:rPr>
          <w:rStyle w:val="24"/>
          <w:rFonts w:hint="eastAsia" w:ascii="宋体" w:hAnsi="宋体" w:eastAsia="宋体" w:cs="Times New Roman"/>
          <w:color w:val="auto"/>
          <w:kern w:val="0"/>
          <w:sz w:val="21"/>
          <w:szCs w:val="21"/>
          <w:highlight w:val="none"/>
          <w:u w:val="none"/>
        </w:rPr>
        <w:t>）将工程预付款、进度款以及发包人支付用于本项目的其他费用挪作他用；</w:t>
      </w:r>
    </w:p>
    <w:p w14:paraId="19A41BBB">
      <w:pPr>
        <w:pStyle w:val="39"/>
        <w:spacing w:line="360" w:lineRule="auto"/>
        <w:ind w:firstLine="420" w:firstLineChars="200"/>
        <w:jc w:val="left"/>
        <w:rPr>
          <w:rStyle w:val="24"/>
          <w:rFonts w:ascii="宋体" w:hAnsi="宋体" w:eastAsia="宋体" w:cs="Times New Roman"/>
          <w:color w:val="auto"/>
          <w:kern w:val="0"/>
          <w:sz w:val="21"/>
          <w:szCs w:val="21"/>
          <w:highlight w:val="none"/>
          <w:u w:val="none"/>
        </w:rPr>
      </w:pPr>
      <w:r>
        <w:rPr>
          <w:rStyle w:val="24"/>
          <w:rFonts w:hint="eastAsia" w:ascii="宋体" w:hAnsi="宋体" w:eastAsia="宋体" w:cs="Times New Roman"/>
          <w:color w:val="auto"/>
          <w:kern w:val="0"/>
          <w:sz w:val="21"/>
          <w:szCs w:val="21"/>
          <w:highlight w:val="none"/>
          <w:u w:val="none"/>
        </w:rPr>
        <w:t>（</w:t>
      </w:r>
      <w:r>
        <w:rPr>
          <w:rStyle w:val="24"/>
          <w:rFonts w:hint="eastAsia" w:ascii="宋体" w:hAnsi="宋体" w:eastAsia="宋体" w:cs="Times New Roman"/>
          <w:color w:val="auto"/>
          <w:kern w:val="0"/>
          <w:sz w:val="21"/>
          <w:szCs w:val="21"/>
          <w:highlight w:val="none"/>
          <w:u w:val="none"/>
          <w:lang w:val="en-US" w:eastAsia="zh-CN"/>
        </w:rPr>
        <w:t>3</w:t>
      </w:r>
      <w:r>
        <w:rPr>
          <w:rStyle w:val="24"/>
          <w:rFonts w:hint="eastAsia" w:ascii="宋体" w:hAnsi="宋体" w:eastAsia="宋体" w:cs="Times New Roman"/>
          <w:color w:val="auto"/>
          <w:kern w:val="0"/>
          <w:sz w:val="21"/>
          <w:szCs w:val="21"/>
          <w:highlight w:val="none"/>
          <w:u w:val="none"/>
        </w:rPr>
        <w:t>）承包人使用了不合格的材料或工程设备又拒绝清除不合格的材料或工程设备，或因使用了不合格的材料或工程设备导致工程质量达不到标准要求又拒绝清除或修复不合格工程；</w:t>
      </w:r>
    </w:p>
    <w:p w14:paraId="7C7B6D49">
      <w:pPr>
        <w:pStyle w:val="39"/>
        <w:spacing w:line="360" w:lineRule="auto"/>
        <w:ind w:firstLine="420" w:firstLineChars="200"/>
        <w:jc w:val="left"/>
        <w:rPr>
          <w:rStyle w:val="24"/>
          <w:rFonts w:ascii="宋体" w:hAnsi="宋体" w:eastAsia="宋体" w:cs="Times New Roman"/>
          <w:color w:val="auto"/>
          <w:kern w:val="0"/>
          <w:sz w:val="21"/>
          <w:szCs w:val="21"/>
          <w:highlight w:val="none"/>
          <w:u w:val="none"/>
        </w:rPr>
      </w:pPr>
      <w:r>
        <w:rPr>
          <w:rStyle w:val="24"/>
          <w:rFonts w:hint="eastAsia" w:ascii="宋体" w:hAnsi="宋体" w:eastAsia="宋体" w:cs="Times New Roman"/>
          <w:color w:val="auto"/>
          <w:kern w:val="0"/>
          <w:sz w:val="21"/>
          <w:szCs w:val="21"/>
          <w:highlight w:val="none"/>
          <w:u w:val="none"/>
        </w:rPr>
        <w:t>（</w:t>
      </w:r>
      <w:r>
        <w:rPr>
          <w:rStyle w:val="24"/>
          <w:rFonts w:hint="eastAsia" w:ascii="宋体" w:hAnsi="宋体" w:eastAsia="宋体" w:cs="Times New Roman"/>
          <w:color w:val="auto"/>
          <w:kern w:val="0"/>
          <w:sz w:val="21"/>
          <w:szCs w:val="21"/>
          <w:highlight w:val="none"/>
          <w:u w:val="none"/>
          <w:lang w:val="en-US" w:eastAsia="zh-CN"/>
        </w:rPr>
        <w:t>4</w:t>
      </w:r>
      <w:r>
        <w:rPr>
          <w:rStyle w:val="24"/>
          <w:rFonts w:hint="eastAsia" w:ascii="宋体" w:hAnsi="宋体" w:eastAsia="宋体" w:cs="Times New Roman"/>
          <w:color w:val="auto"/>
          <w:kern w:val="0"/>
          <w:sz w:val="21"/>
          <w:szCs w:val="21"/>
          <w:highlight w:val="none"/>
          <w:u w:val="none"/>
        </w:rPr>
        <w:t>）承包人使用了不合格的材料或工程设备或工程质量达不到标准要求等造成安全质量事故；</w:t>
      </w:r>
    </w:p>
    <w:p w14:paraId="5B697AF4">
      <w:pPr>
        <w:pStyle w:val="39"/>
        <w:spacing w:line="360" w:lineRule="auto"/>
        <w:ind w:firstLine="420" w:firstLineChars="200"/>
        <w:jc w:val="left"/>
        <w:rPr>
          <w:rStyle w:val="24"/>
          <w:rFonts w:ascii="宋体" w:hAnsi="宋体" w:eastAsia="宋体" w:cs="Times New Roman"/>
          <w:color w:val="auto"/>
          <w:kern w:val="0"/>
          <w:sz w:val="21"/>
          <w:szCs w:val="21"/>
          <w:highlight w:val="none"/>
          <w:u w:val="none"/>
        </w:rPr>
      </w:pPr>
      <w:r>
        <w:rPr>
          <w:rStyle w:val="24"/>
          <w:rFonts w:hint="eastAsia" w:ascii="宋体" w:hAnsi="宋体" w:eastAsia="宋体" w:cs="Times New Roman"/>
          <w:color w:val="auto"/>
          <w:kern w:val="0"/>
          <w:sz w:val="21"/>
          <w:szCs w:val="21"/>
          <w:highlight w:val="none"/>
          <w:u w:val="none"/>
        </w:rPr>
        <w:t>（</w:t>
      </w:r>
      <w:r>
        <w:rPr>
          <w:rStyle w:val="24"/>
          <w:rFonts w:hint="eastAsia" w:ascii="宋体" w:hAnsi="宋体" w:eastAsia="宋体" w:cs="Times New Roman"/>
          <w:color w:val="auto"/>
          <w:kern w:val="0"/>
          <w:sz w:val="21"/>
          <w:szCs w:val="21"/>
          <w:highlight w:val="none"/>
          <w:u w:val="none"/>
          <w:lang w:val="en-US" w:eastAsia="zh-CN"/>
        </w:rPr>
        <w:t>5</w:t>
      </w:r>
      <w:r>
        <w:rPr>
          <w:rStyle w:val="24"/>
          <w:rFonts w:hint="eastAsia" w:ascii="宋体" w:hAnsi="宋体" w:eastAsia="宋体" w:cs="Times New Roman"/>
          <w:color w:val="auto"/>
          <w:kern w:val="0"/>
          <w:sz w:val="21"/>
          <w:szCs w:val="21"/>
          <w:highlight w:val="none"/>
          <w:u w:val="none"/>
        </w:rPr>
        <w:t>）合同工程竣工后，经两次验收仍不能达到合同约定的质量标准；</w:t>
      </w:r>
    </w:p>
    <w:p w14:paraId="0D9A9C8C">
      <w:pPr>
        <w:pStyle w:val="39"/>
        <w:spacing w:line="360" w:lineRule="auto"/>
        <w:ind w:firstLine="420" w:firstLineChars="200"/>
        <w:jc w:val="left"/>
        <w:rPr>
          <w:rStyle w:val="24"/>
          <w:rFonts w:ascii="宋体" w:hAnsi="宋体" w:eastAsia="宋体" w:cs="Times New Roman"/>
          <w:color w:val="auto"/>
          <w:kern w:val="0"/>
          <w:sz w:val="21"/>
          <w:szCs w:val="21"/>
          <w:highlight w:val="none"/>
          <w:u w:val="none"/>
        </w:rPr>
      </w:pPr>
      <w:r>
        <w:rPr>
          <w:rStyle w:val="24"/>
          <w:rFonts w:hint="eastAsia" w:ascii="宋体" w:hAnsi="宋体" w:eastAsia="宋体" w:cs="Times New Roman"/>
          <w:color w:val="auto"/>
          <w:kern w:val="0"/>
          <w:sz w:val="21"/>
          <w:szCs w:val="21"/>
          <w:highlight w:val="none"/>
          <w:u w:val="none"/>
        </w:rPr>
        <w:t>（</w:t>
      </w:r>
      <w:r>
        <w:rPr>
          <w:rStyle w:val="24"/>
          <w:rFonts w:hint="eastAsia" w:ascii="宋体" w:hAnsi="宋体" w:eastAsia="宋体" w:cs="Times New Roman"/>
          <w:color w:val="auto"/>
          <w:kern w:val="0"/>
          <w:sz w:val="21"/>
          <w:szCs w:val="21"/>
          <w:highlight w:val="none"/>
          <w:u w:val="none"/>
          <w:lang w:val="en-US" w:eastAsia="zh-CN"/>
        </w:rPr>
        <w:t>6</w:t>
      </w:r>
      <w:r>
        <w:rPr>
          <w:rStyle w:val="24"/>
          <w:rFonts w:hint="eastAsia" w:ascii="宋体" w:hAnsi="宋体" w:eastAsia="宋体" w:cs="Times New Roman"/>
          <w:color w:val="auto"/>
          <w:kern w:val="0"/>
          <w:sz w:val="21"/>
          <w:szCs w:val="21"/>
          <w:highlight w:val="none"/>
          <w:u w:val="none"/>
        </w:rPr>
        <w:t>）承包人拒绝执行发包人或监理人发出的关于本工程的指令的；或以招标工程量清单中的措施项目出现错误、缺项、漏项情况为由，拒绝执行相应部分内容施工的；或以变更或增加部分与本合同无实质性关联为由，拒绝执行的；或以变更或增加部分子目单价低或超出施工能力范围等为由拒绝施工的；或拒绝执行合同约定的其他情形的。</w:t>
      </w:r>
    </w:p>
    <w:p w14:paraId="53878D9C">
      <w:pPr>
        <w:pStyle w:val="39"/>
        <w:spacing w:line="360" w:lineRule="auto"/>
        <w:ind w:firstLine="420" w:firstLineChars="200"/>
        <w:jc w:val="left"/>
        <w:rPr>
          <w:rStyle w:val="24"/>
          <w:rFonts w:ascii="宋体" w:hAnsi="宋体" w:eastAsia="宋体" w:cs="Times New Roman"/>
          <w:color w:val="auto"/>
          <w:kern w:val="0"/>
          <w:sz w:val="21"/>
          <w:szCs w:val="21"/>
          <w:highlight w:val="none"/>
          <w:u w:val="none"/>
        </w:rPr>
      </w:pPr>
      <w:r>
        <w:rPr>
          <w:rStyle w:val="24"/>
          <w:rFonts w:hint="eastAsia" w:ascii="宋体" w:hAnsi="宋体" w:eastAsia="宋体" w:cs="Times New Roman"/>
          <w:color w:val="auto"/>
          <w:kern w:val="0"/>
          <w:sz w:val="21"/>
          <w:szCs w:val="21"/>
          <w:highlight w:val="none"/>
          <w:u w:val="none"/>
        </w:rPr>
        <w:t>（</w:t>
      </w:r>
      <w:r>
        <w:rPr>
          <w:rStyle w:val="24"/>
          <w:rFonts w:hint="eastAsia" w:ascii="宋体" w:hAnsi="宋体" w:eastAsia="宋体" w:cs="Times New Roman"/>
          <w:color w:val="auto"/>
          <w:kern w:val="0"/>
          <w:sz w:val="21"/>
          <w:szCs w:val="21"/>
          <w:highlight w:val="none"/>
          <w:u w:val="none"/>
          <w:lang w:val="en-US" w:eastAsia="zh-CN"/>
        </w:rPr>
        <w:t>7</w:t>
      </w:r>
      <w:r>
        <w:rPr>
          <w:rStyle w:val="24"/>
          <w:rFonts w:hint="eastAsia" w:ascii="宋体" w:hAnsi="宋体" w:eastAsia="宋体" w:cs="Times New Roman"/>
          <w:color w:val="auto"/>
          <w:kern w:val="0"/>
          <w:sz w:val="21"/>
          <w:szCs w:val="21"/>
          <w:highlight w:val="none"/>
          <w:u w:val="none"/>
        </w:rPr>
        <w:t>）如果承包人或承包人的工作人员（不论承包人是否知晓）以贿赂或变相贿赂的方式，谋取不当利益或损害发包人权益的；</w:t>
      </w:r>
    </w:p>
    <w:p w14:paraId="4B39BEE2">
      <w:pPr>
        <w:pStyle w:val="39"/>
        <w:spacing w:line="360" w:lineRule="auto"/>
        <w:ind w:firstLine="420" w:firstLineChars="200"/>
        <w:jc w:val="left"/>
        <w:rPr>
          <w:rStyle w:val="24"/>
          <w:rFonts w:ascii="宋体" w:hAnsi="宋体" w:eastAsia="宋体" w:cs="Times New Roman"/>
          <w:color w:val="auto"/>
          <w:kern w:val="0"/>
          <w:sz w:val="21"/>
          <w:szCs w:val="21"/>
          <w:highlight w:val="none"/>
          <w:u w:val="none"/>
        </w:rPr>
      </w:pPr>
      <w:r>
        <w:rPr>
          <w:rStyle w:val="24"/>
          <w:rFonts w:hint="eastAsia" w:ascii="宋体" w:hAnsi="宋体" w:eastAsia="宋体" w:cs="Times New Roman"/>
          <w:color w:val="auto"/>
          <w:kern w:val="0"/>
          <w:sz w:val="21"/>
          <w:szCs w:val="21"/>
          <w:highlight w:val="none"/>
          <w:u w:val="none"/>
        </w:rPr>
        <w:t>（</w:t>
      </w:r>
      <w:r>
        <w:rPr>
          <w:rStyle w:val="24"/>
          <w:rFonts w:hint="eastAsia" w:ascii="宋体" w:hAnsi="宋体" w:eastAsia="宋体" w:cs="Times New Roman"/>
          <w:color w:val="auto"/>
          <w:kern w:val="0"/>
          <w:sz w:val="21"/>
          <w:szCs w:val="21"/>
          <w:highlight w:val="none"/>
          <w:u w:val="none"/>
          <w:lang w:val="en-US" w:eastAsia="zh-CN"/>
        </w:rPr>
        <w:t>8</w:t>
      </w:r>
      <w:r>
        <w:rPr>
          <w:rStyle w:val="24"/>
          <w:rFonts w:hint="eastAsia" w:ascii="宋体" w:hAnsi="宋体" w:eastAsia="宋体" w:cs="Times New Roman"/>
          <w:color w:val="auto"/>
          <w:kern w:val="0"/>
          <w:sz w:val="21"/>
          <w:szCs w:val="21"/>
          <w:highlight w:val="none"/>
          <w:u w:val="none"/>
        </w:rPr>
        <w:t>) 未经验收或验收不合格，擅自进行隐蔽工程的覆盖或其他工程下道工序的施工，或验收合格后到隐蔽施工前对通过隐蔽验收的合格部分有任何改动；</w:t>
      </w:r>
    </w:p>
    <w:p w14:paraId="28D38507">
      <w:pPr>
        <w:pStyle w:val="39"/>
        <w:spacing w:line="360" w:lineRule="auto"/>
        <w:ind w:firstLine="420" w:firstLineChars="200"/>
        <w:jc w:val="left"/>
        <w:rPr>
          <w:rStyle w:val="24"/>
          <w:rFonts w:ascii="宋体" w:hAnsi="宋体" w:eastAsia="宋体" w:cs="Times New Roman"/>
          <w:color w:val="auto"/>
          <w:kern w:val="0"/>
          <w:sz w:val="21"/>
          <w:szCs w:val="21"/>
          <w:highlight w:val="none"/>
          <w:u w:val="none"/>
        </w:rPr>
      </w:pPr>
      <w:r>
        <w:rPr>
          <w:rStyle w:val="24"/>
          <w:rFonts w:hint="eastAsia" w:ascii="宋体" w:hAnsi="宋体" w:eastAsia="宋体" w:cs="Times New Roman"/>
          <w:color w:val="auto"/>
          <w:kern w:val="0"/>
          <w:sz w:val="21"/>
          <w:szCs w:val="21"/>
          <w:highlight w:val="none"/>
          <w:u w:val="none"/>
        </w:rPr>
        <w:t>（</w:t>
      </w:r>
      <w:r>
        <w:rPr>
          <w:rStyle w:val="24"/>
          <w:rFonts w:hint="eastAsia" w:ascii="宋体" w:hAnsi="宋体" w:eastAsia="宋体" w:cs="Times New Roman"/>
          <w:color w:val="auto"/>
          <w:kern w:val="0"/>
          <w:sz w:val="21"/>
          <w:szCs w:val="21"/>
          <w:highlight w:val="none"/>
          <w:u w:val="none"/>
          <w:lang w:val="en-US" w:eastAsia="zh-CN"/>
        </w:rPr>
        <w:t>9</w:t>
      </w:r>
      <w:r>
        <w:rPr>
          <w:rStyle w:val="24"/>
          <w:rFonts w:hint="eastAsia" w:ascii="宋体" w:hAnsi="宋体" w:eastAsia="宋体" w:cs="Times New Roman"/>
          <w:color w:val="auto"/>
          <w:kern w:val="0"/>
          <w:sz w:val="21"/>
          <w:szCs w:val="21"/>
          <w:highlight w:val="none"/>
          <w:u w:val="none"/>
        </w:rPr>
        <w:t>）承包人在缺陷责任期内，未能对缺陷责任期内发生的缺陷进行修复而又拒绝按发包人或监理人指示再进行修补或同一部位出现二次以上维修的；</w:t>
      </w:r>
    </w:p>
    <w:p w14:paraId="60E502D5">
      <w:pPr>
        <w:pStyle w:val="39"/>
        <w:spacing w:line="360" w:lineRule="auto"/>
        <w:ind w:firstLine="420" w:firstLineChars="200"/>
        <w:jc w:val="left"/>
        <w:rPr>
          <w:rFonts w:hint="eastAsia" w:ascii="宋体" w:hAnsi="宋体" w:eastAsia="宋体" w:cs="宋体"/>
          <w:color w:val="000000"/>
          <w:sz w:val="21"/>
          <w:szCs w:val="21"/>
          <w:highlight w:val="none"/>
          <w:u w:val="single"/>
        </w:rPr>
      </w:pPr>
      <w:r>
        <w:rPr>
          <w:rStyle w:val="24"/>
          <w:rFonts w:hint="eastAsia" w:ascii="宋体" w:hAnsi="宋体" w:eastAsia="宋体" w:cs="Times New Roman"/>
          <w:color w:val="auto"/>
          <w:kern w:val="0"/>
          <w:sz w:val="21"/>
          <w:szCs w:val="21"/>
          <w:highlight w:val="none"/>
          <w:u w:val="none"/>
        </w:rPr>
        <w:t>（</w:t>
      </w:r>
      <w:r>
        <w:rPr>
          <w:rStyle w:val="24"/>
          <w:rFonts w:hint="eastAsia" w:ascii="宋体" w:hAnsi="宋体" w:eastAsia="宋体" w:cs="Times New Roman"/>
          <w:color w:val="auto"/>
          <w:kern w:val="0"/>
          <w:sz w:val="21"/>
          <w:szCs w:val="21"/>
          <w:highlight w:val="none"/>
          <w:u w:val="none"/>
          <w:lang w:val="en-US" w:eastAsia="zh-CN"/>
        </w:rPr>
        <w:t>10</w:t>
      </w:r>
      <w:r>
        <w:rPr>
          <w:rStyle w:val="24"/>
          <w:rFonts w:hint="eastAsia" w:ascii="宋体" w:hAnsi="宋体" w:eastAsia="宋体" w:cs="Times New Roman"/>
          <w:color w:val="auto"/>
          <w:kern w:val="0"/>
          <w:sz w:val="21"/>
          <w:szCs w:val="21"/>
          <w:highlight w:val="none"/>
          <w:u w:val="none"/>
        </w:rPr>
        <w:t>）承包人的雇员或其分包人的雇员、或承包人的供应商扰乱发包人生产、生活秩序的。</w:t>
      </w:r>
    </w:p>
    <w:p w14:paraId="6CF11B92">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16.2.2承包人违约的责任</w:t>
      </w:r>
    </w:p>
    <w:p w14:paraId="51F75249">
      <w:pPr>
        <w:pStyle w:val="26"/>
        <w:spacing w:line="360" w:lineRule="auto"/>
        <w:ind w:firstLine="420" w:firstLineChars="200"/>
        <w:jc w:val="left"/>
        <w:rPr>
          <w:rStyle w:val="24"/>
          <w:rFonts w:ascii="Calibri" w:hAnsi="宋体" w:eastAsia="宋体" w:cs="Times New Roman"/>
          <w:color w:val="auto"/>
          <w:kern w:val="0"/>
          <w:highlight w:val="none"/>
        </w:rPr>
      </w:pPr>
      <w:r>
        <w:rPr>
          <w:rStyle w:val="24"/>
          <w:rFonts w:hint="eastAsia" w:ascii="Calibri" w:hAnsi="宋体" w:eastAsia="宋体" w:cs="宋体"/>
          <w:color w:val="auto"/>
          <w:kern w:val="0"/>
          <w:highlight w:val="none"/>
        </w:rPr>
        <w:t>（</w:t>
      </w:r>
      <w:r>
        <w:rPr>
          <w:rStyle w:val="24"/>
          <w:rFonts w:ascii="Calibri" w:hAnsi="Calibri" w:eastAsia="宋体" w:cs="Times New Roman"/>
          <w:color w:val="auto"/>
          <w:kern w:val="0"/>
          <w:highlight w:val="none"/>
        </w:rPr>
        <w:t>1</w:t>
      </w:r>
      <w:r>
        <w:rPr>
          <w:rStyle w:val="24"/>
          <w:rFonts w:hint="eastAsia" w:ascii="Calibri" w:hAnsi="宋体" w:eastAsia="宋体" w:cs="宋体"/>
          <w:color w:val="auto"/>
          <w:kern w:val="0"/>
          <w:highlight w:val="none"/>
        </w:rPr>
        <w:t>）承包人发生本合同第 16.2.1 项中（1）、</w:t>
      </w:r>
      <w:r>
        <w:rPr>
          <w:rStyle w:val="24"/>
          <w:rFonts w:hint="eastAsia" w:ascii="Calibri" w:hAnsi="宋体" w:eastAsia="宋体" w:cs="宋体"/>
          <w:color w:val="auto"/>
          <w:kern w:val="0"/>
          <w:highlight w:val="none"/>
          <w:lang w:eastAsia="zh-CN"/>
        </w:rPr>
        <w:t>（</w:t>
      </w:r>
      <w:r>
        <w:rPr>
          <w:rStyle w:val="24"/>
          <w:rFonts w:hint="eastAsia" w:ascii="Calibri" w:hAnsi="宋体" w:eastAsia="宋体" w:cs="宋体"/>
          <w:color w:val="auto"/>
          <w:kern w:val="0"/>
          <w:highlight w:val="none"/>
          <w:lang w:val="en-US" w:eastAsia="zh-CN"/>
        </w:rPr>
        <w:t>2</w:t>
      </w:r>
      <w:r>
        <w:rPr>
          <w:rStyle w:val="24"/>
          <w:rFonts w:hint="eastAsia" w:ascii="Calibri" w:hAnsi="宋体" w:eastAsia="宋体" w:cs="宋体"/>
          <w:color w:val="auto"/>
          <w:kern w:val="0"/>
          <w:highlight w:val="none"/>
          <w:lang w:eastAsia="zh-CN"/>
        </w:rPr>
        <w:t>）、</w:t>
      </w:r>
      <w:r>
        <w:rPr>
          <w:rStyle w:val="24"/>
          <w:rFonts w:hint="eastAsia" w:ascii="Calibri" w:hAnsi="宋体" w:eastAsia="宋体" w:cs="宋体"/>
          <w:color w:val="auto"/>
          <w:kern w:val="0"/>
          <w:highlight w:val="none"/>
        </w:rPr>
        <w:t>（3）、（4）、（7）、（8）、（9）、（1</w:t>
      </w:r>
      <w:r>
        <w:rPr>
          <w:rStyle w:val="24"/>
          <w:rFonts w:hint="eastAsia" w:ascii="Calibri" w:hAnsi="宋体" w:eastAsia="宋体" w:cs="宋体"/>
          <w:color w:val="auto"/>
          <w:kern w:val="0"/>
          <w:highlight w:val="none"/>
          <w:lang w:val="en-US" w:eastAsia="zh-CN"/>
        </w:rPr>
        <w:t>0</w:t>
      </w:r>
      <w:r>
        <w:rPr>
          <w:rStyle w:val="24"/>
          <w:rFonts w:hint="eastAsia" w:ascii="Calibri" w:hAnsi="宋体" w:eastAsia="宋体" w:cs="宋体"/>
          <w:color w:val="auto"/>
          <w:kern w:val="0"/>
          <w:highlight w:val="none"/>
        </w:rPr>
        <w:t>）约定的违约情况时，除按照专用条款的约定支付违约金外，</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有权通知</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解除合同，</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并有权向履约保函的担保单位进行索赔，以提取履约保函下的担保金额（或没收履约保证金），</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应承担由此给</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造成的一切损失。</w:t>
      </w:r>
    </w:p>
    <w:p w14:paraId="557DD2A4">
      <w:pPr>
        <w:pStyle w:val="26"/>
        <w:spacing w:line="360" w:lineRule="auto"/>
        <w:ind w:firstLine="420" w:firstLineChars="200"/>
        <w:jc w:val="left"/>
        <w:rPr>
          <w:rStyle w:val="24"/>
          <w:rFonts w:ascii="Times New Roman" w:hAnsi="宋体" w:eastAsia="宋体" w:cs="Times New Roman"/>
          <w:color w:val="auto"/>
          <w:kern w:val="0"/>
          <w:sz w:val="22"/>
          <w:highlight w:val="none"/>
        </w:rPr>
      </w:pPr>
      <w:r>
        <w:rPr>
          <w:rStyle w:val="24"/>
          <w:rFonts w:hint="eastAsia" w:ascii="Calibri" w:hAnsi="宋体" w:eastAsia="宋体" w:cs="宋体"/>
          <w:color w:val="auto"/>
          <w:kern w:val="0"/>
          <w:highlight w:val="none"/>
        </w:rPr>
        <w:t>（</w:t>
      </w:r>
      <w:r>
        <w:rPr>
          <w:rStyle w:val="24"/>
          <w:rFonts w:ascii="Calibri" w:hAnsi="Calibri" w:eastAsia="宋体" w:cs="Times New Roman"/>
          <w:color w:val="auto"/>
          <w:kern w:val="0"/>
          <w:highlight w:val="none"/>
        </w:rPr>
        <w:t>2</w:t>
      </w:r>
      <w:r>
        <w:rPr>
          <w:rStyle w:val="24"/>
          <w:rFonts w:hint="eastAsia" w:ascii="Calibri" w:hAnsi="宋体" w:eastAsia="宋体" w:cs="宋体"/>
          <w:color w:val="auto"/>
          <w:kern w:val="0"/>
          <w:highlight w:val="none"/>
        </w:rPr>
        <w:t>）</w:t>
      </w:r>
      <w:r>
        <w:rPr>
          <w:rStyle w:val="24"/>
          <w:rFonts w:hint="eastAsia" w:ascii="Times New Roman" w:hAnsi="宋体" w:eastAsia="宋体" w:cs="宋体"/>
          <w:color w:val="auto"/>
          <w:kern w:val="0"/>
          <w:sz w:val="21"/>
          <w:highlight w:val="none"/>
          <w:lang w:eastAsia="zh-CN"/>
        </w:rPr>
        <w:t>承包人</w:t>
      </w:r>
      <w:r>
        <w:rPr>
          <w:rStyle w:val="24"/>
          <w:rFonts w:hint="eastAsia" w:ascii="Times New Roman" w:hAnsi="宋体" w:eastAsia="宋体" w:cs="宋体"/>
          <w:color w:val="auto"/>
          <w:kern w:val="0"/>
          <w:sz w:val="21"/>
          <w:highlight w:val="none"/>
        </w:rPr>
        <w:t>发生第 16.2.1 项中（5）的违约情况时，如合同工程第一次验收不合格，</w:t>
      </w:r>
      <w:r>
        <w:rPr>
          <w:rStyle w:val="24"/>
          <w:rFonts w:hint="eastAsia" w:ascii="Times New Roman" w:hAnsi="宋体" w:eastAsia="宋体" w:cs="宋体"/>
          <w:color w:val="auto"/>
          <w:kern w:val="0"/>
          <w:sz w:val="21"/>
          <w:highlight w:val="none"/>
          <w:lang w:eastAsia="zh-CN"/>
        </w:rPr>
        <w:t>承包人</w:t>
      </w:r>
      <w:r>
        <w:rPr>
          <w:rStyle w:val="24"/>
          <w:rFonts w:hint="eastAsia" w:ascii="Times New Roman" w:hAnsi="宋体" w:eastAsia="宋体" w:cs="宋体"/>
          <w:color w:val="auto"/>
          <w:kern w:val="0"/>
          <w:sz w:val="21"/>
          <w:highlight w:val="none"/>
        </w:rPr>
        <w:t>应将不符合质量标准的部分进行整改直至符合标准，费用由</w:t>
      </w:r>
      <w:r>
        <w:rPr>
          <w:rStyle w:val="24"/>
          <w:rFonts w:hint="eastAsia" w:ascii="Times New Roman" w:hAnsi="宋体" w:eastAsia="宋体" w:cs="宋体"/>
          <w:color w:val="auto"/>
          <w:kern w:val="0"/>
          <w:sz w:val="21"/>
          <w:highlight w:val="none"/>
          <w:lang w:eastAsia="zh-CN"/>
        </w:rPr>
        <w:t>承包人</w:t>
      </w:r>
      <w:r>
        <w:rPr>
          <w:rStyle w:val="24"/>
          <w:rFonts w:hint="eastAsia" w:ascii="Times New Roman" w:hAnsi="宋体" w:eastAsia="宋体" w:cs="宋体"/>
          <w:color w:val="auto"/>
          <w:kern w:val="0"/>
          <w:sz w:val="21"/>
          <w:highlight w:val="none"/>
        </w:rPr>
        <w:t>承担。如第二次仍验收不合格的，</w:t>
      </w:r>
      <w:r>
        <w:rPr>
          <w:rStyle w:val="24"/>
          <w:rFonts w:hint="eastAsia" w:ascii="Times New Roman" w:hAnsi="宋体" w:eastAsia="宋体" w:cs="宋体"/>
          <w:color w:val="auto"/>
          <w:kern w:val="0"/>
          <w:sz w:val="21"/>
          <w:highlight w:val="none"/>
          <w:lang w:eastAsia="zh-CN"/>
        </w:rPr>
        <w:t>发包人</w:t>
      </w:r>
      <w:r>
        <w:rPr>
          <w:rStyle w:val="24"/>
          <w:rFonts w:hint="eastAsia" w:ascii="Times New Roman" w:hAnsi="宋体" w:eastAsia="宋体" w:cs="宋体"/>
          <w:color w:val="auto"/>
          <w:kern w:val="0"/>
          <w:sz w:val="21"/>
          <w:highlight w:val="none"/>
        </w:rPr>
        <w:t>有权另行委托他人重建或修复，重建或修复费用由</w:t>
      </w:r>
      <w:r>
        <w:rPr>
          <w:rStyle w:val="24"/>
          <w:rFonts w:hint="eastAsia" w:ascii="Times New Roman" w:hAnsi="宋体" w:eastAsia="宋体" w:cs="宋体"/>
          <w:color w:val="auto"/>
          <w:kern w:val="0"/>
          <w:sz w:val="21"/>
          <w:highlight w:val="none"/>
          <w:lang w:eastAsia="zh-CN"/>
        </w:rPr>
        <w:t>承包人</w:t>
      </w:r>
      <w:r>
        <w:rPr>
          <w:rStyle w:val="24"/>
          <w:rFonts w:hint="eastAsia" w:ascii="Times New Roman" w:hAnsi="宋体" w:eastAsia="宋体" w:cs="宋体"/>
          <w:color w:val="auto"/>
          <w:kern w:val="0"/>
          <w:sz w:val="21"/>
          <w:highlight w:val="none"/>
        </w:rPr>
        <w:t>承担，</w:t>
      </w:r>
      <w:r>
        <w:rPr>
          <w:rStyle w:val="24"/>
          <w:rFonts w:hint="eastAsia" w:ascii="Times New Roman" w:hAnsi="宋体" w:eastAsia="宋体" w:cs="宋体"/>
          <w:color w:val="auto"/>
          <w:kern w:val="0"/>
          <w:sz w:val="21"/>
          <w:highlight w:val="none"/>
          <w:lang w:eastAsia="zh-CN"/>
        </w:rPr>
        <w:t>发包人</w:t>
      </w:r>
      <w:r>
        <w:rPr>
          <w:rStyle w:val="24"/>
          <w:rFonts w:hint="eastAsia" w:ascii="Times New Roman" w:hAnsi="宋体" w:eastAsia="宋体" w:cs="宋体"/>
          <w:color w:val="auto"/>
          <w:kern w:val="0"/>
          <w:sz w:val="21"/>
          <w:highlight w:val="none"/>
        </w:rPr>
        <w:t>有权直接从应付或拟付</w:t>
      </w:r>
      <w:r>
        <w:rPr>
          <w:rStyle w:val="24"/>
          <w:rFonts w:hint="eastAsia" w:ascii="Times New Roman" w:hAnsi="宋体" w:eastAsia="宋体" w:cs="宋体"/>
          <w:color w:val="auto"/>
          <w:kern w:val="0"/>
          <w:sz w:val="21"/>
          <w:highlight w:val="none"/>
          <w:lang w:eastAsia="zh-CN"/>
        </w:rPr>
        <w:t>承包人</w:t>
      </w:r>
      <w:r>
        <w:rPr>
          <w:rStyle w:val="24"/>
          <w:rFonts w:hint="eastAsia" w:ascii="Times New Roman" w:hAnsi="宋体" w:eastAsia="宋体" w:cs="宋体"/>
          <w:color w:val="auto"/>
          <w:kern w:val="0"/>
          <w:sz w:val="21"/>
          <w:highlight w:val="none"/>
        </w:rPr>
        <w:t>的任何款项中扣除。同时，</w:t>
      </w:r>
      <w:r>
        <w:rPr>
          <w:rStyle w:val="24"/>
          <w:rFonts w:hint="eastAsia" w:ascii="Times New Roman" w:hAnsi="宋体" w:eastAsia="宋体" w:cs="宋体"/>
          <w:color w:val="auto"/>
          <w:kern w:val="0"/>
          <w:sz w:val="21"/>
          <w:highlight w:val="none"/>
          <w:lang w:eastAsia="zh-CN"/>
        </w:rPr>
        <w:t>承包人</w:t>
      </w:r>
      <w:r>
        <w:rPr>
          <w:rStyle w:val="24"/>
          <w:rFonts w:hint="eastAsia" w:ascii="Times New Roman" w:hAnsi="宋体" w:eastAsia="宋体" w:cs="宋体"/>
          <w:color w:val="auto"/>
          <w:kern w:val="0"/>
          <w:sz w:val="21"/>
          <w:highlight w:val="none"/>
        </w:rPr>
        <w:t>应按专用条款的约定支付违约金及赔偿损失。</w:t>
      </w:r>
    </w:p>
    <w:p w14:paraId="1837D035">
      <w:pPr>
        <w:pStyle w:val="26"/>
        <w:spacing w:line="360" w:lineRule="auto"/>
        <w:ind w:firstLine="440" w:firstLineChars="200"/>
        <w:jc w:val="left"/>
        <w:rPr>
          <w:rStyle w:val="24"/>
          <w:rFonts w:hint="eastAsia" w:ascii="Times New Roman" w:hAnsi="宋体" w:eastAsia="宋体" w:cs="宋体"/>
          <w:color w:val="auto"/>
          <w:kern w:val="0"/>
          <w:sz w:val="21"/>
          <w:highlight w:val="none"/>
        </w:rPr>
      </w:pPr>
      <w:r>
        <w:rPr>
          <w:rStyle w:val="24"/>
          <w:rFonts w:hint="eastAsia" w:ascii="Times New Roman" w:hAnsi="宋体" w:eastAsia="宋体" w:cs="Times New Roman"/>
          <w:color w:val="auto"/>
          <w:kern w:val="0"/>
          <w:sz w:val="22"/>
          <w:highlight w:val="none"/>
          <w:lang w:eastAsia="zh-CN"/>
        </w:rPr>
        <w:t>（</w:t>
      </w:r>
      <w:r>
        <w:rPr>
          <w:rStyle w:val="24"/>
          <w:rFonts w:hint="eastAsia" w:ascii="Times New Roman" w:hAnsi="宋体" w:eastAsia="宋体" w:cs="Times New Roman"/>
          <w:color w:val="auto"/>
          <w:kern w:val="0"/>
          <w:sz w:val="22"/>
          <w:highlight w:val="none"/>
          <w:lang w:val="en-US" w:eastAsia="zh-CN"/>
        </w:rPr>
        <w:t>3</w:t>
      </w:r>
      <w:r>
        <w:rPr>
          <w:rStyle w:val="24"/>
          <w:rFonts w:hint="eastAsia" w:ascii="Times New Roman" w:hAnsi="宋体" w:eastAsia="宋体" w:cs="Times New Roman"/>
          <w:color w:val="auto"/>
          <w:kern w:val="0"/>
          <w:sz w:val="22"/>
          <w:highlight w:val="none"/>
          <w:lang w:eastAsia="zh-CN"/>
        </w:rPr>
        <w:t>）</w:t>
      </w:r>
      <w:r>
        <w:rPr>
          <w:rStyle w:val="24"/>
          <w:rFonts w:hint="eastAsia" w:ascii="Calibri" w:hAnsi="宋体" w:eastAsia="宋体" w:cs="宋体"/>
          <w:color w:val="auto"/>
          <w:kern w:val="0"/>
          <w:highlight w:val="none"/>
        </w:rPr>
        <w:t>承包人有本合同通用条款第</w:t>
      </w:r>
      <w:r>
        <w:rPr>
          <w:rStyle w:val="24"/>
          <w:rFonts w:ascii="Calibri" w:hAnsi="Calibri" w:eastAsia="宋体" w:cs="Times New Roman"/>
          <w:color w:val="auto"/>
          <w:kern w:val="0"/>
          <w:highlight w:val="none"/>
        </w:rPr>
        <w:t>16.2.1</w:t>
      </w:r>
      <w:r>
        <w:rPr>
          <w:rStyle w:val="24"/>
          <w:rFonts w:hint="eastAsia" w:ascii="Calibri" w:hAnsi="宋体" w:eastAsia="宋体" w:cs="宋体"/>
          <w:color w:val="auto"/>
          <w:kern w:val="0"/>
          <w:highlight w:val="none"/>
        </w:rPr>
        <w:t>（</w:t>
      </w:r>
      <w:r>
        <w:rPr>
          <w:rStyle w:val="24"/>
          <w:rFonts w:ascii="Calibri" w:hAnsi="Calibri" w:eastAsia="宋体" w:cs="Times New Roman"/>
          <w:color w:val="auto"/>
          <w:kern w:val="0"/>
          <w:highlight w:val="none"/>
        </w:rPr>
        <w:t>6</w:t>
      </w:r>
      <w:r>
        <w:rPr>
          <w:rStyle w:val="24"/>
          <w:rFonts w:hint="eastAsia" w:ascii="Calibri" w:hAnsi="宋体" w:eastAsia="宋体" w:cs="宋体"/>
          <w:color w:val="auto"/>
          <w:kern w:val="0"/>
          <w:highlight w:val="none"/>
        </w:rPr>
        <w:t>）条情形的，或经监理人检验认为修复质量不合格而承包人拒绝再进行修补的，发包人有权另行委托他人重建或修复，重建或修复费用由承包人承担，发包人有权直接从应付或拟付承包人的任何款项中</w:t>
      </w:r>
      <w:r>
        <w:rPr>
          <w:rStyle w:val="24"/>
          <w:rFonts w:hint="eastAsia" w:ascii="Times New Roman" w:hAnsi="宋体" w:eastAsia="宋体" w:cs="宋体"/>
          <w:color w:val="auto"/>
          <w:kern w:val="0"/>
          <w:highlight w:val="none"/>
        </w:rPr>
        <w:t>扣除</w:t>
      </w:r>
      <w:r>
        <w:rPr>
          <w:rStyle w:val="24"/>
          <w:rFonts w:hint="eastAsia" w:ascii="Times New Roman" w:hAnsi="宋体" w:eastAsia="宋体" w:cs="宋体"/>
          <w:color w:val="auto"/>
          <w:kern w:val="0"/>
          <w:highlight w:val="none"/>
          <w:lang w:eastAsia="zh-CN"/>
        </w:rPr>
        <w:t>，</w:t>
      </w:r>
      <w:r>
        <w:rPr>
          <w:rStyle w:val="24"/>
          <w:rFonts w:hint="eastAsia" w:ascii="Times New Roman" w:hAnsi="宋体" w:eastAsia="宋体" w:cs="宋体"/>
          <w:color w:val="auto"/>
          <w:kern w:val="0"/>
          <w:sz w:val="21"/>
          <w:highlight w:val="none"/>
        </w:rPr>
        <w:t>同时，</w:t>
      </w:r>
      <w:r>
        <w:rPr>
          <w:rStyle w:val="24"/>
          <w:rFonts w:hint="eastAsia" w:ascii="Times New Roman" w:hAnsi="宋体" w:eastAsia="宋体" w:cs="宋体"/>
          <w:color w:val="auto"/>
          <w:kern w:val="0"/>
          <w:sz w:val="21"/>
          <w:highlight w:val="none"/>
          <w:lang w:eastAsia="zh-CN"/>
        </w:rPr>
        <w:t>承包人</w:t>
      </w:r>
      <w:r>
        <w:rPr>
          <w:rStyle w:val="24"/>
          <w:rFonts w:hint="eastAsia" w:ascii="Times New Roman" w:hAnsi="宋体" w:eastAsia="宋体" w:cs="宋体"/>
          <w:color w:val="auto"/>
          <w:kern w:val="0"/>
          <w:sz w:val="21"/>
          <w:highlight w:val="none"/>
        </w:rPr>
        <w:t>应按专用条款的约定支付违约金及赔偿损失</w:t>
      </w:r>
      <w:r>
        <w:rPr>
          <w:rStyle w:val="24"/>
          <w:rFonts w:hint="eastAsia" w:ascii="Times New Roman" w:hAnsi="宋体" w:eastAsia="宋体" w:cs="宋体"/>
          <w:color w:val="auto"/>
          <w:kern w:val="0"/>
          <w:highlight w:val="none"/>
        </w:rPr>
        <w:t>。</w:t>
      </w:r>
    </w:p>
    <w:p w14:paraId="469CB5A6">
      <w:pPr>
        <w:pStyle w:val="26"/>
        <w:spacing w:line="360" w:lineRule="auto"/>
        <w:ind w:firstLine="420" w:firstLineChars="200"/>
        <w:jc w:val="left"/>
        <w:rPr>
          <w:rStyle w:val="24"/>
          <w:rFonts w:hint="default" w:ascii="Calibri" w:hAnsi="宋体" w:eastAsia="宋体" w:cs="宋体"/>
          <w:color w:val="auto"/>
          <w:kern w:val="0"/>
          <w:highlight w:val="none"/>
          <w:lang w:val="en-US" w:eastAsia="zh-CN"/>
        </w:rPr>
      </w:pPr>
      <w:r>
        <w:rPr>
          <w:rStyle w:val="24"/>
          <w:rFonts w:hint="eastAsia" w:ascii="Calibri" w:hAnsi="宋体" w:eastAsia="宋体" w:cs="宋体"/>
          <w:color w:val="auto"/>
          <w:kern w:val="0"/>
          <w:highlight w:val="none"/>
        </w:rPr>
        <w:t>（</w:t>
      </w:r>
      <w:r>
        <w:rPr>
          <w:rStyle w:val="24"/>
          <w:rFonts w:hint="eastAsia" w:ascii="Calibri" w:hAnsi="Calibri" w:eastAsia="宋体" w:cs="Times New Roman"/>
          <w:color w:val="auto"/>
          <w:kern w:val="0"/>
          <w:highlight w:val="none"/>
          <w:lang w:val="en-US" w:eastAsia="zh-CN"/>
        </w:rPr>
        <w:t>4</w:t>
      </w:r>
      <w:r>
        <w:rPr>
          <w:rStyle w:val="24"/>
          <w:rFonts w:hint="eastAsia" w:ascii="Calibri" w:hAnsi="宋体" w:eastAsia="宋体" w:cs="宋体"/>
          <w:color w:val="auto"/>
          <w:kern w:val="0"/>
          <w:highlight w:val="none"/>
        </w:rPr>
        <w:t>）</w:t>
      </w:r>
      <w:r>
        <w:rPr>
          <w:rStyle w:val="24"/>
          <w:rFonts w:hint="eastAsia" w:ascii="Calibri" w:hAnsi="宋体" w:eastAsia="宋体" w:cs="宋体"/>
          <w:color w:val="auto"/>
          <w:kern w:val="0"/>
          <w:highlight w:val="none"/>
          <w:lang w:val="en-US" w:eastAsia="zh-CN"/>
        </w:rPr>
        <w:t>承包人违约责任的承担方式</w:t>
      </w:r>
    </w:p>
    <w:p w14:paraId="7B529737">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1）</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未按本合同第 16.2.1 项中（3）、（4）、（5）、（8）条内容完成的，</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无条件返工处理，修复至工程质量要求并承担相关费用，并在</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规定的时间内完成返工，否则</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有权扣除该分项工程万分之二的工程款作为违约金。</w:t>
      </w:r>
    </w:p>
    <w:p w14:paraId="7CC2CB1E">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2）</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有本合同第 16.2.1（9）条情形的，或经监理人检验认为修复质量不合格而</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拒绝再进行修补的，</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将扣除</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相应质量保修金。</w:t>
      </w:r>
    </w:p>
    <w:p w14:paraId="44117BE7">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3）</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有本专用合同条款 （3）、（4）、（5）、（8）条违约责任的，</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有权扣除</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的违约金。违约金均在</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的履约保证金及计量支付款内扣除。监理人预先下发含有违约意向的指令，如</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不及时采取措施纠正，则在指令下达后十五天下发违约通知书（不再陈述违约理由）。</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履约保证金被扣除后由</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从最近一次计量支付时扣除相应金额补足履约保证金。</w:t>
      </w:r>
    </w:p>
    <w:p w14:paraId="6A5BE583">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4)</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有本专用合同条款 （3）、（4）、（5）、（8）条违约责任的，</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有权扣除</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的违约金。</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在合同期内，完成合同约定的全部工程，且质量合格，在本工程施工竣工验收后十五天内可申请返还一半违约金，返还金额由监理人审核，</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批准；其余违约金不得返还。违约金返还时不包括银行利息。</w:t>
      </w:r>
    </w:p>
    <w:p w14:paraId="691A6443">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w:t>
      </w:r>
      <w:r>
        <w:rPr>
          <w:rStyle w:val="24"/>
          <w:rFonts w:hint="eastAsia" w:ascii="Calibri" w:hAnsi="Calibri" w:eastAsia="宋体" w:cs="Times New Roman"/>
          <w:color w:val="auto"/>
          <w:kern w:val="0"/>
          <w:highlight w:val="none"/>
          <w:lang w:val="en-US" w:eastAsia="zh-CN"/>
        </w:rPr>
        <w:t>4</w:t>
      </w:r>
      <w:r>
        <w:rPr>
          <w:rStyle w:val="24"/>
          <w:rFonts w:hint="eastAsia" w:ascii="Calibri" w:hAnsi="宋体" w:eastAsia="宋体" w:cs="宋体"/>
          <w:color w:val="auto"/>
          <w:kern w:val="0"/>
          <w:highlight w:val="none"/>
        </w:rPr>
        <w:t>）</w:t>
      </w:r>
      <w:r>
        <w:rPr>
          <w:rStyle w:val="24"/>
          <w:rFonts w:hint="eastAsia" w:ascii="Calibri" w:hAnsi="宋体" w:eastAsia="宋体" w:cs="宋体"/>
          <w:color w:val="auto"/>
          <w:kern w:val="0"/>
          <w:highlight w:val="none"/>
          <w:lang w:val="en-US" w:eastAsia="zh-CN"/>
        </w:rPr>
        <w:t>承包人</w:t>
      </w:r>
      <w:r>
        <w:rPr>
          <w:rStyle w:val="24"/>
          <w:rFonts w:hint="eastAsia" w:ascii="Calibri" w:hAnsi="宋体" w:eastAsia="宋体" w:cs="宋体"/>
          <w:color w:val="auto"/>
          <w:kern w:val="0"/>
          <w:highlight w:val="none"/>
        </w:rPr>
        <w:t>违约金计算方法：</w:t>
      </w:r>
    </w:p>
    <w:p w14:paraId="2A541DE1">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1）</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违约金的支付情形及标准</w:t>
      </w:r>
    </w:p>
    <w:p w14:paraId="18325BC7">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应当支付违约金的情形包括但不限于：</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违反上述约定，将合同的全部或部分合同工作非法转包或违法分包给其他人，或私自将合同的全部或部分权利或义务转移给其他人，</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有权解除合同并有权要求</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支付转包或违法分包合同价款10%的违约金。</w:t>
      </w:r>
    </w:p>
    <w:p w14:paraId="77C36E6A">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违反上述约定使用了不合格的材料或工程设备又拒绝清除不合格的材料或工程设备，或因使用了不合格的材料或工程设备导致工程质量达不到标准要求又拒绝清除或修复不合格工程，每发生一次，</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应向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支付单项工程</w:t>
      </w:r>
      <w:r>
        <w:rPr>
          <w:rStyle w:val="24"/>
          <w:rFonts w:hint="eastAsia" w:hAnsi="宋体" w:eastAsia="宋体" w:cs="宋体"/>
          <w:color w:val="auto"/>
          <w:kern w:val="0"/>
          <w:highlight w:val="none"/>
          <w:lang w:val="en-US" w:eastAsia="zh-CN"/>
        </w:rPr>
        <w:t>5</w:t>
      </w:r>
      <w:r>
        <w:rPr>
          <w:rStyle w:val="24"/>
          <w:rFonts w:hint="eastAsia" w:ascii="Calibri" w:hAnsi="宋体" w:eastAsia="宋体" w:cs="宋体"/>
          <w:color w:val="auto"/>
          <w:kern w:val="0"/>
          <w:highlight w:val="none"/>
        </w:rPr>
        <w:t>%的违约金。</w:t>
      </w:r>
    </w:p>
    <w:p w14:paraId="16AA740D">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将工程预付款、进度款以及</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支付用于本项目的其他费用挪作他用，每发现一次，</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应当向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支付该款项10%的违约金。</w:t>
      </w:r>
    </w:p>
    <w:p w14:paraId="0150F558">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违反上述约定，未经监理人批准，私自将已进入施工场地的施工设备、临时设施或材料设备撤离施工场地或将材料设备用于其它工程项目的，每发现一次，</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有权要求</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支付该施工设备、临时设施或材料设备原价</w:t>
      </w:r>
      <w:r>
        <w:rPr>
          <w:rStyle w:val="24"/>
          <w:rFonts w:hint="eastAsia" w:hAnsi="宋体" w:eastAsia="宋体" w:cs="宋体"/>
          <w:color w:val="auto"/>
          <w:kern w:val="0"/>
          <w:highlight w:val="none"/>
          <w:lang w:val="en-US" w:eastAsia="zh-CN"/>
        </w:rPr>
        <w:t>5</w:t>
      </w:r>
      <w:r>
        <w:rPr>
          <w:rStyle w:val="24"/>
          <w:rFonts w:hint="eastAsia" w:ascii="Calibri" w:hAnsi="宋体" w:eastAsia="宋体" w:cs="宋体"/>
          <w:color w:val="auto"/>
          <w:kern w:val="0"/>
          <w:highlight w:val="none"/>
        </w:rPr>
        <w:t>%的违约金。</w:t>
      </w:r>
    </w:p>
    <w:p w14:paraId="42B0CDED">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如合同工程第一次验收不合格，</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应将不符合质量标准的部分进行整改直至符合标准，费用由</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承担。如第二次仍验收不合格的，</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还应再次向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支付数额不低于签约合同价</w:t>
      </w:r>
      <w:r>
        <w:rPr>
          <w:rStyle w:val="24"/>
          <w:rFonts w:hint="eastAsia" w:hAnsi="宋体" w:eastAsia="宋体" w:cs="宋体"/>
          <w:color w:val="auto"/>
          <w:kern w:val="0"/>
          <w:highlight w:val="none"/>
          <w:lang w:val="en-US" w:eastAsia="zh-CN"/>
        </w:rPr>
        <w:t>5</w:t>
      </w:r>
      <w:r>
        <w:rPr>
          <w:rStyle w:val="24"/>
          <w:rFonts w:hint="eastAsia" w:ascii="Calibri" w:hAnsi="宋体" w:eastAsia="宋体" w:cs="宋体"/>
          <w:color w:val="auto"/>
          <w:kern w:val="0"/>
          <w:highlight w:val="none"/>
        </w:rPr>
        <w:t>%的违约金，该约定的违约金不能弥补实际损失的，</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应补充赔偿不足部分。</w:t>
      </w:r>
    </w:p>
    <w:p w14:paraId="56C96D0B">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若</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或监理人发现未经验收或验收不合格，</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擅自进行隐蔽工程覆盖或其他工程下一道工序的施工，或验收合格后到隐蔽施工前对通过隐蔽验收的合格部分有任何改动，</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必须拆除重建，因此支出的费用及造成的工期延误责任均由</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承担。</w:t>
      </w:r>
    </w:p>
    <w:p w14:paraId="18ADF974">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在缺陷责任期内，未能对缺陷责任期内发生的缺陷进行修复而又拒绝按</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或监理人指示再进行修补或同一部位出现二次以上维修的，每发生一次，</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应向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支付签约合同价</w:t>
      </w:r>
      <w:r>
        <w:rPr>
          <w:rStyle w:val="24"/>
          <w:rFonts w:hint="eastAsia" w:hAnsi="宋体" w:eastAsia="宋体" w:cs="宋体"/>
          <w:color w:val="auto"/>
          <w:kern w:val="0"/>
          <w:highlight w:val="none"/>
          <w:lang w:val="en-US" w:eastAsia="zh-CN"/>
        </w:rPr>
        <w:t>2</w:t>
      </w:r>
      <w:r>
        <w:rPr>
          <w:rStyle w:val="24"/>
          <w:rFonts w:hint="eastAsia" w:ascii="Calibri" w:hAnsi="宋体" w:eastAsia="宋体" w:cs="宋体"/>
          <w:color w:val="auto"/>
          <w:kern w:val="0"/>
          <w:highlight w:val="none"/>
        </w:rPr>
        <w:t>%的违约金。</w:t>
      </w:r>
    </w:p>
    <w:p w14:paraId="7E17BB2A">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的项目经理及技术负责人签署的文件和资料不得代签，一经发现，监理人和</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有权拒收并视为</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违约，</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每次向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 xml:space="preserve">支付违约金 </w:t>
      </w:r>
      <w:r>
        <w:rPr>
          <w:rStyle w:val="24"/>
          <w:rFonts w:hint="eastAsia" w:hAnsi="宋体" w:cs="宋体"/>
          <w:color w:val="auto"/>
          <w:kern w:val="0"/>
          <w:highlight w:val="none"/>
          <w:lang w:val="en-US" w:eastAsia="zh-CN"/>
        </w:rPr>
        <w:t>2000</w:t>
      </w:r>
      <w:r>
        <w:rPr>
          <w:rStyle w:val="24"/>
          <w:rFonts w:hint="eastAsia" w:ascii="Calibri" w:hAnsi="宋体" w:eastAsia="宋体" w:cs="宋体"/>
          <w:color w:val="auto"/>
          <w:kern w:val="0"/>
          <w:highlight w:val="none"/>
        </w:rPr>
        <w:t>元。</w:t>
      </w:r>
    </w:p>
    <w:p w14:paraId="724B2C2D">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不履行或不全面履行总承包管理与配合服务的责任和义务，或监理人接到各分包工程</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对</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管理配合服务不到位的投诉，经监理人和</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确认，</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有权暂扣施工总承包服务费直至监理人和</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满意。</w:t>
      </w:r>
    </w:p>
    <w:p w14:paraId="6DFF58FD">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未按照法律法规、政府要求、</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要求、</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的施工组织设计采取安全文明施工措施的，应负责整改，并且每发现一次，应向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 xml:space="preserve">支付违约金 </w:t>
      </w:r>
      <w:r>
        <w:rPr>
          <w:rStyle w:val="24"/>
          <w:rFonts w:hint="eastAsia" w:hAnsi="宋体" w:cs="宋体"/>
          <w:color w:val="auto"/>
          <w:kern w:val="0"/>
          <w:highlight w:val="none"/>
          <w:lang w:val="en-US" w:eastAsia="zh-CN"/>
        </w:rPr>
        <w:t>2</w:t>
      </w:r>
      <w:r>
        <w:rPr>
          <w:rStyle w:val="24"/>
          <w:rFonts w:hint="eastAsia" w:ascii="Calibri" w:hAnsi="宋体" w:eastAsia="宋体" w:cs="宋体"/>
          <w:color w:val="auto"/>
          <w:kern w:val="0"/>
          <w:highlight w:val="none"/>
          <w:lang w:eastAsia="zh-CN"/>
        </w:rPr>
        <w:t>0</w:t>
      </w:r>
      <w:r>
        <w:rPr>
          <w:rStyle w:val="24"/>
          <w:rFonts w:hint="eastAsia" w:ascii="Calibri" w:hAnsi="宋体" w:eastAsia="宋体" w:cs="宋体"/>
          <w:color w:val="auto"/>
          <w:kern w:val="0"/>
          <w:highlight w:val="none"/>
          <w:lang w:val="en-US" w:eastAsia="zh-CN"/>
        </w:rPr>
        <w:t>00</w:t>
      </w:r>
      <w:r>
        <w:rPr>
          <w:rStyle w:val="24"/>
          <w:rFonts w:hint="eastAsia" w:ascii="Calibri" w:hAnsi="宋体" w:eastAsia="宋体" w:cs="宋体"/>
          <w:color w:val="auto"/>
          <w:kern w:val="0"/>
          <w:highlight w:val="none"/>
        </w:rPr>
        <w:t>元。</w:t>
      </w:r>
    </w:p>
    <w:p w14:paraId="6DA4F7B1">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未经</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许可，各类挖掘机、汽车、搅拌站、砼输送泵等主要施工设备未按时进场，或</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未按监理人或</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书面要求的时间增加或更换施工设备，则每台机械每延误一天，</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应向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 xml:space="preserve">支付违约金 </w:t>
      </w:r>
      <w:r>
        <w:rPr>
          <w:rStyle w:val="24"/>
          <w:rFonts w:hint="eastAsia" w:hAnsi="宋体" w:cs="宋体"/>
          <w:color w:val="auto"/>
          <w:kern w:val="0"/>
          <w:highlight w:val="none"/>
          <w:lang w:val="en-US" w:eastAsia="zh-CN"/>
        </w:rPr>
        <w:t>1</w:t>
      </w:r>
      <w:r>
        <w:rPr>
          <w:rStyle w:val="24"/>
          <w:rFonts w:hint="eastAsia" w:ascii="Calibri" w:hAnsi="宋体" w:eastAsia="宋体" w:cs="宋体"/>
          <w:color w:val="auto"/>
          <w:kern w:val="0"/>
          <w:highlight w:val="none"/>
          <w:lang w:eastAsia="zh-CN"/>
        </w:rPr>
        <w:t>0</w:t>
      </w:r>
      <w:r>
        <w:rPr>
          <w:rStyle w:val="24"/>
          <w:rFonts w:hint="eastAsia" w:ascii="Calibri" w:hAnsi="宋体" w:eastAsia="宋体" w:cs="宋体"/>
          <w:color w:val="auto"/>
          <w:kern w:val="0"/>
          <w:highlight w:val="none"/>
          <w:lang w:val="en-US" w:eastAsia="zh-CN"/>
        </w:rPr>
        <w:t>00</w:t>
      </w:r>
      <w:r>
        <w:rPr>
          <w:rStyle w:val="24"/>
          <w:rFonts w:hint="eastAsia" w:ascii="Calibri" w:hAnsi="宋体" w:eastAsia="宋体" w:cs="宋体"/>
          <w:color w:val="auto"/>
          <w:kern w:val="0"/>
          <w:highlight w:val="none"/>
        </w:rPr>
        <w:t>元。</w:t>
      </w:r>
    </w:p>
    <w:p w14:paraId="7D7472CE">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2）</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违反合同的违约金：</w:t>
      </w:r>
    </w:p>
    <w:p w14:paraId="1C9985A8">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① 被当地政府部门勒令停工整顿的，以实际停工的天数，每天</w:t>
      </w:r>
      <w:r>
        <w:rPr>
          <w:rStyle w:val="24"/>
          <w:rFonts w:hint="eastAsia" w:hAnsi="宋体" w:cs="宋体"/>
          <w:color w:val="auto"/>
          <w:kern w:val="0"/>
          <w:highlight w:val="none"/>
          <w:lang w:val="en-US" w:eastAsia="zh-CN"/>
        </w:rPr>
        <w:t>千</w:t>
      </w:r>
      <w:r>
        <w:rPr>
          <w:rStyle w:val="24"/>
          <w:rFonts w:hint="eastAsia" w:ascii="Calibri" w:hAnsi="宋体" w:eastAsia="宋体" w:cs="宋体"/>
          <w:color w:val="auto"/>
          <w:kern w:val="0"/>
          <w:highlight w:val="none"/>
        </w:rPr>
        <w:t>分之一的标准向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支付违约金；</w:t>
      </w:r>
    </w:p>
    <w:p w14:paraId="4D1282EE">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②被新闻媒体曝光给工程或</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 xml:space="preserve">带来负面影响、经济损失的，每被曝光一次扣除违约金 </w:t>
      </w:r>
      <w:r>
        <w:rPr>
          <w:rStyle w:val="24"/>
          <w:rFonts w:hint="eastAsia" w:hAnsi="宋体" w:cs="宋体"/>
          <w:color w:val="auto"/>
          <w:kern w:val="0"/>
          <w:highlight w:val="none"/>
          <w:lang w:val="en-US" w:eastAsia="zh-CN"/>
        </w:rPr>
        <w:t>1</w:t>
      </w:r>
      <w:r>
        <w:rPr>
          <w:rStyle w:val="24"/>
          <w:rFonts w:hint="eastAsia" w:ascii="Calibri" w:hAnsi="宋体" w:eastAsia="宋体" w:cs="宋体"/>
          <w:color w:val="auto"/>
          <w:kern w:val="0"/>
          <w:highlight w:val="none"/>
        </w:rPr>
        <w:t xml:space="preserve"> 万元；</w:t>
      </w:r>
    </w:p>
    <w:p w14:paraId="29709549">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③</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及其分包人的行为，根据现场例会确定或现场管理规定检查，应当接受违约的，相应的金额即为违约金。</w:t>
      </w:r>
    </w:p>
    <w:p w14:paraId="22F56AE0">
      <w:pPr>
        <w:pStyle w:val="26"/>
        <w:spacing w:line="360" w:lineRule="auto"/>
        <w:ind w:firstLine="420" w:firstLineChars="200"/>
        <w:jc w:val="left"/>
        <w:rPr>
          <w:rStyle w:val="24"/>
          <w:rFonts w:hint="eastAsia" w:ascii="Calibri" w:hAnsi="宋体" w:eastAsia="宋体" w:cs="宋体"/>
          <w:color w:val="auto"/>
          <w:kern w:val="0"/>
          <w:highlight w:val="none"/>
        </w:rPr>
      </w:pPr>
      <w:r>
        <w:rPr>
          <w:rStyle w:val="24"/>
          <w:rFonts w:hint="eastAsia" w:ascii="Calibri" w:hAnsi="宋体" w:eastAsia="宋体" w:cs="宋体"/>
          <w:color w:val="auto"/>
          <w:kern w:val="0"/>
          <w:highlight w:val="none"/>
        </w:rPr>
        <w:t>未按期提交竣工结算报告文件和相应的支持文件结算，每逾期一天，应按照签约合同价的</w:t>
      </w:r>
      <w:r>
        <w:rPr>
          <w:rStyle w:val="24"/>
          <w:rFonts w:hint="eastAsia" w:hAnsi="宋体" w:cs="宋体"/>
          <w:color w:val="auto"/>
          <w:kern w:val="0"/>
          <w:highlight w:val="none"/>
          <w:lang w:val="en-US" w:eastAsia="zh-CN"/>
        </w:rPr>
        <w:t>千</w:t>
      </w:r>
      <w:r>
        <w:rPr>
          <w:rStyle w:val="24"/>
          <w:rFonts w:hint="eastAsia" w:ascii="Calibri" w:hAnsi="宋体" w:eastAsia="宋体" w:cs="宋体"/>
          <w:color w:val="auto"/>
          <w:kern w:val="0"/>
          <w:highlight w:val="none"/>
        </w:rPr>
        <w:t>分之一向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支付违约金。</w:t>
      </w:r>
    </w:p>
    <w:p w14:paraId="239EC5FB">
      <w:pPr>
        <w:pStyle w:val="26"/>
        <w:spacing w:line="360" w:lineRule="auto"/>
        <w:ind w:firstLine="420" w:firstLineChars="200"/>
        <w:jc w:val="left"/>
        <w:rPr>
          <w:rFonts w:hint="eastAsia" w:ascii="宋体" w:hAnsi="宋体" w:eastAsia="宋体" w:cs="宋体"/>
          <w:color w:val="000000"/>
          <w:sz w:val="21"/>
          <w:szCs w:val="21"/>
          <w:highlight w:val="none"/>
        </w:rPr>
      </w:pP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未按约定的时间进行竣工清场或</w:t>
      </w:r>
      <w:r>
        <w:rPr>
          <w:rStyle w:val="24"/>
          <w:rFonts w:hint="eastAsia" w:ascii="Calibri" w:hAnsi="宋体" w:eastAsia="宋体" w:cs="宋体"/>
          <w:color w:val="auto"/>
          <w:kern w:val="0"/>
          <w:highlight w:val="none"/>
          <w:lang w:eastAsia="zh-CN"/>
        </w:rPr>
        <w:t>承包人</w:t>
      </w:r>
      <w:r>
        <w:rPr>
          <w:rStyle w:val="24"/>
          <w:rFonts w:hint="eastAsia" w:ascii="Calibri" w:hAnsi="宋体" w:eastAsia="宋体" w:cs="宋体"/>
          <w:color w:val="auto"/>
          <w:kern w:val="0"/>
          <w:highlight w:val="none"/>
        </w:rPr>
        <w:t>未按约定的时间将工程或资料移交给</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，每逾期一天，应按照签约合同价的</w:t>
      </w:r>
      <w:r>
        <w:rPr>
          <w:rStyle w:val="24"/>
          <w:rFonts w:hint="eastAsia" w:hAnsi="宋体" w:cs="宋体"/>
          <w:color w:val="auto"/>
          <w:kern w:val="0"/>
          <w:highlight w:val="none"/>
          <w:lang w:val="en-US" w:eastAsia="zh-CN"/>
        </w:rPr>
        <w:t>千</w:t>
      </w:r>
      <w:r>
        <w:rPr>
          <w:rStyle w:val="24"/>
          <w:rFonts w:hint="eastAsia" w:ascii="Calibri" w:hAnsi="宋体" w:eastAsia="宋体" w:cs="宋体"/>
          <w:color w:val="auto"/>
          <w:kern w:val="0"/>
          <w:highlight w:val="none"/>
        </w:rPr>
        <w:t>分之一向</w:t>
      </w:r>
      <w:r>
        <w:rPr>
          <w:rStyle w:val="24"/>
          <w:rFonts w:hint="eastAsia" w:ascii="Calibri" w:hAnsi="宋体" w:eastAsia="宋体" w:cs="宋体"/>
          <w:color w:val="auto"/>
          <w:kern w:val="0"/>
          <w:highlight w:val="none"/>
          <w:lang w:eastAsia="zh-CN"/>
        </w:rPr>
        <w:t>发包人</w:t>
      </w:r>
      <w:r>
        <w:rPr>
          <w:rStyle w:val="24"/>
          <w:rFonts w:hint="eastAsia" w:ascii="Calibri" w:hAnsi="宋体" w:eastAsia="宋体" w:cs="宋体"/>
          <w:color w:val="auto"/>
          <w:kern w:val="0"/>
          <w:highlight w:val="none"/>
        </w:rPr>
        <w:t>支付违约金。</w:t>
      </w:r>
    </w:p>
    <w:p w14:paraId="0B37A6F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16.2.3 因承包人违约解除合同</w:t>
      </w:r>
    </w:p>
    <w:p w14:paraId="6CC250C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关于承包人违约解除合同的特别约定：</w:t>
      </w:r>
      <w:r>
        <w:rPr>
          <w:rFonts w:hint="eastAsia" w:ascii="宋体" w:hAnsi="宋体" w:eastAsia="宋体" w:cs="宋体"/>
          <w:color w:val="000000"/>
          <w:sz w:val="21"/>
          <w:szCs w:val="21"/>
          <w:highlight w:val="none"/>
          <w:u w:val="single"/>
        </w:rPr>
        <w:t>承包人有违反以下情况之一的，发包人有权解除合同</w:t>
      </w:r>
      <w:r>
        <w:rPr>
          <w:rFonts w:hint="eastAsia" w:ascii="宋体" w:hAnsi="宋体" w:eastAsia="宋体" w:cs="宋体"/>
          <w:color w:val="000000"/>
          <w:sz w:val="21"/>
          <w:szCs w:val="21"/>
          <w:highlight w:val="none"/>
        </w:rPr>
        <w:t>。</w:t>
      </w:r>
    </w:p>
    <w:p w14:paraId="29FB101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(1)承包人无正当理由不按开工通知的要求及时进场组织施工和不按签订协议书时商定的进度计划有效地开展施工准备，造成工期延误的；</w:t>
      </w:r>
    </w:p>
    <w:p w14:paraId="2C867E47">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(2)承包人违反本合同通用条款第3.5条规定私自将合同或合同的任何部分或任何权利转让给其他人，或私自将工程或工程的一部分分包出去的；</w:t>
      </w:r>
    </w:p>
    <w:p w14:paraId="59723709">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(3)未经监理人批准，承包人私自将已按投标文件承诺进入工地的工程设备、施工设备、临时工程或材料撤离工地的；</w:t>
      </w:r>
    </w:p>
    <w:p w14:paraId="17DE8CAD">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(4)由于承包人原因拒绝按合同进度计划及时完成合同规定的工程，而又未采取有效措施赶上进度，造成工期严重延误的；</w:t>
      </w:r>
    </w:p>
    <w:p w14:paraId="4D224373">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(5)承包人否认合同有效或拒绝履行合同规定的承包人义务，或由于法律、财务等原因导致承包人无法继续履行或实质上已停止履行合同的义务的；</w:t>
      </w:r>
    </w:p>
    <w:p w14:paraId="2AA27880">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 合同签订且具备法定开工条件后之日起十五日内，承包人无法按合同规定及投标文件的承诺进场经监理工程师认可的该施工阶段应有的全部人员和机械的。</w:t>
      </w:r>
    </w:p>
    <w:p w14:paraId="24EBF187">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不承担费用</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00DA4B3B">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15" w:name="_Toc389065334"/>
      <w:bookmarkStart w:id="916" w:name="_Toc351203649"/>
      <w:bookmarkStart w:id="917" w:name="_Toc373478416"/>
      <w:bookmarkStart w:id="918" w:name="_Toc28282"/>
      <w:bookmarkStart w:id="919" w:name="_Toc373227769"/>
      <w:r>
        <w:rPr>
          <w:rFonts w:hint="eastAsia" w:ascii="宋体" w:hAnsi="宋体" w:eastAsia="宋体" w:cs="宋体"/>
          <w:color w:val="000000"/>
          <w:sz w:val="21"/>
          <w:szCs w:val="21"/>
          <w:highlight w:val="none"/>
        </w:rPr>
        <w:t>17. 不可抗力</w:t>
      </w:r>
      <w:bookmarkEnd w:id="915"/>
      <w:bookmarkEnd w:id="916"/>
      <w:bookmarkEnd w:id="917"/>
      <w:bookmarkEnd w:id="918"/>
      <w:bookmarkEnd w:id="919"/>
      <w:r>
        <w:rPr>
          <w:rFonts w:hint="eastAsia" w:ascii="宋体" w:hAnsi="宋体" w:eastAsia="宋体" w:cs="宋体"/>
          <w:color w:val="000000"/>
          <w:sz w:val="21"/>
          <w:szCs w:val="21"/>
          <w:highlight w:val="none"/>
        </w:rPr>
        <w:t xml:space="preserve"> </w:t>
      </w:r>
      <w:bookmarkEnd w:id="905"/>
    </w:p>
    <w:p w14:paraId="1F19162F">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20" w:name="_Toc373478417"/>
      <w:bookmarkStart w:id="921" w:name="_Toc373227770"/>
      <w:bookmarkStart w:id="922" w:name="_Toc389065335"/>
      <w:bookmarkStart w:id="923" w:name="_Toc20751"/>
      <w:r>
        <w:rPr>
          <w:rFonts w:hint="eastAsia" w:ascii="宋体" w:hAnsi="宋体" w:eastAsia="宋体" w:cs="宋体"/>
          <w:color w:val="000000"/>
          <w:sz w:val="21"/>
          <w:szCs w:val="21"/>
          <w:highlight w:val="none"/>
        </w:rPr>
        <w:t>17.1 不可抗力的确认</w:t>
      </w:r>
      <w:bookmarkEnd w:id="920"/>
      <w:bookmarkEnd w:id="921"/>
      <w:bookmarkEnd w:id="922"/>
      <w:bookmarkEnd w:id="923"/>
    </w:p>
    <w:p w14:paraId="7E326A4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除通用合同条款约定的不可抗力事件之外，视为不可抗力的其他情形：</w:t>
      </w:r>
      <w:r>
        <w:rPr>
          <w:rFonts w:hint="eastAsia" w:ascii="宋体" w:hAnsi="宋体" w:eastAsia="宋体" w:cs="宋体"/>
          <w:color w:val="000000"/>
          <w:sz w:val="21"/>
          <w:szCs w:val="21"/>
          <w:highlight w:val="none"/>
          <w:u w:val="single"/>
        </w:rPr>
        <w:t xml:space="preserve"> 因政府或相关主管部门要求导致项目中断施工</w:t>
      </w:r>
      <w:r>
        <w:rPr>
          <w:rFonts w:hint="eastAsia" w:ascii="宋体" w:hAnsi="宋体" w:eastAsia="宋体" w:cs="宋体"/>
          <w:color w:val="000000"/>
          <w:sz w:val="21"/>
          <w:szCs w:val="21"/>
          <w:highlight w:val="none"/>
          <w:u w:val="single"/>
          <w:lang w:eastAsia="zh-CN"/>
        </w:rPr>
        <w:t>，</w:t>
      </w:r>
      <w:r>
        <w:rPr>
          <w:rStyle w:val="24"/>
          <w:rFonts w:ascii="Calibri" w:hAnsi="Calibri" w:eastAsia="宋体" w:cs="Times New Roman"/>
          <w:color w:val="auto"/>
          <w:kern w:val="0"/>
          <w:highlight w:val="none"/>
          <w:u w:val="single"/>
        </w:rPr>
        <w:t>但由于承包人的雇员原因引起的骚乱及其他灾难性事件不属于不可抗力</w:t>
      </w:r>
      <w:r>
        <w:rPr>
          <w:rStyle w:val="24"/>
          <w:rFonts w:hint="eastAsia" w:ascii="Calibri" w:hAnsi="Calibri" w:eastAsia="宋体" w:cs="Times New Roman"/>
          <w:color w:val="auto"/>
          <w:kern w:val="0"/>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71A58148">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24" w:name="_Toc31960"/>
      <w:bookmarkStart w:id="925" w:name="_Toc373478418"/>
      <w:bookmarkStart w:id="926" w:name="_Toc389065336"/>
      <w:bookmarkStart w:id="927" w:name="_Toc373227771"/>
      <w:r>
        <w:rPr>
          <w:rFonts w:hint="eastAsia" w:ascii="宋体" w:hAnsi="宋体" w:eastAsia="宋体" w:cs="宋体"/>
          <w:color w:val="000000"/>
          <w:sz w:val="21"/>
          <w:szCs w:val="21"/>
          <w:highlight w:val="none"/>
        </w:rPr>
        <w:t>17.4 因不可抗力解除合同</w:t>
      </w:r>
      <w:bookmarkEnd w:id="924"/>
      <w:bookmarkEnd w:id="925"/>
      <w:bookmarkEnd w:id="926"/>
      <w:bookmarkEnd w:id="927"/>
    </w:p>
    <w:p w14:paraId="42AD4E44">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合同解除后，发包人应在商定或确定发包人应支付款项后</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28</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天内完成款项的支付。</w:t>
      </w:r>
    </w:p>
    <w:p w14:paraId="2BC2C731">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28" w:name="_Toc351203650"/>
      <w:bookmarkStart w:id="929" w:name="_Toc389065337"/>
      <w:bookmarkStart w:id="930" w:name="_Toc373227772"/>
      <w:bookmarkStart w:id="931" w:name="_Toc373478419"/>
      <w:bookmarkStart w:id="932" w:name="_Toc3919"/>
      <w:r>
        <w:rPr>
          <w:rFonts w:hint="eastAsia" w:ascii="宋体" w:hAnsi="宋体" w:eastAsia="宋体" w:cs="宋体"/>
          <w:color w:val="000000"/>
          <w:sz w:val="21"/>
          <w:szCs w:val="21"/>
          <w:highlight w:val="none"/>
        </w:rPr>
        <w:t>18. 保险</w:t>
      </w:r>
      <w:bookmarkEnd w:id="928"/>
      <w:bookmarkEnd w:id="929"/>
      <w:bookmarkEnd w:id="930"/>
      <w:bookmarkEnd w:id="931"/>
      <w:bookmarkEnd w:id="932"/>
    </w:p>
    <w:bookmarkEnd w:id="906"/>
    <w:p w14:paraId="010C27C0">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33" w:name="_Toc389065338"/>
      <w:bookmarkStart w:id="934" w:name="_Toc373478420"/>
      <w:bookmarkStart w:id="935" w:name="_Toc9503"/>
      <w:bookmarkStart w:id="936" w:name="_Toc373227773"/>
      <w:r>
        <w:rPr>
          <w:rFonts w:hint="eastAsia" w:ascii="宋体" w:hAnsi="宋体" w:eastAsia="宋体" w:cs="宋体"/>
          <w:color w:val="000000"/>
          <w:sz w:val="21"/>
          <w:szCs w:val="21"/>
          <w:highlight w:val="none"/>
        </w:rPr>
        <w:t>18.1 工程保险</w:t>
      </w:r>
      <w:bookmarkEnd w:id="933"/>
      <w:bookmarkEnd w:id="934"/>
      <w:bookmarkEnd w:id="935"/>
      <w:bookmarkEnd w:id="936"/>
    </w:p>
    <w:p w14:paraId="3FC42BA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关于工程保险的特别约定：</w:t>
      </w:r>
      <w:r>
        <w:rPr>
          <w:rStyle w:val="24"/>
          <w:rFonts w:ascii="宋体" w:hAnsi="宋体" w:eastAsia="宋体" w:cs="宋体"/>
          <w:color w:val="auto"/>
          <w:spacing w:val="5"/>
          <w:sz w:val="21"/>
          <w:szCs w:val="21"/>
          <w:highlight w:val="none"/>
          <w:u w:val="single" w:color="auto"/>
        </w:rPr>
        <w:t>本项目工程一切险(或安装工程一切险)和第三者责任险由</w:t>
      </w:r>
      <w:r>
        <w:rPr>
          <w:rStyle w:val="24"/>
          <w:rFonts w:ascii="宋体" w:hAnsi="宋体" w:eastAsia="宋体" w:cs="宋体"/>
          <w:color w:val="auto"/>
          <w:spacing w:val="1"/>
          <w:sz w:val="21"/>
          <w:szCs w:val="21"/>
          <w:highlight w:val="none"/>
          <w:u w:val="single" w:color="auto"/>
        </w:rPr>
        <w:t>承包人投保，</w:t>
      </w:r>
      <w:r>
        <w:rPr>
          <w:rStyle w:val="24"/>
          <w:rFonts w:ascii="宋体" w:hAnsi="宋体" w:eastAsia="宋体" w:cs="宋体"/>
          <w:color w:val="auto"/>
          <w:sz w:val="21"/>
          <w:szCs w:val="21"/>
          <w:highlight w:val="none"/>
          <w:u w:val="single" w:color="auto"/>
        </w:rPr>
        <w:t>投保产生的相关费用</w:t>
      </w:r>
      <w:r>
        <w:rPr>
          <w:rStyle w:val="24"/>
          <w:rFonts w:ascii="宋体" w:hAnsi="宋体" w:eastAsia="宋体" w:cs="宋体"/>
          <w:color w:val="auto"/>
          <w:spacing w:val="1"/>
          <w:sz w:val="21"/>
          <w:szCs w:val="21"/>
          <w:highlight w:val="none"/>
          <w:u w:val="single" w:color="auto"/>
        </w:rPr>
        <w:t>由承包人在措施费中考虑，由于承包人</w:t>
      </w:r>
      <w:r>
        <w:rPr>
          <w:rStyle w:val="24"/>
          <w:rFonts w:ascii="宋体" w:hAnsi="宋体" w:eastAsia="宋体" w:cs="宋体"/>
          <w:color w:val="auto"/>
          <w:sz w:val="21"/>
          <w:szCs w:val="21"/>
          <w:highlight w:val="none"/>
          <w:u w:val="single" w:color="auto"/>
        </w:rPr>
        <w:t>预估费用低于实际费用，不足部</w:t>
      </w:r>
      <w:r>
        <w:rPr>
          <w:rFonts w:hint="eastAsia" w:ascii="宋体" w:hAnsi="宋体" w:eastAsia="宋体" w:cs="宋体"/>
          <w:color w:val="000000"/>
          <w:sz w:val="21"/>
          <w:szCs w:val="21"/>
          <w:highlight w:val="none"/>
          <w:u w:val="single"/>
        </w:rPr>
        <w:t>分由承包人补齐</w:t>
      </w:r>
      <w:r>
        <w:rPr>
          <w:rFonts w:hint="eastAsia" w:ascii="宋体" w:hAnsi="宋体" w:eastAsia="宋体" w:cs="宋体"/>
          <w:color w:val="000000"/>
          <w:sz w:val="21"/>
          <w:szCs w:val="21"/>
          <w:highlight w:val="none"/>
        </w:rPr>
        <w:t>。</w:t>
      </w:r>
    </w:p>
    <w:p w14:paraId="5994B10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37" w:name="_Toc4100"/>
      <w:bookmarkStart w:id="938" w:name="_Toc373478421"/>
      <w:bookmarkStart w:id="939" w:name="_Toc373227774"/>
      <w:bookmarkStart w:id="940" w:name="_Toc389065339"/>
      <w:r>
        <w:rPr>
          <w:rFonts w:hint="eastAsia" w:ascii="宋体" w:hAnsi="宋体" w:eastAsia="宋体" w:cs="宋体"/>
          <w:color w:val="000000"/>
          <w:sz w:val="21"/>
          <w:szCs w:val="21"/>
          <w:highlight w:val="none"/>
        </w:rPr>
        <w:t>18.3 其他保险</w:t>
      </w:r>
      <w:bookmarkEnd w:id="937"/>
      <w:bookmarkEnd w:id="938"/>
      <w:bookmarkEnd w:id="939"/>
      <w:bookmarkEnd w:id="940"/>
    </w:p>
    <w:p w14:paraId="7EDE55E7">
      <w:pPr>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关于其他保险的约定：</w:t>
      </w:r>
      <w:r>
        <w:rPr>
          <w:rFonts w:hint="eastAsia" w:ascii="宋体" w:hAnsi="宋体" w:eastAsia="宋体" w:cs="宋体"/>
          <w:bCs/>
          <w:color w:val="000000"/>
          <w:sz w:val="21"/>
          <w:szCs w:val="21"/>
          <w:highlight w:val="none"/>
          <w:u w:val="single"/>
        </w:rPr>
        <w:t xml:space="preserve">   承包人必须为施工现场从事施工的自有作业人员和管理人员办理意外伤害保险，并支付保险费，费用已包含在综合单价中不再另计计价     </w:t>
      </w:r>
      <w:r>
        <w:rPr>
          <w:rFonts w:hint="eastAsia" w:ascii="宋体" w:hAnsi="宋体" w:eastAsia="宋体" w:cs="宋体"/>
          <w:bCs/>
          <w:color w:val="000000"/>
          <w:sz w:val="21"/>
          <w:szCs w:val="21"/>
          <w:highlight w:val="none"/>
        </w:rPr>
        <w:t>。</w:t>
      </w:r>
    </w:p>
    <w:p w14:paraId="2E5F2B2E">
      <w:pPr>
        <w:pStyle w:val="40"/>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b w:val="0"/>
          <w:bCs/>
          <w:color w:val="000000"/>
          <w:kern w:val="2"/>
          <w:sz w:val="21"/>
          <w:szCs w:val="21"/>
          <w:highlight w:val="none"/>
          <w:u w:val="single"/>
          <w:lang w:val="en-US" w:eastAsia="zh-CN" w:bidi="ar-SA"/>
        </w:rPr>
      </w:pPr>
      <w:bookmarkStart w:id="941" w:name="_Toc1398"/>
      <w:r>
        <w:rPr>
          <w:rFonts w:hint="eastAsia" w:ascii="宋体" w:hAnsi="宋体" w:eastAsia="宋体" w:cs="宋体"/>
          <w:b w:val="0"/>
          <w:bCs/>
          <w:color w:val="000000"/>
          <w:kern w:val="2"/>
          <w:sz w:val="21"/>
          <w:szCs w:val="21"/>
          <w:highlight w:val="none"/>
          <w:u w:val="single"/>
          <w:lang w:val="en-US" w:eastAsia="zh-CN" w:bidi="ar-SA"/>
        </w:rPr>
        <w:t>安全生产责任保险费：根据《自治区住房城乡建设厅关于印发广西壮族自治区房屋建筑和市政基础设施工程安全生产责任保险计价规定的通知》（桂建发[2023]6号）规定：安全生产责任保险费按分部分项工程费及措施项目费（含单价及总价措施项目费）为计算基数乘以0.2%计入暂估价，工程结算时，由发承包双方根据工程实际情况确认的安全生产责任保险费计入工程造价。</w:t>
      </w:r>
      <w:bookmarkEnd w:id="941"/>
    </w:p>
    <w:p w14:paraId="4BA494EB">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承包人是否应为其施工设备等办理财产保险：</w:t>
      </w:r>
      <w:r>
        <w:rPr>
          <w:rFonts w:hint="eastAsia" w:ascii="宋体" w:hAnsi="宋体" w:eastAsia="宋体" w:cs="宋体"/>
          <w:color w:val="000000"/>
          <w:sz w:val="21"/>
          <w:szCs w:val="21"/>
          <w:highlight w:val="none"/>
          <w:u w:val="single"/>
        </w:rPr>
        <w:t xml:space="preserve">  承包人自行考虑    </w:t>
      </w:r>
      <w:r>
        <w:rPr>
          <w:rFonts w:hint="eastAsia" w:ascii="宋体" w:hAnsi="宋体" w:eastAsia="宋体" w:cs="宋体"/>
          <w:color w:val="000000"/>
          <w:sz w:val="21"/>
          <w:szCs w:val="21"/>
          <w:highlight w:val="none"/>
        </w:rPr>
        <w:t>。</w:t>
      </w:r>
    </w:p>
    <w:p w14:paraId="1312C9C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42" w:name="_Toc373478422"/>
      <w:bookmarkStart w:id="943" w:name="_Toc373227775"/>
      <w:bookmarkStart w:id="944" w:name="_Toc389065340"/>
      <w:bookmarkStart w:id="945" w:name="_Toc20108"/>
      <w:r>
        <w:rPr>
          <w:rFonts w:hint="eastAsia" w:ascii="宋体" w:hAnsi="宋体" w:eastAsia="宋体" w:cs="宋体"/>
          <w:color w:val="000000"/>
          <w:sz w:val="21"/>
          <w:szCs w:val="21"/>
          <w:highlight w:val="none"/>
        </w:rPr>
        <w:t>18.7 通知义务</w:t>
      </w:r>
      <w:bookmarkEnd w:id="942"/>
      <w:bookmarkEnd w:id="943"/>
      <w:bookmarkEnd w:id="944"/>
      <w:bookmarkEnd w:id="945"/>
    </w:p>
    <w:p w14:paraId="17777E30">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关于变更保险合同时的通知义务的约定：</w:t>
      </w:r>
      <w:r>
        <w:rPr>
          <w:rFonts w:hint="eastAsia" w:ascii="宋体" w:hAnsi="宋体" w:eastAsia="宋体" w:cs="宋体"/>
          <w:color w:val="000000"/>
          <w:sz w:val="21"/>
          <w:szCs w:val="21"/>
          <w:highlight w:val="none"/>
          <w:u w:val="single"/>
        </w:rPr>
        <w:t xml:space="preserve">  无   </w:t>
      </w:r>
      <w:r>
        <w:rPr>
          <w:rFonts w:hint="eastAsia" w:ascii="宋体" w:hAnsi="宋体" w:eastAsia="宋体" w:cs="宋体"/>
          <w:color w:val="000000"/>
          <w:sz w:val="21"/>
          <w:szCs w:val="21"/>
          <w:highlight w:val="none"/>
        </w:rPr>
        <w:t>。</w:t>
      </w:r>
    </w:p>
    <w:bookmarkEnd w:id="866"/>
    <w:bookmarkEnd w:id="867"/>
    <w:bookmarkEnd w:id="868"/>
    <w:bookmarkEnd w:id="869"/>
    <w:bookmarkEnd w:id="870"/>
    <w:bookmarkEnd w:id="871"/>
    <w:bookmarkEnd w:id="872"/>
    <w:bookmarkEnd w:id="873"/>
    <w:bookmarkEnd w:id="874"/>
    <w:bookmarkEnd w:id="875"/>
    <w:bookmarkEnd w:id="876"/>
    <w:bookmarkEnd w:id="877"/>
    <w:p w14:paraId="36F43EC6">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46" w:name="_Toc373478423"/>
      <w:bookmarkStart w:id="947" w:name="_Toc389065341"/>
      <w:bookmarkStart w:id="948" w:name="_Toc351203651"/>
      <w:bookmarkStart w:id="949" w:name="_Toc373227776"/>
      <w:bookmarkStart w:id="950" w:name="_Toc18626"/>
      <w:r>
        <w:rPr>
          <w:rFonts w:hint="eastAsia" w:ascii="宋体" w:hAnsi="宋体" w:eastAsia="宋体" w:cs="宋体"/>
          <w:color w:val="000000"/>
          <w:sz w:val="21"/>
          <w:szCs w:val="21"/>
          <w:highlight w:val="none"/>
        </w:rPr>
        <w:t>20. 争议解决</w:t>
      </w:r>
      <w:bookmarkEnd w:id="946"/>
      <w:bookmarkEnd w:id="947"/>
      <w:bookmarkEnd w:id="948"/>
      <w:bookmarkEnd w:id="949"/>
      <w:bookmarkEnd w:id="950"/>
    </w:p>
    <w:bookmarkEnd w:id="878"/>
    <w:bookmarkEnd w:id="879"/>
    <w:p w14:paraId="2A0E753D">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51" w:name="_Toc389065342"/>
      <w:bookmarkStart w:id="952" w:name="_Toc373227777"/>
      <w:bookmarkStart w:id="953" w:name="_Toc24166"/>
      <w:bookmarkStart w:id="954" w:name="_Toc373478424"/>
      <w:r>
        <w:rPr>
          <w:rFonts w:hint="eastAsia" w:ascii="宋体" w:hAnsi="宋体" w:eastAsia="宋体" w:cs="宋体"/>
          <w:color w:val="000000"/>
          <w:sz w:val="21"/>
          <w:szCs w:val="21"/>
          <w:highlight w:val="none"/>
        </w:rPr>
        <w:t>20.3 争</w:t>
      </w:r>
      <w:bookmarkEnd w:id="880"/>
      <w:r>
        <w:rPr>
          <w:rFonts w:hint="eastAsia" w:ascii="宋体" w:hAnsi="宋体" w:eastAsia="宋体" w:cs="宋体"/>
          <w:color w:val="000000"/>
          <w:sz w:val="21"/>
          <w:szCs w:val="21"/>
          <w:highlight w:val="none"/>
        </w:rPr>
        <w:t>议评审</w:t>
      </w:r>
      <w:bookmarkEnd w:id="951"/>
      <w:bookmarkEnd w:id="952"/>
      <w:bookmarkEnd w:id="953"/>
      <w:bookmarkEnd w:id="954"/>
    </w:p>
    <w:p w14:paraId="461A1633">
      <w:pPr>
        <w:pageBreakBefore w:val="0"/>
        <w:kinsoku/>
        <w:overflowPunct/>
        <w:topLinePunct w:val="0"/>
        <w:bidi w:val="0"/>
        <w:spacing w:line="360" w:lineRule="auto"/>
        <w:ind w:left="149" w:leftChars="71" w:firstLine="315" w:firstLineChars="15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合同当事人是否同意将工程争议提交争议评审小组决定：</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eastAsia="zh-CN"/>
        </w:rPr>
        <w:t>是</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6111251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20.3.1 争议评审小组的确定</w:t>
      </w:r>
    </w:p>
    <w:p w14:paraId="13EB717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争议评审小组成员的确定：</w:t>
      </w:r>
      <w:r>
        <w:rPr>
          <w:rFonts w:hint="eastAsia" w:ascii="宋体" w:hAnsi="宋体" w:eastAsia="宋体" w:cs="宋体"/>
          <w:color w:val="000000"/>
          <w:sz w:val="21"/>
          <w:szCs w:val="21"/>
          <w:highlight w:val="none"/>
          <w:u w:val="single"/>
        </w:rPr>
        <w:t xml:space="preserve">      按本合同通用条款相关规定执行      </w:t>
      </w:r>
      <w:r>
        <w:rPr>
          <w:rFonts w:hint="eastAsia" w:ascii="宋体" w:hAnsi="宋体" w:eastAsia="宋体" w:cs="宋体"/>
          <w:color w:val="000000"/>
          <w:sz w:val="21"/>
          <w:szCs w:val="21"/>
          <w:highlight w:val="none"/>
        </w:rPr>
        <w:t>。</w:t>
      </w:r>
    </w:p>
    <w:p w14:paraId="7E2EA164">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选定争议评审员的期限：</w:t>
      </w:r>
      <w:r>
        <w:rPr>
          <w:rFonts w:hint="eastAsia" w:ascii="宋体" w:hAnsi="宋体" w:eastAsia="宋体" w:cs="宋体"/>
          <w:color w:val="000000"/>
          <w:sz w:val="21"/>
          <w:szCs w:val="21"/>
          <w:highlight w:val="none"/>
          <w:u w:val="single"/>
        </w:rPr>
        <w:t xml:space="preserve"> 按本合同通用条款相关规定执行   </w:t>
      </w:r>
      <w:r>
        <w:rPr>
          <w:rFonts w:hint="eastAsia" w:ascii="宋体" w:hAnsi="宋体" w:eastAsia="宋体" w:cs="宋体"/>
          <w:color w:val="000000"/>
          <w:sz w:val="21"/>
          <w:szCs w:val="21"/>
          <w:highlight w:val="none"/>
        </w:rPr>
        <w:t>。</w:t>
      </w:r>
    </w:p>
    <w:p w14:paraId="3AF8AA55">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争议评审小组成员的报酬承担方式：</w:t>
      </w:r>
      <w:r>
        <w:rPr>
          <w:rFonts w:hint="eastAsia" w:ascii="宋体" w:hAnsi="宋体" w:eastAsia="宋体" w:cs="宋体"/>
          <w:color w:val="000000"/>
          <w:sz w:val="21"/>
          <w:szCs w:val="21"/>
          <w:highlight w:val="none"/>
          <w:u w:val="single"/>
        </w:rPr>
        <w:t xml:space="preserve"> 按本合同通用条款相关规定执行  </w:t>
      </w:r>
      <w:r>
        <w:rPr>
          <w:rFonts w:hint="eastAsia" w:ascii="宋体" w:hAnsi="宋体" w:eastAsia="宋体" w:cs="宋体"/>
          <w:color w:val="000000"/>
          <w:sz w:val="21"/>
          <w:szCs w:val="21"/>
          <w:highlight w:val="none"/>
        </w:rPr>
        <w:t>。</w:t>
      </w:r>
    </w:p>
    <w:p w14:paraId="1BBEDF9F">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其他事项的约定：</w:t>
      </w:r>
      <w:r>
        <w:rPr>
          <w:rFonts w:hint="eastAsia" w:ascii="宋体" w:hAnsi="宋体" w:eastAsia="宋体" w:cs="宋体"/>
          <w:color w:val="000000"/>
          <w:sz w:val="21"/>
          <w:szCs w:val="21"/>
          <w:highlight w:val="none"/>
          <w:u w:val="single"/>
        </w:rPr>
        <w:t xml:space="preserve">  按本合同通用条款相关规定执行    </w:t>
      </w:r>
      <w:r>
        <w:rPr>
          <w:rFonts w:hint="eastAsia" w:ascii="宋体" w:hAnsi="宋体" w:eastAsia="宋体" w:cs="宋体"/>
          <w:color w:val="000000"/>
          <w:sz w:val="21"/>
          <w:szCs w:val="21"/>
          <w:highlight w:val="none"/>
        </w:rPr>
        <w:t>。</w:t>
      </w:r>
    </w:p>
    <w:p w14:paraId="74BACF1C">
      <w:pPr>
        <w:pageBreakBefore w:val="0"/>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20.3.2 争议评审小组的决定</w:t>
      </w:r>
    </w:p>
    <w:p w14:paraId="0E2B41B6">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合同当事人关于本项的约定：</w:t>
      </w:r>
      <w:r>
        <w:rPr>
          <w:rFonts w:hint="eastAsia" w:ascii="宋体" w:hAnsi="宋体" w:eastAsia="宋体" w:cs="宋体"/>
          <w:color w:val="000000"/>
          <w:sz w:val="21"/>
          <w:szCs w:val="21"/>
          <w:highlight w:val="none"/>
          <w:u w:val="single"/>
        </w:rPr>
        <w:t xml:space="preserve">  按本合同通用条款相关规定执行     </w:t>
      </w:r>
      <w:r>
        <w:rPr>
          <w:rFonts w:hint="eastAsia" w:ascii="宋体" w:hAnsi="宋体" w:eastAsia="宋体" w:cs="宋体"/>
          <w:color w:val="000000"/>
          <w:sz w:val="21"/>
          <w:szCs w:val="21"/>
          <w:highlight w:val="none"/>
        </w:rPr>
        <w:t>。</w:t>
      </w:r>
    </w:p>
    <w:p w14:paraId="6F9A73E2">
      <w:pPr>
        <w:pageBreakBefore w:val="0"/>
        <w:kinsoku/>
        <w:overflowPunct/>
        <w:topLinePunct w:val="0"/>
        <w:bidi w:val="0"/>
        <w:spacing w:line="360" w:lineRule="auto"/>
        <w:outlineLvl w:val="9"/>
        <w:rPr>
          <w:rFonts w:hint="eastAsia" w:ascii="宋体" w:hAnsi="宋体" w:eastAsia="宋体" w:cs="宋体"/>
          <w:color w:val="000000"/>
          <w:sz w:val="21"/>
          <w:szCs w:val="21"/>
          <w:highlight w:val="none"/>
        </w:rPr>
      </w:pPr>
      <w:bookmarkStart w:id="955" w:name="_Toc373227778"/>
      <w:bookmarkStart w:id="956" w:name="_Toc389065343"/>
      <w:bookmarkStart w:id="957" w:name="_Toc373478425"/>
      <w:bookmarkStart w:id="958" w:name="_Toc24467"/>
      <w:r>
        <w:rPr>
          <w:rFonts w:hint="eastAsia" w:ascii="宋体" w:hAnsi="宋体" w:eastAsia="宋体" w:cs="宋体"/>
          <w:color w:val="000000"/>
          <w:sz w:val="21"/>
          <w:szCs w:val="21"/>
          <w:highlight w:val="none"/>
        </w:rPr>
        <w:t>20.4 仲裁或诉讼</w:t>
      </w:r>
      <w:bookmarkEnd w:id="881"/>
      <w:bookmarkEnd w:id="955"/>
      <w:bookmarkEnd w:id="956"/>
      <w:bookmarkEnd w:id="957"/>
      <w:bookmarkEnd w:id="958"/>
    </w:p>
    <w:p w14:paraId="2ACA6E1E">
      <w:pPr>
        <w:pageBreakBefore w:val="0"/>
        <w:kinsoku/>
        <w:overflowPunct/>
        <w:topLinePunct w:val="0"/>
        <w:bidi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因合同及合同有关事项发生的争议，按下列第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种方式解决：</w:t>
      </w:r>
    </w:p>
    <w:p w14:paraId="65C0299A">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（1）提请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防城港</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仲裁委员会按照该会仲裁规则进行仲裁，仲裁裁决是终局的，对合同双方均有约束力。</w:t>
      </w:r>
    </w:p>
    <w:p w14:paraId="4981FB68">
      <w:pPr>
        <w:pageBreakBefore w:val="0"/>
        <w:kinsoku/>
        <w:overflowPunct/>
        <w:topLinePunct w:val="0"/>
        <w:bidi w:val="0"/>
        <w:spacing w:line="360" w:lineRule="auto"/>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（2）向</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工程所在地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人民法院起诉。</w:t>
      </w:r>
      <w:bookmarkEnd w:id="882"/>
      <w:bookmarkEnd w:id="883"/>
      <w:bookmarkEnd w:id="884"/>
      <w:bookmarkEnd w:id="885"/>
      <w:bookmarkEnd w:id="886"/>
      <w:bookmarkEnd w:id="887"/>
    </w:p>
    <w:p w14:paraId="2A92A5F2">
      <w:pPr>
        <w:pageBreakBefore w:val="0"/>
        <w:kinsoku/>
        <w:overflowPunct/>
        <w:topLinePunct w:val="0"/>
        <w:bidi w:val="0"/>
        <w:spacing w:line="360" w:lineRule="auto"/>
        <w:jc w:val="left"/>
        <w:outlineLvl w:val="9"/>
        <w:rPr>
          <w:rFonts w:hint="default"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rPr>
        <w:br w:type="page"/>
      </w:r>
      <w:r>
        <w:rPr>
          <w:rFonts w:hint="eastAsia" w:ascii="宋体" w:hAnsi="宋体" w:eastAsia="宋体" w:cs="宋体"/>
          <w:b/>
          <w:color w:val="000000"/>
          <w:sz w:val="21"/>
          <w:szCs w:val="21"/>
          <w:highlight w:val="none"/>
          <w:lang w:val="en-US" w:eastAsia="zh-CN"/>
        </w:rPr>
        <w:t>21.其他</w:t>
      </w:r>
    </w:p>
    <w:p w14:paraId="6C3509B8">
      <w:pPr>
        <w:pStyle w:val="26"/>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Style w:val="24"/>
          <w:rFonts w:hint="eastAsia" w:ascii="宋体" w:hAnsi="宋体" w:eastAsia="宋体" w:cs="Times New Roman"/>
          <w:b/>
          <w:bCs/>
          <w:color w:val="auto"/>
          <w:kern w:val="2"/>
          <w:sz w:val="21"/>
          <w:szCs w:val="22"/>
          <w:highlight w:val="none"/>
          <w:lang w:val="en-US" w:eastAsia="zh-CN" w:bidi="ar-SA"/>
        </w:rPr>
      </w:pPr>
      <w:r>
        <w:rPr>
          <w:rStyle w:val="24"/>
          <w:rFonts w:hint="eastAsia" w:ascii="宋体" w:hAnsi="宋体" w:cs="Times New Roman"/>
          <w:b/>
          <w:bCs/>
          <w:color w:val="auto"/>
          <w:kern w:val="2"/>
          <w:sz w:val="21"/>
          <w:szCs w:val="22"/>
          <w:highlight w:val="none"/>
          <w:lang w:val="en-US" w:eastAsia="zh-CN" w:bidi="ar-SA"/>
        </w:rPr>
        <w:t>（1）</w:t>
      </w:r>
      <w:r>
        <w:rPr>
          <w:rStyle w:val="24"/>
          <w:rFonts w:hint="eastAsia" w:ascii="宋体" w:hAnsi="宋体" w:eastAsia="宋体" w:cs="Times New Roman"/>
          <w:b/>
          <w:bCs/>
          <w:color w:val="auto"/>
          <w:kern w:val="2"/>
          <w:sz w:val="21"/>
          <w:szCs w:val="22"/>
          <w:highlight w:val="none"/>
          <w:lang w:val="en-US" w:eastAsia="zh-CN" w:bidi="ar-SA"/>
        </w:rPr>
        <w:t>根据《广西壮族自治区人民政府办公厅关于印发广西开展松材线虫病疫情防控五年攻坚行动八条措施的通知》（桂政办发〔2021〕126号）的文件要求，本项目建设过程中不得使用松木及其包装材料。</w:t>
      </w:r>
    </w:p>
    <w:p w14:paraId="01FEC61B">
      <w:pPr>
        <w:pStyle w:val="26"/>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Style w:val="24"/>
          <w:rFonts w:hint="default" w:ascii="宋体" w:hAnsi="宋体" w:eastAsia="宋体" w:cs="Times New Roman"/>
          <w:b/>
          <w:bCs/>
          <w:color w:val="auto"/>
          <w:kern w:val="2"/>
          <w:sz w:val="21"/>
          <w:szCs w:val="22"/>
          <w:highlight w:val="none"/>
          <w:lang w:val="en-US" w:eastAsia="zh-CN" w:bidi="ar-SA"/>
        </w:rPr>
      </w:pPr>
      <w:r>
        <w:rPr>
          <w:rStyle w:val="24"/>
          <w:rFonts w:hint="eastAsia" w:ascii="宋体" w:hAnsi="宋体" w:eastAsia="宋体" w:cs="Times New Roman"/>
          <w:b/>
          <w:bCs/>
          <w:color w:val="auto"/>
          <w:kern w:val="2"/>
          <w:sz w:val="21"/>
          <w:szCs w:val="22"/>
          <w:highlight w:val="none"/>
          <w:lang w:val="en-US" w:eastAsia="zh-CN" w:bidi="ar-SA"/>
        </w:rPr>
        <w:t>（2）按照《关于政府采购支持绿色建材促进建筑品质提升试点工作的通知》(财库〔2O2O〕31 号)和《防城港市财政局关于加强政府绿色采购有关事项的通知》防财监〔2023〕59号规定“政府采购工程中优先采购可循环可利用建材、高强度高耐久建材、绿色产品部件、绿色装饰装修材料 、节水节能建材等绿色建材产品”。</w:t>
      </w:r>
    </w:p>
    <w:p w14:paraId="1E9089DD">
      <w:pPr>
        <w:pageBreakBefore w:val="0"/>
        <w:kinsoku/>
        <w:overflowPunct/>
        <w:topLinePunct w:val="0"/>
        <w:bidi w:val="0"/>
        <w:spacing w:line="360" w:lineRule="auto"/>
        <w:jc w:val="left"/>
        <w:outlineLvl w:val="9"/>
        <w:rPr>
          <w:rFonts w:hint="eastAsia" w:ascii="宋体" w:hAnsi="宋体" w:eastAsia="宋体" w:cs="宋体"/>
          <w:b/>
          <w:color w:val="000000"/>
          <w:sz w:val="21"/>
          <w:szCs w:val="21"/>
          <w:highlight w:val="none"/>
        </w:rPr>
      </w:pPr>
    </w:p>
    <w:p w14:paraId="0DB98127">
      <w:pPr>
        <w:pageBreakBefore w:val="0"/>
        <w:kinsoku/>
        <w:overflowPunct/>
        <w:topLinePunct w:val="0"/>
        <w:bidi w:val="0"/>
        <w:spacing w:line="360" w:lineRule="auto"/>
        <w:jc w:val="left"/>
        <w:outlineLvl w:val="9"/>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附件</w:t>
      </w:r>
    </w:p>
    <w:p w14:paraId="1EDEC804">
      <w:pPr>
        <w:pageBreakBefore w:val="0"/>
        <w:kinsoku/>
        <w:overflowPunct/>
        <w:topLinePunct w:val="0"/>
        <w:bidi w:val="0"/>
        <w:spacing w:line="360" w:lineRule="auto"/>
        <w:jc w:val="left"/>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附件1：工程质量保修书</w:t>
      </w:r>
    </w:p>
    <w:p w14:paraId="495DEF0C">
      <w:pPr>
        <w:pageBreakBefore w:val="0"/>
        <w:kinsoku/>
        <w:overflowPunct/>
        <w:topLinePunct w:val="0"/>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附件</w:t>
      </w:r>
      <w:r>
        <w:rPr>
          <w:rFonts w:hint="eastAsia" w:ascii="宋体" w:hAnsi="宋体" w:eastAsia="宋体" w:cs="宋体"/>
          <w:color w:val="000000"/>
          <w:sz w:val="21"/>
          <w:szCs w:val="21"/>
          <w:highlight w:val="none"/>
          <w:lang w:val="en-US"/>
        </w:rPr>
        <w:t>2</w:t>
      </w:r>
      <w:r>
        <w:rPr>
          <w:rFonts w:hint="eastAsia" w:ascii="宋体" w:hAnsi="宋体" w:eastAsia="宋体" w:cs="宋体"/>
          <w:color w:val="000000"/>
          <w:sz w:val="21"/>
          <w:szCs w:val="21"/>
          <w:highlight w:val="none"/>
          <w:lang w:val="zh-CN"/>
        </w:rPr>
        <w:t>：</w:t>
      </w:r>
      <w:r>
        <w:rPr>
          <w:rFonts w:hint="eastAsia" w:ascii="宋体" w:hAnsi="宋体" w:eastAsia="宋体" w:cs="宋体"/>
          <w:color w:val="000000"/>
          <w:sz w:val="21"/>
          <w:szCs w:val="21"/>
          <w:highlight w:val="none"/>
        </w:rPr>
        <w:t>项目经理委任书</w:t>
      </w:r>
    </w:p>
    <w:p w14:paraId="1B3A39B7">
      <w:pPr>
        <w:pageBreakBefore w:val="0"/>
        <w:kinsoku/>
        <w:overflowPunct/>
        <w:topLinePunct w:val="0"/>
        <w:bidi w:val="0"/>
        <w:spacing w:line="360" w:lineRule="auto"/>
        <w:jc w:val="left"/>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附件</w:t>
      </w:r>
      <w:r>
        <w:rPr>
          <w:rFonts w:hint="eastAsia" w:ascii="宋体" w:hAnsi="宋体" w:eastAsia="宋体" w:cs="宋体"/>
          <w:color w:val="000000"/>
          <w:sz w:val="21"/>
          <w:szCs w:val="21"/>
          <w:highlight w:val="none"/>
          <w:lang w:val="en-US"/>
        </w:rPr>
        <w:t>3</w:t>
      </w:r>
      <w:r>
        <w:rPr>
          <w:rFonts w:hint="eastAsia" w:ascii="宋体" w:hAnsi="宋体" w:eastAsia="宋体" w:cs="宋体"/>
          <w:color w:val="000000"/>
          <w:sz w:val="21"/>
          <w:szCs w:val="21"/>
          <w:highlight w:val="none"/>
          <w:lang w:val="zh-CN"/>
        </w:rPr>
        <w:t>：</w:t>
      </w:r>
      <w:r>
        <w:rPr>
          <w:rFonts w:hint="eastAsia" w:ascii="宋体" w:hAnsi="宋体" w:eastAsia="宋体" w:cs="宋体"/>
          <w:color w:val="000000"/>
          <w:sz w:val="21"/>
          <w:szCs w:val="21"/>
          <w:highlight w:val="none"/>
        </w:rPr>
        <w:t>廉政责任书</w:t>
      </w:r>
    </w:p>
    <w:p w14:paraId="71A6B84A">
      <w:pPr>
        <w:pageBreakBefore w:val="0"/>
        <w:kinsoku/>
        <w:overflowPunct/>
        <w:topLinePunct w:val="0"/>
        <w:bidi w:val="0"/>
        <w:spacing w:line="360" w:lineRule="auto"/>
        <w:jc w:val="left"/>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附件</w:t>
      </w:r>
      <w:r>
        <w:rPr>
          <w:rFonts w:hint="eastAsia" w:ascii="宋体" w:hAnsi="宋体" w:eastAsia="宋体" w:cs="宋体"/>
          <w:color w:val="000000"/>
          <w:sz w:val="21"/>
          <w:szCs w:val="21"/>
          <w:highlight w:val="none"/>
          <w:lang w:val="en-US"/>
        </w:rPr>
        <w:t>4</w:t>
      </w:r>
      <w:r>
        <w:rPr>
          <w:rFonts w:hint="eastAsia" w:ascii="宋体" w:hAnsi="宋体" w:eastAsia="宋体" w:cs="宋体"/>
          <w:color w:val="000000"/>
          <w:sz w:val="21"/>
          <w:szCs w:val="21"/>
          <w:highlight w:val="none"/>
          <w:lang w:val="zh-CN"/>
        </w:rPr>
        <w:t>：</w:t>
      </w:r>
      <w:r>
        <w:rPr>
          <w:rFonts w:hint="eastAsia" w:ascii="宋体" w:hAnsi="宋体" w:eastAsia="宋体" w:cs="宋体"/>
          <w:color w:val="000000"/>
          <w:sz w:val="21"/>
          <w:szCs w:val="21"/>
          <w:highlight w:val="none"/>
        </w:rPr>
        <w:t>安全生产合同</w:t>
      </w:r>
    </w:p>
    <w:p w14:paraId="48515E70">
      <w:pPr>
        <w:pageBreakBefore w:val="0"/>
        <w:kinsoku/>
        <w:overflowPunct/>
        <w:topLinePunct w:val="0"/>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：主要建设工程文件目录</w:t>
      </w:r>
    </w:p>
    <w:p w14:paraId="20B9598C">
      <w:pPr>
        <w:pageBreakBefore w:val="0"/>
        <w:kinsoku/>
        <w:overflowPunct/>
        <w:topLinePunct w:val="0"/>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：承包人用于本工程施工的机械设备表</w:t>
      </w:r>
    </w:p>
    <w:p w14:paraId="51E00E69">
      <w:pPr>
        <w:pageBreakBefore w:val="0"/>
        <w:kinsoku/>
        <w:overflowPunct/>
        <w:topLinePunct w:val="0"/>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：承包人主要施工管理人员表</w:t>
      </w:r>
    </w:p>
    <w:p w14:paraId="4EA0ADD9">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261E5CA9">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0B85A3A6">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6FB0ADFA">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1CFD3DC0">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3B229796">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14E29C88">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29DFEA4F">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0D8C2336">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7D3E6E45">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096C2226">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49C16200">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7DAE39CC">
      <w:pPr>
        <w:pageBreakBefore w:val="0"/>
        <w:kinsoku/>
        <w:overflowPunct/>
        <w:topLinePunct w:val="0"/>
        <w:bidi w:val="0"/>
        <w:spacing w:line="360" w:lineRule="auto"/>
        <w:jc w:val="left"/>
        <w:rPr>
          <w:rFonts w:hint="eastAsia" w:ascii="宋体" w:hAnsi="宋体" w:eastAsia="宋体" w:cs="宋体"/>
          <w:color w:val="000000"/>
          <w:sz w:val="24"/>
          <w:highlight w:val="none"/>
        </w:rPr>
      </w:pPr>
    </w:p>
    <w:p w14:paraId="76963F67">
      <w:pPr>
        <w:pageBreakBefore w:val="0"/>
        <w:kinsoku/>
        <w:overflowPunct/>
        <w:topLinePunct w:val="0"/>
        <w:bidi w:val="0"/>
        <w:spacing w:line="360" w:lineRule="auto"/>
        <w:rPr>
          <w:rFonts w:hint="eastAsia" w:ascii="宋体" w:hAnsi="宋体" w:eastAsia="宋体" w:cs="宋体"/>
          <w:color w:val="000000"/>
          <w:sz w:val="24"/>
          <w:szCs w:val="20"/>
          <w:highlight w:val="none"/>
        </w:rPr>
      </w:pPr>
    </w:p>
    <w:p w14:paraId="795D78F6">
      <w:pPr>
        <w:pageBreakBefore w:val="0"/>
        <w:kinsoku/>
        <w:overflowPunct/>
        <w:topLinePunct w:val="0"/>
        <w:bidi w:val="0"/>
        <w:spacing w:line="360" w:lineRule="auto"/>
        <w:rPr>
          <w:rFonts w:hint="eastAsia" w:ascii="宋体" w:hAnsi="宋体" w:eastAsia="宋体" w:cs="宋体"/>
          <w:color w:val="000000"/>
          <w:sz w:val="24"/>
          <w:highlight w:val="none"/>
        </w:rPr>
      </w:pPr>
    </w:p>
    <w:p w14:paraId="55509E7C">
      <w:pPr>
        <w:pageBreakBefore w:val="0"/>
        <w:kinsoku/>
        <w:overflowPunct/>
        <w:topLinePunct w:val="0"/>
        <w:bidi w:val="0"/>
        <w:spacing w:line="360" w:lineRule="auto"/>
        <w:rPr>
          <w:rFonts w:hint="eastAsia" w:ascii="宋体" w:hAnsi="宋体" w:eastAsia="宋体" w:cs="宋体"/>
          <w:color w:val="000000"/>
          <w:sz w:val="24"/>
          <w:highlight w:val="yellow"/>
        </w:rPr>
      </w:pPr>
      <w:r>
        <w:rPr>
          <w:rFonts w:hint="eastAsia" w:ascii="宋体" w:hAnsi="宋体" w:eastAsia="宋体" w:cs="宋体"/>
          <w:color w:val="000000"/>
          <w:sz w:val="24"/>
          <w:highlight w:val="none"/>
        </w:rPr>
        <w:br w:type="page"/>
      </w:r>
    </w:p>
    <w:p w14:paraId="31A87669">
      <w:pPr>
        <w:pageBreakBefore w:val="0"/>
        <w:kinsoku/>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附件</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 xml:space="preserve">：    </w:t>
      </w:r>
    </w:p>
    <w:p w14:paraId="5AE25D9B">
      <w:pPr>
        <w:spacing w:before="120" w:beforeLines="50" w:after="120" w:afterLines="50"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工程质量保修书</w:t>
      </w:r>
    </w:p>
    <w:p w14:paraId="40CB24A7">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发包人（全称）：</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p>
    <w:p w14:paraId="5D5EDC7B">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承包人（全称）：</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p>
    <w:p w14:paraId="5337984C">
      <w:pPr>
        <w:spacing w:line="360" w:lineRule="auto"/>
        <w:rPr>
          <w:rFonts w:ascii="宋体"/>
          <w:color w:val="auto"/>
          <w:sz w:val="24"/>
          <w:szCs w:val="24"/>
          <w:highlight w:val="none"/>
        </w:rPr>
      </w:pPr>
    </w:p>
    <w:p w14:paraId="12BA8FAA">
      <w:pPr>
        <w:spacing w:line="360" w:lineRule="auto"/>
        <w:ind w:firstLine="420"/>
        <w:rPr>
          <w:rFonts w:ascii="宋体"/>
          <w:color w:val="auto"/>
          <w:sz w:val="24"/>
          <w:szCs w:val="24"/>
          <w:highlight w:val="none"/>
        </w:rPr>
      </w:pPr>
      <w:r>
        <w:rPr>
          <w:rFonts w:hint="eastAsia" w:ascii="宋体" w:hAnsi="宋体" w:cs="宋体"/>
          <w:color w:val="auto"/>
          <w:sz w:val="24"/>
          <w:szCs w:val="24"/>
          <w:highlight w:val="none"/>
        </w:rPr>
        <w:t>发包人和承包人根据《中华人民共和国建筑法》和《建设工程质量管理条例》，经协商一致就</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（工程全称）签订工程质量保修书。</w:t>
      </w:r>
    </w:p>
    <w:p w14:paraId="7117A84C">
      <w:pPr>
        <w:spacing w:line="360" w:lineRule="auto"/>
        <w:ind w:firstLine="480" w:firstLineChars="200"/>
        <w:rPr>
          <w:rFonts w:ascii="黑体" w:hAnsi="宋体" w:eastAsia="黑体"/>
          <w:color w:val="auto"/>
          <w:sz w:val="24"/>
          <w:szCs w:val="24"/>
          <w:highlight w:val="none"/>
        </w:rPr>
      </w:pPr>
      <w:r>
        <w:rPr>
          <w:rFonts w:hint="eastAsia" w:ascii="黑体" w:hAnsi="宋体" w:eastAsia="黑体" w:cs="黑体"/>
          <w:color w:val="auto"/>
          <w:sz w:val="24"/>
          <w:szCs w:val="24"/>
          <w:highlight w:val="none"/>
        </w:rPr>
        <w:t>一、工程质量保修范围和内容</w:t>
      </w:r>
    </w:p>
    <w:p w14:paraId="2F484640">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承包人在质量保修期内，按照有关法律规定和合同约定，承担工程质量保修责任。</w:t>
      </w:r>
    </w:p>
    <w:p w14:paraId="5645EF7B">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质量保修范围包括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，以及双方约定的其他项目。具体保修的内容，双方约定如下：</w:t>
      </w:r>
    </w:p>
    <w:p w14:paraId="3C72121F">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8A73760">
      <w:pPr>
        <w:spacing w:line="360" w:lineRule="auto"/>
        <w:ind w:firstLine="480" w:firstLineChars="200"/>
        <w:rPr>
          <w:rFonts w:ascii="黑体" w:hAnsi="宋体" w:eastAsia="黑体"/>
          <w:color w:val="auto"/>
          <w:sz w:val="24"/>
          <w:szCs w:val="24"/>
          <w:highlight w:val="none"/>
        </w:rPr>
      </w:pPr>
      <w:r>
        <w:rPr>
          <w:rFonts w:hint="eastAsia" w:ascii="黑体" w:hAnsi="宋体" w:eastAsia="黑体" w:cs="黑体"/>
          <w:color w:val="auto"/>
          <w:sz w:val="24"/>
          <w:szCs w:val="24"/>
          <w:highlight w:val="none"/>
        </w:rPr>
        <w:t>二、质量保修期</w:t>
      </w:r>
    </w:p>
    <w:p w14:paraId="20497017">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根据《建设工程质量管理条例》及有关规定，工程的质量保修期如下：</w:t>
      </w:r>
    </w:p>
    <w:p w14:paraId="2B3F64EF">
      <w:pPr>
        <w:spacing w:line="360" w:lineRule="auto"/>
        <w:ind w:firstLine="426"/>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cs="宋体"/>
          <w:color w:val="auto"/>
          <w:sz w:val="24"/>
          <w:szCs w:val="24"/>
          <w:highlight w:val="none"/>
        </w:rPr>
        <w:t>桥梁工程为</w:t>
      </w:r>
      <w:r>
        <w:rPr>
          <w:color w:val="auto"/>
          <w:sz w:val="24"/>
          <w:szCs w:val="24"/>
          <w:highlight w:val="none"/>
          <w:u w:val="single"/>
        </w:rPr>
        <w:t xml:space="preserve">     </w:t>
      </w:r>
      <w:r>
        <w:rPr>
          <w:rFonts w:hint="eastAsia" w:cs="宋体"/>
          <w:color w:val="auto"/>
          <w:sz w:val="24"/>
          <w:szCs w:val="24"/>
          <w:highlight w:val="none"/>
        </w:rPr>
        <w:t>年（建议桥梁隧道主体结构工程为设计文件规定的合理使用年限）；</w:t>
      </w:r>
    </w:p>
    <w:p w14:paraId="23401D06">
      <w:pPr>
        <w:spacing w:line="360" w:lineRule="auto"/>
        <w:ind w:firstLine="426"/>
        <w:rPr>
          <w:color w:val="auto"/>
          <w:sz w:val="24"/>
          <w:szCs w:val="24"/>
          <w:highlight w:val="none"/>
        </w:rPr>
      </w:pPr>
      <w:r>
        <w:rPr>
          <w:color w:val="auto"/>
          <w:sz w:val="24"/>
          <w:szCs w:val="24"/>
          <w:highlight w:val="none"/>
        </w:rPr>
        <w:t>2</w:t>
      </w:r>
      <w:r>
        <w:rPr>
          <w:rFonts w:hint="eastAsia" w:ascii="宋体" w:hAnsi="宋体" w:cs="宋体"/>
          <w:color w:val="auto"/>
          <w:sz w:val="24"/>
          <w:szCs w:val="24"/>
          <w:highlight w:val="none"/>
        </w:rPr>
        <w:t>．</w:t>
      </w:r>
      <w:r>
        <w:rPr>
          <w:rFonts w:hint="eastAsia" w:cs="宋体"/>
          <w:color w:val="auto"/>
          <w:sz w:val="24"/>
          <w:szCs w:val="24"/>
          <w:highlight w:val="none"/>
        </w:rPr>
        <w:t>道路工程为</w:t>
      </w:r>
      <w:r>
        <w:rPr>
          <w:color w:val="auto"/>
          <w:sz w:val="24"/>
          <w:szCs w:val="24"/>
          <w:highlight w:val="none"/>
          <w:u w:val="single"/>
        </w:rPr>
        <w:t xml:space="preserve">   </w:t>
      </w:r>
      <w:r>
        <w:rPr>
          <w:rFonts w:hint="eastAsia"/>
          <w:color w:val="auto"/>
          <w:sz w:val="24"/>
          <w:szCs w:val="24"/>
          <w:highlight w:val="none"/>
          <w:u w:val="single"/>
          <w:lang w:val="en-US" w:eastAsia="zh-CN"/>
        </w:rPr>
        <w:t>2</w:t>
      </w:r>
      <w:r>
        <w:rPr>
          <w:color w:val="auto"/>
          <w:sz w:val="24"/>
          <w:szCs w:val="24"/>
          <w:highlight w:val="none"/>
          <w:u w:val="single"/>
        </w:rPr>
        <w:t xml:space="preserve">  </w:t>
      </w:r>
      <w:r>
        <w:rPr>
          <w:rFonts w:hint="eastAsia" w:cs="宋体"/>
          <w:color w:val="auto"/>
          <w:sz w:val="24"/>
          <w:szCs w:val="24"/>
          <w:highlight w:val="none"/>
        </w:rPr>
        <w:t>年（建议路基、路面、桥面为</w:t>
      </w:r>
      <w:r>
        <w:rPr>
          <w:color w:val="auto"/>
          <w:sz w:val="24"/>
          <w:szCs w:val="24"/>
          <w:highlight w:val="none"/>
        </w:rPr>
        <w:t>2</w:t>
      </w:r>
      <w:r>
        <w:rPr>
          <w:rFonts w:hint="eastAsia" w:cs="宋体"/>
          <w:color w:val="auto"/>
          <w:sz w:val="24"/>
          <w:szCs w:val="24"/>
          <w:highlight w:val="none"/>
        </w:rPr>
        <w:t>年）；</w:t>
      </w:r>
    </w:p>
    <w:p w14:paraId="5A1803D7">
      <w:pPr>
        <w:spacing w:line="360" w:lineRule="auto"/>
        <w:ind w:firstLine="426"/>
        <w:rPr>
          <w:color w:val="auto"/>
          <w:sz w:val="24"/>
          <w:szCs w:val="24"/>
          <w:highlight w:val="none"/>
        </w:rPr>
      </w:pPr>
      <w:r>
        <w:rPr>
          <w:color w:val="auto"/>
          <w:sz w:val="24"/>
          <w:szCs w:val="24"/>
          <w:highlight w:val="none"/>
        </w:rPr>
        <w:t>3</w:t>
      </w:r>
      <w:r>
        <w:rPr>
          <w:rFonts w:hint="eastAsia" w:ascii="宋体" w:hAnsi="宋体" w:cs="宋体"/>
          <w:color w:val="auto"/>
          <w:sz w:val="24"/>
          <w:szCs w:val="24"/>
          <w:highlight w:val="none"/>
        </w:rPr>
        <w:t>．</w:t>
      </w:r>
      <w:r>
        <w:rPr>
          <w:rFonts w:hint="eastAsia" w:cs="宋体"/>
          <w:color w:val="auto"/>
          <w:sz w:val="24"/>
          <w:szCs w:val="24"/>
          <w:highlight w:val="none"/>
        </w:rPr>
        <w:t>排水（雨水）工程为</w:t>
      </w:r>
      <w:r>
        <w:rPr>
          <w:color w:val="auto"/>
          <w:sz w:val="24"/>
          <w:szCs w:val="24"/>
          <w:highlight w:val="none"/>
          <w:u w:val="single"/>
        </w:rPr>
        <w:t xml:space="preserve">  </w:t>
      </w:r>
      <w:r>
        <w:rPr>
          <w:rFonts w:hint="eastAsia"/>
          <w:color w:val="auto"/>
          <w:sz w:val="24"/>
          <w:szCs w:val="24"/>
          <w:highlight w:val="none"/>
          <w:u w:val="single"/>
          <w:lang w:val="en-US" w:eastAsia="zh-CN"/>
        </w:rPr>
        <w:t>2</w:t>
      </w:r>
      <w:r>
        <w:rPr>
          <w:color w:val="auto"/>
          <w:sz w:val="24"/>
          <w:szCs w:val="24"/>
          <w:highlight w:val="none"/>
          <w:u w:val="single"/>
        </w:rPr>
        <w:t xml:space="preserve">   </w:t>
      </w:r>
      <w:r>
        <w:rPr>
          <w:rFonts w:hint="eastAsia" w:cs="宋体"/>
          <w:color w:val="auto"/>
          <w:sz w:val="24"/>
          <w:szCs w:val="24"/>
          <w:highlight w:val="none"/>
        </w:rPr>
        <w:t>年（建议道路工程中的排水工程为</w:t>
      </w:r>
      <w:r>
        <w:rPr>
          <w:color w:val="auto"/>
          <w:sz w:val="24"/>
          <w:szCs w:val="24"/>
          <w:highlight w:val="none"/>
        </w:rPr>
        <w:t>3</w:t>
      </w:r>
      <w:r>
        <w:rPr>
          <w:rFonts w:hint="eastAsia" w:cs="宋体"/>
          <w:color w:val="auto"/>
          <w:sz w:val="24"/>
          <w:szCs w:val="24"/>
          <w:highlight w:val="none"/>
        </w:rPr>
        <w:t>年）；</w:t>
      </w:r>
    </w:p>
    <w:p w14:paraId="596EBE8C">
      <w:pPr>
        <w:spacing w:line="360" w:lineRule="auto"/>
        <w:ind w:firstLine="426"/>
        <w:rPr>
          <w:color w:val="auto"/>
          <w:sz w:val="24"/>
          <w:szCs w:val="24"/>
          <w:highlight w:val="none"/>
        </w:rPr>
      </w:pPr>
      <w:r>
        <w:rPr>
          <w:color w:val="auto"/>
          <w:sz w:val="24"/>
          <w:szCs w:val="24"/>
          <w:highlight w:val="none"/>
        </w:rPr>
        <w:t>4</w:t>
      </w:r>
      <w:r>
        <w:rPr>
          <w:rFonts w:hint="eastAsia" w:ascii="宋体" w:hAnsi="宋体" w:cs="宋体"/>
          <w:color w:val="auto"/>
          <w:sz w:val="24"/>
          <w:szCs w:val="24"/>
          <w:highlight w:val="none"/>
        </w:rPr>
        <w:t>．</w:t>
      </w:r>
      <w:r>
        <w:rPr>
          <w:rFonts w:hint="eastAsia" w:cs="宋体"/>
          <w:color w:val="auto"/>
          <w:sz w:val="24"/>
          <w:szCs w:val="24"/>
          <w:highlight w:val="none"/>
        </w:rPr>
        <w:t>绿化工程为</w:t>
      </w:r>
      <w:r>
        <w:rPr>
          <w:color w:val="auto"/>
          <w:sz w:val="24"/>
          <w:szCs w:val="24"/>
          <w:highlight w:val="none"/>
        </w:rPr>
        <w:t xml:space="preserve"> </w:t>
      </w:r>
      <w:r>
        <w:rPr>
          <w:rFonts w:hint="eastAsia" w:cs="宋体"/>
          <w:color w:val="auto"/>
          <w:sz w:val="24"/>
          <w:szCs w:val="24"/>
          <w:highlight w:val="none"/>
          <w:u w:val="single"/>
        </w:rPr>
        <w:t>单位工程竣工验收合格后</w:t>
      </w:r>
      <w:r>
        <w:rPr>
          <w:color w:val="auto"/>
          <w:sz w:val="24"/>
          <w:szCs w:val="24"/>
          <w:highlight w:val="none"/>
          <w:u w:val="single"/>
        </w:rPr>
        <w:t xml:space="preserve">    </w:t>
      </w:r>
      <w:r>
        <w:rPr>
          <w:rFonts w:hint="eastAsia" w:cs="宋体"/>
          <w:color w:val="auto"/>
          <w:sz w:val="24"/>
          <w:szCs w:val="24"/>
          <w:highlight w:val="none"/>
          <w:u w:val="single"/>
        </w:rPr>
        <w:t>年</w:t>
      </w:r>
      <w:r>
        <w:rPr>
          <w:rFonts w:hint="eastAsia" w:cs="宋体"/>
          <w:color w:val="auto"/>
          <w:sz w:val="24"/>
          <w:szCs w:val="24"/>
          <w:highlight w:val="none"/>
        </w:rPr>
        <w:t>；</w:t>
      </w:r>
    </w:p>
    <w:p w14:paraId="4DCD258C">
      <w:pPr>
        <w:spacing w:line="360" w:lineRule="auto"/>
        <w:ind w:firstLine="426"/>
        <w:rPr>
          <w:color w:val="auto"/>
          <w:sz w:val="24"/>
          <w:szCs w:val="24"/>
          <w:highlight w:val="none"/>
        </w:rPr>
      </w:pPr>
      <w:r>
        <w:rPr>
          <w:color w:val="auto"/>
          <w:sz w:val="24"/>
          <w:szCs w:val="24"/>
          <w:highlight w:val="none"/>
        </w:rPr>
        <w:t xml:space="preserve">5.  </w:t>
      </w:r>
      <w:r>
        <w:rPr>
          <w:rFonts w:hint="eastAsia" w:cs="宋体"/>
          <w:color w:val="auto"/>
          <w:sz w:val="24"/>
          <w:szCs w:val="24"/>
          <w:highlight w:val="none"/>
        </w:rPr>
        <w:t>地下防水工程为</w:t>
      </w:r>
      <w:r>
        <w:rPr>
          <w:color w:val="auto"/>
          <w:sz w:val="24"/>
          <w:szCs w:val="24"/>
          <w:highlight w:val="none"/>
          <w:u w:val="single"/>
        </w:rPr>
        <w:t xml:space="preserve">     </w:t>
      </w:r>
      <w:r>
        <w:rPr>
          <w:rFonts w:hint="eastAsia" w:cs="宋体"/>
          <w:color w:val="auto"/>
          <w:sz w:val="24"/>
          <w:szCs w:val="24"/>
          <w:highlight w:val="none"/>
        </w:rPr>
        <w:t>年（建议为</w:t>
      </w:r>
      <w:r>
        <w:rPr>
          <w:color w:val="auto"/>
          <w:sz w:val="24"/>
          <w:szCs w:val="24"/>
          <w:highlight w:val="none"/>
        </w:rPr>
        <w:t>5</w:t>
      </w:r>
      <w:r>
        <w:rPr>
          <w:rFonts w:hint="eastAsia" w:cs="宋体"/>
          <w:color w:val="auto"/>
          <w:sz w:val="24"/>
          <w:szCs w:val="24"/>
          <w:highlight w:val="none"/>
        </w:rPr>
        <w:t>年）；</w:t>
      </w:r>
    </w:p>
    <w:p w14:paraId="2217E6BE">
      <w:pPr>
        <w:spacing w:line="360" w:lineRule="auto"/>
        <w:ind w:firstLine="426"/>
        <w:rPr>
          <w:color w:val="auto"/>
          <w:sz w:val="24"/>
          <w:szCs w:val="24"/>
          <w:highlight w:val="none"/>
        </w:rPr>
      </w:pPr>
      <w:r>
        <w:rPr>
          <w:color w:val="auto"/>
          <w:sz w:val="24"/>
          <w:szCs w:val="24"/>
          <w:highlight w:val="none"/>
        </w:rPr>
        <w:t>6</w:t>
      </w:r>
      <w:r>
        <w:rPr>
          <w:rFonts w:hint="eastAsia" w:ascii="宋体" w:hAnsi="宋体" w:cs="宋体"/>
          <w:color w:val="auto"/>
          <w:sz w:val="24"/>
          <w:szCs w:val="24"/>
          <w:highlight w:val="none"/>
        </w:rPr>
        <w:t>．</w:t>
      </w:r>
      <w:r>
        <w:rPr>
          <w:rFonts w:hint="eastAsia" w:cs="宋体"/>
          <w:color w:val="auto"/>
          <w:sz w:val="24"/>
          <w:szCs w:val="24"/>
          <w:highlight w:val="none"/>
        </w:rPr>
        <w:t>其他附属工程为</w:t>
      </w:r>
      <w:r>
        <w:rPr>
          <w:color w:val="auto"/>
          <w:sz w:val="24"/>
          <w:szCs w:val="24"/>
          <w:highlight w:val="none"/>
          <w:u w:val="single"/>
        </w:rPr>
        <w:t xml:space="preserve">      </w:t>
      </w:r>
      <w:r>
        <w:rPr>
          <w:rFonts w:hint="eastAsia" w:cs="宋体"/>
          <w:color w:val="auto"/>
          <w:sz w:val="24"/>
          <w:szCs w:val="24"/>
          <w:highlight w:val="none"/>
        </w:rPr>
        <w:t>年；</w:t>
      </w:r>
    </w:p>
    <w:p w14:paraId="25D4A873">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rPr>
        <w:t>．其他项目保修期限约定如下：</w:t>
      </w:r>
    </w:p>
    <w:p w14:paraId="30AC8EE7">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760A97F">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质量保修期自工程竣工验收合格之日起计算。</w:t>
      </w:r>
    </w:p>
    <w:p w14:paraId="73B11E2E">
      <w:pPr>
        <w:spacing w:line="360" w:lineRule="auto"/>
        <w:ind w:firstLine="480" w:firstLineChars="200"/>
        <w:rPr>
          <w:rFonts w:ascii="黑体" w:hAnsi="宋体" w:eastAsia="黑体"/>
          <w:color w:val="auto"/>
          <w:sz w:val="24"/>
          <w:szCs w:val="24"/>
          <w:highlight w:val="none"/>
        </w:rPr>
      </w:pPr>
      <w:r>
        <w:rPr>
          <w:rFonts w:hint="eastAsia" w:ascii="黑体" w:hAnsi="宋体" w:eastAsia="黑体" w:cs="黑体"/>
          <w:color w:val="auto"/>
          <w:sz w:val="24"/>
          <w:szCs w:val="24"/>
          <w:highlight w:val="none"/>
        </w:rPr>
        <w:t>三、缺陷责任期</w:t>
      </w:r>
    </w:p>
    <w:p w14:paraId="27B7FA99">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工程缺陷责任期为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个月</w:t>
      </w:r>
      <w:r>
        <w:rPr>
          <w:rFonts w:hint="eastAsia" w:hAnsi="宋体" w:cs="宋体"/>
          <w:color w:val="auto"/>
          <w:sz w:val="24"/>
          <w:szCs w:val="24"/>
          <w:highlight w:val="none"/>
        </w:rPr>
        <w:t>（最长不超过</w:t>
      </w:r>
      <w:r>
        <w:rPr>
          <w:rFonts w:hAnsi="宋体"/>
          <w:color w:val="auto"/>
          <w:sz w:val="24"/>
          <w:szCs w:val="24"/>
          <w:highlight w:val="none"/>
        </w:rPr>
        <w:t>24</w:t>
      </w:r>
      <w:r>
        <w:rPr>
          <w:rFonts w:hint="eastAsia" w:hAnsi="宋体" w:cs="宋体"/>
          <w:color w:val="auto"/>
          <w:sz w:val="24"/>
          <w:szCs w:val="24"/>
          <w:highlight w:val="none"/>
        </w:rPr>
        <w:t>个月）</w:t>
      </w:r>
      <w:r>
        <w:rPr>
          <w:rFonts w:hint="eastAsia" w:ascii="宋体" w:hAnsi="宋体" w:cs="宋体"/>
          <w:color w:val="auto"/>
          <w:sz w:val="24"/>
          <w:szCs w:val="24"/>
          <w:highlight w:val="none"/>
        </w:rPr>
        <w:t>，缺陷责任期自工程竣工验收合格之日起计算。单位工程先于全部工程进行验收，单位工程缺陷责任期自单位工程验收合格之日起算。</w:t>
      </w:r>
    </w:p>
    <w:p w14:paraId="25BD800F">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缺陷责任期</w:t>
      </w:r>
      <w:r>
        <w:rPr>
          <w:rFonts w:hint="eastAsia" w:hAnsi="宋体" w:cs="宋体"/>
          <w:color w:val="auto"/>
          <w:sz w:val="24"/>
          <w:szCs w:val="24"/>
          <w:highlight w:val="none"/>
          <w:u w:val="single"/>
        </w:rPr>
        <w:t>满</w:t>
      </w:r>
      <w:r>
        <w:rPr>
          <w:rFonts w:hint="eastAsia" w:ascii="仿宋_GB2312" w:hAnsi="宋体"/>
          <w:color w:val="auto"/>
          <w:sz w:val="24"/>
          <w:szCs w:val="24"/>
          <w:highlight w:val="none"/>
        </w:rPr>
        <w:t>之日起</w:t>
      </w:r>
      <w:r>
        <w:rPr>
          <w:rFonts w:hint="eastAsia" w:ascii="仿宋_GB2312" w:hAnsi="宋体"/>
          <w:color w:val="auto"/>
          <w:sz w:val="24"/>
          <w:szCs w:val="24"/>
          <w:highlight w:val="none"/>
          <w:u w:val="single"/>
        </w:rPr>
        <w:t xml:space="preserve"> </w:t>
      </w:r>
      <w:r>
        <w:rPr>
          <w:rFonts w:ascii="仿宋_GB2312" w:hAnsi="宋体"/>
          <w:color w:val="auto"/>
          <w:sz w:val="24"/>
          <w:szCs w:val="24"/>
          <w:highlight w:val="none"/>
          <w:u w:val="single"/>
        </w:rPr>
        <w:t xml:space="preserve">  </w:t>
      </w:r>
      <w:r>
        <w:rPr>
          <w:rFonts w:hint="eastAsia" w:ascii="仿宋_GB2312" w:hAnsi="宋体"/>
          <w:color w:val="auto"/>
          <w:sz w:val="24"/>
          <w:szCs w:val="24"/>
          <w:highlight w:val="none"/>
          <w:u w:val="single"/>
        </w:rPr>
        <w:t xml:space="preserve"> </w:t>
      </w:r>
      <w:r>
        <w:rPr>
          <w:rFonts w:hint="eastAsia" w:ascii="仿宋_GB2312" w:hAnsi="宋体"/>
          <w:color w:val="auto"/>
          <w:sz w:val="24"/>
          <w:szCs w:val="24"/>
          <w:highlight w:val="none"/>
        </w:rPr>
        <w:t>天</w:t>
      </w:r>
      <w:r>
        <w:rPr>
          <w:rFonts w:hint="eastAsia" w:hAnsi="宋体" w:cs="宋体"/>
          <w:color w:val="auto"/>
          <w:sz w:val="24"/>
          <w:szCs w:val="24"/>
          <w:highlight w:val="none"/>
          <w:u w:val="single"/>
        </w:rPr>
        <w:t>（按</w:t>
      </w:r>
      <w:r>
        <w:rPr>
          <w:rFonts w:hAnsi="宋体" w:cs="宋体"/>
          <w:color w:val="auto"/>
          <w:sz w:val="24"/>
          <w:szCs w:val="24"/>
          <w:highlight w:val="none"/>
          <w:u w:val="single"/>
        </w:rPr>
        <w:t>合同约定期限）</w:t>
      </w:r>
      <w:r>
        <w:rPr>
          <w:rFonts w:hint="eastAsia" w:hAnsi="宋体" w:cs="宋体"/>
          <w:color w:val="auto"/>
          <w:sz w:val="24"/>
          <w:szCs w:val="24"/>
          <w:highlight w:val="none"/>
          <w:u w:val="single"/>
        </w:rPr>
        <w:t>，</w:t>
      </w:r>
      <w:r>
        <w:rPr>
          <w:rFonts w:hint="eastAsia" w:ascii="宋体" w:hAnsi="宋体" w:cs="宋体"/>
          <w:color w:val="auto"/>
          <w:sz w:val="24"/>
          <w:szCs w:val="24"/>
          <w:highlight w:val="none"/>
        </w:rPr>
        <w:t>发包人应退还剩余的质量保证金。</w:t>
      </w:r>
    </w:p>
    <w:p w14:paraId="1025DB25">
      <w:pPr>
        <w:spacing w:line="360" w:lineRule="auto"/>
        <w:ind w:firstLine="480" w:firstLineChars="200"/>
        <w:rPr>
          <w:rFonts w:ascii="黑体" w:hAnsi="宋体" w:eastAsia="黑体"/>
          <w:color w:val="auto"/>
          <w:sz w:val="24"/>
          <w:szCs w:val="24"/>
          <w:highlight w:val="none"/>
        </w:rPr>
      </w:pPr>
      <w:r>
        <w:rPr>
          <w:rFonts w:hint="eastAsia" w:ascii="黑体" w:hAnsi="宋体" w:eastAsia="黑体" w:cs="黑体"/>
          <w:color w:val="auto"/>
          <w:sz w:val="24"/>
          <w:szCs w:val="24"/>
          <w:highlight w:val="none"/>
        </w:rPr>
        <w:t>四、质量保修责任</w:t>
      </w:r>
    </w:p>
    <w:p w14:paraId="3A664AF8">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．属于保修范围、内容的项目，承包人应当在接到保修通知之日起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天内派人保修。承包人不在约定期限内派人保修的，发包人可以委托他人修理</w:t>
      </w:r>
      <w:r>
        <w:rPr>
          <w:rFonts w:hint="eastAsia" w:hAnsi="宋体" w:cs="宋体"/>
          <w:color w:val="auto"/>
          <w:sz w:val="24"/>
          <w:szCs w:val="24"/>
          <w:highlight w:val="none"/>
        </w:rPr>
        <w:t>，修理费用从质量保证金内扣除。</w:t>
      </w:r>
    </w:p>
    <w:p w14:paraId="07661328">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．发生紧急事故需抢修的，承包人在接到事故通知后，应当立即到达事故现场抢修。</w:t>
      </w:r>
    </w:p>
    <w:p w14:paraId="325F7854">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85AF589">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．质量保修完成后，由发包人组织验收。</w:t>
      </w:r>
    </w:p>
    <w:p w14:paraId="31DFD8F8">
      <w:pPr>
        <w:spacing w:line="360" w:lineRule="auto"/>
        <w:ind w:firstLine="480" w:firstLineChars="200"/>
        <w:rPr>
          <w:rFonts w:ascii="黑体" w:hAnsi="宋体" w:eastAsia="黑体"/>
          <w:color w:val="auto"/>
          <w:sz w:val="24"/>
          <w:szCs w:val="24"/>
          <w:highlight w:val="none"/>
        </w:rPr>
      </w:pPr>
      <w:r>
        <w:rPr>
          <w:rFonts w:hint="eastAsia" w:ascii="黑体" w:hAnsi="宋体" w:eastAsia="黑体" w:cs="黑体"/>
          <w:color w:val="auto"/>
          <w:sz w:val="24"/>
          <w:szCs w:val="24"/>
          <w:highlight w:val="none"/>
        </w:rPr>
        <w:t>五、保修费用</w:t>
      </w:r>
    </w:p>
    <w:p w14:paraId="4A6B9003">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保修费用由造成质量缺陷的责任方承担。</w:t>
      </w:r>
    </w:p>
    <w:p w14:paraId="1BDBBF91">
      <w:pPr>
        <w:spacing w:line="360" w:lineRule="auto"/>
        <w:ind w:firstLine="480" w:firstLineChars="200"/>
        <w:rPr>
          <w:rFonts w:ascii="宋体"/>
          <w:color w:val="auto"/>
          <w:sz w:val="24"/>
          <w:szCs w:val="24"/>
          <w:highlight w:val="none"/>
        </w:rPr>
      </w:pPr>
      <w:r>
        <w:rPr>
          <w:rFonts w:hint="eastAsia" w:ascii="黑体" w:hAnsi="宋体" w:eastAsia="黑体" w:cs="黑体"/>
          <w:color w:val="auto"/>
          <w:sz w:val="24"/>
          <w:szCs w:val="24"/>
          <w:highlight w:val="none"/>
        </w:rPr>
        <w:t>六、双方约定的其他工程质量保修事项：</w:t>
      </w:r>
      <w:r>
        <w:rPr>
          <w:rFonts w:ascii="黑体" w:hAnsi="宋体" w:eastAsia="黑体" w:cs="黑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E2006E9">
      <w:pPr>
        <w:spacing w:line="360" w:lineRule="auto"/>
        <w:ind w:firstLine="456" w:firstLineChars="190"/>
        <w:rPr>
          <w:rFonts w:ascii="宋体"/>
          <w:color w:val="auto"/>
          <w:sz w:val="24"/>
          <w:szCs w:val="24"/>
          <w:highlight w:val="none"/>
        </w:rPr>
      </w:pPr>
      <w:r>
        <w:rPr>
          <w:rFonts w:hint="eastAsia" w:ascii="宋体" w:hAnsi="宋体" w:cs="宋体"/>
          <w:color w:val="auto"/>
          <w:sz w:val="24"/>
          <w:szCs w:val="24"/>
          <w:highlight w:val="none"/>
        </w:rPr>
        <w:t>工程质量保修书由发包人、承包人在工程竣工验收前共同签署，作为施工合同附件，其有效期限至保修期满。</w:t>
      </w:r>
    </w:p>
    <w:p w14:paraId="5CE6C6E8">
      <w:pPr>
        <w:spacing w:line="360" w:lineRule="auto"/>
        <w:rPr>
          <w:rFonts w:ascii="宋体"/>
          <w:color w:val="auto"/>
          <w:sz w:val="24"/>
          <w:szCs w:val="24"/>
          <w:highlight w:val="none"/>
        </w:rPr>
      </w:pPr>
    </w:p>
    <w:p w14:paraId="19400E63">
      <w:pPr>
        <w:spacing w:line="360" w:lineRule="auto"/>
        <w:rPr>
          <w:color w:val="auto"/>
          <w:sz w:val="24"/>
          <w:szCs w:val="24"/>
          <w:highlight w:val="none"/>
        </w:rPr>
      </w:pPr>
      <w:r>
        <w:rPr>
          <w:rFonts w:hAnsi="宋体"/>
          <w:color w:val="auto"/>
          <w:sz w:val="24"/>
          <w:szCs w:val="24"/>
          <w:highlight w:val="none"/>
        </w:rPr>
        <w:t>发包人</w:t>
      </w:r>
      <w:r>
        <w:rPr>
          <w:rFonts w:hint="eastAsia"/>
          <w:color w:val="auto"/>
          <w:sz w:val="24"/>
          <w:szCs w:val="24"/>
          <w:highlight w:val="none"/>
        </w:rPr>
        <w:t>（</w:t>
      </w:r>
      <w:r>
        <w:rPr>
          <w:rFonts w:hAnsi="宋体"/>
          <w:color w:val="auto"/>
          <w:sz w:val="24"/>
          <w:szCs w:val="24"/>
          <w:highlight w:val="none"/>
        </w:rPr>
        <w:t>公章</w:t>
      </w:r>
      <w:r>
        <w:rPr>
          <w:rFonts w:hint="eastAsia"/>
          <w:color w:val="auto"/>
          <w:sz w:val="24"/>
          <w:szCs w:val="24"/>
          <w:highlight w:val="none"/>
        </w:rPr>
        <w:t>）</w:t>
      </w:r>
      <w:r>
        <w:rPr>
          <w:rFonts w:hAnsi="宋体"/>
          <w:color w:val="auto"/>
          <w:sz w:val="24"/>
          <w:szCs w:val="24"/>
          <w:highlight w:val="none"/>
        </w:rPr>
        <w:t>：</w:t>
      </w:r>
      <w:r>
        <w:rPr>
          <w:color w:val="auto"/>
          <w:sz w:val="24"/>
          <w:szCs w:val="24"/>
          <w:highlight w:val="none"/>
          <w:u w:val="single"/>
        </w:rPr>
        <w:t xml:space="preserve"> </w:t>
      </w:r>
      <w:r>
        <w:rPr>
          <w:rFonts w:ascii="宋体" w:hAnsi="宋体"/>
          <w:color w:val="auto"/>
          <w:sz w:val="24"/>
          <w:szCs w:val="24"/>
          <w:highlight w:val="none"/>
          <w:u w:val="single"/>
        </w:rPr>
        <w:t></w:t>
      </w:r>
      <w:r>
        <w:rPr>
          <w:color w:val="auto"/>
          <w:sz w:val="24"/>
          <w:szCs w:val="24"/>
          <w:highlight w:val="none"/>
          <w:u w:val="single"/>
        </w:rPr>
        <w:t xml:space="preserve"> </w:t>
      </w:r>
      <w:r>
        <w:rPr>
          <w:rFonts w:ascii="宋体" w:hAnsi="宋体"/>
          <w:color w:val="auto"/>
          <w:sz w:val="24"/>
          <w:szCs w:val="24"/>
          <w:highlight w:val="none"/>
          <w:u w:val="single"/>
        </w:rPr>
        <w:t></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rFonts w:hAnsi="宋体"/>
          <w:color w:val="auto"/>
          <w:sz w:val="24"/>
          <w:szCs w:val="24"/>
          <w:highlight w:val="none"/>
        </w:rPr>
        <w:t>承包人</w:t>
      </w:r>
      <w:r>
        <w:rPr>
          <w:rFonts w:hint="eastAsia"/>
          <w:color w:val="auto"/>
          <w:sz w:val="24"/>
          <w:szCs w:val="24"/>
          <w:highlight w:val="none"/>
        </w:rPr>
        <w:t>（</w:t>
      </w:r>
      <w:r>
        <w:rPr>
          <w:rFonts w:hAnsi="宋体"/>
          <w:color w:val="auto"/>
          <w:sz w:val="24"/>
          <w:szCs w:val="24"/>
          <w:highlight w:val="none"/>
        </w:rPr>
        <w:t>公章</w:t>
      </w:r>
      <w:r>
        <w:rPr>
          <w:rFonts w:hint="eastAsia"/>
          <w:color w:val="auto"/>
          <w:sz w:val="24"/>
          <w:szCs w:val="24"/>
          <w:highlight w:val="none"/>
        </w:rPr>
        <w:t>）</w:t>
      </w:r>
      <w:r>
        <w:rPr>
          <w:rFonts w:hAnsi="宋体"/>
          <w:color w:val="auto"/>
          <w:sz w:val="24"/>
          <w:szCs w:val="24"/>
          <w:highlight w:val="none"/>
        </w:rPr>
        <w:t>：</w:t>
      </w:r>
      <w:r>
        <w:rPr>
          <w:rFonts w:ascii="宋体" w:hAnsi="宋体"/>
          <w:color w:val="auto"/>
          <w:sz w:val="24"/>
          <w:szCs w:val="24"/>
          <w:highlight w:val="none"/>
          <w:u w:val="single"/>
        </w:rPr>
        <w:t></w:t>
      </w:r>
      <w:r>
        <w:rPr>
          <w:color w:val="auto"/>
          <w:sz w:val="24"/>
          <w:szCs w:val="24"/>
          <w:highlight w:val="none"/>
          <w:u w:val="single"/>
        </w:rPr>
        <w:t xml:space="preserve">          </w:t>
      </w:r>
      <w:r>
        <w:rPr>
          <w:rFonts w:ascii="宋体" w:hAnsi="宋体"/>
          <w:color w:val="auto"/>
          <w:sz w:val="24"/>
          <w:szCs w:val="24"/>
          <w:highlight w:val="none"/>
          <w:u w:val="single"/>
        </w:rPr>
        <w:t></w:t>
      </w:r>
    </w:p>
    <w:p w14:paraId="5C4C962C">
      <w:pPr>
        <w:spacing w:line="360" w:lineRule="auto"/>
        <w:rPr>
          <w:color w:val="auto"/>
          <w:sz w:val="24"/>
          <w:szCs w:val="24"/>
          <w:highlight w:val="none"/>
        </w:rPr>
      </w:pPr>
      <w:r>
        <w:rPr>
          <w:rFonts w:hAnsi="宋体"/>
          <w:color w:val="auto"/>
          <w:sz w:val="24"/>
          <w:szCs w:val="24"/>
          <w:highlight w:val="none"/>
        </w:rPr>
        <w:t>地</w:t>
      </w:r>
      <w:r>
        <w:rPr>
          <w:color w:val="auto"/>
          <w:sz w:val="24"/>
          <w:szCs w:val="24"/>
          <w:highlight w:val="none"/>
        </w:rPr>
        <w:t xml:space="preserve">  </w:t>
      </w:r>
      <w:r>
        <w:rPr>
          <w:rFonts w:hAnsi="宋体"/>
          <w:color w:val="auto"/>
          <w:sz w:val="24"/>
          <w:szCs w:val="24"/>
          <w:highlight w:val="none"/>
        </w:rPr>
        <w:t>址：</w:t>
      </w:r>
      <w:r>
        <w:rPr>
          <w:color w:val="auto"/>
          <w:sz w:val="24"/>
          <w:szCs w:val="24"/>
          <w:highlight w:val="none"/>
          <w:u w:val="single"/>
        </w:rPr>
        <w:t xml:space="preserve"> </w:t>
      </w:r>
      <w:r>
        <w:rPr>
          <w:rFonts w:ascii="宋体" w:hAnsi="宋体"/>
          <w:color w:val="auto"/>
          <w:sz w:val="24"/>
          <w:szCs w:val="24"/>
          <w:highlight w:val="none"/>
          <w:u w:val="single"/>
        </w:rPr>
        <w:t></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rFonts w:hAnsi="宋体"/>
          <w:color w:val="auto"/>
          <w:sz w:val="24"/>
          <w:szCs w:val="24"/>
          <w:highlight w:val="none"/>
        </w:rPr>
        <w:t>地</w:t>
      </w:r>
      <w:r>
        <w:rPr>
          <w:color w:val="auto"/>
          <w:sz w:val="24"/>
          <w:szCs w:val="24"/>
          <w:highlight w:val="none"/>
        </w:rPr>
        <w:t xml:space="preserve">  </w:t>
      </w:r>
      <w:r>
        <w:rPr>
          <w:rFonts w:hAnsi="宋体"/>
          <w:color w:val="auto"/>
          <w:sz w:val="24"/>
          <w:szCs w:val="24"/>
          <w:highlight w:val="none"/>
        </w:rPr>
        <w:t>址：</w:t>
      </w:r>
      <w:r>
        <w:rPr>
          <w:rFonts w:ascii="宋体" w:hAnsi="宋体"/>
          <w:color w:val="auto"/>
          <w:sz w:val="24"/>
          <w:szCs w:val="24"/>
          <w:highlight w:val="none"/>
          <w:u w:val="single"/>
        </w:rPr>
        <w:t></w:t>
      </w:r>
      <w:r>
        <w:rPr>
          <w:color w:val="auto"/>
          <w:sz w:val="24"/>
          <w:szCs w:val="24"/>
          <w:highlight w:val="none"/>
          <w:u w:val="single"/>
        </w:rPr>
        <w:t xml:space="preserve"> </w:t>
      </w:r>
      <w:r>
        <w:rPr>
          <w:rFonts w:hint="eastAsia"/>
          <w:color w:val="auto"/>
          <w:sz w:val="24"/>
          <w:szCs w:val="24"/>
          <w:highlight w:val="none"/>
          <w:u w:val="single"/>
        </w:rPr>
        <w:t xml:space="preserve">     </w:t>
      </w:r>
      <w:r>
        <w:rPr>
          <w:rFonts w:ascii="宋体" w:hAnsi="宋体"/>
          <w:color w:val="auto"/>
          <w:sz w:val="24"/>
          <w:szCs w:val="24"/>
          <w:highlight w:val="none"/>
          <w:u w:val="single"/>
        </w:rPr>
        <w:t></w:t>
      </w:r>
    </w:p>
    <w:p w14:paraId="380F015B">
      <w:pPr>
        <w:spacing w:line="360" w:lineRule="auto"/>
        <w:rPr>
          <w:color w:val="auto"/>
          <w:sz w:val="24"/>
          <w:szCs w:val="24"/>
          <w:highlight w:val="none"/>
        </w:rPr>
      </w:pPr>
      <w:r>
        <w:rPr>
          <w:rFonts w:hAnsi="宋体"/>
          <w:color w:val="auto"/>
          <w:sz w:val="24"/>
          <w:szCs w:val="24"/>
          <w:highlight w:val="none"/>
        </w:rPr>
        <w:t>法定代表人</w:t>
      </w:r>
      <w:r>
        <w:rPr>
          <w:rFonts w:hint="eastAsia"/>
          <w:color w:val="auto"/>
          <w:sz w:val="24"/>
          <w:szCs w:val="24"/>
          <w:highlight w:val="none"/>
        </w:rPr>
        <w:t>（</w:t>
      </w:r>
      <w:r>
        <w:rPr>
          <w:rFonts w:hAnsi="宋体"/>
          <w:color w:val="auto"/>
          <w:sz w:val="24"/>
          <w:szCs w:val="24"/>
          <w:highlight w:val="none"/>
        </w:rPr>
        <w:t>签字</w:t>
      </w:r>
      <w:r>
        <w:rPr>
          <w:rFonts w:hint="eastAsia"/>
          <w:color w:val="auto"/>
          <w:sz w:val="24"/>
          <w:szCs w:val="24"/>
          <w:highlight w:val="none"/>
        </w:rPr>
        <w:t>）</w:t>
      </w:r>
      <w:r>
        <w:rPr>
          <w:rFonts w:hAnsi="宋体"/>
          <w:color w:val="auto"/>
          <w:sz w:val="24"/>
          <w:szCs w:val="24"/>
          <w:highlight w:val="none"/>
        </w:rPr>
        <w:t>：</w:t>
      </w:r>
      <w:r>
        <w:rPr>
          <w:rFonts w:ascii="宋体" w:hAnsi="宋体"/>
          <w:color w:val="auto"/>
          <w:sz w:val="24"/>
          <w:szCs w:val="24"/>
          <w:highlight w:val="none"/>
          <w:u w:val="single"/>
        </w:rPr>
        <w:t></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rFonts w:hAnsi="宋体"/>
          <w:color w:val="auto"/>
          <w:sz w:val="24"/>
          <w:szCs w:val="24"/>
          <w:highlight w:val="none"/>
        </w:rPr>
        <w:t>法定代表人</w:t>
      </w:r>
      <w:r>
        <w:rPr>
          <w:rFonts w:hint="eastAsia"/>
          <w:color w:val="auto"/>
          <w:sz w:val="24"/>
          <w:szCs w:val="24"/>
          <w:highlight w:val="none"/>
        </w:rPr>
        <w:t>（</w:t>
      </w:r>
      <w:r>
        <w:rPr>
          <w:rFonts w:hAnsi="宋体"/>
          <w:color w:val="auto"/>
          <w:sz w:val="24"/>
          <w:szCs w:val="24"/>
          <w:highlight w:val="none"/>
        </w:rPr>
        <w:t>签字</w:t>
      </w:r>
      <w:r>
        <w:rPr>
          <w:rFonts w:hint="eastAsia"/>
          <w:color w:val="auto"/>
          <w:sz w:val="24"/>
          <w:szCs w:val="24"/>
          <w:highlight w:val="none"/>
        </w:rPr>
        <w:t>）</w:t>
      </w:r>
      <w:r>
        <w:rPr>
          <w:rFonts w:hAnsi="宋体"/>
          <w:color w:val="auto"/>
          <w:sz w:val="24"/>
          <w:szCs w:val="24"/>
          <w:highlight w:val="none"/>
        </w:rPr>
        <w:t>：</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w:t>
      </w:r>
    </w:p>
    <w:p w14:paraId="7F9652FA">
      <w:pPr>
        <w:spacing w:line="360" w:lineRule="auto"/>
        <w:rPr>
          <w:color w:val="auto"/>
          <w:sz w:val="24"/>
          <w:szCs w:val="24"/>
          <w:highlight w:val="none"/>
        </w:rPr>
      </w:pPr>
      <w:r>
        <w:rPr>
          <w:rFonts w:hAnsi="宋体"/>
          <w:color w:val="auto"/>
          <w:sz w:val="24"/>
          <w:szCs w:val="24"/>
          <w:highlight w:val="none"/>
        </w:rPr>
        <w:t>委托代理人</w:t>
      </w:r>
      <w:r>
        <w:rPr>
          <w:rFonts w:hint="eastAsia"/>
          <w:color w:val="auto"/>
          <w:sz w:val="24"/>
          <w:szCs w:val="24"/>
          <w:highlight w:val="none"/>
        </w:rPr>
        <w:t>（</w:t>
      </w:r>
      <w:r>
        <w:rPr>
          <w:rFonts w:hAnsi="宋体"/>
          <w:color w:val="auto"/>
          <w:sz w:val="24"/>
          <w:szCs w:val="24"/>
          <w:highlight w:val="none"/>
        </w:rPr>
        <w:t>签字</w:t>
      </w:r>
      <w:r>
        <w:rPr>
          <w:rFonts w:hint="eastAsia"/>
          <w:color w:val="auto"/>
          <w:sz w:val="24"/>
          <w:szCs w:val="24"/>
          <w:highlight w:val="none"/>
        </w:rPr>
        <w:t>）</w:t>
      </w:r>
      <w:r>
        <w:rPr>
          <w:rFonts w:hAnsi="宋体"/>
          <w:color w:val="auto"/>
          <w:sz w:val="24"/>
          <w:szCs w:val="24"/>
          <w:highlight w:val="none"/>
        </w:rPr>
        <w:t>：</w:t>
      </w:r>
      <w:r>
        <w:rPr>
          <w:rFonts w:ascii="宋体" w:hAnsi="宋体"/>
          <w:color w:val="auto"/>
          <w:sz w:val="24"/>
          <w:szCs w:val="24"/>
          <w:highlight w:val="none"/>
          <w:u w:val="single"/>
        </w:rPr>
        <w:t></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rFonts w:hAnsi="宋体"/>
          <w:color w:val="auto"/>
          <w:sz w:val="24"/>
          <w:szCs w:val="24"/>
          <w:highlight w:val="none"/>
        </w:rPr>
        <w:t>委托代理人</w:t>
      </w:r>
      <w:r>
        <w:rPr>
          <w:rFonts w:hint="eastAsia"/>
          <w:color w:val="auto"/>
          <w:sz w:val="24"/>
          <w:szCs w:val="24"/>
          <w:highlight w:val="none"/>
        </w:rPr>
        <w:t>（</w:t>
      </w:r>
      <w:r>
        <w:rPr>
          <w:rFonts w:hAnsi="宋体"/>
          <w:color w:val="auto"/>
          <w:sz w:val="24"/>
          <w:szCs w:val="24"/>
          <w:highlight w:val="none"/>
        </w:rPr>
        <w:t>签字</w:t>
      </w:r>
      <w:r>
        <w:rPr>
          <w:rFonts w:hint="eastAsia"/>
          <w:color w:val="auto"/>
          <w:sz w:val="24"/>
          <w:szCs w:val="24"/>
          <w:highlight w:val="none"/>
        </w:rPr>
        <w:t>）</w:t>
      </w:r>
      <w:r>
        <w:rPr>
          <w:rFonts w:hAnsi="宋体"/>
          <w:color w:val="auto"/>
          <w:sz w:val="24"/>
          <w:szCs w:val="24"/>
          <w:highlight w:val="none"/>
        </w:rPr>
        <w:t>：</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w:t>
      </w:r>
    </w:p>
    <w:p w14:paraId="4581A711">
      <w:pPr>
        <w:spacing w:line="360" w:lineRule="auto"/>
        <w:rPr>
          <w:color w:val="auto"/>
          <w:sz w:val="24"/>
          <w:szCs w:val="24"/>
          <w:highlight w:val="none"/>
        </w:rPr>
      </w:pPr>
      <w:r>
        <w:rPr>
          <w:rFonts w:hAnsi="宋体"/>
          <w:color w:val="auto"/>
          <w:sz w:val="24"/>
          <w:szCs w:val="24"/>
          <w:highlight w:val="none"/>
        </w:rPr>
        <w:t>电</w:t>
      </w:r>
      <w:r>
        <w:rPr>
          <w:color w:val="auto"/>
          <w:sz w:val="24"/>
          <w:szCs w:val="24"/>
          <w:highlight w:val="none"/>
        </w:rPr>
        <w:t xml:space="preserve">  </w:t>
      </w:r>
      <w:r>
        <w:rPr>
          <w:rFonts w:hAnsi="宋体"/>
          <w:color w:val="auto"/>
          <w:sz w:val="24"/>
          <w:szCs w:val="24"/>
          <w:highlight w:val="none"/>
        </w:rPr>
        <w:t>话：</w:t>
      </w:r>
      <w:r>
        <w:rPr>
          <w:rFonts w:ascii="宋体" w:hAnsi="宋体"/>
          <w:color w:val="auto"/>
          <w:sz w:val="24"/>
          <w:szCs w:val="24"/>
          <w:highlight w:val="none"/>
          <w:u w:val="single"/>
        </w:rPr>
        <w:t></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rFonts w:hAnsi="宋体"/>
          <w:color w:val="auto"/>
          <w:sz w:val="24"/>
          <w:szCs w:val="24"/>
          <w:highlight w:val="none"/>
        </w:rPr>
        <w:t>电</w:t>
      </w:r>
      <w:r>
        <w:rPr>
          <w:color w:val="auto"/>
          <w:sz w:val="24"/>
          <w:szCs w:val="24"/>
          <w:highlight w:val="none"/>
        </w:rPr>
        <w:t xml:space="preserve">  </w:t>
      </w:r>
      <w:r>
        <w:rPr>
          <w:rFonts w:hAnsi="宋体"/>
          <w:color w:val="auto"/>
          <w:sz w:val="24"/>
          <w:szCs w:val="24"/>
          <w:highlight w:val="none"/>
        </w:rPr>
        <w:t>话：</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w:t>
      </w:r>
    </w:p>
    <w:p w14:paraId="38A2452E">
      <w:pPr>
        <w:spacing w:line="360" w:lineRule="auto"/>
        <w:rPr>
          <w:color w:val="auto"/>
          <w:sz w:val="24"/>
          <w:szCs w:val="24"/>
          <w:highlight w:val="none"/>
        </w:rPr>
      </w:pPr>
      <w:r>
        <w:rPr>
          <w:rFonts w:hAnsi="宋体"/>
          <w:color w:val="auto"/>
          <w:sz w:val="24"/>
          <w:szCs w:val="24"/>
          <w:highlight w:val="none"/>
        </w:rPr>
        <w:t>传</w:t>
      </w:r>
      <w:r>
        <w:rPr>
          <w:color w:val="auto"/>
          <w:sz w:val="24"/>
          <w:szCs w:val="24"/>
          <w:highlight w:val="none"/>
        </w:rPr>
        <w:t xml:space="preserve">  </w:t>
      </w:r>
      <w:r>
        <w:rPr>
          <w:rFonts w:hAnsi="宋体"/>
          <w:color w:val="auto"/>
          <w:sz w:val="24"/>
          <w:szCs w:val="24"/>
          <w:highlight w:val="none"/>
        </w:rPr>
        <w:t>真：</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rFonts w:hAnsi="宋体"/>
          <w:color w:val="auto"/>
          <w:sz w:val="24"/>
          <w:szCs w:val="24"/>
          <w:highlight w:val="none"/>
        </w:rPr>
        <w:t>传</w:t>
      </w:r>
      <w:r>
        <w:rPr>
          <w:color w:val="auto"/>
          <w:sz w:val="24"/>
          <w:szCs w:val="24"/>
          <w:highlight w:val="none"/>
        </w:rPr>
        <w:t xml:space="preserve">  </w:t>
      </w:r>
      <w:r>
        <w:rPr>
          <w:rFonts w:hAnsi="宋体"/>
          <w:color w:val="auto"/>
          <w:sz w:val="24"/>
          <w:szCs w:val="24"/>
          <w:highlight w:val="none"/>
        </w:rPr>
        <w:t>真：</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r>
        <w:rPr>
          <w:color w:val="auto"/>
          <w:sz w:val="24"/>
          <w:szCs w:val="24"/>
          <w:highlight w:val="none"/>
          <w:u w:val="single"/>
        </w:rPr>
        <w:t xml:space="preserve">  </w:t>
      </w:r>
      <w:r>
        <w:rPr>
          <w:rFonts w:ascii="宋体" w:hAnsi="宋体"/>
          <w:color w:val="auto"/>
          <w:sz w:val="24"/>
          <w:szCs w:val="24"/>
          <w:highlight w:val="none"/>
          <w:u w:val="single"/>
        </w:rPr>
        <w:t></w:t>
      </w:r>
    </w:p>
    <w:p w14:paraId="7CF82CC6">
      <w:pPr>
        <w:spacing w:line="360" w:lineRule="auto"/>
        <w:rPr>
          <w:color w:val="auto"/>
          <w:sz w:val="24"/>
          <w:szCs w:val="24"/>
          <w:highlight w:val="none"/>
        </w:rPr>
      </w:pPr>
      <w:r>
        <w:rPr>
          <w:rFonts w:hAnsi="宋体"/>
          <w:color w:val="auto"/>
          <w:sz w:val="24"/>
          <w:szCs w:val="24"/>
          <w:highlight w:val="none"/>
        </w:rPr>
        <w:t>开户银行：</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rFonts w:hAnsi="宋体"/>
          <w:color w:val="auto"/>
          <w:sz w:val="24"/>
          <w:szCs w:val="24"/>
          <w:highlight w:val="none"/>
        </w:rPr>
        <w:t>开户银行：</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w:t>
      </w:r>
    </w:p>
    <w:p w14:paraId="5AA90D4F">
      <w:pPr>
        <w:tabs>
          <w:tab w:val="left" w:pos="2880"/>
          <w:tab w:val="left" w:pos="3060"/>
          <w:tab w:val="left" w:pos="4500"/>
        </w:tabs>
        <w:spacing w:line="360" w:lineRule="auto"/>
        <w:rPr>
          <w:color w:val="auto"/>
          <w:sz w:val="24"/>
          <w:szCs w:val="24"/>
          <w:highlight w:val="none"/>
        </w:rPr>
      </w:pPr>
      <w:r>
        <w:rPr>
          <w:rFonts w:hAnsi="宋体"/>
          <w:color w:val="auto"/>
          <w:sz w:val="24"/>
          <w:szCs w:val="24"/>
          <w:highlight w:val="none"/>
        </w:rPr>
        <w:t>账</w:t>
      </w:r>
      <w:r>
        <w:rPr>
          <w:color w:val="auto"/>
          <w:sz w:val="24"/>
          <w:szCs w:val="24"/>
          <w:highlight w:val="none"/>
        </w:rPr>
        <w:t xml:space="preserve">  </w:t>
      </w:r>
      <w:r>
        <w:rPr>
          <w:rFonts w:hAnsi="宋体"/>
          <w:color w:val="auto"/>
          <w:sz w:val="24"/>
          <w:szCs w:val="24"/>
          <w:highlight w:val="none"/>
        </w:rPr>
        <w:t>号：</w:t>
      </w:r>
      <w:r>
        <w:rPr>
          <w:rFonts w:ascii="宋体" w:hAnsi="宋体"/>
          <w:color w:val="auto"/>
          <w:sz w:val="24"/>
          <w:szCs w:val="24"/>
          <w:highlight w:val="none"/>
          <w:u w:val="single"/>
        </w:rPr>
        <w:t></w:t>
      </w:r>
      <w:r>
        <w:rPr>
          <w:color w:val="auto"/>
          <w:sz w:val="24"/>
          <w:szCs w:val="24"/>
          <w:highlight w:val="none"/>
          <w:u w:val="single"/>
        </w:rPr>
        <w:t xml:space="preserve"> </w:t>
      </w:r>
      <w:r>
        <w:rPr>
          <w:rFonts w:ascii="宋体" w:hAnsi="宋体"/>
          <w:color w:val="auto"/>
          <w:sz w:val="24"/>
          <w:szCs w:val="24"/>
          <w:highlight w:val="none"/>
          <w:u w:val="single"/>
        </w:rPr>
        <w:t></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rFonts w:hAnsi="宋体"/>
          <w:color w:val="auto"/>
          <w:sz w:val="24"/>
          <w:szCs w:val="24"/>
          <w:highlight w:val="none"/>
        </w:rPr>
        <w:t>账</w:t>
      </w:r>
      <w:r>
        <w:rPr>
          <w:color w:val="auto"/>
          <w:sz w:val="24"/>
          <w:szCs w:val="24"/>
          <w:highlight w:val="none"/>
        </w:rPr>
        <w:t xml:space="preserve">  </w:t>
      </w:r>
      <w:r>
        <w:rPr>
          <w:rFonts w:hAnsi="宋体"/>
          <w:color w:val="auto"/>
          <w:sz w:val="24"/>
          <w:szCs w:val="24"/>
          <w:highlight w:val="none"/>
        </w:rPr>
        <w:t>号：</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w:t>
      </w:r>
    </w:p>
    <w:p w14:paraId="0A19589D">
      <w:pPr>
        <w:spacing w:line="360" w:lineRule="auto"/>
        <w:rPr>
          <w:rFonts w:ascii="宋体"/>
          <w:color w:val="auto"/>
          <w:sz w:val="24"/>
          <w:szCs w:val="24"/>
          <w:highlight w:val="none"/>
          <w:u w:val="single"/>
        </w:rPr>
      </w:pPr>
      <w:r>
        <w:rPr>
          <w:rFonts w:hAnsi="宋体"/>
          <w:color w:val="auto"/>
          <w:sz w:val="24"/>
          <w:szCs w:val="24"/>
          <w:highlight w:val="none"/>
        </w:rPr>
        <w:t>邮政编码：</w:t>
      </w:r>
      <w:r>
        <w:rPr>
          <w:color w:val="auto"/>
          <w:sz w:val="24"/>
          <w:szCs w:val="24"/>
          <w:highlight w:val="none"/>
          <w:u w:val="single"/>
        </w:rPr>
        <w:t xml:space="preserve"> </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rFonts w:hAnsi="宋体"/>
          <w:color w:val="auto"/>
          <w:sz w:val="24"/>
          <w:szCs w:val="24"/>
          <w:highlight w:val="none"/>
        </w:rPr>
        <w:t>邮政编码：</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w:t>
      </w:r>
      <w:r>
        <w:rPr>
          <w:rFonts w:hint="eastAsia" w:ascii="宋体" w:hAnsi="宋体"/>
          <w:color w:val="auto"/>
          <w:sz w:val="24"/>
          <w:szCs w:val="24"/>
          <w:highlight w:val="none"/>
          <w:u w:val="single"/>
        </w:rPr>
        <w:t xml:space="preserve"> </w:t>
      </w:r>
    </w:p>
    <w:p w14:paraId="6CC30B89">
      <w:pPr>
        <w:spacing w:line="380" w:lineRule="exact"/>
        <w:jc w:val="both"/>
        <w:rPr>
          <w:rFonts w:hint="eastAsia" w:ascii="宋体" w:hAnsi="宋体" w:eastAsia="宋体" w:cs="宋体"/>
          <w:b/>
          <w:bCs/>
          <w:sz w:val="32"/>
          <w:szCs w:val="32"/>
          <w:highlight w:val="none"/>
          <w:u w:val="none"/>
          <w:lang w:val="en-US" w:eastAsia="zh-CN"/>
        </w:rPr>
      </w:pPr>
      <w:r>
        <w:rPr>
          <w:rFonts w:hint="eastAsia" w:ascii="宋体" w:hAnsi="宋体" w:eastAsia="宋体" w:cs="宋体"/>
          <w:color w:val="000000"/>
          <w:sz w:val="24"/>
          <w:highlight w:val="none"/>
        </w:rPr>
        <w:br w:type="page"/>
      </w:r>
      <w:r>
        <w:rPr>
          <w:rFonts w:hint="eastAsia" w:ascii="宋体" w:hAnsi="宋体" w:eastAsia="宋体" w:cs="宋体"/>
          <w:color w:val="000000"/>
          <w:sz w:val="24"/>
          <w:highlight w:val="none"/>
        </w:rPr>
        <w:t>附件</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w:t>
      </w:r>
      <w:r>
        <w:rPr>
          <w:rFonts w:hint="eastAsia" w:ascii="宋体" w:hAnsi="宋体" w:eastAsia="宋体" w:cs="宋体"/>
          <w:b/>
          <w:bCs/>
          <w:sz w:val="32"/>
          <w:szCs w:val="32"/>
          <w:highlight w:val="none"/>
          <w:u w:val="none"/>
          <w:lang w:val="en-US" w:eastAsia="zh-CN"/>
        </w:rPr>
        <w:t xml:space="preserve"> </w:t>
      </w:r>
    </w:p>
    <w:p w14:paraId="2591C57D">
      <w:pPr>
        <w:spacing w:line="380" w:lineRule="exact"/>
        <w:jc w:val="center"/>
        <w:rPr>
          <w:rFonts w:hint="eastAsia" w:ascii="宋体" w:hAnsi="宋体" w:eastAsia="宋体" w:cs="宋体"/>
          <w:b/>
          <w:bCs/>
          <w:sz w:val="32"/>
          <w:szCs w:val="32"/>
          <w:highlight w:val="none"/>
          <w:u w:val="none"/>
        </w:rPr>
      </w:pPr>
      <w:r>
        <w:rPr>
          <w:rFonts w:hint="eastAsia" w:ascii="宋体" w:hAnsi="宋体" w:eastAsia="宋体" w:cs="宋体"/>
          <w:b/>
          <w:bCs/>
          <w:sz w:val="32"/>
          <w:szCs w:val="32"/>
          <w:highlight w:val="none"/>
          <w:u w:val="none"/>
        </w:rPr>
        <w:t>项目经理委任书</w:t>
      </w:r>
    </w:p>
    <w:p w14:paraId="61D1A940">
      <w:pPr>
        <w:spacing w:line="380" w:lineRule="exact"/>
        <w:rPr>
          <w:rFonts w:hint="eastAsia" w:ascii="宋体" w:hAnsi="宋体" w:eastAsia="宋体" w:cs="宋体"/>
          <w:b w:val="0"/>
          <w:bCs w:val="0"/>
          <w:highlight w:val="none"/>
        </w:rPr>
      </w:pPr>
    </w:p>
    <w:p w14:paraId="676DA8CF">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致：</w:t>
      </w:r>
      <w:r>
        <w:rPr>
          <w:rFonts w:hint="eastAsia" w:ascii="宋体" w:hAnsi="宋体" w:eastAsia="宋体" w:cs="宋体"/>
          <w:b w:val="0"/>
          <w:bCs w:val="0"/>
          <w:sz w:val="24"/>
          <w:szCs w:val="24"/>
          <w:highlight w:val="none"/>
          <w:u w:val="single"/>
          <w:lang w:val="en-US" w:eastAsia="zh-CN"/>
        </w:rPr>
        <w:t>（发包人名称）</w:t>
      </w:r>
    </w:p>
    <w:p w14:paraId="191ADD1C">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（承包人名称</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b/>
          <w:bCs/>
          <w:sz w:val="24"/>
          <w:szCs w:val="24"/>
          <w:highlight w:val="none"/>
          <w:u w:val="single"/>
          <w:lang w:val="en-US" w:eastAsia="zh-CN"/>
        </w:rPr>
        <w:t>XX</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代表本单位委任 </w:t>
      </w:r>
      <w:r>
        <w:rPr>
          <w:rFonts w:hint="eastAsia" w:ascii="宋体" w:hAnsi="宋体" w:eastAsia="宋体" w:cs="宋体"/>
          <w:b/>
          <w:bCs/>
          <w:sz w:val="24"/>
          <w:szCs w:val="24"/>
          <w:highlight w:val="none"/>
          <w:u w:val="single"/>
          <w:lang w:val="en-US" w:eastAsia="zh-CN"/>
        </w:rPr>
        <w:t>XX</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 xml:space="preserve"> 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i w:val="0"/>
          <w:iCs w:val="0"/>
          <w:sz w:val="24"/>
          <w:szCs w:val="24"/>
          <w:highlight w:val="none"/>
          <w:u w:val="single"/>
          <w:lang w:val="en-US" w:eastAsia="zh-CN"/>
        </w:rPr>
        <w:t>XX工程</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的项目经理。凡本合同执行中的有关技术、工程进度、现场管理、质量检验、结算与支付等方面工作，由</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lang w:val="en-US" w:eastAsia="zh-CN"/>
        </w:rPr>
        <w:t>XX</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代表本单位全面负责。</w:t>
      </w:r>
    </w:p>
    <w:p w14:paraId="3AABFBCB">
      <w:pPr>
        <w:spacing w:line="380" w:lineRule="exact"/>
        <w:rPr>
          <w:rFonts w:hint="eastAsia" w:ascii="宋体" w:hAnsi="宋体" w:eastAsia="宋体" w:cs="宋体"/>
          <w:highlight w:val="none"/>
        </w:rPr>
      </w:pPr>
    </w:p>
    <w:p w14:paraId="16C59AE4">
      <w:pPr>
        <w:spacing w:line="380" w:lineRule="exact"/>
        <w:jc w:val="right"/>
        <w:rPr>
          <w:rFonts w:hint="eastAsia" w:ascii="宋体" w:hAnsi="宋体" w:eastAsia="宋体" w:cs="宋体"/>
          <w:sz w:val="24"/>
          <w:szCs w:val="24"/>
          <w:highlight w:val="none"/>
        </w:rPr>
      </w:pPr>
    </w:p>
    <w:p w14:paraId="4D9CD496">
      <w:pPr>
        <w:spacing w:line="380" w:lineRule="exact"/>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14:paraId="489D6EC3">
      <w:pPr>
        <w:spacing w:line="3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承包人：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（盖单位章）</w:t>
      </w:r>
    </w:p>
    <w:p w14:paraId="7401E8EE">
      <w:pPr>
        <w:spacing w:line="560" w:lineRule="exact"/>
        <w:ind w:firstLine="420"/>
        <w:jc w:val="center"/>
        <w:rPr>
          <w:rFonts w:hint="eastAsia" w:ascii="宋体" w:hAnsi="宋体" w:eastAsia="宋体" w:cs="宋体"/>
          <w:i w:val="0"/>
          <w:iCs w:val="0"/>
          <w:sz w:val="28"/>
          <w:szCs w:val="28"/>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p>
    <w:p w14:paraId="7E12D73F">
      <w:pPr>
        <w:spacing w:line="560" w:lineRule="exact"/>
        <w:ind w:firstLine="420"/>
        <w:rPr>
          <w:rFonts w:hint="default" w:ascii="宋体" w:hAnsi="宋体" w:eastAsia="宋体" w:cs="宋体"/>
          <w:i w:val="0"/>
          <w:iCs w:val="0"/>
          <w:highlight w:val="none"/>
          <w:lang w:val="en-US" w:eastAsia="zh-CN"/>
        </w:rPr>
      </w:pPr>
      <w:r>
        <w:rPr>
          <w:rFonts w:hint="eastAsia" w:ascii="宋体" w:hAnsi="宋体" w:eastAsia="宋体" w:cs="宋体"/>
          <w:i w:val="0"/>
          <w:iCs w:val="0"/>
          <w:highlight w:val="none"/>
          <w:lang w:val="en-US" w:eastAsia="zh-CN"/>
        </w:rPr>
        <w:t xml:space="preserve">           </w:t>
      </w:r>
    </w:p>
    <w:p w14:paraId="72E7470A">
      <w:pPr>
        <w:pStyle w:val="28"/>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bCs w:val="0"/>
          <w:i w:val="0"/>
          <w:iCs w:val="0"/>
          <w:sz w:val="24"/>
          <w:szCs w:val="24"/>
          <w:highlight w:val="none"/>
          <w:lang w:val="en-US" w:eastAsia="zh-CN"/>
        </w:rPr>
        <w:t xml:space="preserve">                                                 </w:t>
      </w:r>
      <w:r>
        <w:rPr>
          <w:rFonts w:hint="eastAsia" w:ascii="宋体" w:hAnsi="宋体" w:eastAsia="宋体" w:cs="宋体"/>
          <w:b w:val="0"/>
          <w:bCs/>
          <w:i w:val="0"/>
          <w:iCs w:val="0"/>
          <w:sz w:val="24"/>
          <w:szCs w:val="24"/>
          <w:highlight w:val="none"/>
          <w:lang w:val="en-US" w:eastAsia="zh-CN"/>
        </w:rPr>
        <w:t>年   月   日</w:t>
      </w:r>
    </w:p>
    <w:p w14:paraId="3ABBB0E9">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i w:val="0"/>
          <w:iCs w:val="0"/>
          <w:sz w:val="24"/>
          <w:szCs w:val="24"/>
          <w:highlight w:val="none"/>
        </w:rPr>
      </w:pPr>
      <w:r>
        <w:rPr>
          <w:rFonts w:hint="eastAsia" w:ascii="宋体" w:hAnsi="宋体" w:eastAsia="宋体" w:cs="宋体"/>
          <w:color w:val="000000"/>
          <w:sz w:val="24"/>
          <w:highlight w:val="none"/>
        </w:rPr>
        <w:br w:type="page"/>
      </w:r>
      <w:bookmarkStart w:id="959" w:name="_Toc2891"/>
      <w:r>
        <w:rPr>
          <w:rFonts w:hint="eastAsia" w:ascii="宋体" w:hAnsi="宋体" w:eastAsia="宋体" w:cs="宋体"/>
          <w:b w:val="0"/>
          <w:bCs/>
          <w:i w:val="0"/>
          <w:iCs w:val="0"/>
          <w:sz w:val="24"/>
          <w:szCs w:val="24"/>
          <w:highlight w:val="none"/>
        </w:rPr>
        <w:t>附件</w:t>
      </w:r>
      <w:r>
        <w:rPr>
          <w:rFonts w:hint="eastAsia" w:ascii="宋体" w:hAnsi="宋体" w:eastAsia="宋体" w:cs="宋体"/>
          <w:b w:val="0"/>
          <w:bCs/>
          <w:i w:val="0"/>
          <w:iCs w:val="0"/>
          <w:sz w:val="24"/>
          <w:szCs w:val="24"/>
          <w:highlight w:val="none"/>
          <w:lang w:val="en-US" w:eastAsia="zh-CN"/>
        </w:rPr>
        <w:t>3</w:t>
      </w:r>
      <w:r>
        <w:rPr>
          <w:rFonts w:hint="eastAsia" w:ascii="宋体" w:hAnsi="宋体" w:eastAsia="宋体" w:cs="宋体"/>
          <w:b w:val="0"/>
          <w:bCs/>
          <w:i w:val="0"/>
          <w:iCs w:val="0"/>
          <w:sz w:val="24"/>
          <w:szCs w:val="24"/>
          <w:highlight w:val="none"/>
        </w:rPr>
        <w:t>：</w:t>
      </w:r>
      <w:bookmarkEnd w:id="959"/>
    </w:p>
    <w:p w14:paraId="0A5A255E">
      <w:pPr>
        <w:jc w:val="center"/>
        <w:rPr>
          <w:rFonts w:hint="eastAsia" w:ascii="宋体" w:hAnsi="宋体" w:eastAsia="宋体" w:cs="宋体"/>
          <w:sz w:val="32"/>
          <w:szCs w:val="32"/>
          <w:highlight w:val="none"/>
          <w:lang w:val="en-US" w:eastAsia="zh-CN"/>
        </w:rPr>
      </w:pPr>
      <w:r>
        <w:rPr>
          <w:rFonts w:hint="eastAsia" w:ascii="宋体" w:hAnsi="宋体" w:eastAsia="宋体" w:cs="宋体"/>
          <w:b/>
          <w:bCs/>
          <w:i w:val="0"/>
          <w:iCs w:val="0"/>
          <w:sz w:val="32"/>
          <w:szCs w:val="32"/>
          <w:highlight w:val="none"/>
        </w:rPr>
        <w:t>廉政责任书</w:t>
      </w:r>
    </w:p>
    <w:p w14:paraId="0F87AE7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根据有关工程建设、廉政建设的规定，为做好工程建设中的党风廉政建设，保证工程建设高效优质，保证建设资金的安全和有效使用以及投资效益，</w:t>
      </w:r>
      <w:r>
        <w:rPr>
          <w:rFonts w:hint="eastAsia" w:ascii="宋体" w:hAnsi="宋体" w:eastAsia="宋体" w:cs="宋体"/>
          <w:b/>
          <w:sz w:val="24"/>
          <w:szCs w:val="24"/>
          <w:highlight w:val="none"/>
          <w:u w:val="single"/>
        </w:rPr>
        <w:t xml:space="preserve"> </w:t>
      </w:r>
      <w:r>
        <w:rPr>
          <w:rFonts w:hint="eastAsia" w:ascii="宋体" w:hAnsi="宋体" w:eastAsia="宋体" w:cs="宋体"/>
          <w:b/>
          <w:bCs/>
          <w:i w:val="0"/>
          <w:iCs w:val="0"/>
          <w:sz w:val="24"/>
          <w:szCs w:val="24"/>
          <w:highlight w:val="none"/>
          <w:u w:val="single"/>
          <w:lang w:val="en-US" w:eastAsia="zh-CN"/>
        </w:rPr>
        <w:t>XX工程</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 xml:space="preserve">项目法人 </w:t>
      </w:r>
      <w:r>
        <w:rPr>
          <w:rFonts w:hint="eastAsia" w:ascii="宋体" w:hAnsi="宋体" w:eastAsia="宋体" w:cs="宋体"/>
          <w:b/>
          <w:sz w:val="24"/>
          <w:szCs w:val="24"/>
          <w:highlight w:val="none"/>
          <w:u w:val="single"/>
          <w:lang w:val="en-US" w:eastAsia="zh-CN"/>
        </w:rPr>
        <w:t xml:space="preserve">XXX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与该项目的施工单位</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XXX</w:t>
      </w:r>
      <w:r>
        <w:rPr>
          <w:rFonts w:hint="eastAsia" w:ascii="宋体" w:hAnsi="宋体" w:eastAsia="宋体" w:cs="宋体"/>
          <w:b/>
          <w:sz w:val="24"/>
          <w:szCs w:val="24"/>
          <w:highlight w:val="none"/>
          <w:u w:val="single"/>
          <w:lang w:eastAsia="zh-CN"/>
        </w:rPr>
        <w:t>公司</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特订立如下合同。</w:t>
      </w:r>
    </w:p>
    <w:p w14:paraId="261DDD4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1．发包人和承包人双方的权利和义务</w:t>
      </w:r>
    </w:p>
    <w:p w14:paraId="1DDD775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（1）严格遵守党的政策规定和国家有关法律法规及交通运输部的有关规定。</w:t>
      </w:r>
    </w:p>
    <w:p w14:paraId="698C6C3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（2）严格执行</w:t>
      </w:r>
      <w:r>
        <w:rPr>
          <w:rFonts w:hint="eastAsia" w:ascii="宋体" w:hAnsi="宋体" w:eastAsia="宋体" w:cs="宋体"/>
          <w:b/>
          <w:sz w:val="24"/>
          <w:szCs w:val="24"/>
          <w:highlight w:val="none"/>
          <w:u w:val="single"/>
        </w:rPr>
        <w:t xml:space="preserve"> </w:t>
      </w:r>
      <w:r>
        <w:rPr>
          <w:rFonts w:hint="eastAsia" w:ascii="宋体" w:hAnsi="宋体" w:eastAsia="宋体" w:cs="宋体"/>
          <w:b/>
          <w:bCs/>
          <w:i w:val="0"/>
          <w:iCs w:val="0"/>
          <w:sz w:val="24"/>
          <w:szCs w:val="24"/>
          <w:highlight w:val="none"/>
          <w:u w:val="single"/>
          <w:lang w:val="en-US" w:eastAsia="zh-CN"/>
        </w:rPr>
        <w:t>XX工程</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施工合同文件，自觉按合同办事。</w:t>
      </w:r>
    </w:p>
    <w:p w14:paraId="7052E6F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（3）双方的业务活动坚持公开、公正、诚信、透明的原则（法律认定的商业秘密和合同文件另有规定除外），不得损害国家和集体利益，不得违反工程建设管理规章制度。</w:t>
      </w:r>
    </w:p>
    <w:p w14:paraId="0FA31CD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（4）建立健全廉政制度，开展廉政教育，设立廉政告示牌，公布举报电话，监督并认真查处违法违纪行为。</w:t>
      </w:r>
    </w:p>
    <w:p w14:paraId="1A172D4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（5）发现对方在业务活动中有违反廉政规定的行为，有及时提醒对方纠正的权利和义务。</w:t>
      </w:r>
    </w:p>
    <w:p w14:paraId="230F09E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（6）发现对方严重违反本合同义务条款的行为，有向其上级有关部门举报、建议给予处理并要求告知处理结果的权利。</w:t>
      </w:r>
    </w:p>
    <w:p w14:paraId="0D528B1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2．发包人的义务</w:t>
      </w:r>
    </w:p>
    <w:p w14:paraId="079AD58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（1）发包人及其工作人员不得索要或接受承包人的礼金、有价证券和贵重物品，不得让承包人报销任何应由发包人或发包人工作人员个人支付的费用等。</w:t>
      </w:r>
    </w:p>
    <w:p w14:paraId="180487D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（2）发包人工作人员不得参加承包人安排的超标准宴请和娱乐活动；不得接受承包人提供的通讯工具、交通工具和高档办公用品等。</w:t>
      </w:r>
    </w:p>
    <w:p w14:paraId="34D4E4C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（3）发包人及其工作人员不得要求或者接受承包人为其住房装修、婚丧嫁娶活动、配偶子女的工作安排以及出国出境、旅游等提供方便等。</w:t>
      </w:r>
    </w:p>
    <w:p w14:paraId="6CBFFF4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（4）发包人工作人员及其配偶、子女不得从事与发包人工作有关的材料设备供应、工程分包、劳务等经济活动等。</w:t>
      </w:r>
    </w:p>
    <w:p w14:paraId="63B9C70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（5）发包人及期工作人员不得以任何理由向承包人推荐分包单位或推销材料，不得要求承包人购买合同规定外的材料和设备。</w:t>
      </w:r>
    </w:p>
    <w:p w14:paraId="02AE8C0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（6）发包人工作人员要秉公办事，不准营私舞弊，不准利用职权从事各种个人有偿中介活动和安排个人施工队伍。</w:t>
      </w:r>
    </w:p>
    <w:p w14:paraId="6453DA1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3．承包人的义务</w:t>
      </w:r>
    </w:p>
    <w:p w14:paraId="6DB7EA33">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（1）承包人不得以任何理由向发包人及其工作人员行贿或馈赠礼金、有价证券、贵重礼品。</w:t>
      </w:r>
    </w:p>
    <w:p w14:paraId="36EA841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（2）承包人不得以任何名义为发包人及其工作人员报销应由发包人单位或个人支付的任何费用。</w:t>
      </w:r>
    </w:p>
    <w:p w14:paraId="23BCCD4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（3）承包人不得以任何理由安排发包人工作人员参加超标准宴请及娱乐活动。</w:t>
      </w:r>
    </w:p>
    <w:p w14:paraId="3C05678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（4）承包人不得为发包人单位和个人购置或提供通讯工具、交通工具和高档办公用品等。</w:t>
      </w:r>
    </w:p>
    <w:p w14:paraId="3D17CB1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4．违约责任</w:t>
      </w:r>
    </w:p>
    <w:p w14:paraId="2CDF7E7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（1）发包人及其工作人员违反本合同第1、2条，按管理权限，依据有关规定给予党纪、政纪或组织处理；涉嫌犯罪的，移交司法机关追究刑事责任；给承包人单位造成经济损失的，应予以赔偿。</w:t>
      </w:r>
    </w:p>
    <w:p w14:paraId="31702FC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（2）承包人及其工作人员违反本合同第1、3条，按管理权限，依据有关规定给予党纪、政纪或组织处理；给发包人单位造成经济损失的，应予以赔偿；情节严重的，发包人建议</w:t>
      </w:r>
      <w:r>
        <w:rPr>
          <w:rFonts w:hint="eastAsia" w:ascii="宋体" w:hAnsi="宋体" w:eastAsia="宋体" w:cs="宋体"/>
          <w:sz w:val="24"/>
          <w:szCs w:val="24"/>
          <w:highlight w:val="none"/>
          <w:lang w:val="en-US" w:eastAsia="zh-CN"/>
        </w:rPr>
        <w:t>建设</w:t>
      </w:r>
      <w:r>
        <w:rPr>
          <w:rFonts w:hint="eastAsia" w:ascii="宋体" w:hAnsi="宋体" w:eastAsia="宋体" w:cs="宋体"/>
          <w:sz w:val="24"/>
          <w:szCs w:val="24"/>
          <w:highlight w:val="none"/>
        </w:rPr>
        <w:t>主管部门给予承包人一至三年内不得进入其主管的</w:t>
      </w:r>
      <w:r>
        <w:rPr>
          <w:rFonts w:hint="eastAsia" w:ascii="宋体" w:hAnsi="宋体" w:eastAsia="宋体" w:cs="宋体"/>
          <w:sz w:val="24"/>
          <w:szCs w:val="24"/>
          <w:highlight w:val="none"/>
          <w:lang w:eastAsia="zh-CN"/>
        </w:rPr>
        <w:t>建设工程</w:t>
      </w:r>
      <w:r>
        <w:rPr>
          <w:rFonts w:hint="eastAsia" w:ascii="宋体" w:hAnsi="宋体" w:eastAsia="宋体" w:cs="宋体"/>
          <w:sz w:val="24"/>
          <w:szCs w:val="24"/>
          <w:highlight w:val="none"/>
        </w:rPr>
        <w:t>市场的处罚。</w:t>
      </w:r>
    </w:p>
    <w:p w14:paraId="260D31B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8E70BC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6.本合同有效期为发包人和承包人签署之日起至该工程项目竣工验收后止。</w:t>
      </w:r>
    </w:p>
    <w:p w14:paraId="5C65D7E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7．本合同作为</w:t>
      </w:r>
      <w:r>
        <w:rPr>
          <w:rFonts w:hint="eastAsia" w:ascii="宋体" w:hAnsi="宋体" w:eastAsia="宋体" w:cs="宋体"/>
          <w:b/>
          <w:sz w:val="24"/>
          <w:szCs w:val="24"/>
          <w:highlight w:val="none"/>
          <w:u w:val="single"/>
        </w:rPr>
        <w:t xml:space="preserve"> </w:t>
      </w:r>
      <w:r>
        <w:rPr>
          <w:rFonts w:hint="eastAsia" w:ascii="宋体" w:hAnsi="宋体" w:eastAsia="宋体" w:cs="宋体"/>
          <w:b/>
          <w:bCs/>
          <w:i w:val="0"/>
          <w:iCs w:val="0"/>
          <w:sz w:val="24"/>
          <w:szCs w:val="24"/>
          <w:highlight w:val="none"/>
          <w:u w:val="single"/>
          <w:lang w:val="en-US" w:eastAsia="zh-CN"/>
        </w:rPr>
        <w:t>XX工程</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施工合同的附件，与工程施工合同具有同等的法律效力，经合同双方签署后立即生效。</w:t>
      </w:r>
    </w:p>
    <w:p w14:paraId="7301642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8．本合同一式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份，发包人和承包人各执</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w:t>
      </w:r>
    </w:p>
    <w:p w14:paraId="557A4504">
      <w:pPr>
        <w:spacing w:line="500" w:lineRule="exact"/>
        <w:rPr>
          <w:rFonts w:hint="eastAsia" w:ascii="宋体" w:hAnsi="宋体" w:eastAsia="宋体" w:cs="宋体"/>
          <w:sz w:val="24"/>
          <w:szCs w:val="24"/>
          <w:highlight w:val="none"/>
        </w:rPr>
      </w:pPr>
    </w:p>
    <w:p w14:paraId="0DA6A995">
      <w:pPr>
        <w:spacing w:line="500" w:lineRule="exact"/>
        <w:ind w:left="1920" w:hanging="1920" w:hangingChars="8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发包人：</w:t>
      </w:r>
      <w:r>
        <w:rPr>
          <w:rFonts w:hint="eastAsia" w:ascii="宋体" w:hAnsi="宋体" w:eastAsia="宋体" w:cs="宋体"/>
          <w:sz w:val="24"/>
          <w:szCs w:val="24"/>
          <w:highlight w:val="none"/>
          <w:u w:val="single"/>
        </w:rPr>
        <w:t xml:space="preserve">广西防城港市防城区农业农村局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承包人：</w:t>
      </w:r>
      <w:r>
        <w:rPr>
          <w:rFonts w:hint="eastAsia" w:ascii="宋体" w:hAnsi="宋体" w:eastAsia="宋体" w:cs="宋体"/>
          <w:sz w:val="24"/>
          <w:szCs w:val="24"/>
          <w:highlight w:val="none"/>
          <w:u w:val="single"/>
          <w:lang w:val="en-US" w:eastAsia="zh-CN"/>
        </w:rPr>
        <w:t xml:space="preserve">              </w:t>
      </w:r>
    </w:p>
    <w:p w14:paraId="28C7B201">
      <w:pPr>
        <w:spacing w:line="500" w:lineRule="exact"/>
        <w:ind w:left="1916" w:leftChars="684"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（盖单位章）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（盖单位章） </w:t>
      </w:r>
    </w:p>
    <w:p w14:paraId="463BA3AE">
      <w:pPr>
        <w:spacing w:line="500" w:lineRule="exact"/>
        <w:rPr>
          <w:rFonts w:hint="eastAsia" w:ascii="宋体" w:hAnsi="宋体" w:eastAsia="宋体" w:cs="宋体"/>
          <w:sz w:val="24"/>
          <w:szCs w:val="24"/>
          <w:highlight w:val="none"/>
        </w:rPr>
      </w:pPr>
    </w:p>
    <w:p w14:paraId="3C93F5A8">
      <w:pPr>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p>
    <w:p w14:paraId="534A0EC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                            （签字或盖章）</w:t>
      </w:r>
    </w:p>
    <w:p w14:paraId="5C8A9996">
      <w:pPr>
        <w:spacing w:line="500" w:lineRule="exact"/>
        <w:rPr>
          <w:rFonts w:hint="eastAsia" w:ascii="宋体" w:hAnsi="宋体" w:eastAsia="宋体" w:cs="宋体"/>
          <w:sz w:val="24"/>
          <w:szCs w:val="24"/>
          <w:highlight w:val="none"/>
        </w:rPr>
      </w:pPr>
    </w:p>
    <w:p w14:paraId="01559310">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rPr>
        <w:t xml:space="preserve">签订日期：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0452349">
      <w:pPr>
        <w:spacing w:line="440" w:lineRule="exact"/>
        <w:rPr>
          <w:rFonts w:hint="eastAsia" w:ascii="宋体" w:hAnsi="宋体" w:eastAsia="宋体" w:cs="宋体"/>
          <w:i w:val="0"/>
          <w:iCs w:val="0"/>
          <w:sz w:val="24"/>
          <w:szCs w:val="24"/>
          <w:highlight w:val="none"/>
        </w:rPr>
      </w:pPr>
    </w:p>
    <w:p w14:paraId="23E32590">
      <w:pPr>
        <w:rPr>
          <w:rFonts w:hint="eastAsia" w:ascii="宋体" w:hAnsi="宋体" w:eastAsia="宋体" w:cs="宋体"/>
          <w:i w:val="0"/>
          <w:iCs w:val="0"/>
          <w:sz w:val="24"/>
          <w:szCs w:val="24"/>
          <w:highlight w:val="none"/>
        </w:rPr>
      </w:pPr>
    </w:p>
    <w:p w14:paraId="64DF7837">
      <w:pP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br w:type="pag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4</w:t>
      </w:r>
      <w:r>
        <w:rPr>
          <w:rFonts w:hint="eastAsia" w:ascii="宋体" w:hAnsi="宋体" w:eastAsia="宋体" w:cs="宋体"/>
          <w:i w:val="0"/>
          <w:iCs w:val="0"/>
          <w:sz w:val="24"/>
          <w:szCs w:val="24"/>
          <w:highlight w:val="none"/>
        </w:rPr>
        <w:t>：</w:t>
      </w:r>
    </w:p>
    <w:p w14:paraId="72655E55">
      <w:pPr>
        <w:jc w:val="center"/>
        <w:rPr>
          <w:rFonts w:hint="eastAsia" w:ascii="宋体" w:hAnsi="宋体" w:eastAsia="宋体" w:cs="宋体"/>
          <w:b/>
          <w:bCs/>
          <w:i w:val="0"/>
          <w:iCs w:val="0"/>
          <w:sz w:val="32"/>
          <w:szCs w:val="32"/>
          <w:highlight w:val="none"/>
        </w:rPr>
      </w:pPr>
      <w:r>
        <w:rPr>
          <w:rFonts w:hint="eastAsia" w:ascii="宋体" w:hAnsi="宋体" w:eastAsia="宋体" w:cs="宋体"/>
          <w:b/>
          <w:bCs/>
          <w:i w:val="0"/>
          <w:iCs w:val="0"/>
          <w:sz w:val="32"/>
          <w:szCs w:val="32"/>
          <w:highlight w:val="none"/>
        </w:rPr>
        <w:t>安全生产合同</w:t>
      </w:r>
    </w:p>
    <w:p w14:paraId="4EA11A09">
      <w:pPr>
        <w:rPr>
          <w:rFonts w:hint="eastAsia" w:ascii="宋体" w:hAnsi="宋体" w:eastAsia="宋体" w:cs="宋体"/>
          <w:i w:val="0"/>
          <w:iCs w:val="0"/>
          <w:sz w:val="24"/>
          <w:szCs w:val="24"/>
          <w:highlight w:val="none"/>
        </w:rPr>
      </w:pPr>
    </w:p>
    <w:p w14:paraId="47ECC08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为在</w:t>
      </w:r>
      <w:r>
        <w:rPr>
          <w:rFonts w:hint="eastAsia" w:ascii="宋体" w:hAnsi="宋体" w:eastAsia="宋体" w:cs="宋体"/>
          <w:b/>
          <w:sz w:val="24"/>
          <w:szCs w:val="24"/>
          <w:highlight w:val="none"/>
          <w:u w:val="single"/>
        </w:rPr>
        <w:t xml:space="preserve"> </w:t>
      </w:r>
      <w:r>
        <w:rPr>
          <w:rFonts w:hint="eastAsia" w:ascii="宋体" w:hAnsi="宋体" w:eastAsia="宋体" w:cs="宋体"/>
          <w:b/>
          <w:bCs/>
          <w:i w:val="0"/>
          <w:iCs w:val="0"/>
          <w:sz w:val="24"/>
          <w:szCs w:val="24"/>
          <w:highlight w:val="none"/>
          <w:u w:val="single"/>
          <w:lang w:val="en-US" w:eastAsia="zh-CN"/>
        </w:rPr>
        <w:t>XX工程</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施工合同的实施过程中创造安全、高效的施工环境，切实搞好本项目的安全管理工作，本项目发包人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lang w:val="en-US" w:eastAsia="zh-CN"/>
        </w:rPr>
        <w:t>广西防城港市防城区农业农村局</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sz w:val="24"/>
          <w:szCs w:val="24"/>
          <w:highlight w:val="none"/>
        </w:rPr>
        <w:t>与承包人</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特此签订安全生产合同：</w:t>
      </w:r>
    </w:p>
    <w:p w14:paraId="55DB666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1.发包人职责</w:t>
      </w:r>
    </w:p>
    <w:p w14:paraId="08A4C7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（1）严格遵守国家有关安全生产的法律法规，认真执行工程承包合同中的有关安全要求。</w:t>
      </w:r>
    </w:p>
    <w:p w14:paraId="037A4E83">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（2）按照“安全第一、预防为主”和坚持“管生产必须管安全”的原则进行安全生产管理，做到生产与安全工作同时计划、布置、检查、总结和评比。</w:t>
      </w:r>
    </w:p>
    <w:p w14:paraId="7DE760B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（3）重要的安全设施必须坚持与主体工程“三同时”的原则，即：同时设计、审批，同时施工，同时验收，投入使用。</w:t>
      </w:r>
    </w:p>
    <w:p w14:paraId="45F883A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（4）定期召开安全生产调度会，及时传达中央</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地方有关安全生产的精神。</w:t>
      </w:r>
    </w:p>
    <w:p w14:paraId="6881C5C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（5）组织对承包人施工现场安全生产检查，监督承包人及时处理发现的各种安全隐患。</w:t>
      </w:r>
    </w:p>
    <w:p w14:paraId="6152D14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2.承包人职责</w:t>
      </w:r>
    </w:p>
    <w:p w14:paraId="534F106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（1）严格遵守《中华人民共和国安全生产法》、《建设工程安全生产管理条例》等国家有关安全生产的法律法规及自治区安全生产法规和</w:t>
      </w:r>
      <w:r>
        <w:rPr>
          <w:rFonts w:hint="eastAsia" w:ascii="宋体" w:hAnsi="宋体" w:eastAsia="宋体" w:cs="宋体"/>
          <w:sz w:val="24"/>
          <w:szCs w:val="24"/>
          <w:highlight w:val="none"/>
          <w:lang w:eastAsia="zh-CN"/>
        </w:rPr>
        <w:t>市政公用工程</w:t>
      </w:r>
      <w:r>
        <w:rPr>
          <w:rFonts w:hint="eastAsia" w:ascii="宋体" w:hAnsi="宋体" w:eastAsia="宋体" w:cs="宋体"/>
          <w:sz w:val="24"/>
          <w:szCs w:val="24"/>
          <w:highlight w:val="none"/>
        </w:rPr>
        <w:t>施工安全操作规范等规定。认真执行工程承包合同中的有关安全要求。</w:t>
      </w:r>
    </w:p>
    <w:p w14:paraId="2E9047B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DC241E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w:t>
      </w:r>
      <w:r>
        <w:rPr>
          <w:rFonts w:hint="eastAsia" w:ascii="宋体" w:hAnsi="宋体" w:eastAsia="宋体" w:cs="宋体"/>
          <w:sz w:val="24"/>
          <w:szCs w:val="24"/>
          <w:highlight w:val="none"/>
          <w:lang w:val="en-US" w:eastAsia="zh-CN"/>
        </w:rPr>
        <w:t>建设工程安全生产管理条例</w:t>
      </w:r>
      <w:r>
        <w:rPr>
          <w:rFonts w:hint="eastAsia" w:ascii="宋体" w:hAnsi="宋体" w:eastAsia="宋体" w:cs="宋体"/>
          <w:sz w:val="24"/>
          <w:szCs w:val="24"/>
          <w:highlight w:val="none"/>
        </w:rPr>
        <w:t>》规定的最低数量和资质条件配备专职安全生产管理人员，专职负责所有员工的安全和治安保卫工作及预防事故的发生。安全机构人员有权按有关规定发布指令，并采取保护性措施防止事故发生。</w:t>
      </w:r>
    </w:p>
    <w:p w14:paraId="646B266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（4）承包人在任何时候都应采取各种合理的预防措施，防止其员工发生任何违法、违禁、暴力或妨碍治安的行为。</w:t>
      </w:r>
    </w:p>
    <w:p w14:paraId="400E382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31D3DE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7EF4F4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（7）操作人员上岗，必须按规定穿戴防护用品。施工负责人和安全检查员应随时检查劳动防护用品的穿戴情况，不按规定穿戴防护用品的人员不得上岗。</w:t>
      </w:r>
    </w:p>
    <w:p w14:paraId="42A4F58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（8）所有施工机具设备和高空作业的设备均应定期检查，并有安全员的签字记录，保证其经常处于完好状态；不合格的机具、设备和劳动保护用品严禁使用：</w:t>
      </w:r>
    </w:p>
    <w:p w14:paraId="58ED4B9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（9）施工中采用新技术、新工艺、新设备、新材料时，必须制定相应的安全技术措施，施工现场必须具有相关的安全标志牌。</w:t>
      </w:r>
    </w:p>
    <w:p w14:paraId="24064EE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786C64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（11）安全生产费用按照《</w:t>
      </w:r>
      <w:r>
        <w:rPr>
          <w:rFonts w:hint="eastAsia" w:ascii="宋体" w:hAnsi="宋体" w:eastAsia="宋体" w:cs="宋体"/>
          <w:sz w:val="24"/>
          <w:szCs w:val="24"/>
          <w:highlight w:val="none"/>
          <w:lang w:eastAsia="zh-CN"/>
        </w:rPr>
        <w:t>建设工程安全生产管理条例</w:t>
      </w:r>
      <w:r>
        <w:rPr>
          <w:rFonts w:hint="eastAsia" w:ascii="宋体" w:hAnsi="宋体" w:eastAsia="宋体" w:cs="宋体"/>
          <w:sz w:val="24"/>
          <w:szCs w:val="24"/>
          <w:highlight w:val="none"/>
        </w:rPr>
        <w:t>》的相关规定使用和管理。</w:t>
      </w:r>
    </w:p>
    <w:p w14:paraId="157A907E">
      <w:pPr>
        <w:spacing w:line="50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(12) 安全生产严格按照《</w:t>
      </w:r>
      <w:r>
        <w:rPr>
          <w:rFonts w:hint="eastAsia" w:ascii="宋体" w:hAnsi="宋体" w:eastAsia="宋体" w:cs="宋体"/>
          <w:sz w:val="24"/>
          <w:szCs w:val="24"/>
          <w:highlight w:val="none"/>
          <w:lang w:eastAsia="zh-CN"/>
        </w:rPr>
        <w:t>建设工程安全生产管理条例</w:t>
      </w:r>
      <w:r>
        <w:rPr>
          <w:rFonts w:hint="eastAsia" w:ascii="宋体" w:hAnsi="宋体" w:eastAsia="宋体" w:cs="宋体"/>
          <w:sz w:val="24"/>
          <w:szCs w:val="24"/>
          <w:highlight w:val="none"/>
        </w:rPr>
        <w:t>》的规定和管理。</w:t>
      </w:r>
    </w:p>
    <w:p w14:paraId="0377008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3.违约责任</w:t>
      </w:r>
    </w:p>
    <w:p w14:paraId="7B92F19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如因发包人或承包人违约造成安全事故，将依法追究责任。</w:t>
      </w:r>
    </w:p>
    <w:p w14:paraId="22F11E03">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4.本合同由双方法定代表人或其授权的代理人签署并加盖单位章后生效，全部工程竣工验收后失效。</w:t>
      </w:r>
    </w:p>
    <w:p w14:paraId="57C5685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5.本合同一式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份，发包人和承包人各执</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w:t>
      </w:r>
    </w:p>
    <w:p w14:paraId="439C4631">
      <w:pPr>
        <w:spacing w:line="500" w:lineRule="exact"/>
        <w:ind w:left="1920" w:hanging="1920" w:hangingChars="800"/>
        <w:rPr>
          <w:rFonts w:hint="eastAsia" w:ascii="宋体" w:hAnsi="宋体" w:eastAsia="宋体" w:cs="宋体"/>
          <w:sz w:val="24"/>
          <w:szCs w:val="24"/>
          <w:highlight w:val="none"/>
        </w:rPr>
      </w:pPr>
    </w:p>
    <w:p w14:paraId="77C1451E">
      <w:pPr>
        <w:spacing w:line="500" w:lineRule="exact"/>
        <w:ind w:left="1920" w:hanging="1920" w:hangingChars="800"/>
        <w:rPr>
          <w:rFonts w:hint="eastAsia" w:ascii="宋体" w:hAnsi="宋体" w:eastAsia="宋体" w:cs="宋体"/>
          <w:sz w:val="24"/>
          <w:szCs w:val="24"/>
          <w:highlight w:val="none"/>
        </w:rPr>
      </w:pPr>
    </w:p>
    <w:p w14:paraId="2BB505DE">
      <w:pPr>
        <w:spacing w:line="500" w:lineRule="exact"/>
        <w:ind w:left="1920" w:hanging="1920" w:hangingChars="800"/>
        <w:rPr>
          <w:rFonts w:hint="eastAsia" w:ascii="宋体" w:hAnsi="宋体" w:eastAsia="宋体" w:cs="宋体"/>
          <w:sz w:val="24"/>
          <w:szCs w:val="24"/>
          <w:highlight w:val="none"/>
        </w:rPr>
      </w:pPr>
    </w:p>
    <w:p w14:paraId="620502AA">
      <w:pPr>
        <w:spacing w:line="500" w:lineRule="exact"/>
        <w:ind w:left="1920" w:hanging="1920" w:hangingChars="800"/>
        <w:rPr>
          <w:rFonts w:hint="eastAsia" w:ascii="宋体" w:hAnsi="宋体" w:eastAsia="宋体" w:cs="宋体"/>
          <w:sz w:val="24"/>
          <w:szCs w:val="24"/>
          <w:highlight w:val="none"/>
        </w:rPr>
      </w:pPr>
    </w:p>
    <w:p w14:paraId="524C21BB">
      <w:pPr>
        <w:spacing w:line="500" w:lineRule="exact"/>
        <w:ind w:left="1920" w:hanging="1920" w:hangingChars="8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发包人：</w:t>
      </w:r>
      <w:r>
        <w:rPr>
          <w:rFonts w:hint="eastAsia" w:ascii="宋体" w:hAnsi="宋体" w:eastAsia="宋体" w:cs="宋体"/>
          <w:sz w:val="24"/>
          <w:szCs w:val="24"/>
          <w:highlight w:val="none"/>
          <w:u w:val="single"/>
        </w:rPr>
        <w:t>广西防城港市防城区农业农村局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承包人：</w:t>
      </w:r>
      <w:r>
        <w:rPr>
          <w:rFonts w:hint="eastAsia" w:ascii="宋体" w:hAnsi="宋体" w:eastAsia="宋体" w:cs="宋体"/>
          <w:sz w:val="24"/>
          <w:szCs w:val="24"/>
          <w:highlight w:val="none"/>
          <w:u w:val="single"/>
          <w:lang w:val="en-US" w:eastAsia="zh-CN"/>
        </w:rPr>
        <w:t xml:space="preserve">                 </w:t>
      </w:r>
    </w:p>
    <w:p w14:paraId="556FF84D">
      <w:pPr>
        <w:spacing w:line="500" w:lineRule="exact"/>
        <w:ind w:left="1916" w:leftChars="684"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（盖单位章）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（盖单位章） </w:t>
      </w:r>
    </w:p>
    <w:p w14:paraId="7FBAC4D5">
      <w:pPr>
        <w:spacing w:line="500" w:lineRule="exact"/>
        <w:rPr>
          <w:rFonts w:hint="eastAsia" w:ascii="宋体" w:hAnsi="宋体" w:eastAsia="宋体" w:cs="宋体"/>
          <w:sz w:val="24"/>
          <w:szCs w:val="24"/>
          <w:highlight w:val="none"/>
        </w:rPr>
      </w:pPr>
    </w:p>
    <w:p w14:paraId="21D63130">
      <w:pPr>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p>
    <w:p w14:paraId="00C04F8E">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                            （签字或盖章）</w:t>
      </w:r>
    </w:p>
    <w:p w14:paraId="2E6B52F0">
      <w:pPr>
        <w:spacing w:line="500" w:lineRule="exact"/>
        <w:rPr>
          <w:rFonts w:hint="eastAsia" w:ascii="宋体" w:hAnsi="宋体" w:eastAsia="宋体" w:cs="宋体"/>
          <w:sz w:val="24"/>
          <w:szCs w:val="24"/>
          <w:highlight w:val="none"/>
        </w:rPr>
      </w:pPr>
    </w:p>
    <w:p w14:paraId="0708BD70">
      <w:pPr>
        <w:jc w:val="center"/>
        <w:rPr>
          <w:rFonts w:hint="eastAsia" w:ascii="宋体" w:hAnsi="宋体" w:eastAsia="宋体" w:cs="宋体"/>
          <w:highlight w:val="none"/>
        </w:rPr>
      </w:pPr>
      <w:r>
        <w:rPr>
          <w:rFonts w:hint="eastAsia" w:ascii="宋体" w:hAnsi="宋体" w:eastAsia="宋体" w:cs="宋体"/>
          <w:sz w:val="24"/>
          <w:szCs w:val="24"/>
          <w:highlight w:val="none"/>
        </w:rPr>
        <w:t xml:space="preserve">签订日期：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FCF3947">
      <w:pPr>
        <w:pStyle w:val="28"/>
        <w:rPr>
          <w:rFonts w:hint="eastAsia" w:ascii="宋体" w:hAnsi="宋体" w:eastAsia="宋体" w:cs="宋体"/>
          <w:i w:val="0"/>
          <w:iCs w:val="0"/>
          <w:szCs w:val="24"/>
          <w:highlight w:val="none"/>
        </w:rPr>
      </w:pPr>
    </w:p>
    <w:p w14:paraId="5E46FB8D">
      <w:pPr>
        <w:rPr>
          <w:rFonts w:hint="eastAsia"/>
          <w:color w:val="auto"/>
          <w:szCs w:val="21"/>
          <w:u w:val="single"/>
        </w:rPr>
      </w:pPr>
    </w:p>
    <w:p w14:paraId="2932F981">
      <w:pPr>
        <w:pageBreakBefore w:val="0"/>
        <w:kinsoku/>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sz w:val="24"/>
          <w:highlight w:val="none"/>
        </w:rPr>
        <w:t>附件</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w:t>
      </w:r>
    </w:p>
    <w:p w14:paraId="769F615C">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主要建设工程文件目录</w:t>
      </w:r>
    </w:p>
    <w:tbl>
      <w:tblPr>
        <w:tblStyle w:val="22"/>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6C18F6FF">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5E8DCA7">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88B20B3">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FA2C9F2">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3697F21">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FC7E6B9">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0968349E">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责任人</w:t>
            </w:r>
          </w:p>
        </w:tc>
      </w:tr>
      <w:tr w14:paraId="0FF38C29">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1D908F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396DD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20A71E">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FC158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E5261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2B2037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2C780227">
        <w:tblPrEx>
          <w:tblCellMar>
            <w:top w:w="0" w:type="dxa"/>
            <w:left w:w="0" w:type="dxa"/>
            <w:bottom w:w="0" w:type="dxa"/>
            <w:right w:w="0" w:type="dxa"/>
          </w:tblCellMar>
        </w:tblPrEx>
        <w:trPr>
          <w:trHeight w:val="567" w:hRule="atLeast"/>
          <w:jc w:val="center"/>
        </w:trPr>
        <w:tc>
          <w:tcPr>
            <w:tcW w:w="1953" w:type="dxa"/>
            <w:tcBorders>
              <w:top w:val="nil"/>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B46631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276"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32376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50"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F12FA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243"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9263A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50"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8A1479">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667" w:type="dxa"/>
            <w:tcBorders>
              <w:top w:val="nil"/>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27FF02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5DBFC23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466EC4B">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A18C8D">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10665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DBA125B">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1A2440">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71720D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7069AFC2">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48666D9">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BB7BEB">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3E5DC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EAE247">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E21F47">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B5449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4685A004">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328EFC3">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959161">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CA14B3">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409233">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4135EA">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466BBB7">
            <w:pPr>
              <w:pageBreakBefore w:val="0"/>
              <w:kinsoku/>
              <w:overflowPunct/>
              <w:topLinePunct w:val="0"/>
              <w:bidi w:val="0"/>
              <w:spacing w:line="360" w:lineRule="auto"/>
              <w:rPr>
                <w:rFonts w:hint="eastAsia" w:ascii="宋体" w:hAnsi="宋体" w:eastAsia="宋体" w:cs="宋体"/>
                <w:color w:val="000000"/>
                <w:sz w:val="24"/>
                <w:highlight w:val="none"/>
              </w:rPr>
            </w:pPr>
          </w:p>
        </w:tc>
      </w:tr>
      <w:tr w14:paraId="5D256F12">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66371D9">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6F48FB">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629F1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94C7F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8294F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19D649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0FD1F2FE">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0185BE4">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EE0357">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3F302F">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2803E9">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68BC0A">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E100849">
            <w:pPr>
              <w:pageBreakBefore w:val="0"/>
              <w:kinsoku/>
              <w:overflowPunct/>
              <w:topLinePunct w:val="0"/>
              <w:bidi w:val="0"/>
              <w:spacing w:line="360" w:lineRule="auto"/>
              <w:rPr>
                <w:rFonts w:hint="eastAsia" w:ascii="宋体" w:hAnsi="宋体" w:eastAsia="宋体" w:cs="宋体"/>
                <w:color w:val="000000"/>
                <w:sz w:val="24"/>
                <w:highlight w:val="none"/>
              </w:rPr>
            </w:pPr>
          </w:p>
        </w:tc>
      </w:tr>
      <w:tr w14:paraId="351DDD6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F20AD82">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067D8D">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8CB620">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7AFEF4">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6DC2ED">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A04CC6E">
            <w:pPr>
              <w:pageBreakBefore w:val="0"/>
              <w:kinsoku/>
              <w:overflowPunct/>
              <w:topLinePunct w:val="0"/>
              <w:bidi w:val="0"/>
              <w:spacing w:line="360" w:lineRule="auto"/>
              <w:rPr>
                <w:rFonts w:hint="eastAsia" w:ascii="宋体" w:hAnsi="宋体" w:eastAsia="宋体" w:cs="宋体"/>
                <w:color w:val="000000"/>
                <w:sz w:val="24"/>
                <w:highlight w:val="none"/>
              </w:rPr>
            </w:pPr>
          </w:p>
        </w:tc>
      </w:tr>
      <w:tr w14:paraId="37F4E2D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6C74B02">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1DFBD0">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FE2734">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A722CA">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204806">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3A2641">
            <w:pPr>
              <w:pageBreakBefore w:val="0"/>
              <w:kinsoku/>
              <w:overflowPunct/>
              <w:topLinePunct w:val="0"/>
              <w:bidi w:val="0"/>
              <w:spacing w:line="360" w:lineRule="auto"/>
              <w:rPr>
                <w:rFonts w:hint="eastAsia" w:ascii="宋体" w:hAnsi="宋体" w:eastAsia="宋体" w:cs="宋体"/>
                <w:color w:val="000000"/>
                <w:sz w:val="24"/>
                <w:highlight w:val="none"/>
              </w:rPr>
            </w:pPr>
          </w:p>
        </w:tc>
      </w:tr>
      <w:tr w14:paraId="6FD31C93">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9235244">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9C6CB8">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AF61903">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43EFB3">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E3A796">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1F25244">
            <w:pPr>
              <w:pageBreakBefore w:val="0"/>
              <w:kinsoku/>
              <w:overflowPunct/>
              <w:topLinePunct w:val="0"/>
              <w:bidi w:val="0"/>
              <w:spacing w:line="360" w:lineRule="auto"/>
              <w:rPr>
                <w:rFonts w:hint="eastAsia" w:ascii="宋体" w:hAnsi="宋体" w:eastAsia="宋体" w:cs="宋体"/>
                <w:color w:val="000000"/>
                <w:sz w:val="24"/>
                <w:highlight w:val="none"/>
              </w:rPr>
            </w:pPr>
          </w:p>
        </w:tc>
      </w:tr>
      <w:tr w14:paraId="30E1F6B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70DB33EA">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6FE3EE6">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9CB261">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3D83C89">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FC06A1D">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3DDE63F">
            <w:pPr>
              <w:pageBreakBefore w:val="0"/>
              <w:kinsoku/>
              <w:overflowPunct/>
              <w:topLinePunct w:val="0"/>
              <w:bidi w:val="0"/>
              <w:spacing w:line="360" w:lineRule="auto"/>
              <w:rPr>
                <w:rFonts w:hint="eastAsia" w:ascii="宋体" w:hAnsi="宋体" w:eastAsia="宋体" w:cs="宋体"/>
                <w:color w:val="000000"/>
                <w:sz w:val="24"/>
                <w:highlight w:val="none"/>
              </w:rPr>
            </w:pPr>
          </w:p>
        </w:tc>
      </w:tr>
    </w:tbl>
    <w:p w14:paraId="03B21E89">
      <w:pPr>
        <w:pageBreakBefore w:val="0"/>
        <w:kinsoku/>
        <w:overflowPunct/>
        <w:topLinePunct w:val="0"/>
        <w:bidi w:val="0"/>
        <w:spacing w:line="360" w:lineRule="auto"/>
        <w:rPr>
          <w:rFonts w:hint="eastAsia" w:ascii="宋体" w:hAnsi="宋体" w:eastAsia="宋体" w:cs="宋体"/>
          <w:color w:val="000000"/>
          <w:sz w:val="24"/>
          <w:szCs w:val="20"/>
          <w:highlight w:val="none"/>
        </w:rPr>
      </w:pPr>
    </w:p>
    <w:p w14:paraId="337E4B3A">
      <w:pPr>
        <w:pageBreakBefore w:val="0"/>
        <w:kinsoku/>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highlight w:val="none"/>
        </w:rPr>
        <w:br w:type="page"/>
      </w:r>
      <w:r>
        <w:rPr>
          <w:rFonts w:hint="eastAsia" w:ascii="宋体" w:hAnsi="宋体" w:eastAsia="宋体" w:cs="宋体"/>
          <w:color w:val="000000"/>
          <w:sz w:val="24"/>
          <w:highlight w:val="none"/>
        </w:rPr>
        <w:t>附件</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w:t>
      </w:r>
    </w:p>
    <w:p w14:paraId="11813F30">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承包人用于本工程施工的机械设备表</w:t>
      </w:r>
    </w:p>
    <w:tbl>
      <w:tblPr>
        <w:tblStyle w:val="22"/>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69BB735C">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30CD93F">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3234DC6">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64DBC6">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规格型号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94ED56C">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96C1A2E">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71FE131">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FE711C">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81E029E">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1C40257">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w:t>
            </w:r>
          </w:p>
        </w:tc>
      </w:tr>
      <w:tr w14:paraId="3A2C8812">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781F7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D68B56">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A9F34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096AE">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7626F6">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F1CFE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D208A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C06FE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7233841">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0C703525">
        <w:tblPrEx>
          <w:tblCellMar>
            <w:top w:w="0" w:type="dxa"/>
            <w:left w:w="0" w:type="dxa"/>
            <w:bottom w:w="0" w:type="dxa"/>
            <w:right w:w="0" w:type="dxa"/>
          </w:tblCellMar>
        </w:tblPrEx>
        <w:trPr>
          <w:trHeight w:val="567" w:hRule="atLeast"/>
          <w:jc w:val="center"/>
        </w:trPr>
        <w:tc>
          <w:tcPr>
            <w:tcW w:w="1162" w:type="dxa"/>
            <w:tcBorders>
              <w:top w:val="nil"/>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68C639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18"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26D63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50"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BBE1A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58"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CA2AFA">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80"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3889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AD83F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80"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A8F1B">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3A78AA">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921" w:type="dxa"/>
            <w:tcBorders>
              <w:top w:val="nil"/>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3B0FA8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1C69C112">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A7E8891">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B08E66">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5DD66B">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D167D">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627D19">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73200">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1543F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BD9FF0">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08062E">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61147A87">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932DDEF">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23F5EB">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A60B4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6A9B0">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F0A3B1">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D62E3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9859A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53AA2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C6264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141700D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C02D0B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976889">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D7CEA1">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21C46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0F1AC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232A4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4E65A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605CA4">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324D59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1A1BDB47">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687140D">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45609B">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9A144">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3A185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4469D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F5BBB4">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8509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422491">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339E284">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71AA8503">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379FDC0">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E161A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B028C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52BF21">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62803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F26B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868577">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784367">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3134F6">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28E7E35D">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E9EF86">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E51E5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839F7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E35BE7">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BE830">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6EBF9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432C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6C97B6">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3AAC73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645437F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13747D1">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F67632">
            <w:pPr>
              <w:pageBreakBefore w:val="0"/>
              <w:kinsoku/>
              <w:overflowPunct/>
              <w:topLinePunct w:val="0"/>
              <w:bidi w:val="0"/>
              <w:spacing w:line="360" w:lineRule="auto"/>
              <w:rPr>
                <w:rFonts w:hint="eastAsia" w:ascii="宋体" w:hAnsi="宋体" w:eastAsia="宋体" w:cs="宋体"/>
                <w:color w:val="000000"/>
                <w:sz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49D5E">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6C48E0">
            <w:pPr>
              <w:pageBreakBefore w:val="0"/>
              <w:kinsoku/>
              <w:overflowPunct/>
              <w:topLinePunct w:val="0"/>
              <w:bidi w:val="0"/>
              <w:spacing w:line="360" w:lineRule="auto"/>
              <w:rPr>
                <w:rFonts w:hint="eastAsia" w:ascii="宋体" w:hAnsi="宋体" w:eastAsia="宋体" w:cs="宋体"/>
                <w:color w:val="000000"/>
                <w:sz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913AF1">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71F9DC">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EDFD91">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15F586">
            <w:pPr>
              <w:pageBreakBefore w:val="0"/>
              <w:kinsoku/>
              <w:overflowPunct/>
              <w:topLinePunct w:val="0"/>
              <w:bidi w:val="0"/>
              <w:spacing w:line="360" w:lineRule="auto"/>
              <w:rPr>
                <w:rFonts w:hint="eastAsia" w:ascii="宋体" w:hAnsi="宋体" w:eastAsia="宋体" w:cs="宋体"/>
                <w:color w:val="000000"/>
                <w:sz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5DF8C9">
            <w:pPr>
              <w:pageBreakBefore w:val="0"/>
              <w:kinsoku/>
              <w:overflowPunct/>
              <w:topLinePunct w:val="0"/>
              <w:bidi w:val="0"/>
              <w:spacing w:line="360" w:lineRule="auto"/>
              <w:rPr>
                <w:rFonts w:hint="eastAsia" w:ascii="宋体" w:hAnsi="宋体" w:eastAsia="宋体" w:cs="宋体"/>
                <w:color w:val="000000"/>
                <w:sz w:val="24"/>
                <w:highlight w:val="none"/>
              </w:rPr>
            </w:pPr>
          </w:p>
        </w:tc>
      </w:tr>
      <w:tr w14:paraId="41E1A779">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1DB1FF6C">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1E60BF5">
            <w:pPr>
              <w:pageBreakBefore w:val="0"/>
              <w:kinsoku/>
              <w:overflowPunct/>
              <w:topLinePunct w:val="0"/>
              <w:bidi w:val="0"/>
              <w:spacing w:line="360" w:lineRule="auto"/>
              <w:rPr>
                <w:rFonts w:hint="eastAsia" w:ascii="宋体" w:hAnsi="宋体" w:eastAsia="宋体" w:cs="宋体"/>
                <w:color w:val="000000"/>
                <w:sz w:val="24"/>
                <w:highlight w:val="none"/>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0A3C247">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4876190">
            <w:pPr>
              <w:pageBreakBefore w:val="0"/>
              <w:kinsoku/>
              <w:overflowPunct/>
              <w:topLinePunct w:val="0"/>
              <w:bidi w:val="0"/>
              <w:spacing w:line="360" w:lineRule="auto"/>
              <w:rPr>
                <w:rFonts w:hint="eastAsia" w:ascii="宋体" w:hAnsi="宋体" w:eastAsia="宋体" w:cs="宋体"/>
                <w:color w:val="000000"/>
                <w:sz w:val="24"/>
                <w:highlight w:val="none"/>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13F0BA8">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93510DD">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4456B7B">
            <w:pPr>
              <w:pageBreakBefore w:val="0"/>
              <w:kinsoku/>
              <w:overflowPunct/>
              <w:topLinePunct w:val="0"/>
              <w:bidi w:val="0"/>
              <w:spacing w:line="360" w:lineRule="auto"/>
              <w:rPr>
                <w:rFonts w:hint="eastAsia" w:ascii="宋体" w:hAnsi="宋体" w:eastAsia="宋体" w:cs="宋体"/>
                <w:color w:val="000000"/>
                <w:sz w:val="24"/>
                <w:highlight w:val="none"/>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4677809A">
            <w:pPr>
              <w:pageBreakBefore w:val="0"/>
              <w:kinsoku/>
              <w:overflowPunct/>
              <w:topLinePunct w:val="0"/>
              <w:bidi w:val="0"/>
              <w:spacing w:line="360" w:lineRule="auto"/>
              <w:rPr>
                <w:rFonts w:hint="eastAsia" w:ascii="宋体" w:hAnsi="宋体" w:eastAsia="宋体" w:cs="宋体"/>
                <w:color w:val="000000"/>
                <w:sz w:val="24"/>
                <w:highlight w:val="none"/>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9581FE9">
            <w:pPr>
              <w:pageBreakBefore w:val="0"/>
              <w:kinsoku/>
              <w:overflowPunct/>
              <w:topLinePunct w:val="0"/>
              <w:bidi w:val="0"/>
              <w:spacing w:line="360" w:lineRule="auto"/>
              <w:rPr>
                <w:rFonts w:hint="eastAsia" w:ascii="宋体" w:hAnsi="宋体" w:eastAsia="宋体" w:cs="宋体"/>
                <w:color w:val="000000"/>
                <w:sz w:val="24"/>
                <w:highlight w:val="none"/>
              </w:rPr>
            </w:pPr>
          </w:p>
        </w:tc>
      </w:tr>
    </w:tbl>
    <w:p w14:paraId="48D7E232">
      <w:pPr>
        <w:pageBreakBefore w:val="0"/>
        <w:kinsoku/>
        <w:overflowPunct/>
        <w:topLinePunct w:val="0"/>
        <w:bidi w:val="0"/>
        <w:spacing w:line="360" w:lineRule="auto"/>
        <w:rPr>
          <w:rFonts w:hint="eastAsia" w:ascii="宋体" w:hAnsi="宋体" w:eastAsia="宋体" w:cs="宋体"/>
          <w:color w:val="000000"/>
          <w:sz w:val="24"/>
          <w:szCs w:val="20"/>
          <w:highlight w:val="none"/>
        </w:rPr>
      </w:pPr>
    </w:p>
    <w:p w14:paraId="422DCC76">
      <w:pPr>
        <w:pageBreakBefore w:val="0"/>
        <w:widowControl/>
        <w:kinsoku/>
        <w:overflowPunct/>
        <w:topLinePunct w:val="0"/>
        <w:bidi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highlight w:val="none"/>
        </w:rPr>
        <w:br w:type="page"/>
      </w:r>
    </w:p>
    <w:p w14:paraId="08F3BECB">
      <w:pPr>
        <w:pageBreakBefore w:val="0"/>
        <w:kinsoku/>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附件</w:t>
      </w: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w:t>
      </w:r>
    </w:p>
    <w:p w14:paraId="20FE536D">
      <w:pPr>
        <w:pageBreakBefore w:val="0"/>
        <w:kinsoku/>
        <w:overflowPunct/>
        <w:topLinePunct w:val="0"/>
        <w:bidi w:val="0"/>
        <w:spacing w:line="360" w:lineRule="auto"/>
        <w:jc w:val="center"/>
        <w:rPr>
          <w:rFonts w:hint="eastAsia" w:ascii="宋体" w:hAnsi="宋体" w:eastAsia="宋体" w:cs="宋体"/>
          <w:color w:val="000000"/>
          <w:sz w:val="24"/>
          <w:highlight w:val="none"/>
        </w:rPr>
      </w:pPr>
    </w:p>
    <w:p w14:paraId="6127C367">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承包人主要施工管理人员表</w:t>
      </w:r>
    </w:p>
    <w:tbl>
      <w:tblPr>
        <w:tblStyle w:val="22"/>
        <w:tblW w:w="0" w:type="auto"/>
        <w:jc w:val="center"/>
        <w:tblLayout w:type="fixed"/>
        <w:tblCellMar>
          <w:top w:w="0" w:type="dxa"/>
          <w:left w:w="0" w:type="dxa"/>
          <w:bottom w:w="0" w:type="dxa"/>
          <w:right w:w="0" w:type="dxa"/>
        </w:tblCellMar>
      </w:tblPr>
      <w:tblGrid>
        <w:gridCol w:w="1871"/>
        <w:gridCol w:w="1418"/>
        <w:gridCol w:w="1134"/>
        <w:gridCol w:w="1134"/>
        <w:gridCol w:w="4252"/>
      </w:tblGrid>
      <w:tr w14:paraId="5CD4D618">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A3AC1E9">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371435F">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43FF96A">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C9D14BD">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6F431F26">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主要资历、经验及承担过的项目</w:t>
            </w:r>
          </w:p>
        </w:tc>
      </w:tr>
      <w:tr w14:paraId="5E95BC31">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5BAE2160">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一、总部人员</w:t>
            </w:r>
          </w:p>
        </w:tc>
      </w:tr>
      <w:tr w14:paraId="0B11B42F">
        <w:tblPrEx>
          <w:tblCellMar>
            <w:top w:w="0" w:type="dxa"/>
            <w:left w:w="0" w:type="dxa"/>
            <w:bottom w:w="0" w:type="dxa"/>
            <w:right w:w="0" w:type="dxa"/>
          </w:tblCellMar>
        </w:tblPrEx>
        <w:trPr>
          <w:jc w:val="center"/>
        </w:trPr>
        <w:tc>
          <w:tcPr>
            <w:tcW w:w="1871" w:type="dxa"/>
            <w:tcBorders>
              <w:top w:val="nil"/>
              <w:left w:val="single" w:color="000000" w:sz="12" w:space="0"/>
              <w:bottom w:val="nil"/>
              <w:right w:val="single" w:color="000000" w:sz="6" w:space="0"/>
            </w:tcBorders>
            <w:noWrap w:val="0"/>
            <w:tcMar>
              <w:top w:w="0" w:type="dxa"/>
              <w:left w:w="28" w:type="dxa"/>
              <w:bottom w:w="0" w:type="dxa"/>
              <w:right w:w="28" w:type="dxa"/>
            </w:tcMar>
            <w:vAlign w:val="center"/>
          </w:tcPr>
          <w:p w14:paraId="3DC454E2">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项目主管</w:t>
            </w:r>
          </w:p>
        </w:tc>
        <w:tc>
          <w:tcPr>
            <w:tcW w:w="1418"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027BB5">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D6E5A77">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nil"/>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B4660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nil"/>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61C6C29">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04C407A9">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nil"/>
              <w:right w:val="single" w:color="000000" w:sz="6" w:space="0"/>
            </w:tcBorders>
            <w:noWrap w:val="0"/>
            <w:tcMar>
              <w:top w:w="0" w:type="dxa"/>
              <w:left w:w="28" w:type="dxa"/>
              <w:bottom w:w="0" w:type="dxa"/>
              <w:right w:w="28" w:type="dxa"/>
            </w:tcMar>
            <w:vAlign w:val="center"/>
          </w:tcPr>
          <w:p w14:paraId="052D72DA">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C59B42">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944E41">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FF420E">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9D726B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75402B57">
        <w:tblPrEx>
          <w:tblCellMar>
            <w:top w:w="0" w:type="dxa"/>
            <w:left w:w="0" w:type="dxa"/>
            <w:bottom w:w="0" w:type="dxa"/>
            <w:right w:w="0" w:type="dxa"/>
          </w:tblCellMar>
        </w:tblPrEx>
        <w:trPr>
          <w:jc w:val="center"/>
        </w:trPr>
        <w:tc>
          <w:tcPr>
            <w:tcW w:w="1871" w:type="dxa"/>
            <w:tcBorders>
              <w:top w:val="nil"/>
              <w:left w:val="single" w:color="000000" w:sz="12" w:space="0"/>
              <w:bottom w:val="nil"/>
              <w:right w:val="single" w:color="000000" w:sz="6" w:space="0"/>
            </w:tcBorders>
            <w:noWrap w:val="0"/>
            <w:tcMar>
              <w:top w:w="0" w:type="dxa"/>
              <w:left w:w="28" w:type="dxa"/>
              <w:bottom w:w="0" w:type="dxa"/>
              <w:right w:w="28" w:type="dxa"/>
            </w:tcMar>
            <w:vAlign w:val="center"/>
          </w:tcPr>
          <w:p w14:paraId="599AC55A">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2E44F4">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021AE5">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5A773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62D4467">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3264B56A">
        <w:tblPrEx>
          <w:tblCellMar>
            <w:top w:w="0" w:type="dxa"/>
            <w:left w:w="0" w:type="dxa"/>
            <w:bottom w:w="0" w:type="dxa"/>
            <w:right w:w="0" w:type="dxa"/>
          </w:tblCellMar>
        </w:tblPrEx>
        <w:trPr>
          <w:jc w:val="center"/>
        </w:trPr>
        <w:tc>
          <w:tcPr>
            <w:tcW w:w="1871" w:type="dxa"/>
            <w:tcBorders>
              <w:top w:val="nil"/>
              <w:left w:val="single" w:color="000000" w:sz="12" w:space="0"/>
              <w:bottom w:val="nil"/>
              <w:right w:val="single" w:color="000000" w:sz="6" w:space="0"/>
            </w:tcBorders>
            <w:noWrap w:val="0"/>
            <w:tcMar>
              <w:top w:w="0" w:type="dxa"/>
              <w:left w:w="28" w:type="dxa"/>
              <w:bottom w:w="0" w:type="dxa"/>
              <w:right w:w="28" w:type="dxa"/>
            </w:tcMar>
            <w:vAlign w:val="center"/>
          </w:tcPr>
          <w:p w14:paraId="5691D680">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89A67D">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04F15">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9472C6">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078CF44">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599E4099">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02371845">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二、现场人员</w:t>
            </w:r>
          </w:p>
        </w:tc>
      </w:tr>
      <w:tr w14:paraId="282079D2">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1AB379E">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D7D26F">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BA5D0F">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7F85E1">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985BE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7327240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A505FD3">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项目副经理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C9A5FB">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5180CF">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6521C37">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010161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3D122EA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E9BC48E">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34744F">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0594D">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73EF8F">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6E1749">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7C2A7CC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FE9DE07">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造价管理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64579B">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7AD5AE">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F0173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96744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2636A263">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3A6E2DA">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6FDFCE">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ED6A82D">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34BCA1">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422D40D">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2D3CFF4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BC1B59F">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B93076">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BE85E4">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1AC1F">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A364DC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19B39C1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F5A3D52">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2EA13">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C9401B">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F539C9">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0CE4E5">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5DE3B71F">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77F1ACD">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E31158">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11E190">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B1CFAF">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806AA5B">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05C27E5A">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78D3E999">
            <w:pPr>
              <w:pageBreakBefore w:val="0"/>
              <w:kinsoku/>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BAAD46">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4A4508">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D9ADB0">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3C54FE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10A9B893">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vAlign w:val="center"/>
          </w:tcPr>
          <w:p w14:paraId="6095614F">
            <w:pPr>
              <w:pageBreakBefore w:val="0"/>
              <w:widowControl/>
              <w:kinsoku/>
              <w:overflowPunct/>
              <w:topLinePunct w:val="0"/>
              <w:bidi w:val="0"/>
              <w:spacing w:line="360" w:lineRule="auto"/>
              <w:jc w:val="left"/>
              <w:rPr>
                <w:rFonts w:hint="eastAsia" w:ascii="宋体" w:hAnsi="宋体" w:eastAsia="宋体" w:cs="宋体"/>
                <w:color w:val="000000"/>
                <w:sz w:val="24"/>
                <w:highlight w:val="none"/>
              </w:rPr>
            </w:pPr>
          </w:p>
        </w:tc>
        <w:tc>
          <w:tcPr>
            <w:tcW w:w="1418" w:type="dxa"/>
            <w:tcBorders>
              <w:top w:val="single" w:color="000000" w:sz="6" w:space="0"/>
              <w:left w:val="single" w:color="000000" w:sz="6" w:space="0"/>
              <w:bottom w:val="nil"/>
              <w:right w:val="single" w:color="000000" w:sz="6" w:space="0"/>
            </w:tcBorders>
            <w:noWrap w:val="0"/>
            <w:tcMar>
              <w:top w:w="0" w:type="dxa"/>
              <w:left w:w="28" w:type="dxa"/>
              <w:bottom w:w="0" w:type="dxa"/>
              <w:right w:w="28" w:type="dxa"/>
            </w:tcMar>
            <w:vAlign w:val="center"/>
          </w:tcPr>
          <w:p w14:paraId="198FB760">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nil"/>
              <w:right w:val="single" w:color="000000" w:sz="6" w:space="0"/>
            </w:tcBorders>
            <w:noWrap w:val="0"/>
            <w:tcMar>
              <w:top w:w="0" w:type="dxa"/>
              <w:left w:w="28" w:type="dxa"/>
              <w:bottom w:w="0" w:type="dxa"/>
              <w:right w:w="28" w:type="dxa"/>
            </w:tcMar>
            <w:vAlign w:val="center"/>
          </w:tcPr>
          <w:p w14:paraId="2016F7A8">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nil"/>
              <w:right w:val="single" w:color="000000" w:sz="6" w:space="0"/>
            </w:tcBorders>
            <w:noWrap w:val="0"/>
            <w:tcMar>
              <w:top w:w="0" w:type="dxa"/>
              <w:left w:w="28" w:type="dxa"/>
              <w:bottom w:w="0" w:type="dxa"/>
              <w:right w:w="28" w:type="dxa"/>
            </w:tcMar>
            <w:vAlign w:val="center"/>
          </w:tcPr>
          <w:p w14:paraId="2DF105C3">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nil"/>
              <w:right w:val="single" w:color="000000" w:sz="12" w:space="0"/>
            </w:tcBorders>
            <w:noWrap w:val="0"/>
            <w:tcMar>
              <w:top w:w="0" w:type="dxa"/>
              <w:left w:w="28" w:type="dxa"/>
              <w:bottom w:w="0" w:type="dxa"/>
              <w:right w:w="28" w:type="dxa"/>
            </w:tcMar>
            <w:vAlign w:val="center"/>
          </w:tcPr>
          <w:p w14:paraId="430DCD1C">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5C00088D">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vAlign w:val="center"/>
          </w:tcPr>
          <w:p w14:paraId="67404BF8">
            <w:pPr>
              <w:pageBreakBefore w:val="0"/>
              <w:widowControl/>
              <w:kinsoku/>
              <w:overflowPunct/>
              <w:topLinePunct w:val="0"/>
              <w:bidi w:val="0"/>
              <w:spacing w:line="360" w:lineRule="auto"/>
              <w:jc w:val="left"/>
              <w:rPr>
                <w:rFonts w:hint="eastAsia" w:ascii="宋体" w:hAnsi="宋体" w:eastAsia="宋体" w:cs="宋体"/>
                <w:color w:val="000000"/>
                <w:sz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19E6">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E12A8AD">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EF5FE1">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5E2A35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0DC7FBFD">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vAlign w:val="center"/>
          </w:tcPr>
          <w:p w14:paraId="5B90D091">
            <w:pPr>
              <w:pageBreakBefore w:val="0"/>
              <w:widowControl/>
              <w:kinsoku/>
              <w:overflowPunct/>
              <w:topLinePunct w:val="0"/>
              <w:bidi w:val="0"/>
              <w:spacing w:line="360" w:lineRule="auto"/>
              <w:jc w:val="left"/>
              <w:rPr>
                <w:rFonts w:hint="eastAsia" w:ascii="宋体" w:hAnsi="宋体" w:eastAsia="宋体" w:cs="宋体"/>
                <w:color w:val="000000"/>
                <w:sz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C47F9F">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D60CDD">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CECF70">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7BECE94">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1ABC8294">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vAlign w:val="center"/>
          </w:tcPr>
          <w:p w14:paraId="3B093FE9">
            <w:pPr>
              <w:pageBreakBefore w:val="0"/>
              <w:widowControl/>
              <w:kinsoku/>
              <w:overflowPunct/>
              <w:topLinePunct w:val="0"/>
              <w:bidi w:val="0"/>
              <w:spacing w:line="360" w:lineRule="auto"/>
              <w:jc w:val="left"/>
              <w:rPr>
                <w:rFonts w:hint="eastAsia" w:ascii="宋体" w:hAnsi="宋体" w:eastAsia="宋体" w:cs="宋体"/>
                <w:color w:val="000000"/>
                <w:sz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D64F9C">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DD90E9">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DB4732">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A806ED8">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r w14:paraId="4741376C">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vAlign w:val="center"/>
          </w:tcPr>
          <w:p w14:paraId="52907097">
            <w:pPr>
              <w:pageBreakBefore w:val="0"/>
              <w:widowControl/>
              <w:kinsoku/>
              <w:overflowPunct/>
              <w:topLinePunct w:val="0"/>
              <w:bidi w:val="0"/>
              <w:spacing w:line="360" w:lineRule="auto"/>
              <w:jc w:val="left"/>
              <w:rPr>
                <w:rFonts w:hint="eastAsia" w:ascii="宋体" w:hAnsi="宋体" w:eastAsia="宋体" w:cs="宋体"/>
                <w:color w:val="000000"/>
                <w:sz w:val="24"/>
                <w:highlight w:val="none"/>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7DA0D21">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CD287D8">
            <w:pPr>
              <w:pageBreakBefore w:val="0"/>
              <w:kinsoku/>
              <w:overflowPunct/>
              <w:topLinePunct w:val="0"/>
              <w:bidi w:val="0"/>
              <w:spacing w:line="360" w:lineRule="auto"/>
              <w:jc w:val="center"/>
              <w:rPr>
                <w:rFonts w:hint="eastAsia" w:ascii="宋体" w:hAnsi="宋体" w:eastAsia="宋体" w:cs="宋体"/>
                <w:color w:val="000000"/>
                <w:sz w:val="24"/>
                <w:highlight w:val="none"/>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0E838E7">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6D6F6DD6">
            <w:pPr>
              <w:keepNext/>
              <w:pageBreakBefore w:val="0"/>
              <w:kinsoku/>
              <w:overflowPunct/>
              <w:topLinePunct w:val="0"/>
              <w:bidi w:val="0"/>
              <w:spacing w:line="360" w:lineRule="auto"/>
              <w:ind w:left="63" w:right="63"/>
              <w:jc w:val="center"/>
              <w:rPr>
                <w:rFonts w:hint="eastAsia" w:ascii="宋体" w:hAnsi="宋体" w:eastAsia="宋体" w:cs="宋体"/>
                <w:color w:val="000000"/>
                <w:sz w:val="52"/>
                <w:highlight w:val="none"/>
              </w:rPr>
            </w:pPr>
          </w:p>
        </w:tc>
      </w:tr>
    </w:tbl>
    <w:p w14:paraId="7C526936">
      <w:pPr>
        <w:pageBreakBefore w:val="0"/>
        <w:kinsoku/>
        <w:overflowPunct/>
        <w:topLinePunct w:val="0"/>
        <w:bidi w:val="0"/>
        <w:spacing w:line="360" w:lineRule="auto"/>
        <w:rPr>
          <w:rFonts w:hAnsi="Courier New" w:eastAsia="仿宋_GB2312"/>
          <w:sz w:val="24"/>
        </w:rPr>
      </w:pPr>
    </w:p>
    <w:p w14:paraId="2257B7B8">
      <w:pPr>
        <w:pageBreakBefore w:val="0"/>
        <w:kinsoku/>
        <w:overflowPunct/>
        <w:topLinePunct w:val="0"/>
        <w:bidi w:val="0"/>
        <w:spacing w:line="360" w:lineRule="auto"/>
        <w:rPr>
          <w:rFonts w:hint="eastAsia" w:ascii="宋体" w:hAnsi="宋体" w:eastAsia="宋体" w:cs="宋体"/>
          <w:color w:val="000000"/>
          <w:sz w:val="24"/>
          <w:highlight w:val="none"/>
        </w:rPr>
      </w:pPr>
      <w:r>
        <w:rPr>
          <w:rFonts w:hAnsi="Courier New" w:eastAsia="仿宋_GB2312"/>
          <w:sz w:val="24"/>
        </w:rPr>
        <w:br w:type="page"/>
      </w:r>
    </w:p>
    <w:p w14:paraId="47DDE405">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color w:val="000000"/>
          <w:kern w:val="44"/>
          <w:sz w:val="44"/>
          <w:szCs w:val="44"/>
          <w:lang w:val="en-US" w:eastAsia="zh-CN" w:bidi="ar-SA"/>
        </w:rPr>
      </w:pPr>
      <w:bookmarkStart w:id="960" w:name="_Toc7855"/>
      <w:bookmarkStart w:id="961" w:name="_Toc9603"/>
      <w:bookmarkStart w:id="962" w:name="_Toc10274"/>
      <w:bookmarkStart w:id="963" w:name="_Toc21362"/>
    </w:p>
    <w:p w14:paraId="68952827">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color w:val="000000"/>
          <w:kern w:val="44"/>
          <w:sz w:val="44"/>
          <w:szCs w:val="44"/>
          <w:lang w:val="en-US" w:eastAsia="zh-CN" w:bidi="ar-SA"/>
        </w:rPr>
      </w:pPr>
    </w:p>
    <w:p w14:paraId="2F64327D">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color w:val="000000"/>
          <w:kern w:val="44"/>
          <w:sz w:val="44"/>
          <w:szCs w:val="44"/>
          <w:lang w:val="en-US" w:eastAsia="zh-CN" w:bidi="ar-SA"/>
        </w:rPr>
      </w:pPr>
      <w:r>
        <w:rPr>
          <w:rFonts w:hint="eastAsia" w:ascii="宋体" w:hAnsi="宋体" w:eastAsia="宋体" w:cs="宋体"/>
          <w:b w:val="0"/>
          <w:bCs/>
          <w:color w:val="000000"/>
          <w:kern w:val="44"/>
          <w:sz w:val="44"/>
          <w:szCs w:val="44"/>
          <w:lang w:val="en-US" w:eastAsia="zh-CN" w:bidi="ar-SA"/>
        </w:rPr>
        <w:t xml:space="preserve">第七章 </w:t>
      </w:r>
      <w:bookmarkStart w:id="964" w:name="_Toc986"/>
      <w:r>
        <w:rPr>
          <w:rFonts w:hint="eastAsia" w:ascii="宋体" w:hAnsi="宋体" w:eastAsia="宋体" w:cs="宋体"/>
          <w:b w:val="0"/>
          <w:bCs/>
          <w:color w:val="000000"/>
          <w:kern w:val="44"/>
          <w:sz w:val="44"/>
          <w:szCs w:val="44"/>
          <w:lang w:val="en-US" w:eastAsia="zh-CN" w:bidi="ar-SA"/>
        </w:rPr>
        <w:t>图纸和</w:t>
      </w:r>
      <w:bookmarkEnd w:id="960"/>
      <w:bookmarkEnd w:id="961"/>
      <w:bookmarkEnd w:id="962"/>
      <w:bookmarkEnd w:id="964"/>
      <w:r>
        <w:rPr>
          <w:rFonts w:hint="eastAsia" w:ascii="宋体" w:hAnsi="宋体" w:cs="宋体"/>
          <w:b w:val="0"/>
          <w:bCs/>
          <w:color w:val="000000"/>
          <w:kern w:val="44"/>
          <w:sz w:val="44"/>
          <w:szCs w:val="44"/>
          <w:lang w:val="en-US" w:eastAsia="zh-CN" w:bidi="ar-SA"/>
        </w:rPr>
        <w:t>招标控制价</w:t>
      </w:r>
    </w:p>
    <w:p w14:paraId="190714AE">
      <w:pPr>
        <w:pStyle w:val="5"/>
        <w:tabs>
          <w:tab w:val="left" w:pos="2155"/>
        </w:tabs>
        <w:jc w:val="center"/>
        <w:rPr>
          <w:rFonts w:hint="eastAsia" w:ascii="宋体" w:hAnsi="宋体" w:eastAsia="宋体" w:cs="宋体"/>
          <w:b/>
          <w:bCs/>
          <w:color w:val="auto"/>
          <w:kern w:val="0"/>
          <w:sz w:val="36"/>
          <w:szCs w:val="36"/>
          <w:highlight w:val="none"/>
          <w:lang w:val="en-US" w:eastAsia="zh-CN" w:bidi="ar-SA"/>
        </w:rPr>
      </w:pPr>
      <w:r>
        <w:rPr>
          <w:rFonts w:hint="eastAsia" w:ascii="宋体" w:hAnsi="宋体" w:eastAsia="宋体" w:cs="宋体"/>
          <w:b/>
          <w:bCs/>
          <w:color w:val="auto"/>
          <w:kern w:val="0"/>
          <w:sz w:val="36"/>
          <w:szCs w:val="36"/>
          <w:highlight w:val="none"/>
          <w:lang w:val="en-US" w:eastAsia="zh-CN" w:bidi="ar-SA"/>
        </w:rPr>
        <w:t>另附</w:t>
      </w:r>
    </w:p>
    <w:p w14:paraId="6BF07598">
      <w:pPr>
        <w:pStyle w:val="2"/>
        <w:pageBreakBefore w:val="0"/>
        <w:numPr>
          <w:ilvl w:val="0"/>
          <w:numId w:val="0"/>
        </w:numPr>
        <w:kinsoku/>
        <w:overflowPunct/>
        <w:topLinePunct w:val="0"/>
        <w:bidi w:val="0"/>
        <w:spacing w:before="0" w:after="0" w:line="240" w:lineRule="auto"/>
        <w:jc w:val="center"/>
        <w:rPr>
          <w:rFonts w:hint="eastAsia" w:ascii="宋体" w:hAnsi="宋体" w:eastAsia="宋体" w:cs="宋体"/>
          <w:b w:val="0"/>
          <w:color w:val="000000"/>
          <w:highlight w:val="none"/>
        </w:rPr>
      </w:pPr>
      <w:r>
        <w:rPr>
          <w:rFonts w:hint="eastAsia" w:ascii="宋体" w:hAnsi="宋体" w:eastAsia="宋体" w:cs="宋体"/>
          <w:b w:val="0"/>
          <w:bCs/>
          <w:color w:val="000000"/>
          <w:kern w:val="44"/>
          <w:sz w:val="44"/>
          <w:szCs w:val="44"/>
          <w:lang w:val="en-US" w:eastAsia="zh-CN" w:bidi="ar-SA"/>
        </w:rPr>
        <w:br w:type="page"/>
      </w:r>
      <w:bookmarkStart w:id="965" w:name="_Toc14536"/>
      <w:r>
        <w:rPr>
          <w:rFonts w:hint="eastAsia" w:ascii="宋体" w:hAnsi="宋体" w:eastAsia="宋体" w:cs="宋体"/>
          <w:b w:val="0"/>
          <w:bCs/>
          <w:color w:val="000000"/>
          <w:kern w:val="44"/>
          <w:sz w:val="44"/>
          <w:szCs w:val="44"/>
          <w:lang w:val="en-US" w:eastAsia="zh-CN" w:bidi="ar-SA"/>
        </w:rPr>
        <w:t xml:space="preserve">第八章 </w:t>
      </w:r>
      <w:r>
        <w:rPr>
          <w:rFonts w:hint="eastAsia" w:ascii="宋体" w:hAnsi="宋体" w:eastAsia="宋体" w:cs="宋体"/>
          <w:b w:val="0"/>
          <w:color w:val="000000"/>
          <w:highlight w:val="none"/>
        </w:rPr>
        <w:t>质疑、投诉材料格式</w:t>
      </w:r>
      <w:bookmarkEnd w:id="963"/>
      <w:bookmarkEnd w:id="965"/>
    </w:p>
    <w:p w14:paraId="76E3FDCE">
      <w:pPr>
        <w:widowControl w:val="0"/>
        <w:numPr>
          <w:ilvl w:val="0"/>
          <w:numId w:val="0"/>
        </w:numPr>
        <w:jc w:val="both"/>
        <w:rPr>
          <w:rFonts w:hint="eastAsia"/>
          <w:color w:val="000000"/>
          <w:highlight w:val="none"/>
        </w:rPr>
      </w:pPr>
    </w:p>
    <w:p w14:paraId="09C7C4E7">
      <w:pPr>
        <w:pageBreakBefore w:val="0"/>
        <w:kinsoku/>
        <w:overflowPunct/>
        <w:topLinePunct w:val="0"/>
        <w:bidi w:val="0"/>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质疑函（格式）</w:t>
      </w:r>
    </w:p>
    <w:p w14:paraId="1CE39B90">
      <w:pPr>
        <w:pStyle w:val="13"/>
        <w:keepNext w:val="0"/>
        <w:keepLines w:val="0"/>
        <w:pageBreakBefore w:val="0"/>
        <w:widowControl w:val="0"/>
        <w:kinsoku/>
        <w:wordWrap/>
        <w:overflowPunct/>
        <w:topLinePunct w:val="0"/>
        <w:autoSpaceDE/>
        <w:autoSpaceDN/>
        <w:bidi w:val="0"/>
        <w:adjustRightInd/>
        <w:snapToGrid/>
        <w:spacing w:line="460" w:lineRule="exact"/>
        <w:ind w:firstLine="442" w:firstLineChars="200"/>
        <w:contextualSpacing/>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一、质疑供应商基本信息：</w:t>
      </w:r>
    </w:p>
    <w:p w14:paraId="1BAB6FBF">
      <w:pPr>
        <w:pStyle w:val="13"/>
        <w:keepNext w:val="0"/>
        <w:keepLines w:val="0"/>
        <w:pageBreakBefore w:val="0"/>
        <w:widowControl w:val="0"/>
        <w:kinsoku/>
        <w:wordWrap/>
        <w:overflowPunct/>
        <w:topLinePunct w:val="0"/>
        <w:autoSpaceDE/>
        <w:autoSpaceDN/>
        <w:bidi w:val="0"/>
        <w:adjustRightInd/>
        <w:snapToGrid/>
        <w:spacing w:line="460" w:lineRule="exact"/>
        <w:ind w:firstLine="440" w:firstLineChars="200"/>
        <w:contextualSpacing/>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质疑供应商：</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 xml:space="preserve">                 </w:t>
      </w:r>
    </w:p>
    <w:p w14:paraId="597A79EC">
      <w:pPr>
        <w:pStyle w:val="13"/>
        <w:keepNext w:val="0"/>
        <w:keepLines w:val="0"/>
        <w:pageBreakBefore w:val="0"/>
        <w:widowControl w:val="0"/>
        <w:kinsoku/>
        <w:wordWrap/>
        <w:overflowPunct/>
        <w:topLinePunct w:val="0"/>
        <w:autoSpaceDE/>
        <w:autoSpaceDN/>
        <w:bidi w:val="0"/>
        <w:adjustRightInd/>
        <w:snapToGrid/>
        <w:spacing w:line="460" w:lineRule="exact"/>
        <w:ind w:firstLine="440" w:firstLineChars="200"/>
        <w:contextualSpacing/>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地址：</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邮编：</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 xml:space="preserve">                 </w:t>
      </w:r>
    </w:p>
    <w:p w14:paraId="3348E60F">
      <w:pPr>
        <w:pStyle w:val="13"/>
        <w:keepNext w:val="0"/>
        <w:keepLines w:val="0"/>
        <w:pageBreakBefore w:val="0"/>
        <w:widowControl w:val="0"/>
        <w:kinsoku/>
        <w:wordWrap/>
        <w:overflowPunct/>
        <w:topLinePunct w:val="0"/>
        <w:autoSpaceDE/>
        <w:autoSpaceDN/>
        <w:bidi w:val="0"/>
        <w:adjustRightInd/>
        <w:snapToGrid/>
        <w:spacing w:line="460" w:lineRule="exact"/>
        <w:ind w:firstLine="440" w:firstLineChars="200"/>
        <w:contextualSpacing/>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联系人：</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联系电话：</w:t>
      </w:r>
      <w:r>
        <w:rPr>
          <w:rFonts w:hint="eastAsia" w:ascii="宋体" w:hAnsi="宋体" w:eastAsia="宋体" w:cs="宋体"/>
          <w:bCs/>
          <w:color w:val="000000"/>
          <w:sz w:val="22"/>
          <w:szCs w:val="22"/>
          <w:highlight w:val="none"/>
          <w:u w:val="single"/>
        </w:rPr>
        <w:t xml:space="preserve">                 </w:t>
      </w:r>
    </w:p>
    <w:p w14:paraId="20046CDE">
      <w:pPr>
        <w:pStyle w:val="13"/>
        <w:keepNext w:val="0"/>
        <w:keepLines w:val="0"/>
        <w:pageBreakBefore w:val="0"/>
        <w:widowControl w:val="0"/>
        <w:kinsoku/>
        <w:wordWrap/>
        <w:overflowPunct/>
        <w:topLinePunct w:val="0"/>
        <w:autoSpaceDE/>
        <w:autoSpaceDN/>
        <w:bidi w:val="0"/>
        <w:adjustRightInd/>
        <w:snapToGrid/>
        <w:spacing w:line="460" w:lineRule="exact"/>
        <w:ind w:firstLine="440" w:firstLineChars="200"/>
        <w:contextualSpacing/>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授权代表：</w:t>
      </w:r>
      <w:r>
        <w:rPr>
          <w:rFonts w:hint="eastAsia" w:ascii="宋体" w:hAnsi="宋体" w:eastAsia="宋体" w:cs="宋体"/>
          <w:bCs/>
          <w:color w:val="000000"/>
          <w:sz w:val="22"/>
          <w:szCs w:val="22"/>
          <w:highlight w:val="none"/>
          <w:u w:val="single"/>
        </w:rPr>
        <w:t xml:space="preserve">                      </w:t>
      </w:r>
    </w:p>
    <w:p w14:paraId="5CE76CD9">
      <w:pPr>
        <w:pStyle w:val="13"/>
        <w:keepNext w:val="0"/>
        <w:keepLines w:val="0"/>
        <w:pageBreakBefore w:val="0"/>
        <w:widowControl w:val="0"/>
        <w:kinsoku/>
        <w:wordWrap/>
        <w:overflowPunct/>
        <w:topLinePunct w:val="0"/>
        <w:autoSpaceDE/>
        <w:autoSpaceDN/>
        <w:bidi w:val="0"/>
        <w:adjustRightInd/>
        <w:snapToGrid/>
        <w:spacing w:line="460" w:lineRule="exact"/>
        <w:ind w:firstLine="440" w:firstLineChars="200"/>
        <w:contextualSpacing/>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联系电话：</w:t>
      </w:r>
      <w:r>
        <w:rPr>
          <w:rFonts w:hint="eastAsia" w:ascii="宋体" w:hAnsi="宋体" w:eastAsia="宋体" w:cs="宋体"/>
          <w:bCs/>
          <w:color w:val="000000"/>
          <w:sz w:val="22"/>
          <w:szCs w:val="22"/>
          <w:highlight w:val="none"/>
          <w:u w:val="single"/>
        </w:rPr>
        <w:t xml:space="preserve">                      </w:t>
      </w:r>
    </w:p>
    <w:p w14:paraId="64670122">
      <w:pPr>
        <w:pStyle w:val="13"/>
        <w:keepNext w:val="0"/>
        <w:keepLines w:val="0"/>
        <w:pageBreakBefore w:val="0"/>
        <w:widowControl w:val="0"/>
        <w:kinsoku/>
        <w:wordWrap/>
        <w:overflowPunct/>
        <w:topLinePunct w:val="0"/>
        <w:autoSpaceDE/>
        <w:autoSpaceDN/>
        <w:bidi w:val="0"/>
        <w:adjustRightInd/>
        <w:snapToGrid/>
        <w:spacing w:line="460" w:lineRule="exact"/>
        <w:ind w:firstLine="440" w:firstLineChars="200"/>
        <w:contextualSpacing/>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地址：</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邮编：</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 xml:space="preserve">     </w:t>
      </w:r>
    </w:p>
    <w:p w14:paraId="07D60E1F">
      <w:pPr>
        <w:pStyle w:val="13"/>
        <w:keepNext w:val="0"/>
        <w:keepLines w:val="0"/>
        <w:pageBreakBefore w:val="0"/>
        <w:widowControl w:val="0"/>
        <w:kinsoku/>
        <w:wordWrap/>
        <w:overflowPunct/>
        <w:topLinePunct w:val="0"/>
        <w:autoSpaceDE/>
        <w:autoSpaceDN/>
        <w:bidi w:val="0"/>
        <w:adjustRightInd/>
        <w:snapToGrid/>
        <w:spacing w:line="460" w:lineRule="exact"/>
        <w:ind w:firstLine="442" w:firstLineChars="200"/>
        <w:contextualSpacing/>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二、质疑项目基本情况：</w:t>
      </w:r>
    </w:p>
    <w:p w14:paraId="1E02411C">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bCs/>
          <w:color w:val="000000"/>
          <w:sz w:val="22"/>
          <w:szCs w:val="22"/>
          <w:highlight w:val="none"/>
        </w:rPr>
        <w:t>质疑</w:t>
      </w:r>
      <w:r>
        <w:rPr>
          <w:rFonts w:hint="eastAsia" w:ascii="宋体" w:hAnsi="宋体" w:eastAsia="宋体" w:cs="宋体"/>
          <w:color w:val="000000"/>
          <w:sz w:val="22"/>
          <w:szCs w:val="22"/>
          <w:highlight w:val="none"/>
        </w:rPr>
        <w:t>项目的名称：</w:t>
      </w:r>
      <w:r>
        <w:rPr>
          <w:rFonts w:hint="eastAsia" w:ascii="宋体" w:hAnsi="宋体" w:eastAsia="宋体" w:cs="宋体"/>
          <w:bCs/>
          <w:color w:val="000000"/>
          <w:sz w:val="22"/>
          <w:szCs w:val="22"/>
          <w:highlight w:val="none"/>
          <w:u w:val="single"/>
        </w:rPr>
        <w:t xml:space="preserve">                                     </w:t>
      </w:r>
    </w:p>
    <w:p w14:paraId="211DC5D8">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bCs/>
          <w:color w:val="000000"/>
          <w:sz w:val="22"/>
          <w:szCs w:val="22"/>
          <w:highlight w:val="none"/>
        </w:rPr>
        <w:t>质疑</w:t>
      </w:r>
      <w:r>
        <w:rPr>
          <w:rFonts w:hint="eastAsia" w:ascii="宋体" w:hAnsi="宋体" w:eastAsia="宋体" w:cs="宋体"/>
          <w:color w:val="000000"/>
          <w:sz w:val="22"/>
          <w:szCs w:val="22"/>
          <w:highlight w:val="none"/>
        </w:rPr>
        <w:t>项目的编号：</w:t>
      </w:r>
      <w:r>
        <w:rPr>
          <w:rFonts w:hint="eastAsia" w:ascii="宋体" w:hAnsi="宋体" w:eastAsia="宋体" w:cs="宋体"/>
          <w:bCs/>
          <w:color w:val="000000"/>
          <w:sz w:val="22"/>
          <w:szCs w:val="22"/>
          <w:highlight w:val="none"/>
          <w:u w:val="single"/>
        </w:rPr>
        <w:t xml:space="preserve">                                     </w:t>
      </w:r>
    </w:p>
    <w:p w14:paraId="4DA76C70">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采购人名称：</w:t>
      </w:r>
      <w:r>
        <w:rPr>
          <w:rFonts w:hint="eastAsia" w:ascii="宋体" w:hAnsi="宋体" w:eastAsia="宋体" w:cs="宋体"/>
          <w:bCs/>
          <w:color w:val="000000"/>
          <w:sz w:val="22"/>
          <w:szCs w:val="22"/>
          <w:highlight w:val="none"/>
          <w:u w:val="single"/>
        </w:rPr>
        <w:t xml:space="preserve">                                         </w:t>
      </w:r>
    </w:p>
    <w:p w14:paraId="54038DFA">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质疑事项：</w:t>
      </w:r>
    </w:p>
    <w:p w14:paraId="546C603F">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23" w:firstLineChars="14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□采购文件   采购文件获取日期：</w:t>
      </w:r>
      <w:r>
        <w:rPr>
          <w:rFonts w:hint="eastAsia" w:ascii="宋体" w:hAnsi="宋体" w:eastAsia="宋体" w:cs="宋体"/>
          <w:bCs/>
          <w:color w:val="000000"/>
          <w:sz w:val="22"/>
          <w:szCs w:val="22"/>
          <w:highlight w:val="none"/>
          <w:u w:val="single"/>
        </w:rPr>
        <w:t xml:space="preserve">                                   </w:t>
      </w:r>
    </w:p>
    <w:p w14:paraId="7D36C796">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23" w:firstLineChars="14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□采购过程   </w:t>
      </w:r>
    </w:p>
    <w:p w14:paraId="4859D30F">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23" w:firstLineChars="147"/>
        <w:contextualSpacing/>
        <w:textAlignment w:val="auto"/>
        <w:rPr>
          <w:rFonts w:hint="eastAsia" w:ascii="宋体" w:hAnsi="宋体" w:eastAsia="宋体" w:cs="宋体"/>
          <w:bCs/>
          <w:color w:val="000000"/>
          <w:sz w:val="22"/>
          <w:szCs w:val="22"/>
          <w:highlight w:val="none"/>
          <w:u w:val="single"/>
        </w:rPr>
      </w:pPr>
      <w:r>
        <w:rPr>
          <w:rFonts w:hint="eastAsia" w:ascii="宋体" w:hAnsi="宋体" w:eastAsia="宋体" w:cs="宋体"/>
          <w:color w:val="000000"/>
          <w:sz w:val="22"/>
          <w:szCs w:val="22"/>
          <w:highlight w:val="none"/>
        </w:rPr>
        <w:t xml:space="preserve">□成交结果   </w:t>
      </w:r>
    </w:p>
    <w:p w14:paraId="7F8A4F76">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6"/>
        <w:contextualSpacing/>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三、质疑事项具体内容</w:t>
      </w:r>
    </w:p>
    <w:p w14:paraId="74F460CA">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质疑事项1：</w:t>
      </w:r>
      <w:r>
        <w:rPr>
          <w:rFonts w:hint="eastAsia" w:ascii="宋体" w:hAnsi="宋体" w:eastAsia="宋体" w:cs="宋体"/>
          <w:bCs/>
          <w:color w:val="000000"/>
          <w:sz w:val="22"/>
          <w:szCs w:val="22"/>
          <w:highlight w:val="none"/>
          <w:u w:val="single"/>
        </w:rPr>
        <w:t xml:space="preserve">                                                                    </w:t>
      </w:r>
    </w:p>
    <w:p w14:paraId="742B4615">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事实依据：</w:t>
      </w:r>
      <w:r>
        <w:rPr>
          <w:rFonts w:hint="eastAsia" w:ascii="宋体" w:hAnsi="宋体" w:eastAsia="宋体" w:cs="宋体"/>
          <w:bCs/>
          <w:color w:val="000000"/>
          <w:sz w:val="22"/>
          <w:szCs w:val="22"/>
          <w:highlight w:val="none"/>
          <w:u w:val="single"/>
        </w:rPr>
        <w:t xml:space="preserve">                                                                      </w:t>
      </w:r>
    </w:p>
    <w:p w14:paraId="28CE990E">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法律依据：</w:t>
      </w:r>
      <w:r>
        <w:rPr>
          <w:rFonts w:hint="eastAsia" w:ascii="宋体" w:hAnsi="宋体" w:eastAsia="宋体" w:cs="宋体"/>
          <w:color w:val="000000"/>
          <w:sz w:val="22"/>
          <w:szCs w:val="22"/>
          <w:highlight w:val="none"/>
          <w:u w:val="single"/>
        </w:rPr>
        <w:t xml:space="preserve">                                                        </w:t>
      </w:r>
      <w:r>
        <w:rPr>
          <w:rFonts w:hint="eastAsia" w:ascii="宋体" w:hAnsi="宋体" w:eastAsia="宋体" w:cs="宋体"/>
          <w:bCs/>
          <w:color w:val="000000"/>
          <w:sz w:val="22"/>
          <w:szCs w:val="22"/>
          <w:highlight w:val="none"/>
          <w:u w:val="single"/>
        </w:rPr>
        <w:t xml:space="preserve">               </w:t>
      </w:r>
    </w:p>
    <w:p w14:paraId="45170D78">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质疑事项2</w:t>
      </w:r>
    </w:p>
    <w:p w14:paraId="018EB6BA">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w:t>
      </w:r>
    </w:p>
    <w:p w14:paraId="0C42250C">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四、与质疑事项相关的质疑请求：</w:t>
      </w:r>
    </w:p>
    <w:p w14:paraId="7B4F3900">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请求：</w:t>
      </w:r>
      <w:r>
        <w:rPr>
          <w:rFonts w:hint="eastAsia" w:ascii="宋体" w:hAnsi="宋体" w:eastAsia="宋体" w:cs="宋体"/>
          <w:bCs/>
          <w:color w:val="000000"/>
          <w:sz w:val="22"/>
          <w:szCs w:val="22"/>
          <w:highlight w:val="none"/>
          <w:u w:val="single"/>
        </w:rPr>
        <w:t xml:space="preserve">                                                                </w:t>
      </w:r>
    </w:p>
    <w:p w14:paraId="2495DDCC">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23" w:firstLineChars="147"/>
        <w:contextualSpacing/>
        <w:textAlignment w:val="auto"/>
        <w:rPr>
          <w:rFonts w:hint="eastAsia" w:ascii="宋体" w:hAnsi="宋体" w:eastAsia="宋体" w:cs="宋体"/>
          <w:color w:val="000000"/>
          <w:sz w:val="22"/>
          <w:szCs w:val="22"/>
          <w:highlight w:val="none"/>
        </w:rPr>
      </w:pPr>
    </w:p>
    <w:p w14:paraId="4EF0F9AC">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签字（签章）：                                       公章：</w:t>
      </w:r>
    </w:p>
    <w:p w14:paraId="18B65D8A">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433" w:firstLineChars="197"/>
        <w:contextualSpacing/>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日期：</w:t>
      </w:r>
    </w:p>
    <w:p w14:paraId="0FA98DAE">
      <w:pPr>
        <w:pStyle w:val="13"/>
        <w:keepNext w:val="0"/>
        <w:keepLines w:val="0"/>
        <w:pageBreakBefore w:val="0"/>
        <w:widowControl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b/>
          <w:color w:val="000000"/>
          <w:sz w:val="22"/>
          <w:szCs w:val="22"/>
          <w:highlight w:val="none"/>
        </w:rPr>
      </w:pPr>
    </w:p>
    <w:p w14:paraId="56DD4722">
      <w:pPr>
        <w:pStyle w:val="13"/>
        <w:keepNext w:val="0"/>
        <w:keepLines w:val="0"/>
        <w:pageBreakBefore w:val="0"/>
        <w:widowControl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说明：</w:t>
      </w:r>
    </w:p>
    <w:p w14:paraId="58F05A05">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1.供应商提出质疑时，应提交质疑函和必要的证明材料</w:t>
      </w:r>
      <w:r>
        <w:rPr>
          <w:rFonts w:hint="eastAsia" w:ascii="宋体" w:hAnsi="宋体" w:eastAsia="宋体" w:cs="宋体"/>
          <w:b/>
          <w:bCs/>
          <w:color w:val="000000"/>
          <w:sz w:val="24"/>
          <w:szCs w:val="24"/>
          <w:highlight w:val="none"/>
        </w:rPr>
        <w:t>。</w:t>
      </w:r>
    </w:p>
    <w:p w14:paraId="3FB50766">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21A8AF7">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3.质疑函的质疑事项应具体、明确，并有必要的事实依据和法律依据。</w:t>
      </w:r>
    </w:p>
    <w:p w14:paraId="725556DE">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4.质疑函的质疑请求应与质疑事项相关。</w:t>
      </w:r>
    </w:p>
    <w:p w14:paraId="0B0AB150">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0"/>
          <w:szCs w:val="20"/>
          <w:highlight w:val="none"/>
        </w:rPr>
      </w:pPr>
      <w:r>
        <w:rPr>
          <w:rFonts w:hint="eastAsia" w:ascii="宋体" w:hAnsi="宋体" w:eastAsia="宋体" w:cs="宋体"/>
          <w:b/>
          <w:color w:val="000000"/>
          <w:sz w:val="24"/>
          <w:szCs w:val="24"/>
          <w:highlight w:val="none"/>
        </w:rPr>
        <w:t>5.质疑供应商为法人或者其他组织的，质疑函应由法定代表人、主要负责人，或者其授权代表签字或者盖章，并加盖公章。</w:t>
      </w:r>
    </w:p>
    <w:p w14:paraId="1A2B33B0">
      <w:pPr>
        <w:pageBreakBefore w:val="0"/>
        <w:kinsoku/>
        <w:overflowPunct/>
        <w:topLinePunct w:val="0"/>
        <w:bidi w:val="0"/>
        <w:spacing w:line="240" w:lineRule="auto"/>
        <w:jc w:val="center"/>
        <w:rPr>
          <w:rFonts w:hint="eastAsia" w:ascii="宋体" w:hAnsi="宋体" w:eastAsia="宋体" w:cs="宋体"/>
          <w:b/>
          <w:bCs/>
          <w:color w:val="000000"/>
          <w:sz w:val="28"/>
          <w:szCs w:val="28"/>
          <w:highlight w:val="none"/>
        </w:rPr>
      </w:pPr>
      <w:r>
        <w:rPr>
          <w:rFonts w:hint="eastAsia" w:ascii="宋体" w:hAnsi="宋体" w:eastAsia="宋体" w:cs="宋体"/>
          <w:b/>
          <w:color w:val="000000"/>
          <w:sz w:val="20"/>
          <w:szCs w:val="20"/>
          <w:highlight w:val="none"/>
        </w:rPr>
        <w:br w:type="page"/>
      </w:r>
      <w:r>
        <w:rPr>
          <w:rFonts w:hint="eastAsia" w:ascii="宋体" w:hAnsi="宋体" w:eastAsia="宋体" w:cs="宋体"/>
          <w:b/>
          <w:bCs/>
          <w:color w:val="000000"/>
          <w:sz w:val="32"/>
          <w:szCs w:val="32"/>
          <w:highlight w:val="none"/>
        </w:rPr>
        <w:t>投诉书（格式）</w:t>
      </w:r>
    </w:p>
    <w:p w14:paraId="6BC90FE2">
      <w:pPr>
        <w:pStyle w:val="13"/>
        <w:keepNext w:val="0"/>
        <w:keepLines w:val="0"/>
        <w:pageBreakBefore w:val="0"/>
        <w:widowControl w:val="0"/>
        <w:kinsoku/>
        <w:wordWrap/>
        <w:overflowPunct/>
        <w:topLinePunct w:val="0"/>
        <w:autoSpaceDE/>
        <w:autoSpaceDN/>
        <w:bidi w:val="0"/>
        <w:adjustRightInd/>
        <w:snapToGrid w:val="0"/>
        <w:spacing w:line="460" w:lineRule="exact"/>
        <w:ind w:firstLine="442" w:firstLineChars="200"/>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一、投诉相关主体基本情况：</w:t>
      </w:r>
    </w:p>
    <w:p w14:paraId="62D688E1">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供应商：</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 xml:space="preserve">                 </w:t>
      </w:r>
    </w:p>
    <w:p w14:paraId="75EF9D9B">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地址：</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邮编：</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 xml:space="preserve">                 </w:t>
      </w:r>
    </w:p>
    <w:p w14:paraId="101DAFF5">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法定代表人/主要负责人：</w:t>
      </w:r>
      <w:r>
        <w:rPr>
          <w:rFonts w:hint="eastAsia" w:ascii="宋体" w:hAnsi="宋体" w:eastAsia="宋体" w:cs="宋体"/>
          <w:bCs/>
          <w:color w:val="000000"/>
          <w:sz w:val="22"/>
          <w:szCs w:val="22"/>
          <w:highlight w:val="none"/>
          <w:u w:val="single"/>
        </w:rPr>
        <w:t xml:space="preserve">                                                         </w:t>
      </w:r>
    </w:p>
    <w:p w14:paraId="3E86D207">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联系电话：</w:t>
      </w:r>
      <w:r>
        <w:rPr>
          <w:rFonts w:hint="eastAsia" w:ascii="宋体" w:hAnsi="宋体" w:eastAsia="宋体" w:cs="宋体"/>
          <w:bCs/>
          <w:color w:val="000000"/>
          <w:sz w:val="22"/>
          <w:szCs w:val="22"/>
          <w:highlight w:val="none"/>
          <w:u w:val="single"/>
        </w:rPr>
        <w:t xml:space="preserve">                                         </w:t>
      </w:r>
    </w:p>
    <w:p w14:paraId="7B6E31F9">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授权代表：</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联系电话：</w:t>
      </w:r>
      <w:r>
        <w:rPr>
          <w:rFonts w:hint="eastAsia" w:ascii="宋体" w:hAnsi="宋体" w:eastAsia="宋体" w:cs="宋体"/>
          <w:bCs/>
          <w:color w:val="000000"/>
          <w:sz w:val="22"/>
          <w:szCs w:val="22"/>
          <w:highlight w:val="none"/>
          <w:u w:val="single"/>
        </w:rPr>
        <w:t xml:space="preserve">                   </w:t>
      </w:r>
    </w:p>
    <w:p w14:paraId="724FA089">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地址：</w:t>
      </w:r>
      <w:r>
        <w:rPr>
          <w:rFonts w:hint="eastAsia" w:ascii="宋体" w:hAnsi="宋体" w:eastAsia="宋体" w:cs="宋体"/>
          <w:bCs/>
          <w:color w:val="000000"/>
          <w:sz w:val="22"/>
          <w:szCs w:val="22"/>
          <w:highlight w:val="none"/>
          <w:u w:val="single"/>
        </w:rPr>
        <w:t xml:space="preserve">                                                            </w:t>
      </w:r>
    </w:p>
    <w:p w14:paraId="50880951">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邮编：</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 xml:space="preserve">   </w:t>
      </w:r>
    </w:p>
    <w:p w14:paraId="698CA9BC">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被投诉人1：</w:t>
      </w:r>
    </w:p>
    <w:p w14:paraId="196EB72F">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地址：</w:t>
      </w:r>
      <w:r>
        <w:rPr>
          <w:rFonts w:hint="eastAsia" w:ascii="宋体" w:hAnsi="宋体" w:eastAsia="宋体" w:cs="宋体"/>
          <w:bCs/>
          <w:color w:val="000000"/>
          <w:sz w:val="22"/>
          <w:szCs w:val="22"/>
          <w:highlight w:val="none"/>
          <w:u w:val="single"/>
        </w:rPr>
        <w:t xml:space="preserve">                                                            </w:t>
      </w:r>
    </w:p>
    <w:p w14:paraId="3D5910D0">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邮编：</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 xml:space="preserve">  </w:t>
      </w:r>
    </w:p>
    <w:p w14:paraId="7E2D3390">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联系人：</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联系电话：</w:t>
      </w:r>
      <w:r>
        <w:rPr>
          <w:rFonts w:hint="eastAsia" w:ascii="宋体" w:hAnsi="宋体" w:eastAsia="宋体" w:cs="宋体"/>
          <w:bCs/>
          <w:color w:val="000000"/>
          <w:sz w:val="22"/>
          <w:szCs w:val="22"/>
          <w:highlight w:val="none"/>
          <w:u w:val="single"/>
        </w:rPr>
        <w:t xml:space="preserve">                </w:t>
      </w:r>
    </w:p>
    <w:p w14:paraId="0E6B2AB6">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被投诉人2：</w:t>
      </w:r>
    </w:p>
    <w:p w14:paraId="34B99C2E">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w:t>
      </w:r>
    </w:p>
    <w:p w14:paraId="1881C076">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相关供应商：</w:t>
      </w:r>
      <w:r>
        <w:rPr>
          <w:rFonts w:hint="eastAsia" w:ascii="宋体" w:hAnsi="宋体" w:eastAsia="宋体" w:cs="宋体"/>
          <w:bCs/>
          <w:color w:val="000000"/>
          <w:sz w:val="22"/>
          <w:szCs w:val="22"/>
          <w:highlight w:val="none"/>
          <w:u w:val="single"/>
        </w:rPr>
        <w:t xml:space="preserve">                                                                       </w:t>
      </w:r>
    </w:p>
    <w:p w14:paraId="7373BBA1">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地址：</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邮编：</w:t>
      </w:r>
      <w:r>
        <w:rPr>
          <w:rFonts w:hint="eastAsia" w:ascii="宋体" w:hAnsi="宋体" w:eastAsia="宋体" w:cs="宋体"/>
          <w:bCs/>
          <w:color w:val="000000"/>
          <w:sz w:val="22"/>
          <w:szCs w:val="22"/>
          <w:highlight w:val="none"/>
          <w:u w:val="single"/>
        </w:rPr>
        <w:t xml:space="preserve">                         </w:t>
      </w:r>
    </w:p>
    <w:p w14:paraId="5FC04DEC">
      <w:pPr>
        <w:pStyle w:val="13"/>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联系人：</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联系电话：</w:t>
      </w:r>
      <w:r>
        <w:rPr>
          <w:rFonts w:hint="eastAsia" w:ascii="宋体" w:hAnsi="宋体" w:eastAsia="宋体" w:cs="宋体"/>
          <w:bCs/>
          <w:color w:val="000000"/>
          <w:sz w:val="22"/>
          <w:szCs w:val="22"/>
          <w:highlight w:val="none"/>
          <w:u w:val="single"/>
        </w:rPr>
        <w:t xml:space="preserve">                     </w:t>
      </w:r>
      <w:r>
        <w:rPr>
          <w:rFonts w:hint="eastAsia" w:ascii="宋体" w:hAnsi="宋体" w:eastAsia="宋体" w:cs="宋体"/>
          <w:bCs/>
          <w:color w:val="000000"/>
          <w:sz w:val="22"/>
          <w:szCs w:val="22"/>
          <w:highlight w:val="none"/>
        </w:rPr>
        <w:t xml:space="preserve">                </w:t>
      </w:r>
    </w:p>
    <w:p w14:paraId="74E4353E">
      <w:pPr>
        <w:pStyle w:val="13"/>
        <w:keepNext w:val="0"/>
        <w:keepLines w:val="0"/>
        <w:pageBreakBefore w:val="0"/>
        <w:widowControl w:val="0"/>
        <w:kinsoku/>
        <w:wordWrap/>
        <w:overflowPunct/>
        <w:topLinePunct w:val="0"/>
        <w:autoSpaceDE/>
        <w:autoSpaceDN/>
        <w:bidi w:val="0"/>
        <w:adjustRightInd/>
        <w:snapToGrid w:val="0"/>
        <w:spacing w:line="460" w:lineRule="exact"/>
        <w:ind w:firstLine="442" w:firstLineChars="200"/>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二、投诉项目基本情况：</w:t>
      </w:r>
    </w:p>
    <w:p w14:paraId="490EE5ED">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color w:val="000000"/>
          <w:sz w:val="22"/>
          <w:szCs w:val="22"/>
          <w:highlight w:val="none"/>
        </w:rPr>
      </w:pPr>
      <w:r>
        <w:rPr>
          <w:rFonts w:hint="eastAsia" w:ascii="宋体" w:hAnsi="宋体" w:eastAsia="宋体" w:cs="宋体"/>
          <w:bCs/>
          <w:color w:val="000000"/>
          <w:sz w:val="22"/>
          <w:szCs w:val="22"/>
          <w:highlight w:val="none"/>
        </w:rPr>
        <w:t>采购</w:t>
      </w:r>
      <w:r>
        <w:rPr>
          <w:rFonts w:hint="eastAsia" w:ascii="宋体" w:hAnsi="宋体" w:eastAsia="宋体" w:cs="宋体"/>
          <w:color w:val="000000"/>
          <w:sz w:val="22"/>
          <w:szCs w:val="22"/>
          <w:highlight w:val="none"/>
        </w:rPr>
        <w:t>项目的名称：</w:t>
      </w:r>
      <w:r>
        <w:rPr>
          <w:rFonts w:hint="eastAsia" w:ascii="宋体" w:hAnsi="宋体" w:eastAsia="宋体" w:cs="宋体"/>
          <w:bCs/>
          <w:color w:val="000000"/>
          <w:sz w:val="22"/>
          <w:szCs w:val="22"/>
          <w:highlight w:val="none"/>
          <w:u w:val="single"/>
        </w:rPr>
        <w:t xml:space="preserve">                                                                   </w:t>
      </w:r>
    </w:p>
    <w:p w14:paraId="0DC7929A">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color w:val="000000"/>
          <w:sz w:val="22"/>
          <w:szCs w:val="22"/>
          <w:highlight w:val="none"/>
        </w:rPr>
      </w:pPr>
      <w:r>
        <w:rPr>
          <w:rFonts w:hint="eastAsia" w:ascii="宋体" w:hAnsi="宋体" w:eastAsia="宋体" w:cs="宋体"/>
          <w:bCs/>
          <w:color w:val="000000"/>
          <w:sz w:val="22"/>
          <w:szCs w:val="22"/>
          <w:highlight w:val="none"/>
        </w:rPr>
        <w:t>采购</w:t>
      </w:r>
      <w:r>
        <w:rPr>
          <w:rFonts w:hint="eastAsia" w:ascii="宋体" w:hAnsi="宋体" w:eastAsia="宋体" w:cs="宋体"/>
          <w:color w:val="000000"/>
          <w:sz w:val="22"/>
          <w:szCs w:val="22"/>
          <w:highlight w:val="none"/>
        </w:rPr>
        <w:t>项目的编号：</w:t>
      </w:r>
      <w:r>
        <w:rPr>
          <w:rFonts w:hint="eastAsia" w:ascii="宋体" w:hAnsi="宋体" w:eastAsia="宋体" w:cs="宋体"/>
          <w:bCs/>
          <w:color w:val="000000"/>
          <w:sz w:val="22"/>
          <w:szCs w:val="22"/>
          <w:highlight w:val="none"/>
          <w:u w:val="single"/>
        </w:rPr>
        <w:t xml:space="preserve">                                          </w:t>
      </w:r>
    </w:p>
    <w:p w14:paraId="1022F2CE">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bCs/>
          <w:color w:val="000000"/>
          <w:sz w:val="22"/>
          <w:szCs w:val="22"/>
          <w:highlight w:val="none"/>
          <w:u w:val="single"/>
        </w:rPr>
      </w:pPr>
      <w:r>
        <w:rPr>
          <w:rFonts w:hint="eastAsia" w:ascii="宋体" w:hAnsi="宋体" w:eastAsia="宋体" w:cs="宋体"/>
          <w:color w:val="000000"/>
          <w:sz w:val="22"/>
          <w:szCs w:val="22"/>
          <w:highlight w:val="none"/>
        </w:rPr>
        <w:t>采购人名称：</w:t>
      </w:r>
      <w:r>
        <w:rPr>
          <w:rFonts w:hint="eastAsia" w:ascii="宋体" w:hAnsi="宋体" w:eastAsia="宋体" w:cs="宋体"/>
          <w:bCs/>
          <w:color w:val="000000"/>
          <w:sz w:val="22"/>
          <w:szCs w:val="22"/>
          <w:highlight w:val="none"/>
          <w:u w:val="single"/>
        </w:rPr>
        <w:t xml:space="preserve">                                                                        </w:t>
      </w:r>
    </w:p>
    <w:p w14:paraId="5FBE5849">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bCs/>
          <w:color w:val="000000"/>
          <w:sz w:val="22"/>
          <w:szCs w:val="22"/>
          <w:highlight w:val="none"/>
          <w:u w:val="single"/>
        </w:rPr>
      </w:pPr>
      <w:r>
        <w:rPr>
          <w:rFonts w:hint="eastAsia" w:ascii="宋体" w:hAnsi="宋体" w:eastAsia="宋体" w:cs="宋体"/>
          <w:color w:val="000000"/>
          <w:sz w:val="22"/>
          <w:szCs w:val="22"/>
          <w:highlight w:val="none"/>
        </w:rPr>
        <w:t>代理机构名称：</w:t>
      </w:r>
      <w:r>
        <w:rPr>
          <w:rFonts w:hint="eastAsia" w:ascii="宋体" w:hAnsi="宋体" w:eastAsia="宋体" w:cs="宋体"/>
          <w:bCs/>
          <w:color w:val="000000"/>
          <w:sz w:val="22"/>
          <w:szCs w:val="22"/>
          <w:highlight w:val="none"/>
          <w:u w:val="single"/>
        </w:rPr>
        <w:t xml:space="preserve">                                                                      </w:t>
      </w:r>
    </w:p>
    <w:p w14:paraId="2371D81D">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招标文件公告：</w:t>
      </w:r>
      <w:r>
        <w:rPr>
          <w:rFonts w:hint="eastAsia" w:ascii="宋体" w:hAnsi="宋体" w:eastAsia="宋体" w:cs="宋体"/>
          <w:bCs/>
          <w:color w:val="000000"/>
          <w:sz w:val="22"/>
          <w:szCs w:val="22"/>
          <w:highlight w:val="none"/>
          <w:u w:val="single"/>
        </w:rPr>
        <w:t>是/否</w:t>
      </w:r>
      <w:r>
        <w:rPr>
          <w:rFonts w:hint="eastAsia" w:ascii="宋体" w:hAnsi="宋体" w:eastAsia="宋体" w:cs="宋体"/>
          <w:bCs/>
          <w:color w:val="000000"/>
          <w:sz w:val="22"/>
          <w:szCs w:val="22"/>
          <w:highlight w:val="none"/>
        </w:rPr>
        <w:t>公告期限：</w:t>
      </w:r>
      <w:r>
        <w:rPr>
          <w:rFonts w:hint="eastAsia" w:ascii="宋体" w:hAnsi="宋体" w:eastAsia="宋体" w:cs="宋体"/>
          <w:bCs/>
          <w:color w:val="000000"/>
          <w:sz w:val="22"/>
          <w:szCs w:val="22"/>
          <w:highlight w:val="none"/>
          <w:u w:val="single"/>
        </w:rPr>
        <w:t xml:space="preserve">                                                       </w:t>
      </w:r>
    </w:p>
    <w:p w14:paraId="05A5D90E">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b/>
          <w:color w:val="000000"/>
          <w:sz w:val="22"/>
          <w:szCs w:val="22"/>
          <w:highlight w:val="none"/>
        </w:rPr>
      </w:pPr>
      <w:r>
        <w:rPr>
          <w:rFonts w:hint="eastAsia" w:ascii="宋体" w:hAnsi="宋体" w:eastAsia="宋体" w:cs="宋体"/>
          <w:bCs/>
          <w:color w:val="000000"/>
          <w:sz w:val="22"/>
          <w:szCs w:val="22"/>
          <w:highlight w:val="none"/>
        </w:rPr>
        <w:t>采购结果公告：</w:t>
      </w:r>
      <w:r>
        <w:rPr>
          <w:rFonts w:hint="eastAsia" w:ascii="宋体" w:hAnsi="宋体" w:eastAsia="宋体" w:cs="宋体"/>
          <w:bCs/>
          <w:color w:val="000000"/>
          <w:sz w:val="22"/>
          <w:szCs w:val="22"/>
          <w:highlight w:val="none"/>
          <w:u w:val="single"/>
        </w:rPr>
        <w:t>是/否</w:t>
      </w:r>
      <w:r>
        <w:rPr>
          <w:rFonts w:hint="eastAsia" w:ascii="宋体" w:hAnsi="宋体" w:eastAsia="宋体" w:cs="宋体"/>
          <w:bCs/>
          <w:color w:val="000000"/>
          <w:sz w:val="22"/>
          <w:szCs w:val="22"/>
          <w:highlight w:val="none"/>
        </w:rPr>
        <w:t>公告期限：</w:t>
      </w:r>
      <w:r>
        <w:rPr>
          <w:rFonts w:hint="eastAsia" w:ascii="宋体" w:hAnsi="宋体" w:eastAsia="宋体" w:cs="宋体"/>
          <w:bCs/>
          <w:color w:val="000000"/>
          <w:sz w:val="22"/>
          <w:szCs w:val="22"/>
          <w:highlight w:val="none"/>
          <w:u w:val="single"/>
        </w:rPr>
        <w:t xml:space="preserve">                                                       </w:t>
      </w:r>
    </w:p>
    <w:p w14:paraId="289924FA">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6"/>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三、质疑基本情况</w:t>
      </w:r>
    </w:p>
    <w:p w14:paraId="39CEABA0">
      <w:pPr>
        <w:pStyle w:val="13"/>
        <w:keepNext w:val="0"/>
        <w:keepLines w:val="0"/>
        <w:pageBreakBefore w:val="0"/>
        <w:widowControl w:val="0"/>
        <w:kinsoku/>
        <w:wordWrap/>
        <w:overflowPunct/>
        <w:topLinePunct w:val="0"/>
        <w:autoSpaceDE/>
        <w:autoSpaceDN/>
        <w:bidi w:val="0"/>
        <w:adjustRightInd/>
        <w:spacing w:line="460" w:lineRule="exact"/>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投诉人于</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年</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日，向</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提出质疑，质疑事项为：</w:t>
      </w:r>
    </w:p>
    <w:p w14:paraId="3FE706B9">
      <w:pPr>
        <w:pStyle w:val="13"/>
        <w:keepNext w:val="0"/>
        <w:keepLines w:val="0"/>
        <w:pageBreakBefore w:val="0"/>
        <w:widowControl w:val="0"/>
        <w:kinsoku/>
        <w:wordWrap/>
        <w:overflowPunct/>
        <w:topLinePunct w:val="0"/>
        <w:autoSpaceDE/>
        <w:autoSpaceDN/>
        <w:bidi w:val="0"/>
        <w:adjustRightInd/>
        <w:spacing w:line="460" w:lineRule="exact"/>
        <w:ind w:firstLine="241"/>
        <w:textAlignment w:val="auto"/>
        <w:rPr>
          <w:rFonts w:hint="eastAsia" w:ascii="宋体" w:hAnsi="宋体" w:eastAsia="宋体" w:cs="宋体"/>
          <w:bCs/>
          <w:color w:val="000000"/>
          <w:sz w:val="22"/>
          <w:szCs w:val="22"/>
          <w:highlight w:val="none"/>
          <w:u w:val="single"/>
        </w:rPr>
      </w:pPr>
      <w:r>
        <w:rPr>
          <w:rFonts w:hint="eastAsia" w:ascii="宋体" w:hAnsi="宋体" w:eastAsia="宋体" w:cs="宋体"/>
          <w:color w:val="000000"/>
          <w:sz w:val="22"/>
          <w:szCs w:val="22"/>
          <w:highlight w:val="none"/>
        </w:rPr>
        <w:t xml:space="preserve">    </w:t>
      </w:r>
      <w:r>
        <w:rPr>
          <w:rFonts w:hint="eastAsia" w:ascii="宋体" w:hAnsi="宋体" w:eastAsia="宋体" w:cs="宋体"/>
          <w:bCs/>
          <w:color w:val="000000"/>
          <w:sz w:val="22"/>
          <w:szCs w:val="22"/>
          <w:highlight w:val="none"/>
          <w:u w:val="single"/>
        </w:rPr>
        <w:t xml:space="preserve">                                                                                      </w:t>
      </w:r>
    </w:p>
    <w:p w14:paraId="501350FF">
      <w:pPr>
        <w:pStyle w:val="13"/>
        <w:keepNext w:val="0"/>
        <w:keepLines w:val="0"/>
        <w:pageBreakBefore w:val="0"/>
        <w:widowControl w:val="0"/>
        <w:kinsoku/>
        <w:wordWrap/>
        <w:overflowPunct/>
        <w:topLinePunct w:val="0"/>
        <w:autoSpaceDE/>
        <w:autoSpaceDN/>
        <w:bidi w:val="0"/>
        <w:adjustRightInd/>
        <w:spacing w:line="460" w:lineRule="exact"/>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bCs/>
          <w:color w:val="000000"/>
          <w:sz w:val="22"/>
          <w:szCs w:val="22"/>
          <w:highlight w:val="none"/>
          <w:u w:val="single"/>
        </w:rPr>
        <w:t>采购人/代理机构</w:t>
      </w:r>
      <w:r>
        <w:rPr>
          <w:rFonts w:hint="eastAsia" w:ascii="宋体" w:hAnsi="宋体" w:eastAsia="宋体" w:cs="宋体"/>
          <w:bCs/>
          <w:color w:val="000000"/>
          <w:sz w:val="22"/>
          <w:szCs w:val="22"/>
          <w:highlight w:val="none"/>
        </w:rPr>
        <w:t>于</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年</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日，</w:t>
      </w:r>
      <w:r>
        <w:rPr>
          <w:rFonts w:hint="eastAsia" w:ascii="宋体" w:hAnsi="宋体" w:eastAsia="宋体" w:cs="宋体"/>
          <w:bCs/>
          <w:color w:val="000000"/>
          <w:sz w:val="22"/>
          <w:szCs w:val="22"/>
          <w:highlight w:val="none"/>
        </w:rPr>
        <w:t xml:space="preserve">就质疑事项作出了答复/没有在法定期限内作出答复。                                                                                             </w:t>
      </w:r>
    </w:p>
    <w:p w14:paraId="6D687635">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6"/>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四、投诉事项具体内容</w:t>
      </w:r>
    </w:p>
    <w:p w14:paraId="7C5ED330">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bCs/>
          <w:color w:val="000000"/>
          <w:sz w:val="22"/>
          <w:szCs w:val="22"/>
          <w:highlight w:val="none"/>
          <w:u w:val="single"/>
        </w:rPr>
      </w:pPr>
      <w:r>
        <w:rPr>
          <w:rFonts w:hint="eastAsia" w:ascii="宋体" w:hAnsi="宋体" w:eastAsia="宋体" w:cs="宋体"/>
          <w:color w:val="000000"/>
          <w:sz w:val="22"/>
          <w:szCs w:val="22"/>
          <w:highlight w:val="none"/>
        </w:rPr>
        <w:t>投诉事项1：</w:t>
      </w:r>
      <w:r>
        <w:rPr>
          <w:rFonts w:hint="eastAsia" w:ascii="宋体" w:hAnsi="宋体" w:eastAsia="宋体" w:cs="宋体"/>
          <w:bCs/>
          <w:color w:val="000000"/>
          <w:sz w:val="22"/>
          <w:szCs w:val="22"/>
          <w:highlight w:val="none"/>
          <w:u w:val="single"/>
        </w:rPr>
        <w:t xml:space="preserve">                                                                           </w:t>
      </w:r>
    </w:p>
    <w:p w14:paraId="34044183">
      <w:pPr>
        <w:pStyle w:val="13"/>
        <w:keepNext w:val="0"/>
        <w:keepLines w:val="0"/>
        <w:pageBreakBefore w:val="0"/>
        <w:widowControl w:val="0"/>
        <w:kinsoku/>
        <w:wordWrap/>
        <w:overflowPunct/>
        <w:topLinePunct w:val="0"/>
        <w:autoSpaceDE/>
        <w:autoSpaceDN/>
        <w:bidi w:val="0"/>
        <w:adjustRightInd/>
        <w:spacing w:line="460" w:lineRule="exact"/>
        <w:ind w:firstLine="440" w:firstLineChars="200"/>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事实依据：</w:t>
      </w:r>
      <w:r>
        <w:rPr>
          <w:rFonts w:hint="eastAsia" w:ascii="宋体" w:hAnsi="宋体" w:eastAsia="宋体" w:cs="宋体"/>
          <w:color w:val="000000"/>
          <w:sz w:val="22"/>
          <w:szCs w:val="22"/>
          <w:highlight w:val="none"/>
        </w:rPr>
        <w:t xml:space="preserve"> </w:t>
      </w:r>
      <w:r>
        <w:rPr>
          <w:rFonts w:hint="eastAsia" w:ascii="宋体" w:hAnsi="宋体" w:eastAsia="宋体" w:cs="宋体"/>
          <w:bCs/>
          <w:color w:val="000000"/>
          <w:sz w:val="22"/>
          <w:szCs w:val="22"/>
          <w:highlight w:val="none"/>
          <w:u w:val="single"/>
        </w:rPr>
        <w:t xml:space="preserve">                                                                                      </w:t>
      </w:r>
    </w:p>
    <w:p w14:paraId="76E3EBE8">
      <w:pPr>
        <w:pStyle w:val="13"/>
        <w:keepNext w:val="0"/>
        <w:keepLines w:val="0"/>
        <w:pageBreakBefore w:val="0"/>
        <w:widowControl w:val="0"/>
        <w:kinsoku/>
        <w:wordWrap/>
        <w:overflowPunct/>
        <w:topLinePunct w:val="0"/>
        <w:autoSpaceDE/>
        <w:autoSpaceDN/>
        <w:bidi w:val="0"/>
        <w:adjustRightInd/>
        <w:spacing w:line="460" w:lineRule="exact"/>
        <w:ind w:firstLine="440" w:firstLineChars="200"/>
        <w:textAlignment w:val="auto"/>
        <w:rPr>
          <w:rFonts w:hint="eastAsia" w:ascii="宋体" w:hAnsi="宋体" w:eastAsia="宋体" w:cs="宋体"/>
          <w:bCs/>
          <w:color w:val="000000"/>
          <w:sz w:val="22"/>
          <w:szCs w:val="22"/>
          <w:highlight w:val="none"/>
          <w:u w:val="single"/>
        </w:rPr>
      </w:pPr>
      <w:r>
        <w:rPr>
          <w:rFonts w:hint="eastAsia" w:ascii="宋体" w:hAnsi="宋体" w:eastAsia="宋体" w:cs="宋体"/>
          <w:bCs/>
          <w:color w:val="000000"/>
          <w:sz w:val="22"/>
          <w:szCs w:val="22"/>
          <w:highlight w:val="none"/>
        </w:rPr>
        <w:t>法律依据：</w:t>
      </w:r>
      <w:r>
        <w:rPr>
          <w:rFonts w:hint="eastAsia" w:ascii="宋体" w:hAnsi="宋体" w:eastAsia="宋体" w:cs="宋体"/>
          <w:color w:val="000000"/>
          <w:sz w:val="22"/>
          <w:szCs w:val="22"/>
          <w:highlight w:val="none"/>
        </w:rPr>
        <w:t xml:space="preserve"> </w:t>
      </w:r>
      <w:r>
        <w:rPr>
          <w:rFonts w:hint="eastAsia" w:ascii="宋体" w:hAnsi="宋体" w:eastAsia="宋体" w:cs="宋体"/>
          <w:bCs/>
          <w:color w:val="000000"/>
          <w:sz w:val="22"/>
          <w:szCs w:val="22"/>
          <w:highlight w:val="none"/>
          <w:u w:val="single"/>
        </w:rPr>
        <w:t xml:space="preserve">                                                                                      </w:t>
      </w:r>
    </w:p>
    <w:p w14:paraId="4AB55BAA">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bCs/>
          <w:color w:val="000000"/>
          <w:sz w:val="22"/>
          <w:szCs w:val="22"/>
          <w:highlight w:val="none"/>
        </w:rPr>
      </w:pPr>
      <w:r>
        <w:rPr>
          <w:rFonts w:hint="eastAsia" w:ascii="宋体" w:hAnsi="宋体" w:eastAsia="宋体" w:cs="宋体"/>
          <w:color w:val="000000"/>
          <w:sz w:val="22"/>
          <w:szCs w:val="22"/>
          <w:highlight w:val="none"/>
        </w:rPr>
        <w:t xml:space="preserve">投诉事项2  </w:t>
      </w:r>
      <w:r>
        <w:rPr>
          <w:rFonts w:hint="eastAsia" w:ascii="宋体" w:hAnsi="宋体" w:eastAsia="宋体" w:cs="宋体"/>
          <w:bCs/>
          <w:color w:val="000000"/>
          <w:sz w:val="22"/>
          <w:szCs w:val="22"/>
          <w:highlight w:val="none"/>
        </w:rPr>
        <w:t xml:space="preserve">   </w:t>
      </w:r>
    </w:p>
    <w:p w14:paraId="41118578">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w:t>
      </w:r>
    </w:p>
    <w:p w14:paraId="4738D8A1">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6"/>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五、与投诉事项相关的投诉请求：</w:t>
      </w:r>
    </w:p>
    <w:p w14:paraId="3C58E710">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请求：</w:t>
      </w:r>
      <w:r>
        <w:rPr>
          <w:rFonts w:hint="eastAsia" w:ascii="宋体" w:hAnsi="宋体" w:eastAsia="宋体" w:cs="宋体"/>
          <w:bCs/>
          <w:color w:val="000000"/>
          <w:sz w:val="22"/>
          <w:szCs w:val="22"/>
          <w:highlight w:val="none"/>
          <w:u w:val="single"/>
        </w:rPr>
        <w:t xml:space="preserve">                                                                                 </w:t>
      </w:r>
    </w:p>
    <w:p w14:paraId="519C1F87">
      <w:pPr>
        <w:pStyle w:val="13"/>
        <w:keepNext w:val="0"/>
        <w:keepLines w:val="0"/>
        <w:pageBreakBefore w:val="0"/>
        <w:widowControl w:val="0"/>
        <w:kinsoku/>
        <w:wordWrap/>
        <w:overflowPunct/>
        <w:topLinePunct w:val="0"/>
        <w:autoSpaceDE/>
        <w:autoSpaceDN/>
        <w:bidi w:val="0"/>
        <w:adjustRightInd/>
        <w:spacing w:line="460" w:lineRule="exact"/>
        <w:ind w:left="25" w:leftChars="12" w:firstLine="323" w:firstLineChars="147"/>
        <w:textAlignment w:val="auto"/>
        <w:rPr>
          <w:rFonts w:hint="eastAsia" w:ascii="宋体" w:hAnsi="宋体" w:eastAsia="宋体" w:cs="宋体"/>
          <w:color w:val="000000"/>
          <w:sz w:val="22"/>
          <w:szCs w:val="22"/>
          <w:highlight w:val="none"/>
        </w:rPr>
      </w:pPr>
    </w:p>
    <w:p w14:paraId="2202A9B2">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签字（签章）：                                       公章：</w:t>
      </w:r>
    </w:p>
    <w:p w14:paraId="712D41B2">
      <w:pPr>
        <w:pStyle w:val="13"/>
        <w:keepNext w:val="0"/>
        <w:keepLines w:val="0"/>
        <w:pageBreakBefore w:val="0"/>
        <w:widowControl w:val="0"/>
        <w:kinsoku/>
        <w:wordWrap/>
        <w:overflowPunct/>
        <w:topLinePunct w:val="0"/>
        <w:autoSpaceDE/>
        <w:autoSpaceDN/>
        <w:bidi w:val="0"/>
        <w:adjustRightInd/>
        <w:spacing w:line="460" w:lineRule="exact"/>
        <w:ind w:left="25" w:leftChars="12" w:firstLine="433" w:firstLineChars="197"/>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日期：</w:t>
      </w:r>
    </w:p>
    <w:p w14:paraId="515C25A5">
      <w:pPr>
        <w:pStyle w:val="13"/>
        <w:pageBreakBefore w:val="0"/>
        <w:kinsoku/>
        <w:overflowPunct/>
        <w:topLinePunct w:val="0"/>
        <w:bidi w:val="0"/>
        <w:snapToGrid/>
        <w:spacing w:line="240" w:lineRule="auto"/>
        <w:ind w:left="25" w:leftChars="12" w:firstLine="413" w:firstLineChars="197"/>
        <w:rPr>
          <w:rFonts w:hint="eastAsia" w:ascii="宋体" w:hAnsi="宋体" w:eastAsia="宋体" w:cs="宋体"/>
          <w:b/>
          <w:color w:val="000000"/>
          <w:sz w:val="21"/>
          <w:szCs w:val="21"/>
          <w:highlight w:val="none"/>
        </w:rPr>
      </w:pPr>
      <w:r>
        <w:rPr>
          <w:rFonts w:hint="eastAsia" w:ascii="宋体" w:hAnsi="宋体" w:eastAsia="宋体" w:cs="宋体"/>
          <w:bCs/>
          <w:color w:val="000000"/>
          <w:sz w:val="21"/>
          <w:szCs w:val="21"/>
          <w:highlight w:val="none"/>
        </w:rPr>
        <w:t xml:space="preserve">                                                                                 </w:t>
      </w:r>
    </w:p>
    <w:p w14:paraId="0659B1BB">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说明：</w:t>
      </w:r>
    </w:p>
    <w:p w14:paraId="0E385318">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1.投诉人提起投诉时，应当提交投诉书和必要的证明材料，并按照被投诉人和与投诉事项有关的供应商数量提供投诉书副本。</w:t>
      </w:r>
    </w:p>
    <w:p w14:paraId="39078FEA">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D36F8F5">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3.投诉书应简要列明质疑事项，质疑函、质疑答复等作为附件材料提供。</w:t>
      </w:r>
    </w:p>
    <w:p w14:paraId="1E09EF3A">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4.投诉书的投诉事项应具体、明确，并有必要的事实依据和法律依据。</w:t>
      </w:r>
    </w:p>
    <w:p w14:paraId="24574360">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5.投诉书的投诉请求应与投诉事项相关。</w:t>
      </w:r>
    </w:p>
    <w:p w14:paraId="76DC234B">
      <w:pPr>
        <w:pStyle w:val="13"/>
        <w:keepNext w:val="0"/>
        <w:keepLines w:val="0"/>
        <w:pageBreakBefore w:val="0"/>
        <w:widowControl w:val="0"/>
        <w:kinsoku/>
        <w:wordWrap/>
        <w:overflowPunct/>
        <w:topLinePunct w:val="0"/>
        <w:autoSpaceDE/>
        <w:autoSpaceDN/>
        <w:bidi w:val="0"/>
        <w:adjustRightInd/>
        <w:snapToGrid/>
        <w:spacing w:line="460" w:lineRule="exact"/>
        <w:ind w:left="25" w:leftChars="12" w:firstLine="354" w:firstLineChars="147"/>
        <w:contextualSpacing/>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6.投诉人为法人或者其他组织的，投诉书应由法定代表人、主要负责人，或者其授权代表签字或者盖章，并加盖公章。</w:t>
      </w:r>
    </w:p>
    <w:p w14:paraId="761D5400">
      <w:pPr>
        <w:rPr>
          <w:rFonts w:hint="eastAsia"/>
          <w:color w:val="000000"/>
          <w:highlight w:val="none"/>
        </w:rPr>
      </w:pPr>
    </w:p>
    <w:p w14:paraId="0D6AC00F">
      <w:pPr>
        <w:rPr>
          <w:rFonts w:hint="eastAsia"/>
        </w:rPr>
      </w:pPr>
    </w:p>
    <w:p w14:paraId="23C3262E"/>
    <w:sectPr>
      <w:footerReference r:id="rId16" w:type="first"/>
      <w:headerReference r:id="rId14" w:type="default"/>
      <w:footerReference r:id="rId15" w:type="default"/>
      <w:pgSz w:w="11910" w:h="16840"/>
      <w:pgMar w:top="1417" w:right="1417" w:bottom="1417" w:left="1417" w:header="720" w:footer="720" w:gutter="0"/>
      <w:pgNumType w:fmt="decimal"/>
      <w:cols w:space="720" w:num="1"/>
      <w:rtlGutter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001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354C3">
    <w:pPr>
      <w:pStyle w:val="15"/>
      <w:tabs>
        <w:tab w:val="center" w:pos="4439"/>
        <w:tab w:val="clear" w:pos="4153"/>
      </w:tabs>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38D3">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791A33">
                          <w:pPr>
                            <w:pStyle w:val="15"/>
                          </w:pPr>
                          <w:r>
                            <w:fldChar w:fldCharType="begin"/>
                          </w:r>
                          <w:r>
                            <w:instrText xml:space="preserve"> PAGE  \* MERGEFORMAT </w:instrText>
                          </w:r>
                          <w:r>
                            <w:fldChar w:fldCharType="separate"/>
                          </w:r>
                          <w:r>
                            <w:t>108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791A33">
                    <w:pPr>
                      <w:pStyle w:val="15"/>
                    </w:pPr>
                    <w:r>
                      <w:fldChar w:fldCharType="begin"/>
                    </w:r>
                    <w:r>
                      <w:instrText xml:space="preserve"> PAGE  \* MERGEFORMAT </w:instrText>
                    </w:r>
                    <w:r>
                      <w:fldChar w:fldCharType="separate"/>
                    </w:r>
                    <w:r>
                      <w:t>108</w:t>
                    </w:r>
                    <w:r>
                      <w:fldChar w:fldCharType="end"/>
                    </w:r>
                  </w:p>
                </w:txbxContent>
              </v:textbox>
            </v:shape>
          </w:pict>
        </mc:Fallback>
      </mc:AlternateContent>
    </w:r>
  </w:p>
  <w:p w14:paraId="7F68DAFB">
    <w:pPr>
      <w:pStyle w:val="1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3233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72744A">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272744A">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15CEC">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322FA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50322FA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26C0E">
    <w:pPr>
      <w:pStyle w:val="15"/>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8B23">
    <w:pPr>
      <w:pStyle w:val="15"/>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E4660F"/>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5BE4660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A6A9">
    <w:pPr>
      <w:pStyle w:val="15"/>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36DF6">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4036DF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C76D0">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7EF3E">
                          <w:pPr>
                            <w:pStyle w:val="15"/>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747EF3E">
                    <w:pPr>
                      <w:pStyle w:val="15"/>
                    </w:pPr>
                    <w:r>
                      <w:fldChar w:fldCharType="begin"/>
                    </w:r>
                    <w:r>
                      <w:instrText xml:space="preserve"> PAGE  \* MERGEFORMAT </w:instrText>
                    </w:r>
                    <w:r>
                      <w:fldChar w:fldCharType="separate"/>
                    </w:r>
                    <w:r>
                      <w:t>11</w:t>
                    </w:r>
                    <w:r>
                      <w:fldChar w:fldCharType="end"/>
                    </w:r>
                  </w:p>
                </w:txbxContent>
              </v:textbox>
            </v:shape>
          </w:pict>
        </mc:Fallback>
      </mc:AlternateContent>
    </w:r>
  </w:p>
  <w:p w14:paraId="245D6214">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23D6A">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47C208">
                          <w:pPr>
                            <w:pStyle w:val="15"/>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847C208">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E2366">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449C">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642449C">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30D2">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C7DB0">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E1C7DB0">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42AB">
    <w:pPr>
      <w:pStyle w:val="16"/>
    </w:pPr>
    <w:r>
      <w:rPr>
        <w:rFonts w:hint="eastAsia"/>
        <w:lang w:eastAsia="zh-CN"/>
      </w:rPr>
      <w:t>扶隆镇那农村那雪组香料产业粪</w:t>
    </w:r>
    <w:r>
      <w:rPr>
        <w:rFonts w:hint="eastAsia" w:ascii="宋体" w:hAnsi="宋体" w:eastAsia="宋体" w:cs="宋体"/>
        <w:lang w:eastAsia="zh-CN"/>
      </w:rPr>
      <w:t xml:space="preserve">污资源化利用项目 </w:t>
    </w:r>
    <w:r>
      <w:rPr>
        <w:rFonts w:hint="eastAsia" w:ascii="宋体" w:hAnsi="宋体" w:eastAsia="宋体" w:cs="宋体"/>
      </w:rPr>
      <w:t>（项目编号</w:t>
    </w:r>
    <w:r>
      <w:rPr>
        <w:rFonts w:hint="eastAsia" w:ascii="宋体" w:hAnsi="宋体" w:eastAsia="宋体" w:cs="宋体"/>
        <w:highlight w:val="none"/>
      </w:rPr>
      <w:t>：FCZC2025-C2-030146-ZTZX</w:t>
    </w:r>
    <w:r>
      <w:rPr>
        <w:rFonts w:hint="eastAsia" w:ascii="宋体" w:hAnsi="宋体" w:eastAsia="宋体" w:cs="宋体"/>
        <w:highlight w:val="none"/>
        <w:lang w:val="en-US" w:eastAsia="zh-CN"/>
      </w:rPr>
      <w:t xml:space="preserve"> </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0D813">
    <w:pPr>
      <w:pStyle w:val="16"/>
      <w:pBdr>
        <w:bottom w:val="none" w:color="auto" w:sz="0" w:space="1"/>
      </w:pBdr>
      <w:rPr>
        <w:rFonts w:hint="eastAsia"/>
        <w:lang w:val="en-US" w:eastAsia="zh-CN"/>
      </w:rPr>
    </w:pPr>
  </w:p>
  <w:p w14:paraId="2F65A9FE">
    <w:pPr>
      <w:pStyle w:val="16"/>
      <w:jc w:val="both"/>
      <w:rPr>
        <w:rFonts w:hint="eastAsia" w:ascii="Times New Roman" w:hAnsi="Times New Roman" w:eastAsia="宋体" w:cs="Times New Roman"/>
        <w:lang w:eastAsia="zh-CN"/>
      </w:rPr>
    </w:pPr>
  </w:p>
  <w:p w14:paraId="64F68ED6">
    <w:pPr>
      <w:pStyle w:val="16"/>
      <w:rPr>
        <w:rFonts w:hint="eastAsia" w:ascii="Times New Roman" w:hAnsi="Times New Roman" w:eastAsia="宋体" w:cs="Times New Roman"/>
        <w:lang w:eastAsia="zh-CN"/>
      </w:rPr>
    </w:pPr>
  </w:p>
  <w:p w14:paraId="7A2269D0">
    <w:pPr>
      <w:pStyle w:val="16"/>
      <w:rPr>
        <w:rFonts w:hint="eastAsia" w:ascii="Times New Roman" w:hAnsi="Times New Roman" w:eastAsia="宋体" w:cs="Times New Roman"/>
        <w:lang w:eastAsia="zh-CN"/>
      </w:rPr>
    </w:pPr>
    <w:r>
      <w:rPr>
        <w:rFonts w:hint="eastAsia" w:ascii="Times New Roman" w:hAnsi="Times New Roman" w:eastAsia="宋体" w:cs="Times New Roman"/>
        <w:lang w:eastAsia="zh-CN"/>
      </w:rPr>
      <w:t>扶隆镇那农村那雪组香料产业粪污资</w:t>
    </w:r>
    <w:r>
      <w:rPr>
        <w:rFonts w:hint="eastAsia" w:ascii="宋体" w:hAnsi="宋体" w:eastAsia="宋体" w:cs="宋体"/>
        <w:lang w:eastAsia="zh-CN"/>
      </w:rPr>
      <w:t>源化利用项目 （项目编号：FCZC2025-C2-030146-ZTZX</w:t>
    </w:r>
    <w:r>
      <w:rPr>
        <w:rFonts w:hint="eastAsia" w:ascii="宋体" w:hAnsi="宋体" w:eastAsia="宋体" w:cs="宋体"/>
        <w:lang w:val="en-US" w:eastAsia="zh-CN"/>
      </w:rPr>
      <w:t xml:space="preserve"> </w:t>
    </w:r>
    <w:r>
      <w:rPr>
        <w:rFonts w:hint="eastAsia" w:ascii="宋体" w:hAnsi="宋体" w:eastAsia="宋体" w:cs="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3E4F">
    <w:pPr>
      <w:pStyle w:val="16"/>
    </w:pPr>
    <w:r>
      <w:rPr>
        <w:rFonts w:hint="eastAsia"/>
        <w:lang w:val="en-US" w:eastAsia="zh-CN"/>
      </w:rPr>
      <w:t xml:space="preserve"> 扶隆镇那农村那雪组香料产业粪污资源化利用项目</w:t>
    </w:r>
    <w:r>
      <w:rPr>
        <w:rFonts w:hint="eastAsia"/>
      </w:rPr>
      <w:t>（项目编</w:t>
    </w:r>
    <w:r>
      <w:rPr>
        <w:rFonts w:hint="eastAsia" w:ascii="Times New Roman" w:hAnsi="Times New Roman" w:eastAsia="宋体" w:cs="Times New Roman"/>
      </w:rPr>
      <w:t>号</w:t>
    </w:r>
    <w:r>
      <w:rPr>
        <w:rFonts w:hint="eastAsia" w:ascii="宋体" w:hAnsi="宋体" w:eastAsia="宋体" w:cs="宋体"/>
      </w:rPr>
      <w:t>：</w:t>
    </w:r>
    <w:r>
      <w:rPr>
        <w:rFonts w:hint="eastAsia" w:ascii="宋体" w:hAnsi="宋体" w:eastAsia="宋体" w:cs="宋体"/>
        <w:lang w:eastAsia="zh-CN"/>
      </w:rPr>
      <w:t>FCZC2025-C2-030146-ZTZX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4D4F"/>
    <w:multiLevelType w:val="singleLevel"/>
    <w:tmpl w:val="A7F14D4F"/>
    <w:lvl w:ilvl="0" w:tentative="0">
      <w:start w:val="3"/>
      <w:numFmt w:val="chineseCounting"/>
      <w:suff w:val="space"/>
      <w:lvlText w:val="第%1章"/>
      <w:lvlJc w:val="left"/>
      <w:rPr>
        <w:rFonts w:hint="eastAsia"/>
      </w:rPr>
    </w:lvl>
  </w:abstractNum>
  <w:abstractNum w:abstractNumId="1">
    <w:nsid w:val="C0A11A38"/>
    <w:multiLevelType w:val="singleLevel"/>
    <w:tmpl w:val="C0A11A38"/>
    <w:lvl w:ilvl="0" w:tentative="0">
      <w:start w:val="1"/>
      <w:numFmt w:val="decimal"/>
      <w:suff w:val="nothing"/>
      <w:lvlText w:val="（%1）"/>
      <w:lvlJc w:val="left"/>
    </w:lvl>
  </w:abstractNum>
  <w:abstractNum w:abstractNumId="2">
    <w:nsid w:val="F485A7E1"/>
    <w:multiLevelType w:val="singleLevel"/>
    <w:tmpl w:val="F485A7E1"/>
    <w:lvl w:ilvl="0" w:tentative="0">
      <w:start w:val="1"/>
      <w:numFmt w:val="chineseCounting"/>
      <w:suff w:val="space"/>
      <w:lvlText w:val="第%1章"/>
      <w:lvlJc w:val="left"/>
      <w:rPr>
        <w:rFonts w:hint="eastAsia"/>
      </w:r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41B3BB38"/>
    <w:multiLevelType w:val="singleLevel"/>
    <w:tmpl w:val="41B3BB38"/>
    <w:lvl w:ilvl="0" w:tentative="0">
      <w:start w:val="2"/>
      <w:numFmt w:val="decimal"/>
      <w:lvlText w:val="%1."/>
      <w:lvlJc w:val="left"/>
      <w:pPr>
        <w:tabs>
          <w:tab w:val="left" w:pos="312"/>
        </w:tabs>
      </w:pPr>
    </w:lvl>
  </w:abstractNum>
  <w:abstractNum w:abstractNumId="5">
    <w:nsid w:val="5498E193"/>
    <w:multiLevelType w:val="singleLevel"/>
    <w:tmpl w:val="5498E193"/>
    <w:lvl w:ilvl="0" w:tentative="0">
      <w:start w:val="11"/>
      <w:numFmt w:val="decimal"/>
      <w:suff w:val="space"/>
      <w:lvlText w:val="%1."/>
      <w:lvlJc w:val="left"/>
    </w:lvl>
  </w:abstractNum>
  <w:abstractNum w:abstractNumId="6">
    <w:nsid w:val="6EDD6596"/>
    <w:multiLevelType w:val="singleLevel"/>
    <w:tmpl w:val="6EDD6596"/>
    <w:lvl w:ilvl="0" w:tentative="0">
      <w:start w:val="1"/>
      <w:numFmt w:val="decimal"/>
      <w:suff w:val="space"/>
      <w:lvlText w:val="%1."/>
      <w:lvlJc w:val="left"/>
    </w:lvl>
  </w:abstractNum>
  <w:abstractNum w:abstractNumId="7">
    <w:nsid w:val="6FE34A59"/>
    <w:multiLevelType w:val="singleLevel"/>
    <w:tmpl w:val="6FE34A59"/>
    <w:lvl w:ilvl="0" w:tentative="0">
      <w:start w:val="1"/>
      <w:numFmt w:val="decimal"/>
      <w:suff w:val="nothing"/>
      <w:lvlText w:val="（%1）"/>
      <w:lvlJc w:val="left"/>
    </w:lvl>
  </w:abstractNum>
  <w:num w:numId="1">
    <w:abstractNumId w:val="2"/>
  </w:num>
  <w:num w:numId="2">
    <w:abstractNumId w:val="7"/>
  </w:num>
  <w:num w:numId="3">
    <w:abstractNumId w:val="0"/>
  </w:num>
  <w:num w:numId="4">
    <w:abstractNumId w:val="4"/>
  </w:num>
  <w:num w:numId="5">
    <w:abstractNumId w:val="6"/>
  </w:num>
  <w:num w:numId="6">
    <w:abstractNumId w:val="3"/>
    <w:lvlOverride w:ilvl="0">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52324"/>
    <w:rsid w:val="035F34B9"/>
    <w:rsid w:val="07883367"/>
    <w:rsid w:val="0AB278F6"/>
    <w:rsid w:val="0CB24E22"/>
    <w:rsid w:val="0CDF1377"/>
    <w:rsid w:val="105D10B7"/>
    <w:rsid w:val="15FD5937"/>
    <w:rsid w:val="17A52324"/>
    <w:rsid w:val="1E767351"/>
    <w:rsid w:val="25772D33"/>
    <w:rsid w:val="2B195E43"/>
    <w:rsid w:val="443E50E7"/>
    <w:rsid w:val="4ACA31C4"/>
    <w:rsid w:val="4BFC26D3"/>
    <w:rsid w:val="52EB740B"/>
    <w:rsid w:val="54BB0EA7"/>
    <w:rsid w:val="6D506BAD"/>
    <w:rsid w:val="7609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val="0"/>
      <w:adjustRightInd/>
      <w:snapToGrid/>
      <w:spacing w:before="280" w:after="290" w:line="376" w:lineRule="auto"/>
      <w:jc w:val="both"/>
      <w:outlineLvl w:val="3"/>
    </w:pPr>
    <w:rPr>
      <w:rFonts w:ascii="Cambria" w:hAnsi="Cambria" w:eastAsia="宋体" w:cs="Times New Roman"/>
      <w:b/>
      <w:bCs/>
      <w:kern w:val="2"/>
      <w:sz w:val="28"/>
      <w:szCs w:val="28"/>
    </w:rPr>
  </w:style>
  <w:style w:type="paragraph" w:styleId="6">
    <w:name w:val="heading 5"/>
    <w:basedOn w:val="1"/>
    <w:next w:val="7"/>
    <w:unhideWhenUsed/>
    <w:qFormat/>
    <w:uiPriority w:val="0"/>
    <w:pPr>
      <w:keepNext/>
      <w:keepLines/>
      <w:spacing w:before="280" w:after="290" w:line="376" w:lineRule="auto"/>
      <w:outlineLvl w:val="4"/>
    </w:pPr>
    <w:rPr>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envelope return"/>
    <w:basedOn w:val="1"/>
    <w:unhideWhenUsed/>
    <w:qFormat/>
    <w:uiPriority w:val="0"/>
    <w:pPr>
      <w:snapToGrid w:val="0"/>
    </w:pPr>
    <w:rPr>
      <w:rFonts w:ascii="Arial" w:hAnsi="Arial"/>
    </w:rPr>
  </w:style>
  <w:style w:type="paragraph" w:styleId="12">
    <w:name w:val="Block Text"/>
    <w:basedOn w:val="1"/>
    <w:unhideWhenUsed/>
    <w:qFormat/>
    <w:uiPriority w:val="0"/>
    <w:pPr>
      <w:spacing w:after="120"/>
      <w:ind w:left="1440" w:leftChars="700" w:right="1440" w:rightChars="700"/>
    </w:pPr>
  </w:style>
  <w:style w:type="paragraph" w:styleId="13">
    <w:name w:val="Plain Text"/>
    <w:basedOn w:val="1"/>
    <w:qFormat/>
    <w:uiPriority w:val="0"/>
    <w:rPr>
      <w:rFonts w:ascii="宋体" w:hAnsi="Courier New"/>
      <w:kern w:val="0"/>
      <w:sz w:val="20"/>
      <w:szCs w:val="21"/>
    </w:rPr>
  </w:style>
  <w:style w:type="paragraph" w:styleId="14">
    <w:name w:val="Body Text Indent 2"/>
    <w:basedOn w:val="1"/>
    <w:qFormat/>
    <w:uiPriority w:val="0"/>
    <w:pPr>
      <w:ind w:firstLine="630"/>
    </w:pPr>
    <w:rPr>
      <w:kern w:val="0"/>
      <w:sz w:val="32"/>
      <w:szCs w:val="20"/>
    </w:rPr>
  </w:style>
  <w:style w:type="paragraph" w:styleId="15">
    <w:name w:val="footer"/>
    <w:basedOn w:val="1"/>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footnote text"/>
    <w:basedOn w:val="1"/>
    <w:qFormat/>
    <w:uiPriority w:val="0"/>
    <w:pPr>
      <w:snapToGrid w:val="0"/>
      <w:jc w:val="left"/>
    </w:pPr>
    <w:rPr>
      <w:kern w:val="0"/>
      <w:sz w:val="18"/>
      <w:szCs w:val="18"/>
    </w:rPr>
  </w:style>
  <w:style w:type="paragraph" w:styleId="19">
    <w:name w:val="toc 2"/>
    <w:basedOn w:val="1"/>
    <w:next w:val="1"/>
    <w:qFormat/>
    <w:uiPriority w:val="0"/>
    <w:pPr>
      <w:tabs>
        <w:tab w:val="right" w:leader="dot" w:pos="8296"/>
      </w:tabs>
      <w:ind w:left="420" w:leftChars="200"/>
    </w:pPr>
  </w:style>
  <w:style w:type="paragraph" w:styleId="20">
    <w:name w:val="Title"/>
    <w:basedOn w:val="1"/>
    <w:next w:val="1"/>
    <w:qFormat/>
    <w:uiPriority w:val="10"/>
    <w:pPr>
      <w:widowControl/>
      <w:spacing w:before="720"/>
      <w:jc w:val="left"/>
    </w:pPr>
    <w:rPr>
      <w:rFonts w:ascii="Calibri" w:hAnsi="Calibri" w:eastAsia="宋体" w:cs="Times New Roman"/>
      <w:caps/>
      <w:color w:val="4F81BD"/>
      <w:spacing w:val="10"/>
      <w:kern w:val="28"/>
      <w:sz w:val="52"/>
      <w:szCs w:val="52"/>
      <w:lang w:eastAsia="en-US" w:bidi="en-US"/>
    </w:rPr>
  </w:style>
  <w:style w:type="paragraph" w:styleId="21">
    <w:name w:val="Body Text First Indent 2"/>
    <w:basedOn w:val="10"/>
    <w:next w:val="1"/>
    <w:qFormat/>
    <w:uiPriority w:val="99"/>
    <w:pPr>
      <w:spacing w:after="120"/>
      <w:ind w:left="420" w:leftChars="200" w:firstLine="420" w:firstLineChars="200"/>
    </w:pPr>
    <w:rPr>
      <w:rFonts w:hAnsi="Calibri" w:cs="宋体"/>
      <w:kern w:val="2"/>
      <w:sz w:val="21"/>
      <w:szCs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标题 1 Char"/>
    <w:link w:val="2"/>
    <w:qFormat/>
    <w:uiPriority w:val="9"/>
    <w:rPr>
      <w:b/>
      <w:bCs/>
      <w:kern w:val="44"/>
      <w:sz w:val="44"/>
      <w:szCs w:val="44"/>
    </w:rPr>
  </w:style>
  <w:style w:type="paragraph" w:customStyle="1" w:styleId="2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Table Paragraph"/>
    <w:basedOn w:val="1"/>
    <w:qFormat/>
    <w:uiPriority w:val="1"/>
    <w:pPr>
      <w:jc w:val="left"/>
    </w:pPr>
    <w:rPr>
      <w:rFonts w:ascii="Calibri" w:hAnsi="Calibri"/>
      <w:kern w:val="0"/>
      <w:sz w:val="22"/>
      <w:szCs w:val="22"/>
      <w:lang w:eastAsia="en-US"/>
    </w:rPr>
  </w:style>
  <w:style w:type="paragraph" w:customStyle="1" w:styleId="28">
    <w:name w:val="表格文字"/>
    <w:basedOn w:val="1"/>
    <w:qFormat/>
    <w:uiPriority w:val="0"/>
    <w:pPr>
      <w:adjustRightInd w:val="0"/>
      <w:spacing w:line="420" w:lineRule="atLeast"/>
      <w:jc w:val="left"/>
      <w:textAlignment w:val="baseline"/>
    </w:pPr>
    <w:rPr>
      <w:rFonts w:ascii="Times New Roman" w:hAnsi="Times New Roman" w:eastAsia="宋体" w:cs="Times New Roman"/>
      <w:kern w:val="0"/>
    </w:rPr>
  </w:style>
  <w:style w:type="paragraph" w:customStyle="1" w:styleId="2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无间隔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
    <w:name w:val="样式 宋体 小四 加粗 黑色"/>
    <w:qFormat/>
    <w:uiPriority w:val="0"/>
    <w:rPr>
      <w:rFonts w:ascii="宋体" w:hAnsi="宋体"/>
      <w:b/>
      <w:bCs/>
      <w:color w:val="000000"/>
      <w:sz w:val="24"/>
    </w:rPr>
  </w:style>
  <w:style w:type="paragraph" w:customStyle="1" w:styleId="35">
    <w:name w:val="正文首行缩进 21"/>
    <w:basedOn w:val="36"/>
    <w:qFormat/>
    <w:uiPriority w:val="0"/>
    <w:pPr>
      <w:ind w:firstLine="210"/>
    </w:pPr>
    <w:rPr>
      <w:rFonts w:ascii="Calibri" w:hAnsi="Calibri"/>
    </w:rPr>
  </w:style>
  <w:style w:type="paragraph" w:customStyle="1" w:styleId="36">
    <w:name w:val="正文文本缩进1"/>
    <w:basedOn w:val="1"/>
    <w:qFormat/>
    <w:uiPriority w:val="0"/>
    <w:pPr>
      <w:spacing w:after="120"/>
      <w:ind w:left="420" w:leftChars="200"/>
    </w:pPr>
  </w:style>
  <w:style w:type="paragraph" w:customStyle="1" w:styleId="37">
    <w:name w:val="正文_3"/>
    <w:next w:val="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文本_0_0"/>
    <w:basedOn w:val="37"/>
    <w:unhideWhenUsed/>
    <w:qFormat/>
    <w:uiPriority w:val="99"/>
    <w:pPr>
      <w:adjustRightInd w:val="0"/>
      <w:spacing w:after="60" w:line="360" w:lineRule="atLeast"/>
      <w:ind w:left="72" w:leftChars="30" w:right="30" w:rightChars="30"/>
      <w:jc w:val="center"/>
    </w:pPr>
    <w:rPr>
      <w:sz w:val="22"/>
      <w:szCs w:val="22"/>
    </w:rPr>
  </w:style>
  <w:style w:type="paragraph" w:customStyle="1" w:styleId="39">
    <w:name w:val="正文_2_0"/>
    <w:basedOn w:val="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标题 3_0"/>
    <w:basedOn w:val="26"/>
    <w:next w:val="26"/>
    <w:unhideWhenUsed/>
    <w:qFormat/>
    <w:uiPriority w:val="99"/>
    <w:pPr>
      <w:keepNext/>
      <w:keepLines/>
      <w:spacing w:before="260" w:after="260" w:line="416" w:lineRule="auto"/>
      <w:outlineLvl w:val="2"/>
    </w:pPr>
    <w:rPr>
      <w:rFonts w:ascii="Calibri" w:hAnsi="Calibri"/>
      <w:b/>
      <w:bCs/>
      <w:sz w:val="32"/>
      <w:szCs w:val="32"/>
    </w:rPr>
  </w:style>
  <w:style w:type="paragraph" w:customStyle="1" w:styleId="41">
    <w:name w:val="Table Text"/>
    <w:basedOn w:val="1"/>
    <w:semiHidden/>
    <w:qFormat/>
    <w:uiPriority w:val="0"/>
    <w:rPr>
      <w:rFonts w:ascii="宋体" w:hAnsi="宋体" w:eastAsia="宋体" w:cs="宋体"/>
      <w:sz w:val="20"/>
      <w:szCs w:val="20"/>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4627</Words>
  <Characters>4917</Characters>
  <Lines>0</Lines>
  <Paragraphs>0</Paragraphs>
  <TotalTime>15</TotalTime>
  <ScaleCrop>false</ScaleCrop>
  <LinksUpToDate>false</LinksUpToDate>
  <CharactersWithSpaces>5028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2025-09-26T07:54:00Z</dcterms:created>
  <dc:creator>Jessica</dc:creator>
  <cp:lastModifiedBy>Jessica</cp:lastModifiedBy>
  <dcterms:modified xsi:type="dcterms:W3CDTF">2025-09-30T05:07:02Z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FDFD677BF8ED405D9AE537EC36D8CEE8_13</vt:lpwstr>
  </property>
  <property fmtid="{D5CDD505-2E9C-101B-9397-08002B2CF9AE}" pid="4" name="KSOTemplateDocerSaveRecord">
    <vt:lpwstr>eyJoZGlkIjoiYmQwMzVhNzhlZmQzYzJkYzM4NmFlNGYxMmIxNThlMGUiLCJ1c2VySWQiOiIxNTczNTUzMjkzIn0=</vt:lpwstr>
  </property>
</Properties>
</file>