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D1B72B">
      <w:pPr>
        <w:spacing w:line="360" w:lineRule="auto"/>
        <w:jc w:val="center"/>
        <w:rPr>
          <w:rFonts w:hint="eastAsia" w:ascii="宋体" w:hAnsi="宋体" w:eastAsia="宋体"/>
          <w:b/>
          <w:sz w:val="72"/>
          <w:szCs w:val="72"/>
          <w:lang w:eastAsia="zh-CN"/>
        </w:rPr>
      </w:pPr>
      <w:r>
        <w:rPr>
          <w:rFonts w:hint="eastAsia" w:ascii="宋体" w:hAnsi="宋体" w:eastAsia="宋体"/>
          <w:b/>
          <w:sz w:val="72"/>
          <w:szCs w:val="72"/>
          <w:lang w:eastAsia="zh-CN"/>
        </w:rPr>
        <w:drawing>
          <wp:inline distT="0" distB="0" distL="114300" distR="114300">
            <wp:extent cx="6382385" cy="9036050"/>
            <wp:effectExtent l="0" t="0" r="18415" b="12700"/>
            <wp:docPr id="1" name="图片 1" descr="招标文件封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招标文件封面_00"/>
                    <pic:cNvPicPr>
                      <a:picLocks noChangeAspect="1"/>
                    </pic:cNvPicPr>
                  </pic:nvPicPr>
                  <pic:blipFill>
                    <a:blip r:embed="rId12"/>
                    <a:stretch>
                      <a:fillRect/>
                    </a:stretch>
                  </pic:blipFill>
                  <pic:spPr>
                    <a:xfrm>
                      <a:off x="0" y="0"/>
                      <a:ext cx="6382385" cy="9036050"/>
                    </a:xfrm>
                    <a:prstGeom prst="rect">
                      <a:avLst/>
                    </a:prstGeom>
                  </pic:spPr>
                </pic:pic>
              </a:graphicData>
            </a:graphic>
          </wp:inline>
        </w:drawing>
      </w:r>
    </w:p>
    <w:p w14:paraId="10F56183">
      <w:pPr>
        <w:spacing w:line="360" w:lineRule="auto"/>
        <w:jc w:val="center"/>
        <w:rPr>
          <w:rFonts w:hint="eastAsia" w:ascii="宋体" w:hAnsi="宋体"/>
          <w:b/>
          <w:sz w:val="72"/>
          <w:szCs w:val="72"/>
          <w:lang w:eastAsia="zh-CN"/>
        </w:rPr>
      </w:pPr>
    </w:p>
    <w:p w14:paraId="62AAD0A3">
      <w:pPr>
        <w:spacing w:line="360" w:lineRule="auto"/>
        <w:jc w:val="center"/>
        <w:rPr>
          <w:rFonts w:ascii="宋体" w:hAnsi="宋体"/>
          <w:b/>
          <w:sz w:val="48"/>
          <w:szCs w:val="48"/>
        </w:rPr>
      </w:pPr>
      <w:r>
        <w:rPr>
          <w:rFonts w:hint="eastAsia" w:ascii="宋体" w:hAnsi="宋体"/>
          <w:b/>
          <w:sz w:val="72"/>
          <w:szCs w:val="72"/>
          <w:lang w:eastAsia="zh-CN"/>
        </w:rPr>
        <w:t>广西政投项目咨询有限公司</w:t>
      </w:r>
    </w:p>
    <w:p w14:paraId="306DDF76">
      <w:pPr>
        <w:pStyle w:val="11"/>
      </w:pPr>
    </w:p>
    <w:p w14:paraId="4767430E">
      <w:pPr>
        <w:pStyle w:val="11"/>
      </w:pPr>
    </w:p>
    <w:p w14:paraId="09ADCC10">
      <w:pPr>
        <w:pStyle w:val="11"/>
      </w:pPr>
    </w:p>
    <w:p w14:paraId="019921D4">
      <w:pPr>
        <w:pStyle w:val="11"/>
      </w:pPr>
    </w:p>
    <w:p w14:paraId="12434CF2">
      <w:pPr>
        <w:spacing w:before="331" w:beforeLines="100" w:after="165" w:afterLines="50" w:line="600" w:lineRule="exact"/>
        <w:jc w:val="center"/>
        <w:rPr>
          <w:rFonts w:ascii="仿宋" w:hAnsi="仿宋" w:eastAsia="仿宋" w:cs="仿宋"/>
          <w:b/>
          <w:sz w:val="84"/>
          <w:szCs w:val="84"/>
        </w:rPr>
      </w:pPr>
      <w:r>
        <w:rPr>
          <w:rFonts w:hint="eastAsia" w:ascii="仿宋" w:hAnsi="仿宋" w:eastAsia="仿宋" w:cs="仿宋"/>
          <w:b/>
          <w:sz w:val="84"/>
          <w:szCs w:val="84"/>
        </w:rPr>
        <w:t>招 标 文 件</w:t>
      </w:r>
    </w:p>
    <w:p w14:paraId="2C9F6F33">
      <w:pPr>
        <w:pStyle w:val="11"/>
      </w:pPr>
    </w:p>
    <w:p w14:paraId="0E1160B8">
      <w:pPr>
        <w:snapToGrid w:val="0"/>
        <w:spacing w:before="165" w:beforeLines="50" w:line="360" w:lineRule="auto"/>
        <w:jc w:val="center"/>
        <w:rPr>
          <w:rFonts w:ascii="宋体" w:hAnsi="宋体"/>
          <w:b/>
          <w:sz w:val="48"/>
          <w:szCs w:val="48"/>
        </w:rPr>
      </w:pPr>
      <w:r>
        <w:rPr>
          <w:rFonts w:hint="eastAsia" w:ascii="宋体" w:hAnsi="宋体"/>
          <w:b/>
          <w:sz w:val="48"/>
          <w:szCs w:val="48"/>
        </w:rPr>
        <w:t>（全流程电子化采购）</w:t>
      </w:r>
    </w:p>
    <w:p w14:paraId="1913C2D4">
      <w:pPr>
        <w:snapToGrid w:val="0"/>
        <w:spacing w:line="360" w:lineRule="auto"/>
        <w:rPr>
          <w:rFonts w:ascii="宋体" w:hAnsi="宋体"/>
          <w:sz w:val="30"/>
          <w:szCs w:val="72"/>
        </w:rPr>
      </w:pPr>
    </w:p>
    <w:p w14:paraId="1A149A1B">
      <w:pPr>
        <w:pStyle w:val="11"/>
      </w:pPr>
    </w:p>
    <w:p w14:paraId="74E65B52">
      <w:pPr>
        <w:pStyle w:val="11"/>
      </w:pPr>
    </w:p>
    <w:p w14:paraId="416E7572">
      <w:pPr>
        <w:pStyle w:val="11"/>
      </w:pPr>
    </w:p>
    <w:p w14:paraId="07A5F924">
      <w:pPr>
        <w:keepNext w:val="0"/>
        <w:keepLines w:val="0"/>
        <w:pageBreakBefore w:val="0"/>
        <w:widowControl w:val="0"/>
        <w:kinsoku/>
        <w:wordWrap/>
        <w:overflowPunct/>
        <w:topLinePunct w:val="0"/>
        <w:autoSpaceDE/>
        <w:autoSpaceDN/>
        <w:bidi w:val="0"/>
        <w:adjustRightInd/>
        <w:snapToGrid/>
        <w:spacing w:line="360" w:lineRule="auto"/>
        <w:ind w:left="2564" w:leftChars="456" w:hanging="1606" w:hangingChars="500"/>
        <w:textAlignment w:val="auto"/>
      </w:pPr>
      <w:r>
        <w:rPr>
          <w:rFonts w:hint="eastAsia" w:ascii="宋体" w:hAnsi="宋体"/>
          <w:b/>
          <w:sz w:val="32"/>
          <w:szCs w:val="32"/>
        </w:rPr>
        <w:t>项目名称</w:t>
      </w:r>
      <w:r>
        <w:rPr>
          <w:rFonts w:hint="eastAsia" w:ascii="宋体" w:hAnsi="宋体"/>
          <w:b/>
          <w:sz w:val="32"/>
          <w:szCs w:val="32"/>
          <w:lang w:eastAsia="zh-CN"/>
        </w:rPr>
        <w:t>：玉州区学前教育建设项目（</w:t>
      </w:r>
      <w:r>
        <w:rPr>
          <w:rFonts w:hint="eastAsia" w:ascii="宋体" w:hAnsi="宋体"/>
          <w:b/>
          <w:sz w:val="32"/>
          <w:szCs w:val="32"/>
          <w:lang w:val="en-US" w:eastAsia="zh-CN"/>
        </w:rPr>
        <w:t>一期</w:t>
      </w:r>
      <w:r>
        <w:rPr>
          <w:rFonts w:hint="eastAsia" w:ascii="宋体" w:hAnsi="宋体"/>
          <w:b/>
          <w:sz w:val="32"/>
          <w:szCs w:val="32"/>
          <w:lang w:eastAsia="zh-CN"/>
        </w:rPr>
        <w:t>）</w:t>
      </w:r>
      <w:r>
        <w:rPr>
          <w:rFonts w:hint="eastAsia" w:ascii="宋体" w:hAnsi="宋体" w:eastAsia="宋体" w:cs="宋体"/>
          <w:b/>
          <w:sz w:val="32"/>
          <w:szCs w:val="32"/>
          <w:lang w:eastAsia="zh-CN"/>
        </w:rPr>
        <w:t>—</w:t>
      </w:r>
      <w:r>
        <w:rPr>
          <w:rFonts w:hint="eastAsia" w:ascii="宋体" w:hAnsi="宋体"/>
          <w:b/>
          <w:sz w:val="32"/>
          <w:szCs w:val="32"/>
          <w:lang w:eastAsia="zh-CN"/>
        </w:rPr>
        <w:t>玉州区城站、牛运岭、红星路幼儿园（</w:t>
      </w:r>
      <w:r>
        <w:rPr>
          <w:rFonts w:hint="eastAsia" w:ascii="宋体" w:hAnsi="宋体"/>
          <w:b/>
          <w:sz w:val="32"/>
          <w:szCs w:val="32"/>
          <w:lang w:val="en-US" w:eastAsia="zh-CN"/>
        </w:rPr>
        <w:t>设备项目</w:t>
      </w:r>
      <w:r>
        <w:rPr>
          <w:rFonts w:hint="eastAsia" w:ascii="宋体" w:hAnsi="宋体"/>
          <w:b/>
          <w:sz w:val="32"/>
          <w:szCs w:val="32"/>
          <w:lang w:eastAsia="zh-CN"/>
        </w:rPr>
        <w:t>）</w:t>
      </w:r>
    </w:p>
    <w:p w14:paraId="2280F9E4">
      <w:pPr>
        <w:spacing w:line="400" w:lineRule="exact"/>
        <w:ind w:firstLine="964" w:firstLineChars="300"/>
        <w:rPr>
          <w:rFonts w:hint="eastAsia" w:ascii="宋体" w:hAnsi="宋体"/>
          <w:b/>
          <w:sz w:val="32"/>
          <w:szCs w:val="32"/>
        </w:rPr>
      </w:pPr>
    </w:p>
    <w:p w14:paraId="6D35A61C">
      <w:pPr>
        <w:spacing w:line="400" w:lineRule="exact"/>
        <w:ind w:firstLine="964" w:firstLineChars="300"/>
        <w:rPr>
          <w:rFonts w:hint="eastAsia" w:ascii="宋体" w:hAnsi="宋体" w:eastAsia="宋体"/>
          <w:b/>
          <w:sz w:val="32"/>
          <w:szCs w:val="32"/>
          <w:highlight w:val="none"/>
          <w:lang w:eastAsia="zh-CN"/>
        </w:rPr>
      </w:pPr>
      <w:r>
        <w:rPr>
          <w:rFonts w:hint="eastAsia" w:ascii="宋体" w:hAnsi="宋体"/>
          <w:b/>
          <w:sz w:val="32"/>
          <w:szCs w:val="32"/>
          <w:highlight w:val="none"/>
        </w:rPr>
        <w:t>项目编号：</w:t>
      </w:r>
      <w:r>
        <w:rPr>
          <w:rFonts w:hint="eastAsia" w:ascii="宋体" w:hAnsi="宋体"/>
          <w:b/>
          <w:sz w:val="32"/>
          <w:szCs w:val="32"/>
          <w:highlight w:val="none"/>
          <w:lang w:eastAsia="zh-CN"/>
        </w:rPr>
        <w:t>YLZC2025-G1-020051-ZTZX</w:t>
      </w:r>
    </w:p>
    <w:p w14:paraId="5A4086CF">
      <w:pPr>
        <w:pStyle w:val="14"/>
        <w:ind w:left="0"/>
      </w:pPr>
    </w:p>
    <w:p w14:paraId="02BC878F">
      <w:pPr>
        <w:spacing w:line="400" w:lineRule="exact"/>
        <w:ind w:firstLine="321" w:firstLineChars="100"/>
        <w:rPr>
          <w:rFonts w:ascii="宋体" w:hAnsi="宋体"/>
          <w:b/>
          <w:sz w:val="32"/>
          <w:szCs w:val="32"/>
        </w:rPr>
      </w:pPr>
    </w:p>
    <w:p w14:paraId="008B7E0C">
      <w:pPr>
        <w:spacing w:line="480" w:lineRule="auto"/>
        <w:ind w:firstLine="964" w:firstLineChars="300"/>
        <w:rPr>
          <w:rFonts w:hint="eastAsia" w:ascii="宋体" w:hAnsi="宋体"/>
          <w:b/>
          <w:sz w:val="32"/>
          <w:szCs w:val="32"/>
        </w:rPr>
      </w:pPr>
      <w:r>
        <w:rPr>
          <w:rFonts w:hint="eastAsia" w:ascii="宋体" w:hAnsi="宋体"/>
          <w:b/>
          <w:sz w:val="32"/>
          <w:szCs w:val="32"/>
        </w:rPr>
        <w:t>采购人</w:t>
      </w:r>
      <w:r>
        <w:rPr>
          <w:rFonts w:hint="eastAsia" w:ascii="宋体" w:hAnsi="宋体"/>
          <w:b/>
          <w:sz w:val="32"/>
          <w:szCs w:val="32"/>
          <w:lang w:eastAsia="zh-CN"/>
        </w:rPr>
        <w:t>：</w:t>
      </w:r>
      <w:r>
        <w:rPr>
          <w:rFonts w:hint="eastAsia" w:ascii="宋体" w:hAnsi="宋体"/>
          <w:b/>
          <w:sz w:val="32"/>
          <w:szCs w:val="32"/>
        </w:rPr>
        <w:t>玉林市玉州区教育局</w:t>
      </w:r>
    </w:p>
    <w:p w14:paraId="076094DD">
      <w:pPr>
        <w:spacing w:line="400" w:lineRule="exact"/>
        <w:rPr>
          <w:rFonts w:hint="eastAsia" w:ascii="宋体" w:hAnsi="宋体"/>
          <w:b/>
          <w:sz w:val="32"/>
          <w:szCs w:val="32"/>
        </w:rPr>
      </w:pPr>
    </w:p>
    <w:p w14:paraId="3E4F6B6C">
      <w:pPr>
        <w:spacing w:line="400" w:lineRule="exact"/>
        <w:ind w:firstLine="964" w:firstLineChars="300"/>
        <w:rPr>
          <w:rFonts w:hint="eastAsia" w:ascii="宋体" w:hAnsi="宋体"/>
          <w:b/>
          <w:sz w:val="32"/>
          <w:szCs w:val="32"/>
          <w:lang w:eastAsia="zh-CN"/>
        </w:rPr>
      </w:pPr>
      <w:r>
        <w:rPr>
          <w:rFonts w:hint="eastAsia" w:ascii="宋体" w:hAnsi="宋体"/>
          <w:b/>
          <w:sz w:val="32"/>
          <w:szCs w:val="32"/>
        </w:rPr>
        <w:t>采购代理机构：</w:t>
      </w:r>
      <w:r>
        <w:rPr>
          <w:rFonts w:hint="eastAsia" w:ascii="宋体" w:hAnsi="宋体"/>
          <w:b/>
          <w:sz w:val="32"/>
          <w:szCs w:val="32"/>
          <w:lang w:eastAsia="zh-CN"/>
        </w:rPr>
        <w:t>广西政投项目咨询有限公司</w:t>
      </w:r>
    </w:p>
    <w:p w14:paraId="25905565">
      <w:pPr>
        <w:spacing w:line="400" w:lineRule="exact"/>
        <w:ind w:firstLine="1285" w:firstLineChars="400"/>
        <w:rPr>
          <w:rFonts w:ascii="宋体" w:hAnsi="宋体"/>
          <w:b/>
          <w:sz w:val="32"/>
          <w:szCs w:val="32"/>
        </w:rPr>
      </w:pPr>
    </w:p>
    <w:p w14:paraId="675E11C7">
      <w:pPr>
        <w:spacing w:line="400" w:lineRule="exact"/>
        <w:jc w:val="center"/>
        <w:rPr>
          <w:rFonts w:ascii="宋体" w:hAnsi="宋体"/>
          <w:b/>
          <w:sz w:val="32"/>
          <w:szCs w:val="32"/>
        </w:rPr>
      </w:pPr>
    </w:p>
    <w:p w14:paraId="28DA2C44">
      <w:pPr>
        <w:spacing w:line="400" w:lineRule="exact"/>
        <w:jc w:val="center"/>
        <w:rPr>
          <w:rFonts w:ascii="宋体" w:hAnsi="宋体"/>
          <w:b/>
          <w:sz w:val="32"/>
          <w:szCs w:val="32"/>
        </w:rPr>
      </w:pPr>
      <w:r>
        <w:rPr>
          <w:rFonts w:hint="eastAsia" w:ascii="宋体" w:hAnsi="宋体"/>
          <w:b/>
          <w:sz w:val="32"/>
          <w:szCs w:val="32"/>
        </w:rPr>
        <w:t>202</w:t>
      </w:r>
      <w:r>
        <w:rPr>
          <w:rFonts w:hint="eastAsia" w:ascii="宋体" w:hAnsi="宋体"/>
          <w:b/>
          <w:sz w:val="32"/>
          <w:szCs w:val="32"/>
          <w:lang w:val="en-US" w:eastAsia="zh-CN"/>
        </w:rPr>
        <w:t>5</w:t>
      </w:r>
      <w:r>
        <w:rPr>
          <w:rFonts w:hint="eastAsia" w:ascii="宋体" w:hAnsi="宋体"/>
          <w:b/>
          <w:sz w:val="32"/>
          <w:szCs w:val="32"/>
        </w:rPr>
        <w:t>年</w:t>
      </w:r>
      <w:r>
        <w:rPr>
          <w:rFonts w:hint="eastAsia" w:ascii="宋体" w:hAnsi="宋体"/>
          <w:b/>
          <w:sz w:val="32"/>
          <w:szCs w:val="32"/>
          <w:lang w:val="en-US" w:eastAsia="zh-CN"/>
        </w:rPr>
        <w:t>5</w:t>
      </w:r>
      <w:r>
        <w:rPr>
          <w:rFonts w:hint="eastAsia" w:ascii="宋体" w:hAnsi="宋体"/>
          <w:b/>
          <w:sz w:val="32"/>
          <w:szCs w:val="32"/>
        </w:rPr>
        <w:t>月</w:t>
      </w:r>
    </w:p>
    <w:p w14:paraId="0C2502D9">
      <w:pPr>
        <w:pStyle w:val="11"/>
      </w:pPr>
    </w:p>
    <w:p w14:paraId="34B1BC0F">
      <w:pPr>
        <w:pStyle w:val="11"/>
      </w:pPr>
    </w:p>
    <w:p w14:paraId="6AB4C404">
      <w:pPr>
        <w:pStyle w:val="11"/>
      </w:pPr>
    </w:p>
    <w:p w14:paraId="1236CFF6">
      <w:pPr>
        <w:rPr>
          <w:rFonts w:hint="eastAsia" w:hAnsi="宋体"/>
          <w:b/>
          <w:sz w:val="44"/>
          <w:szCs w:val="44"/>
        </w:rPr>
      </w:pPr>
      <w:r>
        <w:rPr>
          <w:rFonts w:hint="eastAsia" w:hAnsi="宋体"/>
          <w:b/>
          <w:sz w:val="44"/>
          <w:szCs w:val="44"/>
        </w:rPr>
        <w:br w:type="page"/>
      </w:r>
    </w:p>
    <w:p w14:paraId="2918B512">
      <w:pPr>
        <w:pStyle w:val="16"/>
        <w:spacing w:before="120" w:after="120" w:line="360" w:lineRule="auto"/>
        <w:jc w:val="center"/>
      </w:pPr>
      <w:r>
        <w:rPr>
          <w:rFonts w:hint="eastAsia" w:hAnsi="宋体"/>
          <w:b/>
          <w:sz w:val="44"/>
          <w:szCs w:val="44"/>
        </w:rPr>
        <w:t>目  录</w:t>
      </w:r>
    </w:p>
    <w:sdt>
      <w:sdtPr>
        <w:rPr>
          <w:rFonts w:ascii="宋体" w:hAnsi="宋体"/>
        </w:rPr>
        <w:id w:val="147465183"/>
        <w15:color w:val="DBDBDB"/>
        <w:docPartObj>
          <w:docPartGallery w:val="Table of Contents"/>
          <w:docPartUnique/>
        </w:docPartObj>
      </w:sdtPr>
      <w:sdtEndPr>
        <w:rPr>
          <w:rFonts w:hint="eastAsia" w:ascii="宋体" w:hAnsi="宋体"/>
        </w:rPr>
      </w:sdtEndPr>
      <w:sdtContent>
        <w:p w14:paraId="42658D21">
          <w:pPr>
            <w:jc w:val="center"/>
          </w:pPr>
        </w:p>
        <w:p w14:paraId="76D16E01">
          <w:pPr>
            <w:pStyle w:val="21"/>
            <w:tabs>
              <w:tab w:val="right" w:leader="dot" w:pos="9638"/>
              <w:tab w:val="clear" w:pos="8398"/>
            </w:tabs>
            <w:spacing w:line="360" w:lineRule="auto"/>
            <w:rPr>
              <w:b/>
              <w:bCs/>
            </w:rPr>
          </w:pPr>
          <w:r>
            <w:rPr>
              <w:rFonts w:hint="eastAsia"/>
              <w:b/>
              <w:bCs/>
            </w:rPr>
            <w:fldChar w:fldCharType="begin"/>
          </w:r>
          <w:r>
            <w:rPr>
              <w:rFonts w:hint="eastAsia"/>
              <w:b/>
              <w:bCs/>
            </w:rPr>
            <w:instrText xml:space="preserve">TOC \o "1-3" \h \u </w:instrText>
          </w:r>
          <w:r>
            <w:rPr>
              <w:rFonts w:hint="eastAsia"/>
              <w:b/>
              <w:bCs/>
            </w:rPr>
            <w:fldChar w:fldCharType="separate"/>
          </w:r>
          <w:r>
            <w:rPr>
              <w:b/>
              <w:bCs/>
            </w:rPr>
            <w:fldChar w:fldCharType="begin"/>
          </w:r>
          <w:r>
            <w:rPr>
              <w:b/>
              <w:bCs/>
            </w:rPr>
            <w:instrText xml:space="preserve"> HYPERLINK \l "_Toc26836" </w:instrText>
          </w:r>
          <w:r>
            <w:rPr>
              <w:b/>
              <w:bCs/>
            </w:rPr>
            <w:fldChar w:fldCharType="separate"/>
          </w:r>
          <w:r>
            <w:rPr>
              <w:rFonts w:hint="eastAsia"/>
              <w:b/>
              <w:bCs/>
            </w:rPr>
            <w:t>第一章</w:t>
          </w:r>
          <w:r>
            <w:rPr>
              <w:b/>
              <w:bCs/>
            </w:rPr>
            <w:t xml:space="preserve"> </w:t>
          </w:r>
          <w:r>
            <w:rPr>
              <w:rFonts w:hint="eastAsia"/>
              <w:b/>
              <w:bCs/>
            </w:rPr>
            <w:t>招标公告</w:t>
          </w:r>
          <w:r>
            <w:rPr>
              <w:b/>
              <w:bCs/>
            </w:rPr>
            <w:tab/>
          </w:r>
          <w:r>
            <w:rPr>
              <w:b/>
              <w:bCs/>
            </w:rPr>
            <w:fldChar w:fldCharType="begin"/>
          </w:r>
          <w:r>
            <w:rPr>
              <w:b/>
              <w:bCs/>
            </w:rPr>
            <w:instrText xml:space="preserve"> PAGEREF _Toc26836 \h </w:instrText>
          </w:r>
          <w:r>
            <w:rPr>
              <w:b/>
              <w:bCs/>
            </w:rPr>
            <w:fldChar w:fldCharType="separate"/>
          </w:r>
          <w:r>
            <w:rPr>
              <w:b/>
              <w:bCs/>
            </w:rPr>
            <w:t>1</w:t>
          </w:r>
          <w:r>
            <w:rPr>
              <w:b/>
              <w:bCs/>
            </w:rPr>
            <w:fldChar w:fldCharType="end"/>
          </w:r>
          <w:r>
            <w:rPr>
              <w:b/>
              <w:bCs/>
            </w:rPr>
            <w:fldChar w:fldCharType="end"/>
          </w:r>
        </w:p>
        <w:p w14:paraId="18C84B00">
          <w:pPr>
            <w:pStyle w:val="21"/>
            <w:tabs>
              <w:tab w:val="right" w:leader="dot" w:pos="9638"/>
              <w:tab w:val="clear" w:pos="8398"/>
            </w:tabs>
            <w:spacing w:line="360" w:lineRule="auto"/>
            <w:rPr>
              <w:b/>
              <w:bCs/>
            </w:rPr>
          </w:pPr>
          <w:r>
            <w:rPr>
              <w:b/>
              <w:bCs/>
            </w:rPr>
            <w:fldChar w:fldCharType="begin"/>
          </w:r>
          <w:r>
            <w:rPr>
              <w:b/>
              <w:bCs/>
            </w:rPr>
            <w:instrText xml:space="preserve"> HYPERLINK \l "_Toc8375" </w:instrText>
          </w:r>
          <w:r>
            <w:rPr>
              <w:b/>
              <w:bCs/>
            </w:rPr>
            <w:fldChar w:fldCharType="separate"/>
          </w:r>
          <w:r>
            <w:rPr>
              <w:rFonts w:hint="eastAsia"/>
              <w:b/>
              <w:bCs/>
            </w:rPr>
            <w:t>第二章</w:t>
          </w:r>
          <w:r>
            <w:rPr>
              <w:b/>
              <w:bCs/>
            </w:rPr>
            <w:t xml:space="preserve">  </w:t>
          </w:r>
          <w:r>
            <w:rPr>
              <w:rFonts w:hint="eastAsia"/>
              <w:b/>
              <w:bCs/>
            </w:rPr>
            <w:t>采购需求</w:t>
          </w:r>
          <w:r>
            <w:rPr>
              <w:b/>
              <w:bCs/>
            </w:rPr>
            <w:tab/>
          </w:r>
          <w:r>
            <w:rPr>
              <w:b/>
              <w:bCs/>
            </w:rPr>
            <w:fldChar w:fldCharType="begin"/>
          </w:r>
          <w:r>
            <w:rPr>
              <w:b/>
              <w:bCs/>
            </w:rPr>
            <w:instrText xml:space="preserve"> PAGEREF _Toc8375 \h </w:instrText>
          </w:r>
          <w:r>
            <w:rPr>
              <w:b/>
              <w:bCs/>
            </w:rPr>
            <w:fldChar w:fldCharType="separate"/>
          </w:r>
          <w:r>
            <w:rPr>
              <w:b/>
              <w:bCs/>
            </w:rPr>
            <w:t>5</w:t>
          </w:r>
          <w:r>
            <w:rPr>
              <w:b/>
              <w:bCs/>
            </w:rPr>
            <w:fldChar w:fldCharType="end"/>
          </w:r>
          <w:r>
            <w:rPr>
              <w:b/>
              <w:bCs/>
            </w:rPr>
            <w:fldChar w:fldCharType="end"/>
          </w:r>
        </w:p>
        <w:p w14:paraId="52019CDC">
          <w:pPr>
            <w:pStyle w:val="21"/>
            <w:tabs>
              <w:tab w:val="right" w:leader="dot" w:pos="9638"/>
              <w:tab w:val="clear" w:pos="8398"/>
            </w:tabs>
            <w:spacing w:line="360" w:lineRule="auto"/>
            <w:rPr>
              <w:b/>
              <w:bCs/>
            </w:rPr>
          </w:pPr>
          <w:r>
            <w:rPr>
              <w:b/>
              <w:bCs/>
            </w:rPr>
            <w:fldChar w:fldCharType="begin"/>
          </w:r>
          <w:r>
            <w:rPr>
              <w:b/>
              <w:bCs/>
            </w:rPr>
            <w:instrText xml:space="preserve"> HYPERLINK \l "_Toc3368" </w:instrText>
          </w:r>
          <w:r>
            <w:rPr>
              <w:b/>
              <w:bCs/>
            </w:rPr>
            <w:fldChar w:fldCharType="separate"/>
          </w:r>
          <w:r>
            <w:rPr>
              <w:rFonts w:hint="eastAsia"/>
              <w:b/>
              <w:bCs/>
            </w:rPr>
            <w:t>第三章  投标人须知</w:t>
          </w:r>
          <w:r>
            <w:rPr>
              <w:b/>
              <w:bCs/>
            </w:rPr>
            <w:tab/>
          </w:r>
          <w:r>
            <w:rPr>
              <w:b/>
              <w:bCs/>
            </w:rPr>
            <w:fldChar w:fldCharType="begin"/>
          </w:r>
          <w:r>
            <w:rPr>
              <w:b/>
              <w:bCs/>
            </w:rPr>
            <w:instrText xml:space="preserve"> PAGEREF _Toc3368 \h </w:instrText>
          </w:r>
          <w:r>
            <w:rPr>
              <w:b/>
              <w:bCs/>
            </w:rPr>
            <w:fldChar w:fldCharType="separate"/>
          </w:r>
          <w:r>
            <w:rPr>
              <w:b/>
              <w:bCs/>
            </w:rPr>
            <w:t>39</w:t>
          </w:r>
          <w:r>
            <w:rPr>
              <w:b/>
              <w:bCs/>
            </w:rPr>
            <w:fldChar w:fldCharType="end"/>
          </w:r>
          <w:r>
            <w:rPr>
              <w:b/>
              <w:bCs/>
            </w:rPr>
            <w:fldChar w:fldCharType="end"/>
          </w:r>
        </w:p>
        <w:p w14:paraId="2AAF7E21">
          <w:pPr>
            <w:pStyle w:val="21"/>
            <w:tabs>
              <w:tab w:val="right" w:leader="dot" w:pos="9638"/>
              <w:tab w:val="clear" w:pos="8398"/>
            </w:tabs>
            <w:spacing w:line="360" w:lineRule="auto"/>
            <w:rPr>
              <w:b/>
              <w:bCs/>
            </w:rPr>
          </w:pPr>
          <w:r>
            <w:rPr>
              <w:b/>
              <w:bCs/>
            </w:rPr>
            <w:fldChar w:fldCharType="begin"/>
          </w:r>
          <w:r>
            <w:rPr>
              <w:b/>
              <w:bCs/>
            </w:rPr>
            <w:instrText xml:space="preserve"> HYPERLINK \l "_Toc1741" </w:instrText>
          </w:r>
          <w:r>
            <w:rPr>
              <w:b/>
              <w:bCs/>
            </w:rPr>
            <w:fldChar w:fldCharType="separate"/>
          </w:r>
          <w:r>
            <w:rPr>
              <w:rFonts w:hint="eastAsia"/>
              <w:b/>
              <w:bCs/>
            </w:rPr>
            <w:t>第四章  评标方法及评标标准</w:t>
          </w:r>
          <w:r>
            <w:rPr>
              <w:b/>
              <w:bCs/>
            </w:rPr>
            <w:tab/>
          </w:r>
          <w:r>
            <w:rPr>
              <w:b/>
              <w:bCs/>
            </w:rPr>
            <w:fldChar w:fldCharType="begin"/>
          </w:r>
          <w:r>
            <w:rPr>
              <w:b/>
              <w:bCs/>
            </w:rPr>
            <w:instrText xml:space="preserve"> PAGEREF _Toc1741 \h </w:instrText>
          </w:r>
          <w:r>
            <w:rPr>
              <w:b/>
              <w:bCs/>
            </w:rPr>
            <w:fldChar w:fldCharType="separate"/>
          </w:r>
          <w:r>
            <w:rPr>
              <w:b/>
              <w:bCs/>
            </w:rPr>
            <w:t>58</w:t>
          </w:r>
          <w:r>
            <w:rPr>
              <w:b/>
              <w:bCs/>
            </w:rPr>
            <w:fldChar w:fldCharType="end"/>
          </w:r>
          <w:r>
            <w:rPr>
              <w:b/>
              <w:bCs/>
            </w:rPr>
            <w:fldChar w:fldCharType="end"/>
          </w:r>
        </w:p>
        <w:p w14:paraId="330DA374">
          <w:pPr>
            <w:pStyle w:val="21"/>
            <w:tabs>
              <w:tab w:val="right" w:leader="dot" w:pos="9638"/>
              <w:tab w:val="clear" w:pos="8398"/>
            </w:tabs>
            <w:spacing w:line="360" w:lineRule="auto"/>
            <w:rPr>
              <w:b/>
              <w:bCs/>
            </w:rPr>
          </w:pPr>
          <w:r>
            <w:rPr>
              <w:b/>
              <w:bCs/>
            </w:rPr>
            <w:fldChar w:fldCharType="begin"/>
          </w:r>
          <w:r>
            <w:rPr>
              <w:b/>
              <w:bCs/>
            </w:rPr>
            <w:instrText xml:space="preserve"> HYPERLINK \l "_Toc10284" </w:instrText>
          </w:r>
          <w:r>
            <w:rPr>
              <w:b/>
              <w:bCs/>
            </w:rPr>
            <w:fldChar w:fldCharType="separate"/>
          </w:r>
          <w:r>
            <w:rPr>
              <w:rFonts w:hint="eastAsia"/>
              <w:b/>
              <w:bCs/>
            </w:rPr>
            <w:t>第五章  拟签订的合同文本</w:t>
          </w:r>
          <w:r>
            <w:rPr>
              <w:b/>
              <w:bCs/>
            </w:rPr>
            <w:tab/>
          </w:r>
          <w:r>
            <w:rPr>
              <w:b/>
              <w:bCs/>
            </w:rPr>
            <w:fldChar w:fldCharType="begin"/>
          </w:r>
          <w:r>
            <w:rPr>
              <w:b/>
              <w:bCs/>
            </w:rPr>
            <w:instrText xml:space="preserve"> PAGEREF _Toc10284 \h </w:instrText>
          </w:r>
          <w:r>
            <w:rPr>
              <w:b/>
              <w:bCs/>
            </w:rPr>
            <w:fldChar w:fldCharType="separate"/>
          </w:r>
          <w:r>
            <w:rPr>
              <w:b/>
              <w:bCs/>
            </w:rPr>
            <w:t>67</w:t>
          </w:r>
          <w:r>
            <w:rPr>
              <w:b/>
              <w:bCs/>
            </w:rPr>
            <w:fldChar w:fldCharType="end"/>
          </w:r>
          <w:r>
            <w:rPr>
              <w:b/>
              <w:bCs/>
            </w:rPr>
            <w:fldChar w:fldCharType="end"/>
          </w:r>
        </w:p>
        <w:p w14:paraId="0D56104F">
          <w:pPr>
            <w:pStyle w:val="21"/>
            <w:tabs>
              <w:tab w:val="right" w:leader="dot" w:pos="9638"/>
              <w:tab w:val="clear" w:pos="8398"/>
            </w:tabs>
            <w:spacing w:line="360" w:lineRule="auto"/>
            <w:rPr>
              <w:b/>
              <w:bCs/>
            </w:rPr>
          </w:pPr>
          <w:r>
            <w:rPr>
              <w:b/>
              <w:bCs/>
            </w:rPr>
            <w:fldChar w:fldCharType="begin"/>
          </w:r>
          <w:r>
            <w:rPr>
              <w:b/>
              <w:bCs/>
            </w:rPr>
            <w:instrText xml:space="preserve"> HYPERLINK \l "_Toc19381" </w:instrText>
          </w:r>
          <w:r>
            <w:rPr>
              <w:b/>
              <w:bCs/>
            </w:rPr>
            <w:fldChar w:fldCharType="separate"/>
          </w:r>
          <w:r>
            <w:rPr>
              <w:rFonts w:hint="eastAsia"/>
              <w:b/>
              <w:bCs/>
            </w:rPr>
            <w:t>第六章　投标文件格式</w:t>
          </w:r>
          <w:r>
            <w:rPr>
              <w:b/>
              <w:bCs/>
            </w:rPr>
            <w:tab/>
          </w:r>
          <w:r>
            <w:rPr>
              <w:b/>
              <w:bCs/>
            </w:rPr>
            <w:fldChar w:fldCharType="begin"/>
          </w:r>
          <w:r>
            <w:rPr>
              <w:b/>
              <w:bCs/>
            </w:rPr>
            <w:instrText xml:space="preserve"> PAGEREF _Toc19381 \h </w:instrText>
          </w:r>
          <w:r>
            <w:rPr>
              <w:b/>
              <w:bCs/>
            </w:rPr>
            <w:fldChar w:fldCharType="separate"/>
          </w:r>
          <w:r>
            <w:rPr>
              <w:b/>
              <w:bCs/>
            </w:rPr>
            <w:t>75</w:t>
          </w:r>
          <w:r>
            <w:rPr>
              <w:b/>
              <w:bCs/>
            </w:rPr>
            <w:fldChar w:fldCharType="end"/>
          </w:r>
          <w:r>
            <w:rPr>
              <w:b/>
              <w:bCs/>
            </w:rPr>
            <w:fldChar w:fldCharType="end"/>
          </w:r>
        </w:p>
        <w:p w14:paraId="439D76D1">
          <w:pPr>
            <w:spacing w:before="165" w:beforeLines="50" w:line="360" w:lineRule="auto"/>
            <w:rPr>
              <w:rFonts w:ascii="宋体" w:hAnsi="宋体"/>
            </w:rPr>
          </w:pPr>
          <w:r>
            <w:rPr>
              <w:rFonts w:hint="eastAsia" w:ascii="宋体" w:hAnsi="宋体"/>
              <w:b/>
              <w:bCs/>
            </w:rPr>
            <w:fldChar w:fldCharType="end"/>
          </w:r>
        </w:p>
      </w:sdtContent>
    </w:sdt>
    <w:p w14:paraId="06658BF5">
      <w:pPr>
        <w:spacing w:before="165" w:beforeLines="50" w:line="360" w:lineRule="auto"/>
        <w:rPr>
          <w:rFonts w:ascii="宋体" w:hAnsi="宋体"/>
        </w:rPr>
      </w:pPr>
    </w:p>
    <w:p w14:paraId="6DE628BB">
      <w:pPr>
        <w:spacing w:before="165" w:beforeLines="50" w:line="480" w:lineRule="exact"/>
        <w:rPr>
          <w:rFonts w:ascii="宋体" w:hAnsi="宋体"/>
          <w:sz w:val="30"/>
        </w:rPr>
      </w:pPr>
    </w:p>
    <w:p w14:paraId="11699C02">
      <w:pPr>
        <w:rPr>
          <w:rFonts w:ascii="宋体" w:hAnsi="宋体"/>
        </w:rPr>
      </w:pPr>
    </w:p>
    <w:p w14:paraId="28283EFA">
      <w:pPr>
        <w:pStyle w:val="2"/>
        <w:numPr>
          <w:ilvl w:val="0"/>
          <w:numId w:val="1"/>
        </w:numPr>
        <w:jc w:val="center"/>
        <w:sectPr>
          <w:headerReference r:id="rId3" w:type="default"/>
          <w:pgSz w:w="11906" w:h="16838"/>
          <w:pgMar w:top="1134" w:right="1134" w:bottom="1134" w:left="1134" w:header="720" w:footer="720" w:gutter="0"/>
          <w:pgNumType w:start="1"/>
          <w:cols w:space="720" w:num="1"/>
          <w:docGrid w:type="lines" w:linePitch="331" w:charSpace="0"/>
        </w:sectPr>
      </w:pPr>
      <w:bookmarkStart w:id="0" w:name="_Toc20971"/>
      <w:bookmarkStart w:id="1" w:name="_Toc30188"/>
      <w:bookmarkStart w:id="178" w:name="_GoBack"/>
      <w:bookmarkEnd w:id="178"/>
    </w:p>
    <w:p w14:paraId="18CC4F76">
      <w:pPr>
        <w:pStyle w:val="2"/>
        <w:jc w:val="center"/>
      </w:pPr>
      <w:bookmarkStart w:id="2" w:name="_Toc26836"/>
      <w:r>
        <w:rPr>
          <w:rFonts w:hint="eastAsia"/>
        </w:rPr>
        <w:t>第一章</w:t>
      </w:r>
      <w:r>
        <w:t xml:space="preserve"> </w:t>
      </w:r>
      <w:r>
        <w:rPr>
          <w:rFonts w:hint="eastAsia"/>
        </w:rPr>
        <w:t>招标公告</w:t>
      </w:r>
      <w:bookmarkEnd w:id="0"/>
      <w:bookmarkEnd w:id="1"/>
      <w:bookmarkEnd w:id="2"/>
    </w:p>
    <w:p w14:paraId="1F43096E">
      <w:pPr>
        <w:spacing w:line="360" w:lineRule="auto"/>
        <w:jc w:val="center"/>
        <w:rPr>
          <w:rFonts w:hint="eastAsia" w:eastAsia="宋体"/>
          <w:b/>
          <w:bCs/>
          <w:sz w:val="30"/>
          <w:szCs w:val="30"/>
          <w:lang w:eastAsia="zh-CN"/>
        </w:rPr>
      </w:pPr>
      <w:r>
        <w:rPr>
          <w:rFonts w:hint="eastAsia"/>
          <w:b/>
          <w:bCs/>
          <w:sz w:val="30"/>
          <w:szCs w:val="30"/>
          <w:lang w:val="en-US" w:eastAsia="zh-CN"/>
        </w:rPr>
        <w:t>广西政投项目咨询有限公司关于</w:t>
      </w:r>
      <w:r>
        <w:rPr>
          <w:rFonts w:hint="eastAsia" w:ascii="宋体" w:hAnsi="宋体"/>
          <w:b/>
          <w:sz w:val="32"/>
          <w:szCs w:val="32"/>
          <w:lang w:eastAsia="zh-CN"/>
        </w:rPr>
        <w:t>玉州区学前教育建设项目（</w:t>
      </w:r>
      <w:r>
        <w:rPr>
          <w:rFonts w:hint="eastAsia" w:ascii="宋体" w:hAnsi="宋体"/>
          <w:b/>
          <w:sz w:val="32"/>
          <w:szCs w:val="32"/>
          <w:lang w:val="en-US" w:eastAsia="zh-CN"/>
        </w:rPr>
        <w:t>一期</w:t>
      </w:r>
      <w:r>
        <w:rPr>
          <w:rFonts w:hint="eastAsia" w:ascii="宋体" w:hAnsi="宋体"/>
          <w:b/>
          <w:sz w:val="32"/>
          <w:szCs w:val="32"/>
          <w:lang w:eastAsia="zh-CN"/>
        </w:rPr>
        <w:t>）</w:t>
      </w:r>
      <w:r>
        <w:rPr>
          <w:rFonts w:hint="eastAsia" w:ascii="宋体" w:hAnsi="宋体" w:eastAsia="宋体" w:cs="宋体"/>
          <w:b/>
          <w:sz w:val="32"/>
          <w:szCs w:val="32"/>
          <w:lang w:eastAsia="zh-CN"/>
        </w:rPr>
        <w:t>—</w:t>
      </w:r>
      <w:r>
        <w:rPr>
          <w:rFonts w:hint="eastAsia" w:ascii="宋体" w:hAnsi="宋体"/>
          <w:b/>
          <w:sz w:val="32"/>
          <w:szCs w:val="32"/>
          <w:lang w:eastAsia="zh-CN"/>
        </w:rPr>
        <w:t>玉州区城站、牛运岭、红星路幼儿园（</w:t>
      </w:r>
      <w:r>
        <w:rPr>
          <w:rFonts w:hint="eastAsia" w:ascii="宋体" w:hAnsi="宋体"/>
          <w:b/>
          <w:sz w:val="32"/>
          <w:szCs w:val="32"/>
          <w:lang w:val="en-US" w:eastAsia="zh-CN"/>
        </w:rPr>
        <w:t>设备项目</w:t>
      </w:r>
      <w:r>
        <w:rPr>
          <w:rFonts w:hint="eastAsia" w:ascii="宋体" w:hAnsi="宋体"/>
          <w:b/>
          <w:sz w:val="32"/>
          <w:szCs w:val="32"/>
          <w:lang w:eastAsia="zh-CN"/>
        </w:rPr>
        <w:t>）</w:t>
      </w:r>
      <w:r>
        <w:rPr>
          <w:rFonts w:hint="eastAsia"/>
          <w:b/>
          <w:bCs/>
          <w:sz w:val="30"/>
          <w:szCs w:val="30"/>
          <w:lang w:val="en-US" w:eastAsia="zh-CN"/>
        </w:rPr>
        <w:t>的公开招标公告</w:t>
      </w:r>
    </w:p>
    <w:p w14:paraId="0F234AD2">
      <w:pPr>
        <w:pBdr>
          <w:top w:val="single" w:color="auto" w:sz="4" w:space="1"/>
          <w:left w:val="single" w:color="auto" w:sz="4" w:space="4"/>
          <w:bottom w:val="single" w:color="auto" w:sz="4" w:space="1"/>
          <w:right w:val="single" w:color="auto" w:sz="4" w:space="4"/>
        </w:pBdr>
        <w:spacing w:line="360" w:lineRule="auto"/>
        <w:rPr>
          <w:rFonts w:ascii="宋体" w:hAnsi="宋体" w:cs="宋体"/>
          <w:b/>
          <w:bCs/>
          <w:sz w:val="24"/>
        </w:rPr>
      </w:pPr>
      <w:r>
        <w:rPr>
          <w:rFonts w:hint="eastAsia" w:ascii="宋体" w:hAnsi="宋体" w:cs="宋体"/>
          <w:b/>
          <w:bCs/>
          <w:sz w:val="24"/>
        </w:rPr>
        <w:t>项目概况</w:t>
      </w:r>
    </w:p>
    <w:p w14:paraId="203058C2">
      <w:pPr>
        <w:pBdr>
          <w:top w:val="single" w:color="auto" w:sz="4" w:space="1"/>
          <w:left w:val="single" w:color="auto" w:sz="4" w:space="4"/>
          <w:bottom w:val="single" w:color="auto" w:sz="4" w:space="1"/>
          <w:right w:val="single" w:color="auto" w:sz="4" w:space="4"/>
        </w:pBdr>
        <w:spacing w:line="336" w:lineRule="auto"/>
        <w:ind w:firstLine="525" w:firstLineChars="250"/>
        <w:rPr>
          <w:rFonts w:ascii="宋体" w:hAnsi="宋体" w:cs="宋体"/>
          <w:sz w:val="24"/>
          <w:highlight w:val="none"/>
          <w:u w:val="single"/>
        </w:rPr>
      </w:pPr>
      <w:r>
        <w:rPr>
          <w:rFonts w:hint="eastAsia" w:ascii="宋体" w:hAnsi="宋体" w:cs="宋体"/>
          <w:szCs w:val="21"/>
          <w:u w:val="single"/>
          <w:lang w:eastAsia="zh-CN"/>
        </w:rPr>
        <w:t>玉州区学前教育建设项目（</w:t>
      </w:r>
      <w:r>
        <w:rPr>
          <w:rFonts w:hint="eastAsia" w:ascii="宋体" w:hAnsi="宋体" w:cs="宋体"/>
          <w:szCs w:val="21"/>
          <w:u w:val="single"/>
          <w:lang w:val="en-US" w:eastAsia="zh-CN"/>
        </w:rPr>
        <w:t>一期</w:t>
      </w:r>
      <w:r>
        <w:rPr>
          <w:rFonts w:hint="eastAsia" w:ascii="宋体" w:hAnsi="宋体" w:cs="宋体"/>
          <w:szCs w:val="21"/>
          <w:u w:val="single"/>
          <w:lang w:eastAsia="zh-CN"/>
        </w:rPr>
        <w:t>）—玉州区城站、牛运岭、红星路幼儿园（</w:t>
      </w:r>
      <w:r>
        <w:rPr>
          <w:rFonts w:hint="eastAsia" w:ascii="宋体" w:hAnsi="宋体" w:cs="宋体"/>
          <w:szCs w:val="21"/>
          <w:u w:val="single"/>
          <w:lang w:val="en-US" w:eastAsia="zh-CN"/>
        </w:rPr>
        <w:t>设备项目</w:t>
      </w:r>
      <w:r>
        <w:rPr>
          <w:rFonts w:hint="eastAsia" w:ascii="宋体" w:hAnsi="宋体" w:cs="宋体"/>
          <w:szCs w:val="21"/>
          <w:u w:val="single"/>
          <w:lang w:eastAsia="zh-CN"/>
        </w:rPr>
        <w:t>）</w:t>
      </w:r>
      <w:r>
        <w:rPr>
          <w:rFonts w:hint="eastAsia" w:ascii="宋体" w:hAnsi="宋体" w:cs="宋体"/>
          <w:szCs w:val="21"/>
        </w:rPr>
        <w:t>的潜在投标人应在广西政府采购云平台（https://www.gcy.zfcg.gxzf.gov.cn/）获取（下载）招标文件，</w:t>
      </w:r>
      <w:r>
        <w:rPr>
          <w:rFonts w:hint="eastAsia" w:ascii="宋体" w:hAnsi="宋体" w:cs="宋体"/>
          <w:szCs w:val="21"/>
          <w:highlight w:val="none"/>
        </w:rPr>
        <w:t>并于</w:t>
      </w:r>
      <w:bookmarkStart w:id="3" w:name="PO_3000001867_PM015"/>
      <w:r>
        <w:rPr>
          <w:rFonts w:hint="eastAsia" w:ascii="宋体" w:hAnsi="宋体" w:cs="宋体"/>
          <w:szCs w:val="21"/>
          <w:highlight w:val="none"/>
          <w:u w:val="single"/>
        </w:rPr>
        <w:t>202</w:t>
      </w:r>
      <w:r>
        <w:rPr>
          <w:rFonts w:hint="eastAsia" w:ascii="宋体" w:hAnsi="宋体" w:cs="宋体"/>
          <w:szCs w:val="21"/>
          <w:highlight w:val="none"/>
          <w:u w:val="single"/>
          <w:lang w:val="en-US" w:eastAsia="zh-CN"/>
        </w:rPr>
        <w:t>5</w:t>
      </w:r>
      <w:r>
        <w:rPr>
          <w:rFonts w:hint="eastAsia" w:ascii="宋体" w:hAnsi="宋体" w:cs="宋体"/>
          <w:szCs w:val="21"/>
          <w:highlight w:val="none"/>
          <w:u w:val="single"/>
        </w:rPr>
        <w:t>年</w:t>
      </w:r>
      <w:r>
        <w:rPr>
          <w:rFonts w:hint="eastAsia" w:ascii="宋体" w:hAnsi="宋体" w:cs="宋体"/>
          <w:szCs w:val="21"/>
          <w:highlight w:val="none"/>
          <w:u w:val="single"/>
          <w:lang w:val="en-US" w:eastAsia="zh-CN"/>
        </w:rPr>
        <w:t xml:space="preserve"> 6</w:t>
      </w:r>
      <w:r>
        <w:rPr>
          <w:rFonts w:hint="eastAsia" w:ascii="宋体" w:hAnsi="宋体" w:cs="宋体"/>
          <w:szCs w:val="21"/>
          <w:highlight w:val="none"/>
          <w:u w:val="single"/>
        </w:rPr>
        <w:t>月</w:t>
      </w:r>
      <w:r>
        <w:rPr>
          <w:rFonts w:hint="eastAsia" w:ascii="宋体" w:hAnsi="宋体" w:cs="宋体"/>
          <w:szCs w:val="21"/>
          <w:highlight w:val="none"/>
          <w:u w:val="single"/>
          <w:lang w:val="en-US" w:eastAsia="zh-CN"/>
        </w:rPr>
        <w:t>10</w:t>
      </w:r>
      <w:r>
        <w:rPr>
          <w:rFonts w:hint="eastAsia" w:ascii="宋体" w:hAnsi="宋体" w:cs="宋体"/>
          <w:szCs w:val="21"/>
          <w:highlight w:val="none"/>
          <w:u w:val="single"/>
        </w:rPr>
        <w:t>日</w:t>
      </w:r>
      <w:r>
        <w:rPr>
          <w:rFonts w:hint="eastAsia" w:ascii="宋体" w:hAnsi="宋体" w:cs="宋体"/>
          <w:szCs w:val="21"/>
          <w:highlight w:val="none"/>
          <w:u w:val="single"/>
          <w:lang w:val="en-US" w:eastAsia="zh-CN"/>
        </w:rPr>
        <w:t>09</w:t>
      </w:r>
      <w:r>
        <w:rPr>
          <w:rFonts w:hint="eastAsia" w:ascii="宋体" w:hAnsi="宋体" w:cs="宋体"/>
          <w:szCs w:val="21"/>
          <w:highlight w:val="none"/>
          <w:u w:val="single"/>
        </w:rPr>
        <w:t>时</w:t>
      </w:r>
      <w:bookmarkEnd w:id="3"/>
      <w:r>
        <w:rPr>
          <w:rFonts w:hint="eastAsia" w:ascii="宋体" w:hAnsi="宋体" w:cs="宋体"/>
          <w:szCs w:val="21"/>
          <w:highlight w:val="none"/>
          <w:u w:val="single"/>
          <w:lang w:val="en-US" w:eastAsia="zh-CN"/>
        </w:rPr>
        <w:t>30</w:t>
      </w:r>
      <w:r>
        <w:rPr>
          <w:rFonts w:hint="eastAsia" w:ascii="宋体" w:hAnsi="宋体" w:cs="宋体"/>
          <w:szCs w:val="21"/>
          <w:highlight w:val="none"/>
          <w:u w:val="single"/>
        </w:rPr>
        <w:t>分</w:t>
      </w:r>
      <w:r>
        <w:rPr>
          <w:rFonts w:hint="eastAsia" w:ascii="宋体" w:hAnsi="宋体" w:cs="宋体"/>
          <w:bCs/>
          <w:szCs w:val="21"/>
          <w:highlight w:val="none"/>
        </w:rPr>
        <w:t>（北京时间）前</w:t>
      </w:r>
      <w:r>
        <w:rPr>
          <w:rFonts w:hint="eastAsia" w:ascii="宋体" w:hAnsi="宋体" w:cs="宋体"/>
          <w:szCs w:val="21"/>
          <w:highlight w:val="none"/>
        </w:rPr>
        <w:t>递交（上传）投标文件。</w:t>
      </w:r>
    </w:p>
    <w:p w14:paraId="03767596">
      <w:pPr>
        <w:spacing w:line="336" w:lineRule="auto"/>
        <w:rPr>
          <w:rFonts w:ascii="黑体" w:hAnsi="黑体" w:eastAsia="黑体"/>
          <w:b/>
          <w:bCs/>
          <w:sz w:val="24"/>
          <w:highlight w:val="none"/>
        </w:rPr>
      </w:pPr>
      <w:bookmarkStart w:id="4" w:name="_Toc28359002"/>
      <w:bookmarkStart w:id="5" w:name="_Toc35393790"/>
      <w:bookmarkStart w:id="6" w:name="_Toc35393621"/>
      <w:bookmarkStart w:id="7" w:name="_Toc28359079"/>
      <w:bookmarkStart w:id="8" w:name="_Hlk24379207"/>
      <w:r>
        <w:rPr>
          <w:rFonts w:hint="eastAsia" w:ascii="黑体" w:hAnsi="黑体" w:eastAsia="黑体"/>
          <w:b/>
          <w:bCs/>
          <w:sz w:val="24"/>
          <w:highlight w:val="none"/>
        </w:rPr>
        <w:t>一、项目基本情况</w:t>
      </w:r>
      <w:bookmarkEnd w:id="4"/>
      <w:bookmarkEnd w:id="5"/>
      <w:bookmarkEnd w:id="6"/>
      <w:bookmarkEnd w:id="7"/>
    </w:p>
    <w:p w14:paraId="21EBCEB9">
      <w:pPr>
        <w:spacing w:line="336" w:lineRule="auto"/>
        <w:ind w:firstLine="420" w:firstLineChars="200"/>
        <w:rPr>
          <w:rFonts w:hint="eastAsia" w:ascii="宋体" w:hAnsi="宋体" w:eastAsia="宋体"/>
          <w:szCs w:val="21"/>
          <w:highlight w:val="none"/>
          <w:lang w:eastAsia="zh-CN"/>
        </w:rPr>
      </w:pPr>
      <w:r>
        <w:rPr>
          <w:rFonts w:hint="eastAsia" w:ascii="宋体" w:hAnsi="宋体"/>
          <w:szCs w:val="21"/>
          <w:highlight w:val="none"/>
        </w:rPr>
        <w:t>项目编号：</w:t>
      </w:r>
      <w:r>
        <w:rPr>
          <w:rFonts w:hint="eastAsia" w:ascii="宋体" w:hAnsi="宋体"/>
          <w:szCs w:val="21"/>
          <w:highlight w:val="none"/>
          <w:lang w:eastAsia="zh-CN"/>
        </w:rPr>
        <w:t>YLZC2025-G1-020051-ZTZX</w:t>
      </w:r>
    </w:p>
    <w:p w14:paraId="423316F4">
      <w:pPr>
        <w:spacing w:line="336" w:lineRule="auto"/>
        <w:ind w:firstLine="420" w:firstLineChars="200"/>
        <w:rPr>
          <w:rFonts w:hint="eastAsia" w:ascii="宋体" w:hAnsi="宋体"/>
          <w:szCs w:val="21"/>
          <w:highlight w:val="none"/>
        </w:rPr>
      </w:pPr>
      <w:r>
        <w:rPr>
          <w:rFonts w:hint="eastAsia" w:ascii="宋体" w:hAnsi="宋体"/>
          <w:szCs w:val="21"/>
          <w:highlight w:val="none"/>
        </w:rPr>
        <w:t>项目名称：</w:t>
      </w:r>
      <w:bookmarkEnd w:id="8"/>
      <w:r>
        <w:rPr>
          <w:rFonts w:hint="eastAsia" w:ascii="宋体" w:hAnsi="宋体"/>
          <w:szCs w:val="21"/>
          <w:highlight w:val="none"/>
          <w:lang w:eastAsia="zh-CN"/>
        </w:rPr>
        <w:t>玉州区学前教育建设项目（</w:t>
      </w:r>
      <w:r>
        <w:rPr>
          <w:rFonts w:hint="eastAsia" w:ascii="宋体" w:hAnsi="宋体"/>
          <w:szCs w:val="21"/>
          <w:highlight w:val="none"/>
          <w:lang w:val="en-US" w:eastAsia="zh-CN"/>
        </w:rPr>
        <w:t>一期</w:t>
      </w:r>
      <w:r>
        <w:rPr>
          <w:rFonts w:hint="eastAsia" w:ascii="宋体" w:hAnsi="宋体"/>
          <w:szCs w:val="21"/>
          <w:highlight w:val="none"/>
          <w:lang w:eastAsia="zh-CN"/>
        </w:rPr>
        <w:t>）—玉州区城站、牛运岭、红星路幼儿园（</w:t>
      </w:r>
      <w:r>
        <w:rPr>
          <w:rFonts w:hint="eastAsia" w:ascii="宋体" w:hAnsi="宋体"/>
          <w:szCs w:val="21"/>
          <w:highlight w:val="none"/>
          <w:lang w:val="en-US" w:eastAsia="zh-CN"/>
        </w:rPr>
        <w:t>设备项目</w:t>
      </w:r>
      <w:r>
        <w:rPr>
          <w:rFonts w:hint="eastAsia" w:ascii="宋体" w:hAnsi="宋体"/>
          <w:szCs w:val="21"/>
          <w:highlight w:val="none"/>
          <w:lang w:eastAsia="zh-CN"/>
        </w:rPr>
        <w:t>）</w:t>
      </w:r>
    </w:p>
    <w:p w14:paraId="268EDFD3">
      <w:pPr>
        <w:spacing w:line="336" w:lineRule="auto"/>
        <w:ind w:firstLine="420" w:firstLineChars="200"/>
        <w:rPr>
          <w:rFonts w:ascii="宋体" w:hAnsi="宋体"/>
          <w:szCs w:val="21"/>
          <w:highlight w:val="none"/>
          <w:u w:val="single"/>
        </w:rPr>
      </w:pPr>
      <w:r>
        <w:rPr>
          <w:rFonts w:hint="eastAsia" w:ascii="宋体" w:hAnsi="宋体"/>
          <w:szCs w:val="21"/>
          <w:highlight w:val="none"/>
        </w:rPr>
        <w:t>预算金额：人民币</w:t>
      </w:r>
      <w:r>
        <w:rPr>
          <w:rFonts w:hint="eastAsia" w:ascii="宋体" w:hAnsi="宋体"/>
          <w:szCs w:val="21"/>
          <w:highlight w:val="none"/>
          <w:lang w:val="en-US" w:eastAsia="zh-CN"/>
        </w:rPr>
        <w:t>叁佰贰拾肆万元整</w:t>
      </w:r>
      <w:r>
        <w:rPr>
          <w:rFonts w:hint="eastAsia" w:ascii="宋体" w:hAnsi="宋体" w:cs="宋体"/>
          <w:szCs w:val="21"/>
          <w:highlight w:val="none"/>
        </w:rPr>
        <w:t>（¥3</w:t>
      </w:r>
      <w:r>
        <w:rPr>
          <w:rFonts w:hint="eastAsia" w:ascii="宋体" w:hAnsi="宋体" w:cs="宋体"/>
          <w:szCs w:val="21"/>
          <w:highlight w:val="none"/>
          <w:lang w:val="en-US" w:eastAsia="zh-CN"/>
        </w:rPr>
        <w:t>24</w:t>
      </w:r>
      <w:r>
        <w:rPr>
          <w:rFonts w:hint="eastAsia" w:ascii="宋体" w:hAnsi="宋体" w:cs="宋体"/>
          <w:szCs w:val="21"/>
          <w:highlight w:val="none"/>
        </w:rPr>
        <w:t>0000.00）</w:t>
      </w:r>
    </w:p>
    <w:p w14:paraId="52C3BBE9">
      <w:pPr>
        <w:spacing w:line="360" w:lineRule="auto"/>
        <w:ind w:firstLine="420" w:firstLineChars="200"/>
        <w:rPr>
          <w:rFonts w:hint="eastAsia" w:ascii="宋体" w:hAnsi="宋体"/>
          <w:szCs w:val="21"/>
          <w:highlight w:val="none"/>
        </w:rPr>
      </w:pPr>
      <w:r>
        <w:rPr>
          <w:rFonts w:hint="eastAsia" w:ascii="宋体" w:hAnsi="宋体"/>
          <w:szCs w:val="21"/>
          <w:highlight w:val="none"/>
        </w:rPr>
        <w:t xml:space="preserve">采购需求： </w:t>
      </w:r>
      <w:bookmarkStart w:id="9" w:name="PO_3000001867_PM004"/>
      <w:r>
        <w:rPr>
          <w:rFonts w:hint="eastAsia" w:ascii="宋体" w:hAnsi="宋体"/>
          <w:szCs w:val="21"/>
          <w:highlight w:val="none"/>
        </w:rPr>
        <w:t xml:space="preserve"> </w:t>
      </w:r>
      <w:bookmarkEnd w:id="9"/>
      <w:bookmarkStart w:id="10" w:name="_Toc35393622"/>
      <w:bookmarkStart w:id="11" w:name="_Toc35393791"/>
      <w:bookmarkStart w:id="12" w:name="_Toc28359003"/>
      <w:bookmarkStart w:id="13" w:name="_Toc28359080"/>
    </w:p>
    <w:p w14:paraId="70FE2C95">
      <w:pPr>
        <w:spacing w:line="360" w:lineRule="auto"/>
        <w:ind w:left="420" w:leftChars="200" w:firstLine="0" w:firstLineChars="0"/>
        <w:rPr>
          <w:rFonts w:hint="eastAsia" w:ascii="宋体" w:hAnsi="宋体" w:eastAsia="宋体"/>
          <w:szCs w:val="21"/>
          <w:highlight w:val="none"/>
          <w:lang w:eastAsia="zh-CN"/>
        </w:rPr>
      </w:pPr>
      <w:r>
        <w:rPr>
          <w:rFonts w:hint="eastAsia" w:ascii="宋体" w:hAnsi="宋体"/>
          <w:szCs w:val="21"/>
          <w:highlight w:val="none"/>
        </w:rPr>
        <w:t>标项名称:</w:t>
      </w:r>
      <w:r>
        <w:rPr>
          <w:rFonts w:hint="eastAsia" w:ascii="宋体" w:hAnsi="宋体"/>
          <w:szCs w:val="21"/>
          <w:highlight w:val="none"/>
          <w:lang w:eastAsia="zh-CN"/>
        </w:rPr>
        <w:t>玉州区学前教育建设项目（</w:t>
      </w:r>
      <w:r>
        <w:rPr>
          <w:rFonts w:hint="eastAsia" w:ascii="宋体" w:hAnsi="宋体"/>
          <w:szCs w:val="21"/>
          <w:highlight w:val="none"/>
          <w:lang w:val="en-US" w:eastAsia="zh-CN"/>
        </w:rPr>
        <w:t>一期</w:t>
      </w:r>
      <w:r>
        <w:rPr>
          <w:rFonts w:hint="eastAsia" w:ascii="宋体" w:hAnsi="宋体"/>
          <w:szCs w:val="21"/>
          <w:highlight w:val="none"/>
          <w:lang w:eastAsia="zh-CN"/>
        </w:rPr>
        <w:t>）—玉州区城站、牛运岭、红星路幼儿园（</w:t>
      </w:r>
      <w:r>
        <w:rPr>
          <w:rFonts w:hint="eastAsia" w:ascii="宋体" w:hAnsi="宋体"/>
          <w:szCs w:val="21"/>
          <w:highlight w:val="none"/>
          <w:lang w:val="en-US" w:eastAsia="zh-CN"/>
        </w:rPr>
        <w:t>设备项目</w:t>
      </w:r>
      <w:r>
        <w:rPr>
          <w:rFonts w:hint="eastAsia" w:ascii="宋体" w:hAnsi="宋体"/>
          <w:szCs w:val="21"/>
          <w:highlight w:val="none"/>
          <w:lang w:eastAsia="zh-CN"/>
        </w:rPr>
        <w:t>）</w:t>
      </w:r>
      <w:r>
        <w:rPr>
          <w:rFonts w:hint="eastAsia" w:ascii="宋体" w:hAnsi="宋体"/>
          <w:szCs w:val="21"/>
          <w:highlight w:val="none"/>
        </w:rPr>
        <w:br w:type="textWrapping"/>
      </w:r>
      <w:r>
        <w:rPr>
          <w:rFonts w:hint="eastAsia" w:ascii="宋体" w:hAnsi="宋体"/>
          <w:szCs w:val="21"/>
          <w:highlight w:val="none"/>
        </w:rPr>
        <w:t>数量:1</w:t>
      </w:r>
      <w:r>
        <w:rPr>
          <w:rFonts w:hint="eastAsia" w:ascii="宋体" w:hAnsi="宋体"/>
          <w:szCs w:val="21"/>
          <w:highlight w:val="none"/>
        </w:rPr>
        <w:br w:type="textWrapping"/>
      </w:r>
      <w:r>
        <w:rPr>
          <w:rFonts w:hint="eastAsia" w:ascii="宋体" w:hAnsi="宋体"/>
          <w:szCs w:val="21"/>
          <w:highlight w:val="none"/>
        </w:rPr>
        <w:t>预算金额（元）:</w:t>
      </w:r>
      <w:r>
        <w:rPr>
          <w:rFonts w:hint="eastAsia" w:ascii="宋体" w:hAnsi="宋体" w:cs="宋体"/>
          <w:szCs w:val="21"/>
          <w:highlight w:val="none"/>
        </w:rPr>
        <w:t>3</w:t>
      </w:r>
      <w:r>
        <w:rPr>
          <w:rFonts w:hint="eastAsia" w:ascii="宋体" w:hAnsi="宋体" w:cs="宋体"/>
          <w:szCs w:val="21"/>
          <w:highlight w:val="none"/>
          <w:lang w:val="en-US" w:eastAsia="zh-CN"/>
        </w:rPr>
        <w:t>24</w:t>
      </w:r>
      <w:r>
        <w:rPr>
          <w:rFonts w:hint="eastAsia" w:ascii="宋体" w:hAnsi="宋体" w:cs="宋体"/>
          <w:szCs w:val="21"/>
          <w:highlight w:val="none"/>
        </w:rPr>
        <w:t>0000</w:t>
      </w:r>
      <w:r>
        <w:rPr>
          <w:rFonts w:hint="eastAsia" w:ascii="宋体" w:hAnsi="宋体"/>
          <w:szCs w:val="21"/>
          <w:highlight w:val="none"/>
        </w:rPr>
        <w:br w:type="textWrapping"/>
      </w:r>
      <w:r>
        <w:rPr>
          <w:rFonts w:hint="eastAsia" w:ascii="宋体" w:hAnsi="宋体"/>
          <w:szCs w:val="21"/>
          <w:highlight w:val="none"/>
        </w:rPr>
        <w:t>简要规格描述或项目基本概况介绍、用途：采购</w:t>
      </w:r>
      <w:r>
        <w:rPr>
          <w:rFonts w:hint="eastAsia" w:ascii="宋体" w:hAnsi="宋体"/>
          <w:szCs w:val="21"/>
          <w:highlight w:val="none"/>
          <w:lang w:val="en-US" w:eastAsia="zh-CN"/>
        </w:rPr>
        <w:t>玉州区城站、牛运岭、红星路幼儿园设备</w:t>
      </w:r>
      <w:r>
        <w:rPr>
          <w:rFonts w:hint="eastAsia" w:ascii="宋体" w:hAnsi="宋体"/>
          <w:szCs w:val="21"/>
          <w:highlight w:val="none"/>
        </w:rPr>
        <w:t>一批，具体详见采购需求</w:t>
      </w:r>
      <w:r>
        <w:rPr>
          <w:rFonts w:hint="eastAsia" w:ascii="宋体" w:hAnsi="宋体"/>
          <w:szCs w:val="21"/>
          <w:highlight w:val="none"/>
          <w:lang w:eastAsia="zh-CN"/>
        </w:rPr>
        <w:t>。</w:t>
      </w:r>
    </w:p>
    <w:p w14:paraId="4A1033F9">
      <w:pPr>
        <w:spacing w:line="360" w:lineRule="auto"/>
        <w:ind w:firstLine="420" w:firstLineChars="200"/>
        <w:rPr>
          <w:rFonts w:hint="eastAsia" w:ascii="宋体" w:hAnsi="宋体" w:cs="宋体"/>
          <w:szCs w:val="21"/>
          <w:highlight w:val="none"/>
        </w:rPr>
      </w:pPr>
      <w:r>
        <w:rPr>
          <w:rFonts w:hint="eastAsia" w:ascii="宋体" w:hAnsi="宋体"/>
          <w:szCs w:val="21"/>
          <w:highlight w:val="none"/>
        </w:rPr>
        <w:t>最高限价（如有）：</w:t>
      </w:r>
      <w:r>
        <w:rPr>
          <w:rFonts w:hint="eastAsia" w:ascii="宋体" w:hAnsi="宋体" w:cs="宋体"/>
          <w:szCs w:val="21"/>
          <w:highlight w:val="none"/>
        </w:rPr>
        <w:t>3</w:t>
      </w:r>
      <w:r>
        <w:rPr>
          <w:rFonts w:hint="eastAsia" w:ascii="宋体" w:hAnsi="宋体" w:cs="宋体"/>
          <w:szCs w:val="21"/>
          <w:highlight w:val="none"/>
          <w:lang w:val="en-US" w:eastAsia="zh-CN"/>
        </w:rPr>
        <w:t>24</w:t>
      </w:r>
      <w:r>
        <w:rPr>
          <w:rFonts w:hint="eastAsia" w:ascii="宋体" w:hAnsi="宋体" w:cs="宋体"/>
          <w:szCs w:val="21"/>
          <w:highlight w:val="none"/>
        </w:rPr>
        <w:t>0000</w:t>
      </w:r>
    </w:p>
    <w:p w14:paraId="23C665C4">
      <w:pPr>
        <w:spacing w:line="360" w:lineRule="auto"/>
        <w:ind w:firstLine="420" w:firstLineChars="200"/>
        <w:rPr>
          <w:rFonts w:hint="eastAsia" w:ascii="宋体" w:hAnsi="宋体"/>
          <w:szCs w:val="21"/>
          <w:highlight w:val="none"/>
        </w:rPr>
      </w:pPr>
      <w:r>
        <w:rPr>
          <w:rFonts w:hint="eastAsia" w:ascii="宋体" w:hAnsi="宋体"/>
          <w:szCs w:val="21"/>
          <w:highlight w:val="none"/>
        </w:rPr>
        <w:t>合同履约期限：自签订合同之日起30日内，安装调试完毕并交付使用。</w:t>
      </w:r>
    </w:p>
    <w:p w14:paraId="32DB7EF3">
      <w:pPr>
        <w:spacing w:line="360" w:lineRule="auto"/>
        <w:ind w:left="420" w:leftChars="200" w:firstLine="0" w:firstLineChars="0"/>
        <w:rPr>
          <w:rFonts w:hint="eastAsia" w:ascii="宋体" w:hAnsi="宋体" w:eastAsia="宋体"/>
          <w:szCs w:val="21"/>
          <w:highlight w:val="none"/>
          <w:lang w:val="en-US" w:eastAsia="zh-CN"/>
        </w:rPr>
      </w:pPr>
      <w:r>
        <w:rPr>
          <w:rFonts w:hint="eastAsia" w:ascii="宋体" w:hAnsi="宋体"/>
          <w:szCs w:val="21"/>
          <w:highlight w:val="none"/>
        </w:rPr>
        <w:t>本标项（否）接受联合体投标</w:t>
      </w:r>
      <w:r>
        <w:rPr>
          <w:rFonts w:hint="eastAsia" w:ascii="宋体" w:hAnsi="宋体"/>
          <w:szCs w:val="21"/>
          <w:highlight w:val="none"/>
          <w:lang w:eastAsia="zh-CN"/>
        </w:rPr>
        <w:t>。</w:t>
      </w:r>
      <w:r>
        <w:rPr>
          <w:rFonts w:hint="eastAsia" w:ascii="宋体" w:hAnsi="宋体"/>
          <w:szCs w:val="21"/>
          <w:highlight w:val="none"/>
        </w:rPr>
        <w:br w:type="textWrapping"/>
      </w:r>
      <w:r>
        <w:rPr>
          <w:rFonts w:hint="eastAsia" w:ascii="宋体" w:hAnsi="宋体"/>
          <w:szCs w:val="21"/>
          <w:highlight w:val="none"/>
        </w:rPr>
        <w:t>备注：</w:t>
      </w:r>
      <w:r>
        <w:rPr>
          <w:rFonts w:hint="eastAsia" w:ascii="宋体" w:hAnsi="宋体"/>
          <w:szCs w:val="21"/>
          <w:highlight w:val="none"/>
          <w:lang w:val="en-US" w:eastAsia="zh-CN"/>
        </w:rPr>
        <w:t>/</w:t>
      </w:r>
    </w:p>
    <w:p w14:paraId="7184B64C">
      <w:pPr>
        <w:spacing w:line="360" w:lineRule="auto"/>
        <w:rPr>
          <w:rFonts w:ascii="黑体" w:hAnsi="黑体" w:eastAsia="黑体"/>
          <w:b/>
          <w:bCs/>
          <w:sz w:val="24"/>
          <w:highlight w:val="none"/>
        </w:rPr>
      </w:pPr>
      <w:r>
        <w:rPr>
          <w:rFonts w:hint="eastAsia" w:ascii="黑体" w:hAnsi="黑体" w:eastAsia="黑体"/>
          <w:b/>
          <w:bCs/>
          <w:sz w:val="24"/>
          <w:highlight w:val="none"/>
        </w:rPr>
        <w:t>二、投标人的资格要求：</w:t>
      </w:r>
      <w:bookmarkEnd w:id="10"/>
      <w:bookmarkEnd w:id="11"/>
      <w:bookmarkEnd w:id="12"/>
      <w:bookmarkEnd w:id="13"/>
    </w:p>
    <w:p w14:paraId="5CBBC849">
      <w:pPr>
        <w:spacing w:line="360" w:lineRule="auto"/>
        <w:ind w:firstLine="420" w:firstLineChars="200"/>
        <w:rPr>
          <w:rFonts w:ascii="宋体" w:hAnsi="宋体"/>
          <w:szCs w:val="21"/>
          <w:highlight w:val="none"/>
        </w:rPr>
      </w:pPr>
      <w:bookmarkStart w:id="14" w:name="_Toc28359081"/>
      <w:bookmarkStart w:id="15" w:name="_Toc28359004"/>
      <w:r>
        <w:rPr>
          <w:rFonts w:hint="eastAsia" w:ascii="宋体" w:hAnsi="宋体"/>
          <w:szCs w:val="21"/>
          <w:highlight w:val="none"/>
        </w:rPr>
        <w:t>1.满足《中华人民共和国政府采购法》第二十二条规定；</w:t>
      </w:r>
    </w:p>
    <w:p w14:paraId="16840A06">
      <w:pPr>
        <w:spacing w:line="360" w:lineRule="auto"/>
        <w:ind w:firstLine="420" w:firstLineChars="200"/>
        <w:rPr>
          <w:rFonts w:ascii="宋体" w:hAnsi="宋体"/>
          <w:szCs w:val="21"/>
          <w:highlight w:val="none"/>
        </w:rPr>
      </w:pPr>
      <w:r>
        <w:rPr>
          <w:rFonts w:hint="eastAsia" w:ascii="宋体" w:hAnsi="宋体"/>
          <w:szCs w:val="21"/>
          <w:highlight w:val="none"/>
        </w:rPr>
        <w:t>2.落实政府采购政策需满足的资格要求：无；</w:t>
      </w:r>
    </w:p>
    <w:p w14:paraId="4EF74E8A">
      <w:pPr>
        <w:spacing w:line="360" w:lineRule="auto"/>
        <w:ind w:firstLine="420" w:firstLineChars="200"/>
        <w:rPr>
          <w:rFonts w:ascii="宋体" w:hAnsi="宋体"/>
          <w:szCs w:val="21"/>
          <w:highlight w:val="none"/>
        </w:rPr>
      </w:pPr>
      <w:r>
        <w:rPr>
          <w:rFonts w:hint="eastAsia" w:ascii="宋体" w:hAnsi="宋体"/>
          <w:szCs w:val="21"/>
          <w:highlight w:val="none"/>
        </w:rPr>
        <w:t>3.本项目的特定资格要求：无。</w:t>
      </w:r>
    </w:p>
    <w:p w14:paraId="1F52408C">
      <w:pPr>
        <w:spacing w:line="360" w:lineRule="auto"/>
        <w:rPr>
          <w:rFonts w:ascii="黑体" w:hAnsi="黑体" w:eastAsia="黑体"/>
          <w:b/>
          <w:bCs/>
          <w:sz w:val="24"/>
          <w:highlight w:val="none"/>
        </w:rPr>
      </w:pPr>
      <w:bookmarkStart w:id="16" w:name="_Toc35393623"/>
      <w:bookmarkStart w:id="17" w:name="_Toc35393792"/>
      <w:r>
        <w:rPr>
          <w:rFonts w:hint="eastAsia" w:ascii="黑体" w:hAnsi="黑体" w:eastAsia="黑体"/>
          <w:b/>
          <w:bCs/>
          <w:sz w:val="24"/>
          <w:highlight w:val="none"/>
        </w:rPr>
        <w:t>三、获取招标文件</w:t>
      </w:r>
      <w:bookmarkEnd w:id="14"/>
      <w:bookmarkEnd w:id="15"/>
      <w:bookmarkEnd w:id="16"/>
      <w:bookmarkEnd w:id="17"/>
    </w:p>
    <w:p w14:paraId="061A9EB7">
      <w:pPr>
        <w:snapToGrid w:val="0"/>
        <w:spacing w:line="360" w:lineRule="auto"/>
        <w:ind w:firstLine="472" w:firstLineChars="225"/>
        <w:rPr>
          <w:rFonts w:ascii="宋体" w:hAnsi="宋体"/>
          <w:szCs w:val="21"/>
          <w:highlight w:val="none"/>
        </w:rPr>
      </w:pPr>
      <w:bookmarkStart w:id="18" w:name="_Toc28359082"/>
      <w:bookmarkStart w:id="19" w:name="_Toc28359005"/>
      <w:bookmarkStart w:id="20" w:name="_Toc35393793"/>
      <w:bookmarkStart w:id="21" w:name="_Toc35393624"/>
      <w:r>
        <w:rPr>
          <w:rFonts w:hint="eastAsia" w:ascii="宋体" w:hAnsi="宋体"/>
          <w:szCs w:val="21"/>
          <w:highlight w:val="none"/>
        </w:rPr>
        <w:t>时间：202</w:t>
      </w:r>
      <w:r>
        <w:rPr>
          <w:rFonts w:hint="eastAsia" w:ascii="宋体" w:hAnsi="宋体"/>
          <w:szCs w:val="21"/>
          <w:highlight w:val="none"/>
          <w:lang w:val="en-US" w:eastAsia="zh-CN"/>
        </w:rPr>
        <w:t>5</w:t>
      </w:r>
      <w:r>
        <w:rPr>
          <w:rFonts w:hint="eastAsia" w:ascii="宋体" w:hAnsi="宋体"/>
          <w:szCs w:val="21"/>
          <w:highlight w:val="none"/>
        </w:rPr>
        <w:t>年</w:t>
      </w:r>
      <w:r>
        <w:rPr>
          <w:rFonts w:hint="eastAsia" w:ascii="宋体" w:hAnsi="宋体"/>
          <w:szCs w:val="21"/>
          <w:highlight w:val="none"/>
          <w:lang w:val="en-US" w:eastAsia="zh-CN"/>
        </w:rPr>
        <w:t>5</w:t>
      </w:r>
      <w:r>
        <w:rPr>
          <w:rFonts w:hint="eastAsia" w:ascii="宋体" w:hAnsi="宋体"/>
          <w:szCs w:val="21"/>
          <w:highlight w:val="none"/>
        </w:rPr>
        <w:t>月</w:t>
      </w:r>
      <w:r>
        <w:rPr>
          <w:rFonts w:hint="eastAsia" w:ascii="宋体" w:hAnsi="宋体"/>
          <w:szCs w:val="21"/>
          <w:highlight w:val="none"/>
          <w:lang w:val="en-US" w:eastAsia="zh-CN"/>
        </w:rPr>
        <w:t>19</w:t>
      </w:r>
      <w:r>
        <w:rPr>
          <w:rFonts w:hint="eastAsia" w:ascii="宋体" w:hAnsi="宋体"/>
          <w:szCs w:val="21"/>
          <w:highlight w:val="none"/>
        </w:rPr>
        <w:t>日至 202</w:t>
      </w:r>
      <w:r>
        <w:rPr>
          <w:rFonts w:hint="eastAsia" w:ascii="宋体" w:hAnsi="宋体"/>
          <w:szCs w:val="21"/>
          <w:highlight w:val="none"/>
          <w:lang w:val="en-US" w:eastAsia="zh-CN"/>
        </w:rPr>
        <w:t>5</w:t>
      </w:r>
      <w:r>
        <w:rPr>
          <w:rFonts w:hint="eastAsia" w:ascii="宋体" w:hAnsi="宋体"/>
          <w:szCs w:val="21"/>
          <w:highlight w:val="none"/>
        </w:rPr>
        <w:t xml:space="preserve"> 年</w:t>
      </w:r>
      <w:r>
        <w:rPr>
          <w:rFonts w:hint="eastAsia" w:ascii="宋体" w:hAnsi="宋体"/>
          <w:szCs w:val="21"/>
          <w:highlight w:val="none"/>
          <w:lang w:val="en-US" w:eastAsia="zh-CN"/>
        </w:rPr>
        <w:t>5</w:t>
      </w:r>
      <w:r>
        <w:rPr>
          <w:rFonts w:hint="eastAsia" w:ascii="宋体" w:hAnsi="宋体"/>
          <w:szCs w:val="21"/>
          <w:highlight w:val="none"/>
        </w:rPr>
        <w:t>月</w:t>
      </w:r>
      <w:r>
        <w:rPr>
          <w:rFonts w:hint="eastAsia" w:ascii="宋体" w:hAnsi="宋体"/>
          <w:szCs w:val="21"/>
          <w:highlight w:val="none"/>
          <w:lang w:val="en-US" w:eastAsia="zh-CN"/>
        </w:rPr>
        <w:t>26</w:t>
      </w:r>
      <w:r>
        <w:rPr>
          <w:rFonts w:hint="eastAsia" w:ascii="宋体" w:hAnsi="宋体"/>
          <w:szCs w:val="21"/>
          <w:highlight w:val="none"/>
        </w:rPr>
        <w:t>日，每天 8:00 至 12:00，15:00 至 18:00（北京时间，法定节假日除外）。</w:t>
      </w:r>
    </w:p>
    <w:p w14:paraId="3EC1AD33">
      <w:pPr>
        <w:spacing w:line="360" w:lineRule="auto"/>
        <w:ind w:firstLine="420" w:firstLineChars="200"/>
        <w:rPr>
          <w:rFonts w:ascii="宋体" w:hAnsi="宋体"/>
          <w:szCs w:val="21"/>
          <w:highlight w:val="none"/>
        </w:rPr>
      </w:pPr>
      <w:r>
        <w:rPr>
          <w:rFonts w:hint="eastAsia" w:ascii="宋体" w:hAnsi="宋体"/>
          <w:szCs w:val="21"/>
          <w:highlight w:val="none"/>
        </w:rPr>
        <w:t>地点：广西政府采购云平台（https://www.gcy.zfcg.gxzf.gov.cn/）</w:t>
      </w:r>
    </w:p>
    <w:p w14:paraId="445DC536">
      <w:pPr>
        <w:spacing w:line="360" w:lineRule="auto"/>
        <w:ind w:firstLine="420" w:firstLineChars="200"/>
        <w:rPr>
          <w:rFonts w:ascii="黑体" w:hAnsi="黑体" w:eastAsia="黑体"/>
          <w:b/>
          <w:bCs/>
          <w:sz w:val="24"/>
          <w:highlight w:val="none"/>
        </w:rPr>
      </w:pPr>
      <w:r>
        <w:rPr>
          <w:rFonts w:hint="eastAsia" w:ascii="宋体" w:hAnsi="宋体"/>
          <w:szCs w:val="21"/>
          <w:highlight w:val="none"/>
        </w:rPr>
        <w:t>获取方式:网上下载。本项目不发放纸质文件，供应商可自行在</w:t>
      </w:r>
      <w:r>
        <w:rPr>
          <w:highlight w:val="none"/>
        </w:rPr>
        <w:fldChar w:fldCharType="begin"/>
      </w:r>
      <w:r>
        <w:rPr>
          <w:highlight w:val="none"/>
        </w:rPr>
        <w:instrText xml:space="preserve"> HYPERLINK </w:instrText>
      </w:r>
      <w:r>
        <w:rPr>
          <w:highlight w:val="none"/>
        </w:rPr>
        <w:fldChar w:fldCharType="separate"/>
      </w:r>
      <w:r>
        <w:rPr>
          <w:highlight w:val="none"/>
        </w:rPr>
        <w:fldChar w:fldCharType="end"/>
      </w:r>
      <w:r>
        <w:rPr>
          <w:rFonts w:hint="eastAsia" w:ascii="宋体" w:hAnsi="宋体"/>
          <w:szCs w:val="21"/>
          <w:highlight w:val="none"/>
        </w:rPr>
        <w:t>广西政府采购云平台（https://www.gcy.zfcg.gxzf.gov.cn/）下载招标文件（操作路径：登录广西政府采购云平台-项目采购-获取采购文件-找到本项目-点击“申请获取采购文件”），电子投标文件制作需要基于广西政府采购云平台（https://www.gcy.zfcg.gxzf.gov.cn/）获取的招标文件编制。</w:t>
      </w:r>
    </w:p>
    <w:p w14:paraId="04A91DC3">
      <w:pPr>
        <w:snapToGrid w:val="0"/>
        <w:spacing w:line="360" w:lineRule="auto"/>
        <w:ind w:firstLine="420" w:firstLineChars="200"/>
        <w:rPr>
          <w:rFonts w:ascii="宋体" w:hAnsi="宋体"/>
          <w:szCs w:val="21"/>
          <w:highlight w:val="none"/>
        </w:rPr>
      </w:pPr>
      <w:r>
        <w:rPr>
          <w:rFonts w:hint="eastAsia" w:ascii="宋体" w:hAnsi="宋体"/>
          <w:szCs w:val="21"/>
          <w:highlight w:val="none"/>
        </w:rPr>
        <w:t>售价：0元。</w:t>
      </w:r>
    </w:p>
    <w:p w14:paraId="52C685C4">
      <w:pPr>
        <w:spacing w:line="360" w:lineRule="auto"/>
        <w:rPr>
          <w:rFonts w:ascii="黑体" w:hAnsi="黑体" w:eastAsia="黑体"/>
          <w:b/>
          <w:bCs/>
          <w:sz w:val="24"/>
          <w:highlight w:val="none"/>
        </w:rPr>
      </w:pPr>
      <w:r>
        <w:rPr>
          <w:rFonts w:hint="eastAsia" w:ascii="黑体" w:hAnsi="黑体" w:eastAsia="黑体"/>
          <w:b/>
          <w:bCs/>
          <w:sz w:val="24"/>
          <w:highlight w:val="none"/>
        </w:rPr>
        <w:t>四、提交投标文件</w:t>
      </w:r>
      <w:bookmarkEnd w:id="18"/>
      <w:bookmarkEnd w:id="19"/>
      <w:r>
        <w:rPr>
          <w:rFonts w:hint="eastAsia" w:ascii="黑体" w:hAnsi="黑体" w:eastAsia="黑体"/>
          <w:b/>
          <w:bCs/>
          <w:sz w:val="24"/>
          <w:highlight w:val="none"/>
        </w:rPr>
        <w:t>截止时间、开标时间和地点</w:t>
      </w:r>
      <w:bookmarkEnd w:id="20"/>
      <w:bookmarkEnd w:id="21"/>
    </w:p>
    <w:p w14:paraId="6E775A15">
      <w:pPr>
        <w:spacing w:line="360" w:lineRule="auto"/>
        <w:ind w:firstLine="420" w:firstLineChars="200"/>
        <w:rPr>
          <w:rFonts w:ascii="宋体" w:hAnsi="宋体"/>
          <w:szCs w:val="21"/>
          <w:highlight w:val="none"/>
        </w:rPr>
      </w:pPr>
      <w:bookmarkStart w:id="22" w:name="_Toc35393625"/>
      <w:bookmarkStart w:id="23" w:name="_Toc35393794"/>
      <w:bookmarkStart w:id="24" w:name="_Toc28359084"/>
      <w:bookmarkStart w:id="25" w:name="_Toc28359007"/>
      <w:r>
        <w:rPr>
          <w:rFonts w:hint="eastAsia" w:ascii="宋体" w:hAnsi="宋体"/>
          <w:szCs w:val="21"/>
          <w:highlight w:val="none"/>
        </w:rPr>
        <w:t>提交投标文件截止时间：</w:t>
      </w:r>
      <w:r>
        <w:rPr>
          <w:rFonts w:hint="eastAsia" w:ascii="宋体" w:hAnsi="宋体"/>
          <w:szCs w:val="21"/>
          <w:highlight w:val="none"/>
          <w:u w:val="single"/>
        </w:rPr>
        <w:t>202</w:t>
      </w:r>
      <w:r>
        <w:rPr>
          <w:rFonts w:hint="eastAsia" w:ascii="宋体" w:hAnsi="宋体"/>
          <w:szCs w:val="21"/>
          <w:highlight w:val="none"/>
          <w:u w:val="single"/>
          <w:lang w:val="en-US" w:eastAsia="zh-CN"/>
        </w:rPr>
        <w:t>5</w:t>
      </w:r>
      <w:r>
        <w:rPr>
          <w:rFonts w:hint="eastAsia" w:ascii="宋体" w:hAnsi="宋体"/>
          <w:szCs w:val="21"/>
          <w:highlight w:val="none"/>
          <w:u w:val="single"/>
        </w:rPr>
        <w:t>年</w:t>
      </w:r>
      <w:r>
        <w:rPr>
          <w:rFonts w:hint="eastAsia" w:ascii="宋体" w:hAnsi="宋体"/>
          <w:szCs w:val="21"/>
          <w:highlight w:val="none"/>
          <w:u w:val="single"/>
          <w:lang w:val="en-US" w:eastAsia="zh-CN"/>
        </w:rPr>
        <w:t>6</w:t>
      </w:r>
      <w:r>
        <w:rPr>
          <w:rFonts w:hint="eastAsia" w:ascii="宋体" w:hAnsi="宋体"/>
          <w:szCs w:val="21"/>
          <w:highlight w:val="none"/>
          <w:u w:val="single"/>
        </w:rPr>
        <w:t>月</w:t>
      </w:r>
      <w:r>
        <w:rPr>
          <w:rFonts w:hint="eastAsia" w:ascii="宋体" w:hAnsi="宋体"/>
          <w:szCs w:val="21"/>
          <w:highlight w:val="none"/>
          <w:u w:val="single"/>
          <w:lang w:val="en-US" w:eastAsia="zh-CN"/>
        </w:rPr>
        <w:t>10</w:t>
      </w:r>
      <w:r>
        <w:rPr>
          <w:rFonts w:hint="eastAsia" w:ascii="宋体" w:hAnsi="宋体"/>
          <w:szCs w:val="21"/>
          <w:highlight w:val="none"/>
          <w:u w:val="single"/>
        </w:rPr>
        <w:t>日</w:t>
      </w:r>
      <w:r>
        <w:rPr>
          <w:rFonts w:hint="eastAsia" w:ascii="宋体" w:hAnsi="宋体"/>
          <w:szCs w:val="21"/>
          <w:highlight w:val="none"/>
          <w:u w:val="single"/>
          <w:lang w:val="en-US" w:eastAsia="zh-CN"/>
        </w:rPr>
        <w:t>09</w:t>
      </w:r>
      <w:r>
        <w:rPr>
          <w:rFonts w:hint="eastAsia" w:ascii="宋体" w:hAnsi="宋体"/>
          <w:szCs w:val="21"/>
          <w:highlight w:val="none"/>
          <w:u w:val="single"/>
        </w:rPr>
        <w:t>时</w:t>
      </w:r>
      <w:r>
        <w:rPr>
          <w:rFonts w:hint="eastAsia" w:ascii="宋体" w:hAnsi="宋体"/>
          <w:szCs w:val="21"/>
          <w:highlight w:val="none"/>
          <w:u w:val="single"/>
          <w:lang w:val="en-US" w:eastAsia="zh-CN"/>
        </w:rPr>
        <w:t>30</w:t>
      </w:r>
      <w:r>
        <w:rPr>
          <w:rFonts w:hint="eastAsia" w:ascii="宋体" w:hAnsi="宋体"/>
          <w:szCs w:val="21"/>
          <w:highlight w:val="none"/>
          <w:u w:val="single"/>
        </w:rPr>
        <w:t>分</w:t>
      </w:r>
      <w:r>
        <w:rPr>
          <w:rFonts w:hint="eastAsia" w:ascii="宋体" w:hAnsi="宋体"/>
          <w:szCs w:val="21"/>
          <w:highlight w:val="none"/>
        </w:rPr>
        <w:t>（北京时间）</w:t>
      </w:r>
    </w:p>
    <w:p w14:paraId="57BB19BE">
      <w:pPr>
        <w:spacing w:line="360" w:lineRule="auto"/>
        <w:ind w:firstLine="420" w:firstLineChars="200"/>
        <w:rPr>
          <w:rFonts w:ascii="宋体" w:hAnsi="宋体"/>
          <w:szCs w:val="21"/>
          <w:highlight w:val="none"/>
        </w:rPr>
      </w:pPr>
      <w:r>
        <w:rPr>
          <w:rFonts w:hint="eastAsia" w:ascii="宋体" w:hAnsi="宋体"/>
          <w:szCs w:val="21"/>
          <w:highlight w:val="none"/>
        </w:rPr>
        <w:t>投标地点（网址）：广西政府采购云平台（https：//www.gcy.zfcg.gxzf.gov.cn/）</w:t>
      </w:r>
    </w:p>
    <w:p w14:paraId="6CE76442">
      <w:pPr>
        <w:spacing w:line="360" w:lineRule="auto"/>
        <w:ind w:firstLine="420" w:firstLineChars="200"/>
        <w:rPr>
          <w:rFonts w:ascii="宋体" w:hAnsi="宋体"/>
          <w:szCs w:val="21"/>
          <w:highlight w:val="none"/>
        </w:rPr>
      </w:pPr>
      <w:r>
        <w:rPr>
          <w:rFonts w:hint="eastAsia" w:ascii="宋体" w:hAnsi="宋体"/>
          <w:szCs w:val="21"/>
          <w:highlight w:val="none"/>
        </w:rPr>
        <w:t>开标时间：</w:t>
      </w:r>
      <w:r>
        <w:rPr>
          <w:rFonts w:hint="eastAsia" w:ascii="宋体" w:hAnsi="宋体"/>
          <w:szCs w:val="21"/>
          <w:highlight w:val="none"/>
          <w:u w:val="single"/>
        </w:rPr>
        <w:t>202</w:t>
      </w:r>
      <w:r>
        <w:rPr>
          <w:rFonts w:hint="eastAsia" w:ascii="宋体" w:hAnsi="宋体"/>
          <w:szCs w:val="21"/>
          <w:highlight w:val="none"/>
          <w:u w:val="single"/>
          <w:lang w:val="en-US" w:eastAsia="zh-CN"/>
        </w:rPr>
        <w:t>5</w:t>
      </w:r>
      <w:r>
        <w:rPr>
          <w:rFonts w:hint="eastAsia" w:ascii="宋体" w:hAnsi="宋体"/>
          <w:szCs w:val="21"/>
          <w:highlight w:val="none"/>
          <w:u w:val="single"/>
        </w:rPr>
        <w:t>年</w:t>
      </w:r>
      <w:r>
        <w:rPr>
          <w:rFonts w:hint="eastAsia" w:ascii="宋体" w:hAnsi="宋体"/>
          <w:szCs w:val="21"/>
          <w:highlight w:val="none"/>
          <w:u w:val="single"/>
          <w:lang w:val="en-US" w:eastAsia="zh-CN"/>
        </w:rPr>
        <w:t>6</w:t>
      </w:r>
      <w:r>
        <w:rPr>
          <w:rFonts w:hint="eastAsia" w:ascii="宋体" w:hAnsi="宋体"/>
          <w:szCs w:val="21"/>
          <w:highlight w:val="none"/>
          <w:u w:val="single"/>
        </w:rPr>
        <w:t>月</w:t>
      </w:r>
      <w:r>
        <w:rPr>
          <w:rFonts w:hint="eastAsia" w:ascii="宋体" w:hAnsi="宋体"/>
          <w:szCs w:val="21"/>
          <w:highlight w:val="none"/>
          <w:u w:val="single"/>
          <w:lang w:val="en-US" w:eastAsia="zh-CN"/>
        </w:rPr>
        <w:t>10</w:t>
      </w:r>
      <w:r>
        <w:rPr>
          <w:rFonts w:hint="eastAsia" w:ascii="宋体" w:hAnsi="宋体"/>
          <w:szCs w:val="21"/>
          <w:highlight w:val="none"/>
          <w:u w:val="single"/>
        </w:rPr>
        <w:t>日</w:t>
      </w:r>
      <w:r>
        <w:rPr>
          <w:rFonts w:hint="eastAsia" w:ascii="宋体" w:hAnsi="宋体"/>
          <w:szCs w:val="21"/>
          <w:highlight w:val="none"/>
          <w:u w:val="single"/>
          <w:lang w:val="en-US" w:eastAsia="zh-CN"/>
        </w:rPr>
        <w:t>09</w:t>
      </w:r>
      <w:r>
        <w:rPr>
          <w:rFonts w:hint="eastAsia" w:ascii="宋体" w:hAnsi="宋体"/>
          <w:szCs w:val="21"/>
          <w:highlight w:val="none"/>
          <w:u w:val="single"/>
        </w:rPr>
        <w:t>时</w:t>
      </w:r>
      <w:r>
        <w:rPr>
          <w:rFonts w:hint="eastAsia" w:ascii="宋体" w:hAnsi="宋体"/>
          <w:szCs w:val="21"/>
          <w:highlight w:val="none"/>
          <w:u w:val="single"/>
          <w:lang w:val="en-US" w:eastAsia="zh-CN"/>
        </w:rPr>
        <w:t>30</w:t>
      </w:r>
      <w:r>
        <w:rPr>
          <w:rFonts w:hint="eastAsia" w:ascii="宋体" w:hAnsi="宋体"/>
          <w:szCs w:val="21"/>
          <w:highlight w:val="none"/>
          <w:u w:val="single"/>
        </w:rPr>
        <w:t>分</w:t>
      </w:r>
      <w:r>
        <w:rPr>
          <w:rFonts w:hint="eastAsia" w:ascii="宋体" w:hAnsi="宋体"/>
          <w:szCs w:val="21"/>
          <w:highlight w:val="none"/>
        </w:rPr>
        <w:t>（北京时间）</w:t>
      </w:r>
    </w:p>
    <w:p w14:paraId="44C344CA">
      <w:pPr>
        <w:spacing w:line="360" w:lineRule="auto"/>
        <w:ind w:firstLine="420" w:firstLineChars="200"/>
        <w:rPr>
          <w:rFonts w:ascii="宋体" w:hAnsi="宋体"/>
          <w:szCs w:val="21"/>
          <w:highlight w:val="none"/>
        </w:rPr>
      </w:pPr>
      <w:r>
        <w:rPr>
          <w:rFonts w:hint="eastAsia" w:ascii="宋体" w:hAnsi="宋体"/>
          <w:szCs w:val="21"/>
          <w:highlight w:val="none"/>
        </w:rPr>
        <w:t>开标地点：广西政府采购云平台电子开标大厅</w:t>
      </w:r>
    </w:p>
    <w:p w14:paraId="0EDB6CC2">
      <w:pPr>
        <w:spacing w:line="360" w:lineRule="auto"/>
        <w:rPr>
          <w:rFonts w:ascii="黑体" w:hAnsi="黑体" w:eastAsia="黑体"/>
          <w:b/>
          <w:bCs/>
          <w:sz w:val="24"/>
          <w:highlight w:val="none"/>
        </w:rPr>
      </w:pPr>
      <w:r>
        <w:rPr>
          <w:rFonts w:hint="eastAsia" w:ascii="黑体" w:hAnsi="黑体" w:eastAsia="黑体"/>
          <w:b/>
          <w:bCs/>
          <w:sz w:val="24"/>
          <w:highlight w:val="none"/>
        </w:rPr>
        <w:t>五、公告期限</w:t>
      </w:r>
      <w:bookmarkEnd w:id="22"/>
      <w:bookmarkEnd w:id="23"/>
      <w:bookmarkEnd w:id="24"/>
      <w:bookmarkEnd w:id="25"/>
    </w:p>
    <w:p w14:paraId="7955D7E9">
      <w:pPr>
        <w:spacing w:line="360" w:lineRule="auto"/>
        <w:ind w:firstLine="420" w:firstLineChars="200"/>
        <w:rPr>
          <w:rFonts w:ascii="宋体" w:hAnsi="宋体"/>
          <w:szCs w:val="21"/>
        </w:rPr>
      </w:pPr>
      <w:r>
        <w:rPr>
          <w:rFonts w:hint="eastAsia" w:ascii="宋体" w:hAnsi="宋体"/>
          <w:szCs w:val="21"/>
        </w:rPr>
        <w:t>自本公告发布之日起5个工作日。</w:t>
      </w:r>
    </w:p>
    <w:p w14:paraId="3ABAA954">
      <w:pPr>
        <w:spacing w:line="360" w:lineRule="auto"/>
        <w:rPr>
          <w:rFonts w:ascii="黑体" w:hAnsi="黑体" w:eastAsia="黑体"/>
          <w:b/>
          <w:bCs/>
          <w:sz w:val="24"/>
        </w:rPr>
      </w:pPr>
      <w:bookmarkStart w:id="26" w:name="_Toc35393626"/>
      <w:bookmarkStart w:id="27" w:name="_Toc35393795"/>
      <w:r>
        <w:rPr>
          <w:rFonts w:hint="eastAsia" w:ascii="黑体" w:hAnsi="黑体" w:eastAsia="黑体"/>
          <w:b/>
          <w:bCs/>
          <w:sz w:val="24"/>
        </w:rPr>
        <w:t>六、其他补充事宜</w:t>
      </w:r>
      <w:bookmarkEnd w:id="26"/>
      <w:bookmarkEnd w:id="27"/>
    </w:p>
    <w:p w14:paraId="629D6663">
      <w:pPr>
        <w:spacing w:line="360" w:lineRule="auto"/>
        <w:ind w:firstLine="420" w:firstLineChars="200"/>
        <w:rPr>
          <w:rFonts w:ascii="宋体" w:hAnsi="宋体" w:cs="宋体"/>
          <w:kern w:val="0"/>
          <w:szCs w:val="21"/>
        </w:rPr>
      </w:pPr>
      <w:r>
        <w:rPr>
          <w:rFonts w:hint="eastAsia" w:ascii="宋体" w:hAnsi="宋体" w:cs="宋体"/>
          <w:kern w:val="0"/>
          <w:szCs w:val="21"/>
        </w:rPr>
        <w:t>1.投标保证金：本项目不收取投标保证金。</w:t>
      </w:r>
    </w:p>
    <w:p w14:paraId="1B82BB73">
      <w:pPr>
        <w:spacing w:line="360" w:lineRule="auto"/>
        <w:ind w:firstLine="420" w:firstLineChars="200"/>
        <w:rPr>
          <w:rFonts w:ascii="宋体" w:hAnsi="宋体" w:cs="宋体"/>
          <w:kern w:val="0"/>
          <w:szCs w:val="21"/>
        </w:rPr>
      </w:pPr>
      <w:r>
        <w:rPr>
          <w:rFonts w:hint="eastAsia" w:ascii="宋体" w:hAnsi="宋体" w:cs="宋体"/>
          <w:kern w:val="0"/>
          <w:szCs w:val="21"/>
        </w:rPr>
        <w:t>2.采购意向公开链接：</w:t>
      </w:r>
      <w:bookmarkStart w:id="28" w:name="PO_3000001867_PM100"/>
    </w:p>
    <w:bookmarkEnd w:id="28"/>
    <w:p w14:paraId="02049E16">
      <w:pPr>
        <w:spacing w:line="360" w:lineRule="auto"/>
        <w:ind w:left="420" w:leftChars="200"/>
        <w:rPr>
          <w:rFonts w:hint="eastAsia" w:ascii="宋体" w:hAnsi="宋体" w:cs="宋体"/>
          <w:kern w:val="0"/>
          <w:szCs w:val="21"/>
        </w:rPr>
      </w:pPr>
      <w:r>
        <w:rPr>
          <w:rFonts w:hint="eastAsia" w:ascii="宋体" w:hAnsi="宋体" w:cs="宋体"/>
          <w:kern w:val="0"/>
          <w:szCs w:val="21"/>
        </w:rPr>
        <w:fldChar w:fldCharType="begin"/>
      </w:r>
      <w:r>
        <w:rPr>
          <w:rFonts w:hint="eastAsia" w:ascii="宋体" w:hAnsi="宋体" w:cs="宋体"/>
          <w:kern w:val="0"/>
          <w:szCs w:val="21"/>
        </w:rPr>
        <w:instrText xml:space="preserve"> HYPERLINK "http://www.ccgp-guangxi.gov.cn/site/detail?parentId=66601&amp;articleId=qj3Q1O7VQXSZACe8hqZmXQ==" </w:instrText>
      </w:r>
      <w:r>
        <w:rPr>
          <w:rFonts w:hint="eastAsia" w:ascii="宋体" w:hAnsi="宋体" w:cs="宋体"/>
          <w:kern w:val="0"/>
          <w:szCs w:val="21"/>
        </w:rPr>
        <w:fldChar w:fldCharType="separate"/>
      </w:r>
      <w:r>
        <w:rPr>
          <w:rStyle w:val="35"/>
          <w:rFonts w:hint="eastAsia" w:ascii="宋体" w:hAnsi="宋体" w:cs="宋体"/>
          <w:kern w:val="0"/>
          <w:szCs w:val="21"/>
        </w:rPr>
        <w:t>http://www.ccgp-guangxi.gov.cn/site/detail?parentId=66601&amp;articleId=qj3Q1O7VQXSZACe8hqZmXQ==</w:t>
      </w:r>
      <w:r>
        <w:rPr>
          <w:rFonts w:hint="eastAsia" w:ascii="宋体" w:hAnsi="宋体" w:cs="宋体"/>
          <w:kern w:val="0"/>
          <w:szCs w:val="21"/>
        </w:rPr>
        <w:fldChar w:fldCharType="end"/>
      </w:r>
    </w:p>
    <w:p w14:paraId="3F08B119">
      <w:pPr>
        <w:spacing w:line="360" w:lineRule="auto"/>
        <w:ind w:left="420" w:leftChars="200"/>
        <w:rPr>
          <w:rFonts w:ascii="宋体" w:hAnsi="宋体" w:cs="宋体"/>
          <w:kern w:val="0"/>
          <w:szCs w:val="21"/>
        </w:rPr>
      </w:pPr>
      <w:r>
        <w:rPr>
          <w:rFonts w:hint="eastAsia" w:ascii="宋体" w:hAnsi="宋体" w:cs="宋体"/>
          <w:kern w:val="0"/>
          <w:szCs w:val="21"/>
        </w:rPr>
        <w:t>3.网上查询地址</w:t>
      </w:r>
    </w:p>
    <w:p w14:paraId="10BA9B40">
      <w:pPr>
        <w:spacing w:line="360" w:lineRule="auto"/>
        <w:ind w:firstLine="420" w:firstLineChars="200"/>
        <w:rPr>
          <w:rFonts w:ascii="宋体" w:hAnsi="宋体" w:cs="宋体"/>
          <w:kern w:val="0"/>
          <w:szCs w:val="21"/>
        </w:rPr>
      </w:pPr>
      <w:r>
        <w:rPr>
          <w:rFonts w:hint="eastAsia" w:ascii="宋体" w:hAnsi="宋体" w:cs="宋体"/>
          <w:color w:val="333333"/>
          <w:szCs w:val="21"/>
          <w:shd w:val="clear" w:color="auto" w:fill="FFFFFF"/>
          <w:lang w:val="en-US" w:eastAsia="zh-CN"/>
        </w:rPr>
        <w:t>中国政府采购网（http://www.ccgp.gov.cn）、广西壮族自治区政府采购网（http://zfcg.gxzf.gov.cn）、广西玉林市玉州区政府门户网站（www.ylyz.gov.cn）。</w:t>
      </w:r>
    </w:p>
    <w:p w14:paraId="7D628C4E">
      <w:pPr>
        <w:spacing w:line="360" w:lineRule="auto"/>
        <w:ind w:firstLine="420" w:firstLineChars="200"/>
        <w:rPr>
          <w:rFonts w:ascii="宋体" w:hAnsi="宋体" w:cs="宋体"/>
          <w:kern w:val="0"/>
          <w:szCs w:val="21"/>
        </w:rPr>
      </w:pPr>
      <w:r>
        <w:rPr>
          <w:rFonts w:hint="eastAsia" w:ascii="宋体" w:hAnsi="宋体" w:cs="宋体"/>
          <w:kern w:val="0"/>
          <w:szCs w:val="21"/>
        </w:rPr>
        <w:t>4.本项目需要落实的政府采购政策</w:t>
      </w:r>
    </w:p>
    <w:p w14:paraId="71DE2346">
      <w:pPr>
        <w:widowControl/>
        <w:shd w:val="clear" w:color="auto" w:fill="FFFFFF"/>
        <w:spacing w:line="360" w:lineRule="auto"/>
        <w:ind w:firstLine="420"/>
        <w:jc w:val="left"/>
        <w:rPr>
          <w:rFonts w:ascii="微软雅黑" w:hAnsi="微软雅黑" w:eastAsia="微软雅黑" w:cs="微软雅黑"/>
          <w:color w:val="333333"/>
          <w:szCs w:val="21"/>
        </w:rPr>
      </w:pPr>
      <w:r>
        <w:rPr>
          <w:rFonts w:hint="eastAsia" w:ascii="宋体" w:hAnsi="宋体" w:cs="宋体"/>
          <w:color w:val="333333"/>
          <w:kern w:val="0"/>
          <w:szCs w:val="21"/>
          <w:shd w:val="clear" w:color="auto" w:fill="FFFFFF"/>
          <w:lang w:bidi="ar"/>
        </w:rPr>
        <w:t>（1）政府采购促进中小企业发展。</w:t>
      </w:r>
    </w:p>
    <w:p w14:paraId="1D05B16B">
      <w:pPr>
        <w:widowControl/>
        <w:shd w:val="clear" w:color="auto" w:fill="FFFFFF"/>
        <w:spacing w:line="360" w:lineRule="auto"/>
        <w:ind w:firstLine="420"/>
        <w:jc w:val="left"/>
        <w:rPr>
          <w:rFonts w:ascii="微软雅黑" w:hAnsi="微软雅黑" w:eastAsia="微软雅黑" w:cs="微软雅黑"/>
          <w:color w:val="333333"/>
          <w:szCs w:val="21"/>
        </w:rPr>
      </w:pPr>
      <w:r>
        <w:rPr>
          <w:rFonts w:hint="eastAsia" w:ascii="宋体" w:hAnsi="宋体" w:cs="宋体"/>
          <w:color w:val="333333"/>
          <w:kern w:val="0"/>
          <w:szCs w:val="21"/>
          <w:shd w:val="clear" w:color="auto" w:fill="FFFFFF"/>
          <w:lang w:bidi="ar"/>
        </w:rPr>
        <w:t>（2）政府采购支持采用本国产品的政策。</w:t>
      </w:r>
    </w:p>
    <w:p w14:paraId="7774FD9B">
      <w:pPr>
        <w:widowControl/>
        <w:shd w:val="clear" w:color="auto" w:fill="FFFFFF"/>
        <w:spacing w:line="360" w:lineRule="auto"/>
        <w:ind w:firstLine="420"/>
        <w:jc w:val="left"/>
        <w:rPr>
          <w:rFonts w:ascii="微软雅黑" w:hAnsi="微软雅黑" w:eastAsia="微软雅黑" w:cs="微软雅黑"/>
          <w:color w:val="333333"/>
          <w:szCs w:val="21"/>
        </w:rPr>
      </w:pPr>
      <w:r>
        <w:rPr>
          <w:rFonts w:hint="eastAsia" w:ascii="宋体" w:hAnsi="宋体" w:cs="宋体"/>
          <w:color w:val="333333"/>
          <w:kern w:val="0"/>
          <w:szCs w:val="21"/>
          <w:shd w:val="clear" w:color="auto" w:fill="FFFFFF"/>
          <w:lang w:bidi="ar"/>
        </w:rPr>
        <w:t>（3）强制采购节能产品；优先采购节能产品、环境标志产品。</w:t>
      </w:r>
    </w:p>
    <w:p w14:paraId="186ACC2D">
      <w:pPr>
        <w:widowControl/>
        <w:shd w:val="clear" w:color="auto" w:fill="FFFFFF"/>
        <w:spacing w:line="360" w:lineRule="auto"/>
        <w:ind w:firstLine="420"/>
        <w:jc w:val="left"/>
        <w:rPr>
          <w:rFonts w:ascii="微软雅黑" w:hAnsi="微软雅黑" w:eastAsia="微软雅黑" w:cs="微软雅黑"/>
          <w:color w:val="333333"/>
          <w:szCs w:val="21"/>
        </w:rPr>
      </w:pPr>
      <w:r>
        <w:rPr>
          <w:rFonts w:hint="eastAsia" w:ascii="宋体" w:hAnsi="宋体" w:cs="宋体"/>
          <w:color w:val="333333"/>
          <w:kern w:val="0"/>
          <w:szCs w:val="21"/>
          <w:shd w:val="clear" w:color="auto" w:fill="FFFFFF"/>
          <w:lang w:bidi="ar"/>
        </w:rPr>
        <w:t>（4）政府采购促进残疾人就业政策。</w:t>
      </w:r>
    </w:p>
    <w:p w14:paraId="66A00A55">
      <w:pPr>
        <w:widowControl/>
        <w:shd w:val="clear" w:color="auto" w:fill="FFFFFF"/>
        <w:spacing w:line="360" w:lineRule="auto"/>
        <w:ind w:firstLine="420"/>
        <w:jc w:val="left"/>
        <w:rPr>
          <w:rFonts w:ascii="微软雅黑" w:hAnsi="微软雅黑" w:eastAsia="微软雅黑" w:cs="微软雅黑"/>
          <w:color w:val="333333"/>
          <w:szCs w:val="21"/>
        </w:rPr>
      </w:pPr>
      <w:r>
        <w:rPr>
          <w:rFonts w:hint="eastAsia" w:ascii="宋体" w:hAnsi="宋体" w:cs="宋体"/>
          <w:color w:val="333333"/>
          <w:kern w:val="0"/>
          <w:szCs w:val="21"/>
          <w:shd w:val="clear" w:color="auto" w:fill="FFFFFF"/>
          <w:lang w:bidi="ar"/>
        </w:rPr>
        <w:t>（5）政府采购支持监狱企业发展。</w:t>
      </w:r>
    </w:p>
    <w:p w14:paraId="744A6679">
      <w:pPr>
        <w:widowControl/>
        <w:shd w:val="clear" w:color="auto" w:fill="FFFFFF"/>
        <w:spacing w:line="360" w:lineRule="auto"/>
        <w:ind w:firstLine="420"/>
        <w:jc w:val="left"/>
        <w:rPr>
          <w:rFonts w:ascii="微软雅黑" w:hAnsi="微软雅黑" w:eastAsia="微软雅黑" w:cs="微软雅黑"/>
          <w:color w:val="333333"/>
          <w:szCs w:val="21"/>
        </w:rPr>
      </w:pPr>
      <w:r>
        <w:rPr>
          <w:rFonts w:hint="eastAsia" w:ascii="宋体" w:hAnsi="宋体" w:cs="宋体"/>
          <w:kern w:val="0"/>
          <w:szCs w:val="21"/>
        </w:rPr>
        <w:t>5.</w:t>
      </w:r>
      <w:r>
        <w:rPr>
          <w:rFonts w:hint="eastAsia" w:ascii="宋体" w:hAnsi="宋体" w:cs="宋体"/>
          <w:color w:val="333333"/>
          <w:kern w:val="0"/>
          <w:szCs w:val="21"/>
          <w:shd w:val="clear" w:color="auto" w:fill="FFFFFF"/>
          <w:lang w:bidi="ar"/>
        </w:rPr>
        <w:t>投标人投标注意事项</w:t>
      </w:r>
    </w:p>
    <w:p w14:paraId="18860273">
      <w:pPr>
        <w:widowControl/>
        <w:shd w:val="clear" w:color="auto" w:fill="FFFFFF"/>
        <w:spacing w:line="360" w:lineRule="auto"/>
        <w:ind w:firstLine="420"/>
        <w:jc w:val="left"/>
        <w:rPr>
          <w:rFonts w:ascii="微软雅黑" w:hAnsi="微软雅黑" w:eastAsia="微软雅黑" w:cs="微软雅黑"/>
          <w:color w:val="333333"/>
          <w:szCs w:val="21"/>
        </w:rPr>
      </w:pPr>
      <w:r>
        <w:rPr>
          <w:rFonts w:hint="eastAsia" w:ascii="宋体" w:hAnsi="宋体" w:cs="宋体"/>
          <w:color w:val="333333"/>
          <w:kern w:val="0"/>
          <w:szCs w:val="21"/>
          <w:shd w:val="clear" w:color="auto" w:fill="FFFFFF"/>
          <w:lang w:bidi="ar"/>
        </w:rPr>
        <w:t>（1）本项目为全流程电子化采购项目，通过广西政府采购云平台（https://www.gcy.zfcg.gxzf.gov.cn/）实行在线电子投标，投标人应按照本项目招标文件和广西政府采购云平台的要求编制、加密后在投标截止时间前通过网络上传至广西政府采购云平台（加密的电子投标文件是指后缀名为“</w:t>
      </w:r>
      <w:r>
        <w:rPr>
          <w:rFonts w:hint="eastAsia" w:ascii="微软雅黑" w:hAnsi="微软雅黑" w:eastAsia="微软雅黑" w:cs="微软雅黑"/>
          <w:color w:val="333333"/>
          <w:kern w:val="0"/>
          <w:szCs w:val="21"/>
          <w:shd w:val="clear" w:color="auto" w:fill="FFFFFF"/>
          <w:lang w:bidi="ar"/>
        </w:rPr>
        <w:t>jmbs</w:t>
      </w:r>
      <w:r>
        <w:rPr>
          <w:rFonts w:hint="eastAsia" w:ascii="宋体" w:hAnsi="宋体" w:cs="宋体"/>
          <w:color w:val="333333"/>
          <w:kern w:val="0"/>
          <w:szCs w:val="21"/>
          <w:shd w:val="clear" w:color="auto" w:fill="FFFFFF"/>
          <w:lang w:bidi="ar"/>
        </w:rPr>
        <w:t>”的文件），</w:t>
      </w:r>
      <w:r>
        <w:rPr>
          <w:rFonts w:hint="eastAsia" w:ascii="宋体" w:hAnsi="宋体" w:cs="宋体"/>
          <w:b/>
          <w:bCs/>
          <w:color w:val="333333"/>
          <w:kern w:val="0"/>
          <w:szCs w:val="21"/>
          <w:shd w:val="clear" w:color="auto" w:fill="FFFFFF"/>
          <w:lang w:bidi="ar"/>
        </w:rPr>
        <w:t>投标人在广西政府采购云平台提交电子投标文件时，请填写参加远程开标活动经办人联系方式。</w:t>
      </w:r>
      <w:r>
        <w:rPr>
          <w:rFonts w:hint="eastAsia" w:ascii="宋体" w:hAnsi="宋体" w:cs="宋体"/>
          <w:color w:val="333333"/>
          <w:kern w:val="0"/>
          <w:szCs w:val="21"/>
          <w:shd w:val="clear" w:color="auto" w:fill="FFFFFF"/>
          <w:lang w:bidi="ar"/>
        </w:rPr>
        <w:t>投标人登录广西政府采购云平台，依次进入“服务中心-项目采购-操作流程-电子招投标-政府采购项目电子交易管理操作指南</w:t>
      </w:r>
      <w:r>
        <w:rPr>
          <w:rFonts w:hint="eastAsia" w:ascii="微软雅黑" w:hAnsi="微软雅黑" w:eastAsia="微软雅黑" w:cs="微软雅黑"/>
          <w:color w:val="333333"/>
          <w:kern w:val="0"/>
          <w:szCs w:val="21"/>
          <w:shd w:val="clear" w:color="auto" w:fill="FFFFFF"/>
          <w:lang w:bidi="ar"/>
        </w:rPr>
        <w:t>-</w:t>
      </w:r>
      <w:r>
        <w:rPr>
          <w:rFonts w:hint="eastAsia" w:ascii="宋体" w:hAnsi="宋体" w:cs="宋体"/>
          <w:color w:val="333333"/>
          <w:kern w:val="0"/>
          <w:szCs w:val="21"/>
          <w:shd w:val="clear" w:color="auto" w:fill="FFFFFF"/>
          <w:lang w:bidi="ar"/>
        </w:rPr>
        <w:t>供应商”查看电子投标具体操作流程。</w:t>
      </w:r>
    </w:p>
    <w:p w14:paraId="50509C9F">
      <w:pPr>
        <w:widowControl/>
        <w:shd w:val="clear" w:color="auto" w:fill="FFFFFF"/>
        <w:spacing w:line="360" w:lineRule="auto"/>
        <w:ind w:firstLine="420"/>
        <w:jc w:val="left"/>
        <w:rPr>
          <w:rFonts w:ascii="微软雅黑" w:hAnsi="微软雅黑" w:eastAsia="微软雅黑" w:cs="微软雅黑"/>
          <w:color w:val="333333"/>
          <w:szCs w:val="21"/>
        </w:rPr>
      </w:pPr>
      <w:r>
        <w:rPr>
          <w:rFonts w:hint="eastAsia" w:ascii="宋体" w:hAnsi="宋体" w:cs="宋体"/>
          <w:color w:val="333333"/>
          <w:kern w:val="0"/>
          <w:szCs w:val="21"/>
          <w:shd w:val="clear" w:color="auto" w:fill="FFFFFF"/>
          <w:lang w:bidi="ar"/>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p>
    <w:p w14:paraId="0A1F34A4">
      <w:pPr>
        <w:widowControl/>
        <w:shd w:val="clear" w:color="auto" w:fill="FFFFFF"/>
        <w:spacing w:line="360" w:lineRule="auto"/>
        <w:ind w:firstLine="420"/>
        <w:jc w:val="left"/>
        <w:rPr>
          <w:rFonts w:ascii="微软雅黑" w:hAnsi="微软雅黑" w:eastAsia="微软雅黑" w:cs="微软雅黑"/>
          <w:color w:val="333333"/>
          <w:szCs w:val="21"/>
        </w:rPr>
      </w:pPr>
      <w:r>
        <w:rPr>
          <w:rFonts w:hint="eastAsia" w:ascii="宋体" w:hAnsi="宋体" w:cs="宋体"/>
          <w:color w:val="333333"/>
          <w:kern w:val="0"/>
          <w:szCs w:val="21"/>
          <w:shd w:val="clear" w:color="auto" w:fill="FFFFFF"/>
          <w:lang w:bidi="ar"/>
        </w:rPr>
        <w:t>（3）CA证书在线解密：投标人投标时，需凭制作投标文件时用来加密的有效数字证书（CA认证）登录广西政府采购云平台电子开标大厅现场按规定时间对加密的投标文件进行解密，否则后果自负。</w:t>
      </w:r>
    </w:p>
    <w:p w14:paraId="2C599D56">
      <w:pPr>
        <w:widowControl/>
        <w:shd w:val="clear" w:color="auto" w:fill="FFFFFF"/>
        <w:spacing w:line="360" w:lineRule="auto"/>
        <w:ind w:firstLine="424"/>
        <w:jc w:val="left"/>
        <w:rPr>
          <w:rFonts w:ascii="微软雅黑" w:hAnsi="微软雅黑" w:eastAsia="微软雅黑" w:cs="微软雅黑"/>
          <w:color w:val="333333"/>
          <w:szCs w:val="21"/>
        </w:rPr>
      </w:pPr>
      <w:r>
        <w:rPr>
          <w:rFonts w:hint="eastAsia" w:ascii="宋体" w:hAnsi="宋体" w:cs="宋体"/>
          <w:color w:val="333333"/>
          <w:kern w:val="0"/>
          <w:szCs w:val="21"/>
          <w:shd w:val="clear" w:color="auto" w:fill="FFFFFF"/>
          <w:lang w:bidi="ar"/>
        </w:rPr>
        <w:t>注：1）为确保网上操作合法、有效和安全，请投标人确保在电子投标过程中能够对相关数据电文进行加密和使用电子签章，妥善保管CA数字证书并使用有效的CA数字证书参与整个招标活动。2）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p>
    <w:p w14:paraId="2D60D158">
      <w:pPr>
        <w:widowControl/>
        <w:numPr>
          <w:ilvl w:val="0"/>
          <w:numId w:val="0"/>
        </w:numPr>
        <w:shd w:val="clear" w:color="auto" w:fill="FFFFFF"/>
        <w:spacing w:line="360" w:lineRule="auto"/>
        <w:ind w:firstLine="420" w:firstLineChars="200"/>
        <w:jc w:val="left"/>
        <w:rPr>
          <w:rFonts w:hint="eastAsia" w:ascii="宋体" w:hAnsi="宋体" w:cs="宋体"/>
          <w:color w:val="333333"/>
          <w:kern w:val="0"/>
          <w:szCs w:val="21"/>
          <w:highlight w:val="none"/>
          <w:shd w:val="clear" w:color="auto" w:fill="FFFFFF"/>
          <w:lang w:bidi="ar"/>
        </w:rPr>
      </w:pPr>
      <w:r>
        <w:rPr>
          <w:rFonts w:hint="eastAsia" w:ascii="宋体" w:hAnsi="宋体" w:cs="宋体"/>
          <w:color w:val="333333"/>
          <w:kern w:val="0"/>
          <w:szCs w:val="21"/>
          <w:highlight w:val="none"/>
          <w:shd w:val="clear" w:color="auto" w:fill="FFFFFF"/>
          <w:lang w:val="en-US" w:eastAsia="zh-CN" w:bidi="ar"/>
        </w:rPr>
        <w:t>6.本项目采用远程异地评标，评审主场设在玉林市玉州区公共资源交易中心（玉州区金港路388号），副场设在梧州市公共资源交易中心（梧州市长洲区梧州市三龙大道红岭大厦10楼）。</w:t>
      </w:r>
    </w:p>
    <w:p w14:paraId="28EE898E">
      <w:pPr>
        <w:widowControl/>
        <w:shd w:val="clear" w:color="auto" w:fill="FFFFFF"/>
        <w:spacing w:line="360" w:lineRule="auto"/>
        <w:ind w:firstLine="420"/>
        <w:jc w:val="left"/>
        <w:rPr>
          <w:rFonts w:ascii="宋体" w:hAnsi="宋体" w:cs="宋体"/>
          <w:kern w:val="0"/>
          <w:szCs w:val="21"/>
          <w:highlight w:val="none"/>
        </w:rPr>
      </w:pPr>
      <w:r>
        <w:rPr>
          <w:rFonts w:hint="eastAsia" w:ascii="宋体" w:hAnsi="宋体" w:cs="宋体"/>
          <w:color w:val="333333"/>
          <w:kern w:val="0"/>
          <w:szCs w:val="21"/>
          <w:highlight w:val="none"/>
          <w:shd w:val="clear" w:color="auto" w:fill="FFFFFF"/>
          <w:lang w:bidi="ar"/>
        </w:rPr>
        <w:t>7.监督部门：</w:t>
      </w:r>
      <w:r>
        <w:rPr>
          <w:rFonts w:hint="eastAsia" w:ascii="宋体" w:hAnsi="宋体" w:cs="宋体"/>
          <w:color w:val="333333"/>
          <w:kern w:val="0"/>
          <w:szCs w:val="21"/>
          <w:highlight w:val="none"/>
          <w:shd w:val="clear" w:color="auto" w:fill="FFFFFF"/>
          <w:lang w:val="en-US" w:eastAsia="zh-CN" w:bidi="ar"/>
        </w:rPr>
        <w:t>玉林市玉州区财政局</w:t>
      </w:r>
      <w:r>
        <w:rPr>
          <w:rFonts w:hint="eastAsia" w:ascii="宋体" w:hAnsi="宋体" w:cs="宋体"/>
          <w:color w:val="333333"/>
          <w:kern w:val="0"/>
          <w:szCs w:val="21"/>
          <w:highlight w:val="none"/>
          <w:shd w:val="clear" w:color="auto" w:fill="FFFFFF"/>
          <w:lang w:bidi="ar"/>
        </w:rPr>
        <w:t>，电话：</w:t>
      </w:r>
      <w:r>
        <w:rPr>
          <w:rFonts w:hint="eastAsia" w:ascii="宋体" w:hAnsi="宋体" w:cs="宋体"/>
          <w:color w:val="333333"/>
          <w:kern w:val="0"/>
          <w:szCs w:val="21"/>
          <w:highlight w:val="none"/>
          <w:shd w:val="clear" w:color="auto" w:fill="FFFFFF"/>
          <w:lang w:val="en-US" w:eastAsia="zh-CN" w:bidi="ar"/>
        </w:rPr>
        <w:t>0775-2098625</w:t>
      </w:r>
      <w:r>
        <w:rPr>
          <w:rFonts w:hint="eastAsia" w:ascii="宋体" w:hAnsi="宋体" w:cs="宋体"/>
          <w:color w:val="333333"/>
          <w:kern w:val="0"/>
          <w:szCs w:val="21"/>
          <w:highlight w:val="none"/>
          <w:shd w:val="clear" w:color="auto" w:fill="FFFFFF"/>
          <w:lang w:bidi="ar"/>
        </w:rPr>
        <w:t>。</w:t>
      </w:r>
    </w:p>
    <w:p w14:paraId="4F8FD849">
      <w:pPr>
        <w:spacing w:line="360" w:lineRule="auto"/>
        <w:rPr>
          <w:rFonts w:ascii="黑体" w:hAnsi="黑体" w:eastAsia="黑体"/>
          <w:b/>
          <w:bCs/>
          <w:sz w:val="24"/>
          <w:highlight w:val="none"/>
        </w:rPr>
      </w:pPr>
      <w:bookmarkStart w:id="29" w:name="_Toc35393627"/>
      <w:bookmarkStart w:id="30" w:name="_Toc28359085"/>
      <w:bookmarkStart w:id="31" w:name="_Toc28359008"/>
      <w:bookmarkStart w:id="32" w:name="_Toc35393796"/>
      <w:r>
        <w:rPr>
          <w:rFonts w:hint="eastAsia" w:ascii="黑体" w:hAnsi="黑体" w:eastAsia="黑体"/>
          <w:b/>
          <w:bCs/>
          <w:sz w:val="24"/>
          <w:highlight w:val="none"/>
        </w:rPr>
        <w:t>七、对本次招标提出询问，请按以下方式联系。</w:t>
      </w:r>
      <w:bookmarkEnd w:id="29"/>
      <w:bookmarkEnd w:id="30"/>
      <w:bookmarkEnd w:id="31"/>
      <w:bookmarkEnd w:id="32"/>
    </w:p>
    <w:p w14:paraId="53ECCEA0">
      <w:pPr>
        <w:spacing w:line="360" w:lineRule="auto"/>
        <w:jc w:val="left"/>
        <w:rPr>
          <w:rFonts w:ascii="宋体" w:hAnsi="宋体"/>
          <w:szCs w:val="21"/>
          <w:highlight w:val="none"/>
        </w:rPr>
      </w:pPr>
      <w:r>
        <w:rPr>
          <w:rFonts w:hint="eastAsia" w:ascii="宋体" w:hAnsi="宋体" w:cs="宋体"/>
          <w:szCs w:val="21"/>
          <w:highlight w:val="none"/>
        </w:rPr>
        <w:t>　　　1.采购人信息</w:t>
      </w:r>
    </w:p>
    <w:p w14:paraId="3BD44F4D">
      <w:pPr>
        <w:spacing w:line="360" w:lineRule="auto"/>
        <w:ind w:left="1041" w:leftChars="371" w:hanging="262" w:hangingChars="125"/>
        <w:jc w:val="left"/>
        <w:rPr>
          <w:rFonts w:ascii="宋体" w:hAnsi="宋体"/>
          <w:szCs w:val="21"/>
          <w:highlight w:val="none"/>
          <w:u w:val="single"/>
        </w:rPr>
      </w:pPr>
      <w:r>
        <w:rPr>
          <w:rFonts w:hint="eastAsia" w:ascii="宋体" w:hAnsi="宋体"/>
          <w:szCs w:val="21"/>
          <w:highlight w:val="none"/>
        </w:rPr>
        <w:t>名 称：</w:t>
      </w:r>
      <w:r>
        <w:rPr>
          <w:rFonts w:hint="eastAsia" w:ascii="宋体" w:hAnsi="宋体"/>
          <w:szCs w:val="21"/>
          <w:highlight w:val="none"/>
          <w:u w:val="single"/>
        </w:rPr>
        <w:t>玉林市玉州区教育局</w:t>
      </w:r>
    </w:p>
    <w:p w14:paraId="1769CDE9">
      <w:pPr>
        <w:spacing w:line="360" w:lineRule="auto"/>
        <w:ind w:left="1041" w:leftChars="371" w:hanging="262" w:hangingChars="125"/>
        <w:jc w:val="left"/>
        <w:rPr>
          <w:rFonts w:ascii="宋体" w:hAnsi="宋体"/>
          <w:szCs w:val="21"/>
          <w:highlight w:val="none"/>
        </w:rPr>
      </w:pPr>
      <w:r>
        <w:rPr>
          <w:rFonts w:hint="eastAsia" w:ascii="宋体" w:hAnsi="宋体"/>
          <w:szCs w:val="21"/>
          <w:highlight w:val="none"/>
        </w:rPr>
        <w:t>地址：</w:t>
      </w:r>
      <w:r>
        <w:rPr>
          <w:rFonts w:hint="eastAsia" w:ascii="宋体" w:hAnsi="宋体"/>
          <w:szCs w:val="21"/>
          <w:highlight w:val="none"/>
          <w:u w:val="single"/>
        </w:rPr>
        <w:t>玉林市玉州区沿江南路1号</w:t>
      </w:r>
    </w:p>
    <w:p w14:paraId="6C1FADF1">
      <w:pPr>
        <w:pStyle w:val="16"/>
        <w:spacing w:line="360" w:lineRule="auto"/>
        <w:ind w:firstLine="735" w:firstLineChars="350"/>
        <w:rPr>
          <w:rFonts w:hint="default" w:hAnsi="宋体" w:eastAsia="宋体"/>
          <w:sz w:val="21"/>
          <w:highlight w:val="none"/>
          <w:lang w:val="en-US" w:eastAsia="zh-CN"/>
        </w:rPr>
      </w:pPr>
      <w:r>
        <w:rPr>
          <w:rFonts w:hint="eastAsia" w:hAnsi="宋体"/>
          <w:sz w:val="21"/>
          <w:highlight w:val="none"/>
        </w:rPr>
        <w:t>项目联系人：</w:t>
      </w:r>
      <w:r>
        <w:rPr>
          <w:rFonts w:hint="eastAsia" w:hAnsi="宋体"/>
          <w:sz w:val="21"/>
          <w:highlight w:val="none"/>
          <w:u w:val="single"/>
          <w:lang w:val="en-US" w:eastAsia="zh-CN"/>
        </w:rPr>
        <w:t>韦老师</w:t>
      </w:r>
    </w:p>
    <w:p w14:paraId="16FCB1FA">
      <w:pPr>
        <w:spacing w:line="360" w:lineRule="auto"/>
        <w:ind w:left="1041" w:leftChars="371" w:hanging="262" w:hangingChars="125"/>
        <w:jc w:val="left"/>
        <w:rPr>
          <w:rFonts w:ascii="宋体" w:hAnsi="宋体"/>
          <w:szCs w:val="21"/>
          <w:highlight w:val="none"/>
          <w:u w:val="single"/>
        </w:rPr>
      </w:pPr>
      <w:r>
        <w:rPr>
          <w:rFonts w:hint="eastAsia" w:ascii="宋体" w:hAnsi="宋体"/>
          <w:szCs w:val="21"/>
          <w:highlight w:val="none"/>
        </w:rPr>
        <w:t>联系电话：</w:t>
      </w:r>
      <w:r>
        <w:rPr>
          <w:rFonts w:hint="eastAsia" w:ascii="宋体" w:hAnsi="宋体"/>
          <w:szCs w:val="21"/>
          <w:highlight w:val="none"/>
          <w:u w:val="single"/>
        </w:rPr>
        <w:t>0775</w:t>
      </w:r>
      <w:r>
        <w:rPr>
          <w:rFonts w:hint="eastAsia" w:ascii="宋体" w:hAnsi="宋体"/>
          <w:szCs w:val="21"/>
          <w:highlight w:val="none"/>
          <w:u w:val="single"/>
          <w:lang w:val="en-US" w:eastAsia="zh-CN"/>
        </w:rPr>
        <w:t>-</w:t>
      </w:r>
      <w:r>
        <w:rPr>
          <w:rFonts w:hint="eastAsia" w:ascii="宋体" w:hAnsi="宋体"/>
          <w:szCs w:val="21"/>
          <w:highlight w:val="none"/>
          <w:u w:val="single"/>
        </w:rPr>
        <w:t>2304955</w:t>
      </w:r>
    </w:p>
    <w:p w14:paraId="6E062089">
      <w:pPr>
        <w:spacing w:line="360" w:lineRule="auto"/>
        <w:ind w:left="1041" w:leftChars="371" w:hanging="262" w:hangingChars="125"/>
        <w:jc w:val="left"/>
        <w:rPr>
          <w:rFonts w:ascii="宋体" w:hAnsi="宋体"/>
          <w:szCs w:val="21"/>
          <w:highlight w:val="none"/>
        </w:rPr>
      </w:pPr>
      <w:r>
        <w:rPr>
          <w:rFonts w:hint="eastAsia" w:ascii="宋体" w:hAnsi="宋体" w:cs="宋体"/>
          <w:szCs w:val="21"/>
          <w:highlight w:val="none"/>
        </w:rPr>
        <w:t>2.采购代理机构信息</w:t>
      </w:r>
    </w:p>
    <w:p w14:paraId="1D3138B6">
      <w:pPr>
        <w:spacing w:line="360" w:lineRule="auto"/>
        <w:ind w:firstLine="735" w:firstLineChars="350"/>
        <w:rPr>
          <w:rFonts w:hint="eastAsia" w:ascii="宋体" w:hAnsi="宋体"/>
          <w:szCs w:val="21"/>
          <w:highlight w:val="none"/>
          <w:u w:val="single"/>
          <w:lang w:eastAsia="zh-CN"/>
        </w:rPr>
      </w:pPr>
      <w:r>
        <w:rPr>
          <w:rFonts w:hint="eastAsia" w:ascii="宋体" w:hAnsi="宋体"/>
          <w:szCs w:val="21"/>
          <w:highlight w:val="none"/>
        </w:rPr>
        <w:t>名 称：</w:t>
      </w:r>
      <w:r>
        <w:rPr>
          <w:rFonts w:hint="eastAsia" w:ascii="宋体" w:hAnsi="宋体"/>
          <w:szCs w:val="21"/>
          <w:highlight w:val="none"/>
          <w:u w:val="single"/>
          <w:lang w:eastAsia="zh-CN"/>
        </w:rPr>
        <w:t>广西政投项目咨询有限公司</w:t>
      </w:r>
    </w:p>
    <w:p w14:paraId="1EA12AC7">
      <w:pPr>
        <w:spacing w:line="360" w:lineRule="auto"/>
        <w:ind w:firstLine="735" w:firstLineChars="350"/>
        <w:rPr>
          <w:rFonts w:hint="eastAsia" w:ascii="宋体" w:hAnsi="宋体"/>
          <w:szCs w:val="21"/>
          <w:highlight w:val="none"/>
        </w:rPr>
      </w:pPr>
      <w:r>
        <w:rPr>
          <w:rFonts w:hint="eastAsia" w:ascii="宋体" w:hAnsi="宋体"/>
          <w:szCs w:val="21"/>
          <w:highlight w:val="none"/>
        </w:rPr>
        <w:t>地　址：</w:t>
      </w:r>
      <w:r>
        <w:rPr>
          <w:rFonts w:hint="eastAsia" w:ascii="宋体" w:hAnsi="宋体"/>
          <w:szCs w:val="21"/>
          <w:highlight w:val="none"/>
          <w:u w:val="single"/>
        </w:rPr>
        <w:t>中国（广西）自由贸易试验区南宁片区凯旋路16号广西裕达集团南宁五象总部基地广东大厦二十六层2602号房</w:t>
      </w:r>
    </w:p>
    <w:p w14:paraId="240182B4">
      <w:pPr>
        <w:spacing w:line="360" w:lineRule="auto"/>
        <w:ind w:firstLine="735" w:firstLineChars="350"/>
        <w:rPr>
          <w:rFonts w:hint="eastAsia" w:ascii="宋体" w:hAnsi="宋体"/>
          <w:szCs w:val="21"/>
          <w:highlight w:val="none"/>
          <w:lang w:val="en-US" w:eastAsia="zh-CN"/>
        </w:rPr>
      </w:pPr>
      <w:r>
        <w:rPr>
          <w:rFonts w:hint="eastAsia" w:ascii="宋体" w:hAnsi="宋体"/>
          <w:szCs w:val="21"/>
          <w:highlight w:val="none"/>
        </w:rPr>
        <w:t>联系电话：</w:t>
      </w:r>
      <w:r>
        <w:rPr>
          <w:rFonts w:hint="eastAsia" w:ascii="宋体" w:hAnsi="宋体"/>
          <w:szCs w:val="21"/>
          <w:highlight w:val="none"/>
          <w:u w:val="single"/>
          <w:lang w:val="en-US" w:eastAsia="zh-CN"/>
        </w:rPr>
        <w:t>0771-5891216</w:t>
      </w:r>
    </w:p>
    <w:p w14:paraId="50E6778F">
      <w:pPr>
        <w:spacing w:line="360" w:lineRule="auto"/>
        <w:ind w:firstLine="735" w:firstLineChars="350"/>
        <w:rPr>
          <w:rFonts w:ascii="宋体" w:hAnsi="宋体"/>
          <w:szCs w:val="21"/>
          <w:highlight w:val="none"/>
        </w:rPr>
      </w:pPr>
      <w:r>
        <w:rPr>
          <w:rFonts w:hint="eastAsia" w:ascii="宋体" w:hAnsi="宋体"/>
          <w:szCs w:val="21"/>
          <w:highlight w:val="none"/>
        </w:rPr>
        <w:t>3.项目联系方式</w:t>
      </w:r>
    </w:p>
    <w:p w14:paraId="426C4E29">
      <w:pPr>
        <w:spacing w:line="360" w:lineRule="auto"/>
        <w:ind w:firstLine="735" w:firstLineChars="350"/>
        <w:rPr>
          <w:rFonts w:ascii="宋体" w:hAnsi="宋体"/>
          <w:szCs w:val="21"/>
          <w:highlight w:val="none"/>
        </w:rPr>
      </w:pPr>
      <w:r>
        <w:rPr>
          <w:rFonts w:hint="eastAsia" w:ascii="宋体" w:hAnsi="宋体"/>
          <w:szCs w:val="21"/>
          <w:highlight w:val="none"/>
        </w:rPr>
        <w:t>项目联系人：</w:t>
      </w:r>
      <w:r>
        <w:rPr>
          <w:rFonts w:hint="eastAsia" w:ascii="宋体" w:hAnsi="宋体"/>
          <w:szCs w:val="21"/>
          <w:highlight w:val="none"/>
          <w:u w:val="single"/>
          <w:lang w:val="en-US" w:eastAsia="zh-CN"/>
        </w:rPr>
        <w:t>玉积</w:t>
      </w:r>
      <w:r>
        <w:rPr>
          <w:rFonts w:hint="eastAsia" w:ascii="宋体" w:hAnsi="宋体"/>
          <w:szCs w:val="21"/>
          <w:highlight w:val="none"/>
          <w:u w:val="single"/>
        </w:rPr>
        <w:t xml:space="preserve"> </w:t>
      </w:r>
    </w:p>
    <w:p w14:paraId="4A4BDE65">
      <w:pPr>
        <w:spacing w:line="360" w:lineRule="auto"/>
        <w:ind w:firstLine="735" w:firstLineChars="350"/>
        <w:rPr>
          <w:rFonts w:ascii="宋体" w:hAnsi="宋体"/>
          <w:szCs w:val="21"/>
          <w:highlight w:val="none"/>
        </w:rPr>
      </w:pPr>
      <w:r>
        <w:rPr>
          <w:rFonts w:hint="eastAsia" w:ascii="宋体" w:hAnsi="宋体"/>
          <w:szCs w:val="21"/>
          <w:highlight w:val="none"/>
        </w:rPr>
        <w:t>电      话：</w:t>
      </w:r>
      <w:r>
        <w:rPr>
          <w:rFonts w:hint="eastAsia" w:ascii="宋体" w:hAnsi="宋体"/>
          <w:szCs w:val="21"/>
          <w:highlight w:val="none"/>
          <w:u w:val="single"/>
          <w:lang w:val="en-US" w:eastAsia="zh-CN"/>
        </w:rPr>
        <w:t>0771-5891216</w:t>
      </w:r>
    </w:p>
    <w:p w14:paraId="019042FE">
      <w:pPr>
        <w:spacing w:line="360" w:lineRule="auto"/>
        <w:jc w:val="left"/>
        <w:rPr>
          <w:rFonts w:ascii="宋体" w:hAnsi="宋体"/>
          <w:szCs w:val="21"/>
          <w:highlight w:val="none"/>
        </w:rPr>
      </w:pPr>
    </w:p>
    <w:p w14:paraId="79A15527">
      <w:pPr>
        <w:spacing w:line="360" w:lineRule="auto"/>
        <w:ind w:firstLine="210" w:firstLineChars="100"/>
        <w:jc w:val="right"/>
        <w:rPr>
          <w:rFonts w:ascii="宋体" w:hAnsi="宋体"/>
          <w:szCs w:val="21"/>
          <w:highlight w:val="none"/>
        </w:rPr>
      </w:pPr>
    </w:p>
    <w:p w14:paraId="7C83EE80">
      <w:pPr>
        <w:keepNext w:val="0"/>
        <w:keepLines w:val="0"/>
        <w:pageBreakBefore w:val="0"/>
        <w:widowControl w:val="0"/>
        <w:kinsoku/>
        <w:wordWrap/>
        <w:overflowPunct/>
        <w:topLinePunct w:val="0"/>
        <w:autoSpaceDE/>
        <w:autoSpaceDN/>
        <w:bidi w:val="0"/>
        <w:adjustRightInd/>
        <w:snapToGrid/>
        <w:spacing w:line="480" w:lineRule="auto"/>
        <w:ind w:firstLine="210" w:firstLineChars="100"/>
        <w:jc w:val="center"/>
        <w:textAlignment w:val="auto"/>
        <w:rPr>
          <w:rFonts w:hint="eastAsia" w:ascii="宋体" w:hAnsi="宋体" w:cs="宋体"/>
          <w:sz w:val="24"/>
          <w:highlight w:val="none"/>
          <w:lang w:val="zh-CN"/>
        </w:rPr>
      </w:pPr>
      <w:r>
        <w:rPr>
          <w:rFonts w:hint="eastAsia" w:ascii="宋体" w:hAnsi="宋体" w:cs="宋体"/>
          <w:szCs w:val="21"/>
          <w:highlight w:val="none"/>
          <w:lang w:val="en-US" w:eastAsia="zh-CN"/>
        </w:rPr>
        <w:t xml:space="preserve">                                                   </w:t>
      </w:r>
      <w:r>
        <w:rPr>
          <w:rFonts w:hint="eastAsia" w:ascii="宋体" w:hAnsi="宋体" w:cs="宋体"/>
          <w:szCs w:val="21"/>
          <w:highlight w:val="none"/>
        </w:rPr>
        <w:t>采购人</w:t>
      </w:r>
      <w:r>
        <w:rPr>
          <w:rFonts w:hint="eastAsia" w:ascii="宋体" w:hAnsi="宋体" w:cs="宋体"/>
          <w:szCs w:val="21"/>
          <w:highlight w:val="none"/>
          <w:lang w:eastAsia="zh-CN"/>
        </w:rPr>
        <w:t>：玉林市玉州区教育局</w:t>
      </w:r>
    </w:p>
    <w:p w14:paraId="469169F5">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ascii="宋体" w:hAnsi="宋体" w:cs="宋体"/>
          <w:szCs w:val="21"/>
          <w:highlight w:val="none"/>
          <w:lang w:val="en-US" w:eastAsia="zh-CN"/>
        </w:rPr>
      </w:pPr>
      <w:r>
        <w:rPr>
          <w:rFonts w:hint="eastAsia" w:ascii="宋体" w:hAnsi="宋体" w:cs="宋体"/>
          <w:szCs w:val="21"/>
          <w:highlight w:val="none"/>
        </w:rPr>
        <w:t>采购代理机构</w:t>
      </w:r>
      <w:r>
        <w:rPr>
          <w:rFonts w:hint="eastAsia" w:ascii="宋体" w:hAnsi="宋体" w:cs="宋体"/>
          <w:szCs w:val="21"/>
          <w:highlight w:val="none"/>
          <w:lang w:val="en-US" w:eastAsia="zh-CN"/>
        </w:rPr>
        <w:t>：广西政投项目咨询有限公司</w:t>
      </w:r>
    </w:p>
    <w:p w14:paraId="0BB0EE75">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highlight w:val="none"/>
          <w:lang w:val="en-US" w:eastAsia="zh-CN"/>
        </w:rPr>
        <w:sectPr>
          <w:footerReference r:id="rId4" w:type="default"/>
          <w:pgSz w:w="11906" w:h="16838"/>
          <w:pgMar w:top="1134" w:right="1134" w:bottom="1134" w:left="1134" w:header="720" w:footer="720" w:gutter="0"/>
          <w:pgNumType w:start="1"/>
          <w:cols w:space="720" w:num="1"/>
          <w:docGrid w:type="lines" w:linePitch="331" w:charSpace="0"/>
        </w:sectPr>
      </w:pPr>
      <w:r>
        <w:rPr>
          <w:rFonts w:hint="eastAsia" w:ascii="宋体" w:hAnsi="宋体" w:cs="宋体"/>
          <w:szCs w:val="21"/>
          <w:highlight w:val="none"/>
          <w:lang w:val="en-US" w:eastAsia="zh-CN"/>
        </w:rPr>
        <w:t xml:space="preserve">                                                              2025年5月19日</w:t>
      </w:r>
    </w:p>
    <w:p w14:paraId="64D7D34A">
      <w:pPr>
        <w:pStyle w:val="2"/>
        <w:spacing w:line="240" w:lineRule="auto"/>
        <w:jc w:val="center"/>
        <w:rPr>
          <w:rFonts w:hAnsi="宋体"/>
          <w:szCs w:val="21"/>
        </w:rPr>
      </w:pPr>
      <w:bookmarkStart w:id="33" w:name="_Toc532545042"/>
      <w:bookmarkStart w:id="34" w:name="_Toc8375"/>
      <w:bookmarkStart w:id="35" w:name="_Toc30325"/>
      <w:bookmarkStart w:id="36" w:name="_Toc29191"/>
      <w:r>
        <w:rPr>
          <w:rFonts w:hint="eastAsia"/>
        </w:rPr>
        <w:t>第二章</w:t>
      </w:r>
      <w:r>
        <w:t xml:space="preserve">  </w:t>
      </w:r>
      <w:bookmarkEnd w:id="33"/>
      <w:r>
        <w:rPr>
          <w:rFonts w:hint="eastAsia"/>
        </w:rPr>
        <w:t>采购需求</w:t>
      </w:r>
      <w:bookmarkEnd w:id="34"/>
      <w:bookmarkEnd w:id="35"/>
      <w:bookmarkEnd w:id="36"/>
    </w:p>
    <w:p w14:paraId="35F78C54">
      <w:pPr>
        <w:spacing w:line="360" w:lineRule="auto"/>
        <w:jc w:val="left"/>
        <w:rPr>
          <w:rFonts w:ascii="宋体" w:hAnsi="宋体" w:cs="宋体"/>
          <w:szCs w:val="21"/>
        </w:rPr>
      </w:pPr>
      <w:r>
        <w:rPr>
          <w:rFonts w:hint="eastAsia" w:ascii="宋体" w:hAnsi="宋体" w:cs="宋体"/>
          <w:szCs w:val="21"/>
        </w:rPr>
        <w:t>说明：</w:t>
      </w:r>
    </w:p>
    <w:p w14:paraId="3EE46D66">
      <w:pPr>
        <w:spacing w:line="360" w:lineRule="auto"/>
        <w:ind w:firstLine="420" w:firstLineChars="200"/>
        <w:jc w:val="left"/>
        <w:rPr>
          <w:rFonts w:ascii="宋体" w:hAnsi="宋体" w:cs="宋体"/>
          <w:szCs w:val="21"/>
        </w:rPr>
      </w:pPr>
      <w:r>
        <w:rPr>
          <w:rFonts w:hint="eastAsia" w:ascii="宋体" w:hAnsi="宋体"/>
        </w:rPr>
        <w:t>1.为落实政府采购政策需满足的要求</w:t>
      </w:r>
    </w:p>
    <w:p w14:paraId="31BD4C94">
      <w:pPr>
        <w:spacing w:line="360" w:lineRule="auto"/>
        <w:ind w:firstLine="420" w:firstLineChars="200"/>
        <w:jc w:val="left"/>
        <w:rPr>
          <w:rFonts w:ascii="宋体" w:hAnsi="宋体" w:cs="宋体"/>
          <w:szCs w:val="21"/>
        </w:rPr>
      </w:pPr>
      <w:r>
        <w:rPr>
          <w:rFonts w:hint="eastAsia" w:ascii="宋体" w:hAnsi="宋体" w:cs="宋体"/>
          <w:szCs w:val="21"/>
        </w:rPr>
        <w:t>（1）本招标文件所称中小企业必须符合《政府采购促进中小企业发展管理办法》（财库〔2020〕46号）的规定。</w:t>
      </w:r>
    </w:p>
    <w:p w14:paraId="0607C361">
      <w:pPr>
        <w:spacing w:line="360" w:lineRule="auto"/>
        <w:ind w:firstLine="424" w:firstLineChars="202"/>
        <w:jc w:val="left"/>
        <w:rPr>
          <w:rFonts w:ascii="宋体" w:hAnsi="宋体" w:cs="宋体"/>
          <w:szCs w:val="21"/>
        </w:rPr>
      </w:pPr>
      <w:r>
        <w:rPr>
          <w:rFonts w:hint="eastAsia" w:ascii="宋体" w:hAnsi="宋体" w:cs="宋体"/>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w:t>
      </w:r>
      <w:r>
        <w:rPr>
          <w:rFonts w:hint="eastAsia" w:ascii="宋体" w:hAnsi="宋体" w:cs="宋体"/>
          <w:b/>
          <w:bCs/>
          <w:szCs w:val="21"/>
        </w:rPr>
        <w:t>否则投标文件作无效处理</w:t>
      </w:r>
      <w:r>
        <w:rPr>
          <w:rFonts w:hint="eastAsia" w:ascii="宋体" w:hAnsi="宋体" w:cs="宋体"/>
          <w:szCs w:val="21"/>
        </w:rPr>
        <w:t>。如本项目包含的货物属于品目清单内非标注“★”的产品时，应优先采购，具体详见“第四章 评标方法及评标标准”。</w:t>
      </w:r>
    </w:p>
    <w:p w14:paraId="71835FDC">
      <w:pPr>
        <w:spacing w:line="360" w:lineRule="auto"/>
        <w:ind w:firstLine="424" w:firstLineChars="202"/>
        <w:jc w:val="left"/>
        <w:rPr>
          <w:rFonts w:ascii="宋体" w:hAnsi="宋体" w:cs="宋体"/>
          <w:szCs w:val="21"/>
        </w:rPr>
      </w:pPr>
      <w:r>
        <w:rPr>
          <w:rFonts w:hint="eastAsia" w:ascii="宋体" w:hAnsi="宋体" w:cs="宋体"/>
          <w:szCs w:val="21"/>
        </w:rPr>
        <w:t>（3）</w:t>
      </w:r>
      <w:r>
        <w:rPr>
          <w:rFonts w:hint="eastAsia" w:ascii="宋体" w:hAnsi="宋体" w:cs="宋体"/>
          <w:b/>
          <w:bCs/>
          <w:szCs w:val="21"/>
        </w:rPr>
        <w:t>根据《关于调整网络安全专用产品安全管理有关事项的公告》（2023年第1号）和《关于调整《网络关键设备和网络安全专用产品目录》的公告》（2023年第2号）的规定，本项目采购需求中的产品如果包括《网络关键设备和网络安全专用产品目录》的网络安全专用产品，投标人应在投标文件中主动列明供货范围中属于网络安全专用产品的竞标产品，提供所投标产品由具备资格的机构安全认证合格或者安全检测符合要求的证明材料复印件（加盖投标人电子公章）[如中国网信网（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竞标无效。如属于《网络关键设备和网络安全专用产品目录》中“二、网络安全专用产品”内“产品类别”中的所描述的产品，但不属于所列“产品描述”情形的，应提供相应的说明及证明材料。（如在此期间有新的规定颁布按照新规执行）。</w:t>
      </w:r>
    </w:p>
    <w:p w14:paraId="57FC35AA">
      <w:pPr>
        <w:spacing w:line="360" w:lineRule="auto"/>
        <w:ind w:firstLine="424" w:firstLineChars="202"/>
        <w:jc w:val="left"/>
        <w:rPr>
          <w:rFonts w:ascii="宋体" w:hAnsi="宋体" w:cs="宋体"/>
          <w:bCs/>
          <w:szCs w:val="21"/>
        </w:rPr>
      </w:pPr>
      <w:r>
        <w:rPr>
          <w:rFonts w:hint="eastAsia" w:ascii="宋体" w:hAnsi="宋体" w:cs="宋体"/>
          <w:bCs/>
          <w:szCs w:val="21"/>
        </w:rPr>
        <w:t>2.“实质性要求”是指招标文件中已经指明不满足则投标无效的条款，或者不能负偏离的条款，或者采购需求中带“▲”的条款。</w:t>
      </w:r>
    </w:p>
    <w:p w14:paraId="72CEAF87">
      <w:pPr>
        <w:spacing w:line="360" w:lineRule="auto"/>
        <w:ind w:firstLine="424" w:firstLineChars="202"/>
        <w:jc w:val="left"/>
        <w:rPr>
          <w:rFonts w:ascii="宋体" w:hAnsi="宋体" w:cs="宋体"/>
          <w:szCs w:val="21"/>
        </w:rPr>
      </w:pPr>
      <w:r>
        <w:rPr>
          <w:rFonts w:hint="eastAsia" w:ascii="宋体" w:hAnsi="宋体" w:cs="宋体"/>
          <w:szCs w:val="21"/>
        </w:rPr>
        <w:t>4.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657E0B45">
      <w:pPr>
        <w:spacing w:line="360" w:lineRule="auto"/>
        <w:ind w:firstLine="408" w:firstLineChars="202"/>
        <w:jc w:val="left"/>
        <w:rPr>
          <w:rFonts w:ascii="宋体" w:hAnsi="宋体"/>
          <w:szCs w:val="21"/>
        </w:rPr>
      </w:pPr>
      <w:r>
        <w:rPr>
          <w:rFonts w:hint="eastAsia" w:ascii="宋体" w:hAnsi="宋体" w:cs="宋体"/>
          <w:spacing w:val="-4"/>
          <w:szCs w:val="21"/>
        </w:rPr>
        <w:t>5.</w:t>
      </w:r>
      <w:r>
        <w:rPr>
          <w:rFonts w:hint="eastAsia" w:ascii="宋体" w:hAnsi="宋体"/>
          <w:spacing w:val="-4"/>
        </w:rPr>
        <w:t>投标人必须自行为其投标产品侵犯他人的知识产权或者专利成果的行为承担相应法律责任</w:t>
      </w:r>
      <w:r>
        <w:rPr>
          <w:rFonts w:hint="eastAsia" w:ascii="宋体" w:hAnsi="宋体"/>
        </w:rPr>
        <w:t>。</w:t>
      </w:r>
    </w:p>
    <w:p w14:paraId="0C523334">
      <w:pPr>
        <w:spacing w:line="400" w:lineRule="exact"/>
        <w:ind w:firstLine="422" w:firstLineChars="200"/>
        <w:jc w:val="left"/>
        <w:rPr>
          <w:rFonts w:ascii="宋体" w:hAnsi="宋体"/>
          <w:szCs w:val="21"/>
        </w:rPr>
      </w:pPr>
      <w:r>
        <w:rPr>
          <w:rFonts w:hint="eastAsia" w:ascii="宋体" w:hAnsi="宋体"/>
          <w:b/>
          <w:bCs/>
          <w:szCs w:val="21"/>
        </w:rPr>
        <w:t>6.</w:t>
      </w:r>
      <w:r>
        <w:rPr>
          <w:rFonts w:hint="eastAsia" w:ascii="宋体" w:hAnsi="宋体" w:cs="宋体"/>
          <w:b/>
          <w:bCs/>
          <w:szCs w:val="21"/>
        </w:rPr>
        <w:t>下列技术参数中，数值前面出现“或以上”“不少于”“至少”“大于或等于”等描述的，本位数值是实质性响应，大于本位数值的是正偏离（即优于参数要求）,反之为负偏离；数值前面出现“或以下”“低于”“不高于”“小于或等于”等描述的，本位数值是实质性响应，小于本位数值的是正偏离（即优于参数要求）,反之为负偏离。</w:t>
      </w:r>
    </w:p>
    <w:p w14:paraId="31CDD521">
      <w:pPr>
        <w:spacing w:line="360" w:lineRule="auto"/>
        <w:ind w:firstLine="310" w:firstLineChars="147"/>
        <w:jc w:val="left"/>
        <w:rPr>
          <w:color w:val="auto"/>
          <w:highlight w:val="none"/>
        </w:rPr>
      </w:pPr>
      <w:r>
        <w:rPr>
          <w:rFonts w:hint="eastAsia" w:ascii="宋体" w:hAnsi="宋体"/>
          <w:b/>
          <w:color w:val="000000"/>
          <w:szCs w:val="21"/>
        </w:rPr>
        <w:t>本项目的核心产品为</w:t>
      </w:r>
      <w:r>
        <w:rPr>
          <w:rFonts w:hint="eastAsia" w:ascii="宋体" w:hAnsi="宋体"/>
          <w:b/>
          <w:color w:val="auto"/>
          <w:szCs w:val="21"/>
          <w:highlight w:val="none"/>
        </w:rPr>
        <w:t>下表的第</w:t>
      </w:r>
      <w:r>
        <w:rPr>
          <w:rFonts w:hint="eastAsia" w:ascii="宋体" w:hAnsi="宋体"/>
          <w:b/>
          <w:color w:val="auto"/>
          <w:szCs w:val="21"/>
          <w:highlight w:val="none"/>
          <w:u w:val="single"/>
        </w:rPr>
        <w:t xml:space="preserve"> </w:t>
      </w:r>
      <w:r>
        <w:rPr>
          <w:rFonts w:hint="eastAsia" w:ascii="宋体" w:hAnsi="宋体"/>
          <w:b/>
          <w:color w:val="auto"/>
          <w:szCs w:val="21"/>
          <w:highlight w:val="none"/>
          <w:u w:val="single"/>
          <w:lang w:val="en-US" w:eastAsia="zh-CN"/>
        </w:rPr>
        <w:t>1</w:t>
      </w:r>
      <w:r>
        <w:rPr>
          <w:rFonts w:hint="eastAsia" w:ascii="宋体" w:hAnsi="宋体"/>
          <w:b/>
          <w:color w:val="auto"/>
          <w:szCs w:val="21"/>
          <w:highlight w:val="none"/>
          <w:u w:val="single"/>
        </w:rPr>
        <w:t xml:space="preserve"> </w:t>
      </w:r>
      <w:r>
        <w:rPr>
          <w:rFonts w:hint="eastAsia" w:ascii="宋体" w:hAnsi="宋体"/>
          <w:b/>
          <w:color w:val="auto"/>
          <w:szCs w:val="21"/>
          <w:highlight w:val="none"/>
        </w:rPr>
        <w:t>项</w:t>
      </w:r>
      <w:r>
        <w:rPr>
          <w:rFonts w:hint="eastAsia" w:ascii="宋体" w:hAnsi="宋体"/>
          <w:b/>
          <w:color w:val="auto"/>
          <w:szCs w:val="21"/>
          <w:highlight w:val="none"/>
          <w:lang w:eastAsia="zh-CN"/>
        </w:rPr>
        <w:t>“65英寸交互智能一体机”</w:t>
      </w:r>
      <w:r>
        <w:rPr>
          <w:rFonts w:hint="eastAsia" w:ascii="宋体" w:hAnsi="宋体"/>
          <w:b/>
          <w:color w:val="auto"/>
          <w:szCs w:val="21"/>
          <w:highlight w:val="none"/>
        </w:rPr>
        <w:t>产品。</w:t>
      </w:r>
    </w:p>
    <w:tbl>
      <w:tblPr>
        <w:tblStyle w:val="27"/>
        <w:tblW w:w="4901" w:type="pct"/>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439"/>
        <w:gridCol w:w="921"/>
        <w:gridCol w:w="750"/>
        <w:gridCol w:w="5904"/>
      </w:tblGrid>
      <w:tr w14:paraId="71A7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3" w:type="pct"/>
            <w:vAlign w:val="center"/>
          </w:tcPr>
          <w:p w14:paraId="6AB8CAFD">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744" w:type="pct"/>
            <w:vAlign w:val="center"/>
          </w:tcPr>
          <w:p w14:paraId="042C88B9">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标的的名称</w:t>
            </w:r>
          </w:p>
        </w:tc>
        <w:tc>
          <w:tcPr>
            <w:tcW w:w="476" w:type="pct"/>
            <w:vAlign w:val="center"/>
          </w:tcPr>
          <w:p w14:paraId="6BB9B167">
            <w:pPr>
              <w:tabs>
                <w:tab w:val="left" w:pos="180"/>
                <w:tab w:val="left" w:pos="1620"/>
              </w:tabs>
              <w:spacing w:line="240" w:lineRule="auto"/>
              <w:jc w:val="center"/>
              <w:rPr>
                <w:rFonts w:ascii="宋体" w:hAnsi="宋体" w:cs="宋体"/>
                <w:color w:val="auto"/>
                <w:szCs w:val="21"/>
                <w:highlight w:val="none"/>
              </w:rPr>
            </w:pPr>
            <w:r>
              <w:rPr>
                <w:rFonts w:hint="eastAsia" w:ascii="宋体" w:hAnsi="宋体" w:cs="宋体"/>
                <w:color w:val="auto"/>
                <w:szCs w:val="21"/>
                <w:highlight w:val="none"/>
              </w:rPr>
              <w:t>数量及</w:t>
            </w:r>
          </w:p>
          <w:p w14:paraId="5AD12AA5">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388" w:type="pct"/>
            <w:vAlign w:val="center"/>
          </w:tcPr>
          <w:p w14:paraId="2C987A0A">
            <w:pPr>
              <w:spacing w:line="240" w:lineRule="auto"/>
              <w:jc w:val="center"/>
              <w:rPr>
                <w:rFonts w:ascii="宋体" w:hAnsi="宋体" w:cs="宋体"/>
                <w:color w:val="auto"/>
                <w:szCs w:val="21"/>
                <w:highlight w:val="none"/>
              </w:rPr>
            </w:pPr>
            <w:r>
              <w:rPr>
                <w:rFonts w:hint="eastAsia" w:ascii="宋体" w:hAnsi="宋体" w:cs="Arial"/>
                <w:color w:val="auto"/>
                <w:szCs w:val="21"/>
                <w:highlight w:val="none"/>
              </w:rPr>
              <w:t>所属行业</w:t>
            </w:r>
          </w:p>
        </w:tc>
        <w:tc>
          <w:tcPr>
            <w:tcW w:w="3056" w:type="pct"/>
            <w:vAlign w:val="center"/>
          </w:tcPr>
          <w:p w14:paraId="2828034B">
            <w:pPr>
              <w:spacing w:line="240" w:lineRule="auto"/>
              <w:jc w:val="center"/>
              <w:rPr>
                <w:rFonts w:ascii="宋体" w:hAnsi="宋体" w:cs="宋体"/>
                <w:color w:val="auto"/>
                <w:szCs w:val="21"/>
                <w:highlight w:val="none"/>
              </w:rPr>
            </w:pPr>
            <w:r>
              <w:rPr>
                <w:rFonts w:hint="eastAsia" w:ascii="宋体" w:hAnsi="宋体"/>
                <w:color w:val="auto"/>
                <w:szCs w:val="21"/>
                <w:highlight w:val="none"/>
              </w:rPr>
              <w:t>技术要求</w:t>
            </w:r>
          </w:p>
        </w:tc>
      </w:tr>
      <w:tr w14:paraId="3D015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000" w:type="pct"/>
            <w:gridSpan w:val="5"/>
            <w:vAlign w:val="center"/>
          </w:tcPr>
          <w:p w14:paraId="5D5FDA07">
            <w:pPr>
              <w:jc w:val="center"/>
              <w:rPr>
                <w:rFonts w:ascii="宋体" w:hAnsi="宋体" w:cs="宋体"/>
                <w:color w:val="auto"/>
                <w:szCs w:val="21"/>
                <w:highlight w:val="none"/>
              </w:rPr>
            </w:pPr>
            <w:r>
              <w:rPr>
                <w:rFonts w:hint="eastAsia" w:ascii="宋体" w:hAnsi="宋体" w:cs="宋体"/>
                <w:b/>
                <w:bCs/>
                <w:color w:val="auto"/>
                <w:sz w:val="28"/>
                <w:szCs w:val="28"/>
                <w:highlight w:val="none"/>
              </w:rPr>
              <w:t>一、</w:t>
            </w:r>
            <w:r>
              <w:rPr>
                <w:rFonts w:hint="eastAsia" w:ascii="宋体" w:hAnsi="宋体" w:cs="宋体"/>
                <w:b/>
                <w:bCs/>
                <w:color w:val="auto"/>
                <w:kern w:val="0"/>
                <w:sz w:val="30"/>
                <w:szCs w:val="30"/>
                <w:highlight w:val="none"/>
                <w:lang w:bidi="ar"/>
              </w:rPr>
              <w:t>一体机部分</w:t>
            </w:r>
          </w:p>
        </w:tc>
      </w:tr>
      <w:tr w14:paraId="7EC1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669F929D">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744" w:type="pct"/>
            <w:shd w:val="clear" w:color="auto" w:fill="auto"/>
            <w:vAlign w:val="center"/>
          </w:tcPr>
          <w:p w14:paraId="5D695211">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65英寸交互智能一体机</w:t>
            </w:r>
          </w:p>
        </w:tc>
        <w:tc>
          <w:tcPr>
            <w:tcW w:w="476" w:type="pct"/>
            <w:shd w:val="clear" w:color="auto" w:fill="auto"/>
            <w:vAlign w:val="center"/>
          </w:tcPr>
          <w:p w14:paraId="1643337F">
            <w:pPr>
              <w:widowControl/>
              <w:jc w:val="center"/>
              <w:textAlignment w:val="top"/>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39台</w:t>
            </w:r>
          </w:p>
        </w:tc>
        <w:tc>
          <w:tcPr>
            <w:tcW w:w="388" w:type="pct"/>
            <w:shd w:val="clear" w:color="auto" w:fill="auto"/>
            <w:vAlign w:val="center"/>
          </w:tcPr>
          <w:p w14:paraId="01C01D00">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3056" w:type="pct"/>
            <w:shd w:val="clear" w:color="auto" w:fill="auto"/>
          </w:tcPr>
          <w:p w14:paraId="0533CD57">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一、幼儿外观设计</w:t>
            </w:r>
          </w:p>
          <w:p w14:paraId="65AD7C16">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1、整机外壳采用金属材质，转角及边框部位都应经倒圆或者倒角处理，且倒圆半径不小于10mm或者倒圆弧长不小于15mm，符合幼儿园家具设备技术条件要求。</w:t>
            </w:r>
          </w:p>
          <w:p w14:paraId="1F84EE62">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2、整机外观色调明亮活泼，适合幼儿教室整体装潢设计风格。</w:t>
            </w:r>
          </w:p>
          <w:p w14:paraId="3EAD879A">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3、前置AG防眩光钢化玻璃，具备防眩光效果。</w:t>
            </w:r>
          </w:p>
          <w:p w14:paraId="642734A4">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4、整机具备抗振动、防跌落特性，保证整机运输或使用过程中不易受损。</w:t>
            </w:r>
          </w:p>
          <w:p w14:paraId="4DB4167C">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5、整机在0℃—40℃环境下可正常工作，在-20℃—60℃的环境下可正常贮存且贮存后功能无损。</w:t>
            </w:r>
          </w:p>
          <w:p w14:paraId="1A80F72E">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6、整机书写屏表面硬度≥7H 。</w:t>
            </w:r>
          </w:p>
          <w:p w14:paraId="3EB7C9D2">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二、幼儿显示设计</w:t>
            </w:r>
          </w:p>
          <w:p w14:paraId="788FCCB8">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▲1、整机屏幕采用≥65英寸超高清LED 液晶显示屏，屏幕分辨率≥3840*2160，显示比例≥16:9，可视角度≥178°</w:t>
            </w:r>
          </w:p>
          <w:p w14:paraId="7CC48329">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bCs/>
                <w:color w:val="auto"/>
                <w:kern w:val="0"/>
                <w:szCs w:val="21"/>
                <w:highlight w:val="none"/>
                <w:lang w:bidi="ar"/>
              </w:rPr>
            </w:pPr>
            <w:r>
              <w:rPr>
                <w:rFonts w:hint="eastAsia" w:ascii="宋体" w:hAnsi="宋体" w:cs="宋体"/>
                <w:b w:val="0"/>
                <w:bCs w:val="0"/>
                <w:color w:val="auto"/>
                <w:kern w:val="0"/>
                <w:szCs w:val="21"/>
                <w:highlight w:val="none"/>
                <w:lang w:bidi="ar"/>
              </w:rPr>
              <w:t>▲2、支持UHD高清点对点显示，屏幕显示灰度分辨等级达到256灰阶及以上。</w:t>
            </w:r>
            <w:r>
              <w:rPr>
                <w:rFonts w:hint="eastAsia" w:ascii="宋体" w:hAnsi="宋体" w:cs="宋体"/>
                <w:b/>
                <w:bCs/>
                <w:color w:val="auto"/>
                <w:kern w:val="0"/>
                <w:szCs w:val="21"/>
                <w:highlight w:val="none"/>
                <w:lang w:bidi="ar"/>
              </w:rPr>
              <w:t>（投标时需提供国家认可的第三方检测机构出具关于灰度等级的检测报告复印件）</w:t>
            </w:r>
          </w:p>
          <w:p w14:paraId="79A5C0E4">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3、整机采用零贴合技术，钢化玻璃和液晶显示层间隙＜1mm，减少显示面板与玻璃间的偏光、散射，画面显示更加清晰通透、可视角度更广。</w:t>
            </w:r>
          </w:p>
          <w:p w14:paraId="650B84F2">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4、标准、柔和、动态、智能；智能模式下，整机根据显示内容的差异，自动在标准，柔和和动态模式中切换，以保证最佳观看效果。</w:t>
            </w:r>
          </w:p>
          <w:p w14:paraId="3DAACB29">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▲5、整机内置2.1声道音响：前朝向（避免中高音损失）8W中高音扬声器2个，后朝向15W低音扬声器1个，额定总功率30W，音质更加清晰和有质感。</w:t>
            </w:r>
          </w:p>
          <w:p w14:paraId="2CF6E452">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6、整机接口设计：</w:t>
            </w:r>
          </w:p>
          <w:p w14:paraId="08519A84">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（1）前置接口≥USB*2。</w:t>
            </w:r>
          </w:p>
          <w:p w14:paraId="24CA5A65">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（2）侧置接口：≥1路HDMI In ；≥1路PC Audio IN；≥1路Audio out；≥1路touch USB。</w:t>
            </w:r>
          </w:p>
          <w:p w14:paraId="01A6FDC4">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三、幼儿便捷设计性能</w:t>
            </w:r>
          </w:p>
          <w:p w14:paraId="31067D86">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（一）幼儿触摸及书写功能</w:t>
            </w:r>
          </w:p>
          <w:p w14:paraId="01F83558">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1、整机采用红外触控技术，可支持二十点触控，便于多名幼儿同时操作书写。</w:t>
            </w:r>
          </w:p>
          <w:p w14:paraId="16FBC91C">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2、触摸框内部通道切换速度小于1秒，外部通道切换小于4秒，切换后即达到可触摸状态。</w:t>
            </w:r>
          </w:p>
          <w:p w14:paraId="004C5EC6">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bCs/>
                <w:color w:val="auto"/>
                <w:kern w:val="0"/>
                <w:szCs w:val="21"/>
                <w:highlight w:val="none"/>
                <w:lang w:bidi="ar"/>
              </w:rPr>
            </w:pPr>
            <w:r>
              <w:rPr>
                <w:rFonts w:hint="eastAsia" w:ascii="宋体" w:hAnsi="宋体" w:cs="宋体"/>
                <w:b w:val="0"/>
                <w:bCs w:val="0"/>
                <w:color w:val="auto"/>
                <w:kern w:val="0"/>
                <w:szCs w:val="21"/>
                <w:highlight w:val="none"/>
                <w:lang w:bidi="ar"/>
              </w:rPr>
              <w:t>3、触摸屏具有防遮挡功能，触摸接收器在单点或多点遮挡后仍能正常书写，确保老师课堂操作的流畅性。</w:t>
            </w:r>
            <w:r>
              <w:rPr>
                <w:rFonts w:hint="eastAsia" w:ascii="宋体" w:hAnsi="宋体" w:cs="宋体"/>
                <w:b/>
                <w:bCs/>
                <w:color w:val="auto"/>
                <w:kern w:val="0"/>
                <w:szCs w:val="21"/>
                <w:highlight w:val="none"/>
                <w:lang w:bidi="ar"/>
              </w:rPr>
              <w:t>（投标时需提供国家认可的第三方检测机构出具关于防遮挡功能的检测报告复印件）</w:t>
            </w:r>
          </w:p>
          <w:p w14:paraId="3136FBBC">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▲4、触摸屏具有防光干扰功能，能在照度80K LUX（勒克司）环境下仍能正常工作。</w:t>
            </w:r>
            <w:r>
              <w:rPr>
                <w:rFonts w:hint="eastAsia" w:ascii="宋体" w:hAnsi="宋体" w:cs="宋体"/>
                <w:b/>
                <w:bCs/>
                <w:color w:val="auto"/>
                <w:kern w:val="0"/>
                <w:szCs w:val="21"/>
                <w:highlight w:val="none"/>
                <w:lang w:bidi="ar"/>
              </w:rPr>
              <w:t>（投标时需提供国家认可的第三方检测机构出具关于防光干扰功能的检测报告复印件）</w:t>
            </w:r>
          </w:p>
          <w:p w14:paraId="28C70CA9">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5、为保证触摸书写流畅度，书写延迟时间需控制在100ms以内。</w:t>
            </w:r>
          </w:p>
          <w:p w14:paraId="16A7A726">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bCs/>
                <w:color w:val="auto"/>
                <w:kern w:val="0"/>
                <w:szCs w:val="21"/>
                <w:highlight w:val="none"/>
                <w:lang w:bidi="ar"/>
              </w:rPr>
            </w:pPr>
            <w:r>
              <w:rPr>
                <w:rFonts w:hint="eastAsia" w:ascii="宋体" w:hAnsi="宋体" w:cs="宋体"/>
                <w:b w:val="0"/>
                <w:bCs w:val="0"/>
                <w:color w:val="auto"/>
                <w:kern w:val="0"/>
                <w:szCs w:val="21"/>
                <w:highlight w:val="none"/>
                <w:lang w:bidi="ar"/>
              </w:rPr>
              <w:t>▲6、触摸框免驱：支持Windows XP、Windows 7、Windows 8、Linux、Mac Os系统外置电脑操作系统接入时，无需安装触摸框驱动。</w:t>
            </w:r>
            <w:r>
              <w:rPr>
                <w:rFonts w:hint="eastAsia" w:ascii="宋体" w:hAnsi="宋体" w:cs="宋体"/>
                <w:b/>
                <w:bCs/>
                <w:color w:val="auto"/>
                <w:kern w:val="0"/>
                <w:szCs w:val="21"/>
                <w:highlight w:val="none"/>
                <w:lang w:bidi="ar"/>
              </w:rPr>
              <w:t>（投标时需提供国家认可的第三方检测机构出具关于触摸框免驱功能的检测报告复印件）</w:t>
            </w:r>
          </w:p>
          <w:p w14:paraId="4E925B45">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（二）幼儿智能语音拍照功能</w:t>
            </w:r>
          </w:p>
          <w:p w14:paraId="32F9730E">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bCs/>
                <w:color w:val="auto"/>
                <w:kern w:val="0"/>
                <w:szCs w:val="21"/>
                <w:highlight w:val="none"/>
                <w:lang w:bidi="ar"/>
              </w:rPr>
            </w:pPr>
            <w:r>
              <w:rPr>
                <w:rFonts w:hint="eastAsia" w:ascii="宋体" w:hAnsi="宋体" w:cs="宋体"/>
                <w:b w:val="0"/>
                <w:bCs w:val="0"/>
                <w:color w:val="auto"/>
                <w:kern w:val="0"/>
                <w:szCs w:val="21"/>
                <w:highlight w:val="none"/>
                <w:lang w:bidi="ar"/>
              </w:rPr>
              <w:t>▲1、具备内置麦克风拾音卡通摄像头，摄像头底座预留孔位，拾音距离不小于3米，摄像头像素≥800万像素。</w:t>
            </w:r>
            <w:r>
              <w:rPr>
                <w:rFonts w:hint="eastAsia" w:ascii="宋体" w:hAnsi="宋体" w:cs="宋体"/>
                <w:b/>
                <w:bCs/>
                <w:color w:val="auto"/>
                <w:kern w:val="0"/>
                <w:szCs w:val="21"/>
                <w:highlight w:val="none"/>
                <w:lang w:bidi="ar"/>
              </w:rPr>
              <w:t>（投标时需提供国家认可的第三方检测机构出具关于摄像头功能的检测报告复印件）</w:t>
            </w:r>
          </w:p>
          <w:p w14:paraId="47705A94">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2、整机内置AI语音操控模块，唤醒词激活后可通过语音控制整机快速开关白板软件、传屏互动工具、幼儿相机、幼教软件，操控电脑关机、待机及待机唤醒。语义词库支持离线使用，在无网络环境下仍可进行语音交互。方便教师快速上手使用。</w:t>
            </w:r>
            <w:r>
              <w:rPr>
                <w:rFonts w:hint="eastAsia" w:ascii="宋体" w:hAnsi="宋体" w:cs="宋体"/>
                <w:b/>
                <w:bCs/>
                <w:color w:val="auto"/>
                <w:kern w:val="0"/>
                <w:szCs w:val="21"/>
                <w:highlight w:val="none"/>
                <w:lang w:bidi="ar"/>
              </w:rPr>
              <w:t>（投标时需提供国家认可的第三方检测机构出具关于AI语音功能的检测报告复印件）</w:t>
            </w:r>
          </w:p>
          <w:p w14:paraId="321DE0A1">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▲3、拍照录像功能：整机配套的幼教专用相机可实现拍照和录像功能，拍照支持延时拍摄，可设置3s、5s延时期限；拍照及录像的开始、保存、重拍、取消等操作均支持智能语音操控。</w:t>
            </w:r>
            <w:r>
              <w:rPr>
                <w:rFonts w:hint="eastAsia" w:ascii="宋体" w:hAnsi="宋体" w:cs="宋体"/>
                <w:b/>
                <w:bCs/>
                <w:color w:val="auto"/>
                <w:kern w:val="0"/>
                <w:szCs w:val="21"/>
                <w:highlight w:val="none"/>
                <w:lang w:bidi="ar"/>
              </w:rPr>
              <w:t>（投标时需提供国家认可的第三方检测机构出具关于拍照录像功能的检测报告复印件）</w:t>
            </w:r>
          </w:p>
          <w:p w14:paraId="791B32C4">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（三）幼儿护眼功能</w:t>
            </w:r>
          </w:p>
          <w:p w14:paraId="532E834E">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▲1、为了呵护儿童用眼健康及保证画面显示效果，整机需要支持光学护眼技术，通过降低LED液晶屏有害蓝光产生量进而达到光学护眼的目的，同时不改变画面显示效果，并通过</w:t>
            </w:r>
            <w:r>
              <w:rPr>
                <w:rFonts w:hint="eastAsia" w:ascii="宋体" w:hAnsi="宋体" w:cs="宋体"/>
                <w:b w:val="0"/>
                <w:bCs w:val="0"/>
                <w:color w:val="auto"/>
                <w:kern w:val="0"/>
                <w:szCs w:val="21"/>
                <w:highlight w:val="none"/>
                <w:lang w:val="en-US" w:eastAsia="zh-CN" w:bidi="ar"/>
              </w:rPr>
              <w:t>低蓝光</w:t>
            </w:r>
            <w:r>
              <w:rPr>
                <w:rFonts w:hint="eastAsia" w:ascii="宋体" w:hAnsi="宋体" w:cs="宋体"/>
                <w:b w:val="0"/>
                <w:bCs w:val="0"/>
                <w:color w:val="auto"/>
                <w:kern w:val="0"/>
                <w:szCs w:val="21"/>
                <w:highlight w:val="none"/>
                <w:lang w:bidi="ar"/>
              </w:rPr>
              <w:t>认证。</w:t>
            </w:r>
          </w:p>
          <w:p w14:paraId="5DE64722">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▲2、整机视网膜蓝光危害（蓝光加权辐射亮度LB）符合IEC62471标准，LB限值范围≤0.55（蓝光危害最大状况下）。</w:t>
            </w:r>
          </w:p>
          <w:p w14:paraId="1CA85D86">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▲3、用户可选择打开护眼模式，使用暖色色温，降低背光亮度，使显示更柔和，避免刺眼。</w:t>
            </w:r>
            <w:r>
              <w:rPr>
                <w:rFonts w:hint="eastAsia" w:ascii="宋体" w:hAnsi="宋体" w:cs="宋体"/>
                <w:b/>
                <w:bCs/>
                <w:color w:val="auto"/>
                <w:kern w:val="0"/>
                <w:szCs w:val="21"/>
                <w:highlight w:val="none"/>
                <w:lang w:bidi="ar"/>
              </w:rPr>
              <w:t>（投标时需提供国家认可的第三方检测机构出具关于护眼功能的检测报告复印件）</w:t>
            </w:r>
          </w:p>
          <w:p w14:paraId="09EE8AB2">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4、整机能感应不同光照环境并自动调节屏幕亮度，此功能可自行开启或关闭。</w:t>
            </w:r>
          </w:p>
          <w:p w14:paraId="3BB521F9">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（四）其他功能</w:t>
            </w:r>
          </w:p>
          <w:p w14:paraId="626D68C3">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1、配备无线智能遥控，人性化设计具备电视遥控功能和电脑键盘常用的F1—F12功能键及Alt+F4、Alt+Tab、Space、Enter、Win等快捷按键，可一键锁定/解锁触摸及整机实体按键，防止课间学生操作。</w:t>
            </w:r>
          </w:p>
          <w:p w14:paraId="70442E26">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▲2、整机在任意信号源通道均可调出全通道触摸中控设置菜单，中控菜单具备声音、图像、设置、缩放以及亮度设置模块，其中支持开启/关闭自动节能和护眼模式。</w:t>
            </w:r>
            <w:r>
              <w:rPr>
                <w:rFonts w:hint="eastAsia" w:ascii="宋体" w:hAnsi="宋体" w:cs="宋体"/>
                <w:b/>
                <w:bCs/>
                <w:color w:val="auto"/>
                <w:kern w:val="0"/>
                <w:szCs w:val="21"/>
                <w:highlight w:val="none"/>
                <w:lang w:bidi="ar"/>
              </w:rPr>
              <w:t>（投标时需提供国家认可的第三方检测机构出具关于中控菜单功能的检测报告复印件）</w:t>
            </w:r>
          </w:p>
          <w:p w14:paraId="0D8D25F0">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eastAsia="宋体" w:cs="宋体"/>
                <w:b w:val="0"/>
                <w:bCs w:val="0"/>
                <w:color w:val="auto"/>
                <w:kern w:val="0"/>
                <w:szCs w:val="21"/>
                <w:highlight w:val="none"/>
                <w:lang w:eastAsia="zh-CN" w:bidi="ar"/>
              </w:rPr>
            </w:pPr>
            <w:r>
              <w:rPr>
                <w:rFonts w:hint="eastAsia" w:ascii="宋体" w:hAnsi="宋体" w:cs="宋体"/>
                <w:b w:val="0"/>
                <w:bCs w:val="0"/>
                <w:color w:val="auto"/>
                <w:kern w:val="0"/>
                <w:szCs w:val="21"/>
                <w:highlight w:val="none"/>
                <w:lang w:bidi="ar"/>
              </w:rPr>
              <w:t>3、在任意通道下支持手势识别调出板擦工具擦除批注内容</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且看根据手与屏幕的接触面积自动调整板擦工具的大小</w:t>
            </w:r>
            <w:r>
              <w:rPr>
                <w:rFonts w:hint="eastAsia" w:ascii="宋体" w:hAnsi="宋体" w:cs="宋体"/>
                <w:b w:val="0"/>
                <w:bCs w:val="0"/>
                <w:color w:val="auto"/>
                <w:kern w:val="0"/>
                <w:szCs w:val="21"/>
                <w:highlight w:val="none"/>
                <w:lang w:eastAsia="zh-CN" w:bidi="ar"/>
              </w:rPr>
              <w:t>。</w:t>
            </w:r>
          </w:p>
          <w:p w14:paraId="65F7F075">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▲4、按键三合一功能：前面板具备一个物理按键，开机状态下，长按该按键后将跳出关机倒计时提醒窗口，短按该按键可节能熄屏或唤醒屏幕</w:t>
            </w:r>
            <w:r>
              <w:rPr>
                <w:rFonts w:hint="eastAsia" w:ascii="宋体" w:hAnsi="宋体" w:cs="宋体"/>
                <w:b/>
                <w:bCs/>
                <w:color w:val="auto"/>
                <w:kern w:val="0"/>
                <w:szCs w:val="21"/>
                <w:highlight w:val="none"/>
                <w:lang w:bidi="ar"/>
              </w:rPr>
              <w:t>（投标时需提供国家认可的第三方检测机构出具关于按键功能的检测报告复印件）</w:t>
            </w:r>
          </w:p>
          <w:p w14:paraId="1C8C075C">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四、内置PC模块</w:t>
            </w:r>
          </w:p>
          <w:p w14:paraId="689F9FB5">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1、处理器：i5或以上配置处理器；内存：8G笔记本内存或以上配置；硬盘：256G或以上SSD固态硬盘。</w:t>
            </w:r>
          </w:p>
          <w:p w14:paraId="5A315AE6">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2、采用抽拉内置式模块化电脑，抽拉内置式，PC模块可插入整机，可实现无单独接线的插拔。</w:t>
            </w:r>
          </w:p>
          <w:p w14:paraId="57FDDE00">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eastAsia="宋体" w:cs="宋体"/>
                <w:b w:val="0"/>
                <w:bCs w:val="0"/>
                <w:color w:val="auto"/>
                <w:kern w:val="0"/>
                <w:szCs w:val="21"/>
                <w:highlight w:val="none"/>
                <w:lang w:eastAsia="zh-CN" w:bidi="ar"/>
              </w:rPr>
            </w:pPr>
            <w:r>
              <w:rPr>
                <w:rFonts w:hint="eastAsia" w:ascii="宋体" w:hAnsi="宋体" w:cs="宋体"/>
                <w:b w:val="0"/>
                <w:bCs w:val="0"/>
                <w:color w:val="auto"/>
                <w:kern w:val="0"/>
                <w:szCs w:val="21"/>
                <w:highlight w:val="none"/>
                <w:lang w:bidi="ar"/>
              </w:rPr>
              <w:t>3、具有硬件自检功能，可联动自身部件级硬件埋点自检且通过接口传递一体机自检数据</w:t>
            </w:r>
            <w:r>
              <w:rPr>
                <w:rFonts w:hint="eastAsia" w:ascii="宋体" w:hAnsi="宋体" w:cs="宋体"/>
                <w:b w:val="0"/>
                <w:bCs w:val="0"/>
                <w:color w:val="auto"/>
                <w:kern w:val="0"/>
                <w:szCs w:val="21"/>
                <w:highlight w:val="none"/>
                <w:lang w:eastAsia="zh-CN" w:bidi="ar"/>
              </w:rPr>
              <w:t>。</w:t>
            </w:r>
          </w:p>
          <w:p w14:paraId="6A58A581">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4、采用按压式卡扣，确保PC模块安装固定到位，同时无需工具就可快速拆卸电脑模块。</w:t>
            </w:r>
          </w:p>
          <w:p w14:paraId="3037ED56">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eastAsia="宋体" w:cs="宋体"/>
                <w:b w:val="0"/>
                <w:bCs w:val="0"/>
                <w:color w:val="auto"/>
                <w:kern w:val="0"/>
                <w:szCs w:val="21"/>
                <w:highlight w:val="none"/>
                <w:lang w:eastAsia="zh-CN" w:bidi="ar"/>
              </w:rPr>
            </w:pPr>
            <w:r>
              <w:rPr>
                <w:rFonts w:hint="eastAsia" w:ascii="宋体" w:hAnsi="宋体" w:cs="宋体"/>
                <w:b w:val="0"/>
                <w:bCs w:val="0"/>
                <w:color w:val="auto"/>
                <w:kern w:val="0"/>
                <w:szCs w:val="21"/>
                <w:highlight w:val="none"/>
                <w:lang w:bidi="ar"/>
              </w:rPr>
              <w:t>5、PC模块支持不断电情况下热插拔，以便快速维护或替换模块</w:t>
            </w:r>
            <w:r>
              <w:rPr>
                <w:rFonts w:hint="eastAsia" w:ascii="宋体" w:hAnsi="宋体" w:cs="宋体"/>
                <w:b w:val="0"/>
                <w:bCs w:val="0"/>
                <w:color w:val="auto"/>
                <w:kern w:val="0"/>
                <w:szCs w:val="21"/>
                <w:highlight w:val="none"/>
                <w:lang w:eastAsia="zh-CN" w:bidi="ar"/>
              </w:rPr>
              <w:t>。</w:t>
            </w:r>
          </w:p>
          <w:p w14:paraId="25B43DBD">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eastAsia="宋体" w:cs="宋体"/>
                <w:b w:val="0"/>
                <w:bCs w:val="0"/>
                <w:color w:val="auto"/>
                <w:kern w:val="0"/>
                <w:szCs w:val="21"/>
                <w:highlight w:val="none"/>
                <w:lang w:eastAsia="zh-CN" w:bidi="ar"/>
              </w:rPr>
            </w:pPr>
            <w:r>
              <w:rPr>
                <w:rFonts w:hint="eastAsia" w:ascii="宋体" w:hAnsi="宋体" w:cs="宋体"/>
                <w:b w:val="0"/>
                <w:bCs w:val="0"/>
                <w:color w:val="auto"/>
                <w:kern w:val="0"/>
                <w:szCs w:val="21"/>
                <w:highlight w:val="none"/>
                <w:lang w:bidi="ar"/>
              </w:rPr>
              <w:t>6、PC模块的USB接口须为冗余备份接口，在正常使用整机的内置摄像头、内置麦克风功能时，USB接口不被占用，确保教师有足够的接口外接存储设备及显示设备</w:t>
            </w:r>
            <w:r>
              <w:rPr>
                <w:rFonts w:hint="eastAsia" w:ascii="宋体" w:hAnsi="宋体" w:cs="宋体"/>
                <w:b w:val="0"/>
                <w:bCs w:val="0"/>
                <w:color w:val="auto"/>
                <w:kern w:val="0"/>
                <w:szCs w:val="21"/>
                <w:highlight w:val="none"/>
                <w:lang w:eastAsia="zh-CN" w:bidi="ar"/>
              </w:rPr>
              <w:t>。</w:t>
            </w:r>
          </w:p>
          <w:p w14:paraId="41A8ACD8">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五、幼儿教学软件要求</w:t>
            </w:r>
          </w:p>
          <w:p w14:paraId="54970802">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1</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采用备授课一体化框架设计，教师可根据教学场景自由切换类PPT界面的备课模式与触控交互教学模式，适用于教室、办公室等不同教学环境，便于教师教学使用。</w:t>
            </w:r>
          </w:p>
          <w:p w14:paraId="0C9F0EDD">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2</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软件为用户提供可扩展，易于学校管理，安全可靠的云存储空间，根据每名教师使用时长与教学资料制作频率提供可扩展升级至不小于200G的个人云空间。</w:t>
            </w:r>
          </w:p>
          <w:p w14:paraId="0325A281">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3</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软件须为使用方全体教师配备个人账号，形成一体的信息化教学账号体系；根据教师账号信息将教师云空间匹配至对应学校、学科校本资源库。支持通过数字账号、微信二维码、硬件密钥方式登录教师个人账号。</w:t>
            </w:r>
          </w:p>
          <w:p w14:paraId="674DDC0E">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eastAsia="宋体" w:cs="宋体"/>
                <w:b w:val="0"/>
                <w:bCs w:val="0"/>
                <w:color w:val="auto"/>
                <w:kern w:val="0"/>
                <w:szCs w:val="21"/>
                <w:highlight w:val="none"/>
                <w:lang w:eastAsia="zh-CN" w:bidi="ar"/>
              </w:rPr>
            </w:pPr>
            <w:r>
              <w:rPr>
                <w:rFonts w:hint="eastAsia" w:ascii="宋体" w:hAnsi="宋体" w:cs="宋体"/>
                <w:b w:val="0"/>
                <w:bCs w:val="0"/>
                <w:color w:val="auto"/>
                <w:kern w:val="0"/>
                <w:szCs w:val="21"/>
                <w:highlight w:val="none"/>
                <w:lang w:bidi="ar"/>
              </w:rPr>
              <w:t>4</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互动教学课件支持定向精准分享：分享者可将互动课件、课件组精准推送至指定接收方账号云空间，接收方可在云空间接收并打开分享课件</w:t>
            </w:r>
            <w:r>
              <w:rPr>
                <w:rFonts w:hint="eastAsia" w:ascii="宋体" w:hAnsi="宋体" w:cs="宋体"/>
                <w:b w:val="0"/>
                <w:bCs w:val="0"/>
                <w:color w:val="auto"/>
                <w:kern w:val="0"/>
                <w:szCs w:val="21"/>
                <w:highlight w:val="none"/>
                <w:lang w:eastAsia="zh-CN" w:bidi="ar"/>
              </w:rPr>
              <w:t>。</w:t>
            </w:r>
          </w:p>
          <w:p w14:paraId="74702550">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5</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互动教学课件支持开放式云分享：分享者可将互动课件、课件组以公开或加密的web链接和二维码形式进行分享，分享链接可设置访问有效期。</w:t>
            </w:r>
          </w:p>
          <w:p w14:paraId="5D31553A">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6</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上传下载一体化云存储：备课时支持将云空间中存储图片、音频、视频、Flash等素材插入课件，同时支持将课件中的图片、音频、视频、Flash、PPT等素材右键上传至云空间。</w:t>
            </w:r>
          </w:p>
          <w:p w14:paraId="42511521">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7</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互动课件与多媒体素材的云空间相互独立，互不干扰；教师可新建课件组或素材文件夹对教学资源进行个性化的分类与标记，便于管理；多媒体素材库内的素材可随时插入互动课件，互动课件内的多媒体素材可在课件内直接上传至多媒体素材存储空间，便于教师调用、采集教学素材。</w:t>
            </w:r>
          </w:p>
          <w:p w14:paraId="013F4D98">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8</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互动课件内容的编辑修改无需人为保存即可自动同步至云空间，可根据教师需要调整云空间自动同步的时间间隔，避免教学资源的损坏、遗失。</w:t>
            </w:r>
          </w:p>
          <w:p w14:paraId="02A9F6FF">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9</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编辑多份互动课件时，教师可一键将所有处于编辑状态的课件同步到互动课件云空间。软件支持PPT的原生解析，教师可将pptx课件转化为互动教学课件，支持单份导入和批量文件夹导入两种格式，保留pptx原文件中的文字、图片、表格等对象及动画的可编辑性，并可为课件增加互动教学元素。</w:t>
            </w:r>
          </w:p>
          <w:p w14:paraId="52440431">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（二）课堂互动功能</w:t>
            </w:r>
          </w:p>
          <w:p w14:paraId="58C6E464">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▲1</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判断题竞赛游戏：支持创建判断题竞赛游戏，教师可设置正确项／干扰项，让两组学生进行判断对错游戏竞争。提供多种预设游戏背景模版，模版样式支持自定义修改。支持记录和展示学生作答结果，便于课堂知识点对比讲解。</w:t>
            </w:r>
          </w:p>
          <w:p w14:paraId="402F4549">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▲2</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互动分类游戏：支持创建互动分类游戏，可自定义不同类别及相对应对象，将不同对象拖拽到对应类别容器中系统自动辨识分类，分类正误均有相应提示；竞争模式下可记录不同操作者的动作和用时并自动排名。类别和对象的样式、数量均支持自定义修改。系统需提供不少于10种游戏模板，直接选择并输入相应内容即可轻松生成互动分类游戏，提升课堂趣味性。</w:t>
            </w:r>
          </w:p>
          <w:p w14:paraId="774B1349">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3</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智能选词填空：支持创建智能选词填空游戏，填空选项支持并列选项，并列选项支持答案互换，教师可随意编辑填空题题干以及相应的答案选项，将选项拖到对应题干空白处，系统自动判断答案正误，系统需提供不少于10种游戏模板，且模板样式支持自定义修改。</w:t>
            </w:r>
          </w:p>
          <w:p w14:paraId="38FA7979">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4</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智能配对游戏：支持创建配对游戏，教师可随意将知识点进行配对。当开始配对游戏时，拖动知识点进行配对，系统将自动判断是否正确。系统至少提供10种游戏模版，且模版样式支持自定义修改，同时支持设置干扰项。</w:t>
            </w:r>
          </w:p>
          <w:p w14:paraId="20894D7E">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5</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分组竞争游戏：支持创建分组竞争游戏，教师可设置正确项／干扰项，让两组学生开展竞争游戏。提供不少于3种难度、10种游戏模版供选择，且模版样式支持自定义修改。支持记录和展示学生作答结果，便于课堂知识点对比讲解。</w:t>
            </w:r>
          </w:p>
          <w:p w14:paraId="2FAA262B">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6</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课堂互动游戏支持云储存，编辑完成的活动可一键存储至教师云空间，便于在不同课件中直接调用，无需反复编辑。</w:t>
            </w:r>
          </w:p>
          <w:p w14:paraId="63A27010">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六、幼儿园教研管理平台</w:t>
            </w:r>
          </w:p>
          <w:p w14:paraId="2FC1BA45">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1</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为学校提供教研全流程管理服务，包含教学计划、电子教案、听课评课、校本资源、班级氛围的流程管理和数据分析，方便学校统筹管理教学、教研活动进展，收集数据反馈和评价，了解全校教师的教学教研产出。</w:t>
            </w:r>
          </w:p>
          <w:p w14:paraId="5AE0307B">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2</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学校目标与计划：可以在系统中录入学校教学计划，计划可以和教案的课时数相关联，方便管理者掌握学校教学进度。</w:t>
            </w:r>
          </w:p>
          <w:p w14:paraId="0A04B9E7">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3</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教研组计划：以不同学科不同年级教研组为单位，可以在系统中录入教研组教学计划，计划可以和教案的课时数相关联，方便教研组管理教学进度。</w:t>
            </w:r>
          </w:p>
          <w:p w14:paraId="1821B4AE">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4</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教案模板管理：支持管理者自定义学校的教案模板，可以设置必填项和选填项，有效规范教师教案的编写。</w:t>
            </w:r>
          </w:p>
          <w:p w14:paraId="06EF99ED">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5</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校本课件管理：可统一审核发布、删除教师上传至校本库的课件，支持查看更新时间、大小、下载次数等数据。校本课件支持文件夹分组，方便各学科课件的分组管理。同时支持课件的批量移动、删除。</w:t>
            </w:r>
          </w:p>
          <w:p w14:paraId="33DF6DB7">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6</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 xml:space="preserve">校本课件预览：校本课件支持直接预览课件及该课件的教案，方便课件、教案的检查。  </w:t>
            </w:r>
          </w:p>
          <w:p w14:paraId="3F7F3B3C">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7</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评课表管理：支持自定义设置学校专属评课表，系统预置中央电教馆“一师一优课，一课一名师”模板供使用。点评支持评分题和主观题，支持发布多张评课表，方便同时开展多学科、多个评课活动。</w:t>
            </w:r>
          </w:p>
          <w:p w14:paraId="68DAEFCB">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七、幼儿教师发展空间</w:t>
            </w:r>
          </w:p>
          <w:p w14:paraId="5B75078F">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（一）幼儿教学设计系统</w:t>
            </w:r>
          </w:p>
          <w:p w14:paraId="7F8B2FAE">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1</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支持老师阅览学校计划、本学科组计划，并根据上级计划制定个人教学计划，同时支持实时查看、对比教研组计划及个人计划的进展，掌握教学进度。</w:t>
            </w:r>
          </w:p>
          <w:p w14:paraId="3B7457AD">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2</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电子教案：教师可以在个人空间直接编写教案，编写教案时可以关联课件，支持教师在个人空间、配套授课工具查看课件以及教案，方便教师进行教学设计。</w:t>
            </w:r>
          </w:p>
          <w:p w14:paraId="74496AD1">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3</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教师个人教案数据实时统计，包含教师累计课件数、本周制作课件数。</w:t>
            </w:r>
          </w:p>
          <w:p w14:paraId="4C2F2D7F">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（二）幼儿行为分析系统</w:t>
            </w:r>
          </w:p>
          <w:p w14:paraId="692B7E15">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1</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课前资源学习：在资源学习报告中，可查看不同学习时长的学生数量分布情况、资源人均查看次数、资源学习人均用时、未学习人数，以及全班学生学习进度与用时。</w:t>
            </w:r>
          </w:p>
          <w:p w14:paraId="05EB7CDC">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2</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课中互动数据：可以雷达图的图表形式查看屏幕互动、互动答题、课堂测验、氛围管理、课件推送等互动教学方式的数据占比。</w:t>
            </w:r>
          </w:p>
          <w:p w14:paraId="540BDBD3">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3</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课后习题与测验：可进行习题批改，查看平均正确率、最高/最低正确率与平均作答耗时，可依据学生得分自动匹配不及格、及格、良好、优秀的学情区间，并支持查看各区间人数分布情况，支持根据作答正确率或作答用时查看学生排名。</w:t>
            </w:r>
          </w:p>
          <w:p w14:paraId="5A77670C">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八、幼儿微课制作软件</w:t>
            </w:r>
          </w:p>
          <w:p w14:paraId="52E0D1D8">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1</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采编一体化设计，可在同一软件中录制并编辑微课视频。</w:t>
            </w:r>
          </w:p>
          <w:p w14:paraId="2954C39E">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2</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支持全屏录制及任意区域截屏录制两种模式，可切换16:9或4:3录制比例。</w:t>
            </w:r>
          </w:p>
          <w:p w14:paraId="496D4512">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3</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支持快速短视频录制，可直接在播放器中播放视频，通过软件直接录制视频画面及系统音量，录制成功后可一键导出为MP4格式视频。</w:t>
            </w:r>
          </w:p>
          <w:p w14:paraId="58BEF4CE">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4</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支持与双摄像头展台配合使用，能够将双路摄像画面合成在同一播放画面中，且双画面可随意切换主画面。</w:t>
            </w:r>
          </w:p>
          <w:p w14:paraId="771B6D32">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5</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录制后微课可直接进入编辑模式，可对微课视频进行自由裁剪、编辑等操作，还可将视频、图片、文字等素材进行多轨合成，轨道数量可自由设置。</w:t>
            </w:r>
          </w:p>
          <w:p w14:paraId="31537A9C">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6</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支持从视频中分离提取音频进行编辑，方便后期处理。</w:t>
            </w:r>
          </w:p>
          <w:p w14:paraId="44E8B628">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7</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支持内容局部变焦缩放功能：可以视频进行局部聚焦放大，让教学重点更为突出。</w:t>
            </w:r>
          </w:p>
          <w:p w14:paraId="6E83C794">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8</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支持对微课视频添加水印，水印信息包括作者名称和网站地址。</w:t>
            </w:r>
          </w:p>
          <w:p w14:paraId="05D6DF49">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9</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编辑完成的微课视频支持一键导出到白板软件或另存到本地，也可上传到资源分享平台。</w:t>
            </w:r>
          </w:p>
          <w:p w14:paraId="26840A48">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九、幼教资源</w:t>
            </w:r>
          </w:p>
          <w:p w14:paraId="5BF382CD">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1</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系统资源严格依据《3-6岁儿童学习与发展指南》与 《幼儿园指导纲要》编制而成，资源内容涵盖健康、语言、社会、科学、艺术等五个领域。</w:t>
            </w:r>
          </w:p>
          <w:p w14:paraId="4773ACFC">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▲2</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系统主要分为资源和应用两大特色教学功能：</w:t>
            </w:r>
          </w:p>
          <w:p w14:paraId="612B0076">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资源包括：儿童普通读物动画和视频列表（300个以上）和动画视频资源列表（2600个以上）。</w:t>
            </w:r>
          </w:p>
          <w:p w14:paraId="45773BE5">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应用包括：“主题课程、特色课堂、电子白板、工具”等。</w:t>
            </w:r>
          </w:p>
          <w:p w14:paraId="790140EC">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w:t>
            </w:r>
            <w:r>
              <w:rPr>
                <w:rFonts w:hint="eastAsia" w:ascii="宋体" w:hAnsi="宋体" w:cs="宋体"/>
                <w:b w:val="0"/>
                <w:bCs w:val="0"/>
                <w:color w:val="auto"/>
                <w:kern w:val="0"/>
                <w:szCs w:val="21"/>
                <w:highlight w:val="none"/>
                <w:lang w:val="en-US" w:eastAsia="zh-CN" w:bidi="ar"/>
              </w:rPr>
              <w:t>3</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系统提供的主题课程，可支持电子书、动漫课堂，并具有活动目标、活动建议、快乐课堂和主题拓展；系统提供的特色课堂，可支持电子书、动漫课堂，并具有活动目标、活动建议、表演、诵读和拓展。</w:t>
            </w:r>
          </w:p>
          <w:p w14:paraId="637AE1A9">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val="en-US" w:eastAsia="zh-CN" w:bidi="ar"/>
              </w:rPr>
              <w:t>4</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系统提供的电子白板支持白板软件教学，可调整笔的粗细和九种以上字体颜色自定义，且可保存、撤销白板教学内容和发布到班级。</w:t>
            </w:r>
          </w:p>
          <w:p w14:paraId="22CEFBCB">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w:t>
            </w:r>
            <w:r>
              <w:rPr>
                <w:rFonts w:hint="eastAsia" w:ascii="宋体" w:hAnsi="宋体" w:cs="宋体"/>
                <w:b w:val="0"/>
                <w:bCs w:val="0"/>
                <w:color w:val="auto"/>
                <w:kern w:val="0"/>
                <w:szCs w:val="21"/>
                <w:highlight w:val="none"/>
                <w:lang w:val="en-US" w:eastAsia="zh-CN" w:bidi="ar"/>
              </w:rPr>
              <w:t>5</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系统提供：主题绘本，礼仪与安全，国学经典，幼儿才艺，剑桥主题英语，剑桥互动英语，经典童话故事，行为习惯故事，汉字速学速记，多元主题活动，潜能互动课程，手指操，蒙氏快乐阅读13类五大领域教育资源。</w:t>
            </w:r>
          </w:p>
          <w:p w14:paraId="0904FDCB">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val="en-US" w:eastAsia="zh-CN" w:bidi="ar"/>
              </w:rPr>
              <w:t>6</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提供配套的纸质绘本和电子课件，可以满足不同幼儿园教学需求。</w:t>
            </w:r>
          </w:p>
          <w:p w14:paraId="19C0092A">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w:t>
            </w:r>
            <w:r>
              <w:rPr>
                <w:rFonts w:hint="eastAsia" w:ascii="宋体" w:hAnsi="宋体" w:cs="宋体"/>
                <w:b w:val="0"/>
                <w:bCs w:val="0"/>
                <w:color w:val="auto"/>
                <w:kern w:val="0"/>
                <w:szCs w:val="21"/>
                <w:highlight w:val="none"/>
                <w:lang w:val="en-US" w:eastAsia="zh-CN" w:bidi="ar"/>
              </w:rPr>
              <w:t>7</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系统资源涉及到flash、swf、jpg、png、mp3、mp4共计6种媒体类型。幼教系统包含2900条以上1080P高清视频和高清动画资源，资源大小在45GB以上。</w:t>
            </w:r>
          </w:p>
          <w:p w14:paraId="336A9AB3">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val="en-US" w:eastAsia="zh-CN" w:bidi="ar"/>
              </w:rPr>
              <w:t>8</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软件具有白板软件功能，可以进行书写、擦除、重点标注等，且在重要知识点配备教参指导功能，方便老师教学。</w:t>
            </w:r>
          </w:p>
          <w:p w14:paraId="68324EC1">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val="en-US" w:eastAsia="zh-CN" w:bidi="ar"/>
              </w:rPr>
              <w:t>9</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软件应为单机安装版本，在无网情况下能正常使用。</w:t>
            </w:r>
          </w:p>
          <w:p w14:paraId="0752280F">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val="en-US" w:eastAsia="zh-CN" w:bidi="ar"/>
              </w:rPr>
              <w:t>10</w:t>
            </w:r>
            <w:r>
              <w:rPr>
                <w:rFonts w:hint="eastAsia" w:ascii="宋体" w:hAnsi="宋体" w:cs="宋体"/>
                <w:b w:val="0"/>
                <w:bCs w:val="0"/>
                <w:color w:val="auto"/>
                <w:kern w:val="0"/>
                <w:szCs w:val="21"/>
                <w:highlight w:val="none"/>
                <w:lang w:eastAsia="zh-CN" w:bidi="ar"/>
              </w:rPr>
              <w:t>、</w:t>
            </w:r>
            <w:r>
              <w:rPr>
                <w:rFonts w:hint="eastAsia" w:ascii="宋体" w:hAnsi="宋体" w:cs="宋体"/>
                <w:b w:val="0"/>
                <w:bCs w:val="0"/>
                <w:color w:val="auto"/>
                <w:kern w:val="0"/>
                <w:szCs w:val="21"/>
                <w:highlight w:val="none"/>
                <w:lang w:bidi="ar"/>
              </w:rPr>
              <w:t>软件安装便捷，可以一键式安装，用户完全可以实现自行安装。</w:t>
            </w:r>
          </w:p>
          <w:p w14:paraId="50C15EE5">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十、幼儿家校互动系统</w:t>
            </w:r>
          </w:p>
          <w:p w14:paraId="4534FAF2">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1、学生行为评价系统，集成三大功能模块：基础信息管理、课堂表现评价家校互联互通，功能及操作均统一在同一软件平台同一账号体系实现。</w:t>
            </w:r>
          </w:p>
          <w:p w14:paraId="37BC76A1">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2、支持 PC客户端、PC网页端、安卓移动终端、苹果移动终端登陆使用，且各个端的数据是互通的，方便老师随时随地对学生进行管理与评价。</w:t>
            </w:r>
          </w:p>
          <w:p w14:paraId="5060C9DE">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3、支持多个老师管理同一个班级，从而满足一个班级有班主任和多个任课老师的实际情况。</w:t>
            </w:r>
          </w:p>
          <w:p w14:paraId="7D6D2DE4">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4、支持邀请家长入班，使家长可查看到自己的孩子在学校的各种表现。</w:t>
            </w:r>
          </w:p>
          <w:p w14:paraId="78ED4373">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5、老师可通过移动端、PC端及网页端对学生、小组及班级进行行为评价，通过卡通游戏化的方式对学生进行表扬或提醒。</w:t>
            </w:r>
          </w:p>
          <w:p w14:paraId="2D2209F4">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6、支持查看课堂表现评价统计报表，按饼状图形式展现学生课堂表现情况，支持查看班级或学生个人的评价情况，并可具体查看到每一条评价的原因、对象、分值，便于老师做统计分析。</w:t>
            </w:r>
          </w:p>
          <w:p w14:paraId="7EAD2D46">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十一、幼儿多屏互动软件</w:t>
            </w:r>
          </w:p>
          <w:p w14:paraId="0063FF36">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1、Andriod4.0以上或IOS 6.0以上版本系统的移动终端，可与教学一体机实现无线连接，可对连接的设备进行密码的权限管理，支持二维码拍照自动连接服务器功能，无需手动设置网络，终端界面上主动监控并实时提示网络信号强度。</w:t>
            </w:r>
          </w:p>
          <w:p w14:paraId="72D4D08D">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2、可实现教学一体机与手持终端屏幕同步显示，且支持双屏同步操作、大小屏双向批注、擦除、截图功能。</w:t>
            </w:r>
          </w:p>
          <w:p w14:paraId="70D8D128">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3、支持模拟笔记本电脑触摸板功能，能够对智能平板进行远程控制，并有常用快键按键集成，如一键关闭窗口、一键切换窗口、一键回到桌面、一键打开键盘等。</w:t>
            </w:r>
          </w:p>
          <w:p w14:paraId="7CEBB78F">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4、双屏同步模式下支持多种手持终端的手势识别，包括单指点击、双指缩放、双指滚轮、三指漫游，支持远程聚光灯展示，可对屏幕演示内容进行聚光灯效果重点强调。</w:t>
            </w:r>
          </w:p>
          <w:p w14:paraId="0AE5C99A">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5、后台控制端采用B/S架构设计，可在Windows、Linux、Android、IOS等多种不同的操作系统上通过网页浏览器登陆进行操作，可控制在局域网或互联网内的一体机终端设备。</w:t>
            </w:r>
          </w:p>
          <w:p w14:paraId="0BA49FBA">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十二、售后服务要求</w:t>
            </w:r>
          </w:p>
          <w:p w14:paraId="39459ACA">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1、全国24小时免费400电话保修、二维码扫描保修、区域化驻地技术工程师专线保修；</w:t>
            </w:r>
          </w:p>
          <w:p w14:paraId="3B5DAAC1">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2、微信售后报修服务：快速输入相关问题及所在区域进行在线保修，贴心服务人员实时在线提供客服专线报修，更好更快的解决售后故障问题带来的使用不便；提供八大模块的问题查询及解决方案，现场完成简单故障的快速修复指导。</w:t>
            </w:r>
          </w:p>
          <w:p w14:paraId="18B637E0">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十三、其他要求</w:t>
            </w:r>
          </w:p>
          <w:p w14:paraId="3A53B0F0">
            <w:pPr>
              <w:keepNext w:val="0"/>
              <w:keepLines w:val="0"/>
              <w:pageBreakBefore w:val="0"/>
              <w:kinsoku/>
              <w:wordWrap/>
              <w:overflowPunct/>
              <w:topLinePunct w:val="0"/>
              <w:autoSpaceDE/>
              <w:autoSpaceDN/>
              <w:bidi w:val="0"/>
              <w:adjustRightInd/>
              <w:snapToGrid/>
              <w:spacing w:line="288" w:lineRule="auto"/>
              <w:jc w:val="left"/>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1、为确保货物质量及原厂品质，中标供应商在正式供货时必须提供生产厂家针对此项目的售后服务保证原件、供货证明原件，否则采购方将不予验收通过。</w:t>
            </w:r>
          </w:p>
          <w:p w14:paraId="062E3682">
            <w:pPr>
              <w:keepNext w:val="0"/>
              <w:keepLines w:val="0"/>
              <w:pageBreakBefore w:val="0"/>
              <w:kinsoku/>
              <w:wordWrap/>
              <w:overflowPunct/>
              <w:topLinePunct w:val="0"/>
              <w:autoSpaceDE/>
              <w:autoSpaceDN/>
              <w:bidi w:val="0"/>
              <w:adjustRightInd/>
              <w:snapToGrid/>
              <w:spacing w:line="288" w:lineRule="auto"/>
              <w:jc w:val="left"/>
              <w:rPr>
                <w:rFonts w:ascii="宋体" w:hAnsi="宋体" w:cs="宋体"/>
                <w:color w:val="auto"/>
                <w:szCs w:val="21"/>
                <w:highlight w:val="none"/>
              </w:rPr>
            </w:pPr>
            <w:r>
              <w:rPr>
                <w:rFonts w:hint="eastAsia" w:ascii="宋体" w:hAnsi="宋体" w:cs="宋体"/>
                <w:b w:val="0"/>
                <w:bCs w:val="0"/>
                <w:color w:val="auto"/>
                <w:kern w:val="0"/>
                <w:szCs w:val="21"/>
                <w:highlight w:val="none"/>
                <w:lang w:bidi="ar"/>
              </w:rPr>
              <w:t>2、“▲”号条款为重要技术参数，投标人必须满足否则中标无效。中标公示期内若有其他投标人质疑情况下，中标单位必须提供与标书技术要求及功能符合的全部样品一套至用户处进行整体性能与标书文件核对，协助质疑答复。</w:t>
            </w:r>
          </w:p>
        </w:tc>
      </w:tr>
      <w:tr w14:paraId="27B5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342212E4">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744" w:type="pct"/>
            <w:shd w:val="clear" w:color="auto" w:fill="auto"/>
            <w:vAlign w:val="center"/>
          </w:tcPr>
          <w:p w14:paraId="3ACB1125">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视频展台</w:t>
            </w:r>
          </w:p>
        </w:tc>
        <w:tc>
          <w:tcPr>
            <w:tcW w:w="476" w:type="pct"/>
            <w:shd w:val="clear" w:color="auto" w:fill="auto"/>
            <w:vAlign w:val="center"/>
          </w:tcPr>
          <w:p w14:paraId="4E8B8D6D">
            <w:pPr>
              <w:widowControl/>
              <w:jc w:val="center"/>
              <w:textAlignment w:val="top"/>
              <w:rPr>
                <w:rFonts w:ascii="宋体" w:hAnsi="宋体" w:cs="宋体"/>
                <w:color w:val="auto"/>
                <w:szCs w:val="21"/>
                <w:highlight w:val="none"/>
              </w:rPr>
            </w:pPr>
            <w:r>
              <w:rPr>
                <w:rFonts w:hint="eastAsia" w:ascii="宋体" w:hAnsi="宋体" w:cs="宋体"/>
                <w:color w:val="auto"/>
                <w:szCs w:val="21"/>
                <w:highlight w:val="none"/>
                <w:lang w:val="en-US" w:eastAsia="zh-CN"/>
              </w:rPr>
              <w:t>39</w:t>
            </w:r>
            <w:r>
              <w:rPr>
                <w:rFonts w:hint="eastAsia" w:ascii="宋体" w:hAnsi="宋体" w:cs="宋体"/>
                <w:color w:val="auto"/>
                <w:szCs w:val="21"/>
                <w:highlight w:val="none"/>
              </w:rPr>
              <w:t>台</w:t>
            </w:r>
          </w:p>
        </w:tc>
        <w:tc>
          <w:tcPr>
            <w:tcW w:w="388" w:type="pct"/>
            <w:shd w:val="clear" w:color="auto" w:fill="auto"/>
            <w:vAlign w:val="center"/>
          </w:tcPr>
          <w:p w14:paraId="7EE9CD05">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3056" w:type="pct"/>
            <w:shd w:val="clear" w:color="auto" w:fill="auto"/>
          </w:tcPr>
          <w:p w14:paraId="236E5C2F">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1、采用≥800万像素摄像头；采用 USB五伏电源直接供电，无需额外配置电源适配器，环保无辐射；箱内USB连线采用隐藏式设计，箱内无可见连线且USB口下出，有效防止积尘，且方便布线和返修。</w:t>
            </w:r>
          </w:p>
          <w:p w14:paraId="3DBE8E5B">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2、A4大小拍摄幅面，1080P动态视频预览达到30帧/秒；托板及挂墙部分采用金属加强，托板可承重3kg，整机壁挂式安装。</w:t>
            </w:r>
          </w:p>
          <w:p w14:paraId="14FC422F">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3、支持展台成像画面实时批注，预设多种笔划粗细及颜色供选择，且支持对展台成像画面</w:t>
            </w:r>
            <w:r>
              <w:rPr>
                <w:rFonts w:hint="eastAsia" w:ascii="宋体" w:hAnsi="宋体" w:cs="宋体"/>
                <w:b w:val="0"/>
                <w:bCs w:val="0"/>
                <w:color w:val="auto"/>
                <w:kern w:val="0"/>
                <w:szCs w:val="21"/>
                <w:highlight w:val="none"/>
                <w:lang w:val="en-US" w:eastAsia="zh-CN" w:bidi="ar"/>
              </w:rPr>
              <w:t>连</w:t>
            </w:r>
            <w:r>
              <w:rPr>
                <w:rFonts w:hint="eastAsia" w:ascii="宋体" w:hAnsi="宋体" w:cs="宋体"/>
                <w:b w:val="0"/>
                <w:bCs w:val="0"/>
                <w:color w:val="auto"/>
                <w:kern w:val="0"/>
                <w:szCs w:val="21"/>
                <w:highlight w:val="none"/>
                <w:lang w:bidi="ar"/>
              </w:rPr>
              <w:t>同批注内容进行同步缩放、移动。</w:t>
            </w:r>
          </w:p>
          <w:p w14:paraId="29536900">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cs="宋体"/>
                <w:b w:val="0"/>
                <w:bCs w:val="0"/>
                <w:color w:val="auto"/>
                <w:kern w:val="0"/>
                <w:szCs w:val="21"/>
                <w:highlight w:val="none"/>
                <w:lang w:bidi="ar"/>
              </w:rPr>
            </w:pPr>
            <w:r>
              <w:rPr>
                <w:rFonts w:hint="eastAsia" w:ascii="宋体" w:hAnsi="宋体" w:cs="宋体"/>
                <w:b w:val="0"/>
                <w:bCs w:val="0"/>
                <w:color w:val="auto"/>
                <w:kern w:val="0"/>
                <w:szCs w:val="21"/>
                <w:highlight w:val="none"/>
                <w:lang w:bidi="ar"/>
              </w:rPr>
              <w:t>4、展示托板正上方具备LED补光灯，保证展示区域的亮度及展示效果，补光灯开关采用触摸按键设计，同时可通过交互智能平板中的软件直接控制开关；带自动对焦摄像头。</w:t>
            </w:r>
          </w:p>
          <w:p w14:paraId="12E799B0">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ascii="宋体" w:hAnsi="宋体" w:cs="宋体"/>
                <w:color w:val="auto"/>
                <w:szCs w:val="21"/>
                <w:highlight w:val="none"/>
              </w:rPr>
            </w:pPr>
            <w:r>
              <w:rPr>
                <w:rFonts w:hint="eastAsia" w:ascii="宋体" w:hAnsi="宋体" w:cs="宋体"/>
                <w:b w:val="0"/>
                <w:bCs w:val="0"/>
                <w:color w:val="auto"/>
                <w:kern w:val="0"/>
                <w:szCs w:val="21"/>
                <w:highlight w:val="none"/>
                <w:lang w:bidi="ar"/>
              </w:rPr>
              <w:t>5、具有故障自动检测功能：在调用展台却无法出现镜头采集画面信号时，可自动出现检测链接，并给出导致性原因（如硬件连接、摄像头占用、配套软件版本等问题）。</w:t>
            </w:r>
          </w:p>
        </w:tc>
      </w:tr>
      <w:tr w14:paraId="6BAC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000" w:type="pct"/>
            <w:gridSpan w:val="5"/>
            <w:shd w:val="clear" w:color="auto" w:fill="auto"/>
            <w:vAlign w:val="center"/>
          </w:tcPr>
          <w:p w14:paraId="12872182">
            <w:pPr>
              <w:jc w:val="center"/>
              <w:rPr>
                <w:rFonts w:ascii="宋体" w:hAnsi="宋体" w:cs="宋体"/>
                <w:color w:val="auto"/>
                <w:szCs w:val="21"/>
                <w:highlight w:val="none"/>
              </w:rPr>
            </w:pPr>
            <w:r>
              <w:rPr>
                <w:rFonts w:hint="eastAsia" w:ascii="宋体" w:hAnsi="宋体" w:cs="宋体"/>
                <w:b/>
                <w:bCs/>
                <w:color w:val="auto"/>
                <w:sz w:val="28"/>
                <w:szCs w:val="28"/>
                <w:highlight w:val="none"/>
              </w:rPr>
              <w:t>二、学生床部分</w:t>
            </w:r>
          </w:p>
        </w:tc>
      </w:tr>
      <w:tr w14:paraId="2E6C1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1E584A27">
            <w:pPr>
              <w:widowControl/>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kern w:val="0"/>
                <w:szCs w:val="21"/>
                <w:highlight w:val="none"/>
                <w:lang w:val="en-US" w:eastAsia="zh-CN"/>
              </w:rPr>
              <w:t>3</w:t>
            </w:r>
          </w:p>
        </w:tc>
        <w:tc>
          <w:tcPr>
            <w:tcW w:w="744" w:type="pct"/>
            <w:shd w:val="clear" w:color="auto" w:fill="FFFFFF"/>
            <w:vAlign w:val="center"/>
          </w:tcPr>
          <w:p w14:paraId="5184877C">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方腿床</w:t>
            </w:r>
          </w:p>
        </w:tc>
        <w:tc>
          <w:tcPr>
            <w:tcW w:w="476" w:type="pct"/>
            <w:shd w:val="clear" w:color="auto" w:fill="FFFFFF"/>
            <w:vAlign w:val="center"/>
          </w:tcPr>
          <w:p w14:paraId="05F9AD4D">
            <w:pPr>
              <w:widowControl/>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00</w:t>
            </w:r>
            <w:r>
              <w:rPr>
                <w:rFonts w:hint="eastAsia" w:ascii="宋体" w:hAnsi="宋体" w:cs="宋体"/>
                <w:color w:val="auto"/>
                <w:szCs w:val="21"/>
                <w:highlight w:val="none"/>
                <w:lang w:val="en-US" w:eastAsia="zh-CN"/>
              </w:rPr>
              <w:t>位</w:t>
            </w:r>
          </w:p>
        </w:tc>
        <w:tc>
          <w:tcPr>
            <w:tcW w:w="388" w:type="pct"/>
            <w:shd w:val="clear" w:color="auto" w:fill="FFFFFF"/>
            <w:vAlign w:val="center"/>
          </w:tcPr>
          <w:p w14:paraId="60BCF300">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3056" w:type="pct"/>
            <w:shd w:val="clear" w:color="auto" w:fill="FFFFFF"/>
            <w:vAlign w:val="center"/>
          </w:tcPr>
          <w:p w14:paraId="4FD18D65">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一、</w:t>
            </w:r>
            <w:r>
              <w:rPr>
                <w:rFonts w:hint="eastAsia" w:ascii="宋体" w:hAnsi="宋体" w:cs="宋体"/>
                <w:b/>
                <w:bCs/>
                <w:color w:val="auto"/>
                <w:szCs w:val="21"/>
                <w:highlight w:val="none"/>
              </w:rPr>
              <w:t>技术要求及规格：</w:t>
            </w:r>
          </w:p>
          <w:p w14:paraId="7BC99FB5">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规格：</w:t>
            </w:r>
            <w:r>
              <w:rPr>
                <w:rFonts w:hint="eastAsia" w:ascii="宋体" w:hAnsi="宋体" w:cs="宋体"/>
                <w:color w:val="auto"/>
                <w:szCs w:val="21"/>
                <w:highlight w:val="none"/>
              </w:rPr>
              <w:t>140*130*77cm（3抽6床位）</w:t>
            </w:r>
            <w:r>
              <w:rPr>
                <w:rFonts w:hint="eastAsia" w:ascii="宋体" w:hAnsi="宋体" w:cs="宋体"/>
                <w:color w:val="auto"/>
                <w:szCs w:val="21"/>
                <w:highlight w:val="none"/>
                <w:lang w:eastAsia="zh-CN"/>
              </w:rPr>
              <w:t>；</w:t>
            </w:r>
          </w:p>
          <w:p w14:paraId="2D68E2EB">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整体规格：长宽高140*130*77cm（±10mm）；</w:t>
            </w:r>
          </w:p>
          <w:p w14:paraId="55BFB77D">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材质：实木樟子松，床立脚采用4*6cm实木樟子松，有效增加抗变形及抗压裂能力，床边采用3*7cm实木樟子松牢固耐用，最高层床边到扶手顶端33cm，其他床边到扶手(护栏)顶端25cm，标配10mm松木拼板透气不回潮，所有木料均经过刨光、砂光、倒角、圆角处理，油漆采用环保净味油漆，且甲醛释放量≤0.5mg/L。</w:t>
            </w:r>
          </w:p>
          <w:p w14:paraId="428F10BE">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结构：3层、推拉，所有床铺在侧面设置侧边梯。</w:t>
            </w:r>
          </w:p>
          <w:p w14:paraId="52150933">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所有床铺底部都要加装轮，方便移动。</w:t>
            </w:r>
          </w:p>
          <w:p w14:paraId="11482528">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床架安装稳定后使用钢制角码加固。</w:t>
            </w:r>
          </w:p>
        </w:tc>
      </w:tr>
      <w:tr w14:paraId="6CEA4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0D30F378">
            <w:pPr>
              <w:widowControl/>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kern w:val="0"/>
                <w:szCs w:val="21"/>
                <w:highlight w:val="none"/>
                <w:lang w:val="en-US" w:eastAsia="zh-CN"/>
              </w:rPr>
              <w:t>4</w:t>
            </w:r>
          </w:p>
        </w:tc>
        <w:tc>
          <w:tcPr>
            <w:tcW w:w="744" w:type="pct"/>
            <w:shd w:val="clear" w:color="auto" w:fill="FFFFFF"/>
            <w:vAlign w:val="center"/>
          </w:tcPr>
          <w:p w14:paraId="11197780">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书包鞋柜</w:t>
            </w:r>
          </w:p>
        </w:tc>
        <w:tc>
          <w:tcPr>
            <w:tcW w:w="476" w:type="pct"/>
            <w:shd w:val="clear" w:color="auto" w:fill="auto"/>
            <w:vAlign w:val="center"/>
          </w:tcPr>
          <w:p w14:paraId="2DB019A1">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108个</w:t>
            </w:r>
          </w:p>
        </w:tc>
        <w:tc>
          <w:tcPr>
            <w:tcW w:w="388" w:type="pct"/>
            <w:shd w:val="clear" w:color="auto" w:fill="FFFFFF"/>
            <w:vAlign w:val="center"/>
          </w:tcPr>
          <w:p w14:paraId="0FDA671B">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3056" w:type="pct"/>
            <w:shd w:val="clear" w:color="auto" w:fill="FFFFFF"/>
            <w:vAlign w:val="center"/>
          </w:tcPr>
          <w:p w14:paraId="305FBA6A">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规格：120*30*120cm，±0.5cm</w:t>
            </w:r>
          </w:p>
          <w:p w14:paraId="151B0883">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1.材质：采用AA级橡胶木板材，厚度不低于1.6cm；</w:t>
            </w:r>
          </w:p>
          <w:p w14:paraId="714ED0EB">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2.涂层：环保水性漆，三底两面喷涂工艺；</w:t>
            </w:r>
          </w:p>
          <w:p w14:paraId="13876549">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结构：两层结构，顶部为双层12格书包柜，每格上部装有延板，用于张贴小朋友身份标识，底部为双层四格鞋柜，背板四周扣槽式安装，内嵌无裸露，柜子底部踢脚板设计，结构合理稳定，隔板采用负离子板材；</w:t>
            </w:r>
          </w:p>
          <w:p w14:paraId="6E5CCD7B">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ascii="宋体" w:hAnsi="宋体" w:cs="宋体"/>
                <w:color w:val="auto"/>
                <w:szCs w:val="21"/>
                <w:highlight w:val="none"/>
              </w:rPr>
            </w:pPr>
            <w:r>
              <w:rPr>
                <w:rFonts w:hint="eastAsia" w:ascii="宋体" w:hAnsi="宋体" w:cs="宋体"/>
                <w:color w:val="auto"/>
                <w:kern w:val="0"/>
                <w:szCs w:val="21"/>
                <w:highlight w:val="none"/>
              </w:rPr>
              <w:t>4.整体：外表面和内表面以及儿童手指可触及的隐蔽处，均无锐利的棱角、毛刺以及五金部件露出的锐利尖端，所有接触人体的边棱均为倒圆角。</w:t>
            </w:r>
          </w:p>
        </w:tc>
      </w:tr>
      <w:tr w14:paraId="2773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5000" w:type="pct"/>
            <w:gridSpan w:val="5"/>
            <w:shd w:val="clear" w:color="auto" w:fill="auto"/>
            <w:vAlign w:val="center"/>
          </w:tcPr>
          <w:p w14:paraId="58BC12C0">
            <w:pPr>
              <w:jc w:val="center"/>
              <w:rPr>
                <w:rFonts w:ascii="宋体" w:hAnsi="宋体" w:cs="宋体"/>
                <w:color w:val="auto"/>
                <w:szCs w:val="21"/>
                <w:highlight w:val="none"/>
              </w:rPr>
            </w:pPr>
            <w:r>
              <w:rPr>
                <w:rFonts w:hint="eastAsia" w:ascii="宋体" w:hAnsi="宋体" w:cs="宋体"/>
                <w:b/>
                <w:bCs/>
                <w:color w:val="auto"/>
                <w:kern w:val="0"/>
                <w:sz w:val="32"/>
                <w:szCs w:val="32"/>
                <w:highlight w:val="none"/>
                <w:lang w:bidi="ar"/>
              </w:rPr>
              <w:t>三、课桌椅部分</w:t>
            </w:r>
          </w:p>
        </w:tc>
      </w:tr>
      <w:tr w14:paraId="3814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333" w:type="pct"/>
            <w:shd w:val="clear" w:color="auto" w:fill="auto"/>
            <w:vAlign w:val="center"/>
          </w:tcPr>
          <w:p w14:paraId="79E2F4CE">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744" w:type="pct"/>
            <w:shd w:val="clear" w:color="auto" w:fill="auto"/>
            <w:vAlign w:val="center"/>
          </w:tcPr>
          <w:p w14:paraId="2C6C0629">
            <w:pPr>
              <w:widowControl/>
              <w:tabs>
                <w:tab w:val="left" w:pos="572"/>
              </w:tabs>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幼儿桌</w:t>
            </w:r>
          </w:p>
        </w:tc>
        <w:tc>
          <w:tcPr>
            <w:tcW w:w="476" w:type="pct"/>
            <w:shd w:val="clear" w:color="auto" w:fill="auto"/>
            <w:vAlign w:val="center"/>
          </w:tcPr>
          <w:p w14:paraId="2C020E3E">
            <w:pPr>
              <w:widowControl/>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204张</w:t>
            </w:r>
          </w:p>
        </w:tc>
        <w:tc>
          <w:tcPr>
            <w:tcW w:w="388" w:type="pct"/>
            <w:shd w:val="clear" w:color="auto" w:fill="auto"/>
            <w:vAlign w:val="center"/>
          </w:tcPr>
          <w:p w14:paraId="2E7F837D">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3056" w:type="pct"/>
            <w:shd w:val="clear" w:color="auto" w:fill="auto"/>
            <w:vAlign w:val="center"/>
          </w:tcPr>
          <w:p w14:paraId="77A65A7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规格：120*60*52cm，±0.5cm</w:t>
            </w:r>
          </w:p>
          <w:p w14:paraId="42AE1B2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1.材质：橡胶木；</w:t>
            </w:r>
          </w:p>
          <w:p w14:paraId="7BE0E26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2.涂层：环保水性清漆；</w:t>
            </w:r>
          </w:p>
          <w:p w14:paraId="12D74C2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3.结构：桌面厚度2.0cm，采用4.8*4.8cm的桌腿，整体高度52cm，结构更加稳固；</w:t>
            </w:r>
          </w:p>
          <w:p w14:paraId="036FAE7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4.五金件：桌面与桌腿选用优质五金件-螺丝链接；</w:t>
            </w:r>
          </w:p>
          <w:p w14:paraId="74C381F6">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5.脚垫：桌腿底部配以TPR脚垫。</w:t>
            </w:r>
          </w:p>
        </w:tc>
      </w:tr>
      <w:tr w14:paraId="1BD2B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1088874D">
            <w:pPr>
              <w:widowControl/>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kern w:val="0"/>
                <w:szCs w:val="21"/>
                <w:highlight w:val="none"/>
                <w:lang w:val="en-US" w:eastAsia="zh-CN" w:bidi="ar"/>
              </w:rPr>
              <w:t>6</w:t>
            </w:r>
          </w:p>
        </w:tc>
        <w:tc>
          <w:tcPr>
            <w:tcW w:w="744" w:type="pct"/>
            <w:shd w:val="clear" w:color="auto" w:fill="auto"/>
            <w:vAlign w:val="center"/>
          </w:tcPr>
          <w:p w14:paraId="6E60CEB9">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幼儿椅</w:t>
            </w:r>
          </w:p>
        </w:tc>
        <w:tc>
          <w:tcPr>
            <w:tcW w:w="476" w:type="pct"/>
            <w:shd w:val="clear" w:color="auto" w:fill="auto"/>
            <w:vAlign w:val="center"/>
          </w:tcPr>
          <w:p w14:paraId="4930E2BC">
            <w:pPr>
              <w:widowControl/>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1200把</w:t>
            </w:r>
          </w:p>
        </w:tc>
        <w:tc>
          <w:tcPr>
            <w:tcW w:w="388" w:type="pct"/>
            <w:shd w:val="clear" w:color="auto" w:fill="auto"/>
            <w:vAlign w:val="center"/>
          </w:tcPr>
          <w:p w14:paraId="1A2DBC50">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3056" w:type="pct"/>
            <w:shd w:val="clear" w:color="auto" w:fill="auto"/>
            <w:vAlign w:val="center"/>
          </w:tcPr>
          <w:p w14:paraId="619EEF0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规格：29*29*52cm，±0.5cm，坐高27.5cm。</w:t>
            </w:r>
          </w:p>
          <w:p w14:paraId="3233BD0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1.材质：座面采用橡胶木板材，椅腿采用松木；</w:t>
            </w:r>
          </w:p>
          <w:p w14:paraId="3A4A52B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2.涂层：环保水性清漆；</w:t>
            </w:r>
          </w:p>
          <w:p w14:paraId="02419AE1">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3.结构：座面为圆弧状，圆角倒棱，椅腿为2.2*4.5cm的松木腿，靠背带有卡通样式，增加趣味性的同时方便手拉移动；</w:t>
            </w:r>
          </w:p>
        </w:tc>
      </w:tr>
      <w:tr w14:paraId="7840C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3C8E7127">
            <w:pPr>
              <w:widowControl/>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kern w:val="0"/>
                <w:szCs w:val="21"/>
                <w:highlight w:val="none"/>
                <w:lang w:val="en-US" w:eastAsia="zh-CN" w:bidi="ar"/>
              </w:rPr>
              <w:t>7</w:t>
            </w:r>
          </w:p>
        </w:tc>
        <w:tc>
          <w:tcPr>
            <w:tcW w:w="744" w:type="pct"/>
            <w:shd w:val="clear" w:color="auto" w:fill="auto"/>
            <w:vAlign w:val="center"/>
          </w:tcPr>
          <w:p w14:paraId="2D4138BA">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单面图书架</w:t>
            </w:r>
          </w:p>
        </w:tc>
        <w:tc>
          <w:tcPr>
            <w:tcW w:w="476" w:type="pct"/>
            <w:shd w:val="clear" w:color="auto" w:fill="auto"/>
            <w:vAlign w:val="center"/>
          </w:tcPr>
          <w:p w14:paraId="2DF81C9A">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36个</w:t>
            </w:r>
          </w:p>
        </w:tc>
        <w:tc>
          <w:tcPr>
            <w:tcW w:w="388" w:type="pct"/>
            <w:shd w:val="clear" w:color="auto" w:fill="auto"/>
            <w:vAlign w:val="center"/>
          </w:tcPr>
          <w:p w14:paraId="2F29BCCF">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3056" w:type="pct"/>
            <w:shd w:val="clear" w:color="auto" w:fill="auto"/>
            <w:vAlign w:val="center"/>
          </w:tcPr>
          <w:p w14:paraId="3CB2B8B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规格：80*40*90cm，±0.5cm</w:t>
            </w:r>
          </w:p>
          <w:p w14:paraId="3ACDEDC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1.材质：采用AA级橡胶木板材，厚度不低于1.6cm；</w:t>
            </w:r>
          </w:p>
          <w:p w14:paraId="1A3CDB5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2.涂层：环保水性漆，三底两面喷涂工艺；</w:t>
            </w:r>
          </w:p>
          <w:p w14:paraId="6D8513A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3.结构：上下四层，层次分明，书架四周全部圆弧倒角；</w:t>
            </w:r>
          </w:p>
          <w:p w14:paraId="39F81802">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4.脚垫：贴地处装有塑料脚垫；</w:t>
            </w:r>
          </w:p>
        </w:tc>
      </w:tr>
      <w:tr w14:paraId="252F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69AF77FB">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kern w:val="0"/>
                <w:szCs w:val="21"/>
                <w:highlight w:val="none"/>
                <w:lang w:val="en-US" w:eastAsia="zh-CN" w:bidi="ar"/>
              </w:rPr>
              <w:t>8</w:t>
            </w:r>
          </w:p>
        </w:tc>
        <w:tc>
          <w:tcPr>
            <w:tcW w:w="744" w:type="pct"/>
            <w:shd w:val="clear" w:color="auto" w:fill="auto"/>
            <w:vAlign w:val="center"/>
          </w:tcPr>
          <w:p w14:paraId="3AAF25E8">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标准六格柜</w:t>
            </w:r>
          </w:p>
        </w:tc>
        <w:tc>
          <w:tcPr>
            <w:tcW w:w="476" w:type="pct"/>
            <w:shd w:val="clear" w:color="auto" w:fill="auto"/>
            <w:vAlign w:val="center"/>
          </w:tcPr>
          <w:p w14:paraId="0316DE4E">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36个</w:t>
            </w:r>
          </w:p>
        </w:tc>
        <w:tc>
          <w:tcPr>
            <w:tcW w:w="388" w:type="pct"/>
            <w:shd w:val="clear" w:color="auto" w:fill="auto"/>
            <w:vAlign w:val="center"/>
          </w:tcPr>
          <w:p w14:paraId="679F093D">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3056" w:type="pct"/>
            <w:shd w:val="clear" w:color="auto" w:fill="auto"/>
            <w:vAlign w:val="center"/>
          </w:tcPr>
          <w:p w14:paraId="36B14E6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规格：120*30*80cm，±0.5cm</w:t>
            </w:r>
          </w:p>
          <w:p w14:paraId="48A426B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1.材质：采用橡胶木板材，厚度不低于1.6cm</w:t>
            </w:r>
          </w:p>
          <w:p w14:paraId="469563A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2.涂层：环保水性漆，三底两面喷涂工艺；</w:t>
            </w:r>
          </w:p>
          <w:p w14:paraId="5CE0587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3.结构：三层六格结构，底部采用踢脚板加固；</w:t>
            </w:r>
          </w:p>
          <w:p w14:paraId="20244813">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4.脚垫：贴地处装有塑料脚垫；</w:t>
            </w:r>
          </w:p>
        </w:tc>
      </w:tr>
      <w:tr w14:paraId="5229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3" w:type="pct"/>
            <w:shd w:val="clear" w:color="auto" w:fill="auto"/>
            <w:vAlign w:val="center"/>
          </w:tcPr>
          <w:p w14:paraId="2974D70E">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kern w:val="0"/>
                <w:szCs w:val="21"/>
                <w:highlight w:val="none"/>
                <w:lang w:val="en-US" w:eastAsia="zh-CN" w:bidi="ar"/>
              </w:rPr>
              <w:t>9</w:t>
            </w:r>
          </w:p>
        </w:tc>
        <w:tc>
          <w:tcPr>
            <w:tcW w:w="744" w:type="pct"/>
            <w:shd w:val="clear" w:color="auto" w:fill="auto"/>
            <w:vAlign w:val="center"/>
          </w:tcPr>
          <w:p w14:paraId="25925977">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标准三格柜</w:t>
            </w:r>
          </w:p>
        </w:tc>
        <w:tc>
          <w:tcPr>
            <w:tcW w:w="476" w:type="pct"/>
            <w:shd w:val="clear" w:color="auto" w:fill="auto"/>
            <w:vAlign w:val="center"/>
          </w:tcPr>
          <w:p w14:paraId="025CAAF4">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144个</w:t>
            </w:r>
          </w:p>
        </w:tc>
        <w:tc>
          <w:tcPr>
            <w:tcW w:w="388" w:type="pct"/>
            <w:shd w:val="clear" w:color="auto" w:fill="auto"/>
            <w:vAlign w:val="center"/>
          </w:tcPr>
          <w:p w14:paraId="29669A5C">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3056" w:type="pct"/>
            <w:shd w:val="clear" w:color="auto" w:fill="auto"/>
            <w:vAlign w:val="center"/>
          </w:tcPr>
          <w:p w14:paraId="689B4D6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规格：120*30*80cm，±0.5cm</w:t>
            </w:r>
          </w:p>
          <w:p w14:paraId="6A8C640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1.材质：采用橡胶木板材，厚度不低于1.6cm</w:t>
            </w:r>
          </w:p>
          <w:p w14:paraId="63C4BEA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2.涂层：环保水性漆，三底两面喷涂工艺；</w:t>
            </w:r>
          </w:p>
          <w:p w14:paraId="73C73BD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3.结构：上下三层结构，柜体采用踢脚板加固；</w:t>
            </w:r>
          </w:p>
          <w:p w14:paraId="360CDD1E">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4.脚垫：贴地处装有塑料脚垫；</w:t>
            </w:r>
          </w:p>
        </w:tc>
      </w:tr>
      <w:tr w14:paraId="496F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3" w:type="pct"/>
            <w:shd w:val="clear" w:color="auto" w:fill="auto"/>
            <w:vAlign w:val="center"/>
          </w:tcPr>
          <w:p w14:paraId="6DD972F3">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kern w:val="0"/>
                <w:szCs w:val="21"/>
                <w:highlight w:val="none"/>
                <w:lang w:val="en-US" w:eastAsia="zh-CN" w:bidi="ar"/>
              </w:rPr>
              <w:t>10</w:t>
            </w:r>
          </w:p>
        </w:tc>
        <w:tc>
          <w:tcPr>
            <w:tcW w:w="744" w:type="pct"/>
            <w:shd w:val="clear" w:color="auto" w:fill="auto"/>
            <w:vAlign w:val="center"/>
          </w:tcPr>
          <w:p w14:paraId="377A6567">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双开门口杯架</w:t>
            </w:r>
          </w:p>
        </w:tc>
        <w:tc>
          <w:tcPr>
            <w:tcW w:w="476" w:type="pct"/>
            <w:shd w:val="clear" w:color="auto" w:fill="auto"/>
            <w:vAlign w:val="center"/>
          </w:tcPr>
          <w:p w14:paraId="2E4590B3">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36个</w:t>
            </w:r>
          </w:p>
        </w:tc>
        <w:tc>
          <w:tcPr>
            <w:tcW w:w="388" w:type="pct"/>
            <w:shd w:val="clear" w:color="auto" w:fill="auto"/>
            <w:vAlign w:val="center"/>
          </w:tcPr>
          <w:p w14:paraId="5FBDF5E0">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3056" w:type="pct"/>
            <w:shd w:val="clear" w:color="auto" w:fill="auto"/>
            <w:vAlign w:val="center"/>
          </w:tcPr>
          <w:p w14:paraId="3C16FA7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规格：100*30*120cm，±0.5cm</w:t>
            </w:r>
          </w:p>
          <w:p w14:paraId="40095BB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1.材质：采用AA级橡胶木板材，厚度不低于1.6cm；</w:t>
            </w:r>
          </w:p>
          <w:p w14:paraId="2E8C7A1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2.涂层：环保水性清漆，三底两面喷涂工艺；</w:t>
            </w:r>
          </w:p>
          <w:p w14:paraId="60960D2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3.结构：产品上下分为6层，每层可存放7个，两边用两个小木条隔开，可容纳42个水杯的空间，底部为两格抽屉，方便存放临时用品，要求后背板安装时四周扣槽，四角无裸露全部圆弧倒角，保证安全。</w:t>
            </w:r>
          </w:p>
          <w:p w14:paraId="2C3425DA">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4.整体：稳固承重，环保材质</w:t>
            </w:r>
            <w:r>
              <w:rPr>
                <w:rFonts w:hint="eastAsia" w:ascii="宋体" w:hAnsi="宋体" w:cs="宋体"/>
                <w:color w:val="auto"/>
                <w:szCs w:val="21"/>
                <w:highlight w:val="none"/>
                <w:lang w:eastAsia="zh-CN"/>
              </w:rPr>
              <w:t>；</w:t>
            </w:r>
          </w:p>
        </w:tc>
      </w:tr>
      <w:tr w14:paraId="6047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3" w:type="pct"/>
            <w:shd w:val="clear" w:color="auto" w:fill="auto"/>
            <w:vAlign w:val="center"/>
          </w:tcPr>
          <w:p w14:paraId="3933867C">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kern w:val="0"/>
                <w:szCs w:val="21"/>
                <w:highlight w:val="none"/>
                <w:lang w:val="en-US" w:eastAsia="zh-CN" w:bidi="ar"/>
              </w:rPr>
              <w:t>11</w:t>
            </w:r>
          </w:p>
        </w:tc>
        <w:tc>
          <w:tcPr>
            <w:tcW w:w="744" w:type="pct"/>
            <w:shd w:val="clear" w:color="auto" w:fill="auto"/>
            <w:vAlign w:val="center"/>
          </w:tcPr>
          <w:p w14:paraId="5C6F49BC">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双面毛巾架</w:t>
            </w:r>
          </w:p>
        </w:tc>
        <w:tc>
          <w:tcPr>
            <w:tcW w:w="476" w:type="pct"/>
            <w:shd w:val="clear" w:color="auto" w:fill="auto"/>
            <w:vAlign w:val="center"/>
          </w:tcPr>
          <w:p w14:paraId="722C29BD">
            <w:pPr>
              <w:widowControl/>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36个</w:t>
            </w:r>
          </w:p>
        </w:tc>
        <w:tc>
          <w:tcPr>
            <w:tcW w:w="388" w:type="pct"/>
            <w:shd w:val="clear" w:color="auto" w:fill="auto"/>
            <w:vAlign w:val="center"/>
          </w:tcPr>
          <w:p w14:paraId="2160C860">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3056" w:type="pct"/>
            <w:shd w:val="clear" w:color="auto" w:fill="auto"/>
            <w:vAlign w:val="center"/>
          </w:tcPr>
          <w:p w14:paraId="513B4F8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规格：110*40*100cm，±0.5cm</w:t>
            </w:r>
          </w:p>
          <w:p w14:paraId="508BB97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1.材质：采用橡胶木板材，厚度不低于1.6cm</w:t>
            </w:r>
          </w:p>
          <w:p w14:paraId="282E02A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2.涂层：环保水性漆，三底两面喷涂工艺，</w:t>
            </w:r>
          </w:p>
          <w:p w14:paraId="07F8DF9C">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3.结构：产品上下分为4层，每层可悬挂10</w:t>
            </w:r>
            <w:r>
              <w:rPr>
                <w:rFonts w:hint="eastAsia" w:ascii="宋体" w:hAnsi="宋体" w:cs="宋体"/>
                <w:color w:val="auto"/>
                <w:szCs w:val="21"/>
                <w:highlight w:val="none"/>
                <w:lang w:val="en-US" w:eastAsia="zh-CN"/>
              </w:rPr>
              <w:t>条</w:t>
            </w:r>
            <w:r>
              <w:rPr>
                <w:rFonts w:hint="eastAsia" w:ascii="宋体" w:hAnsi="宋体" w:cs="宋体"/>
                <w:color w:val="auto"/>
                <w:szCs w:val="21"/>
                <w:highlight w:val="none"/>
              </w:rPr>
              <w:t>毛巾，可供40个孩子使用，四周全部圆弧倒角，保证安全</w:t>
            </w:r>
            <w:r>
              <w:rPr>
                <w:rFonts w:hint="eastAsia" w:ascii="宋体" w:hAnsi="宋体" w:cs="宋体"/>
                <w:color w:val="auto"/>
                <w:szCs w:val="21"/>
                <w:highlight w:val="none"/>
                <w:lang w:eastAsia="zh-CN"/>
              </w:rPr>
              <w:t>。</w:t>
            </w:r>
          </w:p>
        </w:tc>
      </w:tr>
      <w:tr w14:paraId="0B0E0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000" w:type="pct"/>
            <w:gridSpan w:val="5"/>
            <w:shd w:val="clear" w:color="auto" w:fill="auto"/>
            <w:vAlign w:val="center"/>
          </w:tcPr>
          <w:p w14:paraId="055DC62A">
            <w:pPr>
              <w:jc w:val="center"/>
              <w:rPr>
                <w:rFonts w:ascii="宋体" w:hAnsi="宋体" w:cs="宋体"/>
                <w:color w:val="auto"/>
                <w:szCs w:val="21"/>
                <w:highlight w:val="none"/>
              </w:rPr>
            </w:pPr>
            <w:r>
              <w:rPr>
                <w:rFonts w:hint="eastAsia" w:ascii="宋体" w:hAnsi="宋体" w:cs="宋体"/>
                <w:b/>
                <w:bCs/>
                <w:color w:val="auto"/>
                <w:kern w:val="0"/>
                <w:sz w:val="32"/>
                <w:szCs w:val="32"/>
                <w:highlight w:val="none"/>
                <w:lang w:bidi="ar"/>
              </w:rPr>
              <w:t>四、安防系统部分</w:t>
            </w:r>
          </w:p>
        </w:tc>
      </w:tr>
      <w:tr w14:paraId="30C3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5000" w:type="pct"/>
            <w:gridSpan w:val="5"/>
            <w:shd w:val="clear" w:color="auto" w:fill="auto"/>
            <w:vAlign w:val="center"/>
          </w:tcPr>
          <w:p w14:paraId="3DABCCC3">
            <w:pPr>
              <w:jc w:val="left"/>
              <w:rPr>
                <w:rFonts w:hint="eastAsia" w:ascii="宋体" w:hAnsi="宋体" w:cs="宋体"/>
                <w:b/>
                <w:bCs/>
                <w:color w:val="auto"/>
                <w:kern w:val="0"/>
                <w:sz w:val="32"/>
                <w:szCs w:val="32"/>
                <w:highlight w:val="none"/>
                <w:lang w:bidi="ar"/>
              </w:rPr>
            </w:pPr>
            <w:r>
              <w:rPr>
                <w:rFonts w:hint="eastAsia" w:ascii="宋体" w:hAnsi="宋体" w:cs="宋体"/>
                <w:b/>
                <w:bCs/>
                <w:color w:val="auto"/>
                <w:kern w:val="0"/>
                <w:sz w:val="24"/>
                <w:szCs w:val="24"/>
                <w:highlight w:val="none"/>
                <w:lang w:bidi="ar"/>
              </w:rPr>
              <w:t>一）、视频监控系统</w:t>
            </w:r>
          </w:p>
        </w:tc>
      </w:tr>
      <w:tr w14:paraId="72C5E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7C2A8214">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12</w:t>
            </w:r>
          </w:p>
        </w:tc>
        <w:tc>
          <w:tcPr>
            <w:tcW w:w="744" w:type="pct"/>
            <w:shd w:val="clear" w:color="auto" w:fill="FFFFFF"/>
            <w:vAlign w:val="center"/>
          </w:tcPr>
          <w:p w14:paraId="4428C6E5">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200万红外定网络摄像机</w:t>
            </w:r>
          </w:p>
        </w:tc>
        <w:tc>
          <w:tcPr>
            <w:tcW w:w="476" w:type="pct"/>
            <w:shd w:val="clear" w:color="auto" w:fill="FFFFFF"/>
            <w:vAlign w:val="center"/>
          </w:tcPr>
          <w:p w14:paraId="3072CC26">
            <w:pPr>
              <w:widowControl/>
              <w:jc w:val="center"/>
              <w:textAlignment w:val="center"/>
              <w:rPr>
                <w:rFonts w:hint="default" w:ascii="宋体" w:eastAsia="宋体" w:cs="宋体"/>
                <w:color w:val="auto"/>
                <w:szCs w:val="21"/>
                <w:highlight w:val="none"/>
                <w:lang w:val="en-US" w:eastAsia="zh-CN"/>
              </w:rPr>
            </w:pPr>
            <w:r>
              <w:rPr>
                <w:rFonts w:hint="eastAsia" w:ascii="宋体" w:cs="宋体"/>
                <w:color w:val="auto"/>
                <w:szCs w:val="21"/>
                <w:highlight w:val="none"/>
                <w:lang w:val="en-US" w:eastAsia="zh-CN"/>
              </w:rPr>
              <w:t>150个</w:t>
            </w:r>
          </w:p>
        </w:tc>
        <w:tc>
          <w:tcPr>
            <w:tcW w:w="388" w:type="pct"/>
            <w:shd w:val="clear" w:color="auto" w:fill="FFFFFF"/>
            <w:vAlign w:val="center"/>
          </w:tcPr>
          <w:p w14:paraId="16555815">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3056" w:type="pct"/>
            <w:shd w:val="clear" w:color="auto" w:fill="FFFFFF"/>
            <w:vAlign w:val="center"/>
          </w:tcPr>
          <w:p w14:paraId="2BE8F14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传感器类型：1/2.8英寸CMOS；</w:t>
            </w:r>
          </w:p>
          <w:p w14:paraId="7FDDBCB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像素：200万；</w:t>
            </w:r>
          </w:p>
          <w:p w14:paraId="1DD9C07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最大分辨率：1920×1080；</w:t>
            </w:r>
          </w:p>
          <w:p w14:paraId="12D66B7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最低照度：0.01lux（彩色模式）；0.001lux（黑白模式）；0lux（补光灯开启）；</w:t>
            </w:r>
          </w:p>
          <w:p w14:paraId="71FDE4F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最大补光距离：50m（红外）；</w:t>
            </w:r>
          </w:p>
          <w:p w14:paraId="1CA3880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补光灯：2颗（红外灯）；</w:t>
            </w:r>
          </w:p>
          <w:p w14:paraId="0EAC82A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镜头类型：定焦；</w:t>
            </w:r>
          </w:p>
          <w:p w14:paraId="191D8BC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镜头焦距：3.6mm；</w:t>
            </w:r>
          </w:p>
          <w:p w14:paraId="050DC6A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镜头光圈：F2.0；</w:t>
            </w:r>
          </w:p>
          <w:p w14:paraId="477D0E7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视场角：水平：83°；垂直：44°；对角：99°；</w:t>
            </w:r>
          </w:p>
          <w:p w14:paraId="1DC6E8E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智能编码：H.264:支持</w:t>
            </w:r>
            <w:r>
              <w:rPr>
                <w:rFonts w:hint="eastAsia" w:ascii="宋体" w:hAnsi="宋体" w:cs="宋体"/>
                <w:color w:val="auto"/>
                <w:szCs w:val="21"/>
                <w:highlight w:val="none"/>
                <w:lang w:eastAsia="zh-CN"/>
              </w:rPr>
              <w:t>；</w:t>
            </w:r>
            <w:r>
              <w:rPr>
                <w:rFonts w:hint="eastAsia" w:ascii="宋体" w:hAnsi="宋体" w:cs="宋体"/>
                <w:color w:val="auto"/>
                <w:szCs w:val="21"/>
                <w:highlight w:val="none"/>
              </w:rPr>
              <w:t>H.265:支持；</w:t>
            </w:r>
          </w:p>
          <w:p w14:paraId="6AFCD8E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宽动态：支持；</w:t>
            </w:r>
          </w:p>
          <w:p w14:paraId="1CEF793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走廊模式：90°/270°（在1080P分辨率及以下支持）；</w:t>
            </w:r>
          </w:p>
          <w:p w14:paraId="02E50A9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报警事件：网络断开</w:t>
            </w:r>
            <w:r>
              <w:rPr>
                <w:rFonts w:hint="eastAsia" w:ascii="宋体" w:hAnsi="宋体" w:cs="宋体"/>
                <w:color w:val="auto"/>
                <w:szCs w:val="21"/>
                <w:highlight w:val="none"/>
                <w:lang w:eastAsia="zh-CN"/>
              </w:rPr>
              <w:t>；</w:t>
            </w:r>
            <w:r>
              <w:rPr>
                <w:rFonts w:hint="eastAsia" w:ascii="宋体" w:hAnsi="宋体" w:cs="宋体"/>
                <w:color w:val="auto"/>
                <w:szCs w:val="21"/>
                <w:highlight w:val="none"/>
              </w:rPr>
              <w:t>IP冲突</w:t>
            </w:r>
            <w:r>
              <w:rPr>
                <w:rFonts w:hint="eastAsia" w:ascii="宋体" w:hAnsi="宋体" w:cs="宋体"/>
                <w:color w:val="auto"/>
                <w:szCs w:val="21"/>
                <w:highlight w:val="none"/>
                <w:lang w:eastAsia="zh-CN"/>
              </w:rPr>
              <w:t>；</w:t>
            </w:r>
            <w:r>
              <w:rPr>
                <w:rFonts w:hint="eastAsia" w:ascii="宋体" w:hAnsi="宋体" w:cs="宋体"/>
                <w:color w:val="auto"/>
                <w:szCs w:val="21"/>
                <w:highlight w:val="none"/>
              </w:rPr>
              <w:t>非法访问</w:t>
            </w:r>
            <w:r>
              <w:rPr>
                <w:rFonts w:hint="eastAsia" w:ascii="宋体" w:hAnsi="宋体" w:cs="宋体"/>
                <w:color w:val="auto"/>
                <w:szCs w:val="21"/>
                <w:highlight w:val="none"/>
                <w:lang w:eastAsia="zh-CN"/>
              </w:rPr>
              <w:t>；</w:t>
            </w:r>
            <w:r>
              <w:rPr>
                <w:rFonts w:hint="eastAsia" w:ascii="宋体" w:hAnsi="宋体" w:cs="宋体"/>
                <w:color w:val="auto"/>
                <w:szCs w:val="21"/>
                <w:highlight w:val="none"/>
              </w:rPr>
              <w:t>动态检测</w:t>
            </w:r>
            <w:r>
              <w:rPr>
                <w:rFonts w:hint="eastAsia" w:ascii="宋体" w:hAnsi="宋体" w:cs="宋体"/>
                <w:color w:val="auto"/>
                <w:szCs w:val="21"/>
                <w:highlight w:val="none"/>
                <w:lang w:eastAsia="zh-CN"/>
              </w:rPr>
              <w:t>；</w:t>
            </w:r>
            <w:r>
              <w:rPr>
                <w:rFonts w:hint="eastAsia" w:ascii="宋体" w:hAnsi="宋体" w:cs="宋体"/>
                <w:color w:val="auto"/>
                <w:szCs w:val="21"/>
                <w:highlight w:val="none"/>
              </w:rPr>
              <w:t>视频遮挡</w:t>
            </w:r>
            <w:r>
              <w:rPr>
                <w:rFonts w:hint="eastAsia" w:ascii="宋体" w:hAnsi="宋体" w:cs="宋体"/>
                <w:color w:val="auto"/>
                <w:szCs w:val="21"/>
                <w:highlight w:val="none"/>
                <w:lang w:eastAsia="zh-CN"/>
              </w:rPr>
              <w:t>；</w:t>
            </w:r>
            <w:r>
              <w:rPr>
                <w:rFonts w:hint="eastAsia" w:ascii="宋体" w:hAnsi="宋体" w:cs="宋体"/>
                <w:color w:val="auto"/>
                <w:szCs w:val="21"/>
                <w:highlight w:val="none"/>
              </w:rPr>
              <w:t>音频异常侦测</w:t>
            </w:r>
            <w:r>
              <w:rPr>
                <w:rFonts w:hint="eastAsia" w:ascii="宋体" w:hAnsi="宋体" w:cs="宋体"/>
                <w:color w:val="auto"/>
                <w:szCs w:val="21"/>
                <w:highlight w:val="none"/>
                <w:lang w:eastAsia="zh-CN"/>
              </w:rPr>
              <w:t>；</w:t>
            </w:r>
            <w:r>
              <w:rPr>
                <w:rFonts w:hint="eastAsia" w:ascii="宋体" w:hAnsi="宋体" w:cs="宋体"/>
                <w:color w:val="auto"/>
                <w:szCs w:val="21"/>
                <w:highlight w:val="none"/>
              </w:rPr>
              <w:t>安全异常；</w:t>
            </w:r>
          </w:p>
          <w:p w14:paraId="038459C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接入标准：ONVIF（Profile S）；CGI；GB/T28181；乐橙云；</w:t>
            </w:r>
          </w:p>
          <w:p w14:paraId="527219E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预览最大用户数：6个（总带宽：36Ｍ）；</w:t>
            </w:r>
          </w:p>
          <w:p w14:paraId="795B55A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供电方式：DC12V/PoE；</w:t>
            </w:r>
          </w:p>
          <w:p w14:paraId="76DAA449">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防护等级：IP67</w:t>
            </w:r>
          </w:p>
        </w:tc>
      </w:tr>
      <w:tr w14:paraId="37FC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333" w:type="pct"/>
            <w:shd w:val="clear" w:color="auto" w:fill="auto"/>
            <w:vAlign w:val="center"/>
          </w:tcPr>
          <w:p w14:paraId="16899B3D">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13</w:t>
            </w:r>
          </w:p>
        </w:tc>
        <w:tc>
          <w:tcPr>
            <w:tcW w:w="744" w:type="pct"/>
            <w:shd w:val="clear" w:color="auto" w:fill="FFFFFF"/>
            <w:vAlign w:val="center"/>
          </w:tcPr>
          <w:p w14:paraId="3EE7074D">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200万红外定焦海螺网络摄像机</w:t>
            </w:r>
          </w:p>
        </w:tc>
        <w:tc>
          <w:tcPr>
            <w:tcW w:w="476" w:type="pct"/>
            <w:shd w:val="clear" w:color="auto" w:fill="FFFFFF"/>
            <w:vAlign w:val="center"/>
          </w:tcPr>
          <w:p w14:paraId="1C2DECFB">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28个</w:t>
            </w:r>
          </w:p>
        </w:tc>
        <w:tc>
          <w:tcPr>
            <w:tcW w:w="388" w:type="pct"/>
            <w:shd w:val="clear" w:color="auto" w:fill="FFFFFF"/>
            <w:vAlign w:val="center"/>
          </w:tcPr>
          <w:p w14:paraId="43A4E738">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3056" w:type="pct"/>
            <w:shd w:val="clear" w:color="auto" w:fill="FFFFFF"/>
            <w:vAlign w:val="center"/>
          </w:tcPr>
          <w:p w14:paraId="1CB3F13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传感器类型：1/2.8英寸CMOS；</w:t>
            </w:r>
          </w:p>
          <w:p w14:paraId="4958A6F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像素：200万；</w:t>
            </w:r>
          </w:p>
          <w:p w14:paraId="67E5B3D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最大分辨率：1920×1080；</w:t>
            </w:r>
          </w:p>
          <w:p w14:paraId="4104291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最低照度：0.01lux（彩色模式）；0.001lux（黑白模式）；0lux（补光灯开启）；</w:t>
            </w:r>
          </w:p>
          <w:p w14:paraId="06E98E7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最大补光距离：50m（红外）；</w:t>
            </w:r>
          </w:p>
          <w:p w14:paraId="00A26A8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补光灯：2颗（红外灯）；</w:t>
            </w:r>
          </w:p>
          <w:p w14:paraId="09DDC1A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镜头类型：定焦；</w:t>
            </w:r>
          </w:p>
          <w:p w14:paraId="357AEC2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镜头焦距：3.6mm；</w:t>
            </w:r>
          </w:p>
          <w:p w14:paraId="6266EF4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镜头光圈：F2.0；</w:t>
            </w:r>
          </w:p>
          <w:p w14:paraId="7DF3618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视场角：水平：83°；垂直：44°；对角：99°；</w:t>
            </w:r>
          </w:p>
          <w:p w14:paraId="1050030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智能编码：H.264:支持</w:t>
            </w:r>
            <w:r>
              <w:rPr>
                <w:rFonts w:hint="eastAsia" w:ascii="宋体" w:hAnsi="宋体" w:cs="宋体"/>
                <w:color w:val="auto"/>
                <w:szCs w:val="21"/>
                <w:highlight w:val="none"/>
                <w:lang w:eastAsia="zh-CN"/>
              </w:rPr>
              <w:t>；</w:t>
            </w:r>
            <w:r>
              <w:rPr>
                <w:rFonts w:hint="eastAsia" w:ascii="宋体" w:hAnsi="宋体" w:cs="宋体"/>
                <w:color w:val="auto"/>
                <w:szCs w:val="21"/>
                <w:highlight w:val="none"/>
              </w:rPr>
              <w:t>H.265:支持；</w:t>
            </w:r>
          </w:p>
          <w:p w14:paraId="02D60D9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宽动态：支持；</w:t>
            </w:r>
          </w:p>
          <w:p w14:paraId="613B511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走廊模式：90°/270°（在1080P分辨率及以下支持）；</w:t>
            </w:r>
          </w:p>
          <w:p w14:paraId="7F6BBBA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报警事件：网络断开</w:t>
            </w:r>
            <w:r>
              <w:rPr>
                <w:rFonts w:hint="eastAsia" w:ascii="宋体" w:hAnsi="宋体" w:cs="宋体"/>
                <w:color w:val="auto"/>
                <w:szCs w:val="21"/>
                <w:highlight w:val="none"/>
                <w:lang w:eastAsia="zh-CN"/>
              </w:rPr>
              <w:t>；</w:t>
            </w:r>
            <w:r>
              <w:rPr>
                <w:rFonts w:hint="eastAsia" w:ascii="宋体" w:hAnsi="宋体" w:cs="宋体"/>
                <w:color w:val="auto"/>
                <w:szCs w:val="21"/>
                <w:highlight w:val="none"/>
              </w:rPr>
              <w:t>IP冲突</w:t>
            </w:r>
            <w:r>
              <w:rPr>
                <w:rFonts w:hint="eastAsia" w:ascii="宋体" w:hAnsi="宋体" w:cs="宋体"/>
                <w:color w:val="auto"/>
                <w:szCs w:val="21"/>
                <w:highlight w:val="none"/>
                <w:lang w:eastAsia="zh-CN"/>
              </w:rPr>
              <w:t>；</w:t>
            </w:r>
            <w:r>
              <w:rPr>
                <w:rFonts w:hint="eastAsia" w:ascii="宋体" w:hAnsi="宋体" w:cs="宋体"/>
                <w:color w:val="auto"/>
                <w:szCs w:val="21"/>
                <w:highlight w:val="none"/>
              </w:rPr>
              <w:t>非法访问;动态检测;视频遮挡;音频异常侦测;安全异常；</w:t>
            </w:r>
          </w:p>
          <w:p w14:paraId="44AB540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接入标准：ONVIF（Profile S）；CGI；GB/T28181；乐橙云；</w:t>
            </w:r>
          </w:p>
          <w:p w14:paraId="3DB164A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预览最大用户数：6个（总带宽：36Ｍ）；</w:t>
            </w:r>
          </w:p>
          <w:p w14:paraId="1409FF8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供电方式：DC12V/PoE；</w:t>
            </w:r>
          </w:p>
          <w:p w14:paraId="5ACE09D8">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防护等级：IP67</w:t>
            </w:r>
          </w:p>
        </w:tc>
      </w:tr>
      <w:tr w14:paraId="4318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6A021CF2">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14</w:t>
            </w:r>
          </w:p>
        </w:tc>
        <w:tc>
          <w:tcPr>
            <w:tcW w:w="744" w:type="pct"/>
            <w:shd w:val="clear" w:color="auto" w:fill="FFFFFF"/>
            <w:vAlign w:val="center"/>
          </w:tcPr>
          <w:p w14:paraId="6A692A4C">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64路网络硬盘录像机</w:t>
            </w:r>
          </w:p>
        </w:tc>
        <w:tc>
          <w:tcPr>
            <w:tcW w:w="476" w:type="pct"/>
            <w:shd w:val="clear" w:color="auto" w:fill="FFFFFF"/>
            <w:vAlign w:val="center"/>
          </w:tcPr>
          <w:p w14:paraId="43FBE3B6">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4套</w:t>
            </w:r>
          </w:p>
        </w:tc>
        <w:tc>
          <w:tcPr>
            <w:tcW w:w="388" w:type="pct"/>
            <w:shd w:val="clear" w:color="auto" w:fill="FFFFFF"/>
            <w:vAlign w:val="center"/>
          </w:tcPr>
          <w:p w14:paraId="6A57CE4F">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3056" w:type="pct"/>
            <w:shd w:val="clear" w:color="auto" w:fill="FFFFFF"/>
            <w:vAlign w:val="center"/>
          </w:tcPr>
          <w:p w14:paraId="3D187E4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主处理器：工业级微控制器；</w:t>
            </w:r>
          </w:p>
          <w:p w14:paraId="08698EB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操作系统：嵌入式Linux操作系统；</w:t>
            </w:r>
          </w:p>
          <w:p w14:paraId="32435D2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后智能分析：支持后智能人脸检测、人脸识别、周界防范、智能动检*后智能无法和异源输出或4K显示输出功能同时启用；</w:t>
            </w:r>
          </w:p>
          <w:p w14:paraId="4AD4A22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前智能分析：支持前智能人脸检测、人脸识别、周界防范、智能动检、立体行为分析、人群分布、人数统计、车牌识别；</w:t>
            </w:r>
          </w:p>
          <w:p w14:paraId="4B0E82D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周界后智能性能（路数）：2路，每路绘制10规则线；</w:t>
            </w:r>
          </w:p>
          <w:p w14:paraId="0478442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周界前智能性能（路数）：8路；</w:t>
            </w:r>
          </w:p>
          <w:p w14:paraId="07667EA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人脸检测后智能性能（1080P）(路数)：1路，单路同时最多检测12张人脸；</w:t>
            </w:r>
          </w:p>
          <w:p w14:paraId="045A9FF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人脸识别后智能性能（1080P）(路数)：1. 前端人脸检测+后端人脸比对支持8路图片流，最多同时处理12张/秒人脸；2. 后端人脸检测+后端人脸比对支持1路视频流，最多同时处理12张/秒人脸；</w:t>
            </w:r>
          </w:p>
          <w:p w14:paraId="79BFDD0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人脸识别前智能性能（路数）：全通道（最大处理8个事件/秒）；</w:t>
            </w:r>
          </w:p>
          <w:p w14:paraId="77E5FD1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接入路数：64路；</w:t>
            </w:r>
          </w:p>
          <w:p w14:paraId="1C691ED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分辨率：16MP;12MP;8MP;6MP;5MP;4MP;3MP;1080p;720p;960p;D1;CIF；</w:t>
            </w:r>
          </w:p>
          <w:p w14:paraId="5FF7748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解码能力：1路16MP@30fps; 2路12MP@30fps; 3路8MP@30fps; 4路5MP@30fps</w:t>
            </w:r>
            <w:r>
              <w:rPr>
                <w:rFonts w:hint="eastAsia" w:ascii="宋体" w:hAnsi="宋体" w:cs="宋体"/>
                <w:color w:val="auto"/>
                <w:szCs w:val="21"/>
                <w:highlight w:val="none"/>
                <w:lang w:eastAsia="zh-CN"/>
              </w:rPr>
              <w:t>：</w:t>
            </w:r>
            <w:r>
              <w:rPr>
                <w:rFonts w:hint="eastAsia" w:ascii="宋体" w:hAnsi="宋体" w:cs="宋体"/>
                <w:color w:val="auto"/>
                <w:szCs w:val="21"/>
                <w:highlight w:val="none"/>
              </w:rPr>
              <w:t>6路4MP@30fps</w:t>
            </w:r>
            <w:r>
              <w:rPr>
                <w:rFonts w:hint="eastAsia" w:ascii="宋体" w:hAnsi="宋体" w:cs="宋体"/>
                <w:color w:val="auto"/>
                <w:szCs w:val="21"/>
                <w:highlight w:val="none"/>
                <w:lang w:eastAsia="zh-CN"/>
              </w:rPr>
              <w:t>：</w:t>
            </w:r>
            <w:r>
              <w:rPr>
                <w:rFonts w:hint="eastAsia" w:ascii="宋体" w:hAnsi="宋体" w:cs="宋体"/>
                <w:color w:val="auto"/>
                <w:szCs w:val="21"/>
                <w:highlight w:val="none"/>
              </w:rPr>
              <w:t>12路2MP@30fps；</w:t>
            </w:r>
          </w:p>
          <w:p w14:paraId="0DA5BB0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报警输入：16路；</w:t>
            </w:r>
          </w:p>
          <w:p w14:paraId="0524380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报警输出：4路；</w:t>
            </w:r>
          </w:p>
          <w:p w14:paraId="36F6D15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硬盘接口：9个SATA，单盘最大20T；</w:t>
            </w:r>
          </w:p>
          <w:p w14:paraId="36CA72D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RS-485接口：1个；</w:t>
            </w:r>
          </w:p>
          <w:p w14:paraId="647BF715">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网络接口：2个（10M/100M/1000M以太网口，RJ-45）</w:t>
            </w:r>
          </w:p>
        </w:tc>
      </w:tr>
      <w:tr w14:paraId="6770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3" w:type="pct"/>
            <w:shd w:val="clear" w:color="auto" w:fill="auto"/>
            <w:vAlign w:val="center"/>
          </w:tcPr>
          <w:p w14:paraId="722B151B">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15</w:t>
            </w:r>
          </w:p>
        </w:tc>
        <w:tc>
          <w:tcPr>
            <w:tcW w:w="744" w:type="pct"/>
            <w:shd w:val="clear" w:color="auto" w:fill="FFFFFF"/>
            <w:vAlign w:val="center"/>
          </w:tcPr>
          <w:p w14:paraId="01B78F5A">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8T硬盘</w:t>
            </w:r>
          </w:p>
        </w:tc>
        <w:tc>
          <w:tcPr>
            <w:tcW w:w="476" w:type="pct"/>
            <w:shd w:val="clear" w:color="auto" w:fill="FFFFFF"/>
            <w:vAlign w:val="center"/>
          </w:tcPr>
          <w:p w14:paraId="44AC38C5">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29块</w:t>
            </w:r>
          </w:p>
        </w:tc>
        <w:tc>
          <w:tcPr>
            <w:tcW w:w="388" w:type="pct"/>
            <w:shd w:val="clear" w:color="auto" w:fill="FFFFFF"/>
            <w:vAlign w:val="center"/>
          </w:tcPr>
          <w:p w14:paraId="71DE3128">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3056" w:type="pct"/>
            <w:shd w:val="clear" w:color="auto" w:fill="FFFFFF"/>
            <w:vAlign w:val="center"/>
          </w:tcPr>
          <w:p w14:paraId="6D65B26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单盘容量：8TB；</w:t>
            </w:r>
          </w:p>
          <w:p w14:paraId="552727E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缓存：256MB；</w:t>
            </w:r>
          </w:p>
          <w:p w14:paraId="179B1B1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转速：5400RPM；</w:t>
            </w:r>
          </w:p>
          <w:p w14:paraId="3FFD7E2D">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硬盘接口：SATA</w:t>
            </w:r>
          </w:p>
        </w:tc>
      </w:tr>
      <w:tr w14:paraId="55AC9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3" w:type="pct"/>
            <w:shd w:val="clear" w:color="auto" w:fill="auto"/>
            <w:vAlign w:val="center"/>
          </w:tcPr>
          <w:p w14:paraId="72B07521">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16</w:t>
            </w:r>
          </w:p>
        </w:tc>
        <w:tc>
          <w:tcPr>
            <w:tcW w:w="744" w:type="pct"/>
            <w:shd w:val="clear" w:color="auto" w:fill="FFFFFF"/>
            <w:vAlign w:val="center"/>
          </w:tcPr>
          <w:p w14:paraId="4D380471">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监视器</w:t>
            </w:r>
          </w:p>
        </w:tc>
        <w:tc>
          <w:tcPr>
            <w:tcW w:w="476" w:type="pct"/>
            <w:shd w:val="clear" w:color="auto" w:fill="FFFFFF"/>
            <w:vAlign w:val="center"/>
          </w:tcPr>
          <w:p w14:paraId="06EA3A93">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4个</w:t>
            </w:r>
          </w:p>
        </w:tc>
        <w:tc>
          <w:tcPr>
            <w:tcW w:w="388" w:type="pct"/>
            <w:shd w:val="clear" w:color="auto" w:fill="FFFFFF"/>
            <w:vAlign w:val="center"/>
          </w:tcPr>
          <w:p w14:paraId="3704BE3A">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3056" w:type="pct"/>
            <w:shd w:val="clear" w:color="auto" w:fill="FFFFFF"/>
            <w:vAlign w:val="center"/>
          </w:tcPr>
          <w:p w14:paraId="7ECB8FD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面板尺寸：23.8英寸；</w:t>
            </w:r>
          </w:p>
          <w:p w14:paraId="10A5187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亮度：250cd/m²；</w:t>
            </w:r>
          </w:p>
          <w:p w14:paraId="4D885EE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安装方式：底座、壁挂；</w:t>
            </w:r>
          </w:p>
          <w:p w14:paraId="3AAEDD4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供电方式：AC100~240V (±10%), 50/60Hz；</w:t>
            </w:r>
          </w:p>
          <w:p w14:paraId="4477BF5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工作温度：0-40℃；</w:t>
            </w:r>
          </w:p>
          <w:p w14:paraId="23FB922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信号输入标配：HDMI×1、VGA(D-Sub)×1、Audio in×1；</w:t>
            </w:r>
          </w:p>
          <w:p w14:paraId="120FA1B6">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支持的分辨率：1920×1080</w:t>
            </w:r>
          </w:p>
        </w:tc>
      </w:tr>
      <w:tr w14:paraId="4B1E6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5000" w:type="pct"/>
            <w:gridSpan w:val="5"/>
            <w:shd w:val="clear" w:color="auto" w:fill="auto"/>
            <w:vAlign w:val="center"/>
          </w:tcPr>
          <w:p w14:paraId="233E177E">
            <w:pPr>
              <w:jc w:val="left"/>
              <w:rPr>
                <w:rFonts w:ascii="宋体" w:hAnsi="宋体" w:cs="宋体"/>
                <w:color w:val="auto"/>
                <w:szCs w:val="21"/>
                <w:highlight w:val="none"/>
              </w:rPr>
            </w:pPr>
            <w:r>
              <w:rPr>
                <w:rFonts w:hint="eastAsia" w:ascii="宋体" w:hAnsi="宋体" w:eastAsia="宋体" w:cs="宋体"/>
                <w:b/>
                <w:bCs/>
                <w:color w:val="auto"/>
                <w:kern w:val="0"/>
                <w:sz w:val="24"/>
                <w:szCs w:val="24"/>
                <w:highlight w:val="none"/>
                <w:lang w:bidi="ar"/>
              </w:rPr>
              <w:t>二）、综合布线</w:t>
            </w:r>
          </w:p>
        </w:tc>
      </w:tr>
      <w:tr w14:paraId="40D38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3" w:type="pct"/>
            <w:shd w:val="clear" w:color="auto" w:fill="auto"/>
            <w:vAlign w:val="center"/>
          </w:tcPr>
          <w:p w14:paraId="759601DF">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kern w:val="0"/>
                <w:sz w:val="21"/>
                <w:szCs w:val="21"/>
                <w:highlight w:val="none"/>
                <w:lang w:val="en-US" w:eastAsia="zh-CN" w:bidi="ar"/>
              </w:rPr>
              <w:t>17</w:t>
            </w:r>
          </w:p>
        </w:tc>
        <w:tc>
          <w:tcPr>
            <w:tcW w:w="744" w:type="pct"/>
            <w:shd w:val="clear" w:color="auto" w:fill="auto"/>
            <w:vAlign w:val="center"/>
          </w:tcPr>
          <w:p w14:paraId="43A6333E">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24口PoE交换机</w:t>
            </w:r>
          </w:p>
        </w:tc>
        <w:tc>
          <w:tcPr>
            <w:tcW w:w="476" w:type="pct"/>
            <w:shd w:val="clear" w:color="auto" w:fill="auto"/>
            <w:vAlign w:val="center"/>
          </w:tcPr>
          <w:p w14:paraId="7AF633A4">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9个</w:t>
            </w:r>
          </w:p>
        </w:tc>
        <w:tc>
          <w:tcPr>
            <w:tcW w:w="388" w:type="pct"/>
            <w:shd w:val="clear" w:color="auto" w:fill="auto"/>
            <w:vAlign w:val="center"/>
          </w:tcPr>
          <w:p w14:paraId="4CDD5275">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0D5A5017">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24个10/100/1000Mbps自适应PoE电口</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2个10/100/1000Mbps自适应上行电口，2个1000Mbps自适应上行光口1-2口单口最大PoE输出功率90w，3-24口单口最大PoE输出功率30w，整机最大PoE输出功率240w</w:t>
            </w:r>
            <w:r>
              <w:rPr>
                <w:rFonts w:hint="eastAsia" w:ascii="宋体" w:hAnsi="宋体" w:cs="宋体"/>
                <w:color w:val="auto"/>
                <w:sz w:val="21"/>
                <w:szCs w:val="21"/>
                <w:highlight w:val="none"/>
                <w:lang w:eastAsia="zh-CN"/>
              </w:rPr>
              <w:t>；</w:t>
            </w:r>
          </w:p>
          <w:p w14:paraId="4BD22C84">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交换容量：256Gbps/2.56Tbps</w:t>
            </w:r>
            <w:r>
              <w:rPr>
                <w:rFonts w:hint="eastAsia" w:ascii="宋体" w:hAnsi="宋体" w:cs="宋体"/>
                <w:color w:val="auto"/>
                <w:sz w:val="21"/>
                <w:szCs w:val="21"/>
                <w:highlight w:val="none"/>
                <w:lang w:eastAsia="zh-CN"/>
              </w:rPr>
              <w:t>；</w:t>
            </w:r>
          </w:p>
          <w:p w14:paraId="68BFAC2C">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包转发率：43.5Mpps/51 Mpps</w:t>
            </w:r>
            <w:r>
              <w:rPr>
                <w:rFonts w:hint="eastAsia" w:ascii="宋体" w:hAnsi="宋体" w:cs="宋体"/>
                <w:color w:val="auto"/>
                <w:sz w:val="21"/>
                <w:szCs w:val="21"/>
                <w:highlight w:val="none"/>
                <w:lang w:eastAsia="zh-CN"/>
              </w:rPr>
              <w:t>；</w:t>
            </w:r>
          </w:p>
          <w:p w14:paraId="6C9665CE">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MAC表大小:8K</w:t>
            </w:r>
            <w:r>
              <w:rPr>
                <w:rFonts w:hint="eastAsia" w:ascii="宋体" w:hAnsi="宋体" w:cs="宋体"/>
                <w:color w:val="auto"/>
                <w:sz w:val="21"/>
                <w:szCs w:val="21"/>
                <w:highlight w:val="none"/>
                <w:lang w:eastAsia="zh-CN"/>
              </w:rPr>
              <w:t>；</w:t>
            </w:r>
          </w:p>
          <w:p w14:paraId="25E45A0A">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VLAN数:32</w:t>
            </w:r>
            <w:r>
              <w:rPr>
                <w:rFonts w:hint="eastAsia" w:ascii="宋体" w:hAnsi="宋体" w:cs="宋体"/>
                <w:color w:val="auto"/>
                <w:sz w:val="21"/>
                <w:szCs w:val="21"/>
                <w:highlight w:val="none"/>
                <w:lang w:eastAsia="zh-CN"/>
              </w:rPr>
              <w:t>；</w:t>
            </w:r>
          </w:p>
          <w:p w14:paraId="6AF9FB6A">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6.通讯标</w:t>
            </w:r>
            <w:r>
              <w:rPr>
                <w:rFonts w:hint="eastAsia" w:ascii="宋体" w:hAnsi="宋体" w:cs="宋体"/>
                <w:color w:val="auto"/>
                <w:sz w:val="21"/>
                <w:szCs w:val="21"/>
                <w:highlight w:val="none"/>
              </w:rPr>
              <w:t>准:</w:t>
            </w:r>
          </w:p>
          <w:p w14:paraId="2DC826F4">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IEEE802.3,IEEE802.3u,IEEE802.3x,IEEE802.3ab,IEEE802.3z</w:t>
            </w:r>
          </w:p>
          <w:p w14:paraId="20A04D0F">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PoE协议:IEEE802.3af/IEEE802.3at/Hi-PoE/IEEE802.3bt</w:t>
            </w:r>
          </w:p>
          <w:p w14:paraId="7E8734A3">
            <w:pPr>
              <w:widowControl/>
              <w:numPr>
                <w:ilvl w:val="0"/>
                <w:numId w:val="2"/>
              </w:numPr>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PoE功耗管理:支持POE功耗管理，POE上下电</w:t>
            </w:r>
            <w:r>
              <w:rPr>
                <w:rFonts w:hint="eastAsia" w:ascii="宋体" w:hAnsi="宋体" w:cs="宋体"/>
                <w:color w:val="auto"/>
                <w:sz w:val="21"/>
                <w:szCs w:val="21"/>
                <w:highlight w:val="none"/>
                <w:lang w:eastAsia="zh-CN"/>
              </w:rPr>
              <w:t>；</w:t>
            </w:r>
          </w:p>
          <w:p w14:paraId="217E0F50">
            <w:pPr>
              <w:widowControl/>
              <w:numPr>
                <w:ilvl w:val="0"/>
                <w:numId w:val="2"/>
              </w:numPr>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载值掉电，支持绿色POE</w:t>
            </w:r>
            <w:r>
              <w:rPr>
                <w:rFonts w:hint="eastAsia" w:ascii="宋体" w:hAnsi="宋体" w:cs="宋体"/>
                <w:color w:val="auto"/>
                <w:sz w:val="21"/>
                <w:szCs w:val="21"/>
                <w:highlight w:val="none"/>
                <w:lang w:eastAsia="zh-CN"/>
              </w:rPr>
              <w:t>；</w:t>
            </w:r>
          </w:p>
          <w:p w14:paraId="77E0EEAE">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9.</w:t>
            </w:r>
            <w:r>
              <w:rPr>
                <w:rFonts w:hint="eastAsia" w:ascii="宋体" w:hAnsi="宋体" w:cs="宋体"/>
                <w:color w:val="auto"/>
                <w:sz w:val="21"/>
                <w:szCs w:val="21"/>
                <w:highlight w:val="none"/>
              </w:rPr>
              <w:t>支持250米远距离供电</w:t>
            </w:r>
            <w:r>
              <w:rPr>
                <w:rFonts w:hint="eastAsia" w:ascii="宋体" w:hAnsi="宋体" w:cs="宋体"/>
                <w:color w:val="auto"/>
                <w:sz w:val="21"/>
                <w:szCs w:val="21"/>
                <w:highlight w:val="none"/>
                <w:lang w:eastAsia="zh-CN"/>
              </w:rPr>
              <w:t>；</w:t>
            </w:r>
          </w:p>
          <w:p w14:paraId="11019628">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支持PoE看门狗功能</w:t>
            </w:r>
            <w:r>
              <w:rPr>
                <w:rFonts w:hint="eastAsia" w:ascii="宋体" w:hAnsi="宋体" w:cs="宋体"/>
                <w:color w:val="auto"/>
                <w:sz w:val="21"/>
                <w:szCs w:val="21"/>
                <w:highlight w:val="none"/>
                <w:lang w:eastAsia="zh-CN"/>
              </w:rPr>
              <w:t>；</w:t>
            </w:r>
          </w:p>
          <w:p w14:paraId="58BF777C">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11.</w:t>
            </w:r>
            <w:r>
              <w:rPr>
                <w:rFonts w:hint="eastAsia" w:ascii="宋体" w:hAnsi="宋体" w:cs="宋体"/>
                <w:color w:val="auto"/>
                <w:sz w:val="21"/>
                <w:szCs w:val="21"/>
                <w:highlight w:val="none"/>
              </w:rPr>
              <w:t>支持基于端口的VLAN，支持环路告警，流量控制</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支持网络拓扑自动生成</w:t>
            </w:r>
            <w:r>
              <w:rPr>
                <w:rFonts w:hint="eastAsia" w:ascii="宋体" w:hAnsi="宋体" w:cs="宋体"/>
                <w:color w:val="auto"/>
                <w:sz w:val="21"/>
                <w:szCs w:val="21"/>
                <w:highlight w:val="none"/>
                <w:lang w:eastAsia="zh-CN"/>
              </w:rPr>
              <w:t>；</w:t>
            </w:r>
          </w:p>
          <w:p w14:paraId="7D576A16">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12.</w:t>
            </w:r>
            <w:r>
              <w:rPr>
                <w:rFonts w:hint="eastAsia" w:ascii="宋体" w:hAnsi="宋体" w:cs="宋体"/>
                <w:color w:val="auto"/>
                <w:sz w:val="21"/>
                <w:szCs w:val="21"/>
                <w:highlight w:val="none"/>
              </w:rPr>
              <w:t>集成本地网络管理功能，支持APP云端移动管理功能，基于云平台，以拓扑可视的方式实现对安防/IT系统中前端设备、传输设备以及后端存储设备的全面运维管理</w:t>
            </w:r>
            <w:r>
              <w:rPr>
                <w:rFonts w:hint="eastAsia" w:ascii="宋体" w:hAnsi="宋体" w:cs="宋体"/>
                <w:color w:val="auto"/>
                <w:sz w:val="21"/>
                <w:szCs w:val="21"/>
                <w:highlight w:val="none"/>
                <w:lang w:eastAsia="zh-CN"/>
              </w:rPr>
              <w:t>；</w:t>
            </w:r>
          </w:p>
          <w:p w14:paraId="79631CCE">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13.</w:t>
            </w:r>
            <w:r>
              <w:rPr>
                <w:rFonts w:hint="eastAsia" w:ascii="宋体" w:hAnsi="宋体" w:cs="宋体"/>
                <w:color w:val="auto"/>
                <w:sz w:val="21"/>
                <w:szCs w:val="21"/>
                <w:highlight w:val="none"/>
              </w:rPr>
              <w:t>全金属外壳，全封闭防尘、宽温设计</w:t>
            </w:r>
            <w:r>
              <w:rPr>
                <w:rFonts w:hint="eastAsia" w:ascii="宋体" w:hAnsi="宋体" w:cs="宋体"/>
                <w:color w:val="auto"/>
                <w:sz w:val="21"/>
                <w:szCs w:val="21"/>
                <w:highlight w:val="none"/>
                <w:lang w:eastAsia="zh-CN"/>
              </w:rPr>
              <w:t>；</w:t>
            </w:r>
          </w:p>
          <w:p w14:paraId="04FD87B3">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14.</w:t>
            </w:r>
            <w:r>
              <w:rPr>
                <w:rFonts w:hint="eastAsia" w:ascii="宋体" w:hAnsi="宋体" w:cs="宋体"/>
                <w:color w:val="auto"/>
                <w:sz w:val="21"/>
                <w:szCs w:val="21"/>
                <w:highlight w:val="none"/>
              </w:rPr>
              <w:t>工作温度：-10 ℃~+55 ℃</w:t>
            </w:r>
            <w:r>
              <w:rPr>
                <w:rFonts w:hint="eastAsia" w:ascii="宋体" w:hAnsi="宋体" w:cs="宋体"/>
                <w:color w:val="auto"/>
                <w:sz w:val="21"/>
                <w:szCs w:val="21"/>
                <w:highlight w:val="none"/>
                <w:lang w:eastAsia="zh-CN"/>
              </w:rPr>
              <w:t>。</w:t>
            </w:r>
          </w:p>
        </w:tc>
      </w:tr>
      <w:tr w14:paraId="4673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3" w:type="pct"/>
            <w:shd w:val="clear" w:color="auto" w:fill="auto"/>
            <w:vAlign w:val="center"/>
          </w:tcPr>
          <w:p w14:paraId="3E1D8173">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kern w:val="0"/>
                <w:sz w:val="21"/>
                <w:szCs w:val="21"/>
                <w:highlight w:val="none"/>
                <w:lang w:val="en-US" w:eastAsia="zh-CN" w:bidi="ar"/>
              </w:rPr>
              <w:t>18</w:t>
            </w:r>
          </w:p>
        </w:tc>
        <w:tc>
          <w:tcPr>
            <w:tcW w:w="744" w:type="pct"/>
            <w:shd w:val="clear" w:color="auto" w:fill="auto"/>
            <w:vAlign w:val="center"/>
          </w:tcPr>
          <w:p w14:paraId="46D65C5A">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24口汇聚交换机</w:t>
            </w:r>
          </w:p>
        </w:tc>
        <w:tc>
          <w:tcPr>
            <w:tcW w:w="476" w:type="pct"/>
            <w:shd w:val="clear" w:color="auto" w:fill="auto"/>
            <w:vAlign w:val="center"/>
          </w:tcPr>
          <w:p w14:paraId="6B9B3375">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10个</w:t>
            </w:r>
          </w:p>
        </w:tc>
        <w:tc>
          <w:tcPr>
            <w:tcW w:w="388" w:type="pct"/>
            <w:shd w:val="clear" w:color="auto" w:fill="auto"/>
            <w:vAlign w:val="center"/>
          </w:tcPr>
          <w:p w14:paraId="61FA5709">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655C722F">
            <w:pPr>
              <w:widowControl/>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固化10/100/1000Mbps自适应电口≥24个、100/1000Mbps自适应SFP光口≥4个</w:t>
            </w:r>
            <w:r>
              <w:rPr>
                <w:rFonts w:hint="eastAsia" w:ascii="宋体" w:hAnsi="宋体" w:cs="宋体"/>
                <w:color w:val="auto"/>
                <w:sz w:val="21"/>
                <w:szCs w:val="21"/>
                <w:highlight w:val="none"/>
                <w:lang w:eastAsia="zh-CN"/>
              </w:rPr>
              <w:t>；</w:t>
            </w:r>
          </w:p>
          <w:p w14:paraId="4349849D">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交换容量≥336Gbps，包转发能力≥51Mpps</w:t>
            </w:r>
            <w:r>
              <w:rPr>
                <w:rFonts w:hint="eastAsia" w:ascii="宋体" w:hAnsi="宋体" w:cs="宋体"/>
                <w:color w:val="auto"/>
                <w:sz w:val="21"/>
                <w:szCs w:val="21"/>
                <w:highlight w:val="none"/>
                <w:lang w:eastAsia="zh-CN"/>
              </w:rPr>
              <w:t>；</w:t>
            </w:r>
          </w:p>
          <w:p w14:paraId="4AD06434">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支持4K VLAN表项，支持GVRP、voice VLAN</w:t>
            </w:r>
            <w:r>
              <w:rPr>
                <w:rFonts w:hint="eastAsia" w:ascii="宋体" w:hAnsi="宋体" w:cs="宋体"/>
                <w:color w:val="auto"/>
                <w:sz w:val="21"/>
                <w:szCs w:val="21"/>
                <w:highlight w:val="none"/>
                <w:lang w:eastAsia="zh-CN"/>
              </w:rPr>
              <w:t>；</w:t>
            </w:r>
          </w:p>
          <w:p w14:paraId="5E3279BE">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4</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支持静态配置和动态学习MAC地址，查看和清除MAC地址，MAC地址老化时间可配置，MAC地址学习数量限制，支持8K表项</w:t>
            </w:r>
            <w:r>
              <w:rPr>
                <w:rFonts w:hint="eastAsia" w:ascii="宋体" w:hAnsi="宋体" w:cs="宋体"/>
                <w:color w:val="auto"/>
                <w:sz w:val="21"/>
                <w:szCs w:val="21"/>
                <w:highlight w:val="none"/>
                <w:lang w:eastAsia="zh-CN"/>
              </w:rPr>
              <w:t>；</w:t>
            </w:r>
          </w:p>
          <w:p w14:paraId="25D7240B">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5</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全双工方式开启流控功能，在端口出现拥塞的情况下，拥塞设备会发出流控帧，源端会降低流量发送速率，防止网络丢包</w:t>
            </w:r>
            <w:r>
              <w:rPr>
                <w:rFonts w:hint="eastAsia" w:ascii="宋体" w:hAnsi="宋体" w:cs="宋体"/>
                <w:color w:val="auto"/>
                <w:sz w:val="21"/>
                <w:szCs w:val="21"/>
                <w:highlight w:val="none"/>
                <w:lang w:eastAsia="zh-CN"/>
              </w:rPr>
              <w:t>；</w:t>
            </w:r>
          </w:p>
          <w:p w14:paraId="15913E5A">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6</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支持STP、RSTP和MSTP，支持BPDU保护、根保护、环路保护</w:t>
            </w:r>
            <w:r>
              <w:rPr>
                <w:rFonts w:hint="eastAsia" w:ascii="宋体" w:hAnsi="宋体" w:cs="宋体"/>
                <w:color w:val="auto"/>
                <w:sz w:val="21"/>
                <w:szCs w:val="21"/>
                <w:highlight w:val="none"/>
                <w:lang w:eastAsia="zh-CN"/>
              </w:rPr>
              <w:t>；</w:t>
            </w:r>
          </w:p>
          <w:p w14:paraId="59CD0A2C">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7</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▲支持EAPS以太网链路自动保护协议，环网切换＜50ms</w:t>
            </w:r>
            <w:r>
              <w:rPr>
                <w:rFonts w:hint="eastAsia" w:ascii="宋体" w:hAnsi="宋体" w:cs="宋体"/>
                <w:color w:val="auto"/>
                <w:sz w:val="21"/>
                <w:szCs w:val="21"/>
                <w:highlight w:val="none"/>
                <w:lang w:eastAsia="zh-CN"/>
              </w:rPr>
              <w:t>；</w:t>
            </w:r>
          </w:p>
          <w:p w14:paraId="59A2F1F7">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8</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支持IGMP v1/v2/v3，IGMP Snooping</w:t>
            </w:r>
            <w:r>
              <w:rPr>
                <w:rFonts w:hint="eastAsia" w:ascii="宋体" w:hAnsi="宋体" w:cs="宋体"/>
                <w:color w:val="auto"/>
                <w:sz w:val="21"/>
                <w:szCs w:val="21"/>
                <w:highlight w:val="none"/>
                <w:lang w:eastAsia="zh-CN"/>
              </w:rPr>
              <w:t>；</w:t>
            </w:r>
          </w:p>
          <w:p w14:paraId="22103835">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9</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动态ARP数目384，静态ARP数目384</w:t>
            </w:r>
            <w:r>
              <w:rPr>
                <w:rFonts w:hint="eastAsia" w:ascii="宋体" w:hAnsi="宋体" w:cs="宋体"/>
                <w:color w:val="auto"/>
                <w:sz w:val="21"/>
                <w:szCs w:val="21"/>
                <w:highlight w:val="none"/>
                <w:lang w:eastAsia="zh-CN"/>
              </w:rPr>
              <w:t>；</w:t>
            </w:r>
          </w:p>
          <w:p w14:paraId="5092F130">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10</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支持ipv4/ipv6双栈协议，静态路由，RIP、OSPF动态路由</w:t>
            </w:r>
            <w:r>
              <w:rPr>
                <w:rFonts w:hint="eastAsia" w:ascii="宋体" w:hAnsi="宋体" w:cs="宋体"/>
                <w:color w:val="auto"/>
                <w:sz w:val="21"/>
                <w:szCs w:val="21"/>
                <w:highlight w:val="none"/>
                <w:lang w:eastAsia="zh-CN"/>
              </w:rPr>
              <w:t>；</w:t>
            </w:r>
          </w:p>
          <w:p w14:paraId="750A443A">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11</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支持DHCP Server、DHCP Relay、DHCP Client、DHCP Snooping</w:t>
            </w:r>
            <w:r>
              <w:rPr>
                <w:rFonts w:hint="eastAsia" w:ascii="宋体" w:hAnsi="宋体" w:cs="宋体"/>
                <w:color w:val="auto"/>
                <w:sz w:val="21"/>
                <w:szCs w:val="21"/>
                <w:highlight w:val="none"/>
                <w:lang w:eastAsia="zh-CN"/>
              </w:rPr>
              <w:t>；</w:t>
            </w:r>
          </w:p>
          <w:p w14:paraId="7024336C">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12</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▲支持二层、三层、四层ACL，支持IPv4、IPv6 ACL，支持VLAN ACL，支持标准和扩展ACL，支持IP ACL、支持基于源/目的IP、三层IP协议号、TCP/UDP四层端口号、IP优先级、ToS、时间范围对数据进行过滤</w:t>
            </w:r>
            <w:r>
              <w:rPr>
                <w:rFonts w:hint="eastAsia" w:ascii="宋体" w:hAnsi="宋体" w:cs="宋体"/>
                <w:color w:val="auto"/>
                <w:sz w:val="21"/>
                <w:szCs w:val="21"/>
                <w:highlight w:val="none"/>
                <w:lang w:eastAsia="zh-CN"/>
              </w:rPr>
              <w:t>；</w:t>
            </w:r>
          </w:p>
          <w:p w14:paraId="338578FD">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13</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▲支持基于L2/L3/L4协议头各字段的流量分类，支持流量监管、流量整形和限速，支持802.1P/DSCP优先级重新标记</w:t>
            </w:r>
            <w:r>
              <w:rPr>
                <w:rFonts w:hint="eastAsia" w:ascii="宋体" w:hAnsi="宋体" w:cs="宋体"/>
                <w:color w:val="auto"/>
                <w:sz w:val="21"/>
                <w:szCs w:val="21"/>
                <w:highlight w:val="none"/>
                <w:lang w:eastAsia="zh-CN"/>
              </w:rPr>
              <w:t>；</w:t>
            </w:r>
          </w:p>
          <w:p w14:paraId="29363E41">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14</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支持IP+MAC+端口的绑定</w:t>
            </w:r>
            <w:r>
              <w:rPr>
                <w:rFonts w:hint="eastAsia" w:ascii="宋体" w:hAnsi="宋体" w:cs="宋体"/>
                <w:color w:val="auto"/>
                <w:sz w:val="21"/>
                <w:szCs w:val="21"/>
                <w:highlight w:val="none"/>
                <w:lang w:eastAsia="zh-CN"/>
              </w:rPr>
              <w:t>；</w:t>
            </w:r>
          </w:p>
          <w:p w14:paraId="2F1D5103">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15</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支持基于IP、MAC地址进行访问控制</w:t>
            </w:r>
            <w:r>
              <w:rPr>
                <w:rFonts w:hint="eastAsia" w:ascii="宋体" w:hAnsi="宋体" w:cs="宋体"/>
                <w:color w:val="auto"/>
                <w:sz w:val="21"/>
                <w:szCs w:val="21"/>
                <w:highlight w:val="none"/>
                <w:lang w:eastAsia="zh-CN"/>
              </w:rPr>
              <w:t>；</w:t>
            </w:r>
          </w:p>
          <w:p w14:paraId="7B139E76">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16</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支持静态/LACP方式链路聚合</w:t>
            </w:r>
            <w:r>
              <w:rPr>
                <w:rFonts w:hint="eastAsia" w:ascii="宋体" w:hAnsi="宋体" w:cs="宋体"/>
                <w:color w:val="auto"/>
                <w:sz w:val="21"/>
                <w:szCs w:val="21"/>
                <w:highlight w:val="none"/>
                <w:lang w:eastAsia="zh-CN"/>
              </w:rPr>
              <w:t>；</w:t>
            </w:r>
          </w:p>
          <w:p w14:paraId="3EFA0ACB">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17</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支持Console、Telnet、SSH2.0</w:t>
            </w:r>
            <w:r>
              <w:rPr>
                <w:rFonts w:hint="eastAsia" w:ascii="宋体" w:hAnsi="宋体" w:cs="宋体"/>
                <w:color w:val="auto"/>
                <w:sz w:val="21"/>
                <w:szCs w:val="21"/>
                <w:highlight w:val="none"/>
                <w:lang w:eastAsia="zh-CN"/>
              </w:rPr>
              <w:t>；</w:t>
            </w:r>
          </w:p>
          <w:p w14:paraId="5C067171">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18</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TFTP方式的文件上传、下载管理</w:t>
            </w:r>
            <w:r>
              <w:rPr>
                <w:rFonts w:hint="eastAsia" w:ascii="宋体" w:hAnsi="宋体" w:cs="宋体"/>
                <w:color w:val="auto"/>
                <w:sz w:val="21"/>
                <w:szCs w:val="21"/>
                <w:highlight w:val="none"/>
                <w:lang w:eastAsia="zh-CN"/>
              </w:rPr>
              <w:t>；</w:t>
            </w:r>
          </w:p>
          <w:p w14:paraId="4445D57B">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19</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通过软件平台实现交换机的纳管：可获取设备名称、设备厂商、设备型号、IP地址、MAC地址等信息</w:t>
            </w:r>
            <w:r>
              <w:rPr>
                <w:rFonts w:hint="eastAsia" w:ascii="宋体" w:hAnsi="宋体" w:cs="宋体"/>
                <w:color w:val="auto"/>
                <w:sz w:val="21"/>
                <w:szCs w:val="21"/>
                <w:highlight w:val="none"/>
                <w:lang w:eastAsia="zh-CN"/>
              </w:rPr>
              <w:t>；</w:t>
            </w:r>
          </w:p>
          <w:p w14:paraId="3B43EE9D">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20</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通过软件平台实现交换机的监控：可以监控网络延时、网络抖动、端口信息（通断状态、端口带宽、带宽利用率、上下行速率、上下行利用率、上下行丢包率、上下行错包率）等指标</w:t>
            </w:r>
            <w:r>
              <w:rPr>
                <w:rFonts w:hint="eastAsia" w:ascii="宋体" w:hAnsi="宋体" w:cs="宋体"/>
                <w:color w:val="auto"/>
                <w:sz w:val="21"/>
                <w:szCs w:val="21"/>
                <w:highlight w:val="none"/>
                <w:lang w:eastAsia="zh-CN"/>
              </w:rPr>
              <w:t>；</w:t>
            </w:r>
          </w:p>
          <w:p w14:paraId="74EA7BE5">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21</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通过软件平台实现网络拓扑的生成：自动发现预设网段内的所有IP设备、设备间的真实链路关系与链路类型，展示设备在线状态、故障状态、链路通断状态、链路繁忙状态、链路流量等信息，并采用不同颜色标识</w:t>
            </w:r>
            <w:r>
              <w:rPr>
                <w:rFonts w:hint="eastAsia" w:ascii="宋体" w:hAnsi="宋体" w:cs="宋体"/>
                <w:color w:val="auto"/>
                <w:sz w:val="21"/>
                <w:szCs w:val="21"/>
                <w:highlight w:val="none"/>
                <w:lang w:eastAsia="zh-CN"/>
              </w:rPr>
              <w:t>；</w:t>
            </w:r>
          </w:p>
          <w:p w14:paraId="72D5CFEF">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22、通过软件平台实现告警功能：支持依据客户要求配置报警规则，报警展示包括报警等级、报警源、IP地址、报警时间、报警内容等</w:t>
            </w:r>
            <w:r>
              <w:rPr>
                <w:rFonts w:hint="eastAsia" w:ascii="宋体" w:hAnsi="宋体" w:cs="宋体"/>
                <w:color w:val="auto"/>
                <w:sz w:val="21"/>
                <w:szCs w:val="21"/>
                <w:highlight w:val="none"/>
                <w:lang w:eastAsia="zh-CN"/>
              </w:rPr>
              <w:t>。</w:t>
            </w:r>
          </w:p>
        </w:tc>
      </w:tr>
      <w:tr w14:paraId="50A5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3" w:type="pct"/>
            <w:shd w:val="clear" w:color="auto" w:fill="auto"/>
            <w:vAlign w:val="center"/>
          </w:tcPr>
          <w:p w14:paraId="5CF5EB20">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w:t>
            </w:r>
          </w:p>
        </w:tc>
        <w:tc>
          <w:tcPr>
            <w:tcW w:w="744" w:type="pct"/>
            <w:shd w:val="clear" w:color="auto" w:fill="auto"/>
            <w:vAlign w:val="center"/>
          </w:tcPr>
          <w:p w14:paraId="4FA19B05">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单口网络面板</w:t>
            </w:r>
          </w:p>
        </w:tc>
        <w:tc>
          <w:tcPr>
            <w:tcW w:w="476" w:type="pct"/>
            <w:shd w:val="clear" w:color="auto" w:fill="auto"/>
            <w:vAlign w:val="center"/>
          </w:tcPr>
          <w:p w14:paraId="5413F3CA">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89套</w:t>
            </w:r>
          </w:p>
        </w:tc>
        <w:tc>
          <w:tcPr>
            <w:tcW w:w="388" w:type="pct"/>
            <w:shd w:val="clear" w:color="auto" w:fill="auto"/>
            <w:vAlign w:val="center"/>
          </w:tcPr>
          <w:p w14:paraId="307E07CA">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26BB7DAE">
            <w:pPr>
              <w:widowControl/>
              <w:jc w:val="left"/>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含面板、模块</w:t>
            </w:r>
          </w:p>
        </w:tc>
      </w:tr>
      <w:tr w14:paraId="3D0F5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3" w:type="pct"/>
            <w:shd w:val="clear" w:color="auto" w:fill="auto"/>
            <w:vAlign w:val="center"/>
          </w:tcPr>
          <w:p w14:paraId="35FD369B">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w:t>
            </w:r>
          </w:p>
        </w:tc>
        <w:tc>
          <w:tcPr>
            <w:tcW w:w="744" w:type="pct"/>
            <w:shd w:val="clear" w:color="auto" w:fill="auto"/>
            <w:vAlign w:val="center"/>
          </w:tcPr>
          <w:p w14:paraId="662FE268">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单口电话面板</w:t>
            </w:r>
          </w:p>
        </w:tc>
        <w:tc>
          <w:tcPr>
            <w:tcW w:w="476" w:type="pct"/>
            <w:shd w:val="clear" w:color="auto" w:fill="auto"/>
            <w:vAlign w:val="center"/>
          </w:tcPr>
          <w:p w14:paraId="015CDF7D">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28套</w:t>
            </w:r>
          </w:p>
        </w:tc>
        <w:tc>
          <w:tcPr>
            <w:tcW w:w="388" w:type="pct"/>
            <w:shd w:val="clear" w:color="auto" w:fill="auto"/>
            <w:vAlign w:val="center"/>
          </w:tcPr>
          <w:p w14:paraId="3CB13CC1">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24198533">
            <w:pPr>
              <w:widowControl/>
              <w:jc w:val="left"/>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含面板、模块</w:t>
            </w:r>
          </w:p>
        </w:tc>
      </w:tr>
      <w:tr w14:paraId="69DA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3" w:type="pct"/>
            <w:shd w:val="clear" w:color="auto" w:fill="auto"/>
            <w:vAlign w:val="center"/>
          </w:tcPr>
          <w:p w14:paraId="6338C36B">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21</w:t>
            </w:r>
          </w:p>
        </w:tc>
        <w:tc>
          <w:tcPr>
            <w:tcW w:w="744" w:type="pct"/>
            <w:shd w:val="clear" w:color="auto" w:fill="auto"/>
            <w:vAlign w:val="center"/>
          </w:tcPr>
          <w:p w14:paraId="6EBE0F33">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单口电视面板</w:t>
            </w:r>
          </w:p>
        </w:tc>
        <w:tc>
          <w:tcPr>
            <w:tcW w:w="476" w:type="pct"/>
            <w:shd w:val="clear" w:color="auto" w:fill="auto"/>
            <w:vAlign w:val="center"/>
          </w:tcPr>
          <w:p w14:paraId="1D2C9CA4">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17套</w:t>
            </w:r>
          </w:p>
        </w:tc>
        <w:tc>
          <w:tcPr>
            <w:tcW w:w="388" w:type="pct"/>
            <w:shd w:val="clear" w:color="auto" w:fill="auto"/>
            <w:vAlign w:val="center"/>
          </w:tcPr>
          <w:p w14:paraId="60BB27D3">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4B228238">
            <w:pPr>
              <w:widowControl/>
              <w:jc w:val="left"/>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含面板、模块</w:t>
            </w:r>
          </w:p>
        </w:tc>
      </w:tr>
      <w:tr w14:paraId="5CD4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3" w:type="pct"/>
            <w:shd w:val="clear" w:color="auto" w:fill="auto"/>
            <w:vAlign w:val="center"/>
          </w:tcPr>
          <w:p w14:paraId="3C8EE84F">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22</w:t>
            </w:r>
          </w:p>
        </w:tc>
        <w:tc>
          <w:tcPr>
            <w:tcW w:w="744" w:type="pct"/>
            <w:shd w:val="clear" w:color="auto" w:fill="auto"/>
            <w:vAlign w:val="center"/>
          </w:tcPr>
          <w:p w14:paraId="7FF21CFD">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超五类网线</w:t>
            </w:r>
          </w:p>
        </w:tc>
        <w:tc>
          <w:tcPr>
            <w:tcW w:w="476" w:type="pct"/>
            <w:shd w:val="clear" w:color="auto" w:fill="auto"/>
            <w:vAlign w:val="center"/>
          </w:tcPr>
          <w:p w14:paraId="01DB3478">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54箱</w:t>
            </w:r>
          </w:p>
        </w:tc>
        <w:tc>
          <w:tcPr>
            <w:tcW w:w="388" w:type="pct"/>
            <w:shd w:val="clear" w:color="auto" w:fill="auto"/>
            <w:vAlign w:val="center"/>
          </w:tcPr>
          <w:p w14:paraId="38E1077F">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70751492">
            <w:pPr>
              <w:widowControl/>
              <w:jc w:val="left"/>
              <w:textAlignment w:val="center"/>
              <w:rPr>
                <w:rFonts w:ascii="宋体" w:hAnsi="宋体" w:cs="宋体"/>
                <w:color w:val="auto"/>
                <w:sz w:val="21"/>
                <w:szCs w:val="21"/>
                <w:highlight w:val="none"/>
              </w:rPr>
            </w:pPr>
            <w:r>
              <w:rPr>
                <w:rFonts w:hint="eastAsia" w:ascii="宋体" w:hAnsi="宋体" w:cs="宋体"/>
                <w:color w:val="auto"/>
                <w:sz w:val="21"/>
                <w:szCs w:val="21"/>
                <w:highlight w:val="none"/>
              </w:rPr>
              <w:t>超五类网线</w:t>
            </w:r>
          </w:p>
        </w:tc>
      </w:tr>
      <w:tr w14:paraId="1F09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3" w:type="pct"/>
            <w:shd w:val="clear" w:color="auto" w:fill="auto"/>
            <w:vAlign w:val="center"/>
          </w:tcPr>
          <w:p w14:paraId="3CFD6B8E">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23</w:t>
            </w:r>
          </w:p>
        </w:tc>
        <w:tc>
          <w:tcPr>
            <w:tcW w:w="744" w:type="pct"/>
            <w:shd w:val="clear" w:color="auto" w:fill="auto"/>
            <w:vAlign w:val="center"/>
          </w:tcPr>
          <w:p w14:paraId="3A9E7A74">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电源线</w:t>
            </w:r>
          </w:p>
        </w:tc>
        <w:tc>
          <w:tcPr>
            <w:tcW w:w="476" w:type="pct"/>
            <w:shd w:val="clear" w:color="auto" w:fill="auto"/>
            <w:vAlign w:val="center"/>
          </w:tcPr>
          <w:p w14:paraId="7051B20D">
            <w:pPr>
              <w:widowControl/>
              <w:jc w:val="center"/>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1650</w:t>
            </w:r>
            <w:r>
              <w:rPr>
                <w:rFonts w:hint="eastAsia" w:ascii="宋体" w:hAnsi="宋体" w:cs="宋体"/>
                <w:color w:val="auto"/>
                <w:sz w:val="21"/>
                <w:szCs w:val="21"/>
                <w:highlight w:val="none"/>
                <w:lang w:val="en-US" w:eastAsia="zh-CN"/>
              </w:rPr>
              <w:t>米</w:t>
            </w:r>
          </w:p>
        </w:tc>
        <w:tc>
          <w:tcPr>
            <w:tcW w:w="388" w:type="pct"/>
            <w:shd w:val="clear" w:color="auto" w:fill="auto"/>
            <w:vAlign w:val="center"/>
          </w:tcPr>
          <w:p w14:paraId="45B8799F">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6BD606E1">
            <w:pPr>
              <w:widowControl/>
              <w:jc w:val="left"/>
              <w:textAlignment w:val="center"/>
              <w:rPr>
                <w:rFonts w:ascii="宋体" w:hAnsi="宋体" w:cs="宋体"/>
                <w:color w:val="auto"/>
                <w:sz w:val="21"/>
                <w:szCs w:val="21"/>
                <w:highlight w:val="none"/>
              </w:rPr>
            </w:pPr>
            <w:r>
              <w:rPr>
                <w:rFonts w:hint="eastAsia" w:ascii="宋体" w:hAnsi="宋体" w:cs="宋体"/>
                <w:color w:val="auto"/>
                <w:sz w:val="21"/>
                <w:szCs w:val="21"/>
                <w:highlight w:val="none"/>
              </w:rPr>
              <w:t>RVV3*1.5</w:t>
            </w:r>
          </w:p>
        </w:tc>
      </w:tr>
      <w:tr w14:paraId="01562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3" w:type="pct"/>
            <w:shd w:val="clear" w:color="auto" w:fill="auto"/>
            <w:vAlign w:val="center"/>
          </w:tcPr>
          <w:p w14:paraId="7E2C63BA">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744" w:type="pct"/>
            <w:shd w:val="clear" w:color="auto" w:fill="auto"/>
            <w:vAlign w:val="center"/>
          </w:tcPr>
          <w:p w14:paraId="0A8C1B32">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辅材</w:t>
            </w:r>
          </w:p>
        </w:tc>
        <w:tc>
          <w:tcPr>
            <w:tcW w:w="476" w:type="pct"/>
            <w:shd w:val="clear" w:color="auto" w:fill="auto"/>
            <w:vAlign w:val="center"/>
          </w:tcPr>
          <w:p w14:paraId="75396C1E">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1批</w:t>
            </w:r>
          </w:p>
        </w:tc>
        <w:tc>
          <w:tcPr>
            <w:tcW w:w="388" w:type="pct"/>
            <w:shd w:val="clear" w:color="auto" w:fill="auto"/>
            <w:vAlign w:val="center"/>
          </w:tcPr>
          <w:p w14:paraId="54C549DE">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15CB3757">
            <w:pPr>
              <w:widowControl/>
              <w:jc w:val="left"/>
              <w:textAlignment w:val="center"/>
              <w:rPr>
                <w:rFonts w:ascii="宋体" w:hAnsi="宋体" w:cs="宋体"/>
                <w:color w:val="auto"/>
                <w:sz w:val="21"/>
                <w:szCs w:val="21"/>
                <w:highlight w:val="none"/>
              </w:rPr>
            </w:pPr>
            <w:r>
              <w:rPr>
                <w:rFonts w:hint="eastAsia" w:ascii="宋体" w:hAnsi="宋体" w:cs="宋体"/>
                <w:color w:val="auto"/>
                <w:sz w:val="21"/>
                <w:szCs w:val="21"/>
                <w:highlight w:val="none"/>
              </w:rPr>
              <w:t>PVC线管、胶布、水晶头、自攻钉、五孔插座、连接线</w:t>
            </w:r>
          </w:p>
        </w:tc>
      </w:tr>
      <w:tr w14:paraId="539F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3" w:type="pct"/>
            <w:shd w:val="clear" w:color="auto" w:fill="auto"/>
            <w:vAlign w:val="center"/>
          </w:tcPr>
          <w:p w14:paraId="73D0FA30">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25</w:t>
            </w:r>
          </w:p>
        </w:tc>
        <w:tc>
          <w:tcPr>
            <w:tcW w:w="744" w:type="pct"/>
            <w:shd w:val="clear" w:color="auto" w:fill="auto"/>
            <w:vAlign w:val="center"/>
          </w:tcPr>
          <w:p w14:paraId="35752DB3">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系统集成</w:t>
            </w:r>
          </w:p>
        </w:tc>
        <w:tc>
          <w:tcPr>
            <w:tcW w:w="476" w:type="pct"/>
            <w:shd w:val="clear" w:color="auto" w:fill="auto"/>
            <w:vAlign w:val="center"/>
          </w:tcPr>
          <w:p w14:paraId="4B25098B">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w:t>
            </w:r>
          </w:p>
        </w:tc>
        <w:tc>
          <w:tcPr>
            <w:tcW w:w="388" w:type="pct"/>
            <w:shd w:val="clear" w:color="auto" w:fill="auto"/>
            <w:vAlign w:val="center"/>
          </w:tcPr>
          <w:p w14:paraId="3F1D29B7">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0675DC7E">
            <w:pPr>
              <w:widowControl/>
              <w:jc w:val="left"/>
              <w:textAlignment w:val="center"/>
              <w:rPr>
                <w:rFonts w:ascii="宋体" w:hAnsi="宋体" w:cs="宋体"/>
                <w:color w:val="auto"/>
                <w:sz w:val="21"/>
                <w:szCs w:val="21"/>
                <w:highlight w:val="none"/>
              </w:rPr>
            </w:pPr>
            <w:r>
              <w:rPr>
                <w:rFonts w:hint="eastAsia" w:ascii="宋体" w:hAnsi="宋体" w:cs="宋体"/>
                <w:color w:val="auto"/>
                <w:sz w:val="21"/>
                <w:szCs w:val="21"/>
                <w:highlight w:val="none"/>
              </w:rPr>
              <w:t>系统集成</w:t>
            </w:r>
          </w:p>
        </w:tc>
      </w:tr>
      <w:tr w14:paraId="59F81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000" w:type="pct"/>
            <w:gridSpan w:val="5"/>
            <w:shd w:val="clear" w:color="auto" w:fill="auto"/>
            <w:vAlign w:val="center"/>
          </w:tcPr>
          <w:p w14:paraId="7B85F0FA">
            <w:pPr>
              <w:jc w:val="center"/>
              <w:rPr>
                <w:rFonts w:ascii="宋体" w:hAnsi="宋体" w:cs="宋体"/>
                <w:color w:val="auto"/>
                <w:szCs w:val="21"/>
                <w:highlight w:val="none"/>
              </w:rPr>
            </w:pPr>
            <w:r>
              <w:rPr>
                <w:rFonts w:hint="eastAsia" w:ascii="宋体" w:hAnsi="宋体" w:cs="宋体"/>
                <w:b/>
                <w:bCs/>
                <w:color w:val="auto"/>
                <w:kern w:val="0"/>
                <w:sz w:val="36"/>
                <w:szCs w:val="36"/>
                <w:highlight w:val="none"/>
                <w:lang w:bidi="ar"/>
              </w:rPr>
              <w:t>六、厨房设备部分</w:t>
            </w:r>
          </w:p>
        </w:tc>
      </w:tr>
      <w:tr w14:paraId="4AEF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5000" w:type="pct"/>
            <w:gridSpan w:val="5"/>
            <w:shd w:val="clear" w:color="auto" w:fill="auto"/>
            <w:vAlign w:val="center"/>
          </w:tcPr>
          <w:p w14:paraId="2DB4B2FA">
            <w:pPr>
              <w:jc w:val="left"/>
              <w:rPr>
                <w:rFonts w:hint="eastAsia" w:ascii="宋体" w:hAnsi="宋体" w:cs="宋体"/>
                <w:b/>
                <w:bCs/>
                <w:color w:val="auto"/>
                <w:kern w:val="0"/>
                <w:sz w:val="36"/>
                <w:szCs w:val="36"/>
                <w:highlight w:val="none"/>
                <w:lang w:bidi="ar"/>
              </w:rPr>
            </w:pPr>
            <w:r>
              <w:rPr>
                <w:rFonts w:hint="eastAsia" w:ascii="宋体" w:hAnsi="宋体" w:cs="宋体"/>
                <w:b/>
                <w:bCs/>
                <w:color w:val="auto"/>
                <w:kern w:val="0"/>
                <w:sz w:val="24"/>
                <w:szCs w:val="24"/>
                <w:highlight w:val="none"/>
                <w:lang w:bidi="ar"/>
              </w:rPr>
              <w:t>一）、仓库</w:t>
            </w:r>
          </w:p>
        </w:tc>
      </w:tr>
      <w:tr w14:paraId="5DB8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518B5643">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kern w:val="0"/>
                <w:szCs w:val="21"/>
                <w:highlight w:val="none"/>
                <w:lang w:val="en-US" w:eastAsia="zh-CN" w:bidi="ar"/>
              </w:rPr>
              <w:t>26</w:t>
            </w:r>
          </w:p>
        </w:tc>
        <w:tc>
          <w:tcPr>
            <w:tcW w:w="744" w:type="pct"/>
            <w:shd w:val="clear" w:color="auto" w:fill="auto"/>
            <w:vAlign w:val="center"/>
          </w:tcPr>
          <w:p w14:paraId="51B682F5">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米面架</w:t>
            </w:r>
          </w:p>
        </w:tc>
        <w:tc>
          <w:tcPr>
            <w:tcW w:w="476" w:type="pct"/>
            <w:shd w:val="clear" w:color="auto" w:fill="auto"/>
            <w:vAlign w:val="center"/>
          </w:tcPr>
          <w:p w14:paraId="3480B5F6">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2台</w:t>
            </w:r>
          </w:p>
        </w:tc>
        <w:tc>
          <w:tcPr>
            <w:tcW w:w="388" w:type="pct"/>
            <w:shd w:val="clear" w:color="auto" w:fill="auto"/>
            <w:vAlign w:val="center"/>
          </w:tcPr>
          <w:p w14:paraId="68F8028E">
            <w:pPr>
              <w:widowControl/>
              <w:jc w:val="center"/>
              <w:textAlignment w:val="center"/>
              <w:rPr>
                <w:rFonts w:ascii="宋体" w:hAnsi="宋体" w:cs="宋体"/>
                <w:color w:val="auto"/>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2F2792E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规格：1000*600*300mm</w:t>
            </w:r>
          </w:p>
          <w:p w14:paraId="65992303">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1.采用38*38mm优质201#方通厚1.0mm制作成骨架</w:t>
            </w:r>
            <w:r>
              <w:rPr>
                <w:rFonts w:hint="eastAsia" w:ascii="宋体" w:hAnsi="宋体" w:cs="宋体"/>
                <w:color w:val="auto"/>
                <w:szCs w:val="21"/>
                <w:highlight w:val="none"/>
                <w:lang w:eastAsia="zh-CN"/>
              </w:rPr>
              <w:t>；</w:t>
            </w:r>
          </w:p>
          <w:p w14:paraId="4EAAEA6B">
            <w:pPr>
              <w:widowControl/>
              <w:ind w:left="420" w:hanging="420" w:hangingChars="200"/>
              <w:jc w:val="left"/>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rPr>
              <w:t>2.间隔条采用25*13mm优质201#方通制作</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p>
          <w:p w14:paraId="21390D42">
            <w:pPr>
              <w:widowControl/>
              <w:ind w:left="420" w:hanging="420" w:hangingChars="200"/>
              <w:jc w:val="left"/>
              <w:textAlignment w:val="center"/>
              <w:rPr>
                <w:rFonts w:ascii="宋体" w:hAnsi="宋体" w:cs="宋体"/>
                <w:color w:val="auto"/>
                <w:szCs w:val="21"/>
                <w:highlight w:val="none"/>
              </w:rPr>
            </w:pPr>
            <w:r>
              <w:rPr>
                <w:rFonts w:hint="eastAsia" w:ascii="宋体" w:hAnsi="宋体" w:cs="宋体"/>
                <w:color w:val="auto"/>
                <w:szCs w:val="21"/>
                <w:highlight w:val="none"/>
              </w:rPr>
              <w:t xml:space="preserve">3.柱脚采用201#Φ38不锈钢管及可调高低不锈钢子弹脚 。   </w:t>
            </w:r>
          </w:p>
        </w:tc>
      </w:tr>
      <w:tr w14:paraId="0739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333" w:type="pct"/>
            <w:shd w:val="clear" w:color="auto" w:fill="auto"/>
            <w:vAlign w:val="center"/>
          </w:tcPr>
          <w:p w14:paraId="0B5C9EC4">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kern w:val="0"/>
                <w:szCs w:val="21"/>
                <w:highlight w:val="none"/>
                <w:lang w:val="en-US" w:eastAsia="zh-CN" w:bidi="ar"/>
              </w:rPr>
              <w:t>27</w:t>
            </w:r>
          </w:p>
        </w:tc>
        <w:tc>
          <w:tcPr>
            <w:tcW w:w="744" w:type="pct"/>
            <w:shd w:val="clear" w:color="auto" w:fill="auto"/>
            <w:vAlign w:val="center"/>
          </w:tcPr>
          <w:p w14:paraId="04C71EAC">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单星带平台 </w:t>
            </w:r>
          </w:p>
        </w:tc>
        <w:tc>
          <w:tcPr>
            <w:tcW w:w="476" w:type="pct"/>
            <w:shd w:val="clear" w:color="auto" w:fill="auto"/>
            <w:vAlign w:val="center"/>
          </w:tcPr>
          <w:p w14:paraId="49279FE2">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2台</w:t>
            </w:r>
          </w:p>
        </w:tc>
        <w:tc>
          <w:tcPr>
            <w:tcW w:w="388" w:type="pct"/>
            <w:shd w:val="clear" w:color="auto" w:fill="auto"/>
            <w:vAlign w:val="center"/>
          </w:tcPr>
          <w:p w14:paraId="29510125">
            <w:pPr>
              <w:widowControl/>
              <w:jc w:val="center"/>
              <w:textAlignment w:val="center"/>
              <w:rPr>
                <w:rFonts w:ascii="宋体" w:hAnsi="宋体" w:cs="宋体"/>
                <w:color w:val="auto"/>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6A42999F">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规格：1200*700*800/150mm</w:t>
            </w:r>
          </w:p>
          <w:p w14:paraId="3E143E1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1、面板采用1.0mm优质雪花不锈钢板；</w:t>
            </w:r>
          </w:p>
          <w:p w14:paraId="6BBB6CB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2、支架、通脚用Φ50</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1.0mm优质不锈钢管；</w:t>
            </w:r>
          </w:p>
          <w:p w14:paraId="199B64E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3、可调子弹脚用Φ50mm不锈钢子弹脚；</w:t>
            </w:r>
          </w:p>
          <w:p w14:paraId="3E3BB9E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4、星盆斗用1.0mm优质不锈钢板；</w:t>
            </w:r>
          </w:p>
          <w:p w14:paraId="6C82D269">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5、每盆配不锈钢ND16mm高身摇摆式水龙头</w:t>
            </w:r>
            <w:r>
              <w:rPr>
                <w:rFonts w:hint="eastAsia" w:ascii="宋体" w:hAnsi="宋体" w:cs="宋体"/>
                <w:color w:val="auto"/>
                <w:szCs w:val="21"/>
                <w:highlight w:val="none"/>
                <w:lang w:eastAsia="zh-CN"/>
              </w:rPr>
              <w:t>。</w:t>
            </w:r>
          </w:p>
        </w:tc>
      </w:tr>
      <w:tr w14:paraId="4C85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24472233">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kern w:val="0"/>
                <w:szCs w:val="21"/>
                <w:highlight w:val="none"/>
                <w:lang w:val="en-US" w:eastAsia="zh-CN" w:bidi="ar"/>
              </w:rPr>
              <w:t>28</w:t>
            </w:r>
          </w:p>
        </w:tc>
        <w:tc>
          <w:tcPr>
            <w:tcW w:w="744" w:type="pct"/>
            <w:shd w:val="clear" w:color="auto" w:fill="auto"/>
            <w:vAlign w:val="center"/>
          </w:tcPr>
          <w:p w14:paraId="7BE8161B">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四层平板货架</w:t>
            </w:r>
          </w:p>
        </w:tc>
        <w:tc>
          <w:tcPr>
            <w:tcW w:w="476" w:type="pct"/>
            <w:shd w:val="clear" w:color="auto" w:fill="auto"/>
            <w:vAlign w:val="center"/>
          </w:tcPr>
          <w:p w14:paraId="346C596E">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2台</w:t>
            </w:r>
          </w:p>
        </w:tc>
        <w:tc>
          <w:tcPr>
            <w:tcW w:w="388" w:type="pct"/>
            <w:shd w:val="clear" w:color="auto" w:fill="auto"/>
            <w:vAlign w:val="center"/>
          </w:tcPr>
          <w:p w14:paraId="60A9F5A2">
            <w:pPr>
              <w:widowControl/>
              <w:jc w:val="center"/>
              <w:textAlignment w:val="center"/>
              <w:rPr>
                <w:rFonts w:ascii="宋体" w:hAnsi="宋体" w:cs="宋体"/>
                <w:color w:val="auto"/>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6E6C510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规格：1200*500*1550mm</w:t>
            </w:r>
          </w:p>
          <w:p w14:paraId="3D0B9B33">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1.层板采用1.2mm优质201#雪花不锈钢板</w:t>
            </w:r>
            <w:r>
              <w:rPr>
                <w:rFonts w:hint="eastAsia" w:ascii="宋体" w:hAnsi="宋体" w:cs="宋体"/>
                <w:color w:val="auto"/>
                <w:szCs w:val="21"/>
                <w:highlight w:val="none"/>
                <w:lang w:eastAsia="zh-CN"/>
              </w:rPr>
              <w:t>；</w:t>
            </w:r>
          </w:p>
          <w:p w14:paraId="6E7D000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2.主框架采用201#38*25管厚H=1.2mm 不锈钢；</w:t>
            </w:r>
          </w:p>
          <w:p w14:paraId="157D2F25">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 xml:space="preserve">3.柱脚采用201#40mm不锈钢方管及可调高低不锈钢子弹脚。   </w:t>
            </w:r>
          </w:p>
        </w:tc>
      </w:tr>
      <w:tr w14:paraId="5BB05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138B70F4">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kern w:val="0"/>
                <w:szCs w:val="21"/>
                <w:highlight w:val="none"/>
                <w:lang w:val="en-US" w:eastAsia="zh-CN" w:bidi="ar"/>
              </w:rPr>
              <w:t>29</w:t>
            </w:r>
          </w:p>
        </w:tc>
        <w:tc>
          <w:tcPr>
            <w:tcW w:w="744" w:type="pct"/>
            <w:shd w:val="clear" w:color="auto" w:fill="auto"/>
            <w:vAlign w:val="center"/>
          </w:tcPr>
          <w:p w14:paraId="7C48ABEE">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四层栅格层架</w:t>
            </w:r>
          </w:p>
        </w:tc>
        <w:tc>
          <w:tcPr>
            <w:tcW w:w="476" w:type="pct"/>
            <w:shd w:val="clear" w:color="auto" w:fill="auto"/>
            <w:vAlign w:val="center"/>
          </w:tcPr>
          <w:p w14:paraId="4B529696">
            <w:pPr>
              <w:widowControl/>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台</w:t>
            </w:r>
          </w:p>
        </w:tc>
        <w:tc>
          <w:tcPr>
            <w:tcW w:w="388" w:type="pct"/>
            <w:shd w:val="clear" w:color="auto" w:fill="auto"/>
            <w:vAlign w:val="center"/>
          </w:tcPr>
          <w:p w14:paraId="3446F745">
            <w:pPr>
              <w:widowControl/>
              <w:jc w:val="center"/>
              <w:textAlignment w:val="center"/>
              <w:rPr>
                <w:rFonts w:ascii="宋体" w:hAnsi="宋体" w:cs="宋体"/>
                <w:color w:val="auto"/>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7297064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规格：1200*500*1550mm</w:t>
            </w:r>
          </w:p>
          <w:p w14:paraId="5DA154B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1、层架整体采用框架嵌入式结构；</w:t>
            </w:r>
          </w:p>
          <w:p w14:paraId="2F9809A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2、主框架采用38*25*1.2mm优质不锈钢管；</w:t>
            </w:r>
          </w:p>
          <w:p w14:paraId="58A164E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3、层架间隔条采用25</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13*1.2mm优质不锈钢方管；</w:t>
            </w:r>
          </w:p>
          <w:p w14:paraId="7F1A463A">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4、柱脚采用Φ50*1.2mm优质不锈钢管及可调高低不锈钢子弹脚。</w:t>
            </w:r>
          </w:p>
        </w:tc>
      </w:tr>
      <w:tr w14:paraId="3544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5000" w:type="pct"/>
            <w:gridSpan w:val="5"/>
            <w:shd w:val="clear" w:color="auto" w:fill="auto"/>
            <w:vAlign w:val="center"/>
          </w:tcPr>
          <w:p w14:paraId="0F17C816">
            <w:pPr>
              <w:jc w:val="left"/>
              <w:rPr>
                <w:rFonts w:ascii="宋体" w:hAnsi="宋体" w:cs="宋体"/>
                <w:color w:val="auto"/>
                <w:szCs w:val="21"/>
                <w:highlight w:val="none"/>
              </w:rPr>
            </w:pPr>
            <w:r>
              <w:rPr>
                <w:rFonts w:hint="eastAsia" w:ascii="宋体" w:hAnsi="宋体" w:eastAsia="宋体" w:cs="宋体"/>
                <w:b/>
                <w:bCs/>
                <w:color w:val="auto"/>
                <w:kern w:val="0"/>
                <w:sz w:val="24"/>
                <w:szCs w:val="24"/>
                <w:highlight w:val="none"/>
                <w:lang w:bidi="ar"/>
              </w:rPr>
              <w:t>二）、蔬菜加工间</w:t>
            </w:r>
          </w:p>
        </w:tc>
      </w:tr>
      <w:tr w14:paraId="049F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333" w:type="pct"/>
            <w:shd w:val="clear" w:color="auto" w:fill="auto"/>
            <w:vAlign w:val="center"/>
          </w:tcPr>
          <w:p w14:paraId="75154527">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kern w:val="0"/>
                <w:szCs w:val="21"/>
                <w:highlight w:val="none"/>
                <w:lang w:val="en-US" w:eastAsia="zh-CN" w:bidi="ar"/>
              </w:rPr>
              <w:t>30</w:t>
            </w:r>
          </w:p>
        </w:tc>
        <w:tc>
          <w:tcPr>
            <w:tcW w:w="744" w:type="pct"/>
            <w:shd w:val="clear" w:color="auto" w:fill="auto"/>
            <w:vAlign w:val="center"/>
          </w:tcPr>
          <w:p w14:paraId="4076CFE3">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瓜果切丝机</w:t>
            </w:r>
          </w:p>
        </w:tc>
        <w:tc>
          <w:tcPr>
            <w:tcW w:w="476" w:type="pct"/>
            <w:shd w:val="clear" w:color="auto" w:fill="auto"/>
            <w:vAlign w:val="center"/>
          </w:tcPr>
          <w:p w14:paraId="50BF9DEE">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台</w:t>
            </w:r>
          </w:p>
        </w:tc>
        <w:tc>
          <w:tcPr>
            <w:tcW w:w="388" w:type="pct"/>
            <w:shd w:val="clear" w:color="auto" w:fill="auto"/>
            <w:vAlign w:val="center"/>
          </w:tcPr>
          <w:p w14:paraId="57374E6F">
            <w:pPr>
              <w:widowControl/>
              <w:jc w:val="center"/>
              <w:textAlignment w:val="center"/>
              <w:rPr>
                <w:rFonts w:ascii="宋体" w:hAnsi="宋体" w:cs="宋体"/>
                <w:color w:val="auto"/>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60BFF04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规格：330*400*750mm</w:t>
            </w:r>
          </w:p>
          <w:p w14:paraId="18915D8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1.电机功率：1.1KW</w:t>
            </w:r>
          </w:p>
          <w:p w14:paraId="0BF918B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2.额定电压：220V</w:t>
            </w:r>
          </w:p>
          <w:p w14:paraId="0BE1CA98">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3.生产能力：切片300kg/h，切丝300kg/h</w:t>
            </w:r>
          </w:p>
        </w:tc>
      </w:tr>
      <w:tr w14:paraId="2E60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54B6CA6E">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kern w:val="0"/>
                <w:szCs w:val="21"/>
                <w:highlight w:val="none"/>
                <w:lang w:val="en-US" w:eastAsia="zh-CN" w:bidi="ar"/>
              </w:rPr>
              <w:t>31</w:t>
            </w:r>
          </w:p>
        </w:tc>
        <w:tc>
          <w:tcPr>
            <w:tcW w:w="744" w:type="pct"/>
            <w:shd w:val="clear" w:color="auto" w:fill="auto"/>
            <w:vAlign w:val="center"/>
          </w:tcPr>
          <w:p w14:paraId="1C360D99">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三星盆台</w:t>
            </w:r>
          </w:p>
        </w:tc>
        <w:tc>
          <w:tcPr>
            <w:tcW w:w="476" w:type="pct"/>
            <w:shd w:val="clear" w:color="auto" w:fill="auto"/>
            <w:vAlign w:val="center"/>
          </w:tcPr>
          <w:p w14:paraId="75CD9A3F">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台</w:t>
            </w:r>
          </w:p>
        </w:tc>
        <w:tc>
          <w:tcPr>
            <w:tcW w:w="388" w:type="pct"/>
            <w:shd w:val="clear" w:color="auto" w:fill="auto"/>
            <w:vAlign w:val="center"/>
          </w:tcPr>
          <w:p w14:paraId="006AA673">
            <w:pPr>
              <w:widowControl/>
              <w:jc w:val="center"/>
              <w:textAlignment w:val="center"/>
              <w:rPr>
                <w:rFonts w:ascii="宋体" w:hAnsi="宋体" w:cs="宋体"/>
                <w:color w:val="auto"/>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6D407B3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规格：1800*700*800/150mm</w:t>
            </w:r>
          </w:p>
          <w:p w14:paraId="6446452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面板采用1.2mm优质雪花不锈钢板；</w:t>
            </w:r>
          </w:p>
          <w:p w14:paraId="1547A16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支架、通脚用Φ38x1.0mm不锈钢管；</w:t>
            </w:r>
          </w:p>
          <w:p w14:paraId="2460926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可调子弹脚用Φ38mm不锈钢子弹脚；</w:t>
            </w:r>
          </w:p>
          <w:p w14:paraId="0208607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星盆斗用1.2mm不锈钢板；</w:t>
            </w:r>
          </w:p>
          <w:p w14:paraId="35186A2B">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每盆配不锈钢ND16mm高身摇摆式水龙头</w:t>
            </w:r>
            <w:r>
              <w:rPr>
                <w:rFonts w:hint="eastAsia" w:ascii="宋体" w:hAnsi="宋体" w:cs="宋体"/>
                <w:color w:val="auto"/>
                <w:szCs w:val="21"/>
                <w:highlight w:val="none"/>
                <w:lang w:eastAsia="zh-CN"/>
              </w:rPr>
              <w:t>。</w:t>
            </w:r>
          </w:p>
        </w:tc>
      </w:tr>
      <w:tr w14:paraId="5A6A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035081EB">
            <w:pPr>
              <w:widowControl/>
              <w:jc w:val="center"/>
              <w:textAlignment w:val="center"/>
              <w:rPr>
                <w:rFonts w:hint="default"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32</w:t>
            </w:r>
          </w:p>
        </w:tc>
        <w:tc>
          <w:tcPr>
            <w:tcW w:w="744" w:type="pct"/>
            <w:shd w:val="clear" w:color="auto" w:fill="auto"/>
            <w:vAlign w:val="center"/>
          </w:tcPr>
          <w:p w14:paraId="4B9F0333">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双层工作台</w:t>
            </w:r>
          </w:p>
        </w:tc>
        <w:tc>
          <w:tcPr>
            <w:tcW w:w="476" w:type="pct"/>
            <w:shd w:val="clear" w:color="auto" w:fill="auto"/>
            <w:vAlign w:val="center"/>
          </w:tcPr>
          <w:p w14:paraId="76761503">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4台</w:t>
            </w:r>
          </w:p>
        </w:tc>
        <w:tc>
          <w:tcPr>
            <w:tcW w:w="388" w:type="pct"/>
            <w:shd w:val="clear" w:color="auto" w:fill="auto"/>
            <w:vAlign w:val="center"/>
          </w:tcPr>
          <w:p w14:paraId="25803750">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6EE4C97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规格：1500*700*800mm</w:t>
            </w:r>
          </w:p>
          <w:p w14:paraId="15B7682E">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1.工作台面板采用1.2mm优质201#雪花不锈钢板加垫15mm大芯夹板</w:t>
            </w:r>
            <w:r>
              <w:rPr>
                <w:rFonts w:hint="eastAsia" w:ascii="宋体" w:hAnsi="宋体" w:cs="宋体"/>
                <w:color w:val="auto"/>
                <w:szCs w:val="21"/>
                <w:highlight w:val="none"/>
                <w:lang w:eastAsia="zh-CN"/>
              </w:rPr>
              <w:t>；</w:t>
            </w:r>
          </w:p>
          <w:p w14:paraId="42DAECD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2.支架、通脚用201#Φ38</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1.0mm不锈钢管；</w:t>
            </w:r>
          </w:p>
          <w:p w14:paraId="18189C4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3.可调子弹脚用Φ38mm不锈钢子弹脚；</w:t>
            </w:r>
          </w:p>
          <w:p w14:paraId="5B41986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4.层板用1.0mm优质201#雪花不锈钢磨砂贴塑板；</w:t>
            </w:r>
          </w:p>
          <w:p w14:paraId="1AEB0132">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5.加强筋采用1.0mm优质201#雪花不锈钢板折弯</w:t>
            </w:r>
            <w:r>
              <w:rPr>
                <w:rFonts w:hint="eastAsia" w:ascii="宋体" w:hAnsi="宋体" w:cs="宋体"/>
                <w:color w:val="auto"/>
                <w:szCs w:val="21"/>
                <w:highlight w:val="none"/>
                <w:lang w:eastAsia="zh-CN"/>
              </w:rPr>
              <w:t>。</w:t>
            </w:r>
          </w:p>
        </w:tc>
      </w:tr>
      <w:tr w14:paraId="64C63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10402EE1">
            <w:pPr>
              <w:widowControl/>
              <w:jc w:val="center"/>
              <w:textAlignment w:val="center"/>
              <w:rPr>
                <w:rFonts w:hint="default"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33</w:t>
            </w:r>
          </w:p>
        </w:tc>
        <w:tc>
          <w:tcPr>
            <w:tcW w:w="744" w:type="pct"/>
            <w:shd w:val="clear" w:color="auto" w:fill="auto"/>
            <w:vAlign w:val="center"/>
          </w:tcPr>
          <w:p w14:paraId="57F0005B">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四门高身雪柜</w:t>
            </w:r>
          </w:p>
        </w:tc>
        <w:tc>
          <w:tcPr>
            <w:tcW w:w="476" w:type="pct"/>
            <w:shd w:val="clear" w:color="auto" w:fill="auto"/>
            <w:vAlign w:val="center"/>
          </w:tcPr>
          <w:p w14:paraId="077BF9AB">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4台</w:t>
            </w:r>
          </w:p>
        </w:tc>
        <w:tc>
          <w:tcPr>
            <w:tcW w:w="388" w:type="pct"/>
            <w:shd w:val="clear" w:color="auto" w:fill="auto"/>
            <w:vAlign w:val="center"/>
          </w:tcPr>
          <w:p w14:paraId="2EF52700">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6CE281B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规格：1220*730*1950mm</w:t>
            </w:r>
          </w:p>
          <w:p w14:paraId="116B888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1.气候类别:4类 </w:t>
            </w:r>
          </w:p>
          <w:p w14:paraId="7AFD9CA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2.电 源:220V/50Hz      </w:t>
            </w:r>
          </w:p>
          <w:p w14:paraId="211DF08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3. 输入功率:0.42KW   </w:t>
            </w:r>
          </w:p>
          <w:p w14:paraId="6BC1C72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4.箱内温度(冷藏):-5℃～+5℃</w:t>
            </w:r>
          </w:p>
          <w:p w14:paraId="3844C36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5.箱内温度(冷冻):-12℃～0℃ </w:t>
            </w:r>
          </w:p>
          <w:p w14:paraId="56C8EB6E">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6.制冷剂:R134a</w:t>
            </w:r>
          </w:p>
        </w:tc>
      </w:tr>
      <w:tr w14:paraId="72C2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5000" w:type="pct"/>
            <w:gridSpan w:val="5"/>
            <w:shd w:val="clear" w:color="auto" w:fill="auto"/>
            <w:vAlign w:val="center"/>
          </w:tcPr>
          <w:p w14:paraId="0C16EFC6">
            <w:pPr>
              <w:jc w:val="left"/>
              <w:rPr>
                <w:rFonts w:hint="eastAsia" w:ascii="宋体" w:hAnsi="宋体" w:cs="宋体"/>
                <w:color w:val="auto"/>
                <w:szCs w:val="21"/>
                <w:highlight w:val="none"/>
              </w:rPr>
            </w:pPr>
            <w:r>
              <w:rPr>
                <w:rFonts w:hint="eastAsia" w:ascii="宋体" w:hAnsi="宋体" w:eastAsia="宋体" w:cs="宋体"/>
                <w:b/>
                <w:bCs/>
                <w:color w:val="auto"/>
                <w:kern w:val="0"/>
                <w:sz w:val="24"/>
                <w:szCs w:val="24"/>
                <w:highlight w:val="none"/>
                <w:lang w:bidi="ar"/>
              </w:rPr>
              <w:t>三）、肉类加工间</w:t>
            </w:r>
          </w:p>
        </w:tc>
      </w:tr>
      <w:tr w14:paraId="3686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7BF7DC79">
            <w:pPr>
              <w:widowControl/>
              <w:jc w:val="center"/>
              <w:textAlignment w:val="center"/>
              <w:rPr>
                <w:rFonts w:hint="default"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34</w:t>
            </w:r>
          </w:p>
        </w:tc>
        <w:tc>
          <w:tcPr>
            <w:tcW w:w="744" w:type="pct"/>
            <w:shd w:val="clear" w:color="auto" w:fill="auto"/>
            <w:vAlign w:val="center"/>
          </w:tcPr>
          <w:p w14:paraId="03C6D1F8">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绞切肉机</w:t>
            </w:r>
          </w:p>
        </w:tc>
        <w:tc>
          <w:tcPr>
            <w:tcW w:w="476" w:type="pct"/>
            <w:shd w:val="clear" w:color="auto" w:fill="auto"/>
            <w:vAlign w:val="center"/>
          </w:tcPr>
          <w:p w14:paraId="2B4EB8E5">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3台</w:t>
            </w:r>
          </w:p>
        </w:tc>
        <w:tc>
          <w:tcPr>
            <w:tcW w:w="388" w:type="pct"/>
            <w:shd w:val="clear" w:color="auto" w:fill="auto"/>
            <w:vAlign w:val="center"/>
          </w:tcPr>
          <w:p w14:paraId="2C2DC857">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2DCEF2D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规格：520*410*840mm</w:t>
            </w:r>
          </w:p>
          <w:p w14:paraId="397CB59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1.额定功率:220V/1.5KW</w:t>
            </w:r>
          </w:p>
          <w:p w14:paraId="01DBFBB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2.绞肉量：220KG/H    </w:t>
            </w:r>
          </w:p>
          <w:p w14:paraId="4CE1F5F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3.切肉量：150KG/H  </w:t>
            </w:r>
          </w:p>
        </w:tc>
      </w:tr>
      <w:tr w14:paraId="101B4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39938A06">
            <w:pPr>
              <w:widowControl/>
              <w:jc w:val="center"/>
              <w:textAlignment w:val="center"/>
              <w:rPr>
                <w:rFonts w:hint="default"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35</w:t>
            </w:r>
          </w:p>
        </w:tc>
        <w:tc>
          <w:tcPr>
            <w:tcW w:w="744" w:type="pct"/>
            <w:shd w:val="clear" w:color="auto" w:fill="auto"/>
            <w:vAlign w:val="center"/>
          </w:tcPr>
          <w:p w14:paraId="4776E23B">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双星水池 </w:t>
            </w:r>
          </w:p>
        </w:tc>
        <w:tc>
          <w:tcPr>
            <w:tcW w:w="476" w:type="pct"/>
            <w:shd w:val="clear" w:color="auto" w:fill="auto"/>
            <w:vAlign w:val="center"/>
          </w:tcPr>
          <w:p w14:paraId="1A254441">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2台</w:t>
            </w:r>
          </w:p>
        </w:tc>
        <w:tc>
          <w:tcPr>
            <w:tcW w:w="388" w:type="pct"/>
            <w:shd w:val="clear" w:color="auto" w:fill="auto"/>
            <w:vAlign w:val="center"/>
          </w:tcPr>
          <w:p w14:paraId="203AAF7E">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2C441C2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规格：1200*700*800/150mm</w:t>
            </w:r>
          </w:p>
          <w:p w14:paraId="299E207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面板采用1.0mm优质雪花不锈钢板；</w:t>
            </w:r>
          </w:p>
          <w:p w14:paraId="3A68419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支架、通脚用Φ50x1.0mm优质不锈钢管；</w:t>
            </w:r>
          </w:p>
          <w:p w14:paraId="44693E6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可调子弹脚用Φ50mm不锈钢子弹脚；</w:t>
            </w:r>
          </w:p>
          <w:p w14:paraId="4A0257A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星盆斗用1.0mm优质不锈钢板；</w:t>
            </w:r>
          </w:p>
          <w:p w14:paraId="3689FACE">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每盆配不锈钢ND16mm高身摇摆式水龙头</w:t>
            </w:r>
            <w:r>
              <w:rPr>
                <w:rFonts w:hint="eastAsia" w:ascii="宋体" w:hAnsi="宋体" w:cs="宋体"/>
                <w:color w:val="auto"/>
                <w:szCs w:val="21"/>
                <w:highlight w:val="none"/>
                <w:lang w:eastAsia="zh-CN"/>
              </w:rPr>
              <w:t>。</w:t>
            </w:r>
          </w:p>
        </w:tc>
      </w:tr>
      <w:tr w14:paraId="71DC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76A5B56E">
            <w:pPr>
              <w:widowControl/>
              <w:jc w:val="center"/>
              <w:textAlignment w:val="center"/>
              <w:rPr>
                <w:rFonts w:hint="default"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36</w:t>
            </w:r>
          </w:p>
        </w:tc>
        <w:tc>
          <w:tcPr>
            <w:tcW w:w="744" w:type="pct"/>
            <w:shd w:val="clear" w:color="auto" w:fill="auto"/>
            <w:vAlign w:val="center"/>
          </w:tcPr>
          <w:p w14:paraId="4AB42162">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双层工作台</w:t>
            </w:r>
          </w:p>
        </w:tc>
        <w:tc>
          <w:tcPr>
            <w:tcW w:w="476" w:type="pct"/>
            <w:shd w:val="clear" w:color="auto" w:fill="auto"/>
            <w:vAlign w:val="center"/>
          </w:tcPr>
          <w:p w14:paraId="50F0B06B">
            <w:pPr>
              <w:widowControl/>
              <w:jc w:val="center"/>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2台</w:t>
            </w:r>
          </w:p>
        </w:tc>
        <w:tc>
          <w:tcPr>
            <w:tcW w:w="388" w:type="pct"/>
            <w:shd w:val="clear" w:color="auto" w:fill="auto"/>
            <w:vAlign w:val="center"/>
          </w:tcPr>
          <w:p w14:paraId="2E56DDD7">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7C0D7DF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规格：1500*700*800mm</w:t>
            </w:r>
          </w:p>
          <w:p w14:paraId="6384440B">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1.工作台面板采用1.2mm优质201#雪花不锈钢板加垫15mm大芯夹板</w:t>
            </w:r>
            <w:r>
              <w:rPr>
                <w:rFonts w:hint="eastAsia" w:ascii="宋体" w:hAnsi="宋体" w:cs="宋体"/>
                <w:color w:val="auto"/>
                <w:szCs w:val="21"/>
                <w:highlight w:val="none"/>
                <w:lang w:eastAsia="zh-CN"/>
              </w:rPr>
              <w:t>；</w:t>
            </w:r>
          </w:p>
          <w:p w14:paraId="402B4E3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2.支架、通脚用201#Φ38x1.0mm不锈钢管；</w:t>
            </w:r>
          </w:p>
          <w:p w14:paraId="400B85F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3.可调子弹脚用Φ38mm不锈钢子弹脚；</w:t>
            </w:r>
          </w:p>
          <w:p w14:paraId="3BCEBCD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4.层板用1.0mm优质201#雪花不锈钢磨砂贴塑板；</w:t>
            </w:r>
          </w:p>
          <w:p w14:paraId="6FD2A354">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5.加强筋采用1.0mm优质201#雪花不锈钢板折弯</w:t>
            </w:r>
            <w:r>
              <w:rPr>
                <w:rFonts w:hint="eastAsia" w:ascii="宋体" w:hAnsi="宋体" w:cs="宋体"/>
                <w:color w:val="auto"/>
                <w:szCs w:val="21"/>
                <w:highlight w:val="none"/>
                <w:lang w:eastAsia="zh-CN"/>
              </w:rPr>
              <w:t>。</w:t>
            </w:r>
          </w:p>
        </w:tc>
      </w:tr>
      <w:tr w14:paraId="54E05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42466A68">
            <w:pPr>
              <w:widowControl/>
              <w:jc w:val="center"/>
              <w:textAlignment w:val="center"/>
              <w:rPr>
                <w:rFonts w:hint="default"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37</w:t>
            </w:r>
          </w:p>
        </w:tc>
        <w:tc>
          <w:tcPr>
            <w:tcW w:w="744" w:type="pct"/>
            <w:shd w:val="clear" w:color="auto" w:fill="auto"/>
            <w:vAlign w:val="center"/>
          </w:tcPr>
          <w:p w14:paraId="50F3D51D">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四门高身雪柜</w:t>
            </w:r>
          </w:p>
        </w:tc>
        <w:tc>
          <w:tcPr>
            <w:tcW w:w="476" w:type="pct"/>
            <w:shd w:val="clear" w:color="auto" w:fill="auto"/>
            <w:vAlign w:val="center"/>
          </w:tcPr>
          <w:p w14:paraId="10D7AD86">
            <w:pPr>
              <w:widowControl/>
              <w:jc w:val="center"/>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2台</w:t>
            </w:r>
          </w:p>
        </w:tc>
        <w:tc>
          <w:tcPr>
            <w:tcW w:w="388" w:type="pct"/>
            <w:shd w:val="clear" w:color="auto" w:fill="auto"/>
            <w:vAlign w:val="center"/>
          </w:tcPr>
          <w:p w14:paraId="1AAAA0E7">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70C64B8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规格：1220*730*1950mm</w:t>
            </w:r>
          </w:p>
          <w:p w14:paraId="34E6278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1.气候类别:4类 </w:t>
            </w:r>
          </w:p>
          <w:p w14:paraId="0F68F41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2.电 源:220V/50Hz      </w:t>
            </w:r>
          </w:p>
          <w:p w14:paraId="330739C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3. 输入功率:0.42KW   </w:t>
            </w:r>
          </w:p>
          <w:p w14:paraId="5F4541B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4.箱内温度(冷藏):-5℃～+5℃</w:t>
            </w:r>
          </w:p>
          <w:p w14:paraId="4748137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5.箱内温度(冷冻):-12℃～0℃ </w:t>
            </w:r>
          </w:p>
          <w:p w14:paraId="1B83091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6.制冷剂:R134a</w:t>
            </w:r>
          </w:p>
        </w:tc>
      </w:tr>
      <w:tr w14:paraId="4ADF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5000" w:type="pct"/>
            <w:gridSpan w:val="5"/>
            <w:shd w:val="clear" w:color="auto" w:fill="auto"/>
            <w:vAlign w:val="center"/>
          </w:tcPr>
          <w:p w14:paraId="0C0C83DD">
            <w:pPr>
              <w:jc w:val="left"/>
              <w:rPr>
                <w:rFonts w:hint="eastAsia" w:ascii="宋体" w:hAnsi="宋体" w:cs="宋体"/>
                <w:color w:val="auto"/>
                <w:szCs w:val="21"/>
                <w:highlight w:val="none"/>
              </w:rPr>
            </w:pPr>
            <w:r>
              <w:rPr>
                <w:rFonts w:hint="eastAsia" w:ascii="宋体" w:hAnsi="宋体" w:eastAsia="宋体" w:cs="宋体"/>
                <w:b/>
                <w:bCs/>
                <w:color w:val="auto"/>
                <w:kern w:val="0"/>
                <w:sz w:val="24"/>
                <w:szCs w:val="24"/>
                <w:highlight w:val="none"/>
                <w:lang w:bidi="ar"/>
              </w:rPr>
              <w:t>四）、洗消间</w:t>
            </w:r>
          </w:p>
        </w:tc>
      </w:tr>
      <w:tr w14:paraId="43533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130D2408">
            <w:pPr>
              <w:widowControl/>
              <w:jc w:val="center"/>
              <w:textAlignment w:val="center"/>
              <w:rPr>
                <w:rFonts w:hint="default"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38</w:t>
            </w:r>
          </w:p>
        </w:tc>
        <w:tc>
          <w:tcPr>
            <w:tcW w:w="744" w:type="pct"/>
            <w:shd w:val="clear" w:color="auto" w:fill="auto"/>
            <w:vAlign w:val="center"/>
          </w:tcPr>
          <w:p w14:paraId="1475D29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单孔收残台</w:t>
            </w:r>
          </w:p>
        </w:tc>
        <w:tc>
          <w:tcPr>
            <w:tcW w:w="476" w:type="pct"/>
            <w:shd w:val="clear" w:color="auto" w:fill="auto"/>
            <w:vAlign w:val="center"/>
          </w:tcPr>
          <w:p w14:paraId="0312AF15">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3台</w:t>
            </w:r>
          </w:p>
        </w:tc>
        <w:tc>
          <w:tcPr>
            <w:tcW w:w="388" w:type="pct"/>
            <w:shd w:val="clear" w:color="auto" w:fill="auto"/>
            <w:vAlign w:val="center"/>
          </w:tcPr>
          <w:p w14:paraId="28E28CD1">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3320E10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规格：700*700*800/150mm</w:t>
            </w:r>
          </w:p>
          <w:p w14:paraId="6C42542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1.工作台面板采用1.2mm优质雪花不锈钢板加垫15mm大芯夹板；</w:t>
            </w:r>
          </w:p>
          <w:p w14:paraId="5ECB496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2.支架38*25</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1.2mm优质不锈钢管；</w:t>
            </w:r>
          </w:p>
          <w:p w14:paraId="0AA682F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3.通脚用Φ50</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1.2mm优质不锈钢管，配可调不锈钢子弹脚；</w:t>
            </w:r>
          </w:p>
          <w:p w14:paraId="61D05EF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4.加强筋采用1.2mm优质雪花不锈钢板折弯。</w:t>
            </w:r>
          </w:p>
          <w:p w14:paraId="48F4FEB3">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收残口尺寸：上口250mm，下口150mm，高度100mm</w:t>
            </w:r>
            <w:r>
              <w:rPr>
                <w:rFonts w:hint="eastAsia" w:ascii="宋体" w:hAnsi="宋体" w:cs="宋体"/>
                <w:color w:val="auto"/>
                <w:szCs w:val="21"/>
                <w:highlight w:val="none"/>
                <w:lang w:eastAsia="zh-CN"/>
              </w:rPr>
              <w:t>。</w:t>
            </w:r>
          </w:p>
        </w:tc>
      </w:tr>
      <w:tr w14:paraId="7CEBB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5DCD7AE5">
            <w:pPr>
              <w:widowControl/>
              <w:jc w:val="center"/>
              <w:textAlignment w:val="center"/>
              <w:rPr>
                <w:rFonts w:hint="default"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39</w:t>
            </w:r>
          </w:p>
        </w:tc>
        <w:tc>
          <w:tcPr>
            <w:tcW w:w="744" w:type="pct"/>
            <w:shd w:val="clear" w:color="auto" w:fill="auto"/>
            <w:vAlign w:val="center"/>
          </w:tcPr>
          <w:p w14:paraId="56DD1207">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三星盆台</w:t>
            </w:r>
          </w:p>
        </w:tc>
        <w:tc>
          <w:tcPr>
            <w:tcW w:w="476" w:type="pct"/>
            <w:shd w:val="clear" w:color="auto" w:fill="auto"/>
            <w:vAlign w:val="center"/>
          </w:tcPr>
          <w:p w14:paraId="0269FE9E">
            <w:pPr>
              <w:widowControl/>
              <w:jc w:val="center"/>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3台</w:t>
            </w:r>
          </w:p>
        </w:tc>
        <w:tc>
          <w:tcPr>
            <w:tcW w:w="388" w:type="pct"/>
            <w:shd w:val="clear" w:color="auto" w:fill="auto"/>
            <w:vAlign w:val="center"/>
          </w:tcPr>
          <w:p w14:paraId="0FE8AE4C">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2CCE830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规格：1800*700*800/150mm</w:t>
            </w:r>
          </w:p>
          <w:p w14:paraId="122D632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面板采用1.2mm优质雪花不锈钢板；</w:t>
            </w:r>
          </w:p>
          <w:p w14:paraId="0748294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支架、通脚用Φ38</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1.0mm不锈钢管；</w:t>
            </w:r>
          </w:p>
          <w:p w14:paraId="1543658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可调子弹脚用Φ38mm不锈钢子弹脚；</w:t>
            </w:r>
          </w:p>
          <w:p w14:paraId="5B06110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星盆斗用1.2mm不锈钢板；</w:t>
            </w:r>
          </w:p>
          <w:p w14:paraId="137266A5">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每盆配不锈钢ND16mm高身摇摆式水龙头</w:t>
            </w:r>
            <w:r>
              <w:rPr>
                <w:rFonts w:hint="eastAsia" w:ascii="宋体" w:hAnsi="宋体" w:cs="宋体"/>
                <w:color w:val="auto"/>
                <w:szCs w:val="21"/>
                <w:highlight w:val="none"/>
                <w:lang w:eastAsia="zh-CN"/>
              </w:rPr>
              <w:t>。</w:t>
            </w:r>
          </w:p>
        </w:tc>
      </w:tr>
      <w:tr w14:paraId="5134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4658CD9D">
            <w:pPr>
              <w:widowControl/>
              <w:jc w:val="center"/>
              <w:textAlignment w:val="center"/>
              <w:rPr>
                <w:rFonts w:hint="default"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40</w:t>
            </w:r>
          </w:p>
        </w:tc>
        <w:tc>
          <w:tcPr>
            <w:tcW w:w="744" w:type="pct"/>
            <w:shd w:val="clear" w:color="auto" w:fill="auto"/>
            <w:vAlign w:val="center"/>
          </w:tcPr>
          <w:p w14:paraId="40046AAB">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双门消毒柜</w:t>
            </w:r>
          </w:p>
        </w:tc>
        <w:tc>
          <w:tcPr>
            <w:tcW w:w="476" w:type="pct"/>
            <w:shd w:val="clear" w:color="auto" w:fill="auto"/>
            <w:vAlign w:val="center"/>
          </w:tcPr>
          <w:p w14:paraId="62364460">
            <w:pPr>
              <w:widowControl/>
              <w:jc w:val="center"/>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3台</w:t>
            </w:r>
          </w:p>
        </w:tc>
        <w:tc>
          <w:tcPr>
            <w:tcW w:w="388" w:type="pct"/>
            <w:shd w:val="clear" w:color="auto" w:fill="auto"/>
            <w:vAlign w:val="center"/>
          </w:tcPr>
          <w:p w14:paraId="36180180">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30BC53E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1.电压：220V                       </w:t>
            </w:r>
          </w:p>
          <w:p w14:paraId="7E03B22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2.功率：3KW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3.容量：300个餐（360*270*20）                                                                    柜内配10个不锈钢</w:t>
            </w:r>
            <w:r>
              <w:rPr>
                <w:rFonts w:hint="eastAsia" w:ascii="宋体" w:hAnsi="宋体" w:cs="宋体"/>
                <w:color w:val="auto"/>
                <w:szCs w:val="21"/>
                <w:highlight w:val="none"/>
                <w:lang w:val="en-US" w:eastAsia="zh-CN"/>
              </w:rPr>
              <w:t>篮</w:t>
            </w:r>
            <w:r>
              <w:rPr>
                <w:rFonts w:hint="eastAsia" w:ascii="宋体" w:hAnsi="宋体" w:cs="宋体"/>
                <w:color w:val="auto"/>
                <w:szCs w:val="21"/>
                <w:highlight w:val="none"/>
                <w:lang w:eastAsia="zh-CN"/>
              </w:rPr>
              <w:t>，</w:t>
            </w:r>
            <w:r>
              <w:rPr>
                <w:rFonts w:hint="eastAsia" w:ascii="宋体" w:hAnsi="宋体" w:cs="宋体"/>
                <w:color w:val="auto"/>
                <w:szCs w:val="21"/>
                <w:highlight w:val="none"/>
              </w:rPr>
              <w:t>板材采用201#不锈钢板制造，整体聚氨酯发泡</w:t>
            </w:r>
          </w:p>
        </w:tc>
      </w:tr>
      <w:tr w14:paraId="0BC6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295D54FA">
            <w:pPr>
              <w:widowControl/>
              <w:jc w:val="center"/>
              <w:textAlignment w:val="center"/>
              <w:rPr>
                <w:rFonts w:hint="default"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41</w:t>
            </w:r>
          </w:p>
        </w:tc>
        <w:tc>
          <w:tcPr>
            <w:tcW w:w="744" w:type="pct"/>
            <w:shd w:val="clear" w:color="auto" w:fill="auto"/>
            <w:vAlign w:val="center"/>
          </w:tcPr>
          <w:p w14:paraId="087E6A88">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保洁柜</w:t>
            </w:r>
          </w:p>
        </w:tc>
        <w:tc>
          <w:tcPr>
            <w:tcW w:w="476" w:type="pct"/>
            <w:shd w:val="clear" w:color="auto" w:fill="auto"/>
            <w:vAlign w:val="center"/>
          </w:tcPr>
          <w:p w14:paraId="24DB3070">
            <w:pPr>
              <w:widowControl/>
              <w:jc w:val="center"/>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3台</w:t>
            </w:r>
          </w:p>
        </w:tc>
        <w:tc>
          <w:tcPr>
            <w:tcW w:w="388" w:type="pct"/>
            <w:shd w:val="clear" w:color="auto" w:fill="auto"/>
            <w:vAlign w:val="center"/>
          </w:tcPr>
          <w:p w14:paraId="6216C717">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1274232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规格：1200*500*1800mm</w:t>
            </w:r>
          </w:p>
          <w:p w14:paraId="5528992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1.柜身用采用1.2mm优质雪花不锈钢板</w:t>
            </w:r>
          </w:p>
          <w:p w14:paraId="0864079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3.柜内层板用1.2mm优质雪花不锈钢板</w:t>
            </w:r>
          </w:p>
          <w:p w14:paraId="2C710AC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4.趟门用1.2mm优质不锈钢磨砂板        </w:t>
            </w:r>
          </w:p>
          <w:p w14:paraId="22C62F6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5.加强筋用1.2mm不锈钢板折弯，Φ51可调子弹脚</w:t>
            </w:r>
          </w:p>
        </w:tc>
      </w:tr>
      <w:tr w14:paraId="197F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5000" w:type="pct"/>
            <w:gridSpan w:val="5"/>
            <w:shd w:val="clear" w:color="auto" w:fill="auto"/>
            <w:vAlign w:val="center"/>
          </w:tcPr>
          <w:p w14:paraId="46CF771E">
            <w:pPr>
              <w:jc w:val="left"/>
              <w:rPr>
                <w:rFonts w:hint="eastAsia" w:ascii="宋体" w:hAnsi="宋体" w:cs="宋体"/>
                <w:color w:val="auto"/>
                <w:szCs w:val="21"/>
                <w:highlight w:val="none"/>
              </w:rPr>
            </w:pPr>
            <w:r>
              <w:rPr>
                <w:rFonts w:hint="eastAsia" w:ascii="宋体" w:hAnsi="宋体" w:eastAsia="宋体" w:cs="宋体"/>
                <w:b/>
                <w:bCs/>
                <w:color w:val="auto"/>
                <w:kern w:val="0"/>
                <w:sz w:val="24"/>
                <w:szCs w:val="24"/>
                <w:highlight w:val="none"/>
                <w:lang w:bidi="ar"/>
              </w:rPr>
              <w:t>五）、烹饪间</w:t>
            </w:r>
          </w:p>
        </w:tc>
      </w:tr>
      <w:tr w14:paraId="6826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34FD5AC3">
            <w:pPr>
              <w:widowControl/>
              <w:jc w:val="center"/>
              <w:textAlignment w:val="center"/>
              <w:rPr>
                <w:rFonts w:hint="default"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42</w:t>
            </w:r>
          </w:p>
        </w:tc>
        <w:tc>
          <w:tcPr>
            <w:tcW w:w="744" w:type="pct"/>
            <w:shd w:val="clear" w:color="auto" w:fill="auto"/>
            <w:vAlign w:val="center"/>
          </w:tcPr>
          <w:p w14:paraId="6429E3F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燃气单头矮汤炉</w:t>
            </w:r>
          </w:p>
        </w:tc>
        <w:tc>
          <w:tcPr>
            <w:tcW w:w="476" w:type="pct"/>
            <w:shd w:val="clear" w:color="auto" w:fill="auto"/>
            <w:vAlign w:val="center"/>
          </w:tcPr>
          <w:p w14:paraId="4DD57DC4">
            <w:pPr>
              <w:widowControl/>
              <w:jc w:val="center"/>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3台</w:t>
            </w:r>
          </w:p>
        </w:tc>
        <w:tc>
          <w:tcPr>
            <w:tcW w:w="388" w:type="pct"/>
            <w:shd w:val="clear" w:color="auto" w:fill="auto"/>
            <w:vAlign w:val="center"/>
          </w:tcPr>
          <w:p w14:paraId="2E90CEF4">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1791134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1.炉面采用1.0mm不锈钢板制作；</w:t>
            </w:r>
          </w:p>
          <w:p w14:paraId="31E3701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2.炉身及炉背板采用1.0mm不锈钢板；</w:t>
            </w:r>
          </w:p>
          <w:p w14:paraId="4E8D8C6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3.炉体骨架采用40</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40</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3.5mm角钢；</w:t>
            </w:r>
          </w:p>
          <w:p w14:paraId="2C89AF8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4.扁铁炉花采用铸造件；</w:t>
            </w:r>
          </w:p>
          <w:p w14:paraId="4F1A49C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5.炉通脚采用φ38毫米无缝管；炉通脚内含子弹脚；</w:t>
            </w:r>
          </w:p>
          <w:p w14:paraId="4BFC64C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6.每个炉头安装光能炉</w:t>
            </w:r>
            <w:r>
              <w:rPr>
                <w:rFonts w:hint="eastAsia" w:ascii="宋体" w:hAnsi="宋体" w:cs="宋体"/>
                <w:color w:val="auto"/>
                <w:szCs w:val="21"/>
                <w:highlight w:val="none"/>
                <w:lang w:eastAsia="zh-CN"/>
              </w:rPr>
              <w:t>芯</w:t>
            </w:r>
            <w:r>
              <w:rPr>
                <w:rFonts w:hint="eastAsia" w:ascii="宋体" w:hAnsi="宋体" w:cs="宋体"/>
                <w:color w:val="auto"/>
                <w:szCs w:val="21"/>
                <w:highlight w:val="none"/>
              </w:rPr>
              <w:t>，并有活动式垫脏板。</w:t>
            </w:r>
          </w:p>
          <w:p w14:paraId="1BFCBEA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7.脉冲电子打火。</w:t>
            </w:r>
          </w:p>
        </w:tc>
      </w:tr>
      <w:tr w14:paraId="44B5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409947C1">
            <w:pPr>
              <w:widowControl/>
              <w:jc w:val="center"/>
              <w:textAlignment w:val="center"/>
              <w:rPr>
                <w:rFonts w:hint="default"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43</w:t>
            </w:r>
          </w:p>
        </w:tc>
        <w:tc>
          <w:tcPr>
            <w:tcW w:w="744" w:type="pct"/>
            <w:shd w:val="clear" w:color="auto" w:fill="auto"/>
            <w:vAlign w:val="center"/>
          </w:tcPr>
          <w:p w14:paraId="3534C4D8">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炉拼台</w:t>
            </w:r>
          </w:p>
        </w:tc>
        <w:tc>
          <w:tcPr>
            <w:tcW w:w="476" w:type="pct"/>
            <w:shd w:val="clear" w:color="auto" w:fill="auto"/>
            <w:vAlign w:val="center"/>
          </w:tcPr>
          <w:p w14:paraId="665ADD98">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6台</w:t>
            </w:r>
          </w:p>
        </w:tc>
        <w:tc>
          <w:tcPr>
            <w:tcW w:w="388" w:type="pct"/>
            <w:shd w:val="clear" w:color="auto" w:fill="auto"/>
            <w:vAlign w:val="center"/>
          </w:tcPr>
          <w:p w14:paraId="0D8D9638">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686E0FD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规格：350*1000*800/450mm</w:t>
            </w:r>
          </w:p>
          <w:p w14:paraId="044922D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1.面板采用1.2mm优质雪花不锈钢板制作</w:t>
            </w:r>
          </w:p>
          <w:p w14:paraId="35CE6DD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2.前挡板、背板、加强筋采用1.2mm优质雪花不锈钢板制作</w:t>
            </w:r>
          </w:p>
          <w:p w14:paraId="578501D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3.横通采用38*25*1.2mm优质不锈钢管</w:t>
            </w:r>
          </w:p>
          <w:p w14:paraId="1E864D4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4.通脚用Φ50*1.2mm优质不锈钢管，配可调子弹脚。</w:t>
            </w:r>
          </w:p>
        </w:tc>
      </w:tr>
      <w:tr w14:paraId="07AF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2F2EB6AF">
            <w:pPr>
              <w:widowControl/>
              <w:jc w:val="center"/>
              <w:textAlignment w:val="center"/>
              <w:rPr>
                <w:rFonts w:hint="default"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44</w:t>
            </w:r>
          </w:p>
        </w:tc>
        <w:tc>
          <w:tcPr>
            <w:tcW w:w="744" w:type="pct"/>
            <w:shd w:val="clear" w:color="auto" w:fill="auto"/>
            <w:vAlign w:val="center"/>
          </w:tcPr>
          <w:p w14:paraId="67D3D4A3">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燃气大炒连小炒炉</w:t>
            </w:r>
          </w:p>
        </w:tc>
        <w:tc>
          <w:tcPr>
            <w:tcW w:w="476" w:type="pct"/>
            <w:shd w:val="clear" w:color="auto" w:fill="auto"/>
            <w:vAlign w:val="center"/>
          </w:tcPr>
          <w:p w14:paraId="434AC35A">
            <w:pPr>
              <w:widowControl/>
              <w:jc w:val="center"/>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3台</w:t>
            </w:r>
          </w:p>
        </w:tc>
        <w:tc>
          <w:tcPr>
            <w:tcW w:w="388" w:type="pct"/>
            <w:shd w:val="clear" w:color="auto" w:fill="auto"/>
            <w:vAlign w:val="center"/>
          </w:tcPr>
          <w:p w14:paraId="309E1CD8">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33798F9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规格：2150*1150*800/350mm                             </w:t>
            </w:r>
          </w:p>
          <w:p w14:paraId="41888AC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1.炉面及炉身采用1.2mm不锈钢板材</w:t>
            </w:r>
          </w:p>
          <w:p w14:paraId="079215E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2.炉体骨架结构用40*40*3.5mm的角铁。</w:t>
            </w:r>
          </w:p>
          <w:p w14:paraId="5B36F40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3.面板§=1.2mm 不锈钢，前板§=0.8mm 不锈钢。                                            </w:t>
            </w:r>
          </w:p>
          <w:p w14:paraId="68A22AA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4.炉通脚用φ=50mm不锈钢管。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5.炉通脚内含支撑身的钢管以及高度调整钢脚螺丝。                                 </w:t>
            </w:r>
          </w:p>
          <w:p w14:paraId="755960A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6.每个炉头装有摇摆龙头、配优质中压风机。                             </w:t>
            </w:r>
          </w:p>
          <w:p w14:paraId="7A13DA9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7.炉膛内采用耐火砖砌结火位。</w:t>
            </w:r>
          </w:p>
          <w:p w14:paraId="392BB78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8.脉冲电子打火。</w:t>
            </w:r>
          </w:p>
        </w:tc>
      </w:tr>
      <w:tr w14:paraId="6473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0A8A7270">
            <w:pPr>
              <w:widowControl/>
              <w:jc w:val="center"/>
              <w:textAlignment w:val="center"/>
              <w:rPr>
                <w:rFonts w:hint="default"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45</w:t>
            </w:r>
          </w:p>
        </w:tc>
        <w:tc>
          <w:tcPr>
            <w:tcW w:w="744" w:type="pct"/>
            <w:shd w:val="clear" w:color="auto" w:fill="auto"/>
            <w:vAlign w:val="center"/>
          </w:tcPr>
          <w:p w14:paraId="7800339E">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燃气蒸饭柜</w:t>
            </w:r>
          </w:p>
        </w:tc>
        <w:tc>
          <w:tcPr>
            <w:tcW w:w="476" w:type="pct"/>
            <w:shd w:val="clear" w:color="auto" w:fill="auto"/>
            <w:vAlign w:val="center"/>
          </w:tcPr>
          <w:p w14:paraId="7AD67DAD">
            <w:pPr>
              <w:widowControl/>
              <w:jc w:val="center"/>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3台</w:t>
            </w:r>
          </w:p>
        </w:tc>
        <w:tc>
          <w:tcPr>
            <w:tcW w:w="388" w:type="pct"/>
            <w:shd w:val="clear" w:color="auto" w:fill="auto"/>
            <w:vAlign w:val="center"/>
          </w:tcPr>
          <w:p w14:paraId="1A74ABFE">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5222265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规格：1400*620*1480mm  双门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w:t>
            </w:r>
          </w:p>
          <w:p w14:paraId="753EF17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1.功率：24KW                            </w:t>
            </w:r>
          </w:p>
          <w:p w14:paraId="1A074B4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2.电压：380V                              </w:t>
            </w:r>
          </w:p>
          <w:p w14:paraId="0E174FA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3.不锈钢机体，内胆不锈钢，外观流畅、卫生清洁                                       </w:t>
            </w:r>
          </w:p>
          <w:p w14:paraId="48B9F03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5.旋钮式全自动蒸饭柜，煮饭时间智能自动控制，无需人工操作，操作简单，方便实用                                 6.自动控温控时，每门带温度表，独立显示温度 </w:t>
            </w:r>
          </w:p>
        </w:tc>
      </w:tr>
      <w:tr w14:paraId="46582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58B702EB">
            <w:pPr>
              <w:widowControl/>
              <w:jc w:val="center"/>
              <w:textAlignment w:val="center"/>
              <w:rPr>
                <w:rFonts w:hint="default"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46</w:t>
            </w:r>
          </w:p>
        </w:tc>
        <w:tc>
          <w:tcPr>
            <w:tcW w:w="744" w:type="pct"/>
            <w:shd w:val="clear" w:color="auto" w:fill="auto"/>
            <w:vAlign w:val="center"/>
          </w:tcPr>
          <w:p w14:paraId="14D5050B">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单通打荷台</w:t>
            </w:r>
          </w:p>
        </w:tc>
        <w:tc>
          <w:tcPr>
            <w:tcW w:w="476" w:type="pct"/>
            <w:shd w:val="clear" w:color="auto" w:fill="auto"/>
            <w:vAlign w:val="center"/>
          </w:tcPr>
          <w:p w14:paraId="2C40AB85">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7台</w:t>
            </w:r>
          </w:p>
        </w:tc>
        <w:tc>
          <w:tcPr>
            <w:tcW w:w="388" w:type="pct"/>
            <w:shd w:val="clear" w:color="auto" w:fill="auto"/>
            <w:vAlign w:val="center"/>
          </w:tcPr>
          <w:p w14:paraId="2C8EEC62">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3856F52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规格：1500*800*800mm</w:t>
            </w:r>
          </w:p>
          <w:p w14:paraId="0010045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1.台面采用优质1.2mm优质雪花不锈钢板加15mm木板夹层                                                     </w:t>
            </w:r>
          </w:p>
          <w:p w14:paraId="6AA1335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2.侧板用1.2mm优质不锈钢板</w:t>
            </w:r>
          </w:p>
          <w:p w14:paraId="3E71BE6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3.柜内层板用1.2mm优质不锈钢板</w:t>
            </w:r>
          </w:p>
          <w:p w14:paraId="2A14BFD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4.趟门用1.2mm优质不锈钢板</w:t>
            </w:r>
          </w:p>
          <w:p w14:paraId="471A391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5.支架管用25</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13mm不锈钢方管，Ф51mm不锈钢可调重力脚。</w:t>
            </w:r>
          </w:p>
        </w:tc>
      </w:tr>
      <w:tr w14:paraId="2175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5000" w:type="pct"/>
            <w:gridSpan w:val="5"/>
            <w:shd w:val="clear" w:color="auto" w:fill="auto"/>
            <w:vAlign w:val="center"/>
          </w:tcPr>
          <w:p w14:paraId="396C30C8">
            <w:pPr>
              <w:jc w:val="left"/>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六）、排烟系统</w:t>
            </w:r>
          </w:p>
        </w:tc>
      </w:tr>
      <w:tr w14:paraId="0257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2327F5AE">
            <w:pPr>
              <w:widowControl/>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47</w:t>
            </w:r>
          </w:p>
        </w:tc>
        <w:tc>
          <w:tcPr>
            <w:tcW w:w="744" w:type="pct"/>
            <w:shd w:val="clear" w:color="auto" w:fill="auto"/>
            <w:vAlign w:val="center"/>
          </w:tcPr>
          <w:p w14:paraId="60577B24">
            <w:pPr>
              <w:widowControl/>
              <w:jc w:val="center"/>
              <w:textAlignment w:val="center"/>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不锈钢烟罩</w:t>
            </w:r>
          </w:p>
        </w:tc>
        <w:tc>
          <w:tcPr>
            <w:tcW w:w="476" w:type="pct"/>
            <w:shd w:val="clear" w:color="auto" w:fill="auto"/>
            <w:vAlign w:val="center"/>
          </w:tcPr>
          <w:p w14:paraId="4EB5D9ED">
            <w:pPr>
              <w:widowControl/>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20.8米</w:t>
            </w:r>
          </w:p>
        </w:tc>
        <w:tc>
          <w:tcPr>
            <w:tcW w:w="388" w:type="pct"/>
            <w:shd w:val="clear" w:color="auto" w:fill="auto"/>
            <w:vAlign w:val="center"/>
          </w:tcPr>
          <w:p w14:paraId="6F157884">
            <w:pPr>
              <w:widowControl/>
              <w:jc w:val="center"/>
              <w:textAlignment w:val="center"/>
              <w:rPr>
                <w:rFonts w:hint="eastAsia" w:ascii="宋体" w:hAnsi="宋体" w:eastAsia="宋体" w:cs="宋体"/>
                <w:color w:val="auto"/>
                <w:kern w:val="0"/>
                <w:szCs w:val="21"/>
                <w:highlight w:val="none"/>
                <w:lang w:val="en-US" w:eastAsia="zh-CN" w:bidi="ar"/>
              </w:rPr>
            </w:pPr>
            <w:r>
              <w:rPr>
                <w:rFonts w:hint="eastAsia" w:ascii="宋体" w:hAnsi="宋体" w:cs="宋体"/>
                <w:color w:val="auto"/>
                <w:sz w:val="21"/>
                <w:szCs w:val="21"/>
                <w:highlight w:val="none"/>
              </w:rPr>
              <w:t>工业</w:t>
            </w:r>
          </w:p>
        </w:tc>
        <w:tc>
          <w:tcPr>
            <w:tcW w:w="3056" w:type="pct"/>
            <w:shd w:val="clear" w:color="auto" w:fill="auto"/>
            <w:vAlign w:val="center"/>
          </w:tcPr>
          <w:p w14:paraId="313233A5">
            <w:pPr>
              <w:widowControl/>
              <w:jc w:val="both"/>
              <w:textAlignment w:val="center"/>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 xml:space="preserve">采用1.0mm优质雪花不锈钢板制作 </w:t>
            </w:r>
          </w:p>
        </w:tc>
      </w:tr>
      <w:tr w14:paraId="7B9B9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7D8FEED2">
            <w:pPr>
              <w:widowControl/>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48</w:t>
            </w:r>
          </w:p>
        </w:tc>
        <w:tc>
          <w:tcPr>
            <w:tcW w:w="744" w:type="pct"/>
            <w:shd w:val="clear" w:color="auto" w:fill="auto"/>
            <w:vAlign w:val="center"/>
          </w:tcPr>
          <w:p w14:paraId="3D94E2FC">
            <w:pPr>
              <w:widowControl/>
              <w:jc w:val="center"/>
              <w:textAlignment w:val="center"/>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不锈钢油网</w:t>
            </w:r>
          </w:p>
        </w:tc>
        <w:tc>
          <w:tcPr>
            <w:tcW w:w="476" w:type="pct"/>
            <w:shd w:val="clear" w:color="auto" w:fill="auto"/>
            <w:vAlign w:val="center"/>
          </w:tcPr>
          <w:p w14:paraId="6B66357B">
            <w:pPr>
              <w:widowControl/>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21米</w:t>
            </w:r>
          </w:p>
        </w:tc>
        <w:tc>
          <w:tcPr>
            <w:tcW w:w="388" w:type="pct"/>
            <w:shd w:val="clear" w:color="auto" w:fill="auto"/>
            <w:vAlign w:val="center"/>
          </w:tcPr>
          <w:p w14:paraId="542F8C8C">
            <w:pPr>
              <w:widowControl/>
              <w:jc w:val="center"/>
              <w:textAlignment w:val="center"/>
              <w:rPr>
                <w:rFonts w:hint="eastAsia" w:ascii="宋体" w:hAnsi="宋体" w:eastAsia="宋体" w:cs="宋体"/>
                <w:color w:val="auto"/>
                <w:kern w:val="0"/>
                <w:szCs w:val="21"/>
                <w:highlight w:val="none"/>
                <w:lang w:val="en-US" w:eastAsia="zh-CN" w:bidi="ar"/>
              </w:rPr>
            </w:pPr>
            <w:r>
              <w:rPr>
                <w:rFonts w:hint="eastAsia" w:ascii="宋体" w:hAnsi="宋体" w:cs="宋体"/>
                <w:color w:val="auto"/>
                <w:sz w:val="21"/>
                <w:szCs w:val="21"/>
                <w:highlight w:val="none"/>
              </w:rPr>
              <w:t>工业</w:t>
            </w:r>
          </w:p>
        </w:tc>
        <w:tc>
          <w:tcPr>
            <w:tcW w:w="3056" w:type="pct"/>
            <w:shd w:val="clear" w:color="auto" w:fill="auto"/>
            <w:vAlign w:val="center"/>
          </w:tcPr>
          <w:p w14:paraId="25CAEC3C">
            <w:pPr>
              <w:widowControl/>
              <w:jc w:val="both"/>
              <w:textAlignment w:val="center"/>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 xml:space="preserve">采用1.1mm优质雪花不锈钢板制作 </w:t>
            </w:r>
          </w:p>
        </w:tc>
      </w:tr>
      <w:tr w14:paraId="45D3F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0A069A7D">
            <w:pPr>
              <w:widowControl/>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49</w:t>
            </w:r>
          </w:p>
        </w:tc>
        <w:tc>
          <w:tcPr>
            <w:tcW w:w="744" w:type="pct"/>
            <w:shd w:val="clear" w:color="auto" w:fill="auto"/>
            <w:vAlign w:val="center"/>
          </w:tcPr>
          <w:p w14:paraId="0C8B142B">
            <w:pPr>
              <w:widowControl/>
              <w:jc w:val="center"/>
              <w:textAlignment w:val="center"/>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背封板</w:t>
            </w:r>
          </w:p>
        </w:tc>
        <w:tc>
          <w:tcPr>
            <w:tcW w:w="476" w:type="pct"/>
            <w:shd w:val="clear" w:color="auto" w:fill="auto"/>
            <w:vAlign w:val="center"/>
          </w:tcPr>
          <w:p w14:paraId="2ED6B65A">
            <w:pPr>
              <w:widowControl/>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20.8米</w:t>
            </w:r>
          </w:p>
        </w:tc>
        <w:tc>
          <w:tcPr>
            <w:tcW w:w="388" w:type="pct"/>
            <w:shd w:val="clear" w:color="auto" w:fill="auto"/>
            <w:vAlign w:val="center"/>
          </w:tcPr>
          <w:p w14:paraId="26BB5C3E">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30E54975">
            <w:pPr>
              <w:widowControl/>
              <w:jc w:val="both"/>
              <w:textAlignment w:val="center"/>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 xml:space="preserve">采用1.0mm优质雪花不锈钢板制作 </w:t>
            </w:r>
          </w:p>
        </w:tc>
      </w:tr>
      <w:tr w14:paraId="1DCEA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092F35E3">
            <w:pPr>
              <w:widowControl/>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50</w:t>
            </w:r>
          </w:p>
        </w:tc>
        <w:tc>
          <w:tcPr>
            <w:tcW w:w="744" w:type="pct"/>
            <w:shd w:val="clear" w:color="auto" w:fill="auto"/>
            <w:vAlign w:val="center"/>
          </w:tcPr>
          <w:p w14:paraId="0DC02126">
            <w:pPr>
              <w:widowControl/>
              <w:jc w:val="center"/>
              <w:textAlignment w:val="center"/>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集烟管</w:t>
            </w:r>
          </w:p>
        </w:tc>
        <w:tc>
          <w:tcPr>
            <w:tcW w:w="476" w:type="pct"/>
            <w:shd w:val="clear" w:color="auto" w:fill="auto"/>
            <w:vAlign w:val="center"/>
          </w:tcPr>
          <w:p w14:paraId="54C7812F">
            <w:pPr>
              <w:widowControl/>
              <w:jc w:val="center"/>
              <w:textAlignment w:val="center"/>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72㎡</w:t>
            </w:r>
          </w:p>
        </w:tc>
        <w:tc>
          <w:tcPr>
            <w:tcW w:w="388" w:type="pct"/>
            <w:shd w:val="clear" w:color="auto" w:fill="auto"/>
            <w:vAlign w:val="center"/>
          </w:tcPr>
          <w:p w14:paraId="0849591A">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15A57070">
            <w:pPr>
              <w:widowControl/>
              <w:jc w:val="both"/>
              <w:textAlignment w:val="center"/>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 xml:space="preserve">采用1.0mm优质镀锌钢板制作 </w:t>
            </w:r>
          </w:p>
        </w:tc>
      </w:tr>
      <w:tr w14:paraId="56F69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776CEE72">
            <w:pPr>
              <w:widowControl/>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5</w:t>
            </w:r>
            <w:r>
              <w:rPr>
                <w:rFonts w:hint="eastAsia" w:ascii="宋体" w:hAnsi="宋体" w:cs="宋体"/>
                <w:color w:val="auto"/>
                <w:kern w:val="0"/>
                <w:szCs w:val="21"/>
                <w:highlight w:val="none"/>
                <w:lang w:val="en-US" w:eastAsia="zh-CN" w:bidi="ar"/>
              </w:rPr>
              <w:t>1</w:t>
            </w:r>
          </w:p>
        </w:tc>
        <w:tc>
          <w:tcPr>
            <w:tcW w:w="744" w:type="pct"/>
            <w:shd w:val="clear" w:color="auto" w:fill="auto"/>
            <w:vAlign w:val="center"/>
          </w:tcPr>
          <w:p w14:paraId="44D9259A">
            <w:pPr>
              <w:widowControl/>
              <w:jc w:val="center"/>
              <w:textAlignment w:val="center"/>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排烟管</w:t>
            </w:r>
          </w:p>
        </w:tc>
        <w:tc>
          <w:tcPr>
            <w:tcW w:w="476" w:type="pct"/>
            <w:shd w:val="clear" w:color="auto" w:fill="auto"/>
            <w:vAlign w:val="center"/>
          </w:tcPr>
          <w:p w14:paraId="3EF5B9BD">
            <w:pPr>
              <w:widowControl/>
              <w:jc w:val="center"/>
              <w:textAlignment w:val="center"/>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60㎡</w:t>
            </w:r>
          </w:p>
        </w:tc>
        <w:tc>
          <w:tcPr>
            <w:tcW w:w="388" w:type="pct"/>
            <w:shd w:val="clear" w:color="auto" w:fill="auto"/>
            <w:vAlign w:val="center"/>
          </w:tcPr>
          <w:p w14:paraId="1666FD16">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075F3889">
            <w:pPr>
              <w:widowControl/>
              <w:jc w:val="both"/>
              <w:textAlignment w:val="center"/>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 xml:space="preserve">采用1.0mm优质镀锌钢板制作 </w:t>
            </w:r>
          </w:p>
        </w:tc>
      </w:tr>
      <w:tr w14:paraId="35E3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7AC13F23">
            <w:pPr>
              <w:widowControl/>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5</w:t>
            </w:r>
            <w:r>
              <w:rPr>
                <w:rFonts w:hint="eastAsia" w:ascii="宋体" w:hAnsi="宋体" w:cs="宋体"/>
                <w:color w:val="auto"/>
                <w:kern w:val="0"/>
                <w:szCs w:val="21"/>
                <w:highlight w:val="none"/>
                <w:lang w:val="en-US" w:eastAsia="zh-CN" w:bidi="ar"/>
              </w:rPr>
              <w:t>2</w:t>
            </w:r>
          </w:p>
        </w:tc>
        <w:tc>
          <w:tcPr>
            <w:tcW w:w="744" w:type="pct"/>
            <w:shd w:val="clear" w:color="auto" w:fill="auto"/>
            <w:vAlign w:val="center"/>
          </w:tcPr>
          <w:p w14:paraId="2011487E">
            <w:pPr>
              <w:widowControl/>
              <w:jc w:val="center"/>
              <w:textAlignment w:val="center"/>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弯头</w:t>
            </w:r>
          </w:p>
        </w:tc>
        <w:tc>
          <w:tcPr>
            <w:tcW w:w="476" w:type="pct"/>
            <w:shd w:val="clear" w:color="auto" w:fill="auto"/>
            <w:vAlign w:val="center"/>
          </w:tcPr>
          <w:p w14:paraId="51F8878D">
            <w:pPr>
              <w:widowControl/>
              <w:jc w:val="center"/>
              <w:textAlignment w:val="center"/>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46㎡</w:t>
            </w:r>
          </w:p>
        </w:tc>
        <w:tc>
          <w:tcPr>
            <w:tcW w:w="388" w:type="pct"/>
            <w:shd w:val="clear" w:color="auto" w:fill="auto"/>
            <w:vAlign w:val="center"/>
          </w:tcPr>
          <w:p w14:paraId="0E67C087">
            <w:pPr>
              <w:widowControl/>
              <w:jc w:val="center"/>
              <w:textAlignment w:val="center"/>
              <w:rPr>
                <w:rFonts w:hint="eastAsia" w:ascii="宋体" w:hAnsi="宋体" w:eastAsia="宋体" w:cs="宋体"/>
                <w:color w:val="auto"/>
                <w:kern w:val="0"/>
                <w:szCs w:val="21"/>
                <w:highlight w:val="none"/>
                <w:lang w:val="en-US" w:eastAsia="zh-CN" w:bidi="ar"/>
              </w:rPr>
            </w:pPr>
            <w:r>
              <w:rPr>
                <w:rFonts w:hint="eastAsia" w:ascii="宋体" w:hAnsi="宋体" w:cs="宋体"/>
                <w:color w:val="auto"/>
                <w:sz w:val="21"/>
                <w:szCs w:val="21"/>
                <w:highlight w:val="none"/>
              </w:rPr>
              <w:t>工业</w:t>
            </w:r>
          </w:p>
        </w:tc>
        <w:tc>
          <w:tcPr>
            <w:tcW w:w="3056" w:type="pct"/>
            <w:shd w:val="clear" w:color="auto" w:fill="auto"/>
            <w:vAlign w:val="center"/>
          </w:tcPr>
          <w:p w14:paraId="386D6C4C">
            <w:pPr>
              <w:widowControl/>
              <w:jc w:val="both"/>
              <w:textAlignment w:val="center"/>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 xml:space="preserve">采用1.0mm优质镀锌钢板制作 </w:t>
            </w:r>
          </w:p>
        </w:tc>
      </w:tr>
      <w:tr w14:paraId="2229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15934CB5">
            <w:pPr>
              <w:widowControl/>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5</w:t>
            </w:r>
            <w:r>
              <w:rPr>
                <w:rFonts w:hint="eastAsia" w:ascii="宋体" w:hAnsi="宋体" w:cs="宋体"/>
                <w:color w:val="auto"/>
                <w:kern w:val="0"/>
                <w:szCs w:val="21"/>
                <w:highlight w:val="none"/>
                <w:lang w:val="en-US" w:eastAsia="zh-CN" w:bidi="ar"/>
              </w:rPr>
              <w:t>3</w:t>
            </w:r>
          </w:p>
        </w:tc>
        <w:tc>
          <w:tcPr>
            <w:tcW w:w="744" w:type="pct"/>
            <w:shd w:val="clear" w:color="auto" w:fill="auto"/>
            <w:vAlign w:val="center"/>
          </w:tcPr>
          <w:p w14:paraId="6FDFE4A7">
            <w:pPr>
              <w:widowControl/>
              <w:jc w:val="center"/>
              <w:textAlignment w:val="center"/>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变头</w:t>
            </w:r>
          </w:p>
        </w:tc>
        <w:tc>
          <w:tcPr>
            <w:tcW w:w="476" w:type="pct"/>
            <w:shd w:val="clear" w:color="auto" w:fill="auto"/>
            <w:vAlign w:val="center"/>
          </w:tcPr>
          <w:p w14:paraId="74FA6A98">
            <w:pPr>
              <w:widowControl/>
              <w:jc w:val="center"/>
              <w:textAlignment w:val="center"/>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36㎡</w:t>
            </w:r>
          </w:p>
        </w:tc>
        <w:tc>
          <w:tcPr>
            <w:tcW w:w="388" w:type="pct"/>
            <w:shd w:val="clear" w:color="auto" w:fill="auto"/>
            <w:vAlign w:val="center"/>
          </w:tcPr>
          <w:p w14:paraId="54FBC0D1">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101E3A39">
            <w:pPr>
              <w:widowControl/>
              <w:jc w:val="both"/>
              <w:textAlignment w:val="center"/>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 xml:space="preserve">采用1.0mm优质镀锌钢板制作 </w:t>
            </w:r>
          </w:p>
        </w:tc>
      </w:tr>
      <w:tr w14:paraId="21A8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26AD7481">
            <w:pPr>
              <w:widowControl/>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5</w:t>
            </w:r>
            <w:r>
              <w:rPr>
                <w:rFonts w:hint="eastAsia" w:ascii="宋体" w:hAnsi="宋体" w:cs="宋体"/>
                <w:color w:val="auto"/>
                <w:kern w:val="0"/>
                <w:szCs w:val="21"/>
                <w:highlight w:val="none"/>
                <w:lang w:val="en-US" w:eastAsia="zh-CN" w:bidi="ar"/>
              </w:rPr>
              <w:t>4</w:t>
            </w:r>
          </w:p>
        </w:tc>
        <w:tc>
          <w:tcPr>
            <w:tcW w:w="744" w:type="pct"/>
            <w:shd w:val="clear" w:color="auto" w:fill="auto"/>
            <w:vAlign w:val="center"/>
          </w:tcPr>
          <w:p w14:paraId="4FB710EB">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风机</w:t>
            </w:r>
          </w:p>
        </w:tc>
        <w:tc>
          <w:tcPr>
            <w:tcW w:w="476" w:type="pct"/>
            <w:shd w:val="clear" w:color="auto" w:fill="auto"/>
            <w:vAlign w:val="center"/>
          </w:tcPr>
          <w:p w14:paraId="6A468BEB">
            <w:pPr>
              <w:keepNext w:val="0"/>
              <w:keepLines w:val="0"/>
              <w:widowControl/>
              <w:suppressLineNumbers w:val="0"/>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3台</w:t>
            </w:r>
          </w:p>
        </w:tc>
        <w:tc>
          <w:tcPr>
            <w:tcW w:w="388" w:type="pct"/>
            <w:shd w:val="clear" w:color="auto" w:fill="auto"/>
            <w:vAlign w:val="center"/>
          </w:tcPr>
          <w:p w14:paraId="05A3A298">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6269D441">
            <w:pPr>
              <w:keepNext w:val="0"/>
              <w:keepLines w:val="0"/>
              <w:widowControl/>
              <w:suppressLineNumbers w:val="0"/>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规格：1220*920*950mm±10mm,超静音款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功率/电压：5.5KW/380V , 转速：760r/min ,风量 ≥ 18500m3/h、 噪音≤70dB 、全压≥ 570 Pa </w:t>
            </w:r>
            <w:r>
              <w:rPr>
                <w:rFonts w:hint="eastAsia" w:ascii="宋体" w:hAnsi="宋体" w:cs="宋体"/>
                <w:i w:val="0"/>
                <w:iCs w:val="0"/>
                <w:color w:val="auto"/>
                <w:kern w:val="0"/>
                <w:sz w:val="21"/>
                <w:szCs w:val="21"/>
                <w:highlight w:val="none"/>
                <w:u w:val="none"/>
                <w:lang w:val="en-US" w:eastAsia="zh-CN" w:bidi="ar"/>
              </w:rPr>
              <w:t>；</w:t>
            </w:r>
          </w:p>
          <w:p w14:paraId="64AAFFCD">
            <w:pPr>
              <w:keepNext w:val="0"/>
              <w:keepLines w:val="0"/>
              <w:widowControl/>
              <w:suppressLineNumbers w:val="0"/>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出风口：615*545mm,</w:t>
            </w:r>
          </w:p>
        </w:tc>
      </w:tr>
      <w:tr w14:paraId="788FE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3" w:type="pct"/>
            <w:shd w:val="clear" w:color="auto" w:fill="auto"/>
            <w:vAlign w:val="center"/>
          </w:tcPr>
          <w:p w14:paraId="3BA4878C">
            <w:pPr>
              <w:widowControl/>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5</w:t>
            </w:r>
            <w:r>
              <w:rPr>
                <w:rFonts w:hint="eastAsia" w:ascii="宋体" w:hAnsi="宋体" w:cs="宋体"/>
                <w:color w:val="auto"/>
                <w:kern w:val="0"/>
                <w:szCs w:val="21"/>
                <w:highlight w:val="none"/>
                <w:lang w:val="en-US" w:eastAsia="zh-CN" w:bidi="ar"/>
              </w:rPr>
              <w:t>5</w:t>
            </w:r>
          </w:p>
        </w:tc>
        <w:tc>
          <w:tcPr>
            <w:tcW w:w="744" w:type="pct"/>
            <w:shd w:val="clear" w:color="auto" w:fill="auto"/>
            <w:vAlign w:val="center"/>
          </w:tcPr>
          <w:p w14:paraId="2D1837BF">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油烟净化器</w:t>
            </w:r>
          </w:p>
        </w:tc>
        <w:tc>
          <w:tcPr>
            <w:tcW w:w="476" w:type="pct"/>
            <w:shd w:val="clear" w:color="auto" w:fill="auto"/>
            <w:vAlign w:val="center"/>
          </w:tcPr>
          <w:p w14:paraId="384ECD68">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3台</w:t>
            </w:r>
          </w:p>
        </w:tc>
        <w:tc>
          <w:tcPr>
            <w:tcW w:w="388" w:type="pct"/>
            <w:shd w:val="clear" w:color="auto" w:fill="auto"/>
            <w:vAlign w:val="center"/>
          </w:tcPr>
          <w:p w14:paraId="1CAC9A46">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51892D73">
            <w:pPr>
              <w:keepNext w:val="0"/>
              <w:keepLines w:val="0"/>
              <w:widowControl/>
              <w:suppressLineNumbers w:val="0"/>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1.处理风量:21000㎡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2.法兰尺寸:1069*537mm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3.重量：140kg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4.功耗：650W</w:t>
            </w:r>
          </w:p>
        </w:tc>
      </w:tr>
      <w:tr w14:paraId="5781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0E00CCA9">
            <w:pPr>
              <w:widowControl/>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5</w:t>
            </w:r>
            <w:r>
              <w:rPr>
                <w:rFonts w:hint="eastAsia" w:ascii="宋体" w:hAnsi="宋体" w:cs="宋体"/>
                <w:color w:val="auto"/>
                <w:kern w:val="0"/>
                <w:szCs w:val="21"/>
                <w:highlight w:val="none"/>
                <w:lang w:val="en-US" w:eastAsia="zh-CN" w:bidi="ar"/>
              </w:rPr>
              <w:t>6</w:t>
            </w:r>
          </w:p>
        </w:tc>
        <w:tc>
          <w:tcPr>
            <w:tcW w:w="744" w:type="pct"/>
            <w:shd w:val="clear" w:color="auto" w:fill="auto"/>
            <w:vAlign w:val="center"/>
          </w:tcPr>
          <w:p w14:paraId="09A6A2EB">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风机、净化器架</w:t>
            </w:r>
          </w:p>
        </w:tc>
        <w:tc>
          <w:tcPr>
            <w:tcW w:w="476" w:type="pct"/>
            <w:shd w:val="clear" w:color="auto" w:fill="auto"/>
            <w:vAlign w:val="center"/>
          </w:tcPr>
          <w:p w14:paraId="49C46F28">
            <w:pPr>
              <w:keepNext w:val="0"/>
              <w:keepLines w:val="0"/>
              <w:widowControl/>
              <w:suppressLineNumbers w:val="0"/>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6套</w:t>
            </w:r>
          </w:p>
        </w:tc>
        <w:tc>
          <w:tcPr>
            <w:tcW w:w="388" w:type="pct"/>
            <w:shd w:val="clear" w:color="auto" w:fill="auto"/>
            <w:vAlign w:val="center"/>
          </w:tcPr>
          <w:p w14:paraId="13555789">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2DD7B3E7">
            <w:pPr>
              <w:keepNext w:val="0"/>
              <w:keepLines w:val="0"/>
              <w:widowControl/>
              <w:suppressLineNumbers w:val="0"/>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与净化器配套；50#角钢制作    </w:t>
            </w:r>
          </w:p>
        </w:tc>
      </w:tr>
      <w:tr w14:paraId="0121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73DE4CA4">
            <w:pPr>
              <w:widowControl/>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57</w:t>
            </w:r>
          </w:p>
        </w:tc>
        <w:tc>
          <w:tcPr>
            <w:tcW w:w="744" w:type="pct"/>
            <w:shd w:val="clear" w:color="auto" w:fill="auto"/>
            <w:vAlign w:val="center"/>
          </w:tcPr>
          <w:p w14:paraId="27CCA230">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风机防震器</w:t>
            </w:r>
          </w:p>
        </w:tc>
        <w:tc>
          <w:tcPr>
            <w:tcW w:w="476" w:type="pct"/>
            <w:shd w:val="clear" w:color="auto" w:fill="auto"/>
            <w:vAlign w:val="center"/>
          </w:tcPr>
          <w:p w14:paraId="3F87DBAD">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3套</w:t>
            </w:r>
          </w:p>
        </w:tc>
        <w:tc>
          <w:tcPr>
            <w:tcW w:w="388" w:type="pct"/>
            <w:shd w:val="clear" w:color="auto" w:fill="auto"/>
            <w:vAlign w:val="center"/>
          </w:tcPr>
          <w:p w14:paraId="7A1D0A89">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6553B60B">
            <w:pPr>
              <w:keepNext w:val="0"/>
              <w:keepLines w:val="0"/>
              <w:widowControl/>
              <w:suppressLineNumbers w:val="0"/>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优质耐震胶成套制作</w:t>
            </w:r>
          </w:p>
        </w:tc>
      </w:tr>
      <w:tr w14:paraId="2463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2D9CE3D1">
            <w:pPr>
              <w:widowControl/>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58</w:t>
            </w:r>
          </w:p>
        </w:tc>
        <w:tc>
          <w:tcPr>
            <w:tcW w:w="744" w:type="pct"/>
            <w:shd w:val="clear" w:color="auto" w:fill="auto"/>
            <w:vAlign w:val="center"/>
          </w:tcPr>
          <w:p w14:paraId="2C5B4BB8">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软接</w:t>
            </w:r>
          </w:p>
        </w:tc>
        <w:tc>
          <w:tcPr>
            <w:tcW w:w="476" w:type="pct"/>
            <w:shd w:val="clear" w:color="auto" w:fill="auto"/>
            <w:vAlign w:val="center"/>
          </w:tcPr>
          <w:p w14:paraId="4FC685B6">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3套</w:t>
            </w:r>
          </w:p>
        </w:tc>
        <w:tc>
          <w:tcPr>
            <w:tcW w:w="388" w:type="pct"/>
            <w:shd w:val="clear" w:color="auto" w:fill="auto"/>
            <w:vAlign w:val="center"/>
          </w:tcPr>
          <w:p w14:paraId="41D3F496">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72FAF7D9">
            <w:pPr>
              <w:keepNext w:val="0"/>
              <w:keepLines w:val="0"/>
              <w:widowControl/>
              <w:suppressLineNumbers w:val="0"/>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防水帆布制作</w:t>
            </w:r>
          </w:p>
        </w:tc>
      </w:tr>
      <w:tr w14:paraId="57EC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33BD5D23">
            <w:pPr>
              <w:widowControl/>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59</w:t>
            </w:r>
          </w:p>
        </w:tc>
        <w:tc>
          <w:tcPr>
            <w:tcW w:w="744" w:type="pct"/>
            <w:shd w:val="clear" w:color="auto" w:fill="auto"/>
            <w:vAlign w:val="center"/>
          </w:tcPr>
          <w:p w14:paraId="244FF2D4">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风机保护器</w:t>
            </w:r>
          </w:p>
        </w:tc>
        <w:tc>
          <w:tcPr>
            <w:tcW w:w="476" w:type="pct"/>
            <w:shd w:val="clear" w:color="auto" w:fill="auto"/>
            <w:vAlign w:val="center"/>
          </w:tcPr>
          <w:p w14:paraId="2ED0E677">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3套</w:t>
            </w:r>
          </w:p>
        </w:tc>
        <w:tc>
          <w:tcPr>
            <w:tcW w:w="388" w:type="pct"/>
            <w:shd w:val="clear" w:color="auto" w:fill="auto"/>
            <w:vAlign w:val="center"/>
          </w:tcPr>
          <w:p w14:paraId="72ED9432">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0F6D50BB">
            <w:pPr>
              <w:keepNext w:val="0"/>
              <w:keepLines w:val="0"/>
              <w:widowControl/>
              <w:suppressLineNumbers w:val="0"/>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与风机配套；三星低压</w:t>
            </w:r>
            <w:r>
              <w:rPr>
                <w:rFonts w:hint="eastAsia" w:ascii="宋体" w:hAnsi="宋体" w:cs="宋体"/>
                <w:i w:val="0"/>
                <w:iCs w:val="0"/>
                <w:color w:val="auto"/>
                <w:kern w:val="0"/>
                <w:sz w:val="21"/>
                <w:szCs w:val="21"/>
                <w:highlight w:val="none"/>
                <w:u w:val="none"/>
                <w:lang w:val="en-US" w:eastAsia="zh-CN" w:bidi="ar"/>
              </w:rPr>
              <w:t>启</w:t>
            </w:r>
            <w:r>
              <w:rPr>
                <w:rFonts w:hint="eastAsia" w:ascii="宋体" w:hAnsi="宋体" w:eastAsia="宋体" w:cs="宋体"/>
                <w:i w:val="0"/>
                <w:iCs w:val="0"/>
                <w:color w:val="auto"/>
                <w:kern w:val="0"/>
                <w:sz w:val="21"/>
                <w:szCs w:val="21"/>
                <w:highlight w:val="none"/>
                <w:u w:val="none"/>
                <w:lang w:val="en-US" w:eastAsia="zh-CN" w:bidi="ar"/>
              </w:rPr>
              <w:t>动装置，电机过压、过流保护</w:t>
            </w:r>
          </w:p>
        </w:tc>
      </w:tr>
      <w:tr w14:paraId="570E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380DF69D">
            <w:pPr>
              <w:widowControl/>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60</w:t>
            </w:r>
          </w:p>
        </w:tc>
        <w:tc>
          <w:tcPr>
            <w:tcW w:w="744" w:type="pct"/>
            <w:shd w:val="clear" w:color="auto" w:fill="auto"/>
            <w:vAlign w:val="center"/>
          </w:tcPr>
          <w:p w14:paraId="0D9EF02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吊杆</w:t>
            </w:r>
          </w:p>
        </w:tc>
        <w:tc>
          <w:tcPr>
            <w:tcW w:w="476" w:type="pct"/>
            <w:shd w:val="clear" w:color="auto" w:fill="auto"/>
            <w:vAlign w:val="center"/>
          </w:tcPr>
          <w:p w14:paraId="450E41B6">
            <w:pPr>
              <w:keepNext w:val="0"/>
              <w:keepLines w:val="0"/>
              <w:widowControl/>
              <w:suppressLineNumbers w:val="0"/>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24副</w:t>
            </w:r>
          </w:p>
        </w:tc>
        <w:tc>
          <w:tcPr>
            <w:tcW w:w="388" w:type="pct"/>
            <w:shd w:val="clear" w:color="auto" w:fill="auto"/>
            <w:vAlign w:val="center"/>
          </w:tcPr>
          <w:p w14:paraId="7AECB3BE">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49E89848">
            <w:pPr>
              <w:keepNext w:val="0"/>
              <w:keepLines w:val="0"/>
              <w:widowControl/>
              <w:suppressLineNumbers w:val="0"/>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优质合金制作</w:t>
            </w:r>
          </w:p>
        </w:tc>
      </w:tr>
      <w:tr w14:paraId="0E5D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3" w:type="pct"/>
            <w:shd w:val="clear" w:color="auto" w:fill="auto"/>
            <w:vAlign w:val="center"/>
          </w:tcPr>
          <w:p w14:paraId="05967292">
            <w:pPr>
              <w:widowControl/>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61</w:t>
            </w:r>
          </w:p>
        </w:tc>
        <w:tc>
          <w:tcPr>
            <w:tcW w:w="744" w:type="pct"/>
            <w:shd w:val="clear" w:color="auto" w:fill="auto"/>
            <w:vAlign w:val="center"/>
          </w:tcPr>
          <w:p w14:paraId="7D6816B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五金配件及安装费</w:t>
            </w:r>
          </w:p>
        </w:tc>
        <w:tc>
          <w:tcPr>
            <w:tcW w:w="476" w:type="pct"/>
            <w:shd w:val="clear" w:color="auto" w:fill="auto"/>
            <w:vAlign w:val="center"/>
          </w:tcPr>
          <w:p w14:paraId="2DBBEE9F">
            <w:pPr>
              <w:keepNext w:val="0"/>
              <w:keepLines w:val="0"/>
              <w:widowControl/>
              <w:suppressLineNumbers w:val="0"/>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1项</w:t>
            </w:r>
          </w:p>
        </w:tc>
        <w:tc>
          <w:tcPr>
            <w:tcW w:w="388" w:type="pct"/>
            <w:shd w:val="clear" w:color="auto" w:fill="auto"/>
            <w:vAlign w:val="center"/>
          </w:tcPr>
          <w:p w14:paraId="60423F3B">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15EABF43">
            <w:pPr>
              <w:keepNext w:val="0"/>
              <w:keepLines w:val="0"/>
              <w:widowControl/>
              <w:suppressLineNumbers w:val="0"/>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安装过程中必需的膨胀钉、自攻钉、电缆、高压管、穿线管、玻璃胶、焊条、切割片、防锈漆、抛光蜡、胶布、生料带等配件，以及拆补墙洞和人工等费用</w:t>
            </w:r>
          </w:p>
        </w:tc>
      </w:tr>
      <w:tr w14:paraId="6AEE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000" w:type="pct"/>
            <w:gridSpan w:val="5"/>
            <w:shd w:val="clear" w:color="auto" w:fill="auto"/>
            <w:vAlign w:val="center"/>
          </w:tcPr>
          <w:p w14:paraId="2396C134">
            <w:pPr>
              <w:jc w:val="center"/>
              <w:rPr>
                <w:rFonts w:ascii="宋体" w:hAnsi="宋体" w:cs="宋体"/>
                <w:color w:val="auto"/>
                <w:szCs w:val="21"/>
                <w:highlight w:val="none"/>
              </w:rPr>
            </w:pPr>
            <w:r>
              <w:rPr>
                <w:rFonts w:hint="eastAsia" w:ascii="宋体" w:hAnsi="宋体" w:cs="宋体"/>
                <w:b/>
                <w:bCs/>
                <w:color w:val="auto"/>
                <w:kern w:val="0"/>
                <w:sz w:val="32"/>
                <w:szCs w:val="32"/>
                <w:highlight w:val="none"/>
                <w:lang w:bidi="ar"/>
              </w:rPr>
              <w:t>七、</w:t>
            </w:r>
            <w:r>
              <w:rPr>
                <w:rFonts w:hint="eastAsia" w:ascii="宋体" w:hAnsi="宋体" w:cs="宋体"/>
                <w:b/>
                <w:bCs/>
                <w:color w:val="auto"/>
                <w:kern w:val="0"/>
                <w:sz w:val="32"/>
                <w:szCs w:val="32"/>
                <w:highlight w:val="none"/>
                <w:lang w:val="en-US" w:eastAsia="zh-CN" w:bidi="ar"/>
              </w:rPr>
              <w:t>教具</w:t>
            </w:r>
            <w:r>
              <w:rPr>
                <w:rFonts w:hint="eastAsia" w:ascii="宋体" w:hAnsi="宋体" w:cs="宋体"/>
                <w:b/>
                <w:bCs/>
                <w:color w:val="auto"/>
                <w:kern w:val="0"/>
                <w:sz w:val="32"/>
                <w:szCs w:val="32"/>
                <w:highlight w:val="none"/>
                <w:lang w:bidi="ar"/>
              </w:rPr>
              <w:t>部分</w:t>
            </w:r>
          </w:p>
        </w:tc>
      </w:tr>
      <w:tr w14:paraId="5FDF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4DE3F702">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62</w:t>
            </w:r>
          </w:p>
        </w:tc>
        <w:tc>
          <w:tcPr>
            <w:tcW w:w="744" w:type="pct"/>
            <w:shd w:val="clear" w:color="auto" w:fill="auto"/>
            <w:vAlign w:val="center"/>
          </w:tcPr>
          <w:p w14:paraId="241B52C4">
            <w:pPr>
              <w:keepNext w:val="0"/>
              <w:keepLines w:val="0"/>
              <w:widowControl/>
              <w:suppressLineNumbers w:val="0"/>
              <w:jc w:val="center"/>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迷你绕珠架-奶牛</w:t>
            </w:r>
          </w:p>
        </w:tc>
        <w:tc>
          <w:tcPr>
            <w:tcW w:w="476" w:type="pct"/>
            <w:shd w:val="clear" w:color="auto" w:fill="auto"/>
            <w:vAlign w:val="center"/>
          </w:tcPr>
          <w:p w14:paraId="7D34FCDB">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12个</w:t>
            </w:r>
          </w:p>
        </w:tc>
        <w:tc>
          <w:tcPr>
            <w:tcW w:w="388" w:type="pct"/>
            <w:shd w:val="clear" w:color="auto" w:fill="auto"/>
            <w:vAlign w:val="center"/>
          </w:tcPr>
          <w:p w14:paraId="382E45A8">
            <w:pPr>
              <w:widowControl/>
              <w:jc w:val="center"/>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143510</wp:posOffset>
                  </wp:positionH>
                  <wp:positionV relativeFrom="paragraph">
                    <wp:posOffset>-38735</wp:posOffset>
                  </wp:positionV>
                  <wp:extent cx="101600" cy="137795"/>
                  <wp:effectExtent l="0" t="0" r="0" b="0"/>
                  <wp:wrapNone/>
                  <wp:docPr id="2260" name="图片_2943"/>
                  <wp:cNvGraphicFramePr/>
                  <a:graphic xmlns:a="http://schemas.openxmlformats.org/drawingml/2006/main">
                    <a:graphicData uri="http://schemas.openxmlformats.org/drawingml/2006/picture">
                      <pic:pic xmlns:pic="http://schemas.openxmlformats.org/drawingml/2006/picture">
                        <pic:nvPicPr>
                          <pic:cNvPr id="2260" name="图片_2943"/>
                          <pic:cNvPicPr/>
                        </pic:nvPicPr>
                        <pic:blipFill>
                          <a:blip r:embed="rId13"/>
                          <a:stretch>
                            <a:fillRect/>
                          </a:stretch>
                        </pic:blipFill>
                        <pic:spPr>
                          <a:xfrm flipH="1">
                            <a:off x="0" y="0"/>
                            <a:ext cx="101600" cy="137795"/>
                          </a:xfrm>
                          <a:prstGeom prst="rect">
                            <a:avLst/>
                          </a:prstGeom>
                          <a:noFill/>
                          <a:ln>
                            <a:noFill/>
                          </a:ln>
                        </pic:spPr>
                      </pic:pic>
                    </a:graphicData>
                  </a:graphic>
                </wp:anchor>
              </w:drawing>
            </w:r>
            <w:r>
              <w:rPr>
                <w:rFonts w:hint="eastAsia" w:ascii="宋体" w:hAnsi="宋体" w:cs="宋体"/>
                <w:color w:val="auto"/>
                <w:sz w:val="21"/>
                <w:szCs w:val="21"/>
                <w:highlight w:val="none"/>
              </w:rPr>
              <w:t>工业</w:t>
            </w:r>
          </w:p>
        </w:tc>
        <w:tc>
          <w:tcPr>
            <w:tcW w:w="3056" w:type="pct"/>
            <w:shd w:val="clear" w:color="auto" w:fill="auto"/>
            <w:vAlign w:val="center"/>
          </w:tcPr>
          <w:p w14:paraId="3CC98454">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材质：底座和奶牛身体为MDF,奶牛的脚和头是橡胶木，珠子是杂木。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规格：115</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150</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90mm</w:t>
            </w:r>
          </w:p>
        </w:tc>
      </w:tr>
      <w:tr w14:paraId="1F00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534CB711">
            <w:pPr>
              <w:widowControl/>
              <w:jc w:val="center"/>
              <w:textAlignment w:val="center"/>
              <w:rPr>
                <w:rFonts w:hint="default" w:ascii="宋体" w:hAnsi="宋体" w:cs="宋体"/>
                <w:color w:val="auto"/>
                <w:sz w:val="21"/>
                <w:szCs w:val="21"/>
                <w:highlight w:val="none"/>
                <w:lang w:val="en-US"/>
              </w:rPr>
            </w:pPr>
            <w:r>
              <w:rPr>
                <w:rFonts w:hint="eastAsia" w:ascii="宋体" w:hAnsi="宋体" w:cs="宋体"/>
                <w:color w:val="auto"/>
                <w:sz w:val="21"/>
                <w:szCs w:val="21"/>
                <w:highlight w:val="none"/>
                <w:lang w:val="en-US" w:eastAsia="zh-CN"/>
              </w:rPr>
              <w:t>63</w:t>
            </w:r>
          </w:p>
        </w:tc>
        <w:tc>
          <w:tcPr>
            <w:tcW w:w="744" w:type="pct"/>
            <w:shd w:val="clear" w:color="auto" w:fill="auto"/>
            <w:vAlign w:val="center"/>
          </w:tcPr>
          <w:p w14:paraId="08C29FAF">
            <w:pPr>
              <w:keepNext w:val="0"/>
              <w:keepLines w:val="0"/>
              <w:widowControl/>
              <w:suppressLineNumbers w:val="0"/>
              <w:jc w:val="center"/>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lang w:val="en-US" w:eastAsia="zh-CN" w:bidi="ar"/>
              </w:rPr>
              <w:t>彩色小串珠6款（混装）</w:t>
            </w:r>
          </w:p>
        </w:tc>
        <w:tc>
          <w:tcPr>
            <w:tcW w:w="476" w:type="pct"/>
            <w:shd w:val="clear" w:color="auto" w:fill="auto"/>
            <w:vAlign w:val="center"/>
          </w:tcPr>
          <w:p w14:paraId="5651D4D9">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12个</w:t>
            </w:r>
          </w:p>
        </w:tc>
        <w:tc>
          <w:tcPr>
            <w:tcW w:w="388" w:type="pct"/>
            <w:shd w:val="clear" w:color="auto" w:fill="auto"/>
            <w:vAlign w:val="center"/>
          </w:tcPr>
          <w:p w14:paraId="07F354A1">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43AA701C">
            <w:pPr>
              <w:keepNext w:val="0"/>
              <w:keepLines w:val="0"/>
              <w:widowControl/>
              <w:suppressLineNumbers w:val="0"/>
              <w:jc w:val="left"/>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lang w:val="en-US" w:eastAsia="zh-CN" w:bidi="ar"/>
              </w:rPr>
              <w:t>材质：实木；</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规格：135*90*90mm/单个。</w:t>
            </w:r>
          </w:p>
        </w:tc>
      </w:tr>
      <w:tr w14:paraId="396BD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3D8BADF0">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64</w:t>
            </w:r>
          </w:p>
        </w:tc>
        <w:tc>
          <w:tcPr>
            <w:tcW w:w="744" w:type="pct"/>
            <w:shd w:val="clear" w:color="auto" w:fill="auto"/>
            <w:vAlign w:val="center"/>
          </w:tcPr>
          <w:p w14:paraId="500F5CF1">
            <w:pPr>
              <w:keepNext w:val="0"/>
              <w:keepLines w:val="0"/>
              <w:widowControl/>
              <w:suppressLineNumbers w:val="0"/>
              <w:jc w:val="center"/>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lang w:val="en-US" w:eastAsia="zh-CN" w:bidi="ar"/>
              </w:rPr>
              <w:t>汽车迷宫</w:t>
            </w:r>
          </w:p>
        </w:tc>
        <w:tc>
          <w:tcPr>
            <w:tcW w:w="476" w:type="pct"/>
            <w:shd w:val="clear" w:color="auto" w:fill="auto"/>
            <w:vAlign w:val="center"/>
          </w:tcPr>
          <w:p w14:paraId="4C5B5491">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12个</w:t>
            </w:r>
          </w:p>
        </w:tc>
        <w:tc>
          <w:tcPr>
            <w:tcW w:w="388" w:type="pct"/>
            <w:shd w:val="clear" w:color="auto" w:fill="auto"/>
            <w:vAlign w:val="center"/>
          </w:tcPr>
          <w:p w14:paraId="26536B74">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671A6E22">
            <w:pPr>
              <w:keepNext w:val="0"/>
              <w:keepLines w:val="0"/>
              <w:widowControl/>
              <w:suppressLineNumbers w:val="0"/>
              <w:jc w:val="left"/>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底盘: 夹板；有机玻璃盖: 1.8mm厚，长185mm*126mm                                                                                                  磁性棒:D10*52mm； 绳（可见长度）：长200mm；</w:t>
            </w:r>
          </w:p>
          <w:p w14:paraId="70EC05DA">
            <w:pPr>
              <w:keepNext w:val="0"/>
              <w:keepLines w:val="0"/>
              <w:widowControl/>
              <w:suppressLineNumbers w:val="0"/>
              <w:jc w:val="left"/>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lang w:val="en-US" w:eastAsia="zh-CN" w:bidi="ar"/>
              </w:rPr>
              <w:t>产品木头部分湿度要求低于13度，产品边缘光滑，不可有毛刺；夹板无黑心，空心；产品符合GB6675-2014检测标准。</w:t>
            </w:r>
          </w:p>
        </w:tc>
      </w:tr>
      <w:tr w14:paraId="54960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019C7CAF">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65</w:t>
            </w:r>
          </w:p>
        </w:tc>
        <w:tc>
          <w:tcPr>
            <w:tcW w:w="744" w:type="pct"/>
            <w:shd w:val="clear" w:color="auto" w:fill="auto"/>
            <w:vAlign w:val="center"/>
          </w:tcPr>
          <w:p w14:paraId="7C3E51BD">
            <w:pPr>
              <w:keepNext w:val="0"/>
              <w:keepLines w:val="0"/>
              <w:widowControl/>
              <w:suppressLineNumbers w:val="0"/>
              <w:jc w:val="center"/>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lang w:val="en-US" w:eastAsia="zh-CN" w:bidi="ar"/>
              </w:rPr>
              <w:t>1-5圆片积木板</w:t>
            </w:r>
          </w:p>
        </w:tc>
        <w:tc>
          <w:tcPr>
            <w:tcW w:w="476" w:type="pct"/>
            <w:shd w:val="clear" w:color="auto" w:fill="auto"/>
            <w:vAlign w:val="center"/>
          </w:tcPr>
          <w:p w14:paraId="174BC7B0">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372341B0">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1B261316">
            <w:pPr>
              <w:keepNext w:val="0"/>
              <w:keepLines w:val="0"/>
              <w:widowControl/>
              <w:suppressLineNumbers w:val="0"/>
              <w:jc w:val="left"/>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lang w:val="en-US" w:eastAsia="zh-CN" w:bidi="ar"/>
              </w:rPr>
              <w:t>材质：底板/榉木（须用浅色榉木），车木/ 荷木；</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产品尺寸：25*5.8*11.5cm；</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部件：1颗蓝珠、2颗绿珠、3颗黄珠、4颗橙色珠、5颗红珠；</w:t>
            </w:r>
          </w:p>
        </w:tc>
      </w:tr>
      <w:tr w14:paraId="14DB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3EE64EB9">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66</w:t>
            </w:r>
          </w:p>
        </w:tc>
        <w:tc>
          <w:tcPr>
            <w:tcW w:w="744" w:type="pct"/>
            <w:shd w:val="clear" w:color="auto" w:fill="auto"/>
            <w:vAlign w:val="center"/>
          </w:tcPr>
          <w:p w14:paraId="1F10A8CD">
            <w:pPr>
              <w:keepNext w:val="0"/>
              <w:keepLines w:val="0"/>
              <w:widowControl/>
              <w:suppressLineNumbers w:val="0"/>
              <w:jc w:val="center"/>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lang w:val="en-US" w:eastAsia="zh-CN" w:bidi="ar"/>
              </w:rPr>
              <w:t>小迷宫-24个/展示盒</w:t>
            </w:r>
          </w:p>
        </w:tc>
        <w:tc>
          <w:tcPr>
            <w:tcW w:w="476" w:type="pct"/>
            <w:shd w:val="clear" w:color="auto" w:fill="auto"/>
            <w:vAlign w:val="center"/>
          </w:tcPr>
          <w:p w14:paraId="2CC329C5">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2AD7617D">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63E25B43">
            <w:pPr>
              <w:keepNext w:val="0"/>
              <w:keepLines w:val="0"/>
              <w:widowControl/>
              <w:suppressLineNumbers w:val="0"/>
              <w:jc w:val="left"/>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lang w:val="en-US" w:eastAsia="zh-CN" w:bidi="ar"/>
              </w:rPr>
              <w:t>产品尺寸：245*245*21 mm</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配件：迷宫×1</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材质：夹板、ABS</w:t>
            </w:r>
          </w:p>
        </w:tc>
      </w:tr>
      <w:tr w14:paraId="21C4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534486E3">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67</w:t>
            </w:r>
          </w:p>
        </w:tc>
        <w:tc>
          <w:tcPr>
            <w:tcW w:w="744" w:type="pct"/>
            <w:shd w:val="clear" w:color="auto" w:fill="auto"/>
            <w:vAlign w:val="center"/>
          </w:tcPr>
          <w:p w14:paraId="192F0353">
            <w:pPr>
              <w:keepNext w:val="0"/>
              <w:keepLines w:val="0"/>
              <w:widowControl/>
              <w:suppressLineNumbers w:val="0"/>
              <w:jc w:val="center"/>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刺猬拧螺丝</w:t>
            </w:r>
          </w:p>
        </w:tc>
        <w:tc>
          <w:tcPr>
            <w:tcW w:w="476" w:type="pct"/>
            <w:shd w:val="clear" w:color="auto" w:fill="auto"/>
            <w:vAlign w:val="center"/>
          </w:tcPr>
          <w:p w14:paraId="7319F56B">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70F0BC27">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425F108F">
            <w:pPr>
              <w:keepNext w:val="0"/>
              <w:keepLines w:val="0"/>
              <w:widowControl/>
              <w:suppressLineNumbers w:val="0"/>
              <w:jc w:val="left"/>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lang w:val="en-US" w:eastAsia="zh-CN" w:bidi="ar"/>
              </w:rPr>
              <w:t>材质：榉木</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规格：包装212*48*163mm，刺猬身体：150*25*110mm；</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工艺：油漆和丝印</w:t>
            </w:r>
          </w:p>
        </w:tc>
      </w:tr>
      <w:tr w14:paraId="6841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17E21F9A">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68</w:t>
            </w:r>
          </w:p>
        </w:tc>
        <w:tc>
          <w:tcPr>
            <w:tcW w:w="744" w:type="pct"/>
            <w:shd w:val="clear" w:color="auto" w:fill="auto"/>
            <w:vAlign w:val="center"/>
          </w:tcPr>
          <w:p w14:paraId="7D9FE166">
            <w:pPr>
              <w:keepNext w:val="0"/>
              <w:keepLines w:val="0"/>
              <w:widowControl/>
              <w:suppressLineNumbers w:val="0"/>
              <w:jc w:val="center"/>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lang w:val="en-US" w:eastAsia="zh-CN" w:bidi="ar"/>
              </w:rPr>
              <w:t>触摸板</w:t>
            </w:r>
          </w:p>
        </w:tc>
        <w:tc>
          <w:tcPr>
            <w:tcW w:w="476" w:type="pct"/>
            <w:shd w:val="clear" w:color="auto" w:fill="auto"/>
            <w:vAlign w:val="center"/>
          </w:tcPr>
          <w:p w14:paraId="11BDCB74">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3CBD1CDD">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44AEF687">
            <w:pPr>
              <w:keepNext w:val="0"/>
              <w:keepLines w:val="0"/>
              <w:widowControl/>
              <w:suppressLineNumbers w:val="0"/>
              <w:jc w:val="left"/>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lang w:val="en-US" w:eastAsia="zh-CN" w:bidi="ar"/>
              </w:rPr>
              <w:t>材质：底板: 榉木（榉木部分须使用浅色榉木）；车木: 荷木；红色尼龙搭扣刺面、黑色沙皮、灰色麻袋布、瓦楞喷橙色漆、米黄色草席、白色海绵、乳白色帆布、黄绿色尼龙搭扣毛面、灰色地毯、黑色EVA；</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规格：275*110*40mm，触摸桶φ4*2.5cm；</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产品木头部分湿度要求低于14度，各种触摸材料要粘牢且平整，表面打磨光滑，不可有毛刺，油漆面为半哑光漆面。</w:t>
            </w:r>
          </w:p>
        </w:tc>
      </w:tr>
      <w:tr w14:paraId="4340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1739CBFA">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69</w:t>
            </w:r>
          </w:p>
        </w:tc>
        <w:tc>
          <w:tcPr>
            <w:tcW w:w="744" w:type="pct"/>
            <w:shd w:val="clear" w:color="auto" w:fill="auto"/>
            <w:vAlign w:val="center"/>
          </w:tcPr>
          <w:p w14:paraId="2E247764">
            <w:pPr>
              <w:keepNext w:val="0"/>
              <w:keepLines w:val="0"/>
              <w:widowControl/>
              <w:suppressLineNumbers w:val="0"/>
              <w:jc w:val="center"/>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趣味条形拼图</w:t>
            </w:r>
          </w:p>
        </w:tc>
        <w:tc>
          <w:tcPr>
            <w:tcW w:w="476" w:type="pct"/>
            <w:shd w:val="clear" w:color="auto" w:fill="auto"/>
            <w:vAlign w:val="center"/>
          </w:tcPr>
          <w:p w14:paraId="3A1CB7B4">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2C5A3C63">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521C9C18">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35560</wp:posOffset>
                  </wp:positionV>
                  <wp:extent cx="720090" cy="717550"/>
                  <wp:effectExtent l="0" t="0" r="0" b="0"/>
                  <wp:wrapNone/>
                  <wp:docPr id="423" name="图片_18"/>
                  <wp:cNvGraphicFramePr/>
                  <a:graphic xmlns:a="http://schemas.openxmlformats.org/drawingml/2006/main">
                    <a:graphicData uri="http://schemas.openxmlformats.org/drawingml/2006/picture">
                      <pic:pic xmlns:pic="http://schemas.openxmlformats.org/drawingml/2006/picture">
                        <pic:nvPicPr>
                          <pic:cNvPr id="423" name="图片_18"/>
                          <pic:cNvPicPr/>
                        </pic:nvPicPr>
                        <pic:blipFill>
                          <a:blip r:embed="rId13"/>
                          <a:stretch>
                            <a:fillRect/>
                          </a:stretch>
                        </pic:blipFill>
                        <pic:spPr>
                          <a:xfrm>
                            <a:off x="0" y="0"/>
                            <a:ext cx="720090" cy="7175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171450</wp:posOffset>
                  </wp:positionV>
                  <wp:extent cx="539115" cy="537210"/>
                  <wp:effectExtent l="0" t="0" r="0" b="0"/>
                  <wp:wrapNone/>
                  <wp:docPr id="424" name="图片_283"/>
                  <wp:cNvGraphicFramePr/>
                  <a:graphic xmlns:a="http://schemas.openxmlformats.org/drawingml/2006/main">
                    <a:graphicData uri="http://schemas.openxmlformats.org/drawingml/2006/picture">
                      <pic:pic xmlns:pic="http://schemas.openxmlformats.org/drawingml/2006/picture">
                        <pic:nvPicPr>
                          <pic:cNvPr id="424" name="图片_283"/>
                          <pic:cNvPicPr/>
                        </pic:nvPicPr>
                        <pic:blipFill>
                          <a:blip r:embed="rId13"/>
                          <a:stretch>
                            <a:fillRect/>
                          </a:stretch>
                        </pic:blipFill>
                        <pic:spPr>
                          <a:xfrm>
                            <a:off x="0" y="0"/>
                            <a:ext cx="539115" cy="5372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171450</wp:posOffset>
                  </wp:positionV>
                  <wp:extent cx="539115" cy="537210"/>
                  <wp:effectExtent l="0" t="0" r="0" b="0"/>
                  <wp:wrapNone/>
                  <wp:docPr id="425" name="图片_284"/>
                  <wp:cNvGraphicFramePr/>
                  <a:graphic xmlns:a="http://schemas.openxmlformats.org/drawingml/2006/main">
                    <a:graphicData uri="http://schemas.openxmlformats.org/drawingml/2006/picture">
                      <pic:pic xmlns:pic="http://schemas.openxmlformats.org/drawingml/2006/picture">
                        <pic:nvPicPr>
                          <pic:cNvPr id="425" name="图片_284"/>
                          <pic:cNvPicPr/>
                        </pic:nvPicPr>
                        <pic:blipFill>
                          <a:blip r:embed="rId13"/>
                          <a:stretch>
                            <a:fillRect/>
                          </a:stretch>
                        </pic:blipFill>
                        <pic:spPr>
                          <a:xfrm>
                            <a:off x="0" y="0"/>
                            <a:ext cx="539115" cy="5372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171450</wp:posOffset>
                  </wp:positionV>
                  <wp:extent cx="539750" cy="538480"/>
                  <wp:effectExtent l="0" t="0" r="0" b="0"/>
                  <wp:wrapNone/>
                  <wp:docPr id="426" name="图片_604"/>
                  <wp:cNvGraphicFramePr/>
                  <a:graphic xmlns:a="http://schemas.openxmlformats.org/drawingml/2006/main">
                    <a:graphicData uri="http://schemas.openxmlformats.org/drawingml/2006/picture">
                      <pic:pic xmlns:pic="http://schemas.openxmlformats.org/drawingml/2006/picture">
                        <pic:nvPicPr>
                          <pic:cNvPr id="426" name="图片_604"/>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171450</wp:posOffset>
                  </wp:positionV>
                  <wp:extent cx="539115" cy="537210"/>
                  <wp:effectExtent l="0" t="0" r="0" b="0"/>
                  <wp:wrapNone/>
                  <wp:docPr id="427" name="图片_282"/>
                  <wp:cNvGraphicFramePr/>
                  <a:graphic xmlns:a="http://schemas.openxmlformats.org/drawingml/2006/main">
                    <a:graphicData uri="http://schemas.openxmlformats.org/drawingml/2006/picture">
                      <pic:pic xmlns:pic="http://schemas.openxmlformats.org/drawingml/2006/picture">
                        <pic:nvPicPr>
                          <pic:cNvPr id="427" name="图片_282"/>
                          <pic:cNvPicPr/>
                        </pic:nvPicPr>
                        <pic:blipFill>
                          <a:blip r:embed="rId13"/>
                          <a:stretch>
                            <a:fillRect/>
                          </a:stretch>
                        </pic:blipFill>
                        <pic:spPr>
                          <a:xfrm>
                            <a:off x="0" y="0"/>
                            <a:ext cx="539115" cy="5372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171450</wp:posOffset>
                  </wp:positionV>
                  <wp:extent cx="539750" cy="538480"/>
                  <wp:effectExtent l="0" t="0" r="0" b="0"/>
                  <wp:wrapNone/>
                  <wp:docPr id="428" name="图片_602"/>
                  <wp:cNvGraphicFramePr/>
                  <a:graphic xmlns:a="http://schemas.openxmlformats.org/drawingml/2006/main">
                    <a:graphicData uri="http://schemas.openxmlformats.org/drawingml/2006/picture">
                      <pic:pic xmlns:pic="http://schemas.openxmlformats.org/drawingml/2006/picture">
                        <pic:nvPicPr>
                          <pic:cNvPr id="428" name="图片_602"/>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171450</wp:posOffset>
                  </wp:positionV>
                  <wp:extent cx="539750" cy="538480"/>
                  <wp:effectExtent l="0" t="0" r="0" b="0"/>
                  <wp:wrapNone/>
                  <wp:docPr id="429" name="图片_603"/>
                  <wp:cNvGraphicFramePr/>
                  <a:graphic xmlns:a="http://schemas.openxmlformats.org/drawingml/2006/main">
                    <a:graphicData uri="http://schemas.openxmlformats.org/drawingml/2006/picture">
                      <pic:pic xmlns:pic="http://schemas.openxmlformats.org/drawingml/2006/picture">
                        <pic:nvPicPr>
                          <pic:cNvPr id="429" name="图片_603"/>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规格:24.5</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24.5</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材质：木质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12片长短不一、颜色各异的积木片拼成美丽的“彩虹”，帮助孩子认识颜色和接触长短的概念。</w:t>
            </w:r>
          </w:p>
        </w:tc>
      </w:tr>
      <w:tr w14:paraId="03F9D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632755F1">
            <w:pPr>
              <w:widowControl/>
              <w:jc w:val="center"/>
              <w:textAlignment w:val="center"/>
              <w:rPr>
                <w:rFonts w:hint="default" w:ascii="宋体" w:hAnsi="宋体" w:cs="宋体"/>
                <w:color w:val="auto"/>
                <w:sz w:val="21"/>
                <w:szCs w:val="21"/>
                <w:highlight w:val="none"/>
                <w:lang w:val="en-US"/>
              </w:rPr>
            </w:pPr>
            <w:r>
              <w:rPr>
                <w:rFonts w:hint="eastAsia" w:ascii="宋体" w:hAnsi="宋体" w:cs="宋体"/>
                <w:color w:val="auto"/>
                <w:sz w:val="21"/>
                <w:szCs w:val="21"/>
                <w:highlight w:val="none"/>
                <w:lang w:val="en-US" w:eastAsia="zh-CN"/>
              </w:rPr>
              <w:t>70</w:t>
            </w:r>
          </w:p>
        </w:tc>
        <w:tc>
          <w:tcPr>
            <w:tcW w:w="744" w:type="pct"/>
            <w:shd w:val="clear" w:color="auto" w:fill="auto"/>
            <w:vAlign w:val="center"/>
          </w:tcPr>
          <w:p w14:paraId="1FB5F0E9">
            <w:pPr>
              <w:keepNext w:val="0"/>
              <w:keepLines w:val="0"/>
              <w:widowControl/>
              <w:suppressLineNumbers w:val="0"/>
              <w:jc w:val="center"/>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lang w:val="en-US" w:eastAsia="zh-CN" w:bidi="ar"/>
              </w:rPr>
              <w:t>小拼图-熊</w:t>
            </w:r>
          </w:p>
        </w:tc>
        <w:tc>
          <w:tcPr>
            <w:tcW w:w="476" w:type="pct"/>
            <w:shd w:val="clear" w:color="auto" w:fill="auto"/>
            <w:vAlign w:val="center"/>
          </w:tcPr>
          <w:p w14:paraId="56DABBA9">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12个</w:t>
            </w:r>
          </w:p>
        </w:tc>
        <w:tc>
          <w:tcPr>
            <w:tcW w:w="388" w:type="pct"/>
            <w:shd w:val="clear" w:color="auto" w:fill="auto"/>
            <w:vAlign w:val="center"/>
          </w:tcPr>
          <w:p w14:paraId="151CA942">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40019158">
            <w:pPr>
              <w:keepNext w:val="0"/>
              <w:keepLines w:val="0"/>
              <w:widowControl/>
              <w:suppressLineNumbers w:val="0"/>
              <w:jc w:val="left"/>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2576" behindDoc="0" locked="0" layoutInCell="1" allowOverlap="1">
                  <wp:simplePos x="0" y="0"/>
                  <wp:positionH relativeFrom="column">
                    <wp:posOffset>911860</wp:posOffset>
                  </wp:positionH>
                  <wp:positionV relativeFrom="paragraph">
                    <wp:posOffset>542925</wp:posOffset>
                  </wp:positionV>
                  <wp:extent cx="593725" cy="537210"/>
                  <wp:effectExtent l="0" t="0" r="0" b="0"/>
                  <wp:wrapNone/>
                  <wp:docPr id="2308" name="图片_10_SpCnt_11"/>
                  <wp:cNvGraphicFramePr/>
                  <a:graphic xmlns:a="http://schemas.openxmlformats.org/drawingml/2006/main">
                    <a:graphicData uri="http://schemas.openxmlformats.org/drawingml/2006/picture">
                      <pic:pic xmlns:pic="http://schemas.openxmlformats.org/drawingml/2006/picture">
                        <pic:nvPicPr>
                          <pic:cNvPr id="2308" name="图片_10_SpCnt_11"/>
                          <pic:cNvPicPr/>
                        </pic:nvPicPr>
                        <pic:blipFill>
                          <a:blip r:embed="rId13"/>
                          <a:stretch>
                            <a:fillRect/>
                          </a:stretch>
                        </pic:blipFill>
                        <pic:spPr>
                          <a:xfrm>
                            <a:off x="0" y="0"/>
                            <a:ext cx="593725" cy="5372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t>底板：全椴木夹板；积木粒：MDF；产品尺寸：14.8*14.8*1.8cm(积木粒厚1.3cm； 底板厚1cm=前板5mm+后板5mm）</w:t>
            </w:r>
          </w:p>
        </w:tc>
      </w:tr>
      <w:tr w14:paraId="2DA0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4D4730A8">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71</w:t>
            </w:r>
          </w:p>
        </w:tc>
        <w:tc>
          <w:tcPr>
            <w:tcW w:w="744" w:type="pct"/>
            <w:shd w:val="clear" w:color="auto" w:fill="auto"/>
            <w:vAlign w:val="center"/>
          </w:tcPr>
          <w:p w14:paraId="5E8E0A6B">
            <w:pPr>
              <w:keepNext w:val="0"/>
              <w:keepLines w:val="0"/>
              <w:widowControl/>
              <w:suppressLineNumbers w:val="0"/>
              <w:jc w:val="center"/>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lang w:val="en-US" w:eastAsia="zh-CN" w:bidi="ar"/>
              </w:rPr>
              <w:t>厚粒子拼图-交通工具</w:t>
            </w:r>
          </w:p>
        </w:tc>
        <w:tc>
          <w:tcPr>
            <w:tcW w:w="476" w:type="pct"/>
            <w:shd w:val="clear" w:color="auto" w:fill="auto"/>
            <w:vAlign w:val="center"/>
          </w:tcPr>
          <w:p w14:paraId="34BEDA79">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12个</w:t>
            </w:r>
          </w:p>
        </w:tc>
        <w:tc>
          <w:tcPr>
            <w:tcW w:w="388" w:type="pct"/>
            <w:shd w:val="clear" w:color="auto" w:fill="auto"/>
            <w:vAlign w:val="center"/>
          </w:tcPr>
          <w:p w14:paraId="447841F4">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4C1F1A69">
            <w:pPr>
              <w:keepNext w:val="0"/>
              <w:keepLines w:val="0"/>
              <w:widowControl/>
              <w:suppressLineNumbers w:val="0"/>
              <w:jc w:val="left"/>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lang w:val="en-US" w:eastAsia="zh-CN" w:bidi="ar"/>
              </w:rPr>
              <w:t>材质：椴木夹板、榉木</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规格：30*22.5*0.9cm（9mm 底板 =5mm 前板 +4mm 后板 ) 夹板边</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缘打磨光滑不割手</w:t>
            </w:r>
          </w:p>
        </w:tc>
      </w:tr>
      <w:tr w14:paraId="34CDC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2837C478">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72</w:t>
            </w:r>
          </w:p>
        </w:tc>
        <w:tc>
          <w:tcPr>
            <w:tcW w:w="744" w:type="pct"/>
            <w:shd w:val="clear" w:color="auto" w:fill="auto"/>
            <w:vAlign w:val="center"/>
          </w:tcPr>
          <w:p w14:paraId="059BAAA2">
            <w:pPr>
              <w:keepNext w:val="0"/>
              <w:keepLines w:val="0"/>
              <w:widowControl/>
              <w:suppressLineNumbers w:val="0"/>
              <w:jc w:val="center"/>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方块奇思</w:t>
            </w:r>
          </w:p>
        </w:tc>
        <w:tc>
          <w:tcPr>
            <w:tcW w:w="476" w:type="pct"/>
            <w:shd w:val="clear" w:color="auto" w:fill="auto"/>
            <w:vAlign w:val="center"/>
          </w:tcPr>
          <w:p w14:paraId="484229F9">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2DF2F945">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08B8A67D">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材质：PP食品级环保塑料、安全无毒，颜色艳丽，耐光照不褪色，抗压耐磨，光滑不伤手。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2.产品由红、黄、蓝、绿、橙、紫6种颜色组成</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                     规格（允许尺寸误差±3mm）：43*43mm                                                                                     3.件数：85个（510件）</w:t>
            </w:r>
          </w:p>
        </w:tc>
      </w:tr>
      <w:tr w14:paraId="022D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25274C10">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73</w:t>
            </w:r>
          </w:p>
        </w:tc>
        <w:tc>
          <w:tcPr>
            <w:tcW w:w="744" w:type="pct"/>
            <w:shd w:val="clear" w:color="auto" w:fill="auto"/>
            <w:vAlign w:val="center"/>
          </w:tcPr>
          <w:p w14:paraId="3CDC6110">
            <w:pPr>
              <w:keepNext w:val="0"/>
              <w:keepLines w:val="0"/>
              <w:widowControl/>
              <w:suppressLineNumbers w:val="0"/>
              <w:jc w:val="center"/>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弯管</w:t>
            </w:r>
          </w:p>
        </w:tc>
        <w:tc>
          <w:tcPr>
            <w:tcW w:w="476" w:type="pct"/>
            <w:shd w:val="clear" w:color="auto" w:fill="auto"/>
            <w:vAlign w:val="center"/>
          </w:tcPr>
          <w:p w14:paraId="064D2082">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028DB3EE">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3A9700EB">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材质 ：PP食品级环保塑料、安全无毒，颜色艳丽，耐光照不褪色，抗压耐磨，光滑不伤手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2.产品由红、黄、蓝、绿、浅蓝、浅绿、橙、紫8种颜色组成         规格（允许尺寸误差±3mm）：直通直径27*45mm</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大弯通27*53mm</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小弯通27*28mm                                                                                     3.件数：330件</w:t>
            </w:r>
          </w:p>
        </w:tc>
      </w:tr>
      <w:tr w14:paraId="7EC67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5E816DD8">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74</w:t>
            </w:r>
          </w:p>
        </w:tc>
        <w:tc>
          <w:tcPr>
            <w:tcW w:w="744" w:type="pct"/>
            <w:shd w:val="clear" w:color="auto" w:fill="auto"/>
            <w:vAlign w:val="center"/>
          </w:tcPr>
          <w:p w14:paraId="3DFDA1D2">
            <w:pPr>
              <w:keepNext w:val="0"/>
              <w:keepLines w:val="0"/>
              <w:widowControl/>
              <w:suppressLineNumbers w:val="0"/>
              <w:jc w:val="center"/>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四面拼图积木串-野生动物</w:t>
            </w:r>
          </w:p>
        </w:tc>
        <w:tc>
          <w:tcPr>
            <w:tcW w:w="476" w:type="pct"/>
            <w:shd w:val="clear" w:color="auto" w:fill="auto"/>
            <w:vAlign w:val="center"/>
          </w:tcPr>
          <w:p w14:paraId="4C7BEC0B">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50318010">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0FD2EE17">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18820" cy="721360"/>
                  <wp:effectExtent l="0" t="0" r="0" b="0"/>
                  <wp:wrapNone/>
                  <wp:docPr id="430" name="图片_19"/>
                  <wp:cNvGraphicFramePr/>
                  <a:graphic xmlns:a="http://schemas.openxmlformats.org/drawingml/2006/main">
                    <a:graphicData uri="http://schemas.openxmlformats.org/drawingml/2006/picture">
                      <pic:pic xmlns:pic="http://schemas.openxmlformats.org/drawingml/2006/picture">
                        <pic:nvPicPr>
                          <pic:cNvPr id="430" name="图片_19"/>
                          <pic:cNvPicPr/>
                        </pic:nvPicPr>
                        <pic:blipFill>
                          <a:blip r:embed="rId13"/>
                          <a:stretch>
                            <a:fillRect/>
                          </a:stretch>
                        </pic:blipFill>
                        <pic:spPr>
                          <a:xfrm>
                            <a:off x="0" y="0"/>
                            <a:ext cx="718820" cy="7213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20090" cy="717550"/>
                  <wp:effectExtent l="0" t="0" r="0" b="0"/>
                  <wp:wrapNone/>
                  <wp:docPr id="431" name="图片_18_SpCnt_1"/>
                  <wp:cNvGraphicFramePr/>
                  <a:graphic xmlns:a="http://schemas.openxmlformats.org/drawingml/2006/main">
                    <a:graphicData uri="http://schemas.openxmlformats.org/drawingml/2006/picture">
                      <pic:pic xmlns:pic="http://schemas.openxmlformats.org/drawingml/2006/picture">
                        <pic:nvPicPr>
                          <pic:cNvPr id="431" name="图片_18_SpCnt_1"/>
                          <pic:cNvPicPr/>
                        </pic:nvPicPr>
                        <pic:blipFill>
                          <a:blip r:embed="rId13"/>
                          <a:stretch>
                            <a:fillRect/>
                          </a:stretch>
                        </pic:blipFill>
                        <pic:spPr>
                          <a:xfrm>
                            <a:off x="0" y="0"/>
                            <a:ext cx="720090" cy="7175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20090" cy="721360"/>
                  <wp:effectExtent l="0" t="0" r="0" b="0"/>
                  <wp:wrapNone/>
                  <wp:docPr id="432" name="图片_19_SpCnt_1"/>
                  <wp:cNvGraphicFramePr/>
                  <a:graphic xmlns:a="http://schemas.openxmlformats.org/drawingml/2006/main">
                    <a:graphicData uri="http://schemas.openxmlformats.org/drawingml/2006/picture">
                      <pic:pic xmlns:pic="http://schemas.openxmlformats.org/drawingml/2006/picture">
                        <pic:nvPicPr>
                          <pic:cNvPr id="432" name="图片_19_SpCnt_1"/>
                          <pic:cNvPicPr/>
                        </pic:nvPicPr>
                        <pic:blipFill>
                          <a:blip r:embed="rId13"/>
                          <a:stretch>
                            <a:fillRect/>
                          </a:stretch>
                        </pic:blipFill>
                        <pic:spPr>
                          <a:xfrm>
                            <a:off x="0" y="0"/>
                            <a:ext cx="720090" cy="7213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39750" cy="540385"/>
                  <wp:effectExtent l="0" t="0" r="0" b="0"/>
                  <wp:wrapNone/>
                  <wp:docPr id="433" name="图片_507"/>
                  <wp:cNvGraphicFramePr/>
                  <a:graphic xmlns:a="http://schemas.openxmlformats.org/drawingml/2006/main">
                    <a:graphicData uri="http://schemas.openxmlformats.org/drawingml/2006/picture">
                      <pic:pic xmlns:pic="http://schemas.openxmlformats.org/drawingml/2006/picture">
                        <pic:nvPicPr>
                          <pic:cNvPr id="433" name="图片_507"/>
                          <pic:cNvPicPr/>
                        </pic:nvPicPr>
                        <pic:blipFill>
                          <a:blip r:embed="rId13"/>
                          <a:stretch>
                            <a:fillRect/>
                          </a:stretch>
                        </pic:blipFill>
                        <pic:spPr>
                          <a:xfrm>
                            <a:off x="0" y="0"/>
                            <a:ext cx="539750" cy="54038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39750" cy="539750"/>
                  <wp:effectExtent l="0" t="0" r="0" b="0"/>
                  <wp:wrapNone/>
                  <wp:docPr id="434" name="图片_508"/>
                  <wp:cNvGraphicFramePr/>
                  <a:graphic xmlns:a="http://schemas.openxmlformats.org/drawingml/2006/main">
                    <a:graphicData uri="http://schemas.openxmlformats.org/drawingml/2006/picture">
                      <pic:pic xmlns:pic="http://schemas.openxmlformats.org/drawingml/2006/picture">
                        <pic:nvPicPr>
                          <pic:cNvPr id="434" name="图片_508"/>
                          <pic:cNvPicPr/>
                        </pic:nvPicPr>
                        <pic:blipFill>
                          <a:blip r:embed="rId13"/>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39750" cy="540385"/>
                  <wp:effectExtent l="0" t="0" r="0" b="0"/>
                  <wp:wrapNone/>
                  <wp:docPr id="435" name="图片_505"/>
                  <wp:cNvGraphicFramePr/>
                  <a:graphic xmlns:a="http://schemas.openxmlformats.org/drawingml/2006/main">
                    <a:graphicData uri="http://schemas.openxmlformats.org/drawingml/2006/picture">
                      <pic:pic xmlns:pic="http://schemas.openxmlformats.org/drawingml/2006/picture">
                        <pic:nvPicPr>
                          <pic:cNvPr id="435" name="图片_505"/>
                          <pic:cNvPicPr/>
                        </pic:nvPicPr>
                        <pic:blipFill>
                          <a:blip r:embed="rId13"/>
                          <a:stretch>
                            <a:fillRect/>
                          </a:stretch>
                        </pic:blipFill>
                        <pic:spPr>
                          <a:xfrm>
                            <a:off x="0" y="0"/>
                            <a:ext cx="539750" cy="54038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39750" cy="539750"/>
                  <wp:effectExtent l="0" t="0" r="0" b="0"/>
                  <wp:wrapNone/>
                  <wp:docPr id="436" name="图片_506"/>
                  <wp:cNvGraphicFramePr/>
                  <a:graphic xmlns:a="http://schemas.openxmlformats.org/drawingml/2006/main">
                    <a:graphicData uri="http://schemas.openxmlformats.org/drawingml/2006/picture">
                      <pic:pic xmlns:pic="http://schemas.openxmlformats.org/drawingml/2006/picture">
                        <pic:nvPicPr>
                          <pic:cNvPr id="436" name="图片_506"/>
                          <pic:cNvPicPr/>
                        </pic:nvPicPr>
                        <pic:blipFill>
                          <a:blip r:embed="rId13"/>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39750" cy="538480"/>
                  <wp:effectExtent l="0" t="0" r="0" b="0"/>
                  <wp:wrapNone/>
                  <wp:docPr id="437" name="图片_504"/>
                  <wp:cNvGraphicFramePr/>
                  <a:graphic xmlns:a="http://schemas.openxmlformats.org/drawingml/2006/main">
                    <a:graphicData uri="http://schemas.openxmlformats.org/drawingml/2006/picture">
                      <pic:pic xmlns:pic="http://schemas.openxmlformats.org/drawingml/2006/picture">
                        <pic:nvPicPr>
                          <pic:cNvPr id="437" name="图片_504"/>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39750" cy="538480"/>
                  <wp:effectExtent l="0" t="0" r="0" b="0"/>
                  <wp:wrapNone/>
                  <wp:docPr id="438" name="图片_503"/>
                  <wp:cNvGraphicFramePr/>
                  <a:graphic xmlns:a="http://schemas.openxmlformats.org/drawingml/2006/main">
                    <a:graphicData uri="http://schemas.openxmlformats.org/drawingml/2006/picture">
                      <pic:pic xmlns:pic="http://schemas.openxmlformats.org/drawingml/2006/picture">
                        <pic:nvPicPr>
                          <pic:cNvPr id="438" name="图片_503"/>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39750" cy="538480"/>
                  <wp:effectExtent l="0" t="0" r="0" b="0"/>
                  <wp:wrapNone/>
                  <wp:docPr id="439" name="图片_502"/>
                  <wp:cNvGraphicFramePr/>
                  <a:graphic xmlns:a="http://schemas.openxmlformats.org/drawingml/2006/main">
                    <a:graphicData uri="http://schemas.openxmlformats.org/drawingml/2006/picture">
                      <pic:pic xmlns:pic="http://schemas.openxmlformats.org/drawingml/2006/picture">
                        <pic:nvPicPr>
                          <pic:cNvPr id="439" name="图片_502"/>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503555</wp:posOffset>
                  </wp:positionH>
                  <wp:positionV relativeFrom="paragraph">
                    <wp:posOffset>0</wp:posOffset>
                  </wp:positionV>
                  <wp:extent cx="634365" cy="539750"/>
                  <wp:effectExtent l="0" t="0" r="0" b="0"/>
                  <wp:wrapNone/>
                  <wp:docPr id="440" name="图片_18_SpCnt_2"/>
                  <wp:cNvGraphicFramePr/>
                  <a:graphic xmlns:a="http://schemas.openxmlformats.org/drawingml/2006/main">
                    <a:graphicData uri="http://schemas.openxmlformats.org/drawingml/2006/picture">
                      <pic:pic xmlns:pic="http://schemas.openxmlformats.org/drawingml/2006/picture">
                        <pic:nvPicPr>
                          <pic:cNvPr id="440" name="图片_18_SpCnt_2"/>
                          <pic:cNvPicPr/>
                        </pic:nvPicPr>
                        <pic:blipFill>
                          <a:blip r:embed="rId13"/>
                          <a:stretch>
                            <a:fillRect/>
                          </a:stretch>
                        </pic:blipFill>
                        <pic:spPr>
                          <a:xfrm>
                            <a:off x="0" y="0"/>
                            <a:ext cx="634365" cy="5397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597535</wp:posOffset>
                  </wp:positionH>
                  <wp:positionV relativeFrom="paragraph">
                    <wp:posOffset>0</wp:posOffset>
                  </wp:positionV>
                  <wp:extent cx="634365" cy="542290"/>
                  <wp:effectExtent l="0" t="0" r="0" b="0"/>
                  <wp:wrapNone/>
                  <wp:docPr id="441" name="图片_19_SpCnt_2"/>
                  <wp:cNvGraphicFramePr/>
                  <a:graphic xmlns:a="http://schemas.openxmlformats.org/drawingml/2006/main">
                    <a:graphicData uri="http://schemas.openxmlformats.org/drawingml/2006/picture">
                      <pic:pic xmlns:pic="http://schemas.openxmlformats.org/drawingml/2006/picture">
                        <pic:nvPicPr>
                          <pic:cNvPr id="441" name="图片_19_SpCnt_2"/>
                          <pic:cNvPicPr/>
                        </pic:nvPicPr>
                        <pic:blipFill>
                          <a:blip r:embed="rId13"/>
                          <a:stretch>
                            <a:fillRect/>
                          </a:stretch>
                        </pic:blipFill>
                        <pic:spPr>
                          <a:xfrm>
                            <a:off x="0" y="0"/>
                            <a:ext cx="634365"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材质：榉木 (榉木无需漂白，须用浅色榉木）；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产品尺寸：14.5*5.5*14.5cm,积木块：4*4*4cm,木棒：￠1*13cm；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部件：9个立方体积木块+1个底座连3根圆柱</w:t>
            </w:r>
            <w:r>
              <w:rPr>
                <w:rFonts w:hint="eastAsia" w:ascii="宋体" w:hAnsi="宋体" w:cs="宋体"/>
                <w:i w:val="0"/>
                <w:iCs w:val="0"/>
                <w:color w:val="auto"/>
                <w:kern w:val="0"/>
                <w:sz w:val="21"/>
                <w:szCs w:val="21"/>
                <w:highlight w:val="none"/>
                <w:u w:val="none"/>
                <w:lang w:val="en-US" w:eastAsia="zh-CN" w:bidi="ar"/>
              </w:rPr>
              <w:t>。</w:t>
            </w:r>
          </w:p>
        </w:tc>
      </w:tr>
      <w:tr w14:paraId="5C8C5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5383373A">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75</w:t>
            </w:r>
          </w:p>
        </w:tc>
        <w:tc>
          <w:tcPr>
            <w:tcW w:w="744" w:type="pct"/>
            <w:shd w:val="clear" w:color="auto" w:fill="auto"/>
            <w:vAlign w:val="center"/>
          </w:tcPr>
          <w:p w14:paraId="65C2B66F">
            <w:pPr>
              <w:keepNext w:val="0"/>
              <w:keepLines w:val="0"/>
              <w:widowControl/>
              <w:suppressLineNumbers w:val="0"/>
              <w:jc w:val="center"/>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钓鱼迷宫</w:t>
            </w:r>
          </w:p>
        </w:tc>
        <w:tc>
          <w:tcPr>
            <w:tcW w:w="476" w:type="pct"/>
            <w:shd w:val="clear" w:color="auto" w:fill="auto"/>
            <w:vAlign w:val="center"/>
          </w:tcPr>
          <w:p w14:paraId="57084E66">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12个</w:t>
            </w:r>
          </w:p>
        </w:tc>
        <w:tc>
          <w:tcPr>
            <w:tcW w:w="388" w:type="pct"/>
            <w:shd w:val="clear" w:color="auto" w:fill="auto"/>
            <w:vAlign w:val="center"/>
          </w:tcPr>
          <w:p w14:paraId="7BE61601">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14925490">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材质：椴木夹板；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产品尺寸：30*30*1.4cm； 夹板厚度：1.2cm, 磁性棒：￠1.3*11cm，绳长：每截绳子长度不可大于19cm；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部件：磁性珠20颗 (红色5颗 + 黄色5颗+蓝色5颗+绿色5颗)；</w:t>
            </w:r>
          </w:p>
        </w:tc>
      </w:tr>
      <w:tr w14:paraId="7E15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599917C1">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76</w:t>
            </w:r>
          </w:p>
        </w:tc>
        <w:tc>
          <w:tcPr>
            <w:tcW w:w="744" w:type="pct"/>
            <w:shd w:val="clear" w:color="auto" w:fill="auto"/>
            <w:vAlign w:val="center"/>
          </w:tcPr>
          <w:p w14:paraId="19E6713C">
            <w:pPr>
              <w:keepNext w:val="0"/>
              <w:keepLines w:val="0"/>
              <w:widowControl/>
              <w:suppressLineNumbers w:val="0"/>
              <w:jc w:val="center"/>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lang w:val="en-US" w:eastAsia="zh-CN" w:bidi="ar"/>
              </w:rPr>
              <w:t>色彩对应游戏</w:t>
            </w:r>
          </w:p>
        </w:tc>
        <w:tc>
          <w:tcPr>
            <w:tcW w:w="476" w:type="pct"/>
            <w:shd w:val="clear" w:color="auto" w:fill="auto"/>
            <w:vAlign w:val="center"/>
          </w:tcPr>
          <w:p w14:paraId="277BEFE9">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p>
          <w:p w14:paraId="3EECD529">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p>
          <w:p w14:paraId="05F10D40">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default"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3600" behindDoc="0" locked="0" layoutInCell="1" allowOverlap="1">
                  <wp:simplePos x="0" y="0"/>
                  <wp:positionH relativeFrom="column">
                    <wp:posOffset>134620</wp:posOffset>
                  </wp:positionH>
                  <wp:positionV relativeFrom="paragraph">
                    <wp:posOffset>171450</wp:posOffset>
                  </wp:positionV>
                  <wp:extent cx="593725" cy="537210"/>
                  <wp:effectExtent l="0" t="0" r="0" b="0"/>
                  <wp:wrapNone/>
                  <wp:docPr id="2483" name="图片_10_SpCnt_26"/>
                  <wp:cNvGraphicFramePr/>
                  <a:graphic xmlns:a="http://schemas.openxmlformats.org/drawingml/2006/main">
                    <a:graphicData uri="http://schemas.openxmlformats.org/drawingml/2006/picture">
                      <pic:pic xmlns:pic="http://schemas.openxmlformats.org/drawingml/2006/picture">
                        <pic:nvPicPr>
                          <pic:cNvPr id="2483" name="图片_10_SpCnt_26"/>
                          <pic:cNvPicPr/>
                        </pic:nvPicPr>
                        <pic:blipFill>
                          <a:blip r:embed="rId13"/>
                          <a:stretch>
                            <a:fillRect/>
                          </a:stretch>
                        </pic:blipFill>
                        <pic:spPr>
                          <a:xfrm>
                            <a:off x="0" y="0"/>
                            <a:ext cx="593725" cy="537210"/>
                          </a:xfrm>
                          <a:prstGeom prst="rect">
                            <a:avLst/>
                          </a:prstGeom>
                          <a:noFill/>
                          <a:ln>
                            <a:noFill/>
                          </a:ln>
                        </pic:spPr>
                      </pic:pic>
                    </a:graphicData>
                  </a:graphic>
                </wp:anchor>
              </w:drawing>
            </w:r>
            <w:r>
              <w:rPr>
                <w:rFonts w:hint="default"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3600" behindDoc="0" locked="0" layoutInCell="1" allowOverlap="1">
                  <wp:simplePos x="0" y="0"/>
                  <wp:positionH relativeFrom="column">
                    <wp:posOffset>134620</wp:posOffset>
                  </wp:positionH>
                  <wp:positionV relativeFrom="paragraph">
                    <wp:posOffset>171450</wp:posOffset>
                  </wp:positionV>
                  <wp:extent cx="593725" cy="537210"/>
                  <wp:effectExtent l="0" t="0" r="0" b="0"/>
                  <wp:wrapNone/>
                  <wp:docPr id="2484" name="图片_10_SpCnt_27"/>
                  <wp:cNvGraphicFramePr/>
                  <a:graphic xmlns:a="http://schemas.openxmlformats.org/drawingml/2006/main">
                    <a:graphicData uri="http://schemas.openxmlformats.org/drawingml/2006/picture">
                      <pic:pic xmlns:pic="http://schemas.openxmlformats.org/drawingml/2006/picture">
                        <pic:nvPicPr>
                          <pic:cNvPr id="2484" name="图片_10_SpCnt_27"/>
                          <pic:cNvPicPr/>
                        </pic:nvPicPr>
                        <pic:blipFill>
                          <a:blip r:embed="rId13"/>
                          <a:stretch>
                            <a:fillRect/>
                          </a:stretch>
                        </pic:blipFill>
                        <pic:spPr>
                          <a:xfrm>
                            <a:off x="0" y="0"/>
                            <a:ext cx="593725" cy="5372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228A44FB">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6182F78D">
            <w:pPr>
              <w:keepNext w:val="0"/>
              <w:keepLines w:val="0"/>
              <w:widowControl/>
              <w:suppressLineNumbers w:val="0"/>
              <w:jc w:val="left"/>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lang w:val="en-US" w:eastAsia="zh-CN" w:bidi="ar"/>
              </w:rPr>
              <w:t>材质：椴木夹板、荷木；</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规格：游戏板17.5*15*0.7cm/每片，色彩片φ3.5*0.7cm，骰子2.5*2.5*2.5cm；</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工艺：油漆+丝印  清水部件有上清漆；木材湿度小于14°边缘打磨光滑，不割手。</w:t>
            </w:r>
          </w:p>
        </w:tc>
      </w:tr>
      <w:tr w14:paraId="0CFF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7CACB31A">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77</w:t>
            </w:r>
          </w:p>
        </w:tc>
        <w:tc>
          <w:tcPr>
            <w:tcW w:w="744" w:type="pct"/>
            <w:shd w:val="clear" w:color="auto" w:fill="auto"/>
            <w:vAlign w:val="center"/>
          </w:tcPr>
          <w:p w14:paraId="11AFC03C">
            <w:pPr>
              <w:keepNext w:val="0"/>
              <w:keepLines w:val="0"/>
              <w:widowControl/>
              <w:suppressLineNumbers w:val="0"/>
              <w:jc w:val="center"/>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新几何配对积木</w:t>
            </w:r>
          </w:p>
        </w:tc>
        <w:tc>
          <w:tcPr>
            <w:tcW w:w="476" w:type="pct"/>
            <w:shd w:val="clear" w:color="auto" w:fill="auto"/>
            <w:vAlign w:val="center"/>
          </w:tcPr>
          <w:p w14:paraId="1BC88637">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04FD4498">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23902CE1">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716280" cy="715010"/>
                  <wp:effectExtent l="0" t="0" r="0" b="0"/>
                  <wp:wrapNone/>
                  <wp:docPr id="442" name="ID_B5BF18E09CFE43799C5EE3D44F45FB47"/>
                  <wp:cNvGraphicFramePr/>
                  <a:graphic xmlns:a="http://schemas.openxmlformats.org/drawingml/2006/main">
                    <a:graphicData uri="http://schemas.openxmlformats.org/drawingml/2006/picture">
                      <pic:pic xmlns:pic="http://schemas.openxmlformats.org/drawingml/2006/picture">
                        <pic:nvPicPr>
                          <pic:cNvPr id="442" name="ID_B5BF18E09CFE43799C5EE3D44F45FB47"/>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4365" cy="544195"/>
                  <wp:effectExtent l="0" t="0" r="0" b="0"/>
                  <wp:wrapNone/>
                  <wp:docPr id="443" name="图片_1004"/>
                  <wp:cNvGraphicFramePr/>
                  <a:graphic xmlns:a="http://schemas.openxmlformats.org/drawingml/2006/main">
                    <a:graphicData uri="http://schemas.openxmlformats.org/drawingml/2006/picture">
                      <pic:pic xmlns:pic="http://schemas.openxmlformats.org/drawingml/2006/picture">
                        <pic:nvPicPr>
                          <pic:cNvPr id="443" name="图片_1004"/>
                          <pic:cNvPicPr/>
                        </pic:nvPicPr>
                        <pic:blipFill>
                          <a:blip r:embed="rId13"/>
                          <a:stretch>
                            <a:fillRect/>
                          </a:stretch>
                        </pic:blipFill>
                        <pic:spPr>
                          <a:xfrm>
                            <a:off x="0" y="0"/>
                            <a:ext cx="634365" cy="54419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723265" cy="715010"/>
                  <wp:effectExtent l="0" t="0" r="0" b="0"/>
                  <wp:wrapNone/>
                  <wp:docPr id="444" name="ID_E826D4FD2F1D481EA1CFBD3451A51F56"/>
                  <wp:cNvGraphicFramePr/>
                  <a:graphic xmlns:a="http://schemas.openxmlformats.org/drawingml/2006/main">
                    <a:graphicData uri="http://schemas.openxmlformats.org/drawingml/2006/picture">
                      <pic:pic xmlns:pic="http://schemas.openxmlformats.org/drawingml/2006/picture">
                        <pic:nvPicPr>
                          <pic:cNvPr id="444" name="ID_E826D4FD2F1D481EA1CFBD3451A51F56"/>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723265" cy="715010"/>
                  <wp:effectExtent l="0" t="0" r="0" b="0"/>
                  <wp:wrapNone/>
                  <wp:docPr id="445" name="ID_CA31AD5AD4A240A69EBE9CEAC8E99D77"/>
                  <wp:cNvGraphicFramePr/>
                  <a:graphic xmlns:a="http://schemas.openxmlformats.org/drawingml/2006/main">
                    <a:graphicData uri="http://schemas.openxmlformats.org/drawingml/2006/picture">
                      <pic:pic xmlns:pic="http://schemas.openxmlformats.org/drawingml/2006/picture">
                        <pic:nvPicPr>
                          <pic:cNvPr id="445" name="ID_CA31AD5AD4A240A69EBE9CEAC8E99D77"/>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716280" cy="715010"/>
                  <wp:effectExtent l="0" t="0" r="0" b="0"/>
                  <wp:wrapNone/>
                  <wp:docPr id="446" name="ID_DE60E1367F4D47B68B43A253F9DB257F"/>
                  <wp:cNvGraphicFramePr/>
                  <a:graphic xmlns:a="http://schemas.openxmlformats.org/drawingml/2006/main">
                    <a:graphicData uri="http://schemas.openxmlformats.org/drawingml/2006/picture">
                      <pic:pic xmlns:pic="http://schemas.openxmlformats.org/drawingml/2006/picture">
                        <pic:nvPicPr>
                          <pic:cNvPr id="446" name="ID_DE60E1367F4D47B68B43A253F9DB257F"/>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723265" cy="715010"/>
                  <wp:effectExtent l="0" t="0" r="0" b="0"/>
                  <wp:wrapNone/>
                  <wp:docPr id="447" name="ID_B73E8774DBA24C66A077783CE7B139D0"/>
                  <wp:cNvGraphicFramePr/>
                  <a:graphic xmlns:a="http://schemas.openxmlformats.org/drawingml/2006/main">
                    <a:graphicData uri="http://schemas.openxmlformats.org/drawingml/2006/picture">
                      <pic:pic xmlns:pic="http://schemas.openxmlformats.org/drawingml/2006/picture">
                        <pic:nvPicPr>
                          <pic:cNvPr id="447" name="ID_B73E8774DBA24C66A077783CE7B139D0"/>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08330" cy="542290"/>
                  <wp:effectExtent l="0" t="0" r="0" b="0"/>
                  <wp:wrapNone/>
                  <wp:docPr id="448" name="ID_B73E8774DBA24C66A077783CE7B139D0_SpCnt_1"/>
                  <wp:cNvGraphicFramePr/>
                  <a:graphic xmlns:a="http://schemas.openxmlformats.org/drawingml/2006/main">
                    <a:graphicData uri="http://schemas.openxmlformats.org/drawingml/2006/picture">
                      <pic:pic xmlns:pic="http://schemas.openxmlformats.org/drawingml/2006/picture">
                        <pic:nvPicPr>
                          <pic:cNvPr id="448" name="ID_B73E8774DBA24C66A077783CE7B139D0_SpCnt_1"/>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08330" cy="542290"/>
                  <wp:effectExtent l="0" t="0" r="0" b="0"/>
                  <wp:wrapNone/>
                  <wp:docPr id="449" name="ID_B5BF18E09CFE43799C5EE3D44F45FB47_SpCnt_1"/>
                  <wp:cNvGraphicFramePr/>
                  <a:graphic xmlns:a="http://schemas.openxmlformats.org/drawingml/2006/main">
                    <a:graphicData uri="http://schemas.openxmlformats.org/drawingml/2006/picture">
                      <pic:pic xmlns:pic="http://schemas.openxmlformats.org/drawingml/2006/picture">
                        <pic:nvPicPr>
                          <pic:cNvPr id="449" name="ID_B5BF18E09CFE43799C5EE3D44F45FB47_SpCnt_1"/>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4365" cy="539750"/>
                  <wp:effectExtent l="0" t="0" r="0" b="0"/>
                  <wp:wrapNone/>
                  <wp:docPr id="450" name="图片_18_SpCnt_3"/>
                  <wp:cNvGraphicFramePr/>
                  <a:graphic xmlns:a="http://schemas.openxmlformats.org/drawingml/2006/main">
                    <a:graphicData uri="http://schemas.openxmlformats.org/drawingml/2006/picture">
                      <pic:pic xmlns:pic="http://schemas.openxmlformats.org/drawingml/2006/picture">
                        <pic:nvPicPr>
                          <pic:cNvPr id="450" name="图片_18_SpCnt_3"/>
                          <pic:cNvPicPr/>
                        </pic:nvPicPr>
                        <pic:blipFill>
                          <a:blip r:embed="rId13"/>
                          <a:stretch>
                            <a:fillRect/>
                          </a:stretch>
                        </pic:blipFill>
                        <pic:spPr>
                          <a:xfrm>
                            <a:off x="0" y="0"/>
                            <a:ext cx="634365" cy="5397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4365" cy="542290"/>
                  <wp:effectExtent l="0" t="0" r="0" b="0"/>
                  <wp:wrapNone/>
                  <wp:docPr id="451" name="图片_19_SpCnt_3"/>
                  <wp:cNvGraphicFramePr/>
                  <a:graphic xmlns:a="http://schemas.openxmlformats.org/drawingml/2006/main">
                    <a:graphicData uri="http://schemas.openxmlformats.org/drawingml/2006/picture">
                      <pic:pic xmlns:pic="http://schemas.openxmlformats.org/drawingml/2006/picture">
                        <pic:nvPicPr>
                          <pic:cNvPr id="451" name="图片_19_SpCnt_3"/>
                          <pic:cNvPicPr/>
                        </pic:nvPicPr>
                        <pic:blipFill>
                          <a:blip r:embed="rId13"/>
                          <a:stretch>
                            <a:fillRect/>
                          </a:stretch>
                        </pic:blipFill>
                        <pic:spPr>
                          <a:xfrm>
                            <a:off x="0" y="0"/>
                            <a:ext cx="634365"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08330" cy="542290"/>
                  <wp:effectExtent l="0" t="0" r="0" b="0"/>
                  <wp:wrapNone/>
                  <wp:docPr id="452" name="ID_CA31AD5AD4A240A69EBE9CEAC8E99D77_SpCnt_1"/>
                  <wp:cNvGraphicFramePr/>
                  <a:graphic xmlns:a="http://schemas.openxmlformats.org/drawingml/2006/main">
                    <a:graphicData uri="http://schemas.openxmlformats.org/drawingml/2006/picture">
                      <pic:pic xmlns:pic="http://schemas.openxmlformats.org/drawingml/2006/picture">
                        <pic:nvPicPr>
                          <pic:cNvPr id="452" name="ID_CA31AD5AD4A240A69EBE9CEAC8E99D77_SpCnt_1"/>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08330" cy="542290"/>
                  <wp:effectExtent l="0" t="0" r="0" b="0"/>
                  <wp:wrapNone/>
                  <wp:docPr id="453" name="ID_DE60E1367F4D47B68B43A253F9DB257F_SpCnt_1"/>
                  <wp:cNvGraphicFramePr/>
                  <a:graphic xmlns:a="http://schemas.openxmlformats.org/drawingml/2006/main">
                    <a:graphicData uri="http://schemas.openxmlformats.org/drawingml/2006/picture">
                      <pic:pic xmlns:pic="http://schemas.openxmlformats.org/drawingml/2006/picture">
                        <pic:nvPicPr>
                          <pic:cNvPr id="453" name="ID_DE60E1367F4D47B68B43A253F9DB257F_SpCnt_1"/>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08330" cy="542290"/>
                  <wp:effectExtent l="0" t="0" r="0" b="0"/>
                  <wp:wrapNone/>
                  <wp:docPr id="454" name="ID_E826D4FD2F1D481EA1CFBD3451A51F56_SpCnt_1"/>
                  <wp:cNvGraphicFramePr/>
                  <a:graphic xmlns:a="http://schemas.openxmlformats.org/drawingml/2006/main">
                    <a:graphicData uri="http://schemas.openxmlformats.org/drawingml/2006/picture">
                      <pic:pic xmlns:pic="http://schemas.openxmlformats.org/drawingml/2006/picture">
                        <pic:nvPicPr>
                          <pic:cNvPr id="454" name="ID_E826D4FD2F1D481EA1CFBD3451A51F56_SpCnt_1"/>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36830</wp:posOffset>
                  </wp:positionV>
                  <wp:extent cx="718820" cy="715645"/>
                  <wp:effectExtent l="0" t="0" r="0" b="0"/>
                  <wp:wrapNone/>
                  <wp:docPr id="455" name="图片_18_SpCnt_4"/>
                  <wp:cNvGraphicFramePr/>
                  <a:graphic xmlns:a="http://schemas.openxmlformats.org/drawingml/2006/main">
                    <a:graphicData uri="http://schemas.openxmlformats.org/drawingml/2006/picture">
                      <pic:pic xmlns:pic="http://schemas.openxmlformats.org/drawingml/2006/picture">
                        <pic:nvPicPr>
                          <pic:cNvPr id="455" name="图片_18_SpCnt_4"/>
                          <pic:cNvPicPr/>
                        </pic:nvPicPr>
                        <pic:blipFill>
                          <a:blip r:embed="rId13"/>
                          <a:stretch>
                            <a:fillRect/>
                          </a:stretch>
                        </pic:blipFill>
                        <pic:spPr>
                          <a:xfrm>
                            <a:off x="0" y="0"/>
                            <a:ext cx="718820" cy="71564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35560</wp:posOffset>
                  </wp:positionV>
                  <wp:extent cx="720090" cy="717550"/>
                  <wp:effectExtent l="0" t="0" r="0" b="0"/>
                  <wp:wrapNone/>
                  <wp:docPr id="456" name="图片_18_SpCnt_5"/>
                  <wp:cNvGraphicFramePr/>
                  <a:graphic xmlns:a="http://schemas.openxmlformats.org/drawingml/2006/main">
                    <a:graphicData uri="http://schemas.openxmlformats.org/drawingml/2006/picture">
                      <pic:pic xmlns:pic="http://schemas.openxmlformats.org/drawingml/2006/picture">
                        <pic:nvPicPr>
                          <pic:cNvPr id="456" name="图片_18_SpCnt_5"/>
                          <pic:cNvPicPr/>
                        </pic:nvPicPr>
                        <pic:blipFill>
                          <a:blip r:embed="rId13"/>
                          <a:stretch>
                            <a:fillRect/>
                          </a:stretch>
                        </pic:blipFill>
                        <pic:spPr>
                          <a:xfrm>
                            <a:off x="0" y="0"/>
                            <a:ext cx="720090" cy="7175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171450</wp:posOffset>
                  </wp:positionV>
                  <wp:extent cx="539750" cy="538480"/>
                  <wp:effectExtent l="0" t="0" r="0" b="0"/>
                  <wp:wrapNone/>
                  <wp:docPr id="457" name="图片_1007"/>
                  <wp:cNvGraphicFramePr/>
                  <a:graphic xmlns:a="http://schemas.openxmlformats.org/drawingml/2006/main">
                    <a:graphicData uri="http://schemas.openxmlformats.org/drawingml/2006/picture">
                      <pic:pic xmlns:pic="http://schemas.openxmlformats.org/drawingml/2006/picture">
                        <pic:nvPicPr>
                          <pic:cNvPr id="457" name="图片_1007"/>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171450</wp:posOffset>
                  </wp:positionV>
                  <wp:extent cx="539750" cy="538480"/>
                  <wp:effectExtent l="0" t="0" r="0" b="0"/>
                  <wp:wrapNone/>
                  <wp:docPr id="458" name="图片_1008"/>
                  <wp:cNvGraphicFramePr/>
                  <a:graphic xmlns:a="http://schemas.openxmlformats.org/drawingml/2006/main">
                    <a:graphicData uri="http://schemas.openxmlformats.org/drawingml/2006/picture">
                      <pic:pic xmlns:pic="http://schemas.openxmlformats.org/drawingml/2006/picture">
                        <pic:nvPicPr>
                          <pic:cNvPr id="458" name="图片_1008"/>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171450</wp:posOffset>
                  </wp:positionV>
                  <wp:extent cx="539750" cy="538480"/>
                  <wp:effectExtent l="0" t="0" r="0" b="0"/>
                  <wp:wrapNone/>
                  <wp:docPr id="459" name="图片_1006"/>
                  <wp:cNvGraphicFramePr/>
                  <a:graphic xmlns:a="http://schemas.openxmlformats.org/drawingml/2006/main">
                    <a:graphicData uri="http://schemas.openxmlformats.org/drawingml/2006/picture">
                      <pic:pic xmlns:pic="http://schemas.openxmlformats.org/drawingml/2006/picture">
                        <pic:nvPicPr>
                          <pic:cNvPr id="459" name="图片_1006"/>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134620</wp:posOffset>
                  </wp:positionH>
                  <wp:positionV relativeFrom="paragraph">
                    <wp:posOffset>0</wp:posOffset>
                  </wp:positionV>
                  <wp:extent cx="601345" cy="537210"/>
                  <wp:effectExtent l="0" t="0" r="0" b="0"/>
                  <wp:wrapNone/>
                  <wp:docPr id="460" name="图片_10"/>
                  <wp:cNvGraphicFramePr/>
                  <a:graphic xmlns:a="http://schemas.openxmlformats.org/drawingml/2006/main">
                    <a:graphicData uri="http://schemas.openxmlformats.org/drawingml/2006/picture">
                      <pic:pic xmlns:pic="http://schemas.openxmlformats.org/drawingml/2006/picture">
                        <pic:nvPicPr>
                          <pic:cNvPr id="460" name="图片_10"/>
                          <pic:cNvPicPr/>
                        </pic:nvPicPr>
                        <pic:blipFill>
                          <a:blip r:embed="rId13"/>
                          <a:stretch>
                            <a:fillRect/>
                          </a:stretch>
                        </pic:blipFill>
                        <pic:spPr>
                          <a:xfrm>
                            <a:off x="0" y="0"/>
                            <a:ext cx="601345" cy="5372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503555</wp:posOffset>
                  </wp:positionH>
                  <wp:positionV relativeFrom="paragraph">
                    <wp:posOffset>0</wp:posOffset>
                  </wp:positionV>
                  <wp:extent cx="634365" cy="539750"/>
                  <wp:effectExtent l="0" t="0" r="0" b="0"/>
                  <wp:wrapNone/>
                  <wp:docPr id="461" name="图片_18_SpCnt_6"/>
                  <wp:cNvGraphicFramePr/>
                  <a:graphic xmlns:a="http://schemas.openxmlformats.org/drawingml/2006/main">
                    <a:graphicData uri="http://schemas.openxmlformats.org/drawingml/2006/picture">
                      <pic:pic xmlns:pic="http://schemas.openxmlformats.org/drawingml/2006/picture">
                        <pic:nvPicPr>
                          <pic:cNvPr id="461" name="图片_18_SpCnt_6"/>
                          <pic:cNvPicPr/>
                        </pic:nvPicPr>
                        <pic:blipFill>
                          <a:blip r:embed="rId13"/>
                          <a:stretch>
                            <a:fillRect/>
                          </a:stretch>
                        </pic:blipFill>
                        <pic:spPr>
                          <a:xfrm>
                            <a:off x="0" y="0"/>
                            <a:ext cx="634365" cy="5397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570230</wp:posOffset>
                  </wp:positionH>
                  <wp:positionV relativeFrom="paragraph">
                    <wp:posOffset>0</wp:posOffset>
                  </wp:positionV>
                  <wp:extent cx="725805" cy="715010"/>
                  <wp:effectExtent l="0" t="0" r="0" b="0"/>
                  <wp:wrapNone/>
                  <wp:docPr id="462" name="ID_B73E8774DBA24C66A077783CE7B139D0_SpCnt_2"/>
                  <wp:cNvGraphicFramePr/>
                  <a:graphic xmlns:a="http://schemas.openxmlformats.org/drawingml/2006/main">
                    <a:graphicData uri="http://schemas.openxmlformats.org/drawingml/2006/picture">
                      <pic:pic xmlns:pic="http://schemas.openxmlformats.org/drawingml/2006/picture">
                        <pic:nvPicPr>
                          <pic:cNvPr id="462" name="ID_B73E8774DBA24C66A077783CE7B139D0_SpCnt_2"/>
                          <pic:cNvPicPr/>
                        </pic:nvPicPr>
                        <pic:blipFill>
                          <a:blip r:embed="rId13"/>
                          <a:stretch>
                            <a:fillRect/>
                          </a:stretch>
                        </pic:blipFill>
                        <pic:spPr>
                          <a:xfrm>
                            <a:off x="0" y="0"/>
                            <a:ext cx="72580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579120</wp:posOffset>
                  </wp:positionH>
                  <wp:positionV relativeFrom="paragraph">
                    <wp:posOffset>0</wp:posOffset>
                  </wp:positionV>
                  <wp:extent cx="716915" cy="715010"/>
                  <wp:effectExtent l="0" t="0" r="0" b="0"/>
                  <wp:wrapNone/>
                  <wp:docPr id="463" name="ID_B5BF18E09CFE43799C5EE3D44F45FB47_SpCnt_2"/>
                  <wp:cNvGraphicFramePr/>
                  <a:graphic xmlns:a="http://schemas.openxmlformats.org/drawingml/2006/main">
                    <a:graphicData uri="http://schemas.openxmlformats.org/drawingml/2006/picture">
                      <pic:pic xmlns:pic="http://schemas.openxmlformats.org/drawingml/2006/picture">
                        <pic:nvPicPr>
                          <pic:cNvPr id="463" name="ID_B5BF18E09CFE43799C5EE3D44F45FB47_SpCnt_2"/>
                          <pic:cNvPicPr/>
                        </pic:nvPicPr>
                        <pic:blipFill>
                          <a:blip r:embed="rId13"/>
                          <a:stretch>
                            <a:fillRect/>
                          </a:stretch>
                        </pic:blipFill>
                        <pic:spPr>
                          <a:xfrm>
                            <a:off x="0" y="0"/>
                            <a:ext cx="71691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580390</wp:posOffset>
                  </wp:positionH>
                  <wp:positionV relativeFrom="paragraph">
                    <wp:posOffset>0</wp:posOffset>
                  </wp:positionV>
                  <wp:extent cx="596900" cy="504190"/>
                  <wp:effectExtent l="0" t="0" r="0" b="0"/>
                  <wp:wrapNone/>
                  <wp:docPr id="464" name="ID_B73E8774DBA24C66A077783CE7B139D0_SpCnt_3"/>
                  <wp:cNvGraphicFramePr/>
                  <a:graphic xmlns:a="http://schemas.openxmlformats.org/drawingml/2006/main">
                    <a:graphicData uri="http://schemas.openxmlformats.org/drawingml/2006/picture">
                      <pic:pic xmlns:pic="http://schemas.openxmlformats.org/drawingml/2006/picture">
                        <pic:nvPicPr>
                          <pic:cNvPr id="464" name="ID_B73E8774DBA24C66A077783CE7B139D0_SpCnt_3"/>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573405</wp:posOffset>
                  </wp:positionH>
                  <wp:positionV relativeFrom="paragraph">
                    <wp:posOffset>0</wp:posOffset>
                  </wp:positionV>
                  <wp:extent cx="596900" cy="504190"/>
                  <wp:effectExtent l="0" t="0" r="0" b="0"/>
                  <wp:wrapNone/>
                  <wp:docPr id="465" name="ID_B73E8774DBA24C66A077783CE7B139D0_SpCnt_4"/>
                  <wp:cNvGraphicFramePr/>
                  <a:graphic xmlns:a="http://schemas.openxmlformats.org/drawingml/2006/main">
                    <a:graphicData uri="http://schemas.openxmlformats.org/drawingml/2006/picture">
                      <pic:pic xmlns:pic="http://schemas.openxmlformats.org/drawingml/2006/picture">
                        <pic:nvPicPr>
                          <pic:cNvPr id="465" name="ID_B73E8774DBA24C66A077783CE7B139D0_SpCnt_4"/>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578485</wp:posOffset>
                  </wp:positionH>
                  <wp:positionV relativeFrom="paragraph">
                    <wp:posOffset>0</wp:posOffset>
                  </wp:positionV>
                  <wp:extent cx="596900" cy="504190"/>
                  <wp:effectExtent l="0" t="0" r="0" b="0"/>
                  <wp:wrapNone/>
                  <wp:docPr id="466" name="ID_B5BF18E09CFE43799C5EE3D44F45FB47_SpCnt_3"/>
                  <wp:cNvGraphicFramePr/>
                  <a:graphic xmlns:a="http://schemas.openxmlformats.org/drawingml/2006/main">
                    <a:graphicData uri="http://schemas.openxmlformats.org/drawingml/2006/picture">
                      <pic:pic xmlns:pic="http://schemas.openxmlformats.org/drawingml/2006/picture">
                        <pic:nvPicPr>
                          <pic:cNvPr id="466" name="ID_B5BF18E09CFE43799C5EE3D44F45FB47_SpCnt_3"/>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585470</wp:posOffset>
                  </wp:positionH>
                  <wp:positionV relativeFrom="paragraph">
                    <wp:posOffset>0</wp:posOffset>
                  </wp:positionV>
                  <wp:extent cx="596900" cy="504190"/>
                  <wp:effectExtent l="0" t="0" r="0" b="0"/>
                  <wp:wrapNone/>
                  <wp:docPr id="467" name="ID_B5BF18E09CFE43799C5EE3D44F45FB47_SpCnt_4"/>
                  <wp:cNvGraphicFramePr/>
                  <a:graphic xmlns:a="http://schemas.openxmlformats.org/drawingml/2006/main">
                    <a:graphicData uri="http://schemas.openxmlformats.org/drawingml/2006/picture">
                      <pic:pic xmlns:pic="http://schemas.openxmlformats.org/drawingml/2006/picture">
                        <pic:nvPicPr>
                          <pic:cNvPr id="467" name="ID_B5BF18E09CFE43799C5EE3D44F45FB47_SpCnt_4"/>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588645</wp:posOffset>
                  </wp:positionH>
                  <wp:positionV relativeFrom="paragraph">
                    <wp:posOffset>0</wp:posOffset>
                  </wp:positionV>
                  <wp:extent cx="596900" cy="504190"/>
                  <wp:effectExtent l="0" t="0" r="0" b="0"/>
                  <wp:wrapNone/>
                  <wp:docPr id="468" name="ID_B73E8774DBA24C66A077783CE7B139D0_SpCnt_5"/>
                  <wp:cNvGraphicFramePr/>
                  <a:graphic xmlns:a="http://schemas.openxmlformats.org/drawingml/2006/main">
                    <a:graphicData uri="http://schemas.openxmlformats.org/drawingml/2006/picture">
                      <pic:pic xmlns:pic="http://schemas.openxmlformats.org/drawingml/2006/picture">
                        <pic:nvPicPr>
                          <pic:cNvPr id="468" name="ID_B73E8774DBA24C66A077783CE7B139D0_SpCnt_5"/>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597535</wp:posOffset>
                  </wp:positionH>
                  <wp:positionV relativeFrom="paragraph">
                    <wp:posOffset>0</wp:posOffset>
                  </wp:positionV>
                  <wp:extent cx="634365" cy="542290"/>
                  <wp:effectExtent l="0" t="0" r="0" b="0"/>
                  <wp:wrapNone/>
                  <wp:docPr id="469" name="图片_19_SpCnt_4"/>
                  <wp:cNvGraphicFramePr/>
                  <a:graphic xmlns:a="http://schemas.openxmlformats.org/drawingml/2006/main">
                    <a:graphicData uri="http://schemas.openxmlformats.org/drawingml/2006/picture">
                      <pic:pic xmlns:pic="http://schemas.openxmlformats.org/drawingml/2006/picture">
                        <pic:nvPicPr>
                          <pic:cNvPr id="469" name="图片_19_SpCnt_4"/>
                          <pic:cNvPicPr/>
                        </pic:nvPicPr>
                        <pic:blipFill>
                          <a:blip r:embed="rId13"/>
                          <a:stretch>
                            <a:fillRect/>
                          </a:stretch>
                        </pic:blipFill>
                        <pic:spPr>
                          <a:xfrm>
                            <a:off x="0" y="0"/>
                            <a:ext cx="634365"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594995</wp:posOffset>
                  </wp:positionH>
                  <wp:positionV relativeFrom="paragraph">
                    <wp:posOffset>0</wp:posOffset>
                  </wp:positionV>
                  <wp:extent cx="723265" cy="715010"/>
                  <wp:effectExtent l="0" t="0" r="0" b="0"/>
                  <wp:wrapNone/>
                  <wp:docPr id="470" name="ID_CA31AD5AD4A240A69EBE9CEAC8E99D77_SpCnt_2"/>
                  <wp:cNvGraphicFramePr/>
                  <a:graphic xmlns:a="http://schemas.openxmlformats.org/drawingml/2006/main">
                    <a:graphicData uri="http://schemas.openxmlformats.org/drawingml/2006/picture">
                      <pic:pic xmlns:pic="http://schemas.openxmlformats.org/drawingml/2006/picture">
                        <pic:nvPicPr>
                          <pic:cNvPr id="470" name="ID_CA31AD5AD4A240A69EBE9CEAC8E99D77_SpCnt_2"/>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594995</wp:posOffset>
                  </wp:positionH>
                  <wp:positionV relativeFrom="paragraph">
                    <wp:posOffset>0</wp:posOffset>
                  </wp:positionV>
                  <wp:extent cx="716280" cy="715010"/>
                  <wp:effectExtent l="0" t="0" r="0" b="0"/>
                  <wp:wrapNone/>
                  <wp:docPr id="471" name="ID_DE60E1367F4D47B68B43A253F9DB257F_SpCnt_2"/>
                  <wp:cNvGraphicFramePr/>
                  <a:graphic xmlns:a="http://schemas.openxmlformats.org/drawingml/2006/main">
                    <a:graphicData uri="http://schemas.openxmlformats.org/drawingml/2006/picture">
                      <pic:pic xmlns:pic="http://schemas.openxmlformats.org/drawingml/2006/picture">
                        <pic:nvPicPr>
                          <pic:cNvPr id="471" name="ID_DE60E1367F4D47B68B43A253F9DB257F_SpCnt_2"/>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594995</wp:posOffset>
                  </wp:positionH>
                  <wp:positionV relativeFrom="paragraph">
                    <wp:posOffset>0</wp:posOffset>
                  </wp:positionV>
                  <wp:extent cx="723265" cy="715010"/>
                  <wp:effectExtent l="0" t="0" r="0" b="0"/>
                  <wp:wrapNone/>
                  <wp:docPr id="472" name="ID_E826D4FD2F1D481EA1CFBD3451A51F56_SpCnt_2"/>
                  <wp:cNvGraphicFramePr/>
                  <a:graphic xmlns:a="http://schemas.openxmlformats.org/drawingml/2006/main">
                    <a:graphicData uri="http://schemas.openxmlformats.org/drawingml/2006/picture">
                      <pic:pic xmlns:pic="http://schemas.openxmlformats.org/drawingml/2006/picture">
                        <pic:nvPicPr>
                          <pic:cNvPr id="472" name="ID_E826D4FD2F1D481EA1CFBD3451A51F56_SpCnt_2"/>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593725</wp:posOffset>
                  </wp:positionH>
                  <wp:positionV relativeFrom="paragraph">
                    <wp:posOffset>0</wp:posOffset>
                  </wp:positionV>
                  <wp:extent cx="596900" cy="504190"/>
                  <wp:effectExtent l="0" t="0" r="0" b="0"/>
                  <wp:wrapNone/>
                  <wp:docPr id="473" name="ID_B5BF18E09CFE43799C5EE3D44F45FB47_SpCnt_5"/>
                  <wp:cNvGraphicFramePr/>
                  <a:graphic xmlns:a="http://schemas.openxmlformats.org/drawingml/2006/main">
                    <a:graphicData uri="http://schemas.openxmlformats.org/drawingml/2006/picture">
                      <pic:pic xmlns:pic="http://schemas.openxmlformats.org/drawingml/2006/picture">
                        <pic:nvPicPr>
                          <pic:cNvPr id="473" name="ID_B5BF18E09CFE43799C5EE3D44F45FB47_SpCnt_5"/>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596265</wp:posOffset>
                  </wp:positionH>
                  <wp:positionV relativeFrom="paragraph">
                    <wp:posOffset>0</wp:posOffset>
                  </wp:positionV>
                  <wp:extent cx="596900" cy="504190"/>
                  <wp:effectExtent l="0" t="0" r="0" b="0"/>
                  <wp:wrapNone/>
                  <wp:docPr id="474" name="ID_CA31AD5AD4A240A69EBE9CEAC8E99D77_SpCnt_3"/>
                  <wp:cNvGraphicFramePr/>
                  <a:graphic xmlns:a="http://schemas.openxmlformats.org/drawingml/2006/main">
                    <a:graphicData uri="http://schemas.openxmlformats.org/drawingml/2006/picture">
                      <pic:pic xmlns:pic="http://schemas.openxmlformats.org/drawingml/2006/picture">
                        <pic:nvPicPr>
                          <pic:cNvPr id="474" name="ID_CA31AD5AD4A240A69EBE9CEAC8E99D77_SpCnt_3"/>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593090</wp:posOffset>
                  </wp:positionH>
                  <wp:positionV relativeFrom="paragraph">
                    <wp:posOffset>0</wp:posOffset>
                  </wp:positionV>
                  <wp:extent cx="596900" cy="504190"/>
                  <wp:effectExtent l="0" t="0" r="0" b="0"/>
                  <wp:wrapNone/>
                  <wp:docPr id="475" name="ID_DE60E1367F4D47B68B43A253F9DB257F_SpCnt_3"/>
                  <wp:cNvGraphicFramePr/>
                  <a:graphic xmlns:a="http://schemas.openxmlformats.org/drawingml/2006/main">
                    <a:graphicData uri="http://schemas.openxmlformats.org/drawingml/2006/picture">
                      <pic:pic xmlns:pic="http://schemas.openxmlformats.org/drawingml/2006/picture">
                        <pic:nvPicPr>
                          <pic:cNvPr id="475" name="ID_DE60E1367F4D47B68B43A253F9DB257F_SpCnt_3"/>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596265</wp:posOffset>
                  </wp:positionH>
                  <wp:positionV relativeFrom="paragraph">
                    <wp:posOffset>0</wp:posOffset>
                  </wp:positionV>
                  <wp:extent cx="596900" cy="504190"/>
                  <wp:effectExtent l="0" t="0" r="0" b="0"/>
                  <wp:wrapNone/>
                  <wp:docPr id="476" name="ID_E826D4FD2F1D481EA1CFBD3451A51F56_SpCnt_3"/>
                  <wp:cNvGraphicFramePr/>
                  <a:graphic xmlns:a="http://schemas.openxmlformats.org/drawingml/2006/main">
                    <a:graphicData uri="http://schemas.openxmlformats.org/drawingml/2006/picture">
                      <pic:pic xmlns:pic="http://schemas.openxmlformats.org/drawingml/2006/picture">
                        <pic:nvPicPr>
                          <pic:cNvPr id="476" name="ID_E826D4FD2F1D481EA1CFBD3451A51F56_SpCnt_3"/>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600075</wp:posOffset>
                  </wp:positionH>
                  <wp:positionV relativeFrom="paragraph">
                    <wp:posOffset>0</wp:posOffset>
                  </wp:positionV>
                  <wp:extent cx="596900" cy="504190"/>
                  <wp:effectExtent l="0" t="0" r="0" b="0"/>
                  <wp:wrapNone/>
                  <wp:docPr id="477" name="ID_DE60E1367F4D47B68B43A253F9DB257F_SpCnt_4"/>
                  <wp:cNvGraphicFramePr/>
                  <a:graphic xmlns:a="http://schemas.openxmlformats.org/drawingml/2006/main">
                    <a:graphicData uri="http://schemas.openxmlformats.org/drawingml/2006/picture">
                      <pic:pic xmlns:pic="http://schemas.openxmlformats.org/drawingml/2006/picture">
                        <pic:nvPicPr>
                          <pic:cNvPr id="477" name="ID_DE60E1367F4D47B68B43A253F9DB257F_SpCnt_4"/>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603250</wp:posOffset>
                  </wp:positionH>
                  <wp:positionV relativeFrom="paragraph">
                    <wp:posOffset>0</wp:posOffset>
                  </wp:positionV>
                  <wp:extent cx="596900" cy="504190"/>
                  <wp:effectExtent l="0" t="0" r="0" b="0"/>
                  <wp:wrapNone/>
                  <wp:docPr id="478" name="ID_E826D4FD2F1D481EA1CFBD3451A51F56_SpCnt_4"/>
                  <wp:cNvGraphicFramePr/>
                  <a:graphic xmlns:a="http://schemas.openxmlformats.org/drawingml/2006/main">
                    <a:graphicData uri="http://schemas.openxmlformats.org/drawingml/2006/picture">
                      <pic:pic xmlns:pic="http://schemas.openxmlformats.org/drawingml/2006/picture">
                        <pic:nvPicPr>
                          <pic:cNvPr id="478" name="ID_E826D4FD2F1D481EA1CFBD3451A51F56_SpCnt_4"/>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603250</wp:posOffset>
                  </wp:positionH>
                  <wp:positionV relativeFrom="paragraph">
                    <wp:posOffset>0</wp:posOffset>
                  </wp:positionV>
                  <wp:extent cx="596900" cy="504190"/>
                  <wp:effectExtent l="0" t="0" r="0" b="0"/>
                  <wp:wrapNone/>
                  <wp:docPr id="479" name="ID_CA31AD5AD4A240A69EBE9CEAC8E99D77_SpCnt_4"/>
                  <wp:cNvGraphicFramePr/>
                  <a:graphic xmlns:a="http://schemas.openxmlformats.org/drawingml/2006/main">
                    <a:graphicData uri="http://schemas.openxmlformats.org/drawingml/2006/picture">
                      <pic:pic xmlns:pic="http://schemas.openxmlformats.org/drawingml/2006/picture">
                        <pic:nvPicPr>
                          <pic:cNvPr id="479" name="ID_CA31AD5AD4A240A69EBE9CEAC8E99D77_SpCnt_4"/>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608330</wp:posOffset>
                  </wp:positionH>
                  <wp:positionV relativeFrom="paragraph">
                    <wp:posOffset>0</wp:posOffset>
                  </wp:positionV>
                  <wp:extent cx="596900" cy="504190"/>
                  <wp:effectExtent l="0" t="0" r="0" b="0"/>
                  <wp:wrapNone/>
                  <wp:docPr id="480" name="ID_DE60E1367F4D47B68B43A253F9DB257F_SpCnt_5"/>
                  <wp:cNvGraphicFramePr/>
                  <a:graphic xmlns:a="http://schemas.openxmlformats.org/drawingml/2006/main">
                    <a:graphicData uri="http://schemas.openxmlformats.org/drawingml/2006/picture">
                      <pic:pic xmlns:pic="http://schemas.openxmlformats.org/drawingml/2006/picture">
                        <pic:nvPicPr>
                          <pic:cNvPr id="480" name="ID_DE60E1367F4D47B68B43A253F9DB257F_SpCnt_5"/>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611505</wp:posOffset>
                  </wp:positionH>
                  <wp:positionV relativeFrom="paragraph">
                    <wp:posOffset>0</wp:posOffset>
                  </wp:positionV>
                  <wp:extent cx="596900" cy="504190"/>
                  <wp:effectExtent l="0" t="0" r="0" b="0"/>
                  <wp:wrapNone/>
                  <wp:docPr id="481" name="ID_E826D4FD2F1D481EA1CFBD3451A51F56_SpCnt_5"/>
                  <wp:cNvGraphicFramePr/>
                  <a:graphic xmlns:a="http://schemas.openxmlformats.org/drawingml/2006/main">
                    <a:graphicData uri="http://schemas.openxmlformats.org/drawingml/2006/picture">
                      <pic:pic xmlns:pic="http://schemas.openxmlformats.org/drawingml/2006/picture">
                        <pic:nvPicPr>
                          <pic:cNvPr id="481" name="ID_E826D4FD2F1D481EA1CFBD3451A51F56_SpCnt_5"/>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611505</wp:posOffset>
                  </wp:positionH>
                  <wp:positionV relativeFrom="paragraph">
                    <wp:posOffset>0</wp:posOffset>
                  </wp:positionV>
                  <wp:extent cx="596900" cy="504190"/>
                  <wp:effectExtent l="0" t="0" r="0" b="0"/>
                  <wp:wrapNone/>
                  <wp:docPr id="482" name="ID_CA31AD5AD4A240A69EBE9CEAC8E99D77_SpCnt_5"/>
                  <wp:cNvGraphicFramePr/>
                  <a:graphic xmlns:a="http://schemas.openxmlformats.org/drawingml/2006/main">
                    <a:graphicData uri="http://schemas.openxmlformats.org/drawingml/2006/picture">
                      <pic:pic xmlns:pic="http://schemas.openxmlformats.org/drawingml/2006/picture">
                        <pic:nvPicPr>
                          <pic:cNvPr id="482" name="ID_CA31AD5AD4A240A69EBE9CEAC8E99D77_SpCnt_5"/>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663575</wp:posOffset>
                  </wp:positionH>
                  <wp:positionV relativeFrom="paragraph">
                    <wp:posOffset>0</wp:posOffset>
                  </wp:positionV>
                  <wp:extent cx="647700" cy="647700"/>
                  <wp:effectExtent l="0" t="0" r="0" b="0"/>
                  <wp:wrapNone/>
                  <wp:docPr id="483" name="ID_B73E8774DBA24C66A077783CE7B139D0_SpCnt_6"/>
                  <wp:cNvGraphicFramePr/>
                  <a:graphic xmlns:a="http://schemas.openxmlformats.org/drawingml/2006/main">
                    <a:graphicData uri="http://schemas.openxmlformats.org/drawingml/2006/picture">
                      <pic:pic xmlns:pic="http://schemas.openxmlformats.org/drawingml/2006/picture">
                        <pic:nvPicPr>
                          <pic:cNvPr id="483" name="ID_B73E8774DBA24C66A077783CE7B139D0_SpCnt_6"/>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663575</wp:posOffset>
                  </wp:positionH>
                  <wp:positionV relativeFrom="paragraph">
                    <wp:posOffset>0</wp:posOffset>
                  </wp:positionV>
                  <wp:extent cx="654685" cy="647700"/>
                  <wp:effectExtent l="0" t="0" r="0" b="0"/>
                  <wp:wrapNone/>
                  <wp:docPr id="484" name="ID_B5BF18E09CFE43799C5EE3D44F45FB47_SpCnt_6"/>
                  <wp:cNvGraphicFramePr/>
                  <a:graphic xmlns:a="http://schemas.openxmlformats.org/drawingml/2006/main">
                    <a:graphicData uri="http://schemas.openxmlformats.org/drawingml/2006/picture">
                      <pic:pic xmlns:pic="http://schemas.openxmlformats.org/drawingml/2006/picture">
                        <pic:nvPicPr>
                          <pic:cNvPr id="484" name="ID_B5BF18E09CFE43799C5EE3D44F45FB47_SpCnt_6"/>
                          <pic:cNvPicPr/>
                        </pic:nvPicPr>
                        <pic:blipFill>
                          <a:blip r:embed="rId13"/>
                          <a:stretch>
                            <a:fillRect/>
                          </a:stretch>
                        </pic:blipFill>
                        <pic:spPr>
                          <a:xfrm>
                            <a:off x="0" y="0"/>
                            <a:ext cx="654685"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678815</wp:posOffset>
                  </wp:positionH>
                  <wp:positionV relativeFrom="paragraph">
                    <wp:posOffset>0</wp:posOffset>
                  </wp:positionV>
                  <wp:extent cx="645795" cy="647700"/>
                  <wp:effectExtent l="0" t="0" r="0" b="0"/>
                  <wp:wrapNone/>
                  <wp:docPr id="485" name="ID_DE60E1367F4D47B68B43A253F9DB257F_SpCnt_6"/>
                  <wp:cNvGraphicFramePr/>
                  <a:graphic xmlns:a="http://schemas.openxmlformats.org/drawingml/2006/main">
                    <a:graphicData uri="http://schemas.openxmlformats.org/drawingml/2006/picture">
                      <pic:pic xmlns:pic="http://schemas.openxmlformats.org/drawingml/2006/picture">
                        <pic:nvPicPr>
                          <pic:cNvPr id="485" name="ID_DE60E1367F4D47B68B43A253F9DB257F_SpCnt_6"/>
                          <pic:cNvPicPr/>
                        </pic:nvPicPr>
                        <pic:blipFill>
                          <a:blip r:embed="rId13"/>
                          <a:stretch>
                            <a:fillRect/>
                          </a:stretch>
                        </pic:blipFill>
                        <pic:spPr>
                          <a:xfrm>
                            <a:off x="0" y="0"/>
                            <a:ext cx="645795"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685800</wp:posOffset>
                  </wp:positionH>
                  <wp:positionV relativeFrom="paragraph">
                    <wp:posOffset>0</wp:posOffset>
                  </wp:positionV>
                  <wp:extent cx="647700" cy="647700"/>
                  <wp:effectExtent l="0" t="0" r="0" b="0"/>
                  <wp:wrapNone/>
                  <wp:docPr id="486" name="ID_E826D4FD2F1D481EA1CFBD3451A51F56_SpCnt_6"/>
                  <wp:cNvGraphicFramePr/>
                  <a:graphic xmlns:a="http://schemas.openxmlformats.org/drawingml/2006/main">
                    <a:graphicData uri="http://schemas.openxmlformats.org/drawingml/2006/picture">
                      <pic:pic xmlns:pic="http://schemas.openxmlformats.org/drawingml/2006/picture">
                        <pic:nvPicPr>
                          <pic:cNvPr id="486" name="ID_E826D4FD2F1D481EA1CFBD3451A51F56_SpCnt_6"/>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685800</wp:posOffset>
                  </wp:positionH>
                  <wp:positionV relativeFrom="paragraph">
                    <wp:posOffset>0</wp:posOffset>
                  </wp:positionV>
                  <wp:extent cx="647700" cy="647700"/>
                  <wp:effectExtent l="0" t="0" r="0" b="0"/>
                  <wp:wrapNone/>
                  <wp:docPr id="487" name="ID_CA31AD5AD4A240A69EBE9CEAC8E99D77_SpCnt_6"/>
                  <wp:cNvGraphicFramePr/>
                  <a:graphic xmlns:a="http://schemas.openxmlformats.org/drawingml/2006/main">
                    <a:graphicData uri="http://schemas.openxmlformats.org/drawingml/2006/picture">
                      <pic:pic xmlns:pic="http://schemas.openxmlformats.org/drawingml/2006/picture">
                        <pic:nvPicPr>
                          <pic:cNvPr id="487" name="ID_CA31AD5AD4A240A69EBE9CEAC8E99D77_SpCnt_6"/>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材质：PP食品级环保塑料、安全无毒，颜色艳丽，耐光照不褪色，抗压耐磨，光滑不伤手。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2.规格（允许尺寸误差±3mm）：花型：23*18mm，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梯形</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上18mm</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下23mm*20mm</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厚18mm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五角星：23.5*18mm，六边形:23*21*18mm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长方形：21*16*18mm，圆柱形：φ20.5*18mm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三角形：21*23*18mm，正方体21*21*18mm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底板：126*126*12mm</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木棍：200*φ9mm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绳子：600mm</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卡片：130*60mm</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80*80mm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3.件数：每付配底板1块 串珠64粒 绳子4条 卡片22张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4付/箱</w:t>
            </w:r>
          </w:p>
        </w:tc>
      </w:tr>
      <w:tr w14:paraId="70EBB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543923A4">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78</w:t>
            </w:r>
          </w:p>
        </w:tc>
        <w:tc>
          <w:tcPr>
            <w:tcW w:w="744" w:type="pct"/>
            <w:shd w:val="clear" w:color="auto" w:fill="auto"/>
            <w:vAlign w:val="center"/>
          </w:tcPr>
          <w:p w14:paraId="4CA4C4D4">
            <w:pPr>
              <w:keepNext w:val="0"/>
              <w:keepLines w:val="0"/>
              <w:widowControl/>
              <w:suppressLineNumbers w:val="0"/>
              <w:jc w:val="center"/>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俄罗斯方块</w:t>
            </w:r>
          </w:p>
        </w:tc>
        <w:tc>
          <w:tcPr>
            <w:tcW w:w="476" w:type="pct"/>
            <w:shd w:val="clear" w:color="auto" w:fill="auto"/>
            <w:vAlign w:val="center"/>
          </w:tcPr>
          <w:p w14:paraId="29B2B240">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03C5BF25">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055750F8">
            <w:pPr>
              <w:keepNext w:val="0"/>
              <w:keepLines w:val="0"/>
              <w:widowControl/>
              <w:numPr>
                <w:ilvl w:val="0"/>
                <w:numId w:val="0"/>
              </w:numPr>
              <w:suppressLineNumbers w:val="0"/>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171450</wp:posOffset>
                  </wp:positionV>
                  <wp:extent cx="539750" cy="538480"/>
                  <wp:effectExtent l="0" t="0" r="0" b="0"/>
                  <wp:wrapNone/>
                  <wp:docPr id="488" name="图片_889"/>
                  <wp:cNvGraphicFramePr/>
                  <a:graphic xmlns:a="http://schemas.openxmlformats.org/drawingml/2006/main">
                    <a:graphicData uri="http://schemas.openxmlformats.org/drawingml/2006/picture">
                      <pic:pic xmlns:pic="http://schemas.openxmlformats.org/drawingml/2006/picture">
                        <pic:nvPicPr>
                          <pic:cNvPr id="488" name="图片_889"/>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171450</wp:posOffset>
                  </wp:positionV>
                  <wp:extent cx="539750" cy="538480"/>
                  <wp:effectExtent l="0" t="0" r="0" b="0"/>
                  <wp:wrapNone/>
                  <wp:docPr id="489" name="图片_888"/>
                  <wp:cNvGraphicFramePr/>
                  <a:graphic xmlns:a="http://schemas.openxmlformats.org/drawingml/2006/main">
                    <a:graphicData uri="http://schemas.openxmlformats.org/drawingml/2006/picture">
                      <pic:pic xmlns:pic="http://schemas.openxmlformats.org/drawingml/2006/picture">
                        <pic:nvPicPr>
                          <pic:cNvPr id="489" name="图片_888"/>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171450</wp:posOffset>
                  </wp:positionV>
                  <wp:extent cx="539750" cy="538480"/>
                  <wp:effectExtent l="0" t="0" r="0" b="0"/>
                  <wp:wrapNone/>
                  <wp:docPr id="490" name="图片_887"/>
                  <wp:cNvGraphicFramePr/>
                  <a:graphic xmlns:a="http://schemas.openxmlformats.org/drawingml/2006/main">
                    <a:graphicData uri="http://schemas.openxmlformats.org/drawingml/2006/picture">
                      <pic:pic xmlns:pic="http://schemas.openxmlformats.org/drawingml/2006/picture">
                        <pic:nvPicPr>
                          <pic:cNvPr id="490" name="图片_887"/>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宋体" w:hAnsi="宋体" w:cs="宋体"/>
                <w:i w:val="0"/>
                <w:iCs w:val="0"/>
                <w:color w:val="auto"/>
                <w:kern w:val="0"/>
                <w:sz w:val="21"/>
                <w:szCs w:val="21"/>
                <w:highlight w:val="none"/>
                <w:u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环保优质ABS塑料材质，无异味，安全环保，色彩丰富，颜色艳丽，光泽度高，采用多道工序打磨，无毛刺</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                                  2</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规格（允许尺寸误差±3mm）：大颗粒基础件140颗粒，几何方块系列63颗粒（9个不同形状各7件），配底板2片（25.5*25.5cm）外形尺寸分别为</w:t>
            </w:r>
            <w:r>
              <w:rPr>
                <w:rFonts w:hint="eastAsia" w:ascii="宋体" w:hAnsi="宋体" w:cs="宋体"/>
                <w:i w:val="0"/>
                <w:iCs w:val="0"/>
                <w:color w:val="auto"/>
                <w:kern w:val="0"/>
                <w:sz w:val="21"/>
                <w:szCs w:val="21"/>
                <w:highlight w:val="none"/>
                <w:u w:val="none"/>
                <w:lang w:val="en-US" w:eastAsia="zh-CN" w:bidi="ar"/>
              </w:rPr>
              <w:t>：</w:t>
            </w:r>
          </w:p>
          <w:p w14:paraId="4EFE0719">
            <w:pPr>
              <w:keepNext w:val="0"/>
              <w:keepLines w:val="0"/>
              <w:widowControl/>
              <w:numPr>
                <w:ilvl w:val="0"/>
                <w:numId w:val="3"/>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工形95*63*14mm </w:t>
            </w:r>
            <w:r>
              <w:rPr>
                <w:rFonts w:hint="eastAsia" w:ascii="宋体" w:hAnsi="宋体" w:cs="宋体"/>
                <w:i w:val="0"/>
                <w:iCs w:val="0"/>
                <w:color w:val="auto"/>
                <w:kern w:val="0"/>
                <w:sz w:val="21"/>
                <w:szCs w:val="21"/>
                <w:highlight w:val="none"/>
                <w:u w:val="none"/>
                <w:lang w:val="en-US" w:eastAsia="zh-CN" w:bidi="ar"/>
              </w:rPr>
              <w:t>；</w:t>
            </w:r>
          </w:p>
          <w:p w14:paraId="5EE4F0FD">
            <w:pPr>
              <w:keepNext w:val="0"/>
              <w:keepLines w:val="0"/>
              <w:widowControl/>
              <w:numPr>
                <w:ilvl w:val="0"/>
                <w:numId w:val="3"/>
              </w:numPr>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 xml:space="preserve">正方形63*63*14mm </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                      </w:t>
            </w:r>
          </w:p>
          <w:p w14:paraId="224E7E7C">
            <w:pPr>
              <w:keepNext w:val="0"/>
              <w:keepLines w:val="0"/>
              <w:widowControl/>
              <w:numPr>
                <w:ilvl w:val="0"/>
                <w:numId w:val="3"/>
              </w:numPr>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L形95*63*14mm</w:t>
            </w:r>
            <w:r>
              <w:rPr>
                <w:rFonts w:hint="eastAsia" w:ascii="宋体" w:hAnsi="宋体" w:cs="宋体"/>
                <w:i w:val="0"/>
                <w:iCs w:val="0"/>
                <w:color w:val="auto"/>
                <w:kern w:val="0"/>
                <w:sz w:val="21"/>
                <w:szCs w:val="21"/>
                <w:highlight w:val="none"/>
                <w:u w:val="none"/>
                <w:lang w:val="en-US" w:eastAsia="zh-CN" w:bidi="ar"/>
              </w:rPr>
              <w:t>；</w:t>
            </w:r>
          </w:p>
          <w:p w14:paraId="34A84A7D">
            <w:pPr>
              <w:keepNext w:val="0"/>
              <w:keepLines w:val="0"/>
              <w:widowControl/>
              <w:numPr>
                <w:ilvl w:val="0"/>
                <w:numId w:val="3"/>
              </w:numPr>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 xml:space="preserve">十字95*95*14mm </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                    </w:t>
            </w:r>
          </w:p>
          <w:p w14:paraId="694FCA60">
            <w:pPr>
              <w:keepNext w:val="0"/>
              <w:keepLines w:val="0"/>
              <w:widowControl/>
              <w:numPr>
                <w:ilvl w:val="0"/>
                <w:numId w:val="3"/>
              </w:numPr>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 xml:space="preserve">长条127*31*14mm </w:t>
            </w:r>
            <w:r>
              <w:rPr>
                <w:rFonts w:hint="eastAsia" w:ascii="宋体" w:hAnsi="宋体" w:cs="宋体"/>
                <w:i w:val="0"/>
                <w:iCs w:val="0"/>
                <w:color w:val="auto"/>
                <w:kern w:val="0"/>
                <w:sz w:val="21"/>
                <w:szCs w:val="21"/>
                <w:highlight w:val="none"/>
                <w:u w:val="none"/>
                <w:lang w:val="en-US" w:eastAsia="zh-CN" w:bidi="ar"/>
              </w:rPr>
              <w:t>；</w:t>
            </w:r>
          </w:p>
          <w:p w14:paraId="027A91CF">
            <w:pPr>
              <w:keepNext w:val="0"/>
              <w:keepLines w:val="0"/>
              <w:widowControl/>
              <w:numPr>
                <w:ilvl w:val="0"/>
                <w:numId w:val="3"/>
              </w:numPr>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异梯形95*63*14mm</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                     </w:t>
            </w:r>
          </w:p>
          <w:p w14:paraId="000769F1">
            <w:pPr>
              <w:keepNext w:val="0"/>
              <w:keepLines w:val="0"/>
              <w:widowControl/>
              <w:numPr>
                <w:ilvl w:val="0"/>
                <w:numId w:val="3"/>
              </w:numPr>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 xml:space="preserve">短条63*31*14mm </w:t>
            </w:r>
            <w:r>
              <w:rPr>
                <w:rFonts w:hint="eastAsia" w:ascii="宋体" w:hAnsi="宋体" w:cs="宋体"/>
                <w:i w:val="0"/>
                <w:iCs w:val="0"/>
                <w:color w:val="auto"/>
                <w:kern w:val="0"/>
                <w:sz w:val="21"/>
                <w:szCs w:val="21"/>
                <w:highlight w:val="none"/>
                <w:u w:val="none"/>
                <w:lang w:val="en-US" w:eastAsia="zh-CN" w:bidi="ar"/>
              </w:rPr>
              <w:t>；</w:t>
            </w:r>
          </w:p>
          <w:p w14:paraId="40F00D8F">
            <w:pPr>
              <w:keepNext w:val="0"/>
              <w:keepLines w:val="0"/>
              <w:widowControl/>
              <w:numPr>
                <w:ilvl w:val="0"/>
                <w:numId w:val="3"/>
              </w:numPr>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 xml:space="preserve">凸95*63*14mm </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                      </w:t>
            </w:r>
          </w:p>
          <w:p w14:paraId="2D997186">
            <w:pPr>
              <w:keepNext w:val="0"/>
              <w:keepLines w:val="0"/>
              <w:widowControl/>
              <w:numPr>
                <w:ilvl w:val="0"/>
                <w:numId w:val="3"/>
              </w:numPr>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小L63*63*14mm</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   </w:t>
            </w:r>
          </w:p>
          <w:p w14:paraId="6E6F0F71">
            <w:pPr>
              <w:keepNext w:val="0"/>
              <w:keepLines w:val="0"/>
              <w:widowControl/>
              <w:numPr>
                <w:ilvl w:val="0"/>
                <w:numId w:val="3"/>
              </w:numPr>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大颗粒8孔63*31*24mm</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  </w:t>
            </w:r>
          </w:p>
          <w:p w14:paraId="158A2738">
            <w:pPr>
              <w:keepNext w:val="0"/>
              <w:keepLines w:val="0"/>
              <w:widowControl/>
              <w:numPr>
                <w:ilvl w:val="0"/>
                <w:numId w:val="3"/>
              </w:numPr>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 xml:space="preserve">大颗粒4孔31*31*24mm </w:t>
            </w:r>
            <w:r>
              <w:rPr>
                <w:rFonts w:hint="eastAsia" w:ascii="宋体" w:hAnsi="宋体" w:cs="宋体"/>
                <w:i w:val="0"/>
                <w:iCs w:val="0"/>
                <w:color w:val="auto"/>
                <w:kern w:val="0"/>
                <w:sz w:val="21"/>
                <w:szCs w:val="21"/>
                <w:highlight w:val="none"/>
                <w:u w:val="none"/>
                <w:lang w:val="en-US" w:eastAsia="zh-CN" w:bidi="ar"/>
              </w:rPr>
              <w:t>；</w:t>
            </w:r>
          </w:p>
          <w:p w14:paraId="151E3847">
            <w:pPr>
              <w:keepNext w:val="0"/>
              <w:keepLines w:val="0"/>
              <w:widowControl/>
              <w:numPr>
                <w:ilvl w:val="0"/>
                <w:numId w:val="3"/>
              </w:numPr>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 xml:space="preserve">大颗粒2孔31*16*24mm </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3.件数：205件</w:t>
            </w:r>
          </w:p>
        </w:tc>
      </w:tr>
      <w:tr w14:paraId="377D1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0D82D939">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79</w:t>
            </w:r>
          </w:p>
        </w:tc>
        <w:tc>
          <w:tcPr>
            <w:tcW w:w="744" w:type="pct"/>
            <w:shd w:val="clear" w:color="auto" w:fill="auto"/>
            <w:vAlign w:val="center"/>
          </w:tcPr>
          <w:p w14:paraId="22AABB1F">
            <w:pPr>
              <w:keepNext w:val="0"/>
              <w:keepLines w:val="0"/>
              <w:widowControl/>
              <w:suppressLineNumbers w:val="0"/>
              <w:jc w:val="center"/>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lang w:val="en-US" w:eastAsia="zh-CN" w:bidi="ar"/>
              </w:rPr>
              <w:t>小智力盒</w:t>
            </w:r>
          </w:p>
        </w:tc>
        <w:tc>
          <w:tcPr>
            <w:tcW w:w="476" w:type="pct"/>
            <w:shd w:val="clear" w:color="auto" w:fill="auto"/>
            <w:vAlign w:val="center"/>
          </w:tcPr>
          <w:p w14:paraId="245EA3E7">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7D3F4617">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工业</w:t>
            </w:r>
          </w:p>
        </w:tc>
        <w:tc>
          <w:tcPr>
            <w:tcW w:w="3056" w:type="pct"/>
            <w:shd w:val="clear" w:color="auto" w:fill="auto"/>
            <w:vAlign w:val="center"/>
          </w:tcPr>
          <w:p w14:paraId="4DFDB8F5">
            <w:pPr>
              <w:keepNext w:val="0"/>
              <w:keepLines w:val="0"/>
              <w:widowControl/>
              <w:suppressLineNumbers w:val="0"/>
              <w:jc w:val="left"/>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4365" cy="539750"/>
                  <wp:effectExtent l="0" t="0" r="0" b="0"/>
                  <wp:wrapNone/>
                  <wp:docPr id="491" name="图片_18_SpCnt_7"/>
                  <wp:cNvGraphicFramePr/>
                  <a:graphic xmlns:a="http://schemas.openxmlformats.org/drawingml/2006/main">
                    <a:graphicData uri="http://schemas.openxmlformats.org/drawingml/2006/picture">
                      <pic:pic xmlns:pic="http://schemas.openxmlformats.org/drawingml/2006/picture">
                        <pic:nvPicPr>
                          <pic:cNvPr id="491" name="图片_18_SpCnt_7"/>
                          <pic:cNvPicPr/>
                        </pic:nvPicPr>
                        <pic:blipFill>
                          <a:blip r:embed="rId13"/>
                          <a:stretch>
                            <a:fillRect/>
                          </a:stretch>
                        </pic:blipFill>
                        <pic:spPr>
                          <a:xfrm>
                            <a:off x="0" y="0"/>
                            <a:ext cx="634365" cy="53975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4365" cy="542290"/>
                  <wp:effectExtent l="0" t="0" r="0" b="0"/>
                  <wp:wrapNone/>
                  <wp:docPr id="492" name="图片_19_SpCnt_5"/>
                  <wp:cNvGraphicFramePr/>
                  <a:graphic xmlns:a="http://schemas.openxmlformats.org/drawingml/2006/main">
                    <a:graphicData uri="http://schemas.openxmlformats.org/drawingml/2006/picture">
                      <pic:pic xmlns:pic="http://schemas.openxmlformats.org/drawingml/2006/picture">
                        <pic:nvPicPr>
                          <pic:cNvPr id="492" name="图片_19_SpCnt_5"/>
                          <pic:cNvPicPr/>
                        </pic:nvPicPr>
                        <pic:blipFill>
                          <a:blip r:embed="rId13"/>
                          <a:stretch>
                            <a:fillRect/>
                          </a:stretch>
                        </pic:blipFill>
                        <pic:spPr>
                          <a:xfrm>
                            <a:off x="0" y="0"/>
                            <a:ext cx="634365"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08330" cy="542290"/>
                  <wp:effectExtent l="0" t="0" r="0" b="0"/>
                  <wp:wrapNone/>
                  <wp:docPr id="493" name="ID_DE60E1367F4D47B68B43A253F9DB257F_SpCnt_7"/>
                  <wp:cNvGraphicFramePr/>
                  <a:graphic xmlns:a="http://schemas.openxmlformats.org/drawingml/2006/main">
                    <a:graphicData uri="http://schemas.openxmlformats.org/drawingml/2006/picture">
                      <pic:pic xmlns:pic="http://schemas.openxmlformats.org/drawingml/2006/picture">
                        <pic:nvPicPr>
                          <pic:cNvPr id="493" name="ID_DE60E1367F4D47B68B43A253F9DB257F_SpCnt_7"/>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08330" cy="542290"/>
                  <wp:effectExtent l="0" t="0" r="0" b="0"/>
                  <wp:wrapNone/>
                  <wp:docPr id="494" name="ID_B5BF18E09CFE43799C5EE3D44F45FB47_SpCnt_7"/>
                  <wp:cNvGraphicFramePr/>
                  <a:graphic xmlns:a="http://schemas.openxmlformats.org/drawingml/2006/main">
                    <a:graphicData uri="http://schemas.openxmlformats.org/drawingml/2006/picture">
                      <pic:pic xmlns:pic="http://schemas.openxmlformats.org/drawingml/2006/picture">
                        <pic:nvPicPr>
                          <pic:cNvPr id="494" name="ID_B5BF18E09CFE43799C5EE3D44F45FB47_SpCnt_7"/>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08330" cy="542290"/>
                  <wp:effectExtent l="0" t="0" r="0" b="0"/>
                  <wp:wrapNone/>
                  <wp:docPr id="495" name="ID_B73E8774DBA24C66A077783CE7B139D0_SpCnt_7"/>
                  <wp:cNvGraphicFramePr/>
                  <a:graphic xmlns:a="http://schemas.openxmlformats.org/drawingml/2006/main">
                    <a:graphicData uri="http://schemas.openxmlformats.org/drawingml/2006/picture">
                      <pic:pic xmlns:pic="http://schemas.openxmlformats.org/drawingml/2006/picture">
                        <pic:nvPicPr>
                          <pic:cNvPr id="495" name="ID_B73E8774DBA24C66A077783CE7B139D0_SpCnt_7"/>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08330" cy="542290"/>
                  <wp:effectExtent l="0" t="0" r="0" b="0"/>
                  <wp:wrapNone/>
                  <wp:docPr id="496" name="ID_E826D4FD2F1D481EA1CFBD3451A51F56_SpCnt_7"/>
                  <wp:cNvGraphicFramePr/>
                  <a:graphic xmlns:a="http://schemas.openxmlformats.org/drawingml/2006/main">
                    <a:graphicData uri="http://schemas.openxmlformats.org/drawingml/2006/picture">
                      <pic:pic xmlns:pic="http://schemas.openxmlformats.org/drawingml/2006/picture">
                        <pic:nvPicPr>
                          <pic:cNvPr id="496" name="ID_E826D4FD2F1D481EA1CFBD3451A51F56_SpCnt_7"/>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08330" cy="542290"/>
                  <wp:effectExtent l="0" t="0" r="0" b="0"/>
                  <wp:wrapNone/>
                  <wp:docPr id="497" name="ID_CA31AD5AD4A240A69EBE9CEAC8E99D77_SpCnt_7"/>
                  <wp:cNvGraphicFramePr/>
                  <a:graphic xmlns:a="http://schemas.openxmlformats.org/drawingml/2006/main">
                    <a:graphicData uri="http://schemas.openxmlformats.org/drawingml/2006/picture">
                      <pic:pic xmlns:pic="http://schemas.openxmlformats.org/drawingml/2006/picture">
                        <pic:nvPicPr>
                          <pic:cNvPr id="497" name="ID_CA31AD5AD4A240A69EBE9CEAC8E99D77_SpCnt_7"/>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723265" cy="715010"/>
                  <wp:effectExtent l="0" t="0" r="0" b="0"/>
                  <wp:wrapNone/>
                  <wp:docPr id="498" name="ID_E826D4FD2F1D481EA1CFBD3451A51F56_SpCnt_8"/>
                  <wp:cNvGraphicFramePr/>
                  <a:graphic xmlns:a="http://schemas.openxmlformats.org/drawingml/2006/main">
                    <a:graphicData uri="http://schemas.openxmlformats.org/drawingml/2006/picture">
                      <pic:pic xmlns:pic="http://schemas.openxmlformats.org/drawingml/2006/picture">
                        <pic:nvPicPr>
                          <pic:cNvPr id="498" name="ID_E826D4FD2F1D481EA1CFBD3451A51F56_SpCnt_8"/>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723265" cy="715010"/>
                  <wp:effectExtent l="0" t="0" r="0" b="0"/>
                  <wp:wrapNone/>
                  <wp:docPr id="499" name="ID_CA31AD5AD4A240A69EBE9CEAC8E99D77_SpCnt_8"/>
                  <wp:cNvGraphicFramePr/>
                  <a:graphic xmlns:a="http://schemas.openxmlformats.org/drawingml/2006/main">
                    <a:graphicData uri="http://schemas.openxmlformats.org/drawingml/2006/picture">
                      <pic:pic xmlns:pic="http://schemas.openxmlformats.org/drawingml/2006/picture">
                        <pic:nvPicPr>
                          <pic:cNvPr id="499" name="ID_CA31AD5AD4A240A69EBE9CEAC8E99D77_SpCnt_8"/>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716280" cy="715010"/>
                  <wp:effectExtent l="0" t="0" r="0" b="0"/>
                  <wp:wrapNone/>
                  <wp:docPr id="500" name="ID_DE60E1367F4D47B68B43A253F9DB257F_SpCnt_8"/>
                  <wp:cNvGraphicFramePr/>
                  <a:graphic xmlns:a="http://schemas.openxmlformats.org/drawingml/2006/main">
                    <a:graphicData uri="http://schemas.openxmlformats.org/drawingml/2006/picture">
                      <pic:pic xmlns:pic="http://schemas.openxmlformats.org/drawingml/2006/picture">
                        <pic:nvPicPr>
                          <pic:cNvPr id="500" name="ID_DE60E1367F4D47B68B43A253F9DB257F_SpCnt_8"/>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4365" cy="544195"/>
                  <wp:effectExtent l="0" t="0" r="0" b="0"/>
                  <wp:wrapNone/>
                  <wp:docPr id="501" name="图片_1125"/>
                  <wp:cNvGraphicFramePr/>
                  <a:graphic xmlns:a="http://schemas.openxmlformats.org/drawingml/2006/main">
                    <a:graphicData uri="http://schemas.openxmlformats.org/drawingml/2006/picture">
                      <pic:pic xmlns:pic="http://schemas.openxmlformats.org/drawingml/2006/picture">
                        <pic:nvPicPr>
                          <pic:cNvPr id="501" name="图片_1125"/>
                          <pic:cNvPicPr/>
                        </pic:nvPicPr>
                        <pic:blipFill>
                          <a:blip r:embed="rId13"/>
                          <a:stretch>
                            <a:fillRect/>
                          </a:stretch>
                        </pic:blipFill>
                        <pic:spPr>
                          <a:xfrm>
                            <a:off x="0" y="0"/>
                            <a:ext cx="634365" cy="544195"/>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718820" cy="715645"/>
                  <wp:effectExtent l="0" t="0" r="0" b="0"/>
                  <wp:wrapNone/>
                  <wp:docPr id="502" name="图片_18_SpCnt_8"/>
                  <wp:cNvGraphicFramePr/>
                  <a:graphic xmlns:a="http://schemas.openxmlformats.org/drawingml/2006/main">
                    <a:graphicData uri="http://schemas.openxmlformats.org/drawingml/2006/picture">
                      <pic:pic xmlns:pic="http://schemas.openxmlformats.org/drawingml/2006/picture">
                        <pic:nvPicPr>
                          <pic:cNvPr id="502" name="图片_18_SpCnt_8"/>
                          <pic:cNvPicPr/>
                        </pic:nvPicPr>
                        <pic:blipFill>
                          <a:blip r:embed="rId13"/>
                          <a:stretch>
                            <a:fillRect/>
                          </a:stretch>
                        </pic:blipFill>
                        <pic:spPr>
                          <a:xfrm>
                            <a:off x="0" y="0"/>
                            <a:ext cx="718820" cy="715645"/>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720090" cy="717550"/>
                  <wp:effectExtent l="0" t="0" r="0" b="0"/>
                  <wp:wrapNone/>
                  <wp:docPr id="503" name="图片_18_SpCnt_9"/>
                  <wp:cNvGraphicFramePr/>
                  <a:graphic xmlns:a="http://schemas.openxmlformats.org/drawingml/2006/main">
                    <a:graphicData uri="http://schemas.openxmlformats.org/drawingml/2006/picture">
                      <pic:pic xmlns:pic="http://schemas.openxmlformats.org/drawingml/2006/picture">
                        <pic:nvPicPr>
                          <pic:cNvPr id="503" name="图片_18_SpCnt_9"/>
                          <pic:cNvPicPr/>
                        </pic:nvPicPr>
                        <pic:blipFill>
                          <a:blip r:embed="rId13"/>
                          <a:stretch>
                            <a:fillRect/>
                          </a:stretch>
                        </pic:blipFill>
                        <pic:spPr>
                          <a:xfrm>
                            <a:off x="0" y="0"/>
                            <a:ext cx="720090" cy="71755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723265" cy="715010"/>
                  <wp:effectExtent l="0" t="0" r="0" b="0"/>
                  <wp:wrapNone/>
                  <wp:docPr id="504" name="ID_B73E8774DBA24C66A077783CE7B139D0_SpCnt_8"/>
                  <wp:cNvGraphicFramePr/>
                  <a:graphic xmlns:a="http://schemas.openxmlformats.org/drawingml/2006/main">
                    <a:graphicData uri="http://schemas.openxmlformats.org/drawingml/2006/picture">
                      <pic:pic xmlns:pic="http://schemas.openxmlformats.org/drawingml/2006/picture">
                        <pic:nvPicPr>
                          <pic:cNvPr id="504" name="ID_B73E8774DBA24C66A077783CE7B139D0_SpCnt_8"/>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716280" cy="715010"/>
                  <wp:effectExtent l="0" t="0" r="0" b="0"/>
                  <wp:wrapNone/>
                  <wp:docPr id="505" name="ID_B5BF18E09CFE43799C5EE3D44F45FB47_SpCnt_8"/>
                  <wp:cNvGraphicFramePr/>
                  <a:graphic xmlns:a="http://schemas.openxmlformats.org/drawingml/2006/main">
                    <a:graphicData uri="http://schemas.openxmlformats.org/drawingml/2006/picture">
                      <pic:pic xmlns:pic="http://schemas.openxmlformats.org/drawingml/2006/picture">
                        <pic:nvPicPr>
                          <pic:cNvPr id="505" name="ID_B5BF18E09CFE43799C5EE3D44F45FB47_SpCnt_8"/>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171450</wp:posOffset>
                  </wp:positionV>
                  <wp:extent cx="539750" cy="538480"/>
                  <wp:effectExtent l="0" t="0" r="0" b="0"/>
                  <wp:wrapNone/>
                  <wp:docPr id="506" name="图片_1129"/>
                  <wp:cNvGraphicFramePr/>
                  <a:graphic xmlns:a="http://schemas.openxmlformats.org/drawingml/2006/main">
                    <a:graphicData uri="http://schemas.openxmlformats.org/drawingml/2006/picture">
                      <pic:pic xmlns:pic="http://schemas.openxmlformats.org/drawingml/2006/picture">
                        <pic:nvPicPr>
                          <pic:cNvPr id="506" name="图片_1129"/>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171450</wp:posOffset>
                  </wp:positionV>
                  <wp:extent cx="539750" cy="538480"/>
                  <wp:effectExtent l="0" t="0" r="0" b="0"/>
                  <wp:wrapNone/>
                  <wp:docPr id="507" name="图片_1127"/>
                  <wp:cNvGraphicFramePr/>
                  <a:graphic xmlns:a="http://schemas.openxmlformats.org/drawingml/2006/main">
                    <a:graphicData uri="http://schemas.openxmlformats.org/drawingml/2006/picture">
                      <pic:pic xmlns:pic="http://schemas.openxmlformats.org/drawingml/2006/picture">
                        <pic:nvPicPr>
                          <pic:cNvPr id="507" name="图片_1127"/>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171450</wp:posOffset>
                  </wp:positionV>
                  <wp:extent cx="539750" cy="538480"/>
                  <wp:effectExtent l="0" t="0" r="0" b="0"/>
                  <wp:wrapNone/>
                  <wp:docPr id="508" name="图片_1128"/>
                  <wp:cNvGraphicFramePr/>
                  <a:graphic xmlns:a="http://schemas.openxmlformats.org/drawingml/2006/main">
                    <a:graphicData uri="http://schemas.openxmlformats.org/drawingml/2006/picture">
                      <pic:pic xmlns:pic="http://schemas.openxmlformats.org/drawingml/2006/picture">
                        <pic:nvPicPr>
                          <pic:cNvPr id="508" name="图片_1128"/>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503555</wp:posOffset>
                  </wp:positionH>
                  <wp:positionV relativeFrom="paragraph">
                    <wp:posOffset>0</wp:posOffset>
                  </wp:positionV>
                  <wp:extent cx="634365" cy="539750"/>
                  <wp:effectExtent l="0" t="0" r="0" b="0"/>
                  <wp:wrapNone/>
                  <wp:docPr id="509" name="图片_18_SpCnt_10"/>
                  <wp:cNvGraphicFramePr/>
                  <a:graphic xmlns:a="http://schemas.openxmlformats.org/drawingml/2006/main">
                    <a:graphicData uri="http://schemas.openxmlformats.org/drawingml/2006/picture">
                      <pic:pic xmlns:pic="http://schemas.openxmlformats.org/drawingml/2006/picture">
                        <pic:nvPicPr>
                          <pic:cNvPr id="509" name="图片_18_SpCnt_10"/>
                          <pic:cNvPicPr/>
                        </pic:nvPicPr>
                        <pic:blipFill>
                          <a:blip r:embed="rId13"/>
                          <a:stretch>
                            <a:fillRect/>
                          </a:stretch>
                        </pic:blipFill>
                        <pic:spPr>
                          <a:xfrm>
                            <a:off x="0" y="0"/>
                            <a:ext cx="634365" cy="53975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570230</wp:posOffset>
                  </wp:positionH>
                  <wp:positionV relativeFrom="paragraph">
                    <wp:posOffset>0</wp:posOffset>
                  </wp:positionV>
                  <wp:extent cx="725805" cy="715010"/>
                  <wp:effectExtent l="0" t="0" r="0" b="0"/>
                  <wp:wrapNone/>
                  <wp:docPr id="510" name="ID_B73E8774DBA24C66A077783CE7B139D0_SpCnt_9"/>
                  <wp:cNvGraphicFramePr/>
                  <a:graphic xmlns:a="http://schemas.openxmlformats.org/drawingml/2006/main">
                    <a:graphicData uri="http://schemas.openxmlformats.org/drawingml/2006/picture">
                      <pic:pic xmlns:pic="http://schemas.openxmlformats.org/drawingml/2006/picture">
                        <pic:nvPicPr>
                          <pic:cNvPr id="510" name="ID_B73E8774DBA24C66A077783CE7B139D0_SpCnt_9"/>
                          <pic:cNvPicPr/>
                        </pic:nvPicPr>
                        <pic:blipFill>
                          <a:blip r:embed="rId13"/>
                          <a:stretch>
                            <a:fillRect/>
                          </a:stretch>
                        </pic:blipFill>
                        <pic:spPr>
                          <a:xfrm>
                            <a:off x="0" y="0"/>
                            <a:ext cx="72580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573405</wp:posOffset>
                  </wp:positionH>
                  <wp:positionV relativeFrom="paragraph">
                    <wp:posOffset>0</wp:posOffset>
                  </wp:positionV>
                  <wp:extent cx="596900" cy="504190"/>
                  <wp:effectExtent l="0" t="0" r="0" b="0"/>
                  <wp:wrapNone/>
                  <wp:docPr id="511" name="ID_B73E8774DBA24C66A077783CE7B139D0_SpCnt_10"/>
                  <wp:cNvGraphicFramePr/>
                  <a:graphic xmlns:a="http://schemas.openxmlformats.org/drawingml/2006/main">
                    <a:graphicData uri="http://schemas.openxmlformats.org/drawingml/2006/picture">
                      <pic:pic xmlns:pic="http://schemas.openxmlformats.org/drawingml/2006/picture">
                        <pic:nvPicPr>
                          <pic:cNvPr id="511" name="ID_B73E8774DBA24C66A077783CE7B139D0_SpCnt_10"/>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578485</wp:posOffset>
                  </wp:positionH>
                  <wp:positionV relativeFrom="paragraph">
                    <wp:posOffset>0</wp:posOffset>
                  </wp:positionV>
                  <wp:extent cx="596900" cy="504190"/>
                  <wp:effectExtent l="0" t="0" r="0" b="0"/>
                  <wp:wrapNone/>
                  <wp:docPr id="512" name="ID_B5BF18E09CFE43799C5EE3D44F45FB47_SpCnt_9"/>
                  <wp:cNvGraphicFramePr/>
                  <a:graphic xmlns:a="http://schemas.openxmlformats.org/drawingml/2006/main">
                    <a:graphicData uri="http://schemas.openxmlformats.org/drawingml/2006/picture">
                      <pic:pic xmlns:pic="http://schemas.openxmlformats.org/drawingml/2006/picture">
                        <pic:nvPicPr>
                          <pic:cNvPr id="512" name="ID_B5BF18E09CFE43799C5EE3D44F45FB47_SpCnt_9"/>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580390</wp:posOffset>
                  </wp:positionH>
                  <wp:positionV relativeFrom="paragraph">
                    <wp:posOffset>0</wp:posOffset>
                  </wp:positionV>
                  <wp:extent cx="596900" cy="504190"/>
                  <wp:effectExtent l="0" t="0" r="0" b="0"/>
                  <wp:wrapNone/>
                  <wp:docPr id="513" name="ID_B73E8774DBA24C66A077783CE7B139D0_SpCnt_11"/>
                  <wp:cNvGraphicFramePr/>
                  <a:graphic xmlns:a="http://schemas.openxmlformats.org/drawingml/2006/main">
                    <a:graphicData uri="http://schemas.openxmlformats.org/drawingml/2006/picture">
                      <pic:pic xmlns:pic="http://schemas.openxmlformats.org/drawingml/2006/picture">
                        <pic:nvPicPr>
                          <pic:cNvPr id="513" name="ID_B73E8774DBA24C66A077783CE7B139D0_SpCnt_11"/>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579120</wp:posOffset>
                  </wp:positionH>
                  <wp:positionV relativeFrom="paragraph">
                    <wp:posOffset>0</wp:posOffset>
                  </wp:positionV>
                  <wp:extent cx="716915" cy="715010"/>
                  <wp:effectExtent l="0" t="0" r="0" b="0"/>
                  <wp:wrapNone/>
                  <wp:docPr id="514" name="ID_B5BF18E09CFE43799C5EE3D44F45FB47_SpCnt_10"/>
                  <wp:cNvGraphicFramePr/>
                  <a:graphic xmlns:a="http://schemas.openxmlformats.org/drawingml/2006/main">
                    <a:graphicData uri="http://schemas.openxmlformats.org/drawingml/2006/picture">
                      <pic:pic xmlns:pic="http://schemas.openxmlformats.org/drawingml/2006/picture">
                        <pic:nvPicPr>
                          <pic:cNvPr id="514" name="ID_B5BF18E09CFE43799C5EE3D44F45FB47_SpCnt_10"/>
                          <pic:cNvPicPr/>
                        </pic:nvPicPr>
                        <pic:blipFill>
                          <a:blip r:embed="rId13"/>
                          <a:stretch>
                            <a:fillRect/>
                          </a:stretch>
                        </pic:blipFill>
                        <pic:spPr>
                          <a:xfrm>
                            <a:off x="0" y="0"/>
                            <a:ext cx="71691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585470</wp:posOffset>
                  </wp:positionH>
                  <wp:positionV relativeFrom="paragraph">
                    <wp:posOffset>0</wp:posOffset>
                  </wp:positionV>
                  <wp:extent cx="596900" cy="504190"/>
                  <wp:effectExtent l="0" t="0" r="0" b="0"/>
                  <wp:wrapNone/>
                  <wp:docPr id="515" name="ID_B5BF18E09CFE43799C5EE3D44F45FB47_SpCnt_11"/>
                  <wp:cNvGraphicFramePr/>
                  <a:graphic xmlns:a="http://schemas.openxmlformats.org/drawingml/2006/main">
                    <a:graphicData uri="http://schemas.openxmlformats.org/drawingml/2006/picture">
                      <pic:pic xmlns:pic="http://schemas.openxmlformats.org/drawingml/2006/picture">
                        <pic:nvPicPr>
                          <pic:cNvPr id="515" name="ID_B5BF18E09CFE43799C5EE3D44F45FB47_SpCnt_11"/>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588645</wp:posOffset>
                  </wp:positionH>
                  <wp:positionV relativeFrom="paragraph">
                    <wp:posOffset>0</wp:posOffset>
                  </wp:positionV>
                  <wp:extent cx="596900" cy="504190"/>
                  <wp:effectExtent l="0" t="0" r="0" b="0"/>
                  <wp:wrapNone/>
                  <wp:docPr id="516" name="ID_B73E8774DBA24C66A077783CE7B139D0_SpCnt_12"/>
                  <wp:cNvGraphicFramePr/>
                  <a:graphic xmlns:a="http://schemas.openxmlformats.org/drawingml/2006/main">
                    <a:graphicData uri="http://schemas.openxmlformats.org/drawingml/2006/picture">
                      <pic:pic xmlns:pic="http://schemas.openxmlformats.org/drawingml/2006/picture">
                        <pic:nvPicPr>
                          <pic:cNvPr id="516" name="ID_B73E8774DBA24C66A077783CE7B139D0_SpCnt_12"/>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594995</wp:posOffset>
                  </wp:positionH>
                  <wp:positionV relativeFrom="paragraph">
                    <wp:posOffset>0</wp:posOffset>
                  </wp:positionV>
                  <wp:extent cx="723265" cy="715010"/>
                  <wp:effectExtent l="0" t="0" r="0" b="0"/>
                  <wp:wrapNone/>
                  <wp:docPr id="517" name="ID_E826D4FD2F1D481EA1CFBD3451A51F56_SpCnt_9"/>
                  <wp:cNvGraphicFramePr/>
                  <a:graphic xmlns:a="http://schemas.openxmlformats.org/drawingml/2006/main">
                    <a:graphicData uri="http://schemas.openxmlformats.org/drawingml/2006/picture">
                      <pic:pic xmlns:pic="http://schemas.openxmlformats.org/drawingml/2006/picture">
                        <pic:nvPicPr>
                          <pic:cNvPr id="517" name="ID_E826D4FD2F1D481EA1CFBD3451A51F56_SpCnt_9"/>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594995</wp:posOffset>
                  </wp:positionH>
                  <wp:positionV relativeFrom="paragraph">
                    <wp:posOffset>0</wp:posOffset>
                  </wp:positionV>
                  <wp:extent cx="723265" cy="715010"/>
                  <wp:effectExtent l="0" t="0" r="0" b="0"/>
                  <wp:wrapNone/>
                  <wp:docPr id="518" name="ID_CA31AD5AD4A240A69EBE9CEAC8E99D77_SpCnt_9"/>
                  <wp:cNvGraphicFramePr/>
                  <a:graphic xmlns:a="http://schemas.openxmlformats.org/drawingml/2006/main">
                    <a:graphicData uri="http://schemas.openxmlformats.org/drawingml/2006/picture">
                      <pic:pic xmlns:pic="http://schemas.openxmlformats.org/drawingml/2006/picture">
                        <pic:nvPicPr>
                          <pic:cNvPr id="518" name="ID_CA31AD5AD4A240A69EBE9CEAC8E99D77_SpCnt_9"/>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594995</wp:posOffset>
                  </wp:positionH>
                  <wp:positionV relativeFrom="paragraph">
                    <wp:posOffset>0</wp:posOffset>
                  </wp:positionV>
                  <wp:extent cx="716280" cy="715010"/>
                  <wp:effectExtent l="0" t="0" r="0" b="0"/>
                  <wp:wrapNone/>
                  <wp:docPr id="519" name="ID_DE60E1367F4D47B68B43A253F9DB257F_SpCnt_9"/>
                  <wp:cNvGraphicFramePr/>
                  <a:graphic xmlns:a="http://schemas.openxmlformats.org/drawingml/2006/main">
                    <a:graphicData uri="http://schemas.openxmlformats.org/drawingml/2006/picture">
                      <pic:pic xmlns:pic="http://schemas.openxmlformats.org/drawingml/2006/picture">
                        <pic:nvPicPr>
                          <pic:cNvPr id="519" name="ID_DE60E1367F4D47B68B43A253F9DB257F_SpCnt_9"/>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593090</wp:posOffset>
                  </wp:positionH>
                  <wp:positionV relativeFrom="paragraph">
                    <wp:posOffset>0</wp:posOffset>
                  </wp:positionV>
                  <wp:extent cx="596900" cy="504190"/>
                  <wp:effectExtent l="0" t="0" r="0" b="0"/>
                  <wp:wrapNone/>
                  <wp:docPr id="520" name="ID_DE60E1367F4D47B68B43A253F9DB257F_SpCnt_10"/>
                  <wp:cNvGraphicFramePr/>
                  <a:graphic xmlns:a="http://schemas.openxmlformats.org/drawingml/2006/main">
                    <a:graphicData uri="http://schemas.openxmlformats.org/drawingml/2006/picture">
                      <pic:pic xmlns:pic="http://schemas.openxmlformats.org/drawingml/2006/picture">
                        <pic:nvPicPr>
                          <pic:cNvPr id="520" name="ID_DE60E1367F4D47B68B43A253F9DB257F_SpCnt_10"/>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593725</wp:posOffset>
                  </wp:positionH>
                  <wp:positionV relativeFrom="paragraph">
                    <wp:posOffset>0</wp:posOffset>
                  </wp:positionV>
                  <wp:extent cx="596900" cy="504190"/>
                  <wp:effectExtent l="0" t="0" r="0" b="0"/>
                  <wp:wrapNone/>
                  <wp:docPr id="521" name="ID_B5BF18E09CFE43799C5EE3D44F45FB47_SpCnt_12"/>
                  <wp:cNvGraphicFramePr/>
                  <a:graphic xmlns:a="http://schemas.openxmlformats.org/drawingml/2006/main">
                    <a:graphicData uri="http://schemas.openxmlformats.org/drawingml/2006/picture">
                      <pic:pic xmlns:pic="http://schemas.openxmlformats.org/drawingml/2006/picture">
                        <pic:nvPicPr>
                          <pic:cNvPr id="521" name="ID_B5BF18E09CFE43799C5EE3D44F45FB47_SpCnt_12"/>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596265</wp:posOffset>
                  </wp:positionH>
                  <wp:positionV relativeFrom="paragraph">
                    <wp:posOffset>0</wp:posOffset>
                  </wp:positionV>
                  <wp:extent cx="596900" cy="504190"/>
                  <wp:effectExtent l="0" t="0" r="0" b="0"/>
                  <wp:wrapNone/>
                  <wp:docPr id="522" name="ID_E826D4FD2F1D481EA1CFBD3451A51F56_SpCnt_10"/>
                  <wp:cNvGraphicFramePr/>
                  <a:graphic xmlns:a="http://schemas.openxmlformats.org/drawingml/2006/main">
                    <a:graphicData uri="http://schemas.openxmlformats.org/drawingml/2006/picture">
                      <pic:pic xmlns:pic="http://schemas.openxmlformats.org/drawingml/2006/picture">
                        <pic:nvPicPr>
                          <pic:cNvPr id="522" name="ID_E826D4FD2F1D481EA1CFBD3451A51F56_SpCnt_10"/>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596265</wp:posOffset>
                  </wp:positionH>
                  <wp:positionV relativeFrom="paragraph">
                    <wp:posOffset>0</wp:posOffset>
                  </wp:positionV>
                  <wp:extent cx="596900" cy="504190"/>
                  <wp:effectExtent l="0" t="0" r="0" b="0"/>
                  <wp:wrapNone/>
                  <wp:docPr id="523" name="ID_CA31AD5AD4A240A69EBE9CEAC8E99D77_SpCnt_10"/>
                  <wp:cNvGraphicFramePr/>
                  <a:graphic xmlns:a="http://schemas.openxmlformats.org/drawingml/2006/main">
                    <a:graphicData uri="http://schemas.openxmlformats.org/drawingml/2006/picture">
                      <pic:pic xmlns:pic="http://schemas.openxmlformats.org/drawingml/2006/picture">
                        <pic:nvPicPr>
                          <pic:cNvPr id="523" name="ID_CA31AD5AD4A240A69EBE9CEAC8E99D77_SpCnt_10"/>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597535</wp:posOffset>
                  </wp:positionH>
                  <wp:positionV relativeFrom="paragraph">
                    <wp:posOffset>0</wp:posOffset>
                  </wp:positionV>
                  <wp:extent cx="634365" cy="542290"/>
                  <wp:effectExtent l="0" t="0" r="0" b="0"/>
                  <wp:wrapNone/>
                  <wp:docPr id="524" name="图片_19_SpCnt_6"/>
                  <wp:cNvGraphicFramePr/>
                  <a:graphic xmlns:a="http://schemas.openxmlformats.org/drawingml/2006/main">
                    <a:graphicData uri="http://schemas.openxmlformats.org/drawingml/2006/picture">
                      <pic:pic xmlns:pic="http://schemas.openxmlformats.org/drawingml/2006/picture">
                        <pic:nvPicPr>
                          <pic:cNvPr id="524" name="图片_19_SpCnt_6"/>
                          <pic:cNvPicPr/>
                        </pic:nvPicPr>
                        <pic:blipFill>
                          <a:blip r:embed="rId13"/>
                          <a:stretch>
                            <a:fillRect/>
                          </a:stretch>
                        </pic:blipFill>
                        <pic:spPr>
                          <a:xfrm>
                            <a:off x="0" y="0"/>
                            <a:ext cx="634365"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603250</wp:posOffset>
                  </wp:positionH>
                  <wp:positionV relativeFrom="paragraph">
                    <wp:posOffset>0</wp:posOffset>
                  </wp:positionV>
                  <wp:extent cx="596900" cy="504190"/>
                  <wp:effectExtent l="0" t="0" r="0" b="0"/>
                  <wp:wrapNone/>
                  <wp:docPr id="525" name="ID_CA31AD5AD4A240A69EBE9CEAC8E99D77_SpCnt_11"/>
                  <wp:cNvGraphicFramePr/>
                  <a:graphic xmlns:a="http://schemas.openxmlformats.org/drawingml/2006/main">
                    <a:graphicData uri="http://schemas.openxmlformats.org/drawingml/2006/picture">
                      <pic:pic xmlns:pic="http://schemas.openxmlformats.org/drawingml/2006/picture">
                        <pic:nvPicPr>
                          <pic:cNvPr id="525" name="ID_CA31AD5AD4A240A69EBE9CEAC8E99D77_SpCnt_11"/>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600075</wp:posOffset>
                  </wp:positionH>
                  <wp:positionV relativeFrom="paragraph">
                    <wp:posOffset>0</wp:posOffset>
                  </wp:positionV>
                  <wp:extent cx="596900" cy="504190"/>
                  <wp:effectExtent l="0" t="0" r="0" b="0"/>
                  <wp:wrapNone/>
                  <wp:docPr id="526" name="ID_DE60E1367F4D47B68B43A253F9DB257F_SpCnt_11"/>
                  <wp:cNvGraphicFramePr/>
                  <a:graphic xmlns:a="http://schemas.openxmlformats.org/drawingml/2006/main">
                    <a:graphicData uri="http://schemas.openxmlformats.org/drawingml/2006/picture">
                      <pic:pic xmlns:pic="http://schemas.openxmlformats.org/drawingml/2006/picture">
                        <pic:nvPicPr>
                          <pic:cNvPr id="526" name="ID_DE60E1367F4D47B68B43A253F9DB257F_SpCnt_11"/>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603250</wp:posOffset>
                  </wp:positionH>
                  <wp:positionV relativeFrom="paragraph">
                    <wp:posOffset>0</wp:posOffset>
                  </wp:positionV>
                  <wp:extent cx="596900" cy="504190"/>
                  <wp:effectExtent l="0" t="0" r="0" b="0"/>
                  <wp:wrapNone/>
                  <wp:docPr id="527" name="ID_E826D4FD2F1D481EA1CFBD3451A51F56_SpCnt_11"/>
                  <wp:cNvGraphicFramePr/>
                  <a:graphic xmlns:a="http://schemas.openxmlformats.org/drawingml/2006/main">
                    <a:graphicData uri="http://schemas.openxmlformats.org/drawingml/2006/picture">
                      <pic:pic xmlns:pic="http://schemas.openxmlformats.org/drawingml/2006/picture">
                        <pic:nvPicPr>
                          <pic:cNvPr id="527" name="ID_E826D4FD2F1D481EA1CFBD3451A51F56_SpCnt_11"/>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608330</wp:posOffset>
                  </wp:positionH>
                  <wp:positionV relativeFrom="paragraph">
                    <wp:posOffset>0</wp:posOffset>
                  </wp:positionV>
                  <wp:extent cx="596900" cy="504190"/>
                  <wp:effectExtent l="0" t="0" r="0" b="0"/>
                  <wp:wrapNone/>
                  <wp:docPr id="528" name="ID_DE60E1367F4D47B68B43A253F9DB257F_SpCnt_12"/>
                  <wp:cNvGraphicFramePr/>
                  <a:graphic xmlns:a="http://schemas.openxmlformats.org/drawingml/2006/main">
                    <a:graphicData uri="http://schemas.openxmlformats.org/drawingml/2006/picture">
                      <pic:pic xmlns:pic="http://schemas.openxmlformats.org/drawingml/2006/picture">
                        <pic:nvPicPr>
                          <pic:cNvPr id="528" name="ID_DE60E1367F4D47B68B43A253F9DB257F_SpCnt_12"/>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611505</wp:posOffset>
                  </wp:positionH>
                  <wp:positionV relativeFrom="paragraph">
                    <wp:posOffset>0</wp:posOffset>
                  </wp:positionV>
                  <wp:extent cx="596900" cy="504190"/>
                  <wp:effectExtent l="0" t="0" r="0" b="0"/>
                  <wp:wrapNone/>
                  <wp:docPr id="529" name="ID_E826D4FD2F1D481EA1CFBD3451A51F56_SpCnt_12"/>
                  <wp:cNvGraphicFramePr/>
                  <a:graphic xmlns:a="http://schemas.openxmlformats.org/drawingml/2006/main">
                    <a:graphicData uri="http://schemas.openxmlformats.org/drawingml/2006/picture">
                      <pic:pic xmlns:pic="http://schemas.openxmlformats.org/drawingml/2006/picture">
                        <pic:nvPicPr>
                          <pic:cNvPr id="529" name="ID_E826D4FD2F1D481EA1CFBD3451A51F56_SpCnt_12"/>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611505</wp:posOffset>
                  </wp:positionH>
                  <wp:positionV relativeFrom="paragraph">
                    <wp:posOffset>0</wp:posOffset>
                  </wp:positionV>
                  <wp:extent cx="596900" cy="504190"/>
                  <wp:effectExtent l="0" t="0" r="0" b="0"/>
                  <wp:wrapNone/>
                  <wp:docPr id="530" name="ID_CA31AD5AD4A240A69EBE9CEAC8E99D77_SpCnt_12"/>
                  <wp:cNvGraphicFramePr/>
                  <a:graphic xmlns:a="http://schemas.openxmlformats.org/drawingml/2006/main">
                    <a:graphicData uri="http://schemas.openxmlformats.org/drawingml/2006/picture">
                      <pic:pic xmlns:pic="http://schemas.openxmlformats.org/drawingml/2006/picture">
                        <pic:nvPicPr>
                          <pic:cNvPr id="530" name="ID_CA31AD5AD4A240A69EBE9CEAC8E99D77_SpCnt_12"/>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663575</wp:posOffset>
                  </wp:positionH>
                  <wp:positionV relativeFrom="paragraph">
                    <wp:posOffset>0</wp:posOffset>
                  </wp:positionV>
                  <wp:extent cx="647700" cy="647700"/>
                  <wp:effectExtent l="0" t="0" r="0" b="0"/>
                  <wp:wrapNone/>
                  <wp:docPr id="531" name="ID_B73E8774DBA24C66A077783CE7B139D0_SpCnt_13"/>
                  <wp:cNvGraphicFramePr/>
                  <a:graphic xmlns:a="http://schemas.openxmlformats.org/drawingml/2006/main">
                    <a:graphicData uri="http://schemas.openxmlformats.org/drawingml/2006/picture">
                      <pic:pic xmlns:pic="http://schemas.openxmlformats.org/drawingml/2006/picture">
                        <pic:nvPicPr>
                          <pic:cNvPr id="531" name="ID_B73E8774DBA24C66A077783CE7B139D0_SpCnt_13"/>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663575</wp:posOffset>
                  </wp:positionH>
                  <wp:positionV relativeFrom="paragraph">
                    <wp:posOffset>0</wp:posOffset>
                  </wp:positionV>
                  <wp:extent cx="654685" cy="647700"/>
                  <wp:effectExtent l="0" t="0" r="0" b="0"/>
                  <wp:wrapNone/>
                  <wp:docPr id="532" name="ID_B5BF18E09CFE43799C5EE3D44F45FB47_SpCnt_13"/>
                  <wp:cNvGraphicFramePr/>
                  <a:graphic xmlns:a="http://schemas.openxmlformats.org/drawingml/2006/main">
                    <a:graphicData uri="http://schemas.openxmlformats.org/drawingml/2006/picture">
                      <pic:pic xmlns:pic="http://schemas.openxmlformats.org/drawingml/2006/picture">
                        <pic:nvPicPr>
                          <pic:cNvPr id="532" name="ID_B5BF18E09CFE43799C5EE3D44F45FB47_SpCnt_13"/>
                          <pic:cNvPicPr/>
                        </pic:nvPicPr>
                        <pic:blipFill>
                          <a:blip r:embed="rId13"/>
                          <a:stretch>
                            <a:fillRect/>
                          </a:stretch>
                        </pic:blipFill>
                        <pic:spPr>
                          <a:xfrm>
                            <a:off x="0" y="0"/>
                            <a:ext cx="654685"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678815</wp:posOffset>
                  </wp:positionH>
                  <wp:positionV relativeFrom="paragraph">
                    <wp:posOffset>0</wp:posOffset>
                  </wp:positionV>
                  <wp:extent cx="645795" cy="647700"/>
                  <wp:effectExtent l="0" t="0" r="0" b="0"/>
                  <wp:wrapNone/>
                  <wp:docPr id="533" name="ID_DE60E1367F4D47B68B43A253F9DB257F_SpCnt_13"/>
                  <wp:cNvGraphicFramePr/>
                  <a:graphic xmlns:a="http://schemas.openxmlformats.org/drawingml/2006/main">
                    <a:graphicData uri="http://schemas.openxmlformats.org/drawingml/2006/picture">
                      <pic:pic xmlns:pic="http://schemas.openxmlformats.org/drawingml/2006/picture">
                        <pic:nvPicPr>
                          <pic:cNvPr id="533" name="ID_DE60E1367F4D47B68B43A253F9DB257F_SpCnt_13"/>
                          <pic:cNvPicPr/>
                        </pic:nvPicPr>
                        <pic:blipFill>
                          <a:blip r:embed="rId13"/>
                          <a:stretch>
                            <a:fillRect/>
                          </a:stretch>
                        </pic:blipFill>
                        <pic:spPr>
                          <a:xfrm>
                            <a:off x="0" y="0"/>
                            <a:ext cx="645795"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685800</wp:posOffset>
                  </wp:positionH>
                  <wp:positionV relativeFrom="paragraph">
                    <wp:posOffset>0</wp:posOffset>
                  </wp:positionV>
                  <wp:extent cx="647700" cy="647700"/>
                  <wp:effectExtent l="0" t="0" r="0" b="0"/>
                  <wp:wrapNone/>
                  <wp:docPr id="534" name="ID_CA31AD5AD4A240A69EBE9CEAC8E99D77_SpCnt_13"/>
                  <wp:cNvGraphicFramePr/>
                  <a:graphic xmlns:a="http://schemas.openxmlformats.org/drawingml/2006/main">
                    <a:graphicData uri="http://schemas.openxmlformats.org/drawingml/2006/picture">
                      <pic:pic xmlns:pic="http://schemas.openxmlformats.org/drawingml/2006/picture">
                        <pic:nvPicPr>
                          <pic:cNvPr id="534" name="ID_CA31AD5AD4A240A69EBE9CEAC8E99D77_SpCnt_13"/>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685800</wp:posOffset>
                  </wp:positionH>
                  <wp:positionV relativeFrom="paragraph">
                    <wp:posOffset>0</wp:posOffset>
                  </wp:positionV>
                  <wp:extent cx="647700" cy="647700"/>
                  <wp:effectExtent l="0" t="0" r="0" b="0"/>
                  <wp:wrapNone/>
                  <wp:docPr id="535" name="ID_E826D4FD2F1D481EA1CFBD3451A51F56_SpCnt_13"/>
                  <wp:cNvGraphicFramePr/>
                  <a:graphic xmlns:a="http://schemas.openxmlformats.org/drawingml/2006/main">
                    <a:graphicData uri="http://schemas.openxmlformats.org/drawingml/2006/picture">
                      <pic:pic xmlns:pic="http://schemas.openxmlformats.org/drawingml/2006/picture">
                        <pic:nvPicPr>
                          <pic:cNvPr id="535" name="ID_E826D4FD2F1D481EA1CFBD3451A51F56_SpCnt_13"/>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t>材质：盒子：橡胶木  盖子：夹板  积木：实木；</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产品规格：13x13x8cm，盖: 5mm后椴木夹板；积木厚度: 3cm，边框厚度为：0.95mm；</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部件：橙色六边形、黄色三角形、蓝色圆柱、绿色正方体各2块；</w:t>
            </w:r>
          </w:p>
        </w:tc>
      </w:tr>
      <w:tr w14:paraId="26849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11D007A6">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80</w:t>
            </w:r>
          </w:p>
        </w:tc>
        <w:tc>
          <w:tcPr>
            <w:tcW w:w="744" w:type="pct"/>
            <w:shd w:val="clear" w:color="auto" w:fill="auto"/>
            <w:vAlign w:val="center"/>
          </w:tcPr>
          <w:p w14:paraId="5F6D92CC">
            <w:pPr>
              <w:keepNext w:val="0"/>
              <w:keepLines w:val="0"/>
              <w:widowControl/>
              <w:suppressLineNumbers w:val="0"/>
              <w:jc w:val="center"/>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40块螺丝螺帽套</w:t>
            </w:r>
          </w:p>
        </w:tc>
        <w:tc>
          <w:tcPr>
            <w:tcW w:w="476" w:type="pct"/>
            <w:shd w:val="clear" w:color="auto" w:fill="auto"/>
            <w:vAlign w:val="center"/>
          </w:tcPr>
          <w:p w14:paraId="0380B6B9">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6BE9467A">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工业</w:t>
            </w:r>
          </w:p>
        </w:tc>
        <w:tc>
          <w:tcPr>
            <w:tcW w:w="3056" w:type="pct"/>
            <w:shd w:val="clear" w:color="auto" w:fill="auto"/>
            <w:vAlign w:val="center"/>
          </w:tcPr>
          <w:p w14:paraId="606403BB">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材质：PP食品级环保塑料、安全无毒，颜色艳丽，耐光照不褪色，抗压耐磨，光滑不伤手。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产品由红、黄、蓝、绿4种颜色组成</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                          规格（允许尺寸误差±3mm）：三角:帽48*44*12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钉48*44*53  六边形：帽48*43*12</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48*43*53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正方形：帽42*42*13 钉42*42*53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十字形：帽42*42*13 钉42*42*53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.件数:290件</w:t>
            </w:r>
          </w:p>
        </w:tc>
      </w:tr>
      <w:tr w14:paraId="2A1D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5D0C81BC">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81</w:t>
            </w:r>
          </w:p>
        </w:tc>
        <w:tc>
          <w:tcPr>
            <w:tcW w:w="744" w:type="pct"/>
            <w:shd w:val="clear" w:color="auto" w:fill="auto"/>
            <w:vAlign w:val="center"/>
          </w:tcPr>
          <w:p w14:paraId="397C1497">
            <w:pPr>
              <w:keepNext w:val="0"/>
              <w:keepLines w:val="0"/>
              <w:widowControl/>
              <w:suppressLineNumbers w:val="0"/>
              <w:jc w:val="center"/>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lang w:val="en-US" w:eastAsia="zh-CN" w:bidi="ar"/>
              </w:rPr>
              <w:t>太空平衡游戏</w:t>
            </w:r>
          </w:p>
        </w:tc>
        <w:tc>
          <w:tcPr>
            <w:tcW w:w="476" w:type="pct"/>
            <w:shd w:val="clear" w:color="auto" w:fill="auto"/>
            <w:vAlign w:val="center"/>
          </w:tcPr>
          <w:p w14:paraId="6EFEA076">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5470" cy="540385"/>
                  <wp:effectExtent l="0" t="0" r="0" b="0"/>
                  <wp:wrapNone/>
                  <wp:docPr id="2727" name="ID_B639C15C412A481E849C6DAD145CF1BC_SpCnt_6"/>
                  <wp:cNvGraphicFramePr/>
                  <a:graphic xmlns:a="http://schemas.openxmlformats.org/drawingml/2006/main">
                    <a:graphicData uri="http://schemas.openxmlformats.org/drawingml/2006/picture">
                      <pic:pic xmlns:pic="http://schemas.openxmlformats.org/drawingml/2006/picture">
                        <pic:nvPicPr>
                          <pic:cNvPr id="2727" name="ID_B639C15C412A481E849C6DAD145CF1BC_SpCnt_6"/>
                          <pic:cNvPicPr/>
                        </pic:nvPicPr>
                        <pic:blipFill>
                          <a:blip r:embed="rId13"/>
                          <a:stretch>
                            <a:fillRect/>
                          </a:stretch>
                        </pic:blipFill>
                        <pic:spPr>
                          <a:xfrm>
                            <a:off x="0" y="0"/>
                            <a:ext cx="585470" cy="540385"/>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5470" cy="539750"/>
                  <wp:effectExtent l="0" t="0" r="0" b="0"/>
                  <wp:wrapNone/>
                  <wp:docPr id="2728" name="ID_022CFE9ECF76443C84FF6E8FE5377D48_SpCnt_6"/>
                  <wp:cNvGraphicFramePr/>
                  <a:graphic xmlns:a="http://schemas.openxmlformats.org/drawingml/2006/main">
                    <a:graphicData uri="http://schemas.openxmlformats.org/drawingml/2006/picture">
                      <pic:pic xmlns:pic="http://schemas.openxmlformats.org/drawingml/2006/picture">
                        <pic:nvPicPr>
                          <pic:cNvPr id="2728" name="ID_022CFE9ECF76443C84FF6E8FE5377D48_SpCnt_6"/>
                          <pic:cNvPicPr/>
                        </pic:nvPicPr>
                        <pic:blipFill>
                          <a:blip r:embed="rId13"/>
                          <a:stretch>
                            <a:fillRect/>
                          </a:stretch>
                        </pic:blipFill>
                        <pic:spPr>
                          <a:xfrm>
                            <a:off x="0" y="0"/>
                            <a:ext cx="585470" cy="53975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5470" cy="541020"/>
                  <wp:effectExtent l="0" t="0" r="0" b="0"/>
                  <wp:wrapNone/>
                  <wp:docPr id="2729" name="ID_ADE36C5442AC456B90F5554850069795_SpCnt_6"/>
                  <wp:cNvGraphicFramePr/>
                  <a:graphic xmlns:a="http://schemas.openxmlformats.org/drawingml/2006/main">
                    <a:graphicData uri="http://schemas.openxmlformats.org/drawingml/2006/picture">
                      <pic:pic xmlns:pic="http://schemas.openxmlformats.org/drawingml/2006/picture">
                        <pic:nvPicPr>
                          <pic:cNvPr id="2729" name="ID_ADE36C5442AC456B90F5554850069795_SpCnt_6"/>
                          <pic:cNvPicPr/>
                        </pic:nvPicPr>
                        <pic:blipFill>
                          <a:blip r:embed="rId13"/>
                          <a:stretch>
                            <a:fillRect/>
                          </a:stretch>
                        </pic:blipFill>
                        <pic:spPr>
                          <a:xfrm>
                            <a:off x="0" y="0"/>
                            <a:ext cx="585470" cy="54102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5470" cy="538480"/>
                  <wp:effectExtent l="0" t="0" r="0" b="0"/>
                  <wp:wrapNone/>
                  <wp:docPr id="2730" name="ID_430ADB65064C477C8AF98FB8F15CEBA1_SpCnt_6"/>
                  <wp:cNvGraphicFramePr/>
                  <a:graphic xmlns:a="http://schemas.openxmlformats.org/drawingml/2006/main">
                    <a:graphicData uri="http://schemas.openxmlformats.org/drawingml/2006/picture">
                      <pic:pic xmlns:pic="http://schemas.openxmlformats.org/drawingml/2006/picture">
                        <pic:nvPicPr>
                          <pic:cNvPr id="2730" name="ID_430ADB65064C477C8AF98FB8F15CEBA1_SpCnt_6"/>
                          <pic:cNvPicPr/>
                        </pic:nvPicPr>
                        <pic:blipFill>
                          <a:blip r:embed="rId13"/>
                          <a:stretch>
                            <a:fillRect/>
                          </a:stretch>
                        </pic:blipFill>
                        <pic:spPr>
                          <a:xfrm>
                            <a:off x="0" y="0"/>
                            <a:ext cx="585470" cy="53848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5470" cy="539115"/>
                  <wp:effectExtent l="0" t="0" r="0" b="0"/>
                  <wp:wrapNone/>
                  <wp:docPr id="2731" name="ID_1D2DA7D5EFFF48789A845F8F8569F9EE_SpCnt_6"/>
                  <wp:cNvGraphicFramePr/>
                  <a:graphic xmlns:a="http://schemas.openxmlformats.org/drawingml/2006/main">
                    <a:graphicData uri="http://schemas.openxmlformats.org/drawingml/2006/picture">
                      <pic:pic xmlns:pic="http://schemas.openxmlformats.org/drawingml/2006/picture">
                        <pic:nvPicPr>
                          <pic:cNvPr id="2731" name="ID_1D2DA7D5EFFF48789A845F8F8569F9EE_SpCnt_6"/>
                          <pic:cNvPicPr/>
                        </pic:nvPicPr>
                        <pic:blipFill>
                          <a:blip r:embed="rId13"/>
                          <a:stretch>
                            <a:fillRect/>
                          </a:stretch>
                        </pic:blipFill>
                        <pic:spPr>
                          <a:xfrm>
                            <a:off x="0" y="0"/>
                            <a:ext cx="585470" cy="539115"/>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5470" cy="541020"/>
                  <wp:effectExtent l="0" t="0" r="0" b="0"/>
                  <wp:wrapNone/>
                  <wp:docPr id="2732" name="ID_BF17101804024A13B72CAC5E77C43885_SpCnt_6"/>
                  <wp:cNvGraphicFramePr/>
                  <a:graphic xmlns:a="http://schemas.openxmlformats.org/drawingml/2006/main">
                    <a:graphicData uri="http://schemas.openxmlformats.org/drawingml/2006/picture">
                      <pic:pic xmlns:pic="http://schemas.openxmlformats.org/drawingml/2006/picture">
                        <pic:nvPicPr>
                          <pic:cNvPr id="2732" name="ID_BF17101804024A13B72CAC5E77C43885_SpCnt_6"/>
                          <pic:cNvPicPr/>
                        </pic:nvPicPr>
                        <pic:blipFill>
                          <a:blip r:embed="rId13"/>
                          <a:stretch>
                            <a:fillRect/>
                          </a:stretch>
                        </pic:blipFill>
                        <pic:spPr>
                          <a:xfrm>
                            <a:off x="0" y="0"/>
                            <a:ext cx="585470" cy="54102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715645" cy="715010"/>
                  <wp:effectExtent l="0" t="0" r="0" b="0"/>
                  <wp:wrapNone/>
                  <wp:docPr id="2733" name="ID_E826D4FD2F1D481EA1CFBD3451A51F56_SpCnt_42"/>
                  <wp:cNvGraphicFramePr/>
                  <a:graphic xmlns:a="http://schemas.openxmlformats.org/drawingml/2006/main">
                    <a:graphicData uri="http://schemas.openxmlformats.org/drawingml/2006/picture">
                      <pic:pic xmlns:pic="http://schemas.openxmlformats.org/drawingml/2006/picture">
                        <pic:nvPicPr>
                          <pic:cNvPr id="2733" name="ID_E826D4FD2F1D481EA1CFBD3451A51F56_SpCnt_42"/>
                          <pic:cNvPicPr/>
                        </pic:nvPicPr>
                        <pic:blipFill>
                          <a:blip r:embed="rId13"/>
                          <a:stretch>
                            <a:fillRect/>
                          </a:stretch>
                        </pic:blipFill>
                        <pic:spPr>
                          <a:xfrm>
                            <a:off x="0" y="0"/>
                            <a:ext cx="71564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708660" cy="715010"/>
                  <wp:effectExtent l="0" t="0" r="0" b="0"/>
                  <wp:wrapNone/>
                  <wp:docPr id="2734" name="ID_B5BF18E09CFE43799C5EE3D44F45FB47_SpCnt_36"/>
                  <wp:cNvGraphicFramePr/>
                  <a:graphic xmlns:a="http://schemas.openxmlformats.org/drawingml/2006/main">
                    <a:graphicData uri="http://schemas.openxmlformats.org/drawingml/2006/picture">
                      <pic:pic xmlns:pic="http://schemas.openxmlformats.org/drawingml/2006/picture">
                        <pic:nvPicPr>
                          <pic:cNvPr id="2734" name="ID_B5BF18E09CFE43799C5EE3D44F45FB47_SpCnt_36"/>
                          <pic:cNvPicPr/>
                        </pic:nvPicPr>
                        <pic:blipFill>
                          <a:blip r:embed="rId13"/>
                          <a:stretch>
                            <a:fillRect/>
                          </a:stretch>
                        </pic:blipFill>
                        <pic:spPr>
                          <a:xfrm>
                            <a:off x="0" y="0"/>
                            <a:ext cx="708660"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5470" cy="541020"/>
                  <wp:effectExtent l="0" t="0" r="0" b="0"/>
                  <wp:wrapNone/>
                  <wp:docPr id="2735" name="ID_82F56A308AEB4E40B7CFFAD6A1169D92_SpCnt_6"/>
                  <wp:cNvGraphicFramePr/>
                  <a:graphic xmlns:a="http://schemas.openxmlformats.org/drawingml/2006/main">
                    <a:graphicData uri="http://schemas.openxmlformats.org/drawingml/2006/picture">
                      <pic:pic xmlns:pic="http://schemas.openxmlformats.org/drawingml/2006/picture">
                        <pic:nvPicPr>
                          <pic:cNvPr id="2735" name="ID_82F56A308AEB4E40B7CFFAD6A1169D92_SpCnt_6"/>
                          <pic:cNvPicPr/>
                        </pic:nvPicPr>
                        <pic:blipFill>
                          <a:blip r:embed="rId13"/>
                          <a:stretch>
                            <a:fillRect/>
                          </a:stretch>
                        </pic:blipFill>
                        <pic:spPr>
                          <a:xfrm>
                            <a:off x="0" y="0"/>
                            <a:ext cx="585470" cy="54102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5470" cy="541020"/>
                  <wp:effectExtent l="0" t="0" r="0" b="0"/>
                  <wp:wrapNone/>
                  <wp:docPr id="2736" name="ID_34BD430C0D8E4301B5D2E6DEA77B953F_SpCnt_6"/>
                  <wp:cNvGraphicFramePr/>
                  <a:graphic xmlns:a="http://schemas.openxmlformats.org/drawingml/2006/main">
                    <a:graphicData uri="http://schemas.openxmlformats.org/drawingml/2006/picture">
                      <pic:pic xmlns:pic="http://schemas.openxmlformats.org/drawingml/2006/picture">
                        <pic:nvPicPr>
                          <pic:cNvPr id="2736" name="ID_34BD430C0D8E4301B5D2E6DEA77B953F_SpCnt_6"/>
                          <pic:cNvPicPr/>
                        </pic:nvPicPr>
                        <pic:blipFill>
                          <a:blip r:embed="rId13"/>
                          <a:stretch>
                            <a:fillRect/>
                          </a:stretch>
                        </pic:blipFill>
                        <pic:spPr>
                          <a:xfrm>
                            <a:off x="0" y="0"/>
                            <a:ext cx="585470" cy="54102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5470" cy="539750"/>
                  <wp:effectExtent l="0" t="0" r="0" b="0"/>
                  <wp:wrapNone/>
                  <wp:docPr id="2737" name="ID_022CFE9ECF76443C84FF6E8FE5377D48_SpCnt_7"/>
                  <wp:cNvGraphicFramePr/>
                  <a:graphic xmlns:a="http://schemas.openxmlformats.org/drawingml/2006/main">
                    <a:graphicData uri="http://schemas.openxmlformats.org/drawingml/2006/picture">
                      <pic:pic xmlns:pic="http://schemas.openxmlformats.org/drawingml/2006/picture">
                        <pic:nvPicPr>
                          <pic:cNvPr id="2737" name="ID_022CFE9ECF76443C84FF6E8FE5377D48_SpCnt_7"/>
                          <pic:cNvPicPr/>
                        </pic:nvPicPr>
                        <pic:blipFill>
                          <a:blip r:embed="rId13"/>
                          <a:stretch>
                            <a:fillRect/>
                          </a:stretch>
                        </pic:blipFill>
                        <pic:spPr>
                          <a:xfrm>
                            <a:off x="0" y="0"/>
                            <a:ext cx="585470" cy="53975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5470" cy="541020"/>
                  <wp:effectExtent l="0" t="0" r="0" b="0"/>
                  <wp:wrapNone/>
                  <wp:docPr id="2738" name="ID_ADE36C5442AC456B90F5554850069795_SpCnt_7"/>
                  <wp:cNvGraphicFramePr/>
                  <a:graphic xmlns:a="http://schemas.openxmlformats.org/drawingml/2006/main">
                    <a:graphicData uri="http://schemas.openxmlformats.org/drawingml/2006/picture">
                      <pic:pic xmlns:pic="http://schemas.openxmlformats.org/drawingml/2006/picture">
                        <pic:nvPicPr>
                          <pic:cNvPr id="2738" name="ID_ADE36C5442AC456B90F5554850069795_SpCnt_7"/>
                          <pic:cNvPicPr/>
                        </pic:nvPicPr>
                        <pic:blipFill>
                          <a:blip r:embed="rId13"/>
                          <a:stretch>
                            <a:fillRect/>
                          </a:stretch>
                        </pic:blipFill>
                        <pic:spPr>
                          <a:xfrm>
                            <a:off x="0" y="0"/>
                            <a:ext cx="585470" cy="54102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5470" cy="541020"/>
                  <wp:effectExtent l="0" t="0" r="0" b="0"/>
                  <wp:wrapNone/>
                  <wp:docPr id="2739" name="ID_BF17101804024A13B72CAC5E77C43885_SpCnt_7"/>
                  <wp:cNvGraphicFramePr/>
                  <a:graphic xmlns:a="http://schemas.openxmlformats.org/drawingml/2006/main">
                    <a:graphicData uri="http://schemas.openxmlformats.org/drawingml/2006/picture">
                      <pic:pic xmlns:pic="http://schemas.openxmlformats.org/drawingml/2006/picture">
                        <pic:nvPicPr>
                          <pic:cNvPr id="2739" name="ID_BF17101804024A13B72CAC5E77C43885_SpCnt_7"/>
                          <pic:cNvPicPr/>
                        </pic:nvPicPr>
                        <pic:blipFill>
                          <a:blip r:embed="rId13"/>
                          <a:stretch>
                            <a:fillRect/>
                          </a:stretch>
                        </pic:blipFill>
                        <pic:spPr>
                          <a:xfrm>
                            <a:off x="0" y="0"/>
                            <a:ext cx="585470" cy="54102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5470" cy="541020"/>
                  <wp:effectExtent l="0" t="0" r="0" b="0"/>
                  <wp:wrapNone/>
                  <wp:docPr id="2740" name="ID_45D7BB5C0C2941B4B922D418AC375462_SpCnt_6"/>
                  <wp:cNvGraphicFramePr/>
                  <a:graphic xmlns:a="http://schemas.openxmlformats.org/drawingml/2006/main">
                    <a:graphicData uri="http://schemas.openxmlformats.org/drawingml/2006/picture">
                      <pic:pic xmlns:pic="http://schemas.openxmlformats.org/drawingml/2006/picture">
                        <pic:nvPicPr>
                          <pic:cNvPr id="2740" name="ID_45D7BB5C0C2941B4B922D418AC375462_SpCnt_6"/>
                          <pic:cNvPicPr/>
                        </pic:nvPicPr>
                        <pic:blipFill>
                          <a:blip r:embed="rId13"/>
                          <a:stretch>
                            <a:fillRect/>
                          </a:stretch>
                        </pic:blipFill>
                        <pic:spPr>
                          <a:xfrm>
                            <a:off x="0" y="0"/>
                            <a:ext cx="585470" cy="54102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5470" cy="540385"/>
                  <wp:effectExtent l="0" t="0" r="0" b="0"/>
                  <wp:wrapNone/>
                  <wp:docPr id="2741" name="ID_B639C15C412A481E849C6DAD145CF1BC_SpCnt_7"/>
                  <wp:cNvGraphicFramePr/>
                  <a:graphic xmlns:a="http://schemas.openxmlformats.org/drawingml/2006/main">
                    <a:graphicData uri="http://schemas.openxmlformats.org/drawingml/2006/picture">
                      <pic:pic xmlns:pic="http://schemas.openxmlformats.org/drawingml/2006/picture">
                        <pic:nvPicPr>
                          <pic:cNvPr id="2741" name="ID_B639C15C412A481E849C6DAD145CF1BC_SpCnt_7"/>
                          <pic:cNvPicPr/>
                        </pic:nvPicPr>
                        <pic:blipFill>
                          <a:blip r:embed="rId13"/>
                          <a:stretch>
                            <a:fillRect/>
                          </a:stretch>
                        </pic:blipFill>
                        <pic:spPr>
                          <a:xfrm>
                            <a:off x="0" y="0"/>
                            <a:ext cx="585470" cy="540385"/>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715645" cy="715010"/>
                  <wp:effectExtent l="0" t="0" r="0" b="0"/>
                  <wp:wrapNone/>
                  <wp:docPr id="2742" name="ID_CA31AD5AD4A240A69EBE9CEAC8E99D77_SpCnt_42"/>
                  <wp:cNvGraphicFramePr/>
                  <a:graphic xmlns:a="http://schemas.openxmlformats.org/drawingml/2006/main">
                    <a:graphicData uri="http://schemas.openxmlformats.org/drawingml/2006/picture">
                      <pic:pic xmlns:pic="http://schemas.openxmlformats.org/drawingml/2006/picture">
                        <pic:nvPicPr>
                          <pic:cNvPr id="2742" name="ID_CA31AD5AD4A240A69EBE9CEAC8E99D77_SpCnt_42"/>
                          <pic:cNvPicPr/>
                        </pic:nvPicPr>
                        <pic:blipFill>
                          <a:blip r:embed="rId13"/>
                          <a:stretch>
                            <a:fillRect/>
                          </a:stretch>
                        </pic:blipFill>
                        <pic:spPr>
                          <a:xfrm>
                            <a:off x="0" y="0"/>
                            <a:ext cx="71564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708660" cy="715010"/>
                  <wp:effectExtent l="0" t="0" r="0" b="0"/>
                  <wp:wrapNone/>
                  <wp:docPr id="2743" name="ID_DE60E1367F4D47B68B43A253F9DB257F_SpCnt_48"/>
                  <wp:cNvGraphicFramePr/>
                  <a:graphic xmlns:a="http://schemas.openxmlformats.org/drawingml/2006/main">
                    <a:graphicData uri="http://schemas.openxmlformats.org/drawingml/2006/picture">
                      <pic:pic xmlns:pic="http://schemas.openxmlformats.org/drawingml/2006/picture">
                        <pic:nvPicPr>
                          <pic:cNvPr id="2743" name="ID_DE60E1367F4D47B68B43A253F9DB257F_SpCnt_48"/>
                          <pic:cNvPicPr/>
                        </pic:nvPicPr>
                        <pic:blipFill>
                          <a:blip r:embed="rId13"/>
                          <a:stretch>
                            <a:fillRect/>
                          </a:stretch>
                        </pic:blipFill>
                        <pic:spPr>
                          <a:xfrm>
                            <a:off x="0" y="0"/>
                            <a:ext cx="708660"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715645" cy="715010"/>
                  <wp:effectExtent l="0" t="0" r="0" b="0"/>
                  <wp:wrapNone/>
                  <wp:docPr id="2744" name="ID_B73E8774DBA24C66A077783CE7B139D0_SpCnt_36"/>
                  <wp:cNvGraphicFramePr/>
                  <a:graphic xmlns:a="http://schemas.openxmlformats.org/drawingml/2006/main">
                    <a:graphicData uri="http://schemas.openxmlformats.org/drawingml/2006/picture">
                      <pic:pic xmlns:pic="http://schemas.openxmlformats.org/drawingml/2006/picture">
                        <pic:nvPicPr>
                          <pic:cNvPr id="2744" name="ID_B73E8774DBA24C66A077783CE7B139D0_SpCnt_36"/>
                          <pic:cNvPicPr/>
                        </pic:nvPicPr>
                        <pic:blipFill>
                          <a:blip r:embed="rId13"/>
                          <a:stretch>
                            <a:fillRect/>
                          </a:stretch>
                        </pic:blipFill>
                        <pic:spPr>
                          <a:xfrm>
                            <a:off x="0" y="0"/>
                            <a:ext cx="71564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711200" cy="715645"/>
                  <wp:effectExtent l="0" t="0" r="0" b="0"/>
                  <wp:wrapNone/>
                  <wp:docPr id="2745" name="图片_18_SpCnt_30"/>
                  <wp:cNvGraphicFramePr/>
                  <a:graphic xmlns:a="http://schemas.openxmlformats.org/drawingml/2006/main">
                    <a:graphicData uri="http://schemas.openxmlformats.org/drawingml/2006/picture">
                      <pic:pic xmlns:pic="http://schemas.openxmlformats.org/drawingml/2006/picture">
                        <pic:nvPicPr>
                          <pic:cNvPr id="2745" name="图片_18_SpCnt_30"/>
                          <pic:cNvPicPr/>
                        </pic:nvPicPr>
                        <pic:blipFill>
                          <a:blip r:embed="rId13"/>
                          <a:stretch>
                            <a:fillRect/>
                          </a:stretch>
                        </pic:blipFill>
                        <pic:spPr>
                          <a:xfrm>
                            <a:off x="0" y="0"/>
                            <a:ext cx="711200" cy="715645"/>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40080" cy="539750"/>
                  <wp:effectExtent l="0" t="0" r="0" b="0"/>
                  <wp:wrapNone/>
                  <wp:docPr id="2746" name="图片_18_SpCnt_31"/>
                  <wp:cNvGraphicFramePr/>
                  <a:graphic xmlns:a="http://schemas.openxmlformats.org/drawingml/2006/main">
                    <a:graphicData uri="http://schemas.openxmlformats.org/drawingml/2006/picture">
                      <pic:pic xmlns:pic="http://schemas.openxmlformats.org/drawingml/2006/picture">
                        <pic:nvPicPr>
                          <pic:cNvPr id="2746" name="图片_18_SpCnt_31"/>
                          <pic:cNvPicPr/>
                        </pic:nvPicPr>
                        <pic:blipFill>
                          <a:blip r:embed="rId13"/>
                          <a:stretch>
                            <a:fillRect/>
                          </a:stretch>
                        </pic:blipFill>
                        <pic:spPr>
                          <a:xfrm>
                            <a:off x="0" y="0"/>
                            <a:ext cx="640080" cy="53975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40080" cy="542290"/>
                  <wp:effectExtent l="0" t="0" r="0" b="0"/>
                  <wp:wrapNone/>
                  <wp:docPr id="2747" name="ID_CA31AD5AD4A240A69EBE9CEAC8E99D77_SpCnt_43"/>
                  <wp:cNvGraphicFramePr/>
                  <a:graphic xmlns:a="http://schemas.openxmlformats.org/drawingml/2006/main">
                    <a:graphicData uri="http://schemas.openxmlformats.org/drawingml/2006/picture">
                      <pic:pic xmlns:pic="http://schemas.openxmlformats.org/drawingml/2006/picture">
                        <pic:nvPicPr>
                          <pic:cNvPr id="2747" name="ID_CA31AD5AD4A240A69EBE9CEAC8E99D77_SpCnt_43"/>
                          <pic:cNvPicPr/>
                        </pic:nvPicPr>
                        <pic:blipFill>
                          <a:blip r:embed="rId13"/>
                          <a:stretch>
                            <a:fillRect/>
                          </a:stretch>
                        </pic:blipFill>
                        <pic:spPr>
                          <a:xfrm>
                            <a:off x="0" y="0"/>
                            <a:ext cx="64008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40080" cy="542290"/>
                  <wp:effectExtent l="0" t="0" r="0" b="0"/>
                  <wp:wrapNone/>
                  <wp:docPr id="2748" name="ID_DE60E1367F4D47B68B43A253F9DB257F_SpCnt_49"/>
                  <wp:cNvGraphicFramePr/>
                  <a:graphic xmlns:a="http://schemas.openxmlformats.org/drawingml/2006/main">
                    <a:graphicData uri="http://schemas.openxmlformats.org/drawingml/2006/picture">
                      <pic:pic xmlns:pic="http://schemas.openxmlformats.org/drawingml/2006/picture">
                        <pic:nvPicPr>
                          <pic:cNvPr id="2748" name="ID_DE60E1367F4D47B68B43A253F9DB257F_SpCnt_49"/>
                          <pic:cNvPicPr/>
                        </pic:nvPicPr>
                        <pic:blipFill>
                          <a:blip r:embed="rId13"/>
                          <a:stretch>
                            <a:fillRect/>
                          </a:stretch>
                        </pic:blipFill>
                        <pic:spPr>
                          <a:xfrm>
                            <a:off x="0" y="0"/>
                            <a:ext cx="64008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40080" cy="542290"/>
                  <wp:effectExtent l="0" t="0" r="0" b="0"/>
                  <wp:wrapNone/>
                  <wp:docPr id="2749" name="ID_B73E8774DBA24C66A077783CE7B139D0_SpCnt_37"/>
                  <wp:cNvGraphicFramePr/>
                  <a:graphic xmlns:a="http://schemas.openxmlformats.org/drawingml/2006/main">
                    <a:graphicData uri="http://schemas.openxmlformats.org/drawingml/2006/picture">
                      <pic:pic xmlns:pic="http://schemas.openxmlformats.org/drawingml/2006/picture">
                        <pic:nvPicPr>
                          <pic:cNvPr id="2749" name="ID_B73E8774DBA24C66A077783CE7B139D0_SpCnt_37"/>
                          <pic:cNvPicPr/>
                        </pic:nvPicPr>
                        <pic:blipFill>
                          <a:blip r:embed="rId13"/>
                          <a:stretch>
                            <a:fillRect/>
                          </a:stretch>
                        </pic:blipFill>
                        <pic:spPr>
                          <a:xfrm>
                            <a:off x="0" y="0"/>
                            <a:ext cx="64008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40080" cy="542290"/>
                  <wp:effectExtent l="0" t="0" r="0" b="0"/>
                  <wp:wrapNone/>
                  <wp:docPr id="2750" name="ID_B5BF18E09CFE43799C5EE3D44F45FB47_SpCnt_37"/>
                  <wp:cNvGraphicFramePr/>
                  <a:graphic xmlns:a="http://schemas.openxmlformats.org/drawingml/2006/main">
                    <a:graphicData uri="http://schemas.openxmlformats.org/drawingml/2006/picture">
                      <pic:pic xmlns:pic="http://schemas.openxmlformats.org/drawingml/2006/picture">
                        <pic:nvPicPr>
                          <pic:cNvPr id="2750" name="ID_B5BF18E09CFE43799C5EE3D44F45FB47_SpCnt_37"/>
                          <pic:cNvPicPr/>
                        </pic:nvPicPr>
                        <pic:blipFill>
                          <a:blip r:embed="rId13"/>
                          <a:stretch>
                            <a:fillRect/>
                          </a:stretch>
                        </pic:blipFill>
                        <pic:spPr>
                          <a:xfrm>
                            <a:off x="0" y="0"/>
                            <a:ext cx="64008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40080" cy="542290"/>
                  <wp:effectExtent l="0" t="0" r="0" b="0"/>
                  <wp:wrapNone/>
                  <wp:docPr id="2751" name="图片_19_SpCnt_18"/>
                  <wp:cNvGraphicFramePr/>
                  <a:graphic xmlns:a="http://schemas.openxmlformats.org/drawingml/2006/main">
                    <a:graphicData uri="http://schemas.openxmlformats.org/drawingml/2006/picture">
                      <pic:pic xmlns:pic="http://schemas.openxmlformats.org/drawingml/2006/picture">
                        <pic:nvPicPr>
                          <pic:cNvPr id="2751" name="图片_19_SpCnt_18"/>
                          <pic:cNvPicPr/>
                        </pic:nvPicPr>
                        <pic:blipFill>
                          <a:blip r:embed="rId13"/>
                          <a:stretch>
                            <a:fillRect/>
                          </a:stretch>
                        </pic:blipFill>
                        <pic:spPr>
                          <a:xfrm>
                            <a:off x="0" y="0"/>
                            <a:ext cx="64008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40080" cy="542290"/>
                  <wp:effectExtent l="0" t="0" r="0" b="0"/>
                  <wp:wrapNone/>
                  <wp:docPr id="2752" name="ID_E826D4FD2F1D481EA1CFBD3451A51F56_SpCnt_43"/>
                  <wp:cNvGraphicFramePr/>
                  <a:graphic xmlns:a="http://schemas.openxmlformats.org/drawingml/2006/main">
                    <a:graphicData uri="http://schemas.openxmlformats.org/drawingml/2006/picture">
                      <pic:pic xmlns:pic="http://schemas.openxmlformats.org/drawingml/2006/picture">
                        <pic:nvPicPr>
                          <pic:cNvPr id="2752" name="ID_E826D4FD2F1D481EA1CFBD3451A51F56_SpCnt_43"/>
                          <pic:cNvPicPr/>
                        </pic:nvPicPr>
                        <pic:blipFill>
                          <a:blip r:embed="rId13"/>
                          <a:stretch>
                            <a:fillRect/>
                          </a:stretch>
                        </pic:blipFill>
                        <pic:spPr>
                          <a:xfrm>
                            <a:off x="0" y="0"/>
                            <a:ext cx="64008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5470" cy="537210"/>
                  <wp:effectExtent l="0" t="0" r="0" b="0"/>
                  <wp:wrapNone/>
                  <wp:docPr id="2753" name="图片_333_SpCnt_6"/>
                  <wp:cNvGraphicFramePr/>
                  <a:graphic xmlns:a="http://schemas.openxmlformats.org/drawingml/2006/main">
                    <a:graphicData uri="http://schemas.openxmlformats.org/drawingml/2006/picture">
                      <pic:pic xmlns:pic="http://schemas.openxmlformats.org/drawingml/2006/picture">
                        <pic:nvPicPr>
                          <pic:cNvPr id="2753" name="图片_333_SpCnt_6"/>
                          <pic:cNvPicPr/>
                        </pic:nvPicPr>
                        <pic:blipFill>
                          <a:blip r:embed="rId13"/>
                          <a:stretch>
                            <a:fillRect/>
                          </a:stretch>
                        </pic:blipFill>
                        <pic:spPr>
                          <a:xfrm>
                            <a:off x="0" y="0"/>
                            <a:ext cx="585470" cy="5372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5470" cy="539750"/>
                  <wp:effectExtent l="0" t="0" r="0" b="0"/>
                  <wp:wrapNone/>
                  <wp:docPr id="2754" name="图片_339_SpCnt_6"/>
                  <wp:cNvGraphicFramePr/>
                  <a:graphic xmlns:a="http://schemas.openxmlformats.org/drawingml/2006/main">
                    <a:graphicData uri="http://schemas.openxmlformats.org/drawingml/2006/picture">
                      <pic:pic xmlns:pic="http://schemas.openxmlformats.org/drawingml/2006/picture">
                        <pic:nvPicPr>
                          <pic:cNvPr id="2754" name="图片_339_SpCnt_6"/>
                          <pic:cNvPicPr/>
                        </pic:nvPicPr>
                        <pic:blipFill>
                          <a:blip r:embed="rId13"/>
                          <a:stretch>
                            <a:fillRect/>
                          </a:stretch>
                        </pic:blipFill>
                        <pic:spPr>
                          <a:xfrm>
                            <a:off x="0" y="0"/>
                            <a:ext cx="585470" cy="53975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712470" cy="717550"/>
                  <wp:effectExtent l="0" t="0" r="0" b="0"/>
                  <wp:wrapNone/>
                  <wp:docPr id="2755" name="图片_18_SpCnt_32"/>
                  <wp:cNvGraphicFramePr/>
                  <a:graphic xmlns:a="http://schemas.openxmlformats.org/drawingml/2006/main">
                    <a:graphicData uri="http://schemas.openxmlformats.org/drawingml/2006/picture">
                      <pic:pic xmlns:pic="http://schemas.openxmlformats.org/drawingml/2006/picture">
                        <pic:nvPicPr>
                          <pic:cNvPr id="2755" name="图片_18_SpCnt_32"/>
                          <pic:cNvPicPr/>
                        </pic:nvPicPr>
                        <pic:blipFill>
                          <a:blip r:embed="rId13"/>
                          <a:stretch>
                            <a:fillRect/>
                          </a:stretch>
                        </pic:blipFill>
                        <pic:spPr>
                          <a:xfrm>
                            <a:off x="0" y="0"/>
                            <a:ext cx="712470" cy="71755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6105" cy="538480"/>
                  <wp:effectExtent l="0" t="0" r="0" b="0"/>
                  <wp:wrapNone/>
                  <wp:docPr id="2756" name="图片_2849"/>
                  <wp:cNvGraphicFramePr/>
                  <a:graphic xmlns:a="http://schemas.openxmlformats.org/drawingml/2006/main">
                    <a:graphicData uri="http://schemas.openxmlformats.org/drawingml/2006/picture">
                      <pic:pic xmlns:pic="http://schemas.openxmlformats.org/drawingml/2006/picture">
                        <pic:nvPicPr>
                          <pic:cNvPr id="2756" name="图片_2849"/>
                          <pic:cNvPicPr/>
                        </pic:nvPicPr>
                        <pic:blipFill>
                          <a:blip r:embed="rId13"/>
                          <a:stretch>
                            <a:fillRect/>
                          </a:stretch>
                        </pic:blipFill>
                        <pic:spPr>
                          <a:xfrm>
                            <a:off x="0" y="0"/>
                            <a:ext cx="586105" cy="53848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6105" cy="538480"/>
                  <wp:effectExtent l="0" t="0" r="0" b="0"/>
                  <wp:wrapNone/>
                  <wp:docPr id="2757" name="图片_2850"/>
                  <wp:cNvGraphicFramePr/>
                  <a:graphic xmlns:a="http://schemas.openxmlformats.org/drawingml/2006/main">
                    <a:graphicData uri="http://schemas.openxmlformats.org/drawingml/2006/picture">
                      <pic:pic xmlns:pic="http://schemas.openxmlformats.org/drawingml/2006/picture">
                        <pic:nvPicPr>
                          <pic:cNvPr id="2757" name="图片_2850"/>
                          <pic:cNvPicPr/>
                        </pic:nvPicPr>
                        <pic:blipFill>
                          <a:blip r:embed="rId13"/>
                          <a:stretch>
                            <a:fillRect/>
                          </a:stretch>
                        </pic:blipFill>
                        <pic:spPr>
                          <a:xfrm>
                            <a:off x="0" y="0"/>
                            <a:ext cx="586105" cy="53848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6105" cy="538480"/>
                  <wp:effectExtent l="0" t="0" r="0" b="0"/>
                  <wp:wrapNone/>
                  <wp:docPr id="2758" name="图片_2848"/>
                  <wp:cNvGraphicFramePr/>
                  <a:graphic xmlns:a="http://schemas.openxmlformats.org/drawingml/2006/main">
                    <a:graphicData uri="http://schemas.openxmlformats.org/drawingml/2006/picture">
                      <pic:pic xmlns:pic="http://schemas.openxmlformats.org/drawingml/2006/picture">
                        <pic:nvPicPr>
                          <pic:cNvPr id="2758" name="图片_2848"/>
                          <pic:cNvPicPr/>
                        </pic:nvPicPr>
                        <pic:blipFill>
                          <a:blip r:embed="rId13"/>
                          <a:stretch>
                            <a:fillRect/>
                          </a:stretch>
                        </pic:blipFill>
                        <pic:spPr>
                          <a:xfrm>
                            <a:off x="0" y="0"/>
                            <a:ext cx="586105" cy="53848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40080" cy="544195"/>
                  <wp:effectExtent l="0" t="0" r="0" b="0"/>
                  <wp:wrapNone/>
                  <wp:docPr id="2759" name="图片_2846"/>
                  <wp:cNvGraphicFramePr/>
                  <a:graphic xmlns:a="http://schemas.openxmlformats.org/drawingml/2006/main">
                    <a:graphicData uri="http://schemas.openxmlformats.org/drawingml/2006/picture">
                      <pic:pic xmlns:pic="http://schemas.openxmlformats.org/drawingml/2006/picture">
                        <pic:nvPicPr>
                          <pic:cNvPr id="2759" name="图片_2846"/>
                          <pic:cNvPicPr/>
                        </pic:nvPicPr>
                        <pic:blipFill>
                          <a:blip r:embed="rId13"/>
                          <a:stretch>
                            <a:fillRect/>
                          </a:stretch>
                        </pic:blipFill>
                        <pic:spPr>
                          <a:xfrm>
                            <a:off x="0" y="0"/>
                            <a:ext cx="640080" cy="544195"/>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5470" cy="537210"/>
                  <wp:effectExtent l="0" t="0" r="0" b="0"/>
                  <wp:wrapNone/>
                  <wp:docPr id="2760" name="图片_334_SpCnt_6"/>
                  <wp:cNvGraphicFramePr/>
                  <a:graphic xmlns:a="http://schemas.openxmlformats.org/drawingml/2006/main">
                    <a:graphicData uri="http://schemas.openxmlformats.org/drawingml/2006/picture">
                      <pic:pic xmlns:pic="http://schemas.openxmlformats.org/drawingml/2006/picture">
                        <pic:nvPicPr>
                          <pic:cNvPr id="2760" name="图片_334_SpCnt_6"/>
                          <pic:cNvPicPr/>
                        </pic:nvPicPr>
                        <pic:blipFill>
                          <a:blip r:embed="rId13"/>
                          <a:stretch>
                            <a:fillRect/>
                          </a:stretch>
                        </pic:blipFill>
                        <pic:spPr>
                          <a:xfrm>
                            <a:off x="0" y="0"/>
                            <a:ext cx="585470" cy="5372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5470" cy="537210"/>
                  <wp:effectExtent l="0" t="0" r="0" b="0"/>
                  <wp:wrapNone/>
                  <wp:docPr id="2761" name="图片_335_SpCnt_6"/>
                  <wp:cNvGraphicFramePr/>
                  <a:graphic xmlns:a="http://schemas.openxmlformats.org/drawingml/2006/main">
                    <a:graphicData uri="http://schemas.openxmlformats.org/drawingml/2006/picture">
                      <pic:pic xmlns:pic="http://schemas.openxmlformats.org/drawingml/2006/picture">
                        <pic:nvPicPr>
                          <pic:cNvPr id="2761" name="图片_335_SpCnt_6"/>
                          <pic:cNvPicPr/>
                        </pic:nvPicPr>
                        <pic:blipFill>
                          <a:blip r:embed="rId13"/>
                          <a:stretch>
                            <a:fillRect/>
                          </a:stretch>
                        </pic:blipFill>
                        <pic:spPr>
                          <a:xfrm>
                            <a:off x="0" y="0"/>
                            <a:ext cx="585470" cy="5372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5470" cy="541020"/>
                  <wp:effectExtent l="0" t="0" r="0" b="0"/>
                  <wp:wrapNone/>
                  <wp:docPr id="2762" name="ID_34BD430C0D8E4301B5D2E6DEA77B953F_SpCnt_7"/>
                  <wp:cNvGraphicFramePr/>
                  <a:graphic xmlns:a="http://schemas.openxmlformats.org/drawingml/2006/main">
                    <a:graphicData uri="http://schemas.openxmlformats.org/drawingml/2006/picture">
                      <pic:pic xmlns:pic="http://schemas.openxmlformats.org/drawingml/2006/picture">
                        <pic:nvPicPr>
                          <pic:cNvPr id="2762" name="ID_34BD430C0D8E4301B5D2E6DEA77B953F_SpCnt_7"/>
                          <pic:cNvPicPr/>
                        </pic:nvPicPr>
                        <pic:blipFill>
                          <a:blip r:embed="rId13"/>
                          <a:stretch>
                            <a:fillRect/>
                          </a:stretch>
                        </pic:blipFill>
                        <pic:spPr>
                          <a:xfrm>
                            <a:off x="0" y="0"/>
                            <a:ext cx="585470" cy="54102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5470" cy="541020"/>
                  <wp:effectExtent l="0" t="0" r="0" b="0"/>
                  <wp:wrapNone/>
                  <wp:docPr id="2763" name="ID_45D7BB5C0C2941B4B922D418AC375462_SpCnt_7"/>
                  <wp:cNvGraphicFramePr/>
                  <a:graphic xmlns:a="http://schemas.openxmlformats.org/drawingml/2006/main">
                    <a:graphicData uri="http://schemas.openxmlformats.org/drawingml/2006/picture">
                      <pic:pic xmlns:pic="http://schemas.openxmlformats.org/drawingml/2006/picture">
                        <pic:nvPicPr>
                          <pic:cNvPr id="2763" name="ID_45D7BB5C0C2941B4B922D418AC375462_SpCnt_7"/>
                          <pic:cNvPicPr/>
                        </pic:nvPicPr>
                        <pic:blipFill>
                          <a:blip r:embed="rId13"/>
                          <a:stretch>
                            <a:fillRect/>
                          </a:stretch>
                        </pic:blipFill>
                        <pic:spPr>
                          <a:xfrm>
                            <a:off x="0" y="0"/>
                            <a:ext cx="585470" cy="54102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5470" cy="539115"/>
                  <wp:effectExtent l="0" t="0" r="0" b="0"/>
                  <wp:wrapNone/>
                  <wp:docPr id="2764" name="ID_1D2DA7D5EFFF48789A845F8F8569F9EE_SpCnt_7"/>
                  <wp:cNvGraphicFramePr/>
                  <a:graphic xmlns:a="http://schemas.openxmlformats.org/drawingml/2006/main">
                    <a:graphicData uri="http://schemas.openxmlformats.org/drawingml/2006/picture">
                      <pic:pic xmlns:pic="http://schemas.openxmlformats.org/drawingml/2006/picture">
                        <pic:nvPicPr>
                          <pic:cNvPr id="2764" name="ID_1D2DA7D5EFFF48789A845F8F8569F9EE_SpCnt_7"/>
                          <pic:cNvPicPr/>
                        </pic:nvPicPr>
                        <pic:blipFill>
                          <a:blip r:embed="rId13"/>
                          <a:stretch>
                            <a:fillRect/>
                          </a:stretch>
                        </pic:blipFill>
                        <pic:spPr>
                          <a:xfrm>
                            <a:off x="0" y="0"/>
                            <a:ext cx="585470" cy="539115"/>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5470" cy="538480"/>
                  <wp:effectExtent l="0" t="0" r="0" b="0"/>
                  <wp:wrapNone/>
                  <wp:docPr id="2765" name="ID_430ADB65064C477C8AF98FB8F15CEBA1_SpCnt_7"/>
                  <wp:cNvGraphicFramePr/>
                  <a:graphic xmlns:a="http://schemas.openxmlformats.org/drawingml/2006/main">
                    <a:graphicData uri="http://schemas.openxmlformats.org/drawingml/2006/picture">
                      <pic:pic xmlns:pic="http://schemas.openxmlformats.org/drawingml/2006/picture">
                        <pic:nvPicPr>
                          <pic:cNvPr id="2765" name="ID_430ADB65064C477C8AF98FB8F15CEBA1_SpCnt_7"/>
                          <pic:cNvPicPr/>
                        </pic:nvPicPr>
                        <pic:blipFill>
                          <a:blip r:embed="rId13"/>
                          <a:stretch>
                            <a:fillRect/>
                          </a:stretch>
                        </pic:blipFill>
                        <pic:spPr>
                          <a:xfrm>
                            <a:off x="0" y="0"/>
                            <a:ext cx="585470" cy="53848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708660" cy="715010"/>
                  <wp:effectExtent l="0" t="0" r="0" b="0"/>
                  <wp:wrapNone/>
                  <wp:docPr id="2766" name="ID_B5BF18E09CFE43799C5EE3D44F45FB47_SpCnt_38"/>
                  <wp:cNvGraphicFramePr/>
                  <a:graphic xmlns:a="http://schemas.openxmlformats.org/drawingml/2006/main">
                    <a:graphicData uri="http://schemas.openxmlformats.org/drawingml/2006/picture">
                      <pic:pic xmlns:pic="http://schemas.openxmlformats.org/drawingml/2006/picture">
                        <pic:nvPicPr>
                          <pic:cNvPr id="2766" name="ID_B5BF18E09CFE43799C5EE3D44F45FB47_SpCnt_38"/>
                          <pic:cNvPicPr/>
                        </pic:nvPicPr>
                        <pic:blipFill>
                          <a:blip r:embed="rId13"/>
                          <a:stretch>
                            <a:fillRect/>
                          </a:stretch>
                        </pic:blipFill>
                        <pic:spPr>
                          <a:xfrm>
                            <a:off x="0" y="0"/>
                            <a:ext cx="708660"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715645" cy="715010"/>
                  <wp:effectExtent l="0" t="0" r="0" b="0"/>
                  <wp:wrapNone/>
                  <wp:docPr id="2767" name="ID_B73E8774DBA24C66A077783CE7B139D0_SpCnt_38"/>
                  <wp:cNvGraphicFramePr/>
                  <a:graphic xmlns:a="http://schemas.openxmlformats.org/drawingml/2006/main">
                    <a:graphicData uri="http://schemas.openxmlformats.org/drawingml/2006/picture">
                      <pic:pic xmlns:pic="http://schemas.openxmlformats.org/drawingml/2006/picture">
                        <pic:nvPicPr>
                          <pic:cNvPr id="2767" name="ID_B73E8774DBA24C66A077783CE7B139D0_SpCnt_38"/>
                          <pic:cNvPicPr/>
                        </pic:nvPicPr>
                        <pic:blipFill>
                          <a:blip r:embed="rId13"/>
                          <a:stretch>
                            <a:fillRect/>
                          </a:stretch>
                        </pic:blipFill>
                        <pic:spPr>
                          <a:xfrm>
                            <a:off x="0" y="0"/>
                            <a:ext cx="71564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708660" cy="715010"/>
                  <wp:effectExtent l="0" t="0" r="0" b="0"/>
                  <wp:wrapNone/>
                  <wp:docPr id="2768" name="ID_DE60E1367F4D47B68B43A253F9DB257F_SpCnt_50"/>
                  <wp:cNvGraphicFramePr/>
                  <a:graphic xmlns:a="http://schemas.openxmlformats.org/drawingml/2006/main">
                    <a:graphicData uri="http://schemas.openxmlformats.org/drawingml/2006/picture">
                      <pic:pic xmlns:pic="http://schemas.openxmlformats.org/drawingml/2006/picture">
                        <pic:nvPicPr>
                          <pic:cNvPr id="2768" name="ID_DE60E1367F4D47B68B43A253F9DB257F_SpCnt_50"/>
                          <pic:cNvPicPr/>
                        </pic:nvPicPr>
                        <pic:blipFill>
                          <a:blip r:embed="rId13"/>
                          <a:stretch>
                            <a:fillRect/>
                          </a:stretch>
                        </pic:blipFill>
                        <pic:spPr>
                          <a:xfrm>
                            <a:off x="0" y="0"/>
                            <a:ext cx="708660"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715645" cy="715010"/>
                  <wp:effectExtent l="0" t="0" r="0" b="0"/>
                  <wp:wrapNone/>
                  <wp:docPr id="2769" name="ID_CA31AD5AD4A240A69EBE9CEAC8E99D77_SpCnt_44"/>
                  <wp:cNvGraphicFramePr/>
                  <a:graphic xmlns:a="http://schemas.openxmlformats.org/drawingml/2006/main">
                    <a:graphicData uri="http://schemas.openxmlformats.org/drawingml/2006/picture">
                      <pic:pic xmlns:pic="http://schemas.openxmlformats.org/drawingml/2006/picture">
                        <pic:nvPicPr>
                          <pic:cNvPr id="2769" name="ID_CA31AD5AD4A240A69EBE9CEAC8E99D77_SpCnt_44"/>
                          <pic:cNvPicPr/>
                        </pic:nvPicPr>
                        <pic:blipFill>
                          <a:blip r:embed="rId13"/>
                          <a:stretch>
                            <a:fillRect/>
                          </a:stretch>
                        </pic:blipFill>
                        <pic:spPr>
                          <a:xfrm>
                            <a:off x="0" y="0"/>
                            <a:ext cx="71564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715645" cy="715010"/>
                  <wp:effectExtent l="0" t="0" r="0" b="0"/>
                  <wp:wrapNone/>
                  <wp:docPr id="2770" name="ID_E826D4FD2F1D481EA1CFBD3451A51F56_SpCnt_44"/>
                  <wp:cNvGraphicFramePr/>
                  <a:graphic xmlns:a="http://schemas.openxmlformats.org/drawingml/2006/main">
                    <a:graphicData uri="http://schemas.openxmlformats.org/drawingml/2006/picture">
                      <pic:pic xmlns:pic="http://schemas.openxmlformats.org/drawingml/2006/picture">
                        <pic:nvPicPr>
                          <pic:cNvPr id="2770" name="ID_E826D4FD2F1D481EA1CFBD3451A51F56_SpCnt_44"/>
                          <pic:cNvPicPr/>
                        </pic:nvPicPr>
                        <pic:blipFill>
                          <a:blip r:embed="rId13"/>
                          <a:stretch>
                            <a:fillRect/>
                          </a:stretch>
                        </pic:blipFill>
                        <pic:spPr>
                          <a:xfrm>
                            <a:off x="0" y="0"/>
                            <a:ext cx="71564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40080" cy="542290"/>
                  <wp:effectExtent l="0" t="0" r="0" b="0"/>
                  <wp:wrapNone/>
                  <wp:docPr id="2771" name="ID_DE60E1367F4D47B68B43A253F9DB257F_SpCnt_51"/>
                  <wp:cNvGraphicFramePr/>
                  <a:graphic xmlns:a="http://schemas.openxmlformats.org/drawingml/2006/main">
                    <a:graphicData uri="http://schemas.openxmlformats.org/drawingml/2006/picture">
                      <pic:pic xmlns:pic="http://schemas.openxmlformats.org/drawingml/2006/picture">
                        <pic:nvPicPr>
                          <pic:cNvPr id="2771" name="ID_DE60E1367F4D47B68B43A253F9DB257F_SpCnt_51"/>
                          <pic:cNvPicPr/>
                        </pic:nvPicPr>
                        <pic:blipFill>
                          <a:blip r:embed="rId13"/>
                          <a:stretch>
                            <a:fillRect/>
                          </a:stretch>
                        </pic:blipFill>
                        <pic:spPr>
                          <a:xfrm>
                            <a:off x="0" y="0"/>
                            <a:ext cx="64008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40080" cy="542290"/>
                  <wp:effectExtent l="0" t="0" r="0" b="0"/>
                  <wp:wrapNone/>
                  <wp:docPr id="2772" name="ID_B73E8774DBA24C66A077783CE7B139D0_SpCnt_39"/>
                  <wp:cNvGraphicFramePr/>
                  <a:graphic xmlns:a="http://schemas.openxmlformats.org/drawingml/2006/main">
                    <a:graphicData uri="http://schemas.openxmlformats.org/drawingml/2006/picture">
                      <pic:pic xmlns:pic="http://schemas.openxmlformats.org/drawingml/2006/picture">
                        <pic:nvPicPr>
                          <pic:cNvPr id="2772" name="ID_B73E8774DBA24C66A077783CE7B139D0_SpCnt_39"/>
                          <pic:cNvPicPr/>
                        </pic:nvPicPr>
                        <pic:blipFill>
                          <a:blip r:embed="rId13"/>
                          <a:stretch>
                            <a:fillRect/>
                          </a:stretch>
                        </pic:blipFill>
                        <pic:spPr>
                          <a:xfrm>
                            <a:off x="0" y="0"/>
                            <a:ext cx="64008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40080" cy="542290"/>
                  <wp:effectExtent l="0" t="0" r="0" b="0"/>
                  <wp:wrapNone/>
                  <wp:docPr id="2773" name="ID_B5BF18E09CFE43799C5EE3D44F45FB47_SpCnt_39"/>
                  <wp:cNvGraphicFramePr/>
                  <a:graphic xmlns:a="http://schemas.openxmlformats.org/drawingml/2006/main">
                    <a:graphicData uri="http://schemas.openxmlformats.org/drawingml/2006/picture">
                      <pic:pic xmlns:pic="http://schemas.openxmlformats.org/drawingml/2006/picture">
                        <pic:nvPicPr>
                          <pic:cNvPr id="2773" name="ID_B5BF18E09CFE43799C5EE3D44F45FB47_SpCnt_39"/>
                          <pic:cNvPicPr/>
                        </pic:nvPicPr>
                        <pic:blipFill>
                          <a:blip r:embed="rId13"/>
                          <a:stretch>
                            <a:fillRect/>
                          </a:stretch>
                        </pic:blipFill>
                        <pic:spPr>
                          <a:xfrm>
                            <a:off x="0" y="0"/>
                            <a:ext cx="64008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40080" cy="542290"/>
                  <wp:effectExtent l="0" t="0" r="0" b="0"/>
                  <wp:wrapNone/>
                  <wp:docPr id="2774" name="ID_CA31AD5AD4A240A69EBE9CEAC8E99D77_SpCnt_45"/>
                  <wp:cNvGraphicFramePr/>
                  <a:graphic xmlns:a="http://schemas.openxmlformats.org/drawingml/2006/main">
                    <a:graphicData uri="http://schemas.openxmlformats.org/drawingml/2006/picture">
                      <pic:pic xmlns:pic="http://schemas.openxmlformats.org/drawingml/2006/picture">
                        <pic:nvPicPr>
                          <pic:cNvPr id="2774" name="ID_CA31AD5AD4A240A69EBE9CEAC8E99D77_SpCnt_45"/>
                          <pic:cNvPicPr/>
                        </pic:nvPicPr>
                        <pic:blipFill>
                          <a:blip r:embed="rId13"/>
                          <a:stretch>
                            <a:fillRect/>
                          </a:stretch>
                        </pic:blipFill>
                        <pic:spPr>
                          <a:xfrm>
                            <a:off x="0" y="0"/>
                            <a:ext cx="64008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85470" cy="541020"/>
                  <wp:effectExtent l="0" t="0" r="0" b="0"/>
                  <wp:wrapNone/>
                  <wp:docPr id="2775" name="ID_82F56A308AEB4E40B7CFFAD6A1169D92_SpCnt_7"/>
                  <wp:cNvGraphicFramePr/>
                  <a:graphic xmlns:a="http://schemas.openxmlformats.org/drawingml/2006/main">
                    <a:graphicData uri="http://schemas.openxmlformats.org/drawingml/2006/picture">
                      <pic:pic xmlns:pic="http://schemas.openxmlformats.org/drawingml/2006/picture">
                        <pic:nvPicPr>
                          <pic:cNvPr id="2775" name="ID_82F56A308AEB4E40B7CFFAD6A1169D92_SpCnt_7"/>
                          <pic:cNvPicPr/>
                        </pic:nvPicPr>
                        <pic:blipFill>
                          <a:blip r:embed="rId13"/>
                          <a:stretch>
                            <a:fillRect/>
                          </a:stretch>
                        </pic:blipFill>
                        <pic:spPr>
                          <a:xfrm>
                            <a:off x="0" y="0"/>
                            <a:ext cx="585470" cy="54102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40080" cy="542290"/>
                  <wp:effectExtent l="0" t="0" r="0" b="0"/>
                  <wp:wrapNone/>
                  <wp:docPr id="2776" name="ID_E826D4FD2F1D481EA1CFBD3451A51F56_SpCnt_45"/>
                  <wp:cNvGraphicFramePr/>
                  <a:graphic xmlns:a="http://schemas.openxmlformats.org/drawingml/2006/main">
                    <a:graphicData uri="http://schemas.openxmlformats.org/drawingml/2006/picture">
                      <pic:pic xmlns:pic="http://schemas.openxmlformats.org/drawingml/2006/picture">
                        <pic:nvPicPr>
                          <pic:cNvPr id="2776" name="ID_E826D4FD2F1D481EA1CFBD3451A51F56_SpCnt_45"/>
                          <pic:cNvPicPr/>
                        </pic:nvPicPr>
                        <pic:blipFill>
                          <a:blip r:embed="rId13"/>
                          <a:stretch>
                            <a:fillRect/>
                          </a:stretch>
                        </pic:blipFill>
                        <pic:spPr>
                          <a:xfrm>
                            <a:off x="0" y="0"/>
                            <a:ext cx="64008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40080" cy="542290"/>
                  <wp:effectExtent l="0" t="0" r="0" b="0"/>
                  <wp:wrapNone/>
                  <wp:docPr id="2777" name="图片_19_SpCnt_19"/>
                  <wp:cNvGraphicFramePr/>
                  <a:graphic xmlns:a="http://schemas.openxmlformats.org/drawingml/2006/main">
                    <a:graphicData uri="http://schemas.openxmlformats.org/drawingml/2006/picture">
                      <pic:pic xmlns:pic="http://schemas.openxmlformats.org/drawingml/2006/picture">
                        <pic:nvPicPr>
                          <pic:cNvPr id="2777" name="图片_19_SpCnt_19"/>
                          <pic:cNvPicPr/>
                        </pic:nvPicPr>
                        <pic:blipFill>
                          <a:blip r:embed="rId13"/>
                          <a:stretch>
                            <a:fillRect/>
                          </a:stretch>
                        </pic:blipFill>
                        <pic:spPr>
                          <a:xfrm>
                            <a:off x="0" y="0"/>
                            <a:ext cx="64008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40080" cy="539750"/>
                  <wp:effectExtent l="0" t="0" r="0" b="0"/>
                  <wp:wrapNone/>
                  <wp:docPr id="2778" name="图片_18_SpCnt_33"/>
                  <wp:cNvGraphicFramePr/>
                  <a:graphic xmlns:a="http://schemas.openxmlformats.org/drawingml/2006/main">
                    <a:graphicData uri="http://schemas.openxmlformats.org/drawingml/2006/picture">
                      <pic:pic xmlns:pic="http://schemas.openxmlformats.org/drawingml/2006/picture">
                        <pic:nvPicPr>
                          <pic:cNvPr id="2778" name="图片_18_SpCnt_33"/>
                          <pic:cNvPicPr/>
                        </pic:nvPicPr>
                        <pic:blipFill>
                          <a:blip r:embed="rId13"/>
                          <a:stretch>
                            <a:fillRect/>
                          </a:stretch>
                        </pic:blipFill>
                        <pic:spPr>
                          <a:xfrm>
                            <a:off x="0" y="0"/>
                            <a:ext cx="640080" cy="539750"/>
                          </a:xfrm>
                          <a:prstGeom prst="rect">
                            <a:avLst/>
                          </a:prstGeom>
                          <a:noFill/>
                          <a:ln>
                            <a:noFill/>
                          </a:ln>
                        </pic:spPr>
                      </pic:pic>
                    </a:graphicData>
                  </a:graphic>
                </wp:anchor>
              </w:drawing>
            </w:r>
          </w:p>
          <w:p w14:paraId="5935FCB8">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p>
          <w:p w14:paraId="459334C9">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41985" cy="504190"/>
                  <wp:effectExtent l="0" t="0" r="0" b="0"/>
                  <wp:wrapNone/>
                  <wp:docPr id="2791" name="ID_B73E8774DBA24C66A077783CE7B139D0_SpCnt_40"/>
                  <wp:cNvGraphicFramePr/>
                  <a:graphic xmlns:a="http://schemas.openxmlformats.org/drawingml/2006/main">
                    <a:graphicData uri="http://schemas.openxmlformats.org/drawingml/2006/picture">
                      <pic:pic xmlns:pic="http://schemas.openxmlformats.org/drawingml/2006/picture">
                        <pic:nvPicPr>
                          <pic:cNvPr id="2791" name="ID_B73E8774DBA24C66A077783CE7B139D0_SpCnt_40"/>
                          <pic:cNvPicPr/>
                        </pic:nvPicPr>
                        <pic:blipFill>
                          <a:blip r:embed="rId13"/>
                          <a:stretch>
                            <a:fillRect/>
                          </a:stretch>
                        </pic:blipFill>
                        <pic:spPr>
                          <a:xfrm>
                            <a:off x="0" y="0"/>
                            <a:ext cx="641985"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99770" cy="647700"/>
                  <wp:effectExtent l="0" t="0" r="0" b="0"/>
                  <wp:wrapNone/>
                  <wp:docPr id="2792" name="ID_B5BF18E09CFE43799C5EE3D44F45FB47_SpCnt_40"/>
                  <wp:cNvGraphicFramePr/>
                  <a:graphic xmlns:a="http://schemas.openxmlformats.org/drawingml/2006/main">
                    <a:graphicData uri="http://schemas.openxmlformats.org/drawingml/2006/picture">
                      <pic:pic xmlns:pic="http://schemas.openxmlformats.org/drawingml/2006/picture">
                        <pic:nvPicPr>
                          <pic:cNvPr id="2792" name="ID_B5BF18E09CFE43799C5EE3D44F45FB47_SpCnt_40"/>
                          <pic:cNvPicPr/>
                        </pic:nvPicPr>
                        <pic:blipFill>
                          <a:blip r:embed="rId13"/>
                          <a:stretch>
                            <a:fillRect/>
                          </a:stretch>
                        </pic:blipFill>
                        <pic:spPr>
                          <a:xfrm>
                            <a:off x="0" y="0"/>
                            <a:ext cx="699770"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708660" cy="715010"/>
                  <wp:effectExtent l="0" t="0" r="0" b="0"/>
                  <wp:wrapNone/>
                  <wp:docPr id="2793" name="ID_DE60E1367F4D47B68B43A253F9DB257F_SpCnt_52"/>
                  <wp:cNvGraphicFramePr/>
                  <a:graphic xmlns:a="http://schemas.openxmlformats.org/drawingml/2006/main">
                    <a:graphicData uri="http://schemas.openxmlformats.org/drawingml/2006/picture">
                      <pic:pic xmlns:pic="http://schemas.openxmlformats.org/drawingml/2006/picture">
                        <pic:nvPicPr>
                          <pic:cNvPr id="2793" name="ID_DE60E1367F4D47B68B43A253F9DB257F_SpCnt_52"/>
                          <pic:cNvPicPr/>
                        </pic:nvPicPr>
                        <pic:blipFill>
                          <a:blip r:embed="rId13"/>
                          <a:stretch>
                            <a:fillRect/>
                          </a:stretch>
                        </pic:blipFill>
                        <pic:spPr>
                          <a:xfrm>
                            <a:off x="0" y="0"/>
                            <a:ext cx="708660"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716280" cy="715010"/>
                  <wp:effectExtent l="0" t="0" r="0" b="0"/>
                  <wp:wrapNone/>
                  <wp:docPr id="2794" name="ID_B73E8774DBA24C66A077783CE7B139D0_SpCnt_41"/>
                  <wp:cNvGraphicFramePr/>
                  <a:graphic xmlns:a="http://schemas.openxmlformats.org/drawingml/2006/main">
                    <a:graphicData uri="http://schemas.openxmlformats.org/drawingml/2006/picture">
                      <pic:pic xmlns:pic="http://schemas.openxmlformats.org/drawingml/2006/picture">
                        <pic:nvPicPr>
                          <pic:cNvPr id="2794" name="ID_B73E8774DBA24C66A077783CE7B139D0_SpCnt_41"/>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707390" cy="715010"/>
                  <wp:effectExtent l="0" t="0" r="0" b="0"/>
                  <wp:wrapNone/>
                  <wp:docPr id="2795" name="ID_B5BF18E09CFE43799C5EE3D44F45FB47_SpCnt_41"/>
                  <wp:cNvGraphicFramePr/>
                  <a:graphic xmlns:a="http://schemas.openxmlformats.org/drawingml/2006/main">
                    <a:graphicData uri="http://schemas.openxmlformats.org/drawingml/2006/picture">
                      <pic:pic xmlns:pic="http://schemas.openxmlformats.org/drawingml/2006/picture">
                        <pic:nvPicPr>
                          <pic:cNvPr id="2795" name="ID_B5BF18E09CFE43799C5EE3D44F45FB47_SpCnt_41"/>
                          <pic:cNvPicPr/>
                        </pic:nvPicPr>
                        <pic:blipFill>
                          <a:blip r:embed="rId13"/>
                          <a:stretch>
                            <a:fillRect/>
                          </a:stretch>
                        </pic:blipFill>
                        <pic:spPr>
                          <a:xfrm>
                            <a:off x="0" y="0"/>
                            <a:ext cx="707390"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92785" cy="647700"/>
                  <wp:effectExtent l="0" t="0" r="0" b="0"/>
                  <wp:wrapNone/>
                  <wp:docPr id="2796" name="ID_E826D4FD2F1D481EA1CFBD3451A51F56_SpCnt_46"/>
                  <wp:cNvGraphicFramePr/>
                  <a:graphic xmlns:a="http://schemas.openxmlformats.org/drawingml/2006/main">
                    <a:graphicData uri="http://schemas.openxmlformats.org/drawingml/2006/picture">
                      <pic:pic xmlns:pic="http://schemas.openxmlformats.org/drawingml/2006/picture">
                        <pic:nvPicPr>
                          <pic:cNvPr id="2796" name="ID_E826D4FD2F1D481EA1CFBD3451A51F56_SpCnt_46"/>
                          <pic:cNvPicPr/>
                        </pic:nvPicPr>
                        <pic:blipFill>
                          <a:blip r:embed="rId13"/>
                          <a:stretch>
                            <a:fillRect/>
                          </a:stretch>
                        </pic:blipFill>
                        <pic:spPr>
                          <a:xfrm>
                            <a:off x="0" y="0"/>
                            <a:ext cx="692785"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92785" cy="647700"/>
                  <wp:effectExtent l="0" t="0" r="0" b="0"/>
                  <wp:wrapNone/>
                  <wp:docPr id="2797" name="ID_DE60E1367F4D47B68B43A253F9DB257F_SpCnt_53"/>
                  <wp:cNvGraphicFramePr/>
                  <a:graphic xmlns:a="http://schemas.openxmlformats.org/drawingml/2006/main">
                    <a:graphicData uri="http://schemas.openxmlformats.org/drawingml/2006/picture">
                      <pic:pic xmlns:pic="http://schemas.openxmlformats.org/drawingml/2006/picture">
                        <pic:nvPicPr>
                          <pic:cNvPr id="2797" name="ID_DE60E1367F4D47B68B43A253F9DB257F_SpCnt_53"/>
                          <pic:cNvPicPr/>
                        </pic:nvPicPr>
                        <pic:blipFill>
                          <a:blip r:embed="rId13"/>
                          <a:stretch>
                            <a:fillRect/>
                          </a:stretch>
                        </pic:blipFill>
                        <pic:spPr>
                          <a:xfrm>
                            <a:off x="0" y="0"/>
                            <a:ext cx="692785"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92785" cy="647700"/>
                  <wp:effectExtent l="0" t="0" r="0" b="0"/>
                  <wp:wrapNone/>
                  <wp:docPr id="2798" name="ID_B73E8774DBA24C66A077783CE7B139D0_SpCnt_42"/>
                  <wp:cNvGraphicFramePr/>
                  <a:graphic xmlns:a="http://schemas.openxmlformats.org/drawingml/2006/main">
                    <a:graphicData uri="http://schemas.openxmlformats.org/drawingml/2006/picture">
                      <pic:pic xmlns:pic="http://schemas.openxmlformats.org/drawingml/2006/picture">
                        <pic:nvPicPr>
                          <pic:cNvPr id="2798" name="ID_B73E8774DBA24C66A077783CE7B139D0_SpCnt_42"/>
                          <pic:cNvPicPr/>
                        </pic:nvPicPr>
                        <pic:blipFill>
                          <a:blip r:embed="rId13"/>
                          <a:stretch>
                            <a:fillRect/>
                          </a:stretch>
                        </pic:blipFill>
                        <pic:spPr>
                          <a:xfrm>
                            <a:off x="0" y="0"/>
                            <a:ext cx="692785"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92785" cy="647700"/>
                  <wp:effectExtent l="0" t="0" r="0" b="0"/>
                  <wp:wrapNone/>
                  <wp:docPr id="2799" name="ID_CA31AD5AD4A240A69EBE9CEAC8E99D77_SpCnt_46"/>
                  <wp:cNvGraphicFramePr/>
                  <a:graphic xmlns:a="http://schemas.openxmlformats.org/drawingml/2006/main">
                    <a:graphicData uri="http://schemas.openxmlformats.org/drawingml/2006/picture">
                      <pic:pic xmlns:pic="http://schemas.openxmlformats.org/drawingml/2006/picture">
                        <pic:nvPicPr>
                          <pic:cNvPr id="2799" name="ID_CA31AD5AD4A240A69EBE9CEAC8E99D77_SpCnt_46"/>
                          <pic:cNvPicPr/>
                        </pic:nvPicPr>
                        <pic:blipFill>
                          <a:blip r:embed="rId13"/>
                          <a:stretch>
                            <a:fillRect/>
                          </a:stretch>
                        </pic:blipFill>
                        <pic:spPr>
                          <a:xfrm>
                            <a:off x="0" y="0"/>
                            <a:ext cx="692785"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715645" cy="715010"/>
                  <wp:effectExtent l="0" t="0" r="0" b="0"/>
                  <wp:wrapNone/>
                  <wp:docPr id="2800" name="ID_E826D4FD2F1D481EA1CFBD3451A51F56_SpCnt_47"/>
                  <wp:cNvGraphicFramePr/>
                  <a:graphic xmlns:a="http://schemas.openxmlformats.org/drawingml/2006/main">
                    <a:graphicData uri="http://schemas.openxmlformats.org/drawingml/2006/picture">
                      <pic:pic xmlns:pic="http://schemas.openxmlformats.org/drawingml/2006/picture">
                        <pic:nvPicPr>
                          <pic:cNvPr id="2800" name="ID_E826D4FD2F1D481EA1CFBD3451A51F56_SpCnt_47"/>
                          <pic:cNvPicPr/>
                        </pic:nvPicPr>
                        <pic:blipFill>
                          <a:blip r:embed="rId13"/>
                          <a:stretch>
                            <a:fillRect/>
                          </a:stretch>
                        </pic:blipFill>
                        <pic:spPr>
                          <a:xfrm>
                            <a:off x="0" y="0"/>
                            <a:ext cx="71564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715645" cy="715010"/>
                  <wp:effectExtent l="0" t="0" r="0" b="0"/>
                  <wp:wrapNone/>
                  <wp:docPr id="2801" name="ID_CA31AD5AD4A240A69EBE9CEAC8E99D77_SpCnt_47"/>
                  <wp:cNvGraphicFramePr/>
                  <a:graphic xmlns:a="http://schemas.openxmlformats.org/drawingml/2006/main">
                    <a:graphicData uri="http://schemas.openxmlformats.org/drawingml/2006/picture">
                      <pic:pic xmlns:pic="http://schemas.openxmlformats.org/drawingml/2006/picture">
                        <pic:nvPicPr>
                          <pic:cNvPr id="2801" name="ID_CA31AD5AD4A240A69EBE9CEAC8E99D77_SpCnt_47"/>
                          <pic:cNvPicPr/>
                        </pic:nvPicPr>
                        <pic:blipFill>
                          <a:blip r:embed="rId13"/>
                          <a:stretch>
                            <a:fillRect/>
                          </a:stretch>
                        </pic:blipFill>
                        <pic:spPr>
                          <a:xfrm>
                            <a:off x="0" y="0"/>
                            <a:ext cx="71564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708025" cy="715010"/>
                  <wp:effectExtent l="0" t="0" r="0" b="0"/>
                  <wp:wrapNone/>
                  <wp:docPr id="2802" name="ID_B5BF18E09CFE43799C5EE3D44F45FB47_SpCnt_42"/>
                  <wp:cNvGraphicFramePr/>
                  <a:graphic xmlns:a="http://schemas.openxmlformats.org/drawingml/2006/main">
                    <a:graphicData uri="http://schemas.openxmlformats.org/drawingml/2006/picture">
                      <pic:pic xmlns:pic="http://schemas.openxmlformats.org/drawingml/2006/picture">
                        <pic:nvPicPr>
                          <pic:cNvPr id="2802" name="ID_B5BF18E09CFE43799C5EE3D44F45FB47_SpCnt_42"/>
                          <pic:cNvPicPr/>
                        </pic:nvPicPr>
                        <pic:blipFill>
                          <a:blip r:embed="rId13"/>
                          <a:stretch>
                            <a:fillRect/>
                          </a:stretch>
                        </pic:blipFill>
                        <pic:spPr>
                          <a:xfrm>
                            <a:off x="0" y="0"/>
                            <a:ext cx="70802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708025" cy="715010"/>
                  <wp:effectExtent l="0" t="0" r="0" b="0"/>
                  <wp:wrapNone/>
                  <wp:docPr id="2803" name="ID_DE60E1367F4D47B68B43A253F9DB257F_SpCnt_54"/>
                  <wp:cNvGraphicFramePr/>
                  <a:graphic xmlns:a="http://schemas.openxmlformats.org/drawingml/2006/main">
                    <a:graphicData uri="http://schemas.openxmlformats.org/drawingml/2006/picture">
                      <pic:pic xmlns:pic="http://schemas.openxmlformats.org/drawingml/2006/picture">
                        <pic:nvPicPr>
                          <pic:cNvPr id="2803" name="ID_DE60E1367F4D47B68B43A253F9DB257F_SpCnt_54"/>
                          <pic:cNvPicPr/>
                        </pic:nvPicPr>
                        <pic:blipFill>
                          <a:blip r:embed="rId13"/>
                          <a:stretch>
                            <a:fillRect/>
                          </a:stretch>
                        </pic:blipFill>
                        <pic:spPr>
                          <a:xfrm>
                            <a:off x="0" y="0"/>
                            <a:ext cx="70802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715010" cy="715010"/>
                  <wp:effectExtent l="0" t="0" r="0" b="0"/>
                  <wp:wrapNone/>
                  <wp:docPr id="2804" name="ID_B73E8774DBA24C66A077783CE7B139D0_SpCnt_43"/>
                  <wp:cNvGraphicFramePr/>
                  <a:graphic xmlns:a="http://schemas.openxmlformats.org/drawingml/2006/main">
                    <a:graphicData uri="http://schemas.openxmlformats.org/drawingml/2006/picture">
                      <pic:pic xmlns:pic="http://schemas.openxmlformats.org/drawingml/2006/picture">
                        <pic:nvPicPr>
                          <pic:cNvPr id="2804" name="ID_B73E8774DBA24C66A077783CE7B139D0_SpCnt_43"/>
                          <pic:cNvPicPr/>
                        </pic:nvPicPr>
                        <pic:blipFill>
                          <a:blip r:embed="rId13"/>
                          <a:stretch>
                            <a:fillRect/>
                          </a:stretch>
                        </pic:blipFill>
                        <pic:spPr>
                          <a:xfrm>
                            <a:off x="0" y="0"/>
                            <a:ext cx="715010"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76275" cy="539750"/>
                  <wp:effectExtent l="0" t="0" r="0" b="0"/>
                  <wp:wrapNone/>
                  <wp:docPr id="2805" name="图片_18_SpCnt_36"/>
                  <wp:cNvGraphicFramePr/>
                  <a:graphic xmlns:a="http://schemas.openxmlformats.org/drawingml/2006/main">
                    <a:graphicData uri="http://schemas.openxmlformats.org/drawingml/2006/picture">
                      <pic:pic xmlns:pic="http://schemas.openxmlformats.org/drawingml/2006/picture">
                        <pic:nvPicPr>
                          <pic:cNvPr id="2805" name="图片_18_SpCnt_36"/>
                          <pic:cNvPicPr/>
                        </pic:nvPicPr>
                        <pic:blipFill>
                          <a:blip r:embed="rId13"/>
                          <a:stretch>
                            <a:fillRect/>
                          </a:stretch>
                        </pic:blipFill>
                        <pic:spPr>
                          <a:xfrm>
                            <a:off x="0" y="0"/>
                            <a:ext cx="676275" cy="53975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83260" cy="542290"/>
                  <wp:effectExtent l="0" t="0" r="0" b="0"/>
                  <wp:wrapNone/>
                  <wp:docPr id="2806" name="图片_19_SpCnt_20"/>
                  <wp:cNvGraphicFramePr/>
                  <a:graphic xmlns:a="http://schemas.openxmlformats.org/drawingml/2006/main">
                    <a:graphicData uri="http://schemas.openxmlformats.org/drawingml/2006/picture">
                      <pic:pic xmlns:pic="http://schemas.openxmlformats.org/drawingml/2006/picture">
                        <pic:nvPicPr>
                          <pic:cNvPr id="2806" name="图片_19_SpCnt_20"/>
                          <pic:cNvPicPr/>
                        </pic:nvPicPr>
                        <pic:blipFill>
                          <a:blip r:embed="rId13"/>
                          <a:stretch>
                            <a:fillRect/>
                          </a:stretch>
                        </pic:blipFill>
                        <pic:spPr>
                          <a:xfrm>
                            <a:off x="0" y="0"/>
                            <a:ext cx="68326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41985" cy="504190"/>
                  <wp:effectExtent l="0" t="0" r="0" b="0"/>
                  <wp:wrapNone/>
                  <wp:docPr id="2807" name="ID_DE60E1367F4D47B68B43A253F9DB257F_SpCnt_55"/>
                  <wp:cNvGraphicFramePr/>
                  <a:graphic xmlns:a="http://schemas.openxmlformats.org/drawingml/2006/main">
                    <a:graphicData uri="http://schemas.openxmlformats.org/drawingml/2006/picture">
                      <pic:pic xmlns:pic="http://schemas.openxmlformats.org/drawingml/2006/picture">
                        <pic:nvPicPr>
                          <pic:cNvPr id="2807" name="ID_DE60E1367F4D47B68B43A253F9DB257F_SpCnt_55"/>
                          <pic:cNvPicPr/>
                        </pic:nvPicPr>
                        <pic:blipFill>
                          <a:blip r:embed="rId13"/>
                          <a:stretch>
                            <a:fillRect/>
                          </a:stretch>
                        </pic:blipFill>
                        <pic:spPr>
                          <a:xfrm>
                            <a:off x="0" y="0"/>
                            <a:ext cx="641985"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51510" cy="504190"/>
                  <wp:effectExtent l="0" t="0" r="0" b="0"/>
                  <wp:wrapNone/>
                  <wp:docPr id="2808" name="ID_E826D4FD2F1D481EA1CFBD3451A51F56_SpCnt_48"/>
                  <wp:cNvGraphicFramePr/>
                  <a:graphic xmlns:a="http://schemas.openxmlformats.org/drawingml/2006/main">
                    <a:graphicData uri="http://schemas.openxmlformats.org/drawingml/2006/picture">
                      <pic:pic xmlns:pic="http://schemas.openxmlformats.org/drawingml/2006/picture">
                        <pic:nvPicPr>
                          <pic:cNvPr id="2808" name="ID_E826D4FD2F1D481EA1CFBD3451A51F56_SpCnt_48"/>
                          <pic:cNvPicPr/>
                        </pic:nvPicPr>
                        <pic:blipFill>
                          <a:blip r:embed="rId13"/>
                          <a:stretch>
                            <a:fillRect/>
                          </a:stretch>
                        </pic:blipFill>
                        <pic:spPr>
                          <a:xfrm>
                            <a:off x="0" y="0"/>
                            <a:ext cx="65151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51510" cy="504190"/>
                  <wp:effectExtent l="0" t="0" r="0" b="0"/>
                  <wp:wrapNone/>
                  <wp:docPr id="2809" name="ID_CA31AD5AD4A240A69EBE9CEAC8E99D77_SpCnt_48"/>
                  <wp:cNvGraphicFramePr/>
                  <a:graphic xmlns:a="http://schemas.openxmlformats.org/drawingml/2006/main">
                    <a:graphicData uri="http://schemas.openxmlformats.org/drawingml/2006/picture">
                      <pic:pic xmlns:pic="http://schemas.openxmlformats.org/drawingml/2006/picture">
                        <pic:nvPicPr>
                          <pic:cNvPr id="2809" name="ID_CA31AD5AD4A240A69EBE9CEAC8E99D77_SpCnt_48"/>
                          <pic:cNvPicPr/>
                        </pic:nvPicPr>
                        <pic:blipFill>
                          <a:blip r:embed="rId13"/>
                          <a:stretch>
                            <a:fillRect/>
                          </a:stretch>
                        </pic:blipFill>
                        <pic:spPr>
                          <a:xfrm>
                            <a:off x="0" y="0"/>
                            <a:ext cx="65151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48335" cy="504190"/>
                  <wp:effectExtent l="0" t="0" r="0" b="0"/>
                  <wp:wrapNone/>
                  <wp:docPr id="2810" name="ID_DE60E1367F4D47B68B43A253F9DB257F_SpCnt_56"/>
                  <wp:cNvGraphicFramePr/>
                  <a:graphic xmlns:a="http://schemas.openxmlformats.org/drawingml/2006/main">
                    <a:graphicData uri="http://schemas.openxmlformats.org/drawingml/2006/picture">
                      <pic:pic xmlns:pic="http://schemas.openxmlformats.org/drawingml/2006/picture">
                        <pic:nvPicPr>
                          <pic:cNvPr id="2810" name="ID_DE60E1367F4D47B68B43A253F9DB257F_SpCnt_56"/>
                          <pic:cNvPicPr/>
                        </pic:nvPicPr>
                        <pic:blipFill>
                          <a:blip r:embed="rId13"/>
                          <a:stretch>
                            <a:fillRect/>
                          </a:stretch>
                        </pic:blipFill>
                        <pic:spPr>
                          <a:xfrm>
                            <a:off x="0" y="0"/>
                            <a:ext cx="648335"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41985" cy="504190"/>
                  <wp:effectExtent l="0" t="0" r="0" b="0"/>
                  <wp:wrapNone/>
                  <wp:docPr id="2811" name="ID_B73E8774DBA24C66A077783CE7B139D0_SpCnt_44"/>
                  <wp:cNvGraphicFramePr/>
                  <a:graphic xmlns:a="http://schemas.openxmlformats.org/drawingml/2006/main">
                    <a:graphicData uri="http://schemas.openxmlformats.org/drawingml/2006/picture">
                      <pic:pic xmlns:pic="http://schemas.openxmlformats.org/drawingml/2006/picture">
                        <pic:nvPicPr>
                          <pic:cNvPr id="2811" name="ID_B73E8774DBA24C66A077783CE7B139D0_SpCnt_44"/>
                          <pic:cNvPicPr/>
                        </pic:nvPicPr>
                        <pic:blipFill>
                          <a:blip r:embed="rId13"/>
                          <a:stretch>
                            <a:fillRect/>
                          </a:stretch>
                        </pic:blipFill>
                        <pic:spPr>
                          <a:xfrm>
                            <a:off x="0" y="0"/>
                            <a:ext cx="641985"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44525" cy="504190"/>
                  <wp:effectExtent l="0" t="0" r="0" b="0"/>
                  <wp:wrapNone/>
                  <wp:docPr id="2812" name="ID_E826D4FD2F1D481EA1CFBD3451A51F56_SpCnt_49"/>
                  <wp:cNvGraphicFramePr/>
                  <a:graphic xmlns:a="http://schemas.openxmlformats.org/drawingml/2006/main">
                    <a:graphicData uri="http://schemas.openxmlformats.org/drawingml/2006/picture">
                      <pic:pic xmlns:pic="http://schemas.openxmlformats.org/drawingml/2006/picture">
                        <pic:nvPicPr>
                          <pic:cNvPr id="2812" name="ID_E826D4FD2F1D481EA1CFBD3451A51F56_SpCnt_49"/>
                          <pic:cNvPicPr/>
                        </pic:nvPicPr>
                        <pic:blipFill>
                          <a:blip r:embed="rId13"/>
                          <a:stretch>
                            <a:fillRect/>
                          </a:stretch>
                        </pic:blipFill>
                        <pic:spPr>
                          <a:xfrm>
                            <a:off x="0" y="0"/>
                            <a:ext cx="644525"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44525" cy="504190"/>
                  <wp:effectExtent l="0" t="0" r="0" b="0"/>
                  <wp:wrapNone/>
                  <wp:docPr id="2813" name="ID_CA31AD5AD4A240A69EBE9CEAC8E99D77_SpCnt_49"/>
                  <wp:cNvGraphicFramePr/>
                  <a:graphic xmlns:a="http://schemas.openxmlformats.org/drawingml/2006/main">
                    <a:graphicData uri="http://schemas.openxmlformats.org/drawingml/2006/picture">
                      <pic:pic xmlns:pic="http://schemas.openxmlformats.org/drawingml/2006/picture">
                        <pic:nvPicPr>
                          <pic:cNvPr id="2813" name="ID_CA31AD5AD4A240A69EBE9CEAC8E99D77_SpCnt_49"/>
                          <pic:cNvPicPr/>
                        </pic:nvPicPr>
                        <pic:blipFill>
                          <a:blip r:embed="rId13"/>
                          <a:stretch>
                            <a:fillRect/>
                          </a:stretch>
                        </pic:blipFill>
                        <pic:spPr>
                          <a:xfrm>
                            <a:off x="0" y="0"/>
                            <a:ext cx="644525"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41985" cy="504190"/>
                  <wp:effectExtent l="0" t="0" r="0" b="0"/>
                  <wp:wrapNone/>
                  <wp:docPr id="2814" name="ID_B5BF18E09CFE43799C5EE3D44F45FB47_SpCnt_43"/>
                  <wp:cNvGraphicFramePr/>
                  <a:graphic xmlns:a="http://schemas.openxmlformats.org/drawingml/2006/main">
                    <a:graphicData uri="http://schemas.openxmlformats.org/drawingml/2006/picture">
                      <pic:pic xmlns:pic="http://schemas.openxmlformats.org/drawingml/2006/picture">
                        <pic:nvPicPr>
                          <pic:cNvPr id="2814" name="ID_B5BF18E09CFE43799C5EE3D44F45FB47_SpCnt_43"/>
                          <pic:cNvPicPr/>
                        </pic:nvPicPr>
                        <pic:blipFill>
                          <a:blip r:embed="rId13"/>
                          <a:stretch>
                            <a:fillRect/>
                          </a:stretch>
                        </pic:blipFill>
                        <pic:spPr>
                          <a:xfrm>
                            <a:off x="0" y="0"/>
                            <a:ext cx="641985"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59765" cy="504190"/>
                  <wp:effectExtent l="0" t="0" r="0" b="0"/>
                  <wp:wrapNone/>
                  <wp:docPr id="2815" name="ID_E826D4FD2F1D481EA1CFBD3451A51F56_SpCnt_50"/>
                  <wp:cNvGraphicFramePr/>
                  <a:graphic xmlns:a="http://schemas.openxmlformats.org/drawingml/2006/main">
                    <a:graphicData uri="http://schemas.openxmlformats.org/drawingml/2006/picture">
                      <pic:pic xmlns:pic="http://schemas.openxmlformats.org/drawingml/2006/picture">
                        <pic:nvPicPr>
                          <pic:cNvPr id="2815" name="ID_E826D4FD2F1D481EA1CFBD3451A51F56_SpCnt_50"/>
                          <pic:cNvPicPr/>
                        </pic:nvPicPr>
                        <pic:blipFill>
                          <a:blip r:embed="rId13"/>
                          <a:stretch>
                            <a:fillRect/>
                          </a:stretch>
                        </pic:blipFill>
                        <pic:spPr>
                          <a:xfrm>
                            <a:off x="0" y="0"/>
                            <a:ext cx="659765"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59765" cy="504190"/>
                  <wp:effectExtent l="0" t="0" r="0" b="0"/>
                  <wp:wrapNone/>
                  <wp:docPr id="2816" name="ID_CA31AD5AD4A240A69EBE9CEAC8E99D77_SpCnt_50"/>
                  <wp:cNvGraphicFramePr/>
                  <a:graphic xmlns:a="http://schemas.openxmlformats.org/drawingml/2006/main">
                    <a:graphicData uri="http://schemas.openxmlformats.org/drawingml/2006/picture">
                      <pic:pic xmlns:pic="http://schemas.openxmlformats.org/drawingml/2006/picture">
                        <pic:nvPicPr>
                          <pic:cNvPr id="2816" name="ID_CA31AD5AD4A240A69EBE9CEAC8E99D77_SpCnt_50"/>
                          <pic:cNvPicPr/>
                        </pic:nvPicPr>
                        <pic:blipFill>
                          <a:blip r:embed="rId13"/>
                          <a:stretch>
                            <a:fillRect/>
                          </a:stretch>
                        </pic:blipFill>
                        <pic:spPr>
                          <a:xfrm>
                            <a:off x="0" y="0"/>
                            <a:ext cx="659765"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56590" cy="504190"/>
                  <wp:effectExtent l="0" t="0" r="0" b="0"/>
                  <wp:wrapNone/>
                  <wp:docPr id="2817" name="ID_DE60E1367F4D47B68B43A253F9DB257F_SpCnt_57"/>
                  <wp:cNvGraphicFramePr/>
                  <a:graphic xmlns:a="http://schemas.openxmlformats.org/drawingml/2006/main">
                    <a:graphicData uri="http://schemas.openxmlformats.org/drawingml/2006/picture">
                      <pic:pic xmlns:pic="http://schemas.openxmlformats.org/drawingml/2006/picture">
                        <pic:nvPicPr>
                          <pic:cNvPr id="2817" name="ID_DE60E1367F4D47B68B43A253F9DB257F_SpCnt_57"/>
                          <pic:cNvPicPr/>
                        </pic:nvPicPr>
                        <pic:blipFill>
                          <a:blip r:embed="rId13"/>
                          <a:stretch>
                            <a:fillRect/>
                          </a:stretch>
                        </pic:blipFill>
                        <pic:spPr>
                          <a:xfrm>
                            <a:off x="0" y="0"/>
                            <a:ext cx="65659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707390" cy="715010"/>
                  <wp:effectExtent l="0" t="0" r="0" b="0"/>
                  <wp:wrapNone/>
                  <wp:docPr id="2818" name="ID_B5BF18E09CFE43799C5EE3D44F45FB47_SpCnt_44"/>
                  <wp:cNvGraphicFramePr/>
                  <a:graphic xmlns:a="http://schemas.openxmlformats.org/drawingml/2006/main">
                    <a:graphicData uri="http://schemas.openxmlformats.org/drawingml/2006/picture">
                      <pic:pic xmlns:pic="http://schemas.openxmlformats.org/drawingml/2006/picture">
                        <pic:nvPicPr>
                          <pic:cNvPr id="2818" name="ID_B5BF18E09CFE43799C5EE3D44F45FB47_SpCnt_44"/>
                          <pic:cNvPicPr/>
                        </pic:nvPicPr>
                        <pic:blipFill>
                          <a:blip r:embed="rId13"/>
                          <a:stretch>
                            <a:fillRect/>
                          </a:stretch>
                        </pic:blipFill>
                        <pic:spPr>
                          <a:xfrm>
                            <a:off x="0" y="0"/>
                            <a:ext cx="707390"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716280" cy="715010"/>
                  <wp:effectExtent l="0" t="0" r="0" b="0"/>
                  <wp:wrapNone/>
                  <wp:docPr id="2819" name="ID_B73E8774DBA24C66A077783CE7B139D0_SpCnt_45"/>
                  <wp:cNvGraphicFramePr/>
                  <a:graphic xmlns:a="http://schemas.openxmlformats.org/drawingml/2006/main">
                    <a:graphicData uri="http://schemas.openxmlformats.org/drawingml/2006/picture">
                      <pic:pic xmlns:pic="http://schemas.openxmlformats.org/drawingml/2006/picture">
                        <pic:nvPicPr>
                          <pic:cNvPr id="2819" name="ID_B73E8774DBA24C66A077783CE7B139D0_SpCnt_45"/>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708660" cy="715010"/>
                  <wp:effectExtent l="0" t="0" r="0" b="0"/>
                  <wp:wrapNone/>
                  <wp:docPr id="2820" name="ID_DE60E1367F4D47B68B43A253F9DB257F_SpCnt_58"/>
                  <wp:cNvGraphicFramePr/>
                  <a:graphic xmlns:a="http://schemas.openxmlformats.org/drawingml/2006/main">
                    <a:graphicData uri="http://schemas.openxmlformats.org/drawingml/2006/picture">
                      <pic:pic xmlns:pic="http://schemas.openxmlformats.org/drawingml/2006/picture">
                        <pic:nvPicPr>
                          <pic:cNvPr id="2820" name="ID_DE60E1367F4D47B68B43A253F9DB257F_SpCnt_58"/>
                          <pic:cNvPicPr/>
                        </pic:nvPicPr>
                        <pic:blipFill>
                          <a:blip r:embed="rId13"/>
                          <a:stretch>
                            <a:fillRect/>
                          </a:stretch>
                        </pic:blipFill>
                        <pic:spPr>
                          <a:xfrm>
                            <a:off x="0" y="0"/>
                            <a:ext cx="708660"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99770" cy="647700"/>
                  <wp:effectExtent l="0" t="0" r="0" b="0"/>
                  <wp:wrapNone/>
                  <wp:docPr id="2821" name="ID_B5BF18E09CFE43799C5EE3D44F45FB47_SpCnt_45"/>
                  <wp:cNvGraphicFramePr/>
                  <a:graphic xmlns:a="http://schemas.openxmlformats.org/drawingml/2006/main">
                    <a:graphicData uri="http://schemas.openxmlformats.org/drawingml/2006/picture">
                      <pic:pic xmlns:pic="http://schemas.openxmlformats.org/drawingml/2006/picture">
                        <pic:nvPicPr>
                          <pic:cNvPr id="2821" name="ID_B5BF18E09CFE43799C5EE3D44F45FB47_SpCnt_45"/>
                          <pic:cNvPicPr/>
                        </pic:nvPicPr>
                        <pic:blipFill>
                          <a:blip r:embed="rId13"/>
                          <a:stretch>
                            <a:fillRect/>
                          </a:stretch>
                        </pic:blipFill>
                        <pic:spPr>
                          <a:xfrm>
                            <a:off x="0" y="0"/>
                            <a:ext cx="699770"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92785" cy="647700"/>
                  <wp:effectExtent l="0" t="0" r="0" b="0"/>
                  <wp:wrapNone/>
                  <wp:docPr id="2822" name="ID_B73E8774DBA24C66A077783CE7B139D0_SpCnt_46"/>
                  <wp:cNvGraphicFramePr/>
                  <a:graphic xmlns:a="http://schemas.openxmlformats.org/drawingml/2006/main">
                    <a:graphicData uri="http://schemas.openxmlformats.org/drawingml/2006/picture">
                      <pic:pic xmlns:pic="http://schemas.openxmlformats.org/drawingml/2006/picture">
                        <pic:nvPicPr>
                          <pic:cNvPr id="2822" name="ID_B73E8774DBA24C66A077783CE7B139D0_SpCnt_46"/>
                          <pic:cNvPicPr/>
                        </pic:nvPicPr>
                        <pic:blipFill>
                          <a:blip r:embed="rId13"/>
                          <a:stretch>
                            <a:fillRect/>
                          </a:stretch>
                        </pic:blipFill>
                        <pic:spPr>
                          <a:xfrm>
                            <a:off x="0" y="0"/>
                            <a:ext cx="692785"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92785" cy="647700"/>
                  <wp:effectExtent l="0" t="0" r="0" b="0"/>
                  <wp:wrapNone/>
                  <wp:docPr id="2823" name="ID_CA31AD5AD4A240A69EBE9CEAC8E99D77_SpCnt_51"/>
                  <wp:cNvGraphicFramePr/>
                  <a:graphic xmlns:a="http://schemas.openxmlformats.org/drawingml/2006/main">
                    <a:graphicData uri="http://schemas.openxmlformats.org/drawingml/2006/picture">
                      <pic:pic xmlns:pic="http://schemas.openxmlformats.org/drawingml/2006/picture">
                        <pic:nvPicPr>
                          <pic:cNvPr id="2823" name="ID_CA31AD5AD4A240A69EBE9CEAC8E99D77_SpCnt_51"/>
                          <pic:cNvPicPr/>
                        </pic:nvPicPr>
                        <pic:blipFill>
                          <a:blip r:embed="rId13"/>
                          <a:stretch>
                            <a:fillRect/>
                          </a:stretch>
                        </pic:blipFill>
                        <pic:spPr>
                          <a:xfrm>
                            <a:off x="0" y="0"/>
                            <a:ext cx="692785"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92785" cy="647700"/>
                  <wp:effectExtent l="0" t="0" r="0" b="0"/>
                  <wp:wrapNone/>
                  <wp:docPr id="2824" name="ID_DE60E1367F4D47B68B43A253F9DB257F_SpCnt_59"/>
                  <wp:cNvGraphicFramePr/>
                  <a:graphic xmlns:a="http://schemas.openxmlformats.org/drawingml/2006/main">
                    <a:graphicData uri="http://schemas.openxmlformats.org/drawingml/2006/picture">
                      <pic:pic xmlns:pic="http://schemas.openxmlformats.org/drawingml/2006/picture">
                        <pic:nvPicPr>
                          <pic:cNvPr id="2824" name="ID_DE60E1367F4D47B68B43A253F9DB257F_SpCnt_59"/>
                          <pic:cNvPicPr/>
                        </pic:nvPicPr>
                        <pic:blipFill>
                          <a:blip r:embed="rId13"/>
                          <a:stretch>
                            <a:fillRect/>
                          </a:stretch>
                        </pic:blipFill>
                        <pic:spPr>
                          <a:xfrm>
                            <a:off x="0" y="0"/>
                            <a:ext cx="692785"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92785" cy="647700"/>
                  <wp:effectExtent l="0" t="0" r="0" b="0"/>
                  <wp:wrapNone/>
                  <wp:docPr id="2825" name="ID_E826D4FD2F1D481EA1CFBD3451A51F56_SpCnt_51"/>
                  <wp:cNvGraphicFramePr/>
                  <a:graphic xmlns:a="http://schemas.openxmlformats.org/drawingml/2006/main">
                    <a:graphicData uri="http://schemas.openxmlformats.org/drawingml/2006/picture">
                      <pic:pic xmlns:pic="http://schemas.openxmlformats.org/drawingml/2006/picture">
                        <pic:nvPicPr>
                          <pic:cNvPr id="2825" name="ID_E826D4FD2F1D481EA1CFBD3451A51F56_SpCnt_51"/>
                          <pic:cNvPicPr/>
                        </pic:nvPicPr>
                        <pic:blipFill>
                          <a:blip r:embed="rId13"/>
                          <a:stretch>
                            <a:fillRect/>
                          </a:stretch>
                        </pic:blipFill>
                        <pic:spPr>
                          <a:xfrm>
                            <a:off x="0" y="0"/>
                            <a:ext cx="692785"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708025" cy="715010"/>
                  <wp:effectExtent l="0" t="0" r="0" b="0"/>
                  <wp:wrapNone/>
                  <wp:docPr id="2826" name="ID_B5BF18E09CFE43799C5EE3D44F45FB47_SpCnt_46"/>
                  <wp:cNvGraphicFramePr/>
                  <a:graphic xmlns:a="http://schemas.openxmlformats.org/drawingml/2006/main">
                    <a:graphicData uri="http://schemas.openxmlformats.org/drawingml/2006/picture">
                      <pic:pic xmlns:pic="http://schemas.openxmlformats.org/drawingml/2006/picture">
                        <pic:nvPicPr>
                          <pic:cNvPr id="2826" name="ID_B5BF18E09CFE43799C5EE3D44F45FB47_SpCnt_46"/>
                          <pic:cNvPicPr/>
                        </pic:nvPicPr>
                        <pic:blipFill>
                          <a:blip r:embed="rId13"/>
                          <a:stretch>
                            <a:fillRect/>
                          </a:stretch>
                        </pic:blipFill>
                        <pic:spPr>
                          <a:xfrm>
                            <a:off x="0" y="0"/>
                            <a:ext cx="70802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715010" cy="715010"/>
                  <wp:effectExtent l="0" t="0" r="0" b="0"/>
                  <wp:wrapNone/>
                  <wp:docPr id="2827" name="ID_B73E8774DBA24C66A077783CE7B139D0_SpCnt_47"/>
                  <wp:cNvGraphicFramePr/>
                  <a:graphic xmlns:a="http://schemas.openxmlformats.org/drawingml/2006/main">
                    <a:graphicData uri="http://schemas.openxmlformats.org/drawingml/2006/picture">
                      <pic:pic xmlns:pic="http://schemas.openxmlformats.org/drawingml/2006/picture">
                        <pic:nvPicPr>
                          <pic:cNvPr id="2827" name="ID_B73E8774DBA24C66A077783CE7B139D0_SpCnt_47"/>
                          <pic:cNvPicPr/>
                        </pic:nvPicPr>
                        <pic:blipFill>
                          <a:blip r:embed="rId13"/>
                          <a:stretch>
                            <a:fillRect/>
                          </a:stretch>
                        </pic:blipFill>
                        <pic:spPr>
                          <a:xfrm>
                            <a:off x="0" y="0"/>
                            <a:ext cx="715010"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708025" cy="715010"/>
                  <wp:effectExtent l="0" t="0" r="0" b="0"/>
                  <wp:wrapNone/>
                  <wp:docPr id="2828" name="ID_DE60E1367F4D47B68B43A253F9DB257F_SpCnt_60"/>
                  <wp:cNvGraphicFramePr/>
                  <a:graphic xmlns:a="http://schemas.openxmlformats.org/drawingml/2006/main">
                    <a:graphicData uri="http://schemas.openxmlformats.org/drawingml/2006/picture">
                      <pic:pic xmlns:pic="http://schemas.openxmlformats.org/drawingml/2006/picture">
                        <pic:nvPicPr>
                          <pic:cNvPr id="2828" name="ID_DE60E1367F4D47B68B43A253F9DB257F_SpCnt_60"/>
                          <pic:cNvPicPr/>
                        </pic:nvPicPr>
                        <pic:blipFill>
                          <a:blip r:embed="rId13"/>
                          <a:stretch>
                            <a:fillRect/>
                          </a:stretch>
                        </pic:blipFill>
                        <pic:spPr>
                          <a:xfrm>
                            <a:off x="0" y="0"/>
                            <a:ext cx="70802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715645" cy="715010"/>
                  <wp:effectExtent l="0" t="0" r="0" b="0"/>
                  <wp:wrapNone/>
                  <wp:docPr id="2829" name="ID_CA31AD5AD4A240A69EBE9CEAC8E99D77_SpCnt_52"/>
                  <wp:cNvGraphicFramePr/>
                  <a:graphic xmlns:a="http://schemas.openxmlformats.org/drawingml/2006/main">
                    <a:graphicData uri="http://schemas.openxmlformats.org/drawingml/2006/picture">
                      <pic:pic xmlns:pic="http://schemas.openxmlformats.org/drawingml/2006/picture">
                        <pic:nvPicPr>
                          <pic:cNvPr id="2829" name="ID_CA31AD5AD4A240A69EBE9CEAC8E99D77_SpCnt_52"/>
                          <pic:cNvPicPr/>
                        </pic:nvPicPr>
                        <pic:blipFill>
                          <a:blip r:embed="rId13"/>
                          <a:stretch>
                            <a:fillRect/>
                          </a:stretch>
                        </pic:blipFill>
                        <pic:spPr>
                          <a:xfrm>
                            <a:off x="0" y="0"/>
                            <a:ext cx="71564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715645" cy="715010"/>
                  <wp:effectExtent l="0" t="0" r="0" b="0"/>
                  <wp:wrapNone/>
                  <wp:docPr id="2830" name="ID_E826D4FD2F1D481EA1CFBD3451A51F56_SpCnt_52"/>
                  <wp:cNvGraphicFramePr/>
                  <a:graphic xmlns:a="http://schemas.openxmlformats.org/drawingml/2006/main">
                    <a:graphicData uri="http://schemas.openxmlformats.org/drawingml/2006/picture">
                      <pic:pic xmlns:pic="http://schemas.openxmlformats.org/drawingml/2006/picture">
                        <pic:nvPicPr>
                          <pic:cNvPr id="2830" name="ID_E826D4FD2F1D481EA1CFBD3451A51F56_SpCnt_52"/>
                          <pic:cNvPicPr/>
                        </pic:nvPicPr>
                        <pic:blipFill>
                          <a:blip r:embed="rId13"/>
                          <a:stretch>
                            <a:fillRect/>
                          </a:stretch>
                        </pic:blipFill>
                        <pic:spPr>
                          <a:xfrm>
                            <a:off x="0" y="0"/>
                            <a:ext cx="71564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76275" cy="539750"/>
                  <wp:effectExtent l="0" t="0" r="0" b="0"/>
                  <wp:wrapNone/>
                  <wp:docPr id="2831" name="图片_18_SpCnt_37"/>
                  <wp:cNvGraphicFramePr/>
                  <a:graphic xmlns:a="http://schemas.openxmlformats.org/drawingml/2006/main">
                    <a:graphicData uri="http://schemas.openxmlformats.org/drawingml/2006/picture">
                      <pic:pic xmlns:pic="http://schemas.openxmlformats.org/drawingml/2006/picture">
                        <pic:nvPicPr>
                          <pic:cNvPr id="2831" name="图片_18_SpCnt_37"/>
                          <pic:cNvPicPr/>
                        </pic:nvPicPr>
                        <pic:blipFill>
                          <a:blip r:embed="rId13"/>
                          <a:stretch>
                            <a:fillRect/>
                          </a:stretch>
                        </pic:blipFill>
                        <pic:spPr>
                          <a:xfrm>
                            <a:off x="0" y="0"/>
                            <a:ext cx="676275" cy="53975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83260" cy="542290"/>
                  <wp:effectExtent l="0" t="0" r="0" b="0"/>
                  <wp:wrapNone/>
                  <wp:docPr id="2832" name="图片_19_SpCnt_21"/>
                  <wp:cNvGraphicFramePr/>
                  <a:graphic xmlns:a="http://schemas.openxmlformats.org/drawingml/2006/main">
                    <a:graphicData uri="http://schemas.openxmlformats.org/drawingml/2006/picture">
                      <pic:pic xmlns:pic="http://schemas.openxmlformats.org/drawingml/2006/picture">
                        <pic:nvPicPr>
                          <pic:cNvPr id="2832" name="图片_19_SpCnt_21"/>
                          <pic:cNvPicPr/>
                        </pic:nvPicPr>
                        <pic:blipFill>
                          <a:blip r:embed="rId13"/>
                          <a:stretch>
                            <a:fillRect/>
                          </a:stretch>
                        </pic:blipFill>
                        <pic:spPr>
                          <a:xfrm>
                            <a:off x="0" y="0"/>
                            <a:ext cx="68326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48335" cy="504190"/>
                  <wp:effectExtent l="0" t="0" r="0" b="0"/>
                  <wp:wrapNone/>
                  <wp:docPr id="2833" name="ID_DE60E1367F4D47B68B43A253F9DB257F_SpCnt_61"/>
                  <wp:cNvGraphicFramePr/>
                  <a:graphic xmlns:a="http://schemas.openxmlformats.org/drawingml/2006/main">
                    <a:graphicData uri="http://schemas.openxmlformats.org/drawingml/2006/picture">
                      <pic:pic xmlns:pic="http://schemas.openxmlformats.org/drawingml/2006/picture">
                        <pic:nvPicPr>
                          <pic:cNvPr id="2833" name="ID_DE60E1367F4D47B68B43A253F9DB257F_SpCnt_61"/>
                          <pic:cNvPicPr/>
                        </pic:nvPicPr>
                        <pic:blipFill>
                          <a:blip r:embed="rId13"/>
                          <a:stretch>
                            <a:fillRect/>
                          </a:stretch>
                        </pic:blipFill>
                        <pic:spPr>
                          <a:xfrm>
                            <a:off x="0" y="0"/>
                            <a:ext cx="648335"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51510" cy="504190"/>
                  <wp:effectExtent l="0" t="0" r="0" b="0"/>
                  <wp:wrapNone/>
                  <wp:docPr id="2834" name="ID_CA31AD5AD4A240A69EBE9CEAC8E99D77_SpCnt_53"/>
                  <wp:cNvGraphicFramePr/>
                  <a:graphic xmlns:a="http://schemas.openxmlformats.org/drawingml/2006/main">
                    <a:graphicData uri="http://schemas.openxmlformats.org/drawingml/2006/picture">
                      <pic:pic xmlns:pic="http://schemas.openxmlformats.org/drawingml/2006/picture">
                        <pic:nvPicPr>
                          <pic:cNvPr id="2834" name="ID_CA31AD5AD4A240A69EBE9CEAC8E99D77_SpCnt_53"/>
                          <pic:cNvPicPr/>
                        </pic:nvPicPr>
                        <pic:blipFill>
                          <a:blip r:embed="rId13"/>
                          <a:stretch>
                            <a:fillRect/>
                          </a:stretch>
                        </pic:blipFill>
                        <pic:spPr>
                          <a:xfrm>
                            <a:off x="0" y="0"/>
                            <a:ext cx="65151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41985" cy="504190"/>
                  <wp:effectExtent l="0" t="0" r="0" b="0"/>
                  <wp:wrapNone/>
                  <wp:docPr id="2835" name="ID_DE60E1367F4D47B68B43A253F9DB257F_SpCnt_62"/>
                  <wp:cNvGraphicFramePr/>
                  <a:graphic xmlns:a="http://schemas.openxmlformats.org/drawingml/2006/main">
                    <a:graphicData uri="http://schemas.openxmlformats.org/drawingml/2006/picture">
                      <pic:pic xmlns:pic="http://schemas.openxmlformats.org/drawingml/2006/picture">
                        <pic:nvPicPr>
                          <pic:cNvPr id="2835" name="ID_DE60E1367F4D47B68B43A253F9DB257F_SpCnt_62"/>
                          <pic:cNvPicPr/>
                        </pic:nvPicPr>
                        <pic:blipFill>
                          <a:blip r:embed="rId13"/>
                          <a:stretch>
                            <a:fillRect/>
                          </a:stretch>
                        </pic:blipFill>
                        <pic:spPr>
                          <a:xfrm>
                            <a:off x="0" y="0"/>
                            <a:ext cx="641985"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51510" cy="504190"/>
                  <wp:effectExtent l="0" t="0" r="0" b="0"/>
                  <wp:wrapNone/>
                  <wp:docPr id="2836" name="ID_E826D4FD2F1D481EA1CFBD3451A51F56_SpCnt_53"/>
                  <wp:cNvGraphicFramePr/>
                  <a:graphic xmlns:a="http://schemas.openxmlformats.org/drawingml/2006/main">
                    <a:graphicData uri="http://schemas.openxmlformats.org/drawingml/2006/picture">
                      <pic:pic xmlns:pic="http://schemas.openxmlformats.org/drawingml/2006/picture">
                        <pic:nvPicPr>
                          <pic:cNvPr id="2836" name="ID_E826D4FD2F1D481EA1CFBD3451A51F56_SpCnt_53"/>
                          <pic:cNvPicPr/>
                        </pic:nvPicPr>
                        <pic:blipFill>
                          <a:blip r:embed="rId13"/>
                          <a:stretch>
                            <a:fillRect/>
                          </a:stretch>
                        </pic:blipFill>
                        <pic:spPr>
                          <a:xfrm>
                            <a:off x="0" y="0"/>
                            <a:ext cx="65151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44525" cy="504190"/>
                  <wp:effectExtent l="0" t="0" r="0" b="0"/>
                  <wp:wrapNone/>
                  <wp:docPr id="2837" name="ID_CA31AD5AD4A240A69EBE9CEAC8E99D77_SpCnt_54"/>
                  <wp:cNvGraphicFramePr/>
                  <a:graphic xmlns:a="http://schemas.openxmlformats.org/drawingml/2006/main">
                    <a:graphicData uri="http://schemas.openxmlformats.org/drawingml/2006/picture">
                      <pic:pic xmlns:pic="http://schemas.openxmlformats.org/drawingml/2006/picture">
                        <pic:nvPicPr>
                          <pic:cNvPr id="2837" name="ID_CA31AD5AD4A240A69EBE9CEAC8E99D77_SpCnt_54"/>
                          <pic:cNvPicPr/>
                        </pic:nvPicPr>
                        <pic:blipFill>
                          <a:blip r:embed="rId13"/>
                          <a:stretch>
                            <a:fillRect/>
                          </a:stretch>
                        </pic:blipFill>
                        <pic:spPr>
                          <a:xfrm>
                            <a:off x="0" y="0"/>
                            <a:ext cx="644525"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44525" cy="504190"/>
                  <wp:effectExtent l="0" t="0" r="0" b="0"/>
                  <wp:wrapNone/>
                  <wp:docPr id="2838" name="ID_E826D4FD2F1D481EA1CFBD3451A51F56_SpCnt_54"/>
                  <wp:cNvGraphicFramePr/>
                  <a:graphic xmlns:a="http://schemas.openxmlformats.org/drawingml/2006/main">
                    <a:graphicData uri="http://schemas.openxmlformats.org/drawingml/2006/picture">
                      <pic:pic xmlns:pic="http://schemas.openxmlformats.org/drawingml/2006/picture">
                        <pic:nvPicPr>
                          <pic:cNvPr id="2838" name="ID_E826D4FD2F1D481EA1CFBD3451A51F56_SpCnt_54"/>
                          <pic:cNvPicPr/>
                        </pic:nvPicPr>
                        <pic:blipFill>
                          <a:blip r:embed="rId13"/>
                          <a:stretch>
                            <a:fillRect/>
                          </a:stretch>
                        </pic:blipFill>
                        <pic:spPr>
                          <a:xfrm>
                            <a:off x="0" y="0"/>
                            <a:ext cx="644525"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41985" cy="504190"/>
                  <wp:effectExtent l="0" t="0" r="0" b="0"/>
                  <wp:wrapNone/>
                  <wp:docPr id="2839" name="ID_B5BF18E09CFE43799C5EE3D44F45FB47_SpCnt_47"/>
                  <wp:cNvGraphicFramePr/>
                  <a:graphic xmlns:a="http://schemas.openxmlformats.org/drawingml/2006/main">
                    <a:graphicData uri="http://schemas.openxmlformats.org/drawingml/2006/picture">
                      <pic:pic xmlns:pic="http://schemas.openxmlformats.org/drawingml/2006/picture">
                        <pic:nvPicPr>
                          <pic:cNvPr id="2839" name="ID_B5BF18E09CFE43799C5EE3D44F45FB47_SpCnt_47"/>
                          <pic:cNvPicPr/>
                        </pic:nvPicPr>
                        <pic:blipFill>
                          <a:blip r:embed="rId13"/>
                          <a:stretch>
                            <a:fillRect/>
                          </a:stretch>
                        </pic:blipFill>
                        <pic:spPr>
                          <a:xfrm>
                            <a:off x="0" y="0"/>
                            <a:ext cx="641985"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56590" cy="504190"/>
                  <wp:effectExtent l="0" t="0" r="0" b="0"/>
                  <wp:wrapNone/>
                  <wp:docPr id="2840" name="ID_DE60E1367F4D47B68B43A253F9DB257F_SpCnt_63"/>
                  <wp:cNvGraphicFramePr/>
                  <a:graphic xmlns:a="http://schemas.openxmlformats.org/drawingml/2006/main">
                    <a:graphicData uri="http://schemas.openxmlformats.org/drawingml/2006/picture">
                      <pic:pic xmlns:pic="http://schemas.openxmlformats.org/drawingml/2006/picture">
                        <pic:nvPicPr>
                          <pic:cNvPr id="2840" name="ID_DE60E1367F4D47B68B43A253F9DB257F_SpCnt_63"/>
                          <pic:cNvPicPr/>
                        </pic:nvPicPr>
                        <pic:blipFill>
                          <a:blip r:embed="rId13"/>
                          <a:stretch>
                            <a:fillRect/>
                          </a:stretch>
                        </pic:blipFill>
                        <pic:spPr>
                          <a:xfrm>
                            <a:off x="0" y="0"/>
                            <a:ext cx="65659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59765" cy="504190"/>
                  <wp:effectExtent l="0" t="0" r="0" b="0"/>
                  <wp:wrapNone/>
                  <wp:docPr id="2841" name="ID_CA31AD5AD4A240A69EBE9CEAC8E99D77_SpCnt_55"/>
                  <wp:cNvGraphicFramePr/>
                  <a:graphic xmlns:a="http://schemas.openxmlformats.org/drawingml/2006/main">
                    <a:graphicData uri="http://schemas.openxmlformats.org/drawingml/2006/picture">
                      <pic:pic xmlns:pic="http://schemas.openxmlformats.org/drawingml/2006/picture">
                        <pic:nvPicPr>
                          <pic:cNvPr id="2841" name="ID_CA31AD5AD4A240A69EBE9CEAC8E99D77_SpCnt_55"/>
                          <pic:cNvPicPr/>
                        </pic:nvPicPr>
                        <pic:blipFill>
                          <a:blip r:embed="rId13"/>
                          <a:stretch>
                            <a:fillRect/>
                          </a:stretch>
                        </pic:blipFill>
                        <pic:spPr>
                          <a:xfrm>
                            <a:off x="0" y="0"/>
                            <a:ext cx="659765"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drawing>
                <wp:anchor distT="0" distB="0" distL="114300" distR="114300" simplePos="0" relativeHeight="251674624" behindDoc="0" locked="0" layoutInCell="1" allowOverlap="1">
                  <wp:simplePos x="0" y="0"/>
                  <wp:positionH relativeFrom="column">
                    <wp:posOffset>502285</wp:posOffset>
                  </wp:positionH>
                  <wp:positionV relativeFrom="paragraph">
                    <wp:posOffset>0</wp:posOffset>
                  </wp:positionV>
                  <wp:extent cx="659765" cy="504190"/>
                  <wp:effectExtent l="0" t="0" r="0" b="0"/>
                  <wp:wrapNone/>
                  <wp:docPr id="2842" name="ID_E826D4FD2F1D481EA1CFBD3451A51F56_SpCnt_55"/>
                  <wp:cNvGraphicFramePr/>
                  <a:graphic xmlns:a="http://schemas.openxmlformats.org/drawingml/2006/main">
                    <a:graphicData uri="http://schemas.openxmlformats.org/drawingml/2006/picture">
                      <pic:pic xmlns:pic="http://schemas.openxmlformats.org/drawingml/2006/picture">
                        <pic:nvPicPr>
                          <pic:cNvPr id="2842" name="ID_E826D4FD2F1D481EA1CFBD3451A51F56_SpCnt_55"/>
                          <pic:cNvPicPr/>
                        </pic:nvPicPr>
                        <pic:blipFill>
                          <a:blip r:embed="rId13"/>
                          <a:stretch>
                            <a:fillRect/>
                          </a:stretch>
                        </pic:blipFill>
                        <pic:spPr>
                          <a:xfrm>
                            <a:off x="0" y="0"/>
                            <a:ext cx="659765"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5386E7C0">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工业</w:t>
            </w:r>
          </w:p>
        </w:tc>
        <w:tc>
          <w:tcPr>
            <w:tcW w:w="3056" w:type="pct"/>
            <w:shd w:val="clear" w:color="auto" w:fill="auto"/>
            <w:vAlign w:val="center"/>
          </w:tcPr>
          <w:p w14:paraId="6271B94F">
            <w:pPr>
              <w:keepNext w:val="0"/>
              <w:keepLines w:val="0"/>
              <w:widowControl/>
              <w:suppressLineNumbers w:val="0"/>
              <w:jc w:val="left"/>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716280" cy="715010"/>
                  <wp:effectExtent l="0" t="0" r="0" b="0"/>
                  <wp:wrapNone/>
                  <wp:docPr id="536" name="ID_B5BF18E09CFE43799C5EE3D44F45FB47_SpCnt_14"/>
                  <wp:cNvGraphicFramePr/>
                  <a:graphic xmlns:a="http://schemas.openxmlformats.org/drawingml/2006/main">
                    <a:graphicData uri="http://schemas.openxmlformats.org/drawingml/2006/picture">
                      <pic:pic xmlns:pic="http://schemas.openxmlformats.org/drawingml/2006/picture">
                        <pic:nvPicPr>
                          <pic:cNvPr id="536" name="ID_B5BF18E09CFE43799C5EE3D44F45FB47_SpCnt_14"/>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716280" cy="715010"/>
                  <wp:effectExtent l="0" t="0" r="0" b="0"/>
                  <wp:wrapNone/>
                  <wp:docPr id="537" name="ID_DE60E1367F4D47B68B43A253F9DB257F_SpCnt_14"/>
                  <wp:cNvGraphicFramePr/>
                  <a:graphic xmlns:a="http://schemas.openxmlformats.org/drawingml/2006/main">
                    <a:graphicData uri="http://schemas.openxmlformats.org/drawingml/2006/picture">
                      <pic:pic xmlns:pic="http://schemas.openxmlformats.org/drawingml/2006/picture">
                        <pic:nvPicPr>
                          <pic:cNvPr id="537" name="ID_DE60E1367F4D47B68B43A253F9DB257F_SpCnt_14"/>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723265" cy="715010"/>
                  <wp:effectExtent l="0" t="0" r="0" b="0"/>
                  <wp:wrapNone/>
                  <wp:docPr id="538" name="ID_B73E8774DBA24C66A077783CE7B139D0_SpCnt_14"/>
                  <wp:cNvGraphicFramePr/>
                  <a:graphic xmlns:a="http://schemas.openxmlformats.org/drawingml/2006/main">
                    <a:graphicData uri="http://schemas.openxmlformats.org/drawingml/2006/picture">
                      <pic:pic xmlns:pic="http://schemas.openxmlformats.org/drawingml/2006/picture">
                        <pic:nvPicPr>
                          <pic:cNvPr id="538" name="ID_B73E8774DBA24C66A077783CE7B139D0_SpCnt_14"/>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723265" cy="715010"/>
                  <wp:effectExtent l="0" t="0" r="0" b="0"/>
                  <wp:wrapNone/>
                  <wp:docPr id="539" name="ID_CA31AD5AD4A240A69EBE9CEAC8E99D77_SpCnt_14"/>
                  <wp:cNvGraphicFramePr/>
                  <a:graphic xmlns:a="http://schemas.openxmlformats.org/drawingml/2006/main">
                    <a:graphicData uri="http://schemas.openxmlformats.org/drawingml/2006/picture">
                      <pic:pic xmlns:pic="http://schemas.openxmlformats.org/drawingml/2006/picture">
                        <pic:nvPicPr>
                          <pic:cNvPr id="539" name="ID_CA31AD5AD4A240A69EBE9CEAC8E99D77_SpCnt_14"/>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723265" cy="715010"/>
                  <wp:effectExtent l="0" t="0" r="0" b="0"/>
                  <wp:wrapNone/>
                  <wp:docPr id="540" name="ID_E826D4FD2F1D481EA1CFBD3451A51F56_SpCnt_14"/>
                  <wp:cNvGraphicFramePr/>
                  <a:graphic xmlns:a="http://schemas.openxmlformats.org/drawingml/2006/main">
                    <a:graphicData uri="http://schemas.openxmlformats.org/drawingml/2006/picture">
                      <pic:pic xmlns:pic="http://schemas.openxmlformats.org/drawingml/2006/picture">
                        <pic:nvPicPr>
                          <pic:cNvPr id="540" name="ID_E826D4FD2F1D481EA1CFBD3451A51F56_SpCnt_14"/>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08330" cy="542290"/>
                  <wp:effectExtent l="0" t="0" r="0" b="0"/>
                  <wp:wrapNone/>
                  <wp:docPr id="541" name="ID_B5BF18E09CFE43799C5EE3D44F45FB47_SpCnt_15"/>
                  <wp:cNvGraphicFramePr/>
                  <a:graphic xmlns:a="http://schemas.openxmlformats.org/drawingml/2006/main">
                    <a:graphicData uri="http://schemas.openxmlformats.org/drawingml/2006/picture">
                      <pic:pic xmlns:pic="http://schemas.openxmlformats.org/drawingml/2006/picture">
                        <pic:nvPicPr>
                          <pic:cNvPr id="541" name="ID_B5BF18E09CFE43799C5EE3D44F45FB47_SpCnt_15"/>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08330" cy="542290"/>
                  <wp:effectExtent l="0" t="0" r="0" b="0"/>
                  <wp:wrapNone/>
                  <wp:docPr id="542" name="ID_B73E8774DBA24C66A077783CE7B139D0_SpCnt_15"/>
                  <wp:cNvGraphicFramePr/>
                  <a:graphic xmlns:a="http://schemas.openxmlformats.org/drawingml/2006/main">
                    <a:graphicData uri="http://schemas.openxmlformats.org/drawingml/2006/picture">
                      <pic:pic xmlns:pic="http://schemas.openxmlformats.org/drawingml/2006/picture">
                        <pic:nvPicPr>
                          <pic:cNvPr id="542" name="ID_B73E8774DBA24C66A077783CE7B139D0_SpCnt_15"/>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08330" cy="542290"/>
                  <wp:effectExtent l="0" t="0" r="0" b="0"/>
                  <wp:wrapNone/>
                  <wp:docPr id="543" name="ID_CA31AD5AD4A240A69EBE9CEAC8E99D77_SpCnt_15"/>
                  <wp:cNvGraphicFramePr/>
                  <a:graphic xmlns:a="http://schemas.openxmlformats.org/drawingml/2006/main">
                    <a:graphicData uri="http://schemas.openxmlformats.org/drawingml/2006/picture">
                      <pic:pic xmlns:pic="http://schemas.openxmlformats.org/drawingml/2006/picture">
                        <pic:nvPicPr>
                          <pic:cNvPr id="543" name="ID_CA31AD5AD4A240A69EBE9CEAC8E99D77_SpCnt_15"/>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08330" cy="542290"/>
                  <wp:effectExtent l="0" t="0" r="0" b="0"/>
                  <wp:wrapNone/>
                  <wp:docPr id="544" name="ID_DE60E1367F4D47B68B43A253F9DB257F_SpCnt_15"/>
                  <wp:cNvGraphicFramePr/>
                  <a:graphic xmlns:a="http://schemas.openxmlformats.org/drawingml/2006/main">
                    <a:graphicData uri="http://schemas.openxmlformats.org/drawingml/2006/picture">
                      <pic:pic xmlns:pic="http://schemas.openxmlformats.org/drawingml/2006/picture">
                        <pic:nvPicPr>
                          <pic:cNvPr id="544" name="ID_DE60E1367F4D47B68B43A253F9DB257F_SpCnt_15"/>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08330" cy="542290"/>
                  <wp:effectExtent l="0" t="0" r="0" b="0"/>
                  <wp:wrapNone/>
                  <wp:docPr id="545" name="ID_E826D4FD2F1D481EA1CFBD3451A51F56_SpCnt_15"/>
                  <wp:cNvGraphicFramePr/>
                  <a:graphic xmlns:a="http://schemas.openxmlformats.org/drawingml/2006/main">
                    <a:graphicData uri="http://schemas.openxmlformats.org/drawingml/2006/picture">
                      <pic:pic xmlns:pic="http://schemas.openxmlformats.org/drawingml/2006/picture">
                        <pic:nvPicPr>
                          <pic:cNvPr id="545" name="ID_E826D4FD2F1D481EA1CFBD3451A51F56_SpCnt_15"/>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4365" cy="542290"/>
                  <wp:effectExtent l="0" t="0" r="0" b="0"/>
                  <wp:wrapNone/>
                  <wp:docPr id="546" name="图片_19_SpCnt_7"/>
                  <wp:cNvGraphicFramePr/>
                  <a:graphic xmlns:a="http://schemas.openxmlformats.org/drawingml/2006/main">
                    <a:graphicData uri="http://schemas.openxmlformats.org/drawingml/2006/picture">
                      <pic:pic xmlns:pic="http://schemas.openxmlformats.org/drawingml/2006/picture">
                        <pic:nvPicPr>
                          <pic:cNvPr id="546" name="图片_19_SpCnt_7"/>
                          <pic:cNvPicPr/>
                        </pic:nvPicPr>
                        <pic:blipFill>
                          <a:blip r:embed="rId13"/>
                          <a:stretch>
                            <a:fillRect/>
                          </a:stretch>
                        </pic:blipFill>
                        <pic:spPr>
                          <a:xfrm>
                            <a:off x="0" y="0"/>
                            <a:ext cx="634365"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4365" cy="539750"/>
                  <wp:effectExtent l="0" t="0" r="0" b="0"/>
                  <wp:wrapNone/>
                  <wp:docPr id="547" name="图片_18_SpCnt_11"/>
                  <wp:cNvGraphicFramePr/>
                  <a:graphic xmlns:a="http://schemas.openxmlformats.org/drawingml/2006/main">
                    <a:graphicData uri="http://schemas.openxmlformats.org/drawingml/2006/picture">
                      <pic:pic xmlns:pic="http://schemas.openxmlformats.org/drawingml/2006/picture">
                        <pic:nvPicPr>
                          <pic:cNvPr id="547" name="图片_18_SpCnt_11"/>
                          <pic:cNvPicPr/>
                        </pic:nvPicPr>
                        <pic:blipFill>
                          <a:blip r:embed="rId13"/>
                          <a:stretch>
                            <a:fillRect/>
                          </a:stretch>
                        </pic:blipFill>
                        <pic:spPr>
                          <a:xfrm>
                            <a:off x="0" y="0"/>
                            <a:ext cx="634365" cy="53975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718820" cy="715645"/>
                  <wp:effectExtent l="0" t="0" r="0" b="0"/>
                  <wp:wrapNone/>
                  <wp:docPr id="548" name="图片_18_SpCnt_12"/>
                  <wp:cNvGraphicFramePr/>
                  <a:graphic xmlns:a="http://schemas.openxmlformats.org/drawingml/2006/main">
                    <a:graphicData uri="http://schemas.openxmlformats.org/drawingml/2006/picture">
                      <pic:pic xmlns:pic="http://schemas.openxmlformats.org/drawingml/2006/picture">
                        <pic:nvPicPr>
                          <pic:cNvPr id="548" name="图片_18_SpCnt_12"/>
                          <pic:cNvPicPr/>
                        </pic:nvPicPr>
                        <pic:blipFill>
                          <a:blip r:embed="rId13"/>
                          <a:stretch>
                            <a:fillRect/>
                          </a:stretch>
                        </pic:blipFill>
                        <pic:spPr>
                          <a:xfrm>
                            <a:off x="0" y="0"/>
                            <a:ext cx="718820" cy="715645"/>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39750" cy="538480"/>
                  <wp:effectExtent l="0" t="0" r="0" b="0"/>
                  <wp:wrapNone/>
                  <wp:docPr id="549" name="图片_743"/>
                  <wp:cNvGraphicFramePr/>
                  <a:graphic xmlns:a="http://schemas.openxmlformats.org/drawingml/2006/main">
                    <a:graphicData uri="http://schemas.openxmlformats.org/drawingml/2006/picture">
                      <pic:pic xmlns:pic="http://schemas.openxmlformats.org/drawingml/2006/picture">
                        <pic:nvPicPr>
                          <pic:cNvPr id="549" name="图片_743"/>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39750" cy="538480"/>
                  <wp:effectExtent l="0" t="0" r="0" b="0"/>
                  <wp:wrapNone/>
                  <wp:docPr id="550" name="图片_744"/>
                  <wp:cNvGraphicFramePr/>
                  <a:graphic xmlns:a="http://schemas.openxmlformats.org/drawingml/2006/main">
                    <a:graphicData uri="http://schemas.openxmlformats.org/drawingml/2006/picture">
                      <pic:pic xmlns:pic="http://schemas.openxmlformats.org/drawingml/2006/picture">
                        <pic:nvPicPr>
                          <pic:cNvPr id="550" name="图片_744"/>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4365" cy="544195"/>
                  <wp:effectExtent l="0" t="0" r="0" b="0"/>
                  <wp:wrapNone/>
                  <wp:docPr id="551" name="图片_740"/>
                  <wp:cNvGraphicFramePr/>
                  <a:graphic xmlns:a="http://schemas.openxmlformats.org/drawingml/2006/main">
                    <a:graphicData uri="http://schemas.openxmlformats.org/drawingml/2006/picture">
                      <pic:pic xmlns:pic="http://schemas.openxmlformats.org/drawingml/2006/picture">
                        <pic:nvPicPr>
                          <pic:cNvPr id="551" name="图片_740"/>
                          <pic:cNvPicPr/>
                        </pic:nvPicPr>
                        <pic:blipFill>
                          <a:blip r:embed="rId13"/>
                          <a:stretch>
                            <a:fillRect/>
                          </a:stretch>
                        </pic:blipFill>
                        <pic:spPr>
                          <a:xfrm>
                            <a:off x="0" y="0"/>
                            <a:ext cx="634365" cy="544195"/>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720090" cy="717550"/>
                  <wp:effectExtent l="0" t="0" r="0" b="0"/>
                  <wp:wrapNone/>
                  <wp:docPr id="552" name="图片_18_SpCnt_13"/>
                  <wp:cNvGraphicFramePr/>
                  <a:graphic xmlns:a="http://schemas.openxmlformats.org/drawingml/2006/main">
                    <a:graphicData uri="http://schemas.openxmlformats.org/drawingml/2006/picture">
                      <pic:pic xmlns:pic="http://schemas.openxmlformats.org/drawingml/2006/picture">
                        <pic:nvPicPr>
                          <pic:cNvPr id="552" name="图片_18_SpCnt_13"/>
                          <pic:cNvPicPr/>
                        </pic:nvPicPr>
                        <pic:blipFill>
                          <a:blip r:embed="rId13"/>
                          <a:stretch>
                            <a:fillRect/>
                          </a:stretch>
                        </pic:blipFill>
                        <pic:spPr>
                          <a:xfrm>
                            <a:off x="0" y="0"/>
                            <a:ext cx="720090" cy="71755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39750" cy="538480"/>
                  <wp:effectExtent l="0" t="0" r="0" b="0"/>
                  <wp:wrapNone/>
                  <wp:docPr id="553" name="图片_742"/>
                  <wp:cNvGraphicFramePr/>
                  <a:graphic xmlns:a="http://schemas.openxmlformats.org/drawingml/2006/main">
                    <a:graphicData uri="http://schemas.openxmlformats.org/drawingml/2006/picture">
                      <pic:pic xmlns:pic="http://schemas.openxmlformats.org/drawingml/2006/picture">
                        <pic:nvPicPr>
                          <pic:cNvPr id="553" name="图片_742"/>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503555</wp:posOffset>
                  </wp:positionH>
                  <wp:positionV relativeFrom="paragraph">
                    <wp:posOffset>0</wp:posOffset>
                  </wp:positionV>
                  <wp:extent cx="634365" cy="539750"/>
                  <wp:effectExtent l="0" t="0" r="0" b="0"/>
                  <wp:wrapNone/>
                  <wp:docPr id="554" name="图片_18_SpCnt_14"/>
                  <wp:cNvGraphicFramePr/>
                  <a:graphic xmlns:a="http://schemas.openxmlformats.org/drawingml/2006/main">
                    <a:graphicData uri="http://schemas.openxmlformats.org/drawingml/2006/picture">
                      <pic:pic xmlns:pic="http://schemas.openxmlformats.org/drawingml/2006/picture">
                        <pic:nvPicPr>
                          <pic:cNvPr id="554" name="图片_18_SpCnt_14"/>
                          <pic:cNvPicPr/>
                        </pic:nvPicPr>
                        <pic:blipFill>
                          <a:blip r:embed="rId13"/>
                          <a:stretch>
                            <a:fillRect/>
                          </a:stretch>
                        </pic:blipFill>
                        <pic:spPr>
                          <a:xfrm>
                            <a:off x="0" y="0"/>
                            <a:ext cx="634365" cy="53975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570230</wp:posOffset>
                  </wp:positionH>
                  <wp:positionV relativeFrom="paragraph">
                    <wp:posOffset>0</wp:posOffset>
                  </wp:positionV>
                  <wp:extent cx="725805" cy="715010"/>
                  <wp:effectExtent l="0" t="0" r="0" b="0"/>
                  <wp:wrapNone/>
                  <wp:docPr id="555" name="ID_B73E8774DBA24C66A077783CE7B139D0_SpCnt_16"/>
                  <wp:cNvGraphicFramePr/>
                  <a:graphic xmlns:a="http://schemas.openxmlformats.org/drawingml/2006/main">
                    <a:graphicData uri="http://schemas.openxmlformats.org/drawingml/2006/picture">
                      <pic:pic xmlns:pic="http://schemas.openxmlformats.org/drawingml/2006/picture">
                        <pic:nvPicPr>
                          <pic:cNvPr id="555" name="ID_B73E8774DBA24C66A077783CE7B139D0_SpCnt_16"/>
                          <pic:cNvPicPr/>
                        </pic:nvPicPr>
                        <pic:blipFill>
                          <a:blip r:embed="rId13"/>
                          <a:stretch>
                            <a:fillRect/>
                          </a:stretch>
                        </pic:blipFill>
                        <pic:spPr>
                          <a:xfrm>
                            <a:off x="0" y="0"/>
                            <a:ext cx="72580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579120</wp:posOffset>
                  </wp:positionH>
                  <wp:positionV relativeFrom="paragraph">
                    <wp:posOffset>0</wp:posOffset>
                  </wp:positionV>
                  <wp:extent cx="716915" cy="715010"/>
                  <wp:effectExtent l="0" t="0" r="0" b="0"/>
                  <wp:wrapNone/>
                  <wp:docPr id="556" name="ID_B5BF18E09CFE43799C5EE3D44F45FB47_SpCnt_16"/>
                  <wp:cNvGraphicFramePr/>
                  <a:graphic xmlns:a="http://schemas.openxmlformats.org/drawingml/2006/main">
                    <a:graphicData uri="http://schemas.openxmlformats.org/drawingml/2006/picture">
                      <pic:pic xmlns:pic="http://schemas.openxmlformats.org/drawingml/2006/picture">
                        <pic:nvPicPr>
                          <pic:cNvPr id="556" name="ID_B5BF18E09CFE43799C5EE3D44F45FB47_SpCnt_16"/>
                          <pic:cNvPicPr/>
                        </pic:nvPicPr>
                        <pic:blipFill>
                          <a:blip r:embed="rId13"/>
                          <a:stretch>
                            <a:fillRect/>
                          </a:stretch>
                        </pic:blipFill>
                        <pic:spPr>
                          <a:xfrm>
                            <a:off x="0" y="0"/>
                            <a:ext cx="71691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580390</wp:posOffset>
                  </wp:positionH>
                  <wp:positionV relativeFrom="paragraph">
                    <wp:posOffset>0</wp:posOffset>
                  </wp:positionV>
                  <wp:extent cx="596900" cy="504190"/>
                  <wp:effectExtent l="0" t="0" r="0" b="0"/>
                  <wp:wrapNone/>
                  <wp:docPr id="557" name="ID_B73E8774DBA24C66A077783CE7B139D0_SpCnt_17"/>
                  <wp:cNvGraphicFramePr/>
                  <a:graphic xmlns:a="http://schemas.openxmlformats.org/drawingml/2006/main">
                    <a:graphicData uri="http://schemas.openxmlformats.org/drawingml/2006/picture">
                      <pic:pic xmlns:pic="http://schemas.openxmlformats.org/drawingml/2006/picture">
                        <pic:nvPicPr>
                          <pic:cNvPr id="557" name="ID_B73E8774DBA24C66A077783CE7B139D0_SpCnt_17"/>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578485</wp:posOffset>
                  </wp:positionH>
                  <wp:positionV relativeFrom="paragraph">
                    <wp:posOffset>0</wp:posOffset>
                  </wp:positionV>
                  <wp:extent cx="596900" cy="504190"/>
                  <wp:effectExtent l="0" t="0" r="0" b="0"/>
                  <wp:wrapNone/>
                  <wp:docPr id="558" name="ID_B5BF18E09CFE43799C5EE3D44F45FB47_SpCnt_17"/>
                  <wp:cNvGraphicFramePr/>
                  <a:graphic xmlns:a="http://schemas.openxmlformats.org/drawingml/2006/main">
                    <a:graphicData uri="http://schemas.openxmlformats.org/drawingml/2006/picture">
                      <pic:pic xmlns:pic="http://schemas.openxmlformats.org/drawingml/2006/picture">
                        <pic:nvPicPr>
                          <pic:cNvPr id="558" name="ID_B5BF18E09CFE43799C5EE3D44F45FB47_SpCnt_17"/>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573405</wp:posOffset>
                  </wp:positionH>
                  <wp:positionV relativeFrom="paragraph">
                    <wp:posOffset>0</wp:posOffset>
                  </wp:positionV>
                  <wp:extent cx="596900" cy="504190"/>
                  <wp:effectExtent l="0" t="0" r="0" b="0"/>
                  <wp:wrapNone/>
                  <wp:docPr id="559" name="ID_B73E8774DBA24C66A077783CE7B139D0_SpCnt_18"/>
                  <wp:cNvGraphicFramePr/>
                  <a:graphic xmlns:a="http://schemas.openxmlformats.org/drawingml/2006/main">
                    <a:graphicData uri="http://schemas.openxmlformats.org/drawingml/2006/picture">
                      <pic:pic xmlns:pic="http://schemas.openxmlformats.org/drawingml/2006/picture">
                        <pic:nvPicPr>
                          <pic:cNvPr id="559" name="ID_B73E8774DBA24C66A077783CE7B139D0_SpCnt_18"/>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585470</wp:posOffset>
                  </wp:positionH>
                  <wp:positionV relativeFrom="paragraph">
                    <wp:posOffset>0</wp:posOffset>
                  </wp:positionV>
                  <wp:extent cx="596900" cy="504190"/>
                  <wp:effectExtent l="0" t="0" r="0" b="0"/>
                  <wp:wrapNone/>
                  <wp:docPr id="560" name="ID_B5BF18E09CFE43799C5EE3D44F45FB47_SpCnt_18"/>
                  <wp:cNvGraphicFramePr/>
                  <a:graphic xmlns:a="http://schemas.openxmlformats.org/drawingml/2006/main">
                    <a:graphicData uri="http://schemas.openxmlformats.org/drawingml/2006/picture">
                      <pic:pic xmlns:pic="http://schemas.openxmlformats.org/drawingml/2006/picture">
                        <pic:nvPicPr>
                          <pic:cNvPr id="560" name="ID_B5BF18E09CFE43799C5EE3D44F45FB47_SpCnt_18"/>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588645</wp:posOffset>
                  </wp:positionH>
                  <wp:positionV relativeFrom="paragraph">
                    <wp:posOffset>0</wp:posOffset>
                  </wp:positionV>
                  <wp:extent cx="596900" cy="504190"/>
                  <wp:effectExtent l="0" t="0" r="0" b="0"/>
                  <wp:wrapNone/>
                  <wp:docPr id="561" name="ID_B73E8774DBA24C66A077783CE7B139D0_SpCnt_19"/>
                  <wp:cNvGraphicFramePr/>
                  <a:graphic xmlns:a="http://schemas.openxmlformats.org/drawingml/2006/main">
                    <a:graphicData uri="http://schemas.openxmlformats.org/drawingml/2006/picture">
                      <pic:pic xmlns:pic="http://schemas.openxmlformats.org/drawingml/2006/picture">
                        <pic:nvPicPr>
                          <pic:cNvPr id="561" name="ID_B73E8774DBA24C66A077783CE7B139D0_SpCnt_19"/>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594995</wp:posOffset>
                  </wp:positionH>
                  <wp:positionV relativeFrom="paragraph">
                    <wp:posOffset>0</wp:posOffset>
                  </wp:positionV>
                  <wp:extent cx="723265" cy="715010"/>
                  <wp:effectExtent l="0" t="0" r="0" b="0"/>
                  <wp:wrapNone/>
                  <wp:docPr id="562" name="ID_E826D4FD2F1D481EA1CFBD3451A51F56_SpCnt_16"/>
                  <wp:cNvGraphicFramePr/>
                  <a:graphic xmlns:a="http://schemas.openxmlformats.org/drawingml/2006/main">
                    <a:graphicData uri="http://schemas.openxmlformats.org/drawingml/2006/picture">
                      <pic:pic xmlns:pic="http://schemas.openxmlformats.org/drawingml/2006/picture">
                        <pic:nvPicPr>
                          <pic:cNvPr id="562" name="ID_E826D4FD2F1D481EA1CFBD3451A51F56_SpCnt_16"/>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594995</wp:posOffset>
                  </wp:positionH>
                  <wp:positionV relativeFrom="paragraph">
                    <wp:posOffset>0</wp:posOffset>
                  </wp:positionV>
                  <wp:extent cx="716280" cy="715010"/>
                  <wp:effectExtent l="0" t="0" r="0" b="0"/>
                  <wp:wrapNone/>
                  <wp:docPr id="563" name="ID_DE60E1367F4D47B68B43A253F9DB257F_SpCnt_16"/>
                  <wp:cNvGraphicFramePr/>
                  <a:graphic xmlns:a="http://schemas.openxmlformats.org/drawingml/2006/main">
                    <a:graphicData uri="http://schemas.openxmlformats.org/drawingml/2006/picture">
                      <pic:pic xmlns:pic="http://schemas.openxmlformats.org/drawingml/2006/picture">
                        <pic:nvPicPr>
                          <pic:cNvPr id="563" name="ID_DE60E1367F4D47B68B43A253F9DB257F_SpCnt_16"/>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594995</wp:posOffset>
                  </wp:positionH>
                  <wp:positionV relativeFrom="paragraph">
                    <wp:posOffset>0</wp:posOffset>
                  </wp:positionV>
                  <wp:extent cx="723265" cy="715010"/>
                  <wp:effectExtent l="0" t="0" r="0" b="0"/>
                  <wp:wrapNone/>
                  <wp:docPr id="564" name="ID_CA31AD5AD4A240A69EBE9CEAC8E99D77_SpCnt_16"/>
                  <wp:cNvGraphicFramePr/>
                  <a:graphic xmlns:a="http://schemas.openxmlformats.org/drawingml/2006/main">
                    <a:graphicData uri="http://schemas.openxmlformats.org/drawingml/2006/picture">
                      <pic:pic xmlns:pic="http://schemas.openxmlformats.org/drawingml/2006/picture">
                        <pic:nvPicPr>
                          <pic:cNvPr id="564" name="ID_CA31AD5AD4A240A69EBE9CEAC8E99D77_SpCnt_16"/>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596265</wp:posOffset>
                  </wp:positionH>
                  <wp:positionV relativeFrom="paragraph">
                    <wp:posOffset>0</wp:posOffset>
                  </wp:positionV>
                  <wp:extent cx="596900" cy="504190"/>
                  <wp:effectExtent l="0" t="0" r="0" b="0"/>
                  <wp:wrapNone/>
                  <wp:docPr id="565" name="ID_CA31AD5AD4A240A69EBE9CEAC8E99D77_SpCnt_17"/>
                  <wp:cNvGraphicFramePr/>
                  <a:graphic xmlns:a="http://schemas.openxmlformats.org/drawingml/2006/main">
                    <a:graphicData uri="http://schemas.openxmlformats.org/drawingml/2006/picture">
                      <pic:pic xmlns:pic="http://schemas.openxmlformats.org/drawingml/2006/picture">
                        <pic:nvPicPr>
                          <pic:cNvPr id="565" name="ID_CA31AD5AD4A240A69EBE9CEAC8E99D77_SpCnt_17"/>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593090</wp:posOffset>
                  </wp:positionH>
                  <wp:positionV relativeFrom="paragraph">
                    <wp:posOffset>0</wp:posOffset>
                  </wp:positionV>
                  <wp:extent cx="596900" cy="504190"/>
                  <wp:effectExtent l="0" t="0" r="0" b="0"/>
                  <wp:wrapNone/>
                  <wp:docPr id="566" name="ID_DE60E1367F4D47B68B43A253F9DB257F_SpCnt_17"/>
                  <wp:cNvGraphicFramePr/>
                  <a:graphic xmlns:a="http://schemas.openxmlformats.org/drawingml/2006/main">
                    <a:graphicData uri="http://schemas.openxmlformats.org/drawingml/2006/picture">
                      <pic:pic xmlns:pic="http://schemas.openxmlformats.org/drawingml/2006/picture">
                        <pic:nvPicPr>
                          <pic:cNvPr id="566" name="ID_DE60E1367F4D47B68B43A253F9DB257F_SpCnt_17"/>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596265</wp:posOffset>
                  </wp:positionH>
                  <wp:positionV relativeFrom="paragraph">
                    <wp:posOffset>0</wp:posOffset>
                  </wp:positionV>
                  <wp:extent cx="596900" cy="504190"/>
                  <wp:effectExtent l="0" t="0" r="0" b="0"/>
                  <wp:wrapNone/>
                  <wp:docPr id="567" name="ID_E826D4FD2F1D481EA1CFBD3451A51F56_SpCnt_17"/>
                  <wp:cNvGraphicFramePr/>
                  <a:graphic xmlns:a="http://schemas.openxmlformats.org/drawingml/2006/main">
                    <a:graphicData uri="http://schemas.openxmlformats.org/drawingml/2006/picture">
                      <pic:pic xmlns:pic="http://schemas.openxmlformats.org/drawingml/2006/picture">
                        <pic:nvPicPr>
                          <pic:cNvPr id="567" name="ID_E826D4FD2F1D481EA1CFBD3451A51F56_SpCnt_17"/>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593725</wp:posOffset>
                  </wp:positionH>
                  <wp:positionV relativeFrom="paragraph">
                    <wp:posOffset>0</wp:posOffset>
                  </wp:positionV>
                  <wp:extent cx="596900" cy="504190"/>
                  <wp:effectExtent l="0" t="0" r="0" b="0"/>
                  <wp:wrapNone/>
                  <wp:docPr id="568" name="ID_B5BF18E09CFE43799C5EE3D44F45FB47_SpCnt_19"/>
                  <wp:cNvGraphicFramePr/>
                  <a:graphic xmlns:a="http://schemas.openxmlformats.org/drawingml/2006/main">
                    <a:graphicData uri="http://schemas.openxmlformats.org/drawingml/2006/picture">
                      <pic:pic xmlns:pic="http://schemas.openxmlformats.org/drawingml/2006/picture">
                        <pic:nvPicPr>
                          <pic:cNvPr id="568" name="ID_B5BF18E09CFE43799C5EE3D44F45FB47_SpCnt_19"/>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597535</wp:posOffset>
                  </wp:positionH>
                  <wp:positionV relativeFrom="paragraph">
                    <wp:posOffset>0</wp:posOffset>
                  </wp:positionV>
                  <wp:extent cx="634365" cy="542290"/>
                  <wp:effectExtent l="0" t="0" r="0" b="0"/>
                  <wp:wrapNone/>
                  <wp:docPr id="569" name="图片_19_SpCnt_8"/>
                  <wp:cNvGraphicFramePr/>
                  <a:graphic xmlns:a="http://schemas.openxmlformats.org/drawingml/2006/main">
                    <a:graphicData uri="http://schemas.openxmlformats.org/drawingml/2006/picture">
                      <pic:pic xmlns:pic="http://schemas.openxmlformats.org/drawingml/2006/picture">
                        <pic:nvPicPr>
                          <pic:cNvPr id="569" name="图片_19_SpCnt_8"/>
                          <pic:cNvPicPr/>
                        </pic:nvPicPr>
                        <pic:blipFill>
                          <a:blip r:embed="rId13"/>
                          <a:stretch>
                            <a:fillRect/>
                          </a:stretch>
                        </pic:blipFill>
                        <pic:spPr>
                          <a:xfrm>
                            <a:off x="0" y="0"/>
                            <a:ext cx="634365"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600075</wp:posOffset>
                  </wp:positionH>
                  <wp:positionV relativeFrom="paragraph">
                    <wp:posOffset>0</wp:posOffset>
                  </wp:positionV>
                  <wp:extent cx="596900" cy="504190"/>
                  <wp:effectExtent l="0" t="0" r="0" b="0"/>
                  <wp:wrapNone/>
                  <wp:docPr id="570" name="ID_DE60E1367F4D47B68B43A253F9DB257F_SpCnt_18"/>
                  <wp:cNvGraphicFramePr/>
                  <a:graphic xmlns:a="http://schemas.openxmlformats.org/drawingml/2006/main">
                    <a:graphicData uri="http://schemas.openxmlformats.org/drawingml/2006/picture">
                      <pic:pic xmlns:pic="http://schemas.openxmlformats.org/drawingml/2006/picture">
                        <pic:nvPicPr>
                          <pic:cNvPr id="570" name="ID_DE60E1367F4D47B68B43A253F9DB257F_SpCnt_18"/>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603250</wp:posOffset>
                  </wp:positionH>
                  <wp:positionV relativeFrom="paragraph">
                    <wp:posOffset>0</wp:posOffset>
                  </wp:positionV>
                  <wp:extent cx="596900" cy="504190"/>
                  <wp:effectExtent l="0" t="0" r="0" b="0"/>
                  <wp:wrapNone/>
                  <wp:docPr id="571" name="ID_CA31AD5AD4A240A69EBE9CEAC8E99D77_SpCnt_18"/>
                  <wp:cNvGraphicFramePr/>
                  <a:graphic xmlns:a="http://schemas.openxmlformats.org/drawingml/2006/main">
                    <a:graphicData uri="http://schemas.openxmlformats.org/drawingml/2006/picture">
                      <pic:pic xmlns:pic="http://schemas.openxmlformats.org/drawingml/2006/picture">
                        <pic:nvPicPr>
                          <pic:cNvPr id="571" name="ID_CA31AD5AD4A240A69EBE9CEAC8E99D77_SpCnt_18"/>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603250</wp:posOffset>
                  </wp:positionH>
                  <wp:positionV relativeFrom="paragraph">
                    <wp:posOffset>0</wp:posOffset>
                  </wp:positionV>
                  <wp:extent cx="596900" cy="504190"/>
                  <wp:effectExtent l="0" t="0" r="0" b="0"/>
                  <wp:wrapNone/>
                  <wp:docPr id="572" name="ID_E826D4FD2F1D481EA1CFBD3451A51F56_SpCnt_18"/>
                  <wp:cNvGraphicFramePr/>
                  <a:graphic xmlns:a="http://schemas.openxmlformats.org/drawingml/2006/main">
                    <a:graphicData uri="http://schemas.openxmlformats.org/drawingml/2006/picture">
                      <pic:pic xmlns:pic="http://schemas.openxmlformats.org/drawingml/2006/picture">
                        <pic:nvPicPr>
                          <pic:cNvPr id="572" name="ID_E826D4FD2F1D481EA1CFBD3451A51F56_SpCnt_18"/>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608330</wp:posOffset>
                  </wp:positionH>
                  <wp:positionV relativeFrom="paragraph">
                    <wp:posOffset>0</wp:posOffset>
                  </wp:positionV>
                  <wp:extent cx="596900" cy="504190"/>
                  <wp:effectExtent l="0" t="0" r="0" b="0"/>
                  <wp:wrapNone/>
                  <wp:docPr id="573" name="ID_DE60E1367F4D47B68B43A253F9DB257F_SpCnt_19"/>
                  <wp:cNvGraphicFramePr/>
                  <a:graphic xmlns:a="http://schemas.openxmlformats.org/drawingml/2006/main">
                    <a:graphicData uri="http://schemas.openxmlformats.org/drawingml/2006/picture">
                      <pic:pic xmlns:pic="http://schemas.openxmlformats.org/drawingml/2006/picture">
                        <pic:nvPicPr>
                          <pic:cNvPr id="573" name="ID_DE60E1367F4D47B68B43A253F9DB257F_SpCnt_19"/>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611505</wp:posOffset>
                  </wp:positionH>
                  <wp:positionV relativeFrom="paragraph">
                    <wp:posOffset>0</wp:posOffset>
                  </wp:positionV>
                  <wp:extent cx="596900" cy="504190"/>
                  <wp:effectExtent l="0" t="0" r="0" b="0"/>
                  <wp:wrapNone/>
                  <wp:docPr id="574" name="ID_CA31AD5AD4A240A69EBE9CEAC8E99D77_SpCnt_19"/>
                  <wp:cNvGraphicFramePr/>
                  <a:graphic xmlns:a="http://schemas.openxmlformats.org/drawingml/2006/main">
                    <a:graphicData uri="http://schemas.openxmlformats.org/drawingml/2006/picture">
                      <pic:pic xmlns:pic="http://schemas.openxmlformats.org/drawingml/2006/picture">
                        <pic:nvPicPr>
                          <pic:cNvPr id="574" name="ID_CA31AD5AD4A240A69EBE9CEAC8E99D77_SpCnt_19"/>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611505</wp:posOffset>
                  </wp:positionH>
                  <wp:positionV relativeFrom="paragraph">
                    <wp:posOffset>0</wp:posOffset>
                  </wp:positionV>
                  <wp:extent cx="596900" cy="504190"/>
                  <wp:effectExtent l="0" t="0" r="0" b="0"/>
                  <wp:wrapNone/>
                  <wp:docPr id="575" name="ID_E826D4FD2F1D481EA1CFBD3451A51F56_SpCnt_19"/>
                  <wp:cNvGraphicFramePr/>
                  <a:graphic xmlns:a="http://schemas.openxmlformats.org/drawingml/2006/main">
                    <a:graphicData uri="http://schemas.openxmlformats.org/drawingml/2006/picture">
                      <pic:pic xmlns:pic="http://schemas.openxmlformats.org/drawingml/2006/picture">
                        <pic:nvPicPr>
                          <pic:cNvPr id="575" name="ID_E826D4FD2F1D481EA1CFBD3451A51F56_SpCnt_19"/>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663575</wp:posOffset>
                  </wp:positionH>
                  <wp:positionV relativeFrom="paragraph">
                    <wp:posOffset>0</wp:posOffset>
                  </wp:positionV>
                  <wp:extent cx="654685" cy="647700"/>
                  <wp:effectExtent l="0" t="0" r="0" b="0"/>
                  <wp:wrapNone/>
                  <wp:docPr id="576" name="ID_B5BF18E09CFE43799C5EE3D44F45FB47_SpCnt_20"/>
                  <wp:cNvGraphicFramePr/>
                  <a:graphic xmlns:a="http://schemas.openxmlformats.org/drawingml/2006/main">
                    <a:graphicData uri="http://schemas.openxmlformats.org/drawingml/2006/picture">
                      <pic:pic xmlns:pic="http://schemas.openxmlformats.org/drawingml/2006/picture">
                        <pic:nvPicPr>
                          <pic:cNvPr id="576" name="ID_B5BF18E09CFE43799C5EE3D44F45FB47_SpCnt_20"/>
                          <pic:cNvPicPr/>
                        </pic:nvPicPr>
                        <pic:blipFill>
                          <a:blip r:embed="rId13"/>
                          <a:stretch>
                            <a:fillRect/>
                          </a:stretch>
                        </pic:blipFill>
                        <pic:spPr>
                          <a:xfrm>
                            <a:off x="0" y="0"/>
                            <a:ext cx="654685"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663575</wp:posOffset>
                  </wp:positionH>
                  <wp:positionV relativeFrom="paragraph">
                    <wp:posOffset>0</wp:posOffset>
                  </wp:positionV>
                  <wp:extent cx="647700" cy="647700"/>
                  <wp:effectExtent l="0" t="0" r="0" b="0"/>
                  <wp:wrapNone/>
                  <wp:docPr id="577" name="ID_B73E8774DBA24C66A077783CE7B139D0_SpCnt_20"/>
                  <wp:cNvGraphicFramePr/>
                  <a:graphic xmlns:a="http://schemas.openxmlformats.org/drawingml/2006/main">
                    <a:graphicData uri="http://schemas.openxmlformats.org/drawingml/2006/picture">
                      <pic:pic xmlns:pic="http://schemas.openxmlformats.org/drawingml/2006/picture">
                        <pic:nvPicPr>
                          <pic:cNvPr id="577" name="ID_B73E8774DBA24C66A077783CE7B139D0_SpCnt_20"/>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678815</wp:posOffset>
                  </wp:positionH>
                  <wp:positionV relativeFrom="paragraph">
                    <wp:posOffset>0</wp:posOffset>
                  </wp:positionV>
                  <wp:extent cx="645795" cy="647700"/>
                  <wp:effectExtent l="0" t="0" r="0" b="0"/>
                  <wp:wrapNone/>
                  <wp:docPr id="578" name="ID_DE60E1367F4D47B68B43A253F9DB257F_SpCnt_20"/>
                  <wp:cNvGraphicFramePr/>
                  <a:graphic xmlns:a="http://schemas.openxmlformats.org/drawingml/2006/main">
                    <a:graphicData uri="http://schemas.openxmlformats.org/drawingml/2006/picture">
                      <pic:pic xmlns:pic="http://schemas.openxmlformats.org/drawingml/2006/picture">
                        <pic:nvPicPr>
                          <pic:cNvPr id="578" name="ID_DE60E1367F4D47B68B43A253F9DB257F_SpCnt_20"/>
                          <pic:cNvPicPr/>
                        </pic:nvPicPr>
                        <pic:blipFill>
                          <a:blip r:embed="rId13"/>
                          <a:stretch>
                            <a:fillRect/>
                          </a:stretch>
                        </pic:blipFill>
                        <pic:spPr>
                          <a:xfrm>
                            <a:off x="0" y="0"/>
                            <a:ext cx="645795"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685800</wp:posOffset>
                  </wp:positionH>
                  <wp:positionV relativeFrom="paragraph">
                    <wp:posOffset>0</wp:posOffset>
                  </wp:positionV>
                  <wp:extent cx="647700" cy="647700"/>
                  <wp:effectExtent l="0" t="0" r="0" b="0"/>
                  <wp:wrapNone/>
                  <wp:docPr id="579" name="ID_CA31AD5AD4A240A69EBE9CEAC8E99D77_SpCnt_20"/>
                  <wp:cNvGraphicFramePr/>
                  <a:graphic xmlns:a="http://schemas.openxmlformats.org/drawingml/2006/main">
                    <a:graphicData uri="http://schemas.openxmlformats.org/drawingml/2006/picture">
                      <pic:pic xmlns:pic="http://schemas.openxmlformats.org/drawingml/2006/picture">
                        <pic:nvPicPr>
                          <pic:cNvPr id="579" name="ID_CA31AD5AD4A240A69EBE9CEAC8E99D77_SpCnt_20"/>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685800</wp:posOffset>
                  </wp:positionH>
                  <wp:positionV relativeFrom="paragraph">
                    <wp:posOffset>0</wp:posOffset>
                  </wp:positionV>
                  <wp:extent cx="647700" cy="647700"/>
                  <wp:effectExtent l="0" t="0" r="0" b="0"/>
                  <wp:wrapNone/>
                  <wp:docPr id="580" name="ID_E826D4FD2F1D481EA1CFBD3451A51F56_SpCnt_20"/>
                  <wp:cNvGraphicFramePr/>
                  <a:graphic xmlns:a="http://schemas.openxmlformats.org/drawingml/2006/main">
                    <a:graphicData uri="http://schemas.openxmlformats.org/drawingml/2006/picture">
                      <pic:pic xmlns:pic="http://schemas.openxmlformats.org/drawingml/2006/picture">
                        <pic:nvPicPr>
                          <pic:cNvPr id="580" name="ID_E826D4FD2F1D481EA1CFBD3451A51F56_SpCnt_20"/>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t>材质：平衡板--椴木夹板、底座板和星球粒子--密度板；</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规格：260*260*180mm.内含16个平衡积木块。中间吊板直径18*0.5cm，支撑圆盘直径26*1.2cm。</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产品木头部分湿度小于14度，夹板边缘光滑，星球粒子倒R1圆边，不割手。</w:t>
            </w:r>
          </w:p>
        </w:tc>
      </w:tr>
      <w:tr w14:paraId="74081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59A656AA">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82</w:t>
            </w:r>
          </w:p>
        </w:tc>
        <w:tc>
          <w:tcPr>
            <w:tcW w:w="744" w:type="pct"/>
            <w:shd w:val="clear" w:color="auto" w:fill="auto"/>
            <w:vAlign w:val="center"/>
          </w:tcPr>
          <w:p w14:paraId="094A56D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bdr w:val="single" w:color="000000" w:sz="4" w:space="0"/>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4365" cy="539750"/>
                  <wp:effectExtent l="0" t="0" r="0" b="0"/>
                  <wp:wrapNone/>
                  <wp:docPr id="362" name="图片_18"/>
                  <wp:cNvGraphicFramePr/>
                  <a:graphic xmlns:a="http://schemas.openxmlformats.org/drawingml/2006/main">
                    <a:graphicData uri="http://schemas.openxmlformats.org/drawingml/2006/picture">
                      <pic:pic xmlns:pic="http://schemas.openxmlformats.org/drawingml/2006/picture">
                        <pic:nvPicPr>
                          <pic:cNvPr id="362" name="图片_18"/>
                          <pic:cNvPicPr/>
                        </pic:nvPicPr>
                        <pic:blipFill>
                          <a:blip r:embed="rId13"/>
                          <a:stretch>
                            <a:fillRect/>
                          </a:stretch>
                        </pic:blipFill>
                        <pic:spPr>
                          <a:xfrm>
                            <a:off x="0" y="0"/>
                            <a:ext cx="634365" cy="5397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4365" cy="542290"/>
                  <wp:effectExtent l="0" t="0" r="0" b="0"/>
                  <wp:wrapNone/>
                  <wp:docPr id="363" name="图片_19"/>
                  <wp:cNvGraphicFramePr/>
                  <a:graphic xmlns:a="http://schemas.openxmlformats.org/drawingml/2006/main">
                    <a:graphicData uri="http://schemas.openxmlformats.org/drawingml/2006/picture">
                      <pic:pic xmlns:pic="http://schemas.openxmlformats.org/drawingml/2006/picture">
                        <pic:nvPicPr>
                          <pic:cNvPr id="363" name="图片_19"/>
                          <pic:cNvPicPr/>
                        </pic:nvPicPr>
                        <pic:blipFill>
                          <a:blip r:embed="rId13"/>
                          <a:stretch>
                            <a:fillRect/>
                          </a:stretch>
                        </pic:blipFill>
                        <pic:spPr>
                          <a:xfrm>
                            <a:off x="0" y="0"/>
                            <a:ext cx="634365"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08330" cy="542290"/>
                  <wp:effectExtent l="0" t="0" r="0" b="0"/>
                  <wp:wrapNone/>
                  <wp:docPr id="364" name="ID_DE60E1367F4D47B68B43A253F9DB257F"/>
                  <wp:cNvGraphicFramePr/>
                  <a:graphic xmlns:a="http://schemas.openxmlformats.org/drawingml/2006/main">
                    <a:graphicData uri="http://schemas.openxmlformats.org/drawingml/2006/picture">
                      <pic:pic xmlns:pic="http://schemas.openxmlformats.org/drawingml/2006/picture">
                        <pic:nvPicPr>
                          <pic:cNvPr id="364" name="ID_DE60E1367F4D47B68B43A253F9DB257F"/>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08330" cy="542290"/>
                  <wp:effectExtent l="0" t="0" r="0" b="0"/>
                  <wp:wrapNone/>
                  <wp:docPr id="365" name="ID_B5BF18E09CFE43799C5EE3D44F45FB47"/>
                  <wp:cNvGraphicFramePr/>
                  <a:graphic xmlns:a="http://schemas.openxmlformats.org/drawingml/2006/main">
                    <a:graphicData uri="http://schemas.openxmlformats.org/drawingml/2006/picture">
                      <pic:pic xmlns:pic="http://schemas.openxmlformats.org/drawingml/2006/picture">
                        <pic:nvPicPr>
                          <pic:cNvPr id="365" name="ID_B5BF18E09CFE43799C5EE3D44F45FB47"/>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9750" cy="538480"/>
                  <wp:effectExtent l="0" t="0" r="0" b="0"/>
                  <wp:wrapNone/>
                  <wp:docPr id="366" name="图片_1665"/>
                  <wp:cNvGraphicFramePr/>
                  <a:graphic xmlns:a="http://schemas.openxmlformats.org/drawingml/2006/main">
                    <a:graphicData uri="http://schemas.openxmlformats.org/drawingml/2006/picture">
                      <pic:pic xmlns:pic="http://schemas.openxmlformats.org/drawingml/2006/picture">
                        <pic:nvPicPr>
                          <pic:cNvPr id="366" name="图片_1665"/>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18820" cy="715645"/>
                  <wp:effectExtent l="0" t="0" r="0" b="0"/>
                  <wp:wrapNone/>
                  <wp:docPr id="367" name="图片_18_SpCnt_1"/>
                  <wp:cNvGraphicFramePr/>
                  <a:graphic xmlns:a="http://schemas.openxmlformats.org/drawingml/2006/main">
                    <a:graphicData uri="http://schemas.openxmlformats.org/drawingml/2006/picture">
                      <pic:pic xmlns:pic="http://schemas.openxmlformats.org/drawingml/2006/picture">
                        <pic:nvPicPr>
                          <pic:cNvPr id="367" name="图片_18_SpCnt_1"/>
                          <pic:cNvPicPr/>
                        </pic:nvPicPr>
                        <pic:blipFill>
                          <a:blip r:embed="rId13"/>
                          <a:stretch>
                            <a:fillRect/>
                          </a:stretch>
                        </pic:blipFill>
                        <pic:spPr>
                          <a:xfrm>
                            <a:off x="0" y="0"/>
                            <a:ext cx="718820" cy="71564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9750" cy="538480"/>
                  <wp:effectExtent l="0" t="0" r="0" b="0"/>
                  <wp:wrapNone/>
                  <wp:docPr id="368" name="图片_1664"/>
                  <wp:cNvGraphicFramePr/>
                  <a:graphic xmlns:a="http://schemas.openxmlformats.org/drawingml/2006/main">
                    <a:graphicData uri="http://schemas.openxmlformats.org/drawingml/2006/picture">
                      <pic:pic xmlns:pic="http://schemas.openxmlformats.org/drawingml/2006/picture">
                        <pic:nvPicPr>
                          <pic:cNvPr id="368" name="图片_1664"/>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08330" cy="542290"/>
                  <wp:effectExtent l="0" t="0" r="0" b="0"/>
                  <wp:wrapNone/>
                  <wp:docPr id="369" name="ID_B73E8774DBA24C66A077783CE7B139D0"/>
                  <wp:cNvGraphicFramePr/>
                  <a:graphic xmlns:a="http://schemas.openxmlformats.org/drawingml/2006/main">
                    <a:graphicData uri="http://schemas.openxmlformats.org/drawingml/2006/picture">
                      <pic:pic xmlns:pic="http://schemas.openxmlformats.org/drawingml/2006/picture">
                        <pic:nvPicPr>
                          <pic:cNvPr id="369" name="ID_B73E8774DBA24C66A077783CE7B139D0"/>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9750" cy="538480"/>
                  <wp:effectExtent l="0" t="0" r="0" b="0"/>
                  <wp:wrapNone/>
                  <wp:docPr id="370" name="图片_1663"/>
                  <wp:cNvGraphicFramePr/>
                  <a:graphic xmlns:a="http://schemas.openxmlformats.org/drawingml/2006/main">
                    <a:graphicData uri="http://schemas.openxmlformats.org/drawingml/2006/picture">
                      <pic:pic xmlns:pic="http://schemas.openxmlformats.org/drawingml/2006/picture">
                        <pic:nvPicPr>
                          <pic:cNvPr id="370" name="图片_1663"/>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20090" cy="717550"/>
                  <wp:effectExtent l="0" t="0" r="0" b="0"/>
                  <wp:wrapNone/>
                  <wp:docPr id="371" name="图片_18_SpCnt_2"/>
                  <wp:cNvGraphicFramePr/>
                  <a:graphic xmlns:a="http://schemas.openxmlformats.org/drawingml/2006/main">
                    <a:graphicData uri="http://schemas.openxmlformats.org/drawingml/2006/picture">
                      <pic:pic xmlns:pic="http://schemas.openxmlformats.org/drawingml/2006/picture">
                        <pic:nvPicPr>
                          <pic:cNvPr id="371" name="图片_18_SpCnt_2"/>
                          <pic:cNvPicPr/>
                        </pic:nvPicPr>
                        <pic:blipFill>
                          <a:blip r:embed="rId13"/>
                          <a:stretch>
                            <a:fillRect/>
                          </a:stretch>
                        </pic:blipFill>
                        <pic:spPr>
                          <a:xfrm>
                            <a:off x="0" y="0"/>
                            <a:ext cx="720090" cy="7175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4365" cy="544195"/>
                  <wp:effectExtent l="0" t="0" r="0" b="0"/>
                  <wp:wrapNone/>
                  <wp:docPr id="372" name="图片_1660"/>
                  <wp:cNvGraphicFramePr/>
                  <a:graphic xmlns:a="http://schemas.openxmlformats.org/drawingml/2006/main">
                    <a:graphicData uri="http://schemas.openxmlformats.org/drawingml/2006/picture">
                      <pic:pic xmlns:pic="http://schemas.openxmlformats.org/drawingml/2006/picture">
                        <pic:nvPicPr>
                          <pic:cNvPr id="372" name="图片_1660"/>
                          <pic:cNvPicPr/>
                        </pic:nvPicPr>
                        <pic:blipFill>
                          <a:blip r:embed="rId13"/>
                          <a:stretch>
                            <a:fillRect/>
                          </a:stretch>
                        </pic:blipFill>
                        <pic:spPr>
                          <a:xfrm>
                            <a:off x="0" y="0"/>
                            <a:ext cx="634365" cy="54419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16280" cy="715010"/>
                  <wp:effectExtent l="0" t="0" r="0" b="0"/>
                  <wp:wrapNone/>
                  <wp:docPr id="373" name="ID_B5BF18E09CFE43799C5EE3D44F45FB47_SpCnt_1"/>
                  <wp:cNvGraphicFramePr/>
                  <a:graphic xmlns:a="http://schemas.openxmlformats.org/drawingml/2006/main">
                    <a:graphicData uri="http://schemas.openxmlformats.org/drawingml/2006/picture">
                      <pic:pic xmlns:pic="http://schemas.openxmlformats.org/drawingml/2006/picture">
                        <pic:nvPicPr>
                          <pic:cNvPr id="373" name="ID_B5BF18E09CFE43799C5EE3D44F45FB47_SpCnt_1"/>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08330" cy="542290"/>
                  <wp:effectExtent l="0" t="0" r="0" b="0"/>
                  <wp:wrapNone/>
                  <wp:docPr id="374" name="ID_E826D4FD2F1D481EA1CFBD3451A51F56"/>
                  <wp:cNvGraphicFramePr/>
                  <a:graphic xmlns:a="http://schemas.openxmlformats.org/drawingml/2006/main">
                    <a:graphicData uri="http://schemas.openxmlformats.org/drawingml/2006/picture">
                      <pic:pic xmlns:pic="http://schemas.openxmlformats.org/drawingml/2006/picture">
                        <pic:nvPicPr>
                          <pic:cNvPr id="374" name="ID_E826D4FD2F1D481EA1CFBD3451A51F56"/>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08330" cy="542290"/>
                  <wp:effectExtent l="0" t="0" r="0" b="0"/>
                  <wp:wrapNone/>
                  <wp:docPr id="375" name="ID_CA31AD5AD4A240A69EBE9CEAC8E99D77"/>
                  <wp:cNvGraphicFramePr/>
                  <a:graphic xmlns:a="http://schemas.openxmlformats.org/drawingml/2006/main">
                    <a:graphicData uri="http://schemas.openxmlformats.org/drawingml/2006/picture">
                      <pic:pic xmlns:pic="http://schemas.openxmlformats.org/drawingml/2006/picture">
                        <pic:nvPicPr>
                          <pic:cNvPr id="375" name="ID_CA31AD5AD4A240A69EBE9CEAC8E99D77"/>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23265" cy="715010"/>
                  <wp:effectExtent l="0" t="0" r="0" b="0"/>
                  <wp:wrapNone/>
                  <wp:docPr id="376" name="ID_B73E8774DBA24C66A077783CE7B139D0_SpCnt_1"/>
                  <wp:cNvGraphicFramePr/>
                  <a:graphic xmlns:a="http://schemas.openxmlformats.org/drawingml/2006/main">
                    <a:graphicData uri="http://schemas.openxmlformats.org/drawingml/2006/picture">
                      <pic:pic xmlns:pic="http://schemas.openxmlformats.org/drawingml/2006/picture">
                        <pic:nvPicPr>
                          <pic:cNvPr id="376" name="ID_B73E8774DBA24C66A077783CE7B139D0_SpCnt_1"/>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16280" cy="715010"/>
                  <wp:effectExtent l="0" t="0" r="0" b="0"/>
                  <wp:wrapNone/>
                  <wp:docPr id="377" name="ID_DE60E1367F4D47B68B43A253F9DB257F_SpCnt_1"/>
                  <wp:cNvGraphicFramePr/>
                  <a:graphic xmlns:a="http://schemas.openxmlformats.org/drawingml/2006/main">
                    <a:graphicData uri="http://schemas.openxmlformats.org/drawingml/2006/picture">
                      <pic:pic xmlns:pic="http://schemas.openxmlformats.org/drawingml/2006/picture">
                        <pic:nvPicPr>
                          <pic:cNvPr id="377" name="ID_DE60E1367F4D47B68B43A253F9DB257F_SpCnt_1"/>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23265" cy="715010"/>
                  <wp:effectExtent l="0" t="0" r="0" b="0"/>
                  <wp:wrapNone/>
                  <wp:docPr id="378" name="ID_E826D4FD2F1D481EA1CFBD3451A51F56_SpCnt_1"/>
                  <wp:cNvGraphicFramePr/>
                  <a:graphic xmlns:a="http://schemas.openxmlformats.org/drawingml/2006/main">
                    <a:graphicData uri="http://schemas.openxmlformats.org/drawingml/2006/picture">
                      <pic:pic xmlns:pic="http://schemas.openxmlformats.org/drawingml/2006/picture">
                        <pic:nvPicPr>
                          <pic:cNvPr id="378" name="ID_E826D4FD2F1D481EA1CFBD3451A51F56_SpCnt_1"/>
                          <pic:cNvPicPr/>
                        </pic:nvPicPr>
                        <pic:blipFill>
                          <a:blip r:embed="rId13"/>
                          <a:stretch>
                            <a:fillRect/>
                          </a:stretch>
                        </pic:blipFill>
                        <pic:spPr>
                          <a:xfrm>
                            <a:off x="0" y="0"/>
                            <a:ext cx="723265" cy="715010"/>
                          </a:xfrm>
                          <a:prstGeom prst="rect">
                            <a:avLst/>
                          </a:prstGeom>
                          <a:noFill/>
                          <a:ln>
                            <a:noFill/>
                          </a:ln>
                        </pic:spPr>
                      </pic:pic>
                    </a:graphicData>
                  </a:graphic>
                </wp:anchor>
              </w:drawing>
            </w:r>
          </w:p>
          <w:p w14:paraId="2ED0FE9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bdr w:val="single" w:color="000000" w:sz="4" w:space="0"/>
                <w:lang w:val="en-US" w:eastAsia="zh-CN" w:bidi="ar"/>
              </w:rPr>
            </w:pPr>
          </w:p>
          <w:p w14:paraId="3052F64E">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503555</wp:posOffset>
                  </wp:positionH>
                  <wp:positionV relativeFrom="paragraph">
                    <wp:posOffset>0</wp:posOffset>
                  </wp:positionV>
                  <wp:extent cx="729615" cy="539750"/>
                  <wp:effectExtent l="0" t="0" r="0" b="0"/>
                  <wp:wrapNone/>
                  <wp:docPr id="380" name="图片_18_SpCnt_3"/>
                  <wp:cNvGraphicFramePr/>
                  <a:graphic xmlns:a="http://schemas.openxmlformats.org/drawingml/2006/main">
                    <a:graphicData uri="http://schemas.openxmlformats.org/drawingml/2006/picture">
                      <pic:pic xmlns:pic="http://schemas.openxmlformats.org/drawingml/2006/picture">
                        <pic:nvPicPr>
                          <pic:cNvPr id="380" name="图片_18_SpCnt_3"/>
                          <pic:cNvPicPr/>
                        </pic:nvPicPr>
                        <pic:blipFill>
                          <a:blip r:embed="rId13"/>
                          <a:stretch>
                            <a:fillRect/>
                          </a:stretch>
                        </pic:blipFill>
                        <pic:spPr>
                          <a:xfrm>
                            <a:off x="0" y="0"/>
                            <a:ext cx="729615" cy="5397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570230</wp:posOffset>
                  </wp:positionH>
                  <wp:positionV relativeFrom="paragraph">
                    <wp:posOffset>0</wp:posOffset>
                  </wp:positionV>
                  <wp:extent cx="821055" cy="715010"/>
                  <wp:effectExtent l="0" t="0" r="0" b="0"/>
                  <wp:wrapNone/>
                  <wp:docPr id="381" name="ID_B73E8774DBA24C66A077783CE7B139D0_SpCnt_2"/>
                  <wp:cNvGraphicFramePr/>
                  <a:graphic xmlns:a="http://schemas.openxmlformats.org/drawingml/2006/main">
                    <a:graphicData uri="http://schemas.openxmlformats.org/drawingml/2006/picture">
                      <pic:pic xmlns:pic="http://schemas.openxmlformats.org/drawingml/2006/picture">
                        <pic:nvPicPr>
                          <pic:cNvPr id="381" name="ID_B73E8774DBA24C66A077783CE7B139D0_SpCnt_2"/>
                          <pic:cNvPicPr/>
                        </pic:nvPicPr>
                        <pic:blipFill>
                          <a:blip r:embed="rId13"/>
                          <a:stretch>
                            <a:fillRect/>
                          </a:stretch>
                        </pic:blipFill>
                        <pic:spPr>
                          <a:xfrm>
                            <a:off x="0" y="0"/>
                            <a:ext cx="82105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580390</wp:posOffset>
                  </wp:positionH>
                  <wp:positionV relativeFrom="paragraph">
                    <wp:posOffset>0</wp:posOffset>
                  </wp:positionV>
                  <wp:extent cx="692150" cy="504190"/>
                  <wp:effectExtent l="0" t="0" r="0" b="0"/>
                  <wp:wrapNone/>
                  <wp:docPr id="382" name="ID_B73E8774DBA24C66A077783CE7B139D0_SpCnt_3"/>
                  <wp:cNvGraphicFramePr/>
                  <a:graphic xmlns:a="http://schemas.openxmlformats.org/drawingml/2006/main">
                    <a:graphicData uri="http://schemas.openxmlformats.org/drawingml/2006/picture">
                      <pic:pic xmlns:pic="http://schemas.openxmlformats.org/drawingml/2006/picture">
                        <pic:nvPicPr>
                          <pic:cNvPr id="382" name="ID_B73E8774DBA24C66A077783CE7B139D0_SpCnt_3"/>
                          <pic:cNvPicPr/>
                        </pic:nvPicPr>
                        <pic:blipFill>
                          <a:blip r:embed="rId13"/>
                          <a:stretch>
                            <a:fillRect/>
                          </a:stretch>
                        </pic:blipFill>
                        <pic:spPr>
                          <a:xfrm>
                            <a:off x="0" y="0"/>
                            <a:ext cx="69215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573405</wp:posOffset>
                  </wp:positionH>
                  <wp:positionV relativeFrom="paragraph">
                    <wp:posOffset>0</wp:posOffset>
                  </wp:positionV>
                  <wp:extent cx="692150" cy="504190"/>
                  <wp:effectExtent l="0" t="0" r="0" b="0"/>
                  <wp:wrapNone/>
                  <wp:docPr id="383" name="ID_B73E8774DBA24C66A077783CE7B139D0_SpCnt_4"/>
                  <wp:cNvGraphicFramePr/>
                  <a:graphic xmlns:a="http://schemas.openxmlformats.org/drawingml/2006/main">
                    <a:graphicData uri="http://schemas.openxmlformats.org/drawingml/2006/picture">
                      <pic:pic xmlns:pic="http://schemas.openxmlformats.org/drawingml/2006/picture">
                        <pic:nvPicPr>
                          <pic:cNvPr id="383" name="ID_B73E8774DBA24C66A077783CE7B139D0_SpCnt_4"/>
                          <pic:cNvPicPr/>
                        </pic:nvPicPr>
                        <pic:blipFill>
                          <a:blip r:embed="rId13"/>
                          <a:stretch>
                            <a:fillRect/>
                          </a:stretch>
                        </pic:blipFill>
                        <pic:spPr>
                          <a:xfrm>
                            <a:off x="0" y="0"/>
                            <a:ext cx="69215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579120</wp:posOffset>
                  </wp:positionH>
                  <wp:positionV relativeFrom="paragraph">
                    <wp:posOffset>0</wp:posOffset>
                  </wp:positionV>
                  <wp:extent cx="812165" cy="715010"/>
                  <wp:effectExtent l="0" t="0" r="0" b="0"/>
                  <wp:wrapNone/>
                  <wp:docPr id="384" name="ID_B5BF18E09CFE43799C5EE3D44F45FB47_SpCnt_2"/>
                  <wp:cNvGraphicFramePr/>
                  <a:graphic xmlns:a="http://schemas.openxmlformats.org/drawingml/2006/main">
                    <a:graphicData uri="http://schemas.openxmlformats.org/drawingml/2006/picture">
                      <pic:pic xmlns:pic="http://schemas.openxmlformats.org/drawingml/2006/picture">
                        <pic:nvPicPr>
                          <pic:cNvPr id="384" name="ID_B5BF18E09CFE43799C5EE3D44F45FB47_SpCnt_2"/>
                          <pic:cNvPicPr/>
                        </pic:nvPicPr>
                        <pic:blipFill>
                          <a:blip r:embed="rId13"/>
                          <a:stretch>
                            <a:fillRect/>
                          </a:stretch>
                        </pic:blipFill>
                        <pic:spPr>
                          <a:xfrm>
                            <a:off x="0" y="0"/>
                            <a:ext cx="8121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578485</wp:posOffset>
                  </wp:positionH>
                  <wp:positionV relativeFrom="paragraph">
                    <wp:posOffset>0</wp:posOffset>
                  </wp:positionV>
                  <wp:extent cx="692150" cy="504190"/>
                  <wp:effectExtent l="0" t="0" r="0" b="0"/>
                  <wp:wrapNone/>
                  <wp:docPr id="385" name="ID_B5BF18E09CFE43799C5EE3D44F45FB47_SpCnt_3"/>
                  <wp:cNvGraphicFramePr/>
                  <a:graphic xmlns:a="http://schemas.openxmlformats.org/drawingml/2006/main">
                    <a:graphicData uri="http://schemas.openxmlformats.org/drawingml/2006/picture">
                      <pic:pic xmlns:pic="http://schemas.openxmlformats.org/drawingml/2006/picture">
                        <pic:nvPicPr>
                          <pic:cNvPr id="385" name="ID_B5BF18E09CFE43799C5EE3D44F45FB47_SpCnt_3"/>
                          <pic:cNvPicPr/>
                        </pic:nvPicPr>
                        <pic:blipFill>
                          <a:blip r:embed="rId13"/>
                          <a:stretch>
                            <a:fillRect/>
                          </a:stretch>
                        </pic:blipFill>
                        <pic:spPr>
                          <a:xfrm>
                            <a:off x="0" y="0"/>
                            <a:ext cx="69215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585470</wp:posOffset>
                  </wp:positionH>
                  <wp:positionV relativeFrom="paragraph">
                    <wp:posOffset>0</wp:posOffset>
                  </wp:positionV>
                  <wp:extent cx="692150" cy="504190"/>
                  <wp:effectExtent l="0" t="0" r="0" b="0"/>
                  <wp:wrapNone/>
                  <wp:docPr id="386" name="ID_B5BF18E09CFE43799C5EE3D44F45FB47_SpCnt_4"/>
                  <wp:cNvGraphicFramePr/>
                  <a:graphic xmlns:a="http://schemas.openxmlformats.org/drawingml/2006/main">
                    <a:graphicData uri="http://schemas.openxmlformats.org/drawingml/2006/picture">
                      <pic:pic xmlns:pic="http://schemas.openxmlformats.org/drawingml/2006/picture">
                        <pic:nvPicPr>
                          <pic:cNvPr id="386" name="ID_B5BF18E09CFE43799C5EE3D44F45FB47_SpCnt_4"/>
                          <pic:cNvPicPr/>
                        </pic:nvPicPr>
                        <pic:blipFill>
                          <a:blip r:embed="rId13"/>
                          <a:stretch>
                            <a:fillRect/>
                          </a:stretch>
                        </pic:blipFill>
                        <pic:spPr>
                          <a:xfrm>
                            <a:off x="0" y="0"/>
                            <a:ext cx="69215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588645</wp:posOffset>
                  </wp:positionH>
                  <wp:positionV relativeFrom="paragraph">
                    <wp:posOffset>0</wp:posOffset>
                  </wp:positionV>
                  <wp:extent cx="692150" cy="504190"/>
                  <wp:effectExtent l="0" t="0" r="0" b="0"/>
                  <wp:wrapNone/>
                  <wp:docPr id="387" name="ID_B73E8774DBA24C66A077783CE7B139D0_SpCnt_5"/>
                  <wp:cNvGraphicFramePr/>
                  <a:graphic xmlns:a="http://schemas.openxmlformats.org/drawingml/2006/main">
                    <a:graphicData uri="http://schemas.openxmlformats.org/drawingml/2006/picture">
                      <pic:pic xmlns:pic="http://schemas.openxmlformats.org/drawingml/2006/picture">
                        <pic:nvPicPr>
                          <pic:cNvPr id="387" name="ID_B73E8774DBA24C66A077783CE7B139D0_SpCnt_5"/>
                          <pic:cNvPicPr/>
                        </pic:nvPicPr>
                        <pic:blipFill>
                          <a:blip r:embed="rId13"/>
                          <a:stretch>
                            <a:fillRect/>
                          </a:stretch>
                        </pic:blipFill>
                        <pic:spPr>
                          <a:xfrm>
                            <a:off x="0" y="0"/>
                            <a:ext cx="69215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596265</wp:posOffset>
                  </wp:positionH>
                  <wp:positionV relativeFrom="paragraph">
                    <wp:posOffset>0</wp:posOffset>
                  </wp:positionV>
                  <wp:extent cx="692150" cy="504190"/>
                  <wp:effectExtent l="0" t="0" r="0" b="0"/>
                  <wp:wrapNone/>
                  <wp:docPr id="388" name="ID_CA31AD5AD4A240A69EBE9CEAC8E99D77_SpCnt_2"/>
                  <wp:cNvGraphicFramePr/>
                  <a:graphic xmlns:a="http://schemas.openxmlformats.org/drawingml/2006/main">
                    <a:graphicData uri="http://schemas.openxmlformats.org/drawingml/2006/picture">
                      <pic:pic xmlns:pic="http://schemas.openxmlformats.org/drawingml/2006/picture">
                        <pic:nvPicPr>
                          <pic:cNvPr id="388" name="ID_CA31AD5AD4A240A69EBE9CEAC8E99D77_SpCnt_2"/>
                          <pic:cNvPicPr/>
                        </pic:nvPicPr>
                        <pic:blipFill>
                          <a:blip r:embed="rId13"/>
                          <a:stretch>
                            <a:fillRect/>
                          </a:stretch>
                        </pic:blipFill>
                        <pic:spPr>
                          <a:xfrm>
                            <a:off x="0" y="0"/>
                            <a:ext cx="69215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594995</wp:posOffset>
                  </wp:positionH>
                  <wp:positionV relativeFrom="paragraph">
                    <wp:posOffset>0</wp:posOffset>
                  </wp:positionV>
                  <wp:extent cx="818515" cy="715010"/>
                  <wp:effectExtent l="0" t="0" r="0" b="0"/>
                  <wp:wrapNone/>
                  <wp:docPr id="389" name="ID_E826D4FD2F1D481EA1CFBD3451A51F56_SpCnt_2"/>
                  <wp:cNvGraphicFramePr/>
                  <a:graphic xmlns:a="http://schemas.openxmlformats.org/drawingml/2006/main">
                    <a:graphicData uri="http://schemas.openxmlformats.org/drawingml/2006/picture">
                      <pic:pic xmlns:pic="http://schemas.openxmlformats.org/drawingml/2006/picture">
                        <pic:nvPicPr>
                          <pic:cNvPr id="389" name="ID_E826D4FD2F1D481EA1CFBD3451A51F56_SpCnt_2"/>
                          <pic:cNvPicPr/>
                        </pic:nvPicPr>
                        <pic:blipFill>
                          <a:blip r:embed="rId13"/>
                          <a:stretch>
                            <a:fillRect/>
                          </a:stretch>
                        </pic:blipFill>
                        <pic:spPr>
                          <a:xfrm>
                            <a:off x="0" y="0"/>
                            <a:ext cx="81851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597535</wp:posOffset>
                  </wp:positionH>
                  <wp:positionV relativeFrom="paragraph">
                    <wp:posOffset>0</wp:posOffset>
                  </wp:positionV>
                  <wp:extent cx="729615" cy="542290"/>
                  <wp:effectExtent l="0" t="0" r="0" b="0"/>
                  <wp:wrapNone/>
                  <wp:docPr id="390" name="图片_19_SpCnt_1"/>
                  <wp:cNvGraphicFramePr/>
                  <a:graphic xmlns:a="http://schemas.openxmlformats.org/drawingml/2006/main">
                    <a:graphicData uri="http://schemas.openxmlformats.org/drawingml/2006/picture">
                      <pic:pic xmlns:pic="http://schemas.openxmlformats.org/drawingml/2006/picture">
                        <pic:nvPicPr>
                          <pic:cNvPr id="390" name="图片_19_SpCnt_1"/>
                          <pic:cNvPicPr/>
                        </pic:nvPicPr>
                        <pic:blipFill>
                          <a:blip r:embed="rId13"/>
                          <a:stretch>
                            <a:fillRect/>
                          </a:stretch>
                        </pic:blipFill>
                        <pic:spPr>
                          <a:xfrm>
                            <a:off x="0" y="0"/>
                            <a:ext cx="729615"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593090</wp:posOffset>
                  </wp:positionH>
                  <wp:positionV relativeFrom="paragraph">
                    <wp:posOffset>0</wp:posOffset>
                  </wp:positionV>
                  <wp:extent cx="692150" cy="504190"/>
                  <wp:effectExtent l="0" t="0" r="0" b="0"/>
                  <wp:wrapNone/>
                  <wp:docPr id="391" name="ID_DE60E1367F4D47B68B43A253F9DB257F_SpCnt_2"/>
                  <wp:cNvGraphicFramePr/>
                  <a:graphic xmlns:a="http://schemas.openxmlformats.org/drawingml/2006/main">
                    <a:graphicData uri="http://schemas.openxmlformats.org/drawingml/2006/picture">
                      <pic:pic xmlns:pic="http://schemas.openxmlformats.org/drawingml/2006/picture">
                        <pic:nvPicPr>
                          <pic:cNvPr id="391" name="ID_DE60E1367F4D47B68B43A253F9DB257F_SpCnt_2"/>
                          <pic:cNvPicPr/>
                        </pic:nvPicPr>
                        <pic:blipFill>
                          <a:blip r:embed="rId13"/>
                          <a:stretch>
                            <a:fillRect/>
                          </a:stretch>
                        </pic:blipFill>
                        <pic:spPr>
                          <a:xfrm>
                            <a:off x="0" y="0"/>
                            <a:ext cx="69215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593725</wp:posOffset>
                  </wp:positionH>
                  <wp:positionV relativeFrom="paragraph">
                    <wp:posOffset>0</wp:posOffset>
                  </wp:positionV>
                  <wp:extent cx="692150" cy="504190"/>
                  <wp:effectExtent l="0" t="0" r="0" b="0"/>
                  <wp:wrapNone/>
                  <wp:docPr id="392" name="ID_B5BF18E09CFE43799C5EE3D44F45FB47_SpCnt_5"/>
                  <wp:cNvGraphicFramePr/>
                  <a:graphic xmlns:a="http://schemas.openxmlformats.org/drawingml/2006/main">
                    <a:graphicData uri="http://schemas.openxmlformats.org/drawingml/2006/picture">
                      <pic:pic xmlns:pic="http://schemas.openxmlformats.org/drawingml/2006/picture">
                        <pic:nvPicPr>
                          <pic:cNvPr id="392" name="ID_B5BF18E09CFE43799C5EE3D44F45FB47_SpCnt_5"/>
                          <pic:cNvPicPr/>
                        </pic:nvPicPr>
                        <pic:blipFill>
                          <a:blip r:embed="rId13"/>
                          <a:stretch>
                            <a:fillRect/>
                          </a:stretch>
                        </pic:blipFill>
                        <pic:spPr>
                          <a:xfrm>
                            <a:off x="0" y="0"/>
                            <a:ext cx="69215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594995</wp:posOffset>
                  </wp:positionH>
                  <wp:positionV relativeFrom="paragraph">
                    <wp:posOffset>0</wp:posOffset>
                  </wp:positionV>
                  <wp:extent cx="811530" cy="715010"/>
                  <wp:effectExtent l="0" t="0" r="0" b="0"/>
                  <wp:wrapNone/>
                  <wp:docPr id="393" name="ID_DE60E1367F4D47B68B43A253F9DB257F_SpCnt_3"/>
                  <wp:cNvGraphicFramePr/>
                  <a:graphic xmlns:a="http://schemas.openxmlformats.org/drawingml/2006/main">
                    <a:graphicData uri="http://schemas.openxmlformats.org/drawingml/2006/picture">
                      <pic:pic xmlns:pic="http://schemas.openxmlformats.org/drawingml/2006/picture">
                        <pic:nvPicPr>
                          <pic:cNvPr id="393" name="ID_DE60E1367F4D47B68B43A253F9DB257F_SpCnt_3"/>
                          <pic:cNvPicPr/>
                        </pic:nvPicPr>
                        <pic:blipFill>
                          <a:blip r:embed="rId13"/>
                          <a:stretch>
                            <a:fillRect/>
                          </a:stretch>
                        </pic:blipFill>
                        <pic:spPr>
                          <a:xfrm>
                            <a:off x="0" y="0"/>
                            <a:ext cx="811530"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594995</wp:posOffset>
                  </wp:positionH>
                  <wp:positionV relativeFrom="paragraph">
                    <wp:posOffset>0</wp:posOffset>
                  </wp:positionV>
                  <wp:extent cx="818515" cy="715010"/>
                  <wp:effectExtent l="0" t="0" r="0" b="0"/>
                  <wp:wrapNone/>
                  <wp:docPr id="394" name="ID_CA31AD5AD4A240A69EBE9CEAC8E99D77_SpCnt_3"/>
                  <wp:cNvGraphicFramePr/>
                  <a:graphic xmlns:a="http://schemas.openxmlformats.org/drawingml/2006/main">
                    <a:graphicData uri="http://schemas.openxmlformats.org/drawingml/2006/picture">
                      <pic:pic xmlns:pic="http://schemas.openxmlformats.org/drawingml/2006/picture">
                        <pic:nvPicPr>
                          <pic:cNvPr id="394" name="ID_CA31AD5AD4A240A69EBE9CEAC8E99D77_SpCnt_3"/>
                          <pic:cNvPicPr/>
                        </pic:nvPicPr>
                        <pic:blipFill>
                          <a:blip r:embed="rId13"/>
                          <a:stretch>
                            <a:fillRect/>
                          </a:stretch>
                        </pic:blipFill>
                        <pic:spPr>
                          <a:xfrm>
                            <a:off x="0" y="0"/>
                            <a:ext cx="81851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596265</wp:posOffset>
                  </wp:positionH>
                  <wp:positionV relativeFrom="paragraph">
                    <wp:posOffset>0</wp:posOffset>
                  </wp:positionV>
                  <wp:extent cx="692150" cy="504190"/>
                  <wp:effectExtent l="0" t="0" r="0" b="0"/>
                  <wp:wrapNone/>
                  <wp:docPr id="395" name="ID_E826D4FD2F1D481EA1CFBD3451A51F56_SpCnt_3"/>
                  <wp:cNvGraphicFramePr/>
                  <a:graphic xmlns:a="http://schemas.openxmlformats.org/drawingml/2006/main">
                    <a:graphicData uri="http://schemas.openxmlformats.org/drawingml/2006/picture">
                      <pic:pic xmlns:pic="http://schemas.openxmlformats.org/drawingml/2006/picture">
                        <pic:nvPicPr>
                          <pic:cNvPr id="395" name="ID_E826D4FD2F1D481EA1CFBD3451A51F56_SpCnt_3"/>
                          <pic:cNvPicPr/>
                        </pic:nvPicPr>
                        <pic:blipFill>
                          <a:blip r:embed="rId13"/>
                          <a:stretch>
                            <a:fillRect/>
                          </a:stretch>
                        </pic:blipFill>
                        <pic:spPr>
                          <a:xfrm>
                            <a:off x="0" y="0"/>
                            <a:ext cx="69215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603250</wp:posOffset>
                  </wp:positionH>
                  <wp:positionV relativeFrom="paragraph">
                    <wp:posOffset>0</wp:posOffset>
                  </wp:positionV>
                  <wp:extent cx="692150" cy="504190"/>
                  <wp:effectExtent l="0" t="0" r="0" b="0"/>
                  <wp:wrapNone/>
                  <wp:docPr id="396" name="ID_CA31AD5AD4A240A69EBE9CEAC8E99D77_SpCnt_4"/>
                  <wp:cNvGraphicFramePr/>
                  <a:graphic xmlns:a="http://schemas.openxmlformats.org/drawingml/2006/main">
                    <a:graphicData uri="http://schemas.openxmlformats.org/drawingml/2006/picture">
                      <pic:pic xmlns:pic="http://schemas.openxmlformats.org/drawingml/2006/picture">
                        <pic:nvPicPr>
                          <pic:cNvPr id="396" name="ID_CA31AD5AD4A240A69EBE9CEAC8E99D77_SpCnt_4"/>
                          <pic:cNvPicPr/>
                        </pic:nvPicPr>
                        <pic:blipFill>
                          <a:blip r:embed="rId13"/>
                          <a:stretch>
                            <a:fillRect/>
                          </a:stretch>
                        </pic:blipFill>
                        <pic:spPr>
                          <a:xfrm>
                            <a:off x="0" y="0"/>
                            <a:ext cx="69215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600075</wp:posOffset>
                  </wp:positionH>
                  <wp:positionV relativeFrom="paragraph">
                    <wp:posOffset>0</wp:posOffset>
                  </wp:positionV>
                  <wp:extent cx="692150" cy="504190"/>
                  <wp:effectExtent l="0" t="0" r="0" b="0"/>
                  <wp:wrapNone/>
                  <wp:docPr id="397" name="ID_DE60E1367F4D47B68B43A253F9DB257F_SpCnt_4"/>
                  <wp:cNvGraphicFramePr/>
                  <a:graphic xmlns:a="http://schemas.openxmlformats.org/drawingml/2006/main">
                    <a:graphicData uri="http://schemas.openxmlformats.org/drawingml/2006/picture">
                      <pic:pic xmlns:pic="http://schemas.openxmlformats.org/drawingml/2006/picture">
                        <pic:nvPicPr>
                          <pic:cNvPr id="397" name="ID_DE60E1367F4D47B68B43A253F9DB257F_SpCnt_4"/>
                          <pic:cNvPicPr/>
                        </pic:nvPicPr>
                        <pic:blipFill>
                          <a:blip r:embed="rId13"/>
                          <a:stretch>
                            <a:fillRect/>
                          </a:stretch>
                        </pic:blipFill>
                        <pic:spPr>
                          <a:xfrm>
                            <a:off x="0" y="0"/>
                            <a:ext cx="69215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603250</wp:posOffset>
                  </wp:positionH>
                  <wp:positionV relativeFrom="paragraph">
                    <wp:posOffset>0</wp:posOffset>
                  </wp:positionV>
                  <wp:extent cx="692150" cy="504190"/>
                  <wp:effectExtent l="0" t="0" r="0" b="0"/>
                  <wp:wrapNone/>
                  <wp:docPr id="398" name="ID_E826D4FD2F1D481EA1CFBD3451A51F56_SpCnt_4"/>
                  <wp:cNvGraphicFramePr/>
                  <a:graphic xmlns:a="http://schemas.openxmlformats.org/drawingml/2006/main">
                    <a:graphicData uri="http://schemas.openxmlformats.org/drawingml/2006/picture">
                      <pic:pic xmlns:pic="http://schemas.openxmlformats.org/drawingml/2006/picture">
                        <pic:nvPicPr>
                          <pic:cNvPr id="398" name="ID_E826D4FD2F1D481EA1CFBD3451A51F56_SpCnt_4"/>
                          <pic:cNvPicPr/>
                        </pic:nvPicPr>
                        <pic:blipFill>
                          <a:blip r:embed="rId13"/>
                          <a:stretch>
                            <a:fillRect/>
                          </a:stretch>
                        </pic:blipFill>
                        <pic:spPr>
                          <a:xfrm>
                            <a:off x="0" y="0"/>
                            <a:ext cx="69215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608330</wp:posOffset>
                  </wp:positionH>
                  <wp:positionV relativeFrom="paragraph">
                    <wp:posOffset>0</wp:posOffset>
                  </wp:positionV>
                  <wp:extent cx="692150" cy="504190"/>
                  <wp:effectExtent l="0" t="0" r="0" b="0"/>
                  <wp:wrapNone/>
                  <wp:docPr id="399" name="ID_DE60E1367F4D47B68B43A253F9DB257F_SpCnt_5"/>
                  <wp:cNvGraphicFramePr/>
                  <a:graphic xmlns:a="http://schemas.openxmlformats.org/drawingml/2006/main">
                    <a:graphicData uri="http://schemas.openxmlformats.org/drawingml/2006/picture">
                      <pic:pic xmlns:pic="http://schemas.openxmlformats.org/drawingml/2006/picture">
                        <pic:nvPicPr>
                          <pic:cNvPr id="399" name="ID_DE60E1367F4D47B68B43A253F9DB257F_SpCnt_5"/>
                          <pic:cNvPicPr/>
                        </pic:nvPicPr>
                        <pic:blipFill>
                          <a:blip r:embed="rId13"/>
                          <a:stretch>
                            <a:fillRect/>
                          </a:stretch>
                        </pic:blipFill>
                        <pic:spPr>
                          <a:xfrm>
                            <a:off x="0" y="0"/>
                            <a:ext cx="69215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611505</wp:posOffset>
                  </wp:positionH>
                  <wp:positionV relativeFrom="paragraph">
                    <wp:posOffset>0</wp:posOffset>
                  </wp:positionV>
                  <wp:extent cx="692150" cy="504190"/>
                  <wp:effectExtent l="0" t="0" r="0" b="0"/>
                  <wp:wrapNone/>
                  <wp:docPr id="400" name="ID_E826D4FD2F1D481EA1CFBD3451A51F56_SpCnt_5"/>
                  <wp:cNvGraphicFramePr/>
                  <a:graphic xmlns:a="http://schemas.openxmlformats.org/drawingml/2006/main">
                    <a:graphicData uri="http://schemas.openxmlformats.org/drawingml/2006/picture">
                      <pic:pic xmlns:pic="http://schemas.openxmlformats.org/drawingml/2006/picture">
                        <pic:nvPicPr>
                          <pic:cNvPr id="400" name="ID_E826D4FD2F1D481EA1CFBD3451A51F56_SpCnt_5"/>
                          <pic:cNvPicPr/>
                        </pic:nvPicPr>
                        <pic:blipFill>
                          <a:blip r:embed="rId13"/>
                          <a:stretch>
                            <a:fillRect/>
                          </a:stretch>
                        </pic:blipFill>
                        <pic:spPr>
                          <a:xfrm>
                            <a:off x="0" y="0"/>
                            <a:ext cx="69215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611505</wp:posOffset>
                  </wp:positionH>
                  <wp:positionV relativeFrom="paragraph">
                    <wp:posOffset>0</wp:posOffset>
                  </wp:positionV>
                  <wp:extent cx="692150" cy="504190"/>
                  <wp:effectExtent l="0" t="0" r="0" b="0"/>
                  <wp:wrapNone/>
                  <wp:docPr id="401" name="ID_CA31AD5AD4A240A69EBE9CEAC8E99D77_SpCnt_5"/>
                  <wp:cNvGraphicFramePr/>
                  <a:graphic xmlns:a="http://schemas.openxmlformats.org/drawingml/2006/main">
                    <a:graphicData uri="http://schemas.openxmlformats.org/drawingml/2006/picture">
                      <pic:pic xmlns:pic="http://schemas.openxmlformats.org/drawingml/2006/picture">
                        <pic:nvPicPr>
                          <pic:cNvPr id="401" name="ID_CA31AD5AD4A240A69EBE9CEAC8E99D77_SpCnt_5"/>
                          <pic:cNvPicPr/>
                        </pic:nvPicPr>
                        <pic:blipFill>
                          <a:blip r:embed="rId13"/>
                          <a:stretch>
                            <a:fillRect/>
                          </a:stretch>
                        </pic:blipFill>
                        <pic:spPr>
                          <a:xfrm>
                            <a:off x="0" y="0"/>
                            <a:ext cx="69215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663575</wp:posOffset>
                  </wp:positionH>
                  <wp:positionV relativeFrom="paragraph">
                    <wp:posOffset>0</wp:posOffset>
                  </wp:positionV>
                  <wp:extent cx="749935" cy="647700"/>
                  <wp:effectExtent l="0" t="0" r="0" b="0"/>
                  <wp:wrapNone/>
                  <wp:docPr id="402" name="ID_B5BF18E09CFE43799C5EE3D44F45FB47_SpCnt_6"/>
                  <wp:cNvGraphicFramePr/>
                  <a:graphic xmlns:a="http://schemas.openxmlformats.org/drawingml/2006/main">
                    <a:graphicData uri="http://schemas.openxmlformats.org/drawingml/2006/picture">
                      <pic:pic xmlns:pic="http://schemas.openxmlformats.org/drawingml/2006/picture">
                        <pic:nvPicPr>
                          <pic:cNvPr id="402" name="ID_B5BF18E09CFE43799C5EE3D44F45FB47_SpCnt_6"/>
                          <pic:cNvPicPr/>
                        </pic:nvPicPr>
                        <pic:blipFill>
                          <a:blip r:embed="rId13"/>
                          <a:stretch>
                            <a:fillRect/>
                          </a:stretch>
                        </pic:blipFill>
                        <pic:spPr>
                          <a:xfrm>
                            <a:off x="0" y="0"/>
                            <a:ext cx="749935"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663575</wp:posOffset>
                  </wp:positionH>
                  <wp:positionV relativeFrom="paragraph">
                    <wp:posOffset>0</wp:posOffset>
                  </wp:positionV>
                  <wp:extent cx="742950" cy="647700"/>
                  <wp:effectExtent l="0" t="0" r="0" b="0"/>
                  <wp:wrapNone/>
                  <wp:docPr id="403" name="ID_B73E8774DBA24C66A077783CE7B139D0_SpCnt_6"/>
                  <wp:cNvGraphicFramePr/>
                  <a:graphic xmlns:a="http://schemas.openxmlformats.org/drawingml/2006/main">
                    <a:graphicData uri="http://schemas.openxmlformats.org/drawingml/2006/picture">
                      <pic:pic xmlns:pic="http://schemas.openxmlformats.org/drawingml/2006/picture">
                        <pic:nvPicPr>
                          <pic:cNvPr id="403" name="ID_B73E8774DBA24C66A077783CE7B139D0_SpCnt_6"/>
                          <pic:cNvPicPr/>
                        </pic:nvPicPr>
                        <pic:blipFill>
                          <a:blip r:embed="rId13"/>
                          <a:stretch>
                            <a:fillRect/>
                          </a:stretch>
                        </pic:blipFill>
                        <pic:spPr>
                          <a:xfrm>
                            <a:off x="0" y="0"/>
                            <a:ext cx="742950"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678815</wp:posOffset>
                  </wp:positionH>
                  <wp:positionV relativeFrom="paragraph">
                    <wp:posOffset>0</wp:posOffset>
                  </wp:positionV>
                  <wp:extent cx="740410" cy="647700"/>
                  <wp:effectExtent l="0" t="0" r="0" b="0"/>
                  <wp:wrapNone/>
                  <wp:docPr id="404" name="ID_DE60E1367F4D47B68B43A253F9DB257F_SpCnt_6"/>
                  <wp:cNvGraphicFramePr/>
                  <a:graphic xmlns:a="http://schemas.openxmlformats.org/drawingml/2006/main">
                    <a:graphicData uri="http://schemas.openxmlformats.org/drawingml/2006/picture">
                      <pic:pic xmlns:pic="http://schemas.openxmlformats.org/drawingml/2006/picture">
                        <pic:nvPicPr>
                          <pic:cNvPr id="404" name="ID_DE60E1367F4D47B68B43A253F9DB257F_SpCnt_6"/>
                          <pic:cNvPicPr/>
                        </pic:nvPicPr>
                        <pic:blipFill>
                          <a:blip r:embed="rId13"/>
                          <a:stretch>
                            <a:fillRect/>
                          </a:stretch>
                        </pic:blipFill>
                        <pic:spPr>
                          <a:xfrm>
                            <a:off x="0" y="0"/>
                            <a:ext cx="740410"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42950" cy="647700"/>
                  <wp:effectExtent l="0" t="0" r="0" b="0"/>
                  <wp:wrapNone/>
                  <wp:docPr id="405" name="ID_CA31AD5AD4A240A69EBE9CEAC8E99D77_SpCnt_6"/>
                  <wp:cNvGraphicFramePr/>
                  <a:graphic xmlns:a="http://schemas.openxmlformats.org/drawingml/2006/main">
                    <a:graphicData uri="http://schemas.openxmlformats.org/drawingml/2006/picture">
                      <pic:pic xmlns:pic="http://schemas.openxmlformats.org/drawingml/2006/picture">
                        <pic:nvPicPr>
                          <pic:cNvPr id="405" name="ID_CA31AD5AD4A240A69EBE9CEAC8E99D77_SpCnt_6"/>
                          <pic:cNvPicPr/>
                        </pic:nvPicPr>
                        <pic:blipFill>
                          <a:blip r:embed="rId13"/>
                          <a:stretch>
                            <a:fillRect/>
                          </a:stretch>
                        </pic:blipFill>
                        <pic:spPr>
                          <a:xfrm>
                            <a:off x="0" y="0"/>
                            <a:ext cx="742950"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咖啡机套装</w:t>
            </w:r>
          </w:p>
        </w:tc>
        <w:tc>
          <w:tcPr>
            <w:tcW w:w="476" w:type="pct"/>
            <w:shd w:val="clear" w:color="auto" w:fill="auto"/>
            <w:vAlign w:val="center"/>
          </w:tcPr>
          <w:p w14:paraId="378D5EA5">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6E09CB9F">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工业</w:t>
            </w:r>
          </w:p>
        </w:tc>
        <w:tc>
          <w:tcPr>
            <w:tcW w:w="3056" w:type="pct"/>
            <w:shd w:val="clear" w:color="auto" w:fill="auto"/>
            <w:vAlign w:val="center"/>
          </w:tcPr>
          <w:p w14:paraId="0F5FE078">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716280" cy="715010"/>
                  <wp:effectExtent l="0" t="0" r="0" b="0"/>
                  <wp:wrapNone/>
                  <wp:docPr id="581" name="ID_B5BF18E09CFE43799C5EE3D44F45FB47_SpCnt_21"/>
                  <wp:cNvGraphicFramePr/>
                  <a:graphic xmlns:a="http://schemas.openxmlformats.org/drawingml/2006/main">
                    <a:graphicData uri="http://schemas.openxmlformats.org/drawingml/2006/picture">
                      <pic:pic xmlns:pic="http://schemas.openxmlformats.org/drawingml/2006/picture">
                        <pic:nvPicPr>
                          <pic:cNvPr id="581" name="ID_B5BF18E09CFE43799C5EE3D44F45FB47_SpCnt_21"/>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4365" cy="542290"/>
                  <wp:effectExtent l="0" t="0" r="0" b="0"/>
                  <wp:wrapNone/>
                  <wp:docPr id="582" name="图片_19_SpCnt_9"/>
                  <wp:cNvGraphicFramePr/>
                  <a:graphic xmlns:a="http://schemas.openxmlformats.org/drawingml/2006/main">
                    <a:graphicData uri="http://schemas.openxmlformats.org/drawingml/2006/picture">
                      <pic:pic xmlns:pic="http://schemas.openxmlformats.org/drawingml/2006/picture">
                        <pic:nvPicPr>
                          <pic:cNvPr id="582" name="图片_19_SpCnt_9"/>
                          <pic:cNvPicPr/>
                        </pic:nvPicPr>
                        <pic:blipFill>
                          <a:blip r:embed="rId13"/>
                          <a:stretch>
                            <a:fillRect/>
                          </a:stretch>
                        </pic:blipFill>
                        <pic:spPr>
                          <a:xfrm>
                            <a:off x="0" y="0"/>
                            <a:ext cx="634365"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723265" cy="715010"/>
                  <wp:effectExtent l="0" t="0" r="0" b="0"/>
                  <wp:wrapNone/>
                  <wp:docPr id="583" name="ID_B73E8774DBA24C66A077783CE7B139D0_SpCnt_21"/>
                  <wp:cNvGraphicFramePr/>
                  <a:graphic xmlns:a="http://schemas.openxmlformats.org/drawingml/2006/main">
                    <a:graphicData uri="http://schemas.openxmlformats.org/drawingml/2006/picture">
                      <pic:pic xmlns:pic="http://schemas.openxmlformats.org/drawingml/2006/picture">
                        <pic:nvPicPr>
                          <pic:cNvPr id="583" name="ID_B73E8774DBA24C66A077783CE7B139D0_SpCnt_21"/>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716280" cy="715010"/>
                  <wp:effectExtent l="0" t="0" r="0" b="0"/>
                  <wp:wrapNone/>
                  <wp:docPr id="584" name="ID_DE60E1367F4D47B68B43A253F9DB257F_SpCnt_21"/>
                  <wp:cNvGraphicFramePr/>
                  <a:graphic xmlns:a="http://schemas.openxmlformats.org/drawingml/2006/main">
                    <a:graphicData uri="http://schemas.openxmlformats.org/drawingml/2006/picture">
                      <pic:pic xmlns:pic="http://schemas.openxmlformats.org/drawingml/2006/picture">
                        <pic:nvPicPr>
                          <pic:cNvPr id="584" name="ID_DE60E1367F4D47B68B43A253F9DB257F_SpCnt_21"/>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39115" cy="541020"/>
                  <wp:effectExtent l="0" t="0" r="0" b="0"/>
                  <wp:wrapNone/>
                  <wp:docPr id="585" name="ID_45D7BB5C0C2941B4B922D418AC375462"/>
                  <wp:cNvGraphicFramePr/>
                  <a:graphic xmlns:a="http://schemas.openxmlformats.org/drawingml/2006/main">
                    <a:graphicData uri="http://schemas.openxmlformats.org/drawingml/2006/picture">
                      <pic:pic xmlns:pic="http://schemas.openxmlformats.org/drawingml/2006/picture">
                        <pic:nvPicPr>
                          <pic:cNvPr id="585" name="ID_45D7BB5C0C2941B4B922D418AC375462"/>
                          <pic:cNvPicPr/>
                        </pic:nvPicPr>
                        <pic:blipFill>
                          <a:blip r:embed="rId13"/>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08330" cy="542290"/>
                  <wp:effectExtent l="0" t="0" r="0" b="0"/>
                  <wp:wrapNone/>
                  <wp:docPr id="586" name="ID_E826D4FD2F1D481EA1CFBD3451A51F56_SpCnt_21"/>
                  <wp:cNvGraphicFramePr/>
                  <a:graphic xmlns:a="http://schemas.openxmlformats.org/drawingml/2006/main">
                    <a:graphicData uri="http://schemas.openxmlformats.org/drawingml/2006/picture">
                      <pic:pic xmlns:pic="http://schemas.openxmlformats.org/drawingml/2006/picture">
                        <pic:nvPicPr>
                          <pic:cNvPr id="586" name="ID_E826D4FD2F1D481EA1CFBD3451A51F56_SpCnt_21"/>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723265" cy="715010"/>
                  <wp:effectExtent l="0" t="0" r="0" b="0"/>
                  <wp:wrapNone/>
                  <wp:docPr id="587" name="ID_E826D4FD2F1D481EA1CFBD3451A51F56_SpCnt_22"/>
                  <wp:cNvGraphicFramePr/>
                  <a:graphic xmlns:a="http://schemas.openxmlformats.org/drawingml/2006/main">
                    <a:graphicData uri="http://schemas.openxmlformats.org/drawingml/2006/picture">
                      <pic:pic xmlns:pic="http://schemas.openxmlformats.org/drawingml/2006/picture">
                        <pic:nvPicPr>
                          <pic:cNvPr id="587" name="ID_E826D4FD2F1D481EA1CFBD3451A51F56_SpCnt_22"/>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08330" cy="542290"/>
                  <wp:effectExtent l="0" t="0" r="0" b="0"/>
                  <wp:wrapNone/>
                  <wp:docPr id="588" name="ID_B5BF18E09CFE43799C5EE3D44F45FB47_SpCnt_22"/>
                  <wp:cNvGraphicFramePr/>
                  <a:graphic xmlns:a="http://schemas.openxmlformats.org/drawingml/2006/main">
                    <a:graphicData uri="http://schemas.openxmlformats.org/drawingml/2006/picture">
                      <pic:pic xmlns:pic="http://schemas.openxmlformats.org/drawingml/2006/picture">
                        <pic:nvPicPr>
                          <pic:cNvPr id="588" name="ID_B5BF18E09CFE43799C5EE3D44F45FB47_SpCnt_22"/>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08330" cy="542290"/>
                  <wp:effectExtent l="0" t="0" r="0" b="0"/>
                  <wp:wrapNone/>
                  <wp:docPr id="589" name="ID_B73E8774DBA24C66A077783CE7B139D0_SpCnt_22"/>
                  <wp:cNvGraphicFramePr/>
                  <a:graphic xmlns:a="http://schemas.openxmlformats.org/drawingml/2006/main">
                    <a:graphicData uri="http://schemas.openxmlformats.org/drawingml/2006/picture">
                      <pic:pic xmlns:pic="http://schemas.openxmlformats.org/drawingml/2006/picture">
                        <pic:nvPicPr>
                          <pic:cNvPr id="589" name="ID_B73E8774DBA24C66A077783CE7B139D0_SpCnt_22"/>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08330" cy="542290"/>
                  <wp:effectExtent l="0" t="0" r="0" b="0"/>
                  <wp:wrapNone/>
                  <wp:docPr id="590" name="ID_CA31AD5AD4A240A69EBE9CEAC8E99D77_SpCnt_21"/>
                  <wp:cNvGraphicFramePr/>
                  <a:graphic xmlns:a="http://schemas.openxmlformats.org/drawingml/2006/main">
                    <a:graphicData uri="http://schemas.openxmlformats.org/drawingml/2006/picture">
                      <pic:pic xmlns:pic="http://schemas.openxmlformats.org/drawingml/2006/picture">
                        <pic:nvPicPr>
                          <pic:cNvPr id="590" name="ID_CA31AD5AD4A240A69EBE9CEAC8E99D77_SpCnt_21"/>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4365" cy="539750"/>
                  <wp:effectExtent l="0" t="0" r="0" b="0"/>
                  <wp:wrapNone/>
                  <wp:docPr id="591" name="图片_18_SpCnt_15"/>
                  <wp:cNvGraphicFramePr/>
                  <a:graphic xmlns:a="http://schemas.openxmlformats.org/drawingml/2006/main">
                    <a:graphicData uri="http://schemas.openxmlformats.org/drawingml/2006/picture">
                      <pic:pic xmlns:pic="http://schemas.openxmlformats.org/drawingml/2006/picture">
                        <pic:nvPicPr>
                          <pic:cNvPr id="591" name="图片_18_SpCnt_15"/>
                          <pic:cNvPicPr/>
                        </pic:nvPicPr>
                        <pic:blipFill>
                          <a:blip r:embed="rId13"/>
                          <a:stretch>
                            <a:fillRect/>
                          </a:stretch>
                        </pic:blipFill>
                        <pic:spPr>
                          <a:xfrm>
                            <a:off x="0" y="0"/>
                            <a:ext cx="634365" cy="5397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39115" cy="541020"/>
                  <wp:effectExtent l="0" t="0" r="0" b="0"/>
                  <wp:wrapNone/>
                  <wp:docPr id="592" name="ID_34BD430C0D8E4301B5D2E6DEA77B953F"/>
                  <wp:cNvGraphicFramePr/>
                  <a:graphic xmlns:a="http://schemas.openxmlformats.org/drawingml/2006/main">
                    <a:graphicData uri="http://schemas.openxmlformats.org/drawingml/2006/picture">
                      <pic:pic xmlns:pic="http://schemas.openxmlformats.org/drawingml/2006/picture">
                        <pic:nvPicPr>
                          <pic:cNvPr id="592" name="ID_34BD430C0D8E4301B5D2E6DEA77B953F"/>
                          <pic:cNvPicPr/>
                        </pic:nvPicPr>
                        <pic:blipFill>
                          <a:blip r:embed="rId13"/>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39115" cy="539115"/>
                  <wp:effectExtent l="0" t="0" r="0" b="0"/>
                  <wp:wrapNone/>
                  <wp:docPr id="593" name="ID_1D2DA7D5EFFF48789A845F8F8569F9EE"/>
                  <wp:cNvGraphicFramePr/>
                  <a:graphic xmlns:a="http://schemas.openxmlformats.org/drawingml/2006/main">
                    <a:graphicData uri="http://schemas.openxmlformats.org/drawingml/2006/picture">
                      <pic:pic xmlns:pic="http://schemas.openxmlformats.org/drawingml/2006/picture">
                        <pic:nvPicPr>
                          <pic:cNvPr id="593" name="ID_1D2DA7D5EFFF48789A845F8F8569F9EE"/>
                          <pic:cNvPicPr/>
                        </pic:nvPicPr>
                        <pic:blipFill>
                          <a:blip r:embed="rId13"/>
                          <a:stretch>
                            <a:fillRect/>
                          </a:stretch>
                        </pic:blipFill>
                        <pic:spPr>
                          <a:xfrm>
                            <a:off x="0" y="0"/>
                            <a:ext cx="539115" cy="53911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39115" cy="538480"/>
                  <wp:effectExtent l="0" t="0" r="0" b="0"/>
                  <wp:wrapNone/>
                  <wp:docPr id="594" name="ID_430ADB65064C477C8AF98FB8F15CEBA1"/>
                  <wp:cNvGraphicFramePr/>
                  <a:graphic xmlns:a="http://schemas.openxmlformats.org/drawingml/2006/main">
                    <a:graphicData uri="http://schemas.openxmlformats.org/drawingml/2006/picture">
                      <pic:pic xmlns:pic="http://schemas.openxmlformats.org/drawingml/2006/picture">
                        <pic:nvPicPr>
                          <pic:cNvPr id="594" name="ID_430ADB65064C477C8AF98FB8F15CEBA1"/>
                          <pic:cNvPicPr/>
                        </pic:nvPicPr>
                        <pic:blipFill>
                          <a:blip r:embed="rId13"/>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723265" cy="715010"/>
                  <wp:effectExtent l="0" t="0" r="0" b="0"/>
                  <wp:wrapNone/>
                  <wp:docPr id="595" name="ID_CA31AD5AD4A240A69EBE9CEAC8E99D77_SpCnt_22"/>
                  <wp:cNvGraphicFramePr/>
                  <a:graphic xmlns:a="http://schemas.openxmlformats.org/drawingml/2006/main">
                    <a:graphicData uri="http://schemas.openxmlformats.org/drawingml/2006/picture">
                      <pic:pic xmlns:pic="http://schemas.openxmlformats.org/drawingml/2006/picture">
                        <pic:nvPicPr>
                          <pic:cNvPr id="595" name="ID_CA31AD5AD4A240A69EBE9CEAC8E99D77_SpCnt_22"/>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08330" cy="542290"/>
                  <wp:effectExtent l="0" t="0" r="0" b="0"/>
                  <wp:wrapNone/>
                  <wp:docPr id="596" name="ID_DE60E1367F4D47B68B43A253F9DB257F_SpCnt_22"/>
                  <wp:cNvGraphicFramePr/>
                  <a:graphic xmlns:a="http://schemas.openxmlformats.org/drawingml/2006/main">
                    <a:graphicData uri="http://schemas.openxmlformats.org/drawingml/2006/picture">
                      <pic:pic xmlns:pic="http://schemas.openxmlformats.org/drawingml/2006/picture">
                        <pic:nvPicPr>
                          <pic:cNvPr id="596" name="ID_DE60E1367F4D47B68B43A253F9DB257F_SpCnt_22"/>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39115" cy="539750"/>
                  <wp:effectExtent l="0" t="0" r="0" b="0"/>
                  <wp:wrapNone/>
                  <wp:docPr id="597" name="ID_022CFE9ECF76443C84FF6E8FE5377D48"/>
                  <wp:cNvGraphicFramePr/>
                  <a:graphic xmlns:a="http://schemas.openxmlformats.org/drawingml/2006/main">
                    <a:graphicData uri="http://schemas.openxmlformats.org/drawingml/2006/picture">
                      <pic:pic xmlns:pic="http://schemas.openxmlformats.org/drawingml/2006/picture">
                        <pic:nvPicPr>
                          <pic:cNvPr id="597" name="ID_022CFE9ECF76443C84FF6E8FE5377D48"/>
                          <pic:cNvPicPr/>
                        </pic:nvPicPr>
                        <pic:blipFill>
                          <a:blip r:embed="rId13"/>
                          <a:stretch>
                            <a:fillRect/>
                          </a:stretch>
                        </pic:blipFill>
                        <pic:spPr>
                          <a:xfrm>
                            <a:off x="0" y="0"/>
                            <a:ext cx="539115" cy="5397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39115" cy="541020"/>
                  <wp:effectExtent l="0" t="0" r="0" b="0"/>
                  <wp:wrapNone/>
                  <wp:docPr id="598" name="ID_ADE36C5442AC456B90F5554850069795"/>
                  <wp:cNvGraphicFramePr/>
                  <a:graphic xmlns:a="http://schemas.openxmlformats.org/drawingml/2006/main">
                    <a:graphicData uri="http://schemas.openxmlformats.org/drawingml/2006/picture">
                      <pic:pic xmlns:pic="http://schemas.openxmlformats.org/drawingml/2006/picture">
                        <pic:nvPicPr>
                          <pic:cNvPr id="598" name="ID_ADE36C5442AC456B90F5554850069795"/>
                          <pic:cNvPicPr/>
                        </pic:nvPicPr>
                        <pic:blipFill>
                          <a:blip r:embed="rId13"/>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39115" cy="541020"/>
                  <wp:effectExtent l="0" t="0" r="0" b="0"/>
                  <wp:wrapNone/>
                  <wp:docPr id="599" name="ID_82F56A308AEB4E40B7CFFAD6A1169D92"/>
                  <wp:cNvGraphicFramePr/>
                  <a:graphic xmlns:a="http://schemas.openxmlformats.org/drawingml/2006/main">
                    <a:graphicData uri="http://schemas.openxmlformats.org/drawingml/2006/picture">
                      <pic:pic xmlns:pic="http://schemas.openxmlformats.org/drawingml/2006/picture">
                        <pic:nvPicPr>
                          <pic:cNvPr id="599" name="ID_82F56A308AEB4E40B7CFFAD6A1169D92"/>
                          <pic:cNvPicPr/>
                        </pic:nvPicPr>
                        <pic:blipFill>
                          <a:blip r:embed="rId13"/>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39115" cy="541020"/>
                  <wp:effectExtent l="0" t="0" r="0" b="0"/>
                  <wp:wrapNone/>
                  <wp:docPr id="600" name="ID_BF17101804024A13B72CAC5E77C43885"/>
                  <wp:cNvGraphicFramePr/>
                  <a:graphic xmlns:a="http://schemas.openxmlformats.org/drawingml/2006/main">
                    <a:graphicData uri="http://schemas.openxmlformats.org/drawingml/2006/picture">
                      <pic:pic xmlns:pic="http://schemas.openxmlformats.org/drawingml/2006/picture">
                        <pic:nvPicPr>
                          <pic:cNvPr id="600" name="ID_BF17101804024A13B72CAC5E77C43885"/>
                          <pic:cNvPicPr/>
                        </pic:nvPicPr>
                        <pic:blipFill>
                          <a:blip r:embed="rId13"/>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39115" cy="540385"/>
                  <wp:effectExtent l="0" t="0" r="0" b="0"/>
                  <wp:wrapNone/>
                  <wp:docPr id="601" name="ID_B639C15C412A481E849C6DAD145CF1BC"/>
                  <wp:cNvGraphicFramePr/>
                  <a:graphic xmlns:a="http://schemas.openxmlformats.org/drawingml/2006/main">
                    <a:graphicData uri="http://schemas.openxmlformats.org/drawingml/2006/picture">
                      <pic:pic xmlns:pic="http://schemas.openxmlformats.org/drawingml/2006/picture">
                        <pic:nvPicPr>
                          <pic:cNvPr id="601" name="ID_B639C15C412A481E849C6DAD145CF1BC"/>
                          <pic:cNvPicPr/>
                        </pic:nvPicPr>
                        <pic:blipFill>
                          <a:blip r:embed="rId13"/>
                          <a:stretch>
                            <a:fillRect/>
                          </a:stretch>
                        </pic:blipFill>
                        <pic:spPr>
                          <a:xfrm>
                            <a:off x="0" y="0"/>
                            <a:ext cx="539115" cy="54038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4365" cy="544195"/>
                  <wp:effectExtent l="0" t="0" r="0" b="0"/>
                  <wp:wrapNone/>
                  <wp:docPr id="602" name="图片_1581"/>
                  <wp:cNvGraphicFramePr/>
                  <a:graphic xmlns:a="http://schemas.openxmlformats.org/drawingml/2006/main">
                    <a:graphicData uri="http://schemas.openxmlformats.org/drawingml/2006/picture">
                      <pic:pic xmlns:pic="http://schemas.openxmlformats.org/drawingml/2006/picture">
                        <pic:nvPicPr>
                          <pic:cNvPr id="602" name="图片_1581"/>
                          <pic:cNvPicPr/>
                        </pic:nvPicPr>
                        <pic:blipFill>
                          <a:blip r:embed="rId13"/>
                          <a:stretch>
                            <a:fillRect/>
                          </a:stretch>
                        </pic:blipFill>
                        <pic:spPr>
                          <a:xfrm>
                            <a:off x="0" y="0"/>
                            <a:ext cx="634365" cy="54419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720090" cy="717550"/>
                  <wp:effectExtent l="0" t="0" r="0" b="0"/>
                  <wp:wrapNone/>
                  <wp:docPr id="603" name="图片_18_SpCnt_16"/>
                  <wp:cNvGraphicFramePr/>
                  <a:graphic xmlns:a="http://schemas.openxmlformats.org/drawingml/2006/main">
                    <a:graphicData uri="http://schemas.openxmlformats.org/drawingml/2006/picture">
                      <pic:pic xmlns:pic="http://schemas.openxmlformats.org/drawingml/2006/picture">
                        <pic:nvPicPr>
                          <pic:cNvPr id="603" name="图片_18_SpCnt_16"/>
                          <pic:cNvPicPr/>
                        </pic:nvPicPr>
                        <pic:blipFill>
                          <a:blip r:embed="rId13"/>
                          <a:stretch>
                            <a:fillRect/>
                          </a:stretch>
                        </pic:blipFill>
                        <pic:spPr>
                          <a:xfrm>
                            <a:off x="0" y="0"/>
                            <a:ext cx="720090" cy="7175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718820" cy="715645"/>
                  <wp:effectExtent l="0" t="0" r="0" b="0"/>
                  <wp:wrapNone/>
                  <wp:docPr id="604" name="图片_18_SpCnt_17"/>
                  <wp:cNvGraphicFramePr/>
                  <a:graphic xmlns:a="http://schemas.openxmlformats.org/drawingml/2006/main">
                    <a:graphicData uri="http://schemas.openxmlformats.org/drawingml/2006/picture">
                      <pic:pic xmlns:pic="http://schemas.openxmlformats.org/drawingml/2006/picture">
                        <pic:nvPicPr>
                          <pic:cNvPr id="604" name="图片_18_SpCnt_17"/>
                          <pic:cNvPicPr/>
                        </pic:nvPicPr>
                        <pic:blipFill>
                          <a:blip r:embed="rId13"/>
                          <a:stretch>
                            <a:fillRect/>
                          </a:stretch>
                        </pic:blipFill>
                        <pic:spPr>
                          <a:xfrm>
                            <a:off x="0" y="0"/>
                            <a:ext cx="718820" cy="71564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39115" cy="537210"/>
                  <wp:effectExtent l="0" t="0" r="0" b="0"/>
                  <wp:wrapNone/>
                  <wp:docPr id="605" name="图片_333"/>
                  <wp:cNvGraphicFramePr/>
                  <a:graphic xmlns:a="http://schemas.openxmlformats.org/drawingml/2006/main">
                    <a:graphicData uri="http://schemas.openxmlformats.org/drawingml/2006/picture">
                      <pic:pic xmlns:pic="http://schemas.openxmlformats.org/drawingml/2006/picture">
                        <pic:nvPicPr>
                          <pic:cNvPr id="605" name="图片_333"/>
                          <pic:cNvPicPr/>
                        </pic:nvPicPr>
                        <pic:blipFill>
                          <a:blip r:embed="rId13"/>
                          <a:stretch>
                            <a:fillRect/>
                          </a:stretch>
                        </pic:blipFill>
                        <pic:spPr>
                          <a:xfrm>
                            <a:off x="0" y="0"/>
                            <a:ext cx="539115" cy="5372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39115" cy="537210"/>
                  <wp:effectExtent l="0" t="0" r="0" b="0"/>
                  <wp:wrapNone/>
                  <wp:docPr id="606" name="图片_334"/>
                  <wp:cNvGraphicFramePr/>
                  <a:graphic xmlns:a="http://schemas.openxmlformats.org/drawingml/2006/main">
                    <a:graphicData uri="http://schemas.openxmlformats.org/drawingml/2006/picture">
                      <pic:pic xmlns:pic="http://schemas.openxmlformats.org/drawingml/2006/picture">
                        <pic:nvPicPr>
                          <pic:cNvPr id="606" name="图片_334"/>
                          <pic:cNvPicPr/>
                        </pic:nvPicPr>
                        <pic:blipFill>
                          <a:blip r:embed="rId13"/>
                          <a:stretch>
                            <a:fillRect/>
                          </a:stretch>
                        </pic:blipFill>
                        <pic:spPr>
                          <a:xfrm>
                            <a:off x="0" y="0"/>
                            <a:ext cx="539115" cy="5372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39115" cy="539750"/>
                  <wp:effectExtent l="0" t="0" r="0" b="0"/>
                  <wp:wrapNone/>
                  <wp:docPr id="607" name="图片_339"/>
                  <wp:cNvGraphicFramePr/>
                  <a:graphic xmlns:a="http://schemas.openxmlformats.org/drawingml/2006/main">
                    <a:graphicData uri="http://schemas.openxmlformats.org/drawingml/2006/picture">
                      <pic:pic xmlns:pic="http://schemas.openxmlformats.org/drawingml/2006/picture">
                        <pic:nvPicPr>
                          <pic:cNvPr id="607" name="图片_339"/>
                          <pic:cNvPicPr/>
                        </pic:nvPicPr>
                        <pic:blipFill>
                          <a:blip r:embed="rId13"/>
                          <a:stretch>
                            <a:fillRect/>
                          </a:stretch>
                        </pic:blipFill>
                        <pic:spPr>
                          <a:xfrm>
                            <a:off x="0" y="0"/>
                            <a:ext cx="539115" cy="5397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39115" cy="537210"/>
                  <wp:effectExtent l="0" t="0" r="0" b="0"/>
                  <wp:wrapNone/>
                  <wp:docPr id="608" name="图片_335"/>
                  <wp:cNvGraphicFramePr/>
                  <a:graphic xmlns:a="http://schemas.openxmlformats.org/drawingml/2006/main">
                    <a:graphicData uri="http://schemas.openxmlformats.org/drawingml/2006/picture">
                      <pic:pic xmlns:pic="http://schemas.openxmlformats.org/drawingml/2006/picture">
                        <pic:nvPicPr>
                          <pic:cNvPr id="608" name="图片_335"/>
                          <pic:cNvPicPr/>
                        </pic:nvPicPr>
                        <pic:blipFill>
                          <a:blip r:embed="rId13"/>
                          <a:stretch>
                            <a:fillRect/>
                          </a:stretch>
                        </pic:blipFill>
                        <pic:spPr>
                          <a:xfrm>
                            <a:off x="0" y="0"/>
                            <a:ext cx="539115" cy="5372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39750" cy="538480"/>
                  <wp:effectExtent l="0" t="0" r="0" b="0"/>
                  <wp:wrapNone/>
                  <wp:docPr id="609" name="图片_1532"/>
                  <wp:cNvGraphicFramePr/>
                  <a:graphic xmlns:a="http://schemas.openxmlformats.org/drawingml/2006/main">
                    <a:graphicData uri="http://schemas.openxmlformats.org/drawingml/2006/picture">
                      <pic:pic xmlns:pic="http://schemas.openxmlformats.org/drawingml/2006/picture">
                        <pic:nvPicPr>
                          <pic:cNvPr id="609" name="图片_1532"/>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39750" cy="538480"/>
                  <wp:effectExtent l="0" t="0" r="0" b="0"/>
                  <wp:wrapNone/>
                  <wp:docPr id="610" name="图片_1533"/>
                  <wp:cNvGraphicFramePr/>
                  <a:graphic xmlns:a="http://schemas.openxmlformats.org/drawingml/2006/main">
                    <a:graphicData uri="http://schemas.openxmlformats.org/drawingml/2006/picture">
                      <pic:pic xmlns:pic="http://schemas.openxmlformats.org/drawingml/2006/picture">
                        <pic:nvPicPr>
                          <pic:cNvPr id="610" name="图片_1533"/>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39750" cy="538480"/>
                  <wp:effectExtent l="0" t="0" r="0" b="0"/>
                  <wp:wrapNone/>
                  <wp:docPr id="611" name="图片_1534"/>
                  <wp:cNvGraphicFramePr/>
                  <a:graphic xmlns:a="http://schemas.openxmlformats.org/drawingml/2006/main">
                    <a:graphicData uri="http://schemas.openxmlformats.org/drawingml/2006/picture">
                      <pic:pic xmlns:pic="http://schemas.openxmlformats.org/drawingml/2006/picture">
                        <pic:nvPicPr>
                          <pic:cNvPr id="611" name="图片_1534"/>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134620</wp:posOffset>
                  </wp:positionH>
                  <wp:positionV relativeFrom="paragraph">
                    <wp:posOffset>0</wp:posOffset>
                  </wp:positionV>
                  <wp:extent cx="601345" cy="537210"/>
                  <wp:effectExtent l="0" t="0" r="0" b="0"/>
                  <wp:wrapNone/>
                  <wp:docPr id="612" name="图片_10_SpCnt_1"/>
                  <wp:cNvGraphicFramePr/>
                  <a:graphic xmlns:a="http://schemas.openxmlformats.org/drawingml/2006/main">
                    <a:graphicData uri="http://schemas.openxmlformats.org/drawingml/2006/picture">
                      <pic:pic xmlns:pic="http://schemas.openxmlformats.org/drawingml/2006/picture">
                        <pic:nvPicPr>
                          <pic:cNvPr id="612" name="图片_10_SpCnt_1"/>
                          <pic:cNvPicPr/>
                        </pic:nvPicPr>
                        <pic:blipFill>
                          <a:blip r:embed="rId13"/>
                          <a:stretch>
                            <a:fillRect/>
                          </a:stretch>
                        </pic:blipFill>
                        <pic:spPr>
                          <a:xfrm>
                            <a:off x="0" y="0"/>
                            <a:ext cx="601345" cy="5372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503555</wp:posOffset>
                  </wp:positionH>
                  <wp:positionV relativeFrom="paragraph">
                    <wp:posOffset>0</wp:posOffset>
                  </wp:positionV>
                  <wp:extent cx="634365" cy="539750"/>
                  <wp:effectExtent l="0" t="0" r="0" b="0"/>
                  <wp:wrapNone/>
                  <wp:docPr id="613" name="图片_18_SpCnt_18"/>
                  <wp:cNvGraphicFramePr/>
                  <a:graphic xmlns:a="http://schemas.openxmlformats.org/drawingml/2006/main">
                    <a:graphicData uri="http://schemas.openxmlformats.org/drawingml/2006/picture">
                      <pic:pic xmlns:pic="http://schemas.openxmlformats.org/drawingml/2006/picture">
                        <pic:nvPicPr>
                          <pic:cNvPr id="613" name="图片_18_SpCnt_18"/>
                          <pic:cNvPicPr/>
                        </pic:nvPicPr>
                        <pic:blipFill>
                          <a:blip r:embed="rId13"/>
                          <a:stretch>
                            <a:fillRect/>
                          </a:stretch>
                        </pic:blipFill>
                        <pic:spPr>
                          <a:xfrm>
                            <a:off x="0" y="0"/>
                            <a:ext cx="634365" cy="5397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570230</wp:posOffset>
                  </wp:positionH>
                  <wp:positionV relativeFrom="paragraph">
                    <wp:posOffset>0</wp:posOffset>
                  </wp:positionV>
                  <wp:extent cx="725805" cy="715010"/>
                  <wp:effectExtent l="0" t="0" r="0" b="0"/>
                  <wp:wrapNone/>
                  <wp:docPr id="614" name="ID_B73E8774DBA24C66A077783CE7B139D0_SpCnt_23"/>
                  <wp:cNvGraphicFramePr/>
                  <a:graphic xmlns:a="http://schemas.openxmlformats.org/drawingml/2006/main">
                    <a:graphicData uri="http://schemas.openxmlformats.org/drawingml/2006/picture">
                      <pic:pic xmlns:pic="http://schemas.openxmlformats.org/drawingml/2006/picture">
                        <pic:nvPicPr>
                          <pic:cNvPr id="614" name="ID_B73E8774DBA24C66A077783CE7B139D0_SpCnt_23"/>
                          <pic:cNvPicPr/>
                        </pic:nvPicPr>
                        <pic:blipFill>
                          <a:blip r:embed="rId13"/>
                          <a:stretch>
                            <a:fillRect/>
                          </a:stretch>
                        </pic:blipFill>
                        <pic:spPr>
                          <a:xfrm>
                            <a:off x="0" y="0"/>
                            <a:ext cx="72580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578485</wp:posOffset>
                  </wp:positionH>
                  <wp:positionV relativeFrom="paragraph">
                    <wp:posOffset>0</wp:posOffset>
                  </wp:positionV>
                  <wp:extent cx="716280" cy="715010"/>
                  <wp:effectExtent l="0" t="0" r="0" b="0"/>
                  <wp:wrapNone/>
                  <wp:docPr id="615" name="ID_B5BF18E09CFE43799C5EE3D44F45FB47_SpCnt_23"/>
                  <wp:cNvGraphicFramePr/>
                  <a:graphic xmlns:a="http://schemas.openxmlformats.org/drawingml/2006/main">
                    <a:graphicData uri="http://schemas.openxmlformats.org/drawingml/2006/picture">
                      <pic:pic xmlns:pic="http://schemas.openxmlformats.org/drawingml/2006/picture">
                        <pic:nvPicPr>
                          <pic:cNvPr id="615" name="ID_B5BF18E09CFE43799C5EE3D44F45FB47_SpCnt_23"/>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579120</wp:posOffset>
                  </wp:positionH>
                  <wp:positionV relativeFrom="paragraph">
                    <wp:posOffset>0</wp:posOffset>
                  </wp:positionV>
                  <wp:extent cx="716915" cy="715010"/>
                  <wp:effectExtent l="0" t="0" r="0" b="0"/>
                  <wp:wrapNone/>
                  <wp:docPr id="616" name="ID_B5BF18E09CFE43799C5EE3D44F45FB47_SpCnt_24"/>
                  <wp:cNvGraphicFramePr/>
                  <a:graphic xmlns:a="http://schemas.openxmlformats.org/drawingml/2006/main">
                    <a:graphicData uri="http://schemas.openxmlformats.org/drawingml/2006/picture">
                      <pic:pic xmlns:pic="http://schemas.openxmlformats.org/drawingml/2006/picture">
                        <pic:nvPicPr>
                          <pic:cNvPr id="616" name="ID_B5BF18E09CFE43799C5EE3D44F45FB47_SpCnt_24"/>
                          <pic:cNvPicPr/>
                        </pic:nvPicPr>
                        <pic:blipFill>
                          <a:blip r:embed="rId13"/>
                          <a:stretch>
                            <a:fillRect/>
                          </a:stretch>
                        </pic:blipFill>
                        <pic:spPr>
                          <a:xfrm>
                            <a:off x="0" y="0"/>
                            <a:ext cx="71691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571500</wp:posOffset>
                  </wp:positionH>
                  <wp:positionV relativeFrom="paragraph">
                    <wp:posOffset>0</wp:posOffset>
                  </wp:positionV>
                  <wp:extent cx="723265" cy="715010"/>
                  <wp:effectExtent l="0" t="0" r="0" b="0"/>
                  <wp:wrapNone/>
                  <wp:docPr id="617" name="ID_B73E8774DBA24C66A077783CE7B139D0_SpCnt_24"/>
                  <wp:cNvGraphicFramePr/>
                  <a:graphic xmlns:a="http://schemas.openxmlformats.org/drawingml/2006/main">
                    <a:graphicData uri="http://schemas.openxmlformats.org/drawingml/2006/picture">
                      <pic:pic xmlns:pic="http://schemas.openxmlformats.org/drawingml/2006/picture">
                        <pic:nvPicPr>
                          <pic:cNvPr id="617" name="ID_B73E8774DBA24C66A077783CE7B139D0_SpCnt_24"/>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573405</wp:posOffset>
                  </wp:positionH>
                  <wp:positionV relativeFrom="paragraph">
                    <wp:posOffset>0</wp:posOffset>
                  </wp:positionV>
                  <wp:extent cx="596900" cy="504190"/>
                  <wp:effectExtent l="0" t="0" r="0" b="0"/>
                  <wp:wrapNone/>
                  <wp:docPr id="618" name="ID_B73E8774DBA24C66A077783CE7B139D0_SpCnt_25"/>
                  <wp:cNvGraphicFramePr/>
                  <a:graphic xmlns:a="http://schemas.openxmlformats.org/drawingml/2006/main">
                    <a:graphicData uri="http://schemas.openxmlformats.org/drawingml/2006/picture">
                      <pic:pic xmlns:pic="http://schemas.openxmlformats.org/drawingml/2006/picture">
                        <pic:nvPicPr>
                          <pic:cNvPr id="618" name="ID_B73E8774DBA24C66A077783CE7B139D0_SpCnt_25"/>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580390</wp:posOffset>
                  </wp:positionH>
                  <wp:positionV relativeFrom="paragraph">
                    <wp:posOffset>0</wp:posOffset>
                  </wp:positionV>
                  <wp:extent cx="596900" cy="504190"/>
                  <wp:effectExtent l="0" t="0" r="0" b="0"/>
                  <wp:wrapNone/>
                  <wp:docPr id="619" name="ID_B73E8774DBA24C66A077783CE7B139D0_SpCnt_26"/>
                  <wp:cNvGraphicFramePr/>
                  <a:graphic xmlns:a="http://schemas.openxmlformats.org/drawingml/2006/main">
                    <a:graphicData uri="http://schemas.openxmlformats.org/drawingml/2006/picture">
                      <pic:pic xmlns:pic="http://schemas.openxmlformats.org/drawingml/2006/picture">
                        <pic:nvPicPr>
                          <pic:cNvPr id="619" name="ID_B73E8774DBA24C66A077783CE7B139D0_SpCnt_26"/>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578485</wp:posOffset>
                  </wp:positionH>
                  <wp:positionV relativeFrom="paragraph">
                    <wp:posOffset>0</wp:posOffset>
                  </wp:positionV>
                  <wp:extent cx="596900" cy="504190"/>
                  <wp:effectExtent l="0" t="0" r="0" b="0"/>
                  <wp:wrapNone/>
                  <wp:docPr id="620" name="ID_B5BF18E09CFE43799C5EE3D44F45FB47_SpCnt_25"/>
                  <wp:cNvGraphicFramePr/>
                  <a:graphic xmlns:a="http://schemas.openxmlformats.org/drawingml/2006/main">
                    <a:graphicData uri="http://schemas.openxmlformats.org/drawingml/2006/picture">
                      <pic:pic xmlns:pic="http://schemas.openxmlformats.org/drawingml/2006/picture">
                        <pic:nvPicPr>
                          <pic:cNvPr id="620" name="ID_B5BF18E09CFE43799C5EE3D44F45FB47_SpCnt_25"/>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585470</wp:posOffset>
                  </wp:positionH>
                  <wp:positionV relativeFrom="paragraph">
                    <wp:posOffset>0</wp:posOffset>
                  </wp:positionV>
                  <wp:extent cx="596900" cy="504190"/>
                  <wp:effectExtent l="0" t="0" r="0" b="0"/>
                  <wp:wrapNone/>
                  <wp:docPr id="621" name="ID_B5BF18E09CFE43799C5EE3D44F45FB47_SpCnt_26"/>
                  <wp:cNvGraphicFramePr/>
                  <a:graphic xmlns:a="http://schemas.openxmlformats.org/drawingml/2006/main">
                    <a:graphicData uri="http://schemas.openxmlformats.org/drawingml/2006/picture">
                      <pic:pic xmlns:pic="http://schemas.openxmlformats.org/drawingml/2006/picture">
                        <pic:nvPicPr>
                          <pic:cNvPr id="621" name="ID_B5BF18E09CFE43799C5EE3D44F45FB47_SpCnt_26"/>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588645</wp:posOffset>
                  </wp:positionH>
                  <wp:positionV relativeFrom="paragraph">
                    <wp:posOffset>0</wp:posOffset>
                  </wp:positionV>
                  <wp:extent cx="596900" cy="504190"/>
                  <wp:effectExtent l="0" t="0" r="0" b="0"/>
                  <wp:wrapNone/>
                  <wp:docPr id="622" name="ID_B73E8774DBA24C66A077783CE7B139D0_SpCnt_27"/>
                  <wp:cNvGraphicFramePr/>
                  <a:graphic xmlns:a="http://schemas.openxmlformats.org/drawingml/2006/main">
                    <a:graphicData uri="http://schemas.openxmlformats.org/drawingml/2006/picture">
                      <pic:pic xmlns:pic="http://schemas.openxmlformats.org/drawingml/2006/picture">
                        <pic:nvPicPr>
                          <pic:cNvPr id="622" name="ID_B73E8774DBA24C66A077783CE7B139D0_SpCnt_27"/>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594995</wp:posOffset>
                  </wp:positionH>
                  <wp:positionV relativeFrom="paragraph">
                    <wp:posOffset>0</wp:posOffset>
                  </wp:positionV>
                  <wp:extent cx="716280" cy="715010"/>
                  <wp:effectExtent l="0" t="0" r="0" b="0"/>
                  <wp:wrapNone/>
                  <wp:docPr id="623" name="ID_DE60E1367F4D47B68B43A253F9DB257F_SpCnt_23"/>
                  <wp:cNvGraphicFramePr/>
                  <a:graphic xmlns:a="http://schemas.openxmlformats.org/drawingml/2006/main">
                    <a:graphicData uri="http://schemas.openxmlformats.org/drawingml/2006/picture">
                      <pic:pic xmlns:pic="http://schemas.openxmlformats.org/drawingml/2006/picture">
                        <pic:nvPicPr>
                          <pic:cNvPr id="623" name="ID_DE60E1367F4D47B68B43A253F9DB257F_SpCnt_23"/>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594995</wp:posOffset>
                  </wp:positionH>
                  <wp:positionV relativeFrom="paragraph">
                    <wp:posOffset>0</wp:posOffset>
                  </wp:positionV>
                  <wp:extent cx="723265" cy="715010"/>
                  <wp:effectExtent l="0" t="0" r="0" b="0"/>
                  <wp:wrapNone/>
                  <wp:docPr id="624" name="ID_CA31AD5AD4A240A69EBE9CEAC8E99D77_SpCnt_23"/>
                  <wp:cNvGraphicFramePr/>
                  <a:graphic xmlns:a="http://schemas.openxmlformats.org/drawingml/2006/main">
                    <a:graphicData uri="http://schemas.openxmlformats.org/drawingml/2006/picture">
                      <pic:pic xmlns:pic="http://schemas.openxmlformats.org/drawingml/2006/picture">
                        <pic:nvPicPr>
                          <pic:cNvPr id="624" name="ID_CA31AD5AD4A240A69EBE9CEAC8E99D77_SpCnt_23"/>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594995</wp:posOffset>
                  </wp:positionH>
                  <wp:positionV relativeFrom="paragraph">
                    <wp:posOffset>0</wp:posOffset>
                  </wp:positionV>
                  <wp:extent cx="715645" cy="715010"/>
                  <wp:effectExtent l="0" t="0" r="0" b="0"/>
                  <wp:wrapNone/>
                  <wp:docPr id="625" name="ID_DE60E1367F4D47B68B43A253F9DB257F_SpCnt_24"/>
                  <wp:cNvGraphicFramePr/>
                  <a:graphic xmlns:a="http://schemas.openxmlformats.org/drawingml/2006/main">
                    <a:graphicData uri="http://schemas.openxmlformats.org/drawingml/2006/picture">
                      <pic:pic xmlns:pic="http://schemas.openxmlformats.org/drawingml/2006/picture">
                        <pic:nvPicPr>
                          <pic:cNvPr id="625" name="ID_DE60E1367F4D47B68B43A253F9DB257F_SpCnt_24"/>
                          <pic:cNvPicPr/>
                        </pic:nvPicPr>
                        <pic:blipFill>
                          <a:blip r:embed="rId13"/>
                          <a:stretch>
                            <a:fillRect/>
                          </a:stretch>
                        </pic:blipFill>
                        <pic:spPr>
                          <a:xfrm>
                            <a:off x="0" y="0"/>
                            <a:ext cx="71564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594995</wp:posOffset>
                  </wp:positionH>
                  <wp:positionV relativeFrom="paragraph">
                    <wp:posOffset>0</wp:posOffset>
                  </wp:positionV>
                  <wp:extent cx="723265" cy="715010"/>
                  <wp:effectExtent l="0" t="0" r="0" b="0"/>
                  <wp:wrapNone/>
                  <wp:docPr id="626" name="ID_E826D4FD2F1D481EA1CFBD3451A51F56_SpCnt_23"/>
                  <wp:cNvGraphicFramePr/>
                  <a:graphic xmlns:a="http://schemas.openxmlformats.org/drawingml/2006/main">
                    <a:graphicData uri="http://schemas.openxmlformats.org/drawingml/2006/picture">
                      <pic:pic xmlns:pic="http://schemas.openxmlformats.org/drawingml/2006/picture">
                        <pic:nvPicPr>
                          <pic:cNvPr id="626" name="ID_E826D4FD2F1D481EA1CFBD3451A51F56_SpCnt_23"/>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597535</wp:posOffset>
                  </wp:positionH>
                  <wp:positionV relativeFrom="paragraph">
                    <wp:posOffset>0</wp:posOffset>
                  </wp:positionV>
                  <wp:extent cx="634365" cy="542290"/>
                  <wp:effectExtent l="0" t="0" r="0" b="0"/>
                  <wp:wrapNone/>
                  <wp:docPr id="627" name="图片_19_SpCnt_10"/>
                  <wp:cNvGraphicFramePr/>
                  <a:graphic xmlns:a="http://schemas.openxmlformats.org/drawingml/2006/main">
                    <a:graphicData uri="http://schemas.openxmlformats.org/drawingml/2006/picture">
                      <pic:pic xmlns:pic="http://schemas.openxmlformats.org/drawingml/2006/picture">
                        <pic:nvPicPr>
                          <pic:cNvPr id="627" name="图片_19_SpCnt_10"/>
                          <pic:cNvPicPr/>
                        </pic:nvPicPr>
                        <pic:blipFill>
                          <a:blip r:embed="rId13"/>
                          <a:stretch>
                            <a:fillRect/>
                          </a:stretch>
                        </pic:blipFill>
                        <pic:spPr>
                          <a:xfrm>
                            <a:off x="0" y="0"/>
                            <a:ext cx="634365"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596265</wp:posOffset>
                  </wp:positionH>
                  <wp:positionV relativeFrom="paragraph">
                    <wp:posOffset>0</wp:posOffset>
                  </wp:positionV>
                  <wp:extent cx="596900" cy="504190"/>
                  <wp:effectExtent l="0" t="0" r="0" b="0"/>
                  <wp:wrapNone/>
                  <wp:docPr id="628" name="ID_E826D4FD2F1D481EA1CFBD3451A51F56_SpCnt_24"/>
                  <wp:cNvGraphicFramePr/>
                  <a:graphic xmlns:a="http://schemas.openxmlformats.org/drawingml/2006/main">
                    <a:graphicData uri="http://schemas.openxmlformats.org/drawingml/2006/picture">
                      <pic:pic xmlns:pic="http://schemas.openxmlformats.org/drawingml/2006/picture">
                        <pic:nvPicPr>
                          <pic:cNvPr id="628" name="ID_E826D4FD2F1D481EA1CFBD3451A51F56_SpCnt_24"/>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596265</wp:posOffset>
                  </wp:positionH>
                  <wp:positionV relativeFrom="paragraph">
                    <wp:posOffset>0</wp:posOffset>
                  </wp:positionV>
                  <wp:extent cx="596900" cy="504190"/>
                  <wp:effectExtent l="0" t="0" r="0" b="0"/>
                  <wp:wrapNone/>
                  <wp:docPr id="629" name="ID_CA31AD5AD4A240A69EBE9CEAC8E99D77_SpCnt_24"/>
                  <wp:cNvGraphicFramePr/>
                  <a:graphic xmlns:a="http://schemas.openxmlformats.org/drawingml/2006/main">
                    <a:graphicData uri="http://schemas.openxmlformats.org/drawingml/2006/picture">
                      <pic:pic xmlns:pic="http://schemas.openxmlformats.org/drawingml/2006/picture">
                        <pic:nvPicPr>
                          <pic:cNvPr id="629" name="ID_CA31AD5AD4A240A69EBE9CEAC8E99D77_SpCnt_24"/>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593090</wp:posOffset>
                  </wp:positionH>
                  <wp:positionV relativeFrom="paragraph">
                    <wp:posOffset>0</wp:posOffset>
                  </wp:positionV>
                  <wp:extent cx="596900" cy="504190"/>
                  <wp:effectExtent l="0" t="0" r="0" b="0"/>
                  <wp:wrapNone/>
                  <wp:docPr id="630" name="ID_DE60E1367F4D47B68B43A253F9DB257F_SpCnt_25"/>
                  <wp:cNvGraphicFramePr/>
                  <a:graphic xmlns:a="http://schemas.openxmlformats.org/drawingml/2006/main">
                    <a:graphicData uri="http://schemas.openxmlformats.org/drawingml/2006/picture">
                      <pic:pic xmlns:pic="http://schemas.openxmlformats.org/drawingml/2006/picture">
                        <pic:nvPicPr>
                          <pic:cNvPr id="630" name="ID_DE60E1367F4D47B68B43A253F9DB257F_SpCnt_25"/>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593725</wp:posOffset>
                  </wp:positionH>
                  <wp:positionV relativeFrom="paragraph">
                    <wp:posOffset>0</wp:posOffset>
                  </wp:positionV>
                  <wp:extent cx="596900" cy="504190"/>
                  <wp:effectExtent l="0" t="0" r="0" b="0"/>
                  <wp:wrapNone/>
                  <wp:docPr id="631" name="ID_B5BF18E09CFE43799C5EE3D44F45FB47_SpCnt_27"/>
                  <wp:cNvGraphicFramePr/>
                  <a:graphic xmlns:a="http://schemas.openxmlformats.org/drawingml/2006/main">
                    <a:graphicData uri="http://schemas.openxmlformats.org/drawingml/2006/picture">
                      <pic:pic xmlns:pic="http://schemas.openxmlformats.org/drawingml/2006/picture">
                        <pic:nvPicPr>
                          <pic:cNvPr id="631" name="ID_B5BF18E09CFE43799C5EE3D44F45FB47_SpCnt_27"/>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600075</wp:posOffset>
                  </wp:positionH>
                  <wp:positionV relativeFrom="paragraph">
                    <wp:posOffset>0</wp:posOffset>
                  </wp:positionV>
                  <wp:extent cx="596900" cy="504190"/>
                  <wp:effectExtent l="0" t="0" r="0" b="0"/>
                  <wp:wrapNone/>
                  <wp:docPr id="632" name="ID_DE60E1367F4D47B68B43A253F9DB257F_SpCnt_26"/>
                  <wp:cNvGraphicFramePr/>
                  <a:graphic xmlns:a="http://schemas.openxmlformats.org/drawingml/2006/main">
                    <a:graphicData uri="http://schemas.openxmlformats.org/drawingml/2006/picture">
                      <pic:pic xmlns:pic="http://schemas.openxmlformats.org/drawingml/2006/picture">
                        <pic:nvPicPr>
                          <pic:cNvPr id="632" name="ID_DE60E1367F4D47B68B43A253F9DB257F_SpCnt_26"/>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608330</wp:posOffset>
                  </wp:positionH>
                  <wp:positionV relativeFrom="paragraph">
                    <wp:posOffset>0</wp:posOffset>
                  </wp:positionV>
                  <wp:extent cx="596900" cy="504190"/>
                  <wp:effectExtent l="0" t="0" r="0" b="0"/>
                  <wp:wrapNone/>
                  <wp:docPr id="633" name="ID_DE60E1367F4D47B68B43A253F9DB257F_SpCnt_27"/>
                  <wp:cNvGraphicFramePr/>
                  <a:graphic xmlns:a="http://schemas.openxmlformats.org/drawingml/2006/main">
                    <a:graphicData uri="http://schemas.openxmlformats.org/drawingml/2006/picture">
                      <pic:pic xmlns:pic="http://schemas.openxmlformats.org/drawingml/2006/picture">
                        <pic:nvPicPr>
                          <pic:cNvPr id="633" name="ID_DE60E1367F4D47B68B43A253F9DB257F_SpCnt_27"/>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603250</wp:posOffset>
                  </wp:positionH>
                  <wp:positionV relativeFrom="paragraph">
                    <wp:posOffset>0</wp:posOffset>
                  </wp:positionV>
                  <wp:extent cx="596900" cy="504190"/>
                  <wp:effectExtent l="0" t="0" r="0" b="0"/>
                  <wp:wrapNone/>
                  <wp:docPr id="634" name="ID_CA31AD5AD4A240A69EBE9CEAC8E99D77_SpCnt_25"/>
                  <wp:cNvGraphicFramePr/>
                  <a:graphic xmlns:a="http://schemas.openxmlformats.org/drawingml/2006/main">
                    <a:graphicData uri="http://schemas.openxmlformats.org/drawingml/2006/picture">
                      <pic:pic xmlns:pic="http://schemas.openxmlformats.org/drawingml/2006/picture">
                        <pic:nvPicPr>
                          <pic:cNvPr id="634" name="ID_CA31AD5AD4A240A69EBE9CEAC8E99D77_SpCnt_25"/>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603250</wp:posOffset>
                  </wp:positionH>
                  <wp:positionV relativeFrom="paragraph">
                    <wp:posOffset>0</wp:posOffset>
                  </wp:positionV>
                  <wp:extent cx="596900" cy="504190"/>
                  <wp:effectExtent l="0" t="0" r="0" b="0"/>
                  <wp:wrapNone/>
                  <wp:docPr id="635" name="ID_E826D4FD2F1D481EA1CFBD3451A51F56_SpCnt_25"/>
                  <wp:cNvGraphicFramePr/>
                  <a:graphic xmlns:a="http://schemas.openxmlformats.org/drawingml/2006/main">
                    <a:graphicData uri="http://schemas.openxmlformats.org/drawingml/2006/picture">
                      <pic:pic xmlns:pic="http://schemas.openxmlformats.org/drawingml/2006/picture">
                        <pic:nvPicPr>
                          <pic:cNvPr id="635" name="ID_E826D4FD2F1D481EA1CFBD3451A51F56_SpCnt_25"/>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611505</wp:posOffset>
                  </wp:positionH>
                  <wp:positionV relativeFrom="paragraph">
                    <wp:posOffset>0</wp:posOffset>
                  </wp:positionV>
                  <wp:extent cx="596900" cy="504190"/>
                  <wp:effectExtent l="0" t="0" r="0" b="0"/>
                  <wp:wrapNone/>
                  <wp:docPr id="636" name="ID_CA31AD5AD4A240A69EBE9CEAC8E99D77_SpCnt_26"/>
                  <wp:cNvGraphicFramePr/>
                  <a:graphic xmlns:a="http://schemas.openxmlformats.org/drawingml/2006/main">
                    <a:graphicData uri="http://schemas.openxmlformats.org/drawingml/2006/picture">
                      <pic:pic xmlns:pic="http://schemas.openxmlformats.org/drawingml/2006/picture">
                        <pic:nvPicPr>
                          <pic:cNvPr id="636" name="ID_CA31AD5AD4A240A69EBE9CEAC8E99D77_SpCnt_26"/>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611505</wp:posOffset>
                  </wp:positionH>
                  <wp:positionV relativeFrom="paragraph">
                    <wp:posOffset>0</wp:posOffset>
                  </wp:positionV>
                  <wp:extent cx="596900" cy="504190"/>
                  <wp:effectExtent l="0" t="0" r="0" b="0"/>
                  <wp:wrapNone/>
                  <wp:docPr id="637" name="ID_E826D4FD2F1D481EA1CFBD3451A51F56_SpCnt_26"/>
                  <wp:cNvGraphicFramePr/>
                  <a:graphic xmlns:a="http://schemas.openxmlformats.org/drawingml/2006/main">
                    <a:graphicData uri="http://schemas.openxmlformats.org/drawingml/2006/picture">
                      <pic:pic xmlns:pic="http://schemas.openxmlformats.org/drawingml/2006/picture">
                        <pic:nvPicPr>
                          <pic:cNvPr id="637" name="ID_E826D4FD2F1D481EA1CFBD3451A51F56_SpCnt_26"/>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663575</wp:posOffset>
                  </wp:positionH>
                  <wp:positionV relativeFrom="paragraph">
                    <wp:posOffset>0</wp:posOffset>
                  </wp:positionV>
                  <wp:extent cx="654685" cy="647700"/>
                  <wp:effectExtent l="0" t="0" r="0" b="0"/>
                  <wp:wrapNone/>
                  <wp:docPr id="638" name="ID_B5BF18E09CFE43799C5EE3D44F45FB47_SpCnt_28"/>
                  <wp:cNvGraphicFramePr/>
                  <a:graphic xmlns:a="http://schemas.openxmlformats.org/drawingml/2006/main">
                    <a:graphicData uri="http://schemas.openxmlformats.org/drawingml/2006/picture">
                      <pic:pic xmlns:pic="http://schemas.openxmlformats.org/drawingml/2006/picture">
                        <pic:nvPicPr>
                          <pic:cNvPr id="638" name="ID_B5BF18E09CFE43799C5EE3D44F45FB47_SpCnt_28"/>
                          <pic:cNvPicPr/>
                        </pic:nvPicPr>
                        <pic:blipFill>
                          <a:blip r:embed="rId13"/>
                          <a:stretch>
                            <a:fillRect/>
                          </a:stretch>
                        </pic:blipFill>
                        <pic:spPr>
                          <a:xfrm>
                            <a:off x="0" y="0"/>
                            <a:ext cx="654685"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663575</wp:posOffset>
                  </wp:positionH>
                  <wp:positionV relativeFrom="paragraph">
                    <wp:posOffset>0</wp:posOffset>
                  </wp:positionV>
                  <wp:extent cx="647700" cy="647700"/>
                  <wp:effectExtent l="0" t="0" r="0" b="0"/>
                  <wp:wrapNone/>
                  <wp:docPr id="639" name="ID_B73E8774DBA24C66A077783CE7B139D0_SpCnt_28"/>
                  <wp:cNvGraphicFramePr/>
                  <a:graphic xmlns:a="http://schemas.openxmlformats.org/drawingml/2006/main">
                    <a:graphicData uri="http://schemas.openxmlformats.org/drawingml/2006/picture">
                      <pic:pic xmlns:pic="http://schemas.openxmlformats.org/drawingml/2006/picture">
                        <pic:nvPicPr>
                          <pic:cNvPr id="639" name="ID_B73E8774DBA24C66A077783CE7B139D0_SpCnt_28"/>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678815</wp:posOffset>
                  </wp:positionH>
                  <wp:positionV relativeFrom="paragraph">
                    <wp:posOffset>0</wp:posOffset>
                  </wp:positionV>
                  <wp:extent cx="645795" cy="647700"/>
                  <wp:effectExtent l="0" t="0" r="0" b="0"/>
                  <wp:wrapNone/>
                  <wp:docPr id="640" name="ID_DE60E1367F4D47B68B43A253F9DB257F_SpCnt_28"/>
                  <wp:cNvGraphicFramePr/>
                  <a:graphic xmlns:a="http://schemas.openxmlformats.org/drawingml/2006/main">
                    <a:graphicData uri="http://schemas.openxmlformats.org/drawingml/2006/picture">
                      <pic:pic xmlns:pic="http://schemas.openxmlformats.org/drawingml/2006/picture">
                        <pic:nvPicPr>
                          <pic:cNvPr id="640" name="ID_DE60E1367F4D47B68B43A253F9DB257F_SpCnt_28"/>
                          <pic:cNvPicPr/>
                        </pic:nvPicPr>
                        <pic:blipFill>
                          <a:blip r:embed="rId13"/>
                          <a:stretch>
                            <a:fillRect/>
                          </a:stretch>
                        </pic:blipFill>
                        <pic:spPr>
                          <a:xfrm>
                            <a:off x="0" y="0"/>
                            <a:ext cx="645795"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685800</wp:posOffset>
                  </wp:positionH>
                  <wp:positionV relativeFrom="paragraph">
                    <wp:posOffset>0</wp:posOffset>
                  </wp:positionV>
                  <wp:extent cx="647700" cy="647700"/>
                  <wp:effectExtent l="0" t="0" r="0" b="0"/>
                  <wp:wrapNone/>
                  <wp:docPr id="641" name="ID_E826D4FD2F1D481EA1CFBD3451A51F56_SpCnt_27"/>
                  <wp:cNvGraphicFramePr/>
                  <a:graphic xmlns:a="http://schemas.openxmlformats.org/drawingml/2006/main">
                    <a:graphicData uri="http://schemas.openxmlformats.org/drawingml/2006/picture">
                      <pic:pic xmlns:pic="http://schemas.openxmlformats.org/drawingml/2006/picture">
                        <pic:nvPicPr>
                          <pic:cNvPr id="641" name="ID_E826D4FD2F1D481EA1CFBD3451A51F56_SpCnt_27"/>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685800</wp:posOffset>
                  </wp:positionH>
                  <wp:positionV relativeFrom="paragraph">
                    <wp:posOffset>0</wp:posOffset>
                  </wp:positionV>
                  <wp:extent cx="647700" cy="647700"/>
                  <wp:effectExtent l="0" t="0" r="0" b="0"/>
                  <wp:wrapNone/>
                  <wp:docPr id="642" name="ID_CA31AD5AD4A240A69EBE9CEAC8E99D77_SpCnt_27"/>
                  <wp:cNvGraphicFramePr/>
                  <a:graphic xmlns:a="http://schemas.openxmlformats.org/drawingml/2006/main">
                    <a:graphicData uri="http://schemas.openxmlformats.org/drawingml/2006/picture">
                      <pic:pic xmlns:pic="http://schemas.openxmlformats.org/drawingml/2006/picture">
                        <pic:nvPicPr>
                          <pic:cNvPr id="642" name="ID_CA31AD5AD4A240A69EBE9CEAC8E99D77_SpCnt_27"/>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产品尺寸：230</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120</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160h 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配件：1台咖啡机；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1个咖啡杯；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3个胶囊咖啡</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材质：胶合板、实木</w:t>
            </w:r>
            <w:r>
              <w:rPr>
                <w:rFonts w:hint="eastAsia" w:ascii="宋体" w:hAnsi="宋体" w:cs="宋体"/>
                <w:i w:val="0"/>
                <w:iCs w:val="0"/>
                <w:color w:val="auto"/>
                <w:kern w:val="0"/>
                <w:sz w:val="21"/>
                <w:szCs w:val="21"/>
                <w:highlight w:val="none"/>
                <w:u w:val="none"/>
                <w:lang w:val="en-US" w:eastAsia="zh-CN" w:bidi="ar"/>
              </w:rPr>
              <w:t>。</w:t>
            </w:r>
          </w:p>
        </w:tc>
      </w:tr>
      <w:tr w14:paraId="763EA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3" w:type="pct"/>
            <w:shd w:val="clear" w:color="auto" w:fill="auto"/>
            <w:vAlign w:val="center"/>
          </w:tcPr>
          <w:p w14:paraId="634F7F93">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83</w:t>
            </w:r>
          </w:p>
        </w:tc>
        <w:tc>
          <w:tcPr>
            <w:tcW w:w="744" w:type="pct"/>
            <w:shd w:val="clear" w:color="auto" w:fill="auto"/>
            <w:vAlign w:val="center"/>
          </w:tcPr>
          <w:p w14:paraId="11503B59">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汉堡＆三明治</w:t>
            </w:r>
          </w:p>
        </w:tc>
        <w:tc>
          <w:tcPr>
            <w:tcW w:w="476" w:type="pct"/>
            <w:shd w:val="clear" w:color="auto" w:fill="auto"/>
            <w:vAlign w:val="center"/>
          </w:tcPr>
          <w:p w14:paraId="631A56E2">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66C5EF2D">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工业</w:t>
            </w:r>
          </w:p>
        </w:tc>
        <w:tc>
          <w:tcPr>
            <w:tcW w:w="3056" w:type="pct"/>
            <w:shd w:val="clear" w:color="auto" w:fill="auto"/>
            <w:vAlign w:val="center"/>
          </w:tcPr>
          <w:p w14:paraId="6F64C7AA">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材质：小刀：桦木； 三明治吐司片：榉木；其他配件：密度板；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规格：汉堡面包单片：直径6.5*1.5cm；三明治面包：7*7*1cm；西红柿/肉片：φ6*0.5cm；火腿片：6*6*0.5cm；黄油：6*6*1cm；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部件：汉堡：上下两片面包片，西红柿片，肉片，蔬菜片，三明治：火腿片、黄油、蔬菜片，小刀一把；</w:t>
            </w:r>
          </w:p>
        </w:tc>
      </w:tr>
      <w:tr w14:paraId="6AD29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407650D0">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84</w:t>
            </w:r>
          </w:p>
        </w:tc>
        <w:tc>
          <w:tcPr>
            <w:tcW w:w="744" w:type="pct"/>
            <w:shd w:val="clear" w:color="auto" w:fill="auto"/>
            <w:vAlign w:val="center"/>
          </w:tcPr>
          <w:p w14:paraId="55941728">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井字棋</w:t>
            </w:r>
          </w:p>
        </w:tc>
        <w:tc>
          <w:tcPr>
            <w:tcW w:w="476" w:type="pct"/>
            <w:shd w:val="clear" w:color="auto" w:fill="auto"/>
            <w:vAlign w:val="center"/>
          </w:tcPr>
          <w:p w14:paraId="422CE760">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71353D9B">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工业</w:t>
            </w:r>
          </w:p>
        </w:tc>
        <w:tc>
          <w:tcPr>
            <w:tcW w:w="3056" w:type="pct"/>
            <w:shd w:val="clear" w:color="auto" w:fill="auto"/>
            <w:vAlign w:val="center"/>
          </w:tcPr>
          <w:p w14:paraId="2765E048">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39750" cy="538480"/>
                  <wp:effectExtent l="0" t="0" r="0" b="0"/>
                  <wp:wrapNone/>
                  <wp:docPr id="643" name="图片_525"/>
                  <wp:cNvGraphicFramePr/>
                  <a:graphic xmlns:a="http://schemas.openxmlformats.org/drawingml/2006/main">
                    <a:graphicData uri="http://schemas.openxmlformats.org/drawingml/2006/picture">
                      <pic:pic xmlns:pic="http://schemas.openxmlformats.org/drawingml/2006/picture">
                        <pic:nvPicPr>
                          <pic:cNvPr id="643" name="图片_525"/>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39750" cy="538480"/>
                  <wp:effectExtent l="0" t="0" r="0" b="0"/>
                  <wp:wrapNone/>
                  <wp:docPr id="644" name="图片_524"/>
                  <wp:cNvGraphicFramePr/>
                  <a:graphic xmlns:a="http://schemas.openxmlformats.org/drawingml/2006/main">
                    <a:graphicData uri="http://schemas.openxmlformats.org/drawingml/2006/picture">
                      <pic:pic xmlns:pic="http://schemas.openxmlformats.org/drawingml/2006/picture">
                        <pic:nvPicPr>
                          <pic:cNvPr id="644" name="图片_524"/>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720090" cy="717550"/>
                  <wp:effectExtent l="0" t="0" r="0" b="0"/>
                  <wp:wrapNone/>
                  <wp:docPr id="645" name="图片_18_SpCnt_19"/>
                  <wp:cNvGraphicFramePr/>
                  <a:graphic xmlns:a="http://schemas.openxmlformats.org/drawingml/2006/main">
                    <a:graphicData uri="http://schemas.openxmlformats.org/drawingml/2006/picture">
                      <pic:pic xmlns:pic="http://schemas.openxmlformats.org/drawingml/2006/picture">
                        <pic:nvPicPr>
                          <pic:cNvPr id="645" name="图片_18_SpCnt_19"/>
                          <pic:cNvPicPr/>
                        </pic:nvPicPr>
                        <pic:blipFill>
                          <a:blip r:embed="rId13"/>
                          <a:stretch>
                            <a:fillRect/>
                          </a:stretch>
                        </pic:blipFill>
                        <pic:spPr>
                          <a:xfrm>
                            <a:off x="0" y="0"/>
                            <a:ext cx="720090" cy="7175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39750" cy="538480"/>
                  <wp:effectExtent l="0" t="0" r="0" b="0"/>
                  <wp:wrapNone/>
                  <wp:docPr id="646" name="图片_523"/>
                  <wp:cNvGraphicFramePr/>
                  <a:graphic xmlns:a="http://schemas.openxmlformats.org/drawingml/2006/main">
                    <a:graphicData uri="http://schemas.openxmlformats.org/drawingml/2006/picture">
                      <pic:pic xmlns:pic="http://schemas.openxmlformats.org/drawingml/2006/picture">
                        <pic:nvPicPr>
                          <pic:cNvPr id="646" name="图片_523"/>
                          <pic:cNvPicPr/>
                        </pic:nvPicPr>
                        <pic:blipFill>
                          <a:blip r:embed="rId13"/>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4365" cy="544195"/>
                  <wp:effectExtent l="0" t="0" r="0" b="0"/>
                  <wp:wrapNone/>
                  <wp:docPr id="647" name="图片_521"/>
                  <wp:cNvGraphicFramePr/>
                  <a:graphic xmlns:a="http://schemas.openxmlformats.org/drawingml/2006/main">
                    <a:graphicData uri="http://schemas.openxmlformats.org/drawingml/2006/picture">
                      <pic:pic xmlns:pic="http://schemas.openxmlformats.org/drawingml/2006/picture">
                        <pic:nvPicPr>
                          <pic:cNvPr id="647" name="图片_521"/>
                          <pic:cNvPicPr/>
                        </pic:nvPicPr>
                        <pic:blipFill>
                          <a:blip r:embed="rId13"/>
                          <a:stretch>
                            <a:fillRect/>
                          </a:stretch>
                        </pic:blipFill>
                        <pic:spPr>
                          <a:xfrm>
                            <a:off x="0" y="0"/>
                            <a:ext cx="634365" cy="54419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08330" cy="542290"/>
                  <wp:effectExtent l="0" t="0" r="0" b="0"/>
                  <wp:wrapNone/>
                  <wp:docPr id="648" name="ID_B5BF18E09CFE43799C5EE3D44F45FB47_SpCnt_29"/>
                  <wp:cNvGraphicFramePr/>
                  <a:graphic xmlns:a="http://schemas.openxmlformats.org/drawingml/2006/main">
                    <a:graphicData uri="http://schemas.openxmlformats.org/drawingml/2006/picture">
                      <pic:pic xmlns:pic="http://schemas.openxmlformats.org/drawingml/2006/picture">
                        <pic:nvPicPr>
                          <pic:cNvPr id="648" name="ID_B5BF18E09CFE43799C5EE3D44F45FB47_SpCnt_29"/>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08330" cy="542290"/>
                  <wp:effectExtent l="0" t="0" r="0" b="0"/>
                  <wp:wrapNone/>
                  <wp:docPr id="649" name="ID_DE60E1367F4D47B68B43A253F9DB257F_SpCnt_29"/>
                  <wp:cNvGraphicFramePr/>
                  <a:graphic xmlns:a="http://schemas.openxmlformats.org/drawingml/2006/main">
                    <a:graphicData uri="http://schemas.openxmlformats.org/drawingml/2006/picture">
                      <pic:pic xmlns:pic="http://schemas.openxmlformats.org/drawingml/2006/picture">
                        <pic:nvPicPr>
                          <pic:cNvPr id="649" name="ID_DE60E1367F4D47B68B43A253F9DB257F_SpCnt_29"/>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718820" cy="715645"/>
                  <wp:effectExtent l="0" t="0" r="0" b="0"/>
                  <wp:wrapNone/>
                  <wp:docPr id="650" name="图片_18_SpCnt_20"/>
                  <wp:cNvGraphicFramePr/>
                  <a:graphic xmlns:a="http://schemas.openxmlformats.org/drawingml/2006/main">
                    <a:graphicData uri="http://schemas.openxmlformats.org/drawingml/2006/picture">
                      <pic:pic xmlns:pic="http://schemas.openxmlformats.org/drawingml/2006/picture">
                        <pic:nvPicPr>
                          <pic:cNvPr id="650" name="图片_18_SpCnt_20"/>
                          <pic:cNvPicPr/>
                        </pic:nvPicPr>
                        <pic:blipFill>
                          <a:blip r:embed="rId13"/>
                          <a:stretch>
                            <a:fillRect/>
                          </a:stretch>
                        </pic:blipFill>
                        <pic:spPr>
                          <a:xfrm>
                            <a:off x="0" y="0"/>
                            <a:ext cx="718820" cy="71564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08330" cy="542290"/>
                  <wp:effectExtent l="0" t="0" r="0" b="0"/>
                  <wp:wrapNone/>
                  <wp:docPr id="651" name="ID_E826D4FD2F1D481EA1CFBD3451A51F56_SpCnt_28"/>
                  <wp:cNvGraphicFramePr/>
                  <a:graphic xmlns:a="http://schemas.openxmlformats.org/drawingml/2006/main">
                    <a:graphicData uri="http://schemas.openxmlformats.org/drawingml/2006/picture">
                      <pic:pic xmlns:pic="http://schemas.openxmlformats.org/drawingml/2006/picture">
                        <pic:nvPicPr>
                          <pic:cNvPr id="651" name="ID_E826D4FD2F1D481EA1CFBD3451A51F56_SpCnt_28"/>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08330" cy="542290"/>
                  <wp:effectExtent l="0" t="0" r="0" b="0"/>
                  <wp:wrapNone/>
                  <wp:docPr id="652" name="ID_B73E8774DBA24C66A077783CE7B139D0_SpCnt_29"/>
                  <wp:cNvGraphicFramePr/>
                  <a:graphic xmlns:a="http://schemas.openxmlformats.org/drawingml/2006/main">
                    <a:graphicData uri="http://schemas.openxmlformats.org/drawingml/2006/picture">
                      <pic:pic xmlns:pic="http://schemas.openxmlformats.org/drawingml/2006/picture">
                        <pic:nvPicPr>
                          <pic:cNvPr id="652" name="ID_B73E8774DBA24C66A077783CE7B139D0_SpCnt_29"/>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4365" cy="542290"/>
                  <wp:effectExtent l="0" t="0" r="0" b="0"/>
                  <wp:wrapNone/>
                  <wp:docPr id="653" name="图片_19_SpCnt_11"/>
                  <wp:cNvGraphicFramePr/>
                  <a:graphic xmlns:a="http://schemas.openxmlformats.org/drawingml/2006/main">
                    <a:graphicData uri="http://schemas.openxmlformats.org/drawingml/2006/picture">
                      <pic:pic xmlns:pic="http://schemas.openxmlformats.org/drawingml/2006/picture">
                        <pic:nvPicPr>
                          <pic:cNvPr id="653" name="图片_19_SpCnt_11"/>
                          <pic:cNvPicPr/>
                        </pic:nvPicPr>
                        <pic:blipFill>
                          <a:blip r:embed="rId13"/>
                          <a:stretch>
                            <a:fillRect/>
                          </a:stretch>
                        </pic:blipFill>
                        <pic:spPr>
                          <a:xfrm>
                            <a:off x="0" y="0"/>
                            <a:ext cx="634365"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08330" cy="542290"/>
                  <wp:effectExtent l="0" t="0" r="0" b="0"/>
                  <wp:wrapNone/>
                  <wp:docPr id="654" name="ID_CA31AD5AD4A240A69EBE9CEAC8E99D77_SpCnt_28"/>
                  <wp:cNvGraphicFramePr/>
                  <a:graphic xmlns:a="http://schemas.openxmlformats.org/drawingml/2006/main">
                    <a:graphicData uri="http://schemas.openxmlformats.org/drawingml/2006/picture">
                      <pic:pic xmlns:pic="http://schemas.openxmlformats.org/drawingml/2006/picture">
                        <pic:nvPicPr>
                          <pic:cNvPr id="654" name="ID_CA31AD5AD4A240A69EBE9CEAC8E99D77_SpCnt_28"/>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723265" cy="715010"/>
                  <wp:effectExtent l="0" t="0" r="0" b="0"/>
                  <wp:wrapNone/>
                  <wp:docPr id="655" name="ID_B73E8774DBA24C66A077783CE7B139D0_SpCnt_30"/>
                  <wp:cNvGraphicFramePr/>
                  <a:graphic xmlns:a="http://schemas.openxmlformats.org/drawingml/2006/main">
                    <a:graphicData uri="http://schemas.openxmlformats.org/drawingml/2006/picture">
                      <pic:pic xmlns:pic="http://schemas.openxmlformats.org/drawingml/2006/picture">
                        <pic:nvPicPr>
                          <pic:cNvPr id="655" name="ID_B73E8774DBA24C66A077783CE7B139D0_SpCnt_30"/>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716280" cy="715010"/>
                  <wp:effectExtent l="0" t="0" r="0" b="0"/>
                  <wp:wrapNone/>
                  <wp:docPr id="656" name="ID_B5BF18E09CFE43799C5EE3D44F45FB47_SpCnt_30"/>
                  <wp:cNvGraphicFramePr/>
                  <a:graphic xmlns:a="http://schemas.openxmlformats.org/drawingml/2006/main">
                    <a:graphicData uri="http://schemas.openxmlformats.org/drawingml/2006/picture">
                      <pic:pic xmlns:pic="http://schemas.openxmlformats.org/drawingml/2006/picture">
                        <pic:nvPicPr>
                          <pic:cNvPr id="656" name="ID_B5BF18E09CFE43799C5EE3D44F45FB47_SpCnt_30"/>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723265" cy="715010"/>
                  <wp:effectExtent l="0" t="0" r="0" b="0"/>
                  <wp:wrapNone/>
                  <wp:docPr id="657" name="ID_CA31AD5AD4A240A69EBE9CEAC8E99D77_SpCnt_29"/>
                  <wp:cNvGraphicFramePr/>
                  <a:graphic xmlns:a="http://schemas.openxmlformats.org/drawingml/2006/main">
                    <a:graphicData uri="http://schemas.openxmlformats.org/drawingml/2006/picture">
                      <pic:pic xmlns:pic="http://schemas.openxmlformats.org/drawingml/2006/picture">
                        <pic:nvPicPr>
                          <pic:cNvPr id="657" name="ID_CA31AD5AD4A240A69EBE9CEAC8E99D77_SpCnt_29"/>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716280" cy="715010"/>
                  <wp:effectExtent l="0" t="0" r="0" b="0"/>
                  <wp:wrapNone/>
                  <wp:docPr id="658" name="ID_DE60E1367F4D47B68B43A253F9DB257F_SpCnt_30"/>
                  <wp:cNvGraphicFramePr/>
                  <a:graphic xmlns:a="http://schemas.openxmlformats.org/drawingml/2006/main">
                    <a:graphicData uri="http://schemas.openxmlformats.org/drawingml/2006/picture">
                      <pic:pic xmlns:pic="http://schemas.openxmlformats.org/drawingml/2006/picture">
                        <pic:nvPicPr>
                          <pic:cNvPr id="658" name="ID_DE60E1367F4D47B68B43A253F9DB257F_SpCnt_30"/>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723265" cy="715010"/>
                  <wp:effectExtent l="0" t="0" r="0" b="0"/>
                  <wp:wrapNone/>
                  <wp:docPr id="659" name="ID_E826D4FD2F1D481EA1CFBD3451A51F56_SpCnt_29"/>
                  <wp:cNvGraphicFramePr/>
                  <a:graphic xmlns:a="http://schemas.openxmlformats.org/drawingml/2006/main">
                    <a:graphicData uri="http://schemas.openxmlformats.org/drawingml/2006/picture">
                      <pic:pic xmlns:pic="http://schemas.openxmlformats.org/drawingml/2006/picture">
                        <pic:nvPicPr>
                          <pic:cNvPr id="659" name="ID_E826D4FD2F1D481EA1CFBD3451A51F56_SpCnt_29"/>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4365" cy="539750"/>
                  <wp:effectExtent l="0" t="0" r="0" b="0"/>
                  <wp:wrapNone/>
                  <wp:docPr id="660" name="图片_18_SpCnt_21"/>
                  <wp:cNvGraphicFramePr/>
                  <a:graphic xmlns:a="http://schemas.openxmlformats.org/drawingml/2006/main">
                    <a:graphicData uri="http://schemas.openxmlformats.org/drawingml/2006/picture">
                      <pic:pic xmlns:pic="http://schemas.openxmlformats.org/drawingml/2006/picture">
                        <pic:nvPicPr>
                          <pic:cNvPr id="660" name="图片_18_SpCnt_21"/>
                          <pic:cNvPicPr/>
                        </pic:nvPicPr>
                        <pic:blipFill>
                          <a:blip r:embed="rId13"/>
                          <a:stretch>
                            <a:fillRect/>
                          </a:stretch>
                        </pic:blipFill>
                        <pic:spPr>
                          <a:xfrm>
                            <a:off x="0" y="0"/>
                            <a:ext cx="634365" cy="5397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503555</wp:posOffset>
                  </wp:positionH>
                  <wp:positionV relativeFrom="paragraph">
                    <wp:posOffset>0</wp:posOffset>
                  </wp:positionV>
                  <wp:extent cx="634365" cy="539750"/>
                  <wp:effectExtent l="0" t="0" r="0" b="0"/>
                  <wp:wrapNone/>
                  <wp:docPr id="661" name="图片_18_SpCnt_22"/>
                  <wp:cNvGraphicFramePr/>
                  <a:graphic xmlns:a="http://schemas.openxmlformats.org/drawingml/2006/main">
                    <a:graphicData uri="http://schemas.openxmlformats.org/drawingml/2006/picture">
                      <pic:pic xmlns:pic="http://schemas.openxmlformats.org/drawingml/2006/picture">
                        <pic:nvPicPr>
                          <pic:cNvPr id="661" name="图片_18_SpCnt_22"/>
                          <pic:cNvPicPr/>
                        </pic:nvPicPr>
                        <pic:blipFill>
                          <a:blip r:embed="rId13"/>
                          <a:stretch>
                            <a:fillRect/>
                          </a:stretch>
                        </pic:blipFill>
                        <pic:spPr>
                          <a:xfrm>
                            <a:off x="0" y="0"/>
                            <a:ext cx="634365" cy="5397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570230</wp:posOffset>
                  </wp:positionH>
                  <wp:positionV relativeFrom="paragraph">
                    <wp:posOffset>0</wp:posOffset>
                  </wp:positionV>
                  <wp:extent cx="725805" cy="715010"/>
                  <wp:effectExtent l="0" t="0" r="0" b="0"/>
                  <wp:wrapNone/>
                  <wp:docPr id="662" name="ID_B73E8774DBA24C66A077783CE7B139D0_SpCnt_31"/>
                  <wp:cNvGraphicFramePr/>
                  <a:graphic xmlns:a="http://schemas.openxmlformats.org/drawingml/2006/main">
                    <a:graphicData uri="http://schemas.openxmlformats.org/drawingml/2006/picture">
                      <pic:pic xmlns:pic="http://schemas.openxmlformats.org/drawingml/2006/picture">
                        <pic:nvPicPr>
                          <pic:cNvPr id="662" name="ID_B73E8774DBA24C66A077783CE7B139D0_SpCnt_31"/>
                          <pic:cNvPicPr/>
                        </pic:nvPicPr>
                        <pic:blipFill>
                          <a:blip r:embed="rId13"/>
                          <a:stretch>
                            <a:fillRect/>
                          </a:stretch>
                        </pic:blipFill>
                        <pic:spPr>
                          <a:xfrm>
                            <a:off x="0" y="0"/>
                            <a:ext cx="72580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580390</wp:posOffset>
                  </wp:positionH>
                  <wp:positionV relativeFrom="paragraph">
                    <wp:posOffset>0</wp:posOffset>
                  </wp:positionV>
                  <wp:extent cx="596900" cy="504190"/>
                  <wp:effectExtent l="0" t="0" r="0" b="0"/>
                  <wp:wrapNone/>
                  <wp:docPr id="663" name="ID_B73E8774DBA24C66A077783CE7B139D0_SpCnt_32"/>
                  <wp:cNvGraphicFramePr/>
                  <a:graphic xmlns:a="http://schemas.openxmlformats.org/drawingml/2006/main">
                    <a:graphicData uri="http://schemas.openxmlformats.org/drawingml/2006/picture">
                      <pic:pic xmlns:pic="http://schemas.openxmlformats.org/drawingml/2006/picture">
                        <pic:nvPicPr>
                          <pic:cNvPr id="663" name="ID_B73E8774DBA24C66A077783CE7B139D0_SpCnt_32"/>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578485</wp:posOffset>
                  </wp:positionH>
                  <wp:positionV relativeFrom="paragraph">
                    <wp:posOffset>0</wp:posOffset>
                  </wp:positionV>
                  <wp:extent cx="596900" cy="504190"/>
                  <wp:effectExtent l="0" t="0" r="0" b="0"/>
                  <wp:wrapNone/>
                  <wp:docPr id="664" name="ID_B5BF18E09CFE43799C5EE3D44F45FB47_SpCnt_31"/>
                  <wp:cNvGraphicFramePr/>
                  <a:graphic xmlns:a="http://schemas.openxmlformats.org/drawingml/2006/main">
                    <a:graphicData uri="http://schemas.openxmlformats.org/drawingml/2006/picture">
                      <pic:pic xmlns:pic="http://schemas.openxmlformats.org/drawingml/2006/picture">
                        <pic:nvPicPr>
                          <pic:cNvPr id="664" name="ID_B5BF18E09CFE43799C5EE3D44F45FB47_SpCnt_31"/>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573405</wp:posOffset>
                  </wp:positionH>
                  <wp:positionV relativeFrom="paragraph">
                    <wp:posOffset>0</wp:posOffset>
                  </wp:positionV>
                  <wp:extent cx="596900" cy="504190"/>
                  <wp:effectExtent l="0" t="0" r="0" b="0"/>
                  <wp:wrapNone/>
                  <wp:docPr id="665" name="ID_B73E8774DBA24C66A077783CE7B139D0_SpCnt_33"/>
                  <wp:cNvGraphicFramePr/>
                  <a:graphic xmlns:a="http://schemas.openxmlformats.org/drawingml/2006/main">
                    <a:graphicData uri="http://schemas.openxmlformats.org/drawingml/2006/picture">
                      <pic:pic xmlns:pic="http://schemas.openxmlformats.org/drawingml/2006/picture">
                        <pic:nvPicPr>
                          <pic:cNvPr id="665" name="ID_B73E8774DBA24C66A077783CE7B139D0_SpCnt_33"/>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579120</wp:posOffset>
                  </wp:positionH>
                  <wp:positionV relativeFrom="paragraph">
                    <wp:posOffset>0</wp:posOffset>
                  </wp:positionV>
                  <wp:extent cx="716915" cy="715010"/>
                  <wp:effectExtent l="0" t="0" r="0" b="0"/>
                  <wp:wrapNone/>
                  <wp:docPr id="666" name="ID_B5BF18E09CFE43799C5EE3D44F45FB47_SpCnt_32"/>
                  <wp:cNvGraphicFramePr/>
                  <a:graphic xmlns:a="http://schemas.openxmlformats.org/drawingml/2006/main">
                    <a:graphicData uri="http://schemas.openxmlformats.org/drawingml/2006/picture">
                      <pic:pic xmlns:pic="http://schemas.openxmlformats.org/drawingml/2006/picture">
                        <pic:nvPicPr>
                          <pic:cNvPr id="666" name="ID_B5BF18E09CFE43799C5EE3D44F45FB47_SpCnt_32"/>
                          <pic:cNvPicPr/>
                        </pic:nvPicPr>
                        <pic:blipFill>
                          <a:blip r:embed="rId13"/>
                          <a:stretch>
                            <a:fillRect/>
                          </a:stretch>
                        </pic:blipFill>
                        <pic:spPr>
                          <a:xfrm>
                            <a:off x="0" y="0"/>
                            <a:ext cx="71691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585470</wp:posOffset>
                  </wp:positionH>
                  <wp:positionV relativeFrom="paragraph">
                    <wp:posOffset>0</wp:posOffset>
                  </wp:positionV>
                  <wp:extent cx="596900" cy="504190"/>
                  <wp:effectExtent l="0" t="0" r="0" b="0"/>
                  <wp:wrapNone/>
                  <wp:docPr id="667" name="ID_B5BF18E09CFE43799C5EE3D44F45FB47_SpCnt_33"/>
                  <wp:cNvGraphicFramePr/>
                  <a:graphic xmlns:a="http://schemas.openxmlformats.org/drawingml/2006/main">
                    <a:graphicData uri="http://schemas.openxmlformats.org/drawingml/2006/picture">
                      <pic:pic xmlns:pic="http://schemas.openxmlformats.org/drawingml/2006/picture">
                        <pic:nvPicPr>
                          <pic:cNvPr id="667" name="ID_B5BF18E09CFE43799C5EE3D44F45FB47_SpCnt_33"/>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588645</wp:posOffset>
                  </wp:positionH>
                  <wp:positionV relativeFrom="paragraph">
                    <wp:posOffset>0</wp:posOffset>
                  </wp:positionV>
                  <wp:extent cx="596900" cy="504190"/>
                  <wp:effectExtent l="0" t="0" r="0" b="0"/>
                  <wp:wrapNone/>
                  <wp:docPr id="668" name="ID_B73E8774DBA24C66A077783CE7B139D0_SpCnt_34"/>
                  <wp:cNvGraphicFramePr/>
                  <a:graphic xmlns:a="http://schemas.openxmlformats.org/drawingml/2006/main">
                    <a:graphicData uri="http://schemas.openxmlformats.org/drawingml/2006/picture">
                      <pic:pic xmlns:pic="http://schemas.openxmlformats.org/drawingml/2006/picture">
                        <pic:nvPicPr>
                          <pic:cNvPr id="668" name="ID_B73E8774DBA24C66A077783CE7B139D0_SpCnt_34"/>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596265</wp:posOffset>
                  </wp:positionH>
                  <wp:positionV relativeFrom="paragraph">
                    <wp:posOffset>0</wp:posOffset>
                  </wp:positionV>
                  <wp:extent cx="596900" cy="504190"/>
                  <wp:effectExtent l="0" t="0" r="0" b="0"/>
                  <wp:wrapNone/>
                  <wp:docPr id="669" name="ID_E826D4FD2F1D481EA1CFBD3451A51F56_SpCnt_30"/>
                  <wp:cNvGraphicFramePr/>
                  <a:graphic xmlns:a="http://schemas.openxmlformats.org/drawingml/2006/main">
                    <a:graphicData uri="http://schemas.openxmlformats.org/drawingml/2006/picture">
                      <pic:pic xmlns:pic="http://schemas.openxmlformats.org/drawingml/2006/picture">
                        <pic:nvPicPr>
                          <pic:cNvPr id="669" name="ID_E826D4FD2F1D481EA1CFBD3451A51F56_SpCnt_30"/>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594995</wp:posOffset>
                  </wp:positionH>
                  <wp:positionV relativeFrom="paragraph">
                    <wp:posOffset>0</wp:posOffset>
                  </wp:positionV>
                  <wp:extent cx="716280" cy="715010"/>
                  <wp:effectExtent l="0" t="0" r="0" b="0"/>
                  <wp:wrapNone/>
                  <wp:docPr id="670" name="ID_DE60E1367F4D47B68B43A253F9DB257F_SpCnt_31"/>
                  <wp:cNvGraphicFramePr/>
                  <a:graphic xmlns:a="http://schemas.openxmlformats.org/drawingml/2006/main">
                    <a:graphicData uri="http://schemas.openxmlformats.org/drawingml/2006/picture">
                      <pic:pic xmlns:pic="http://schemas.openxmlformats.org/drawingml/2006/picture">
                        <pic:nvPicPr>
                          <pic:cNvPr id="670" name="ID_DE60E1367F4D47B68B43A253F9DB257F_SpCnt_31"/>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594995</wp:posOffset>
                  </wp:positionH>
                  <wp:positionV relativeFrom="paragraph">
                    <wp:posOffset>0</wp:posOffset>
                  </wp:positionV>
                  <wp:extent cx="723265" cy="715010"/>
                  <wp:effectExtent l="0" t="0" r="0" b="0"/>
                  <wp:wrapNone/>
                  <wp:docPr id="671" name="ID_CA31AD5AD4A240A69EBE9CEAC8E99D77_SpCnt_30"/>
                  <wp:cNvGraphicFramePr/>
                  <a:graphic xmlns:a="http://schemas.openxmlformats.org/drawingml/2006/main">
                    <a:graphicData uri="http://schemas.openxmlformats.org/drawingml/2006/picture">
                      <pic:pic xmlns:pic="http://schemas.openxmlformats.org/drawingml/2006/picture">
                        <pic:nvPicPr>
                          <pic:cNvPr id="671" name="ID_CA31AD5AD4A240A69EBE9CEAC8E99D77_SpCnt_30"/>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596265</wp:posOffset>
                  </wp:positionH>
                  <wp:positionV relativeFrom="paragraph">
                    <wp:posOffset>0</wp:posOffset>
                  </wp:positionV>
                  <wp:extent cx="596900" cy="504190"/>
                  <wp:effectExtent l="0" t="0" r="0" b="0"/>
                  <wp:wrapNone/>
                  <wp:docPr id="672" name="ID_CA31AD5AD4A240A69EBE9CEAC8E99D77_SpCnt_31"/>
                  <wp:cNvGraphicFramePr/>
                  <a:graphic xmlns:a="http://schemas.openxmlformats.org/drawingml/2006/main">
                    <a:graphicData uri="http://schemas.openxmlformats.org/drawingml/2006/picture">
                      <pic:pic xmlns:pic="http://schemas.openxmlformats.org/drawingml/2006/picture">
                        <pic:nvPicPr>
                          <pic:cNvPr id="672" name="ID_CA31AD5AD4A240A69EBE9CEAC8E99D77_SpCnt_31"/>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597535</wp:posOffset>
                  </wp:positionH>
                  <wp:positionV relativeFrom="paragraph">
                    <wp:posOffset>0</wp:posOffset>
                  </wp:positionV>
                  <wp:extent cx="634365" cy="542290"/>
                  <wp:effectExtent l="0" t="0" r="0" b="0"/>
                  <wp:wrapNone/>
                  <wp:docPr id="673" name="图片_19_SpCnt_12"/>
                  <wp:cNvGraphicFramePr/>
                  <a:graphic xmlns:a="http://schemas.openxmlformats.org/drawingml/2006/main">
                    <a:graphicData uri="http://schemas.openxmlformats.org/drawingml/2006/picture">
                      <pic:pic xmlns:pic="http://schemas.openxmlformats.org/drawingml/2006/picture">
                        <pic:nvPicPr>
                          <pic:cNvPr id="673" name="图片_19_SpCnt_12"/>
                          <pic:cNvPicPr/>
                        </pic:nvPicPr>
                        <pic:blipFill>
                          <a:blip r:embed="rId13"/>
                          <a:stretch>
                            <a:fillRect/>
                          </a:stretch>
                        </pic:blipFill>
                        <pic:spPr>
                          <a:xfrm>
                            <a:off x="0" y="0"/>
                            <a:ext cx="634365"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594995</wp:posOffset>
                  </wp:positionH>
                  <wp:positionV relativeFrom="paragraph">
                    <wp:posOffset>0</wp:posOffset>
                  </wp:positionV>
                  <wp:extent cx="723265" cy="715010"/>
                  <wp:effectExtent l="0" t="0" r="0" b="0"/>
                  <wp:wrapNone/>
                  <wp:docPr id="674" name="ID_E826D4FD2F1D481EA1CFBD3451A51F56_SpCnt_31"/>
                  <wp:cNvGraphicFramePr/>
                  <a:graphic xmlns:a="http://schemas.openxmlformats.org/drawingml/2006/main">
                    <a:graphicData uri="http://schemas.openxmlformats.org/drawingml/2006/picture">
                      <pic:pic xmlns:pic="http://schemas.openxmlformats.org/drawingml/2006/picture">
                        <pic:nvPicPr>
                          <pic:cNvPr id="674" name="ID_E826D4FD2F1D481EA1CFBD3451A51F56_SpCnt_31"/>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593090</wp:posOffset>
                  </wp:positionH>
                  <wp:positionV relativeFrom="paragraph">
                    <wp:posOffset>0</wp:posOffset>
                  </wp:positionV>
                  <wp:extent cx="596900" cy="504190"/>
                  <wp:effectExtent l="0" t="0" r="0" b="0"/>
                  <wp:wrapNone/>
                  <wp:docPr id="675" name="ID_DE60E1367F4D47B68B43A253F9DB257F_SpCnt_32"/>
                  <wp:cNvGraphicFramePr/>
                  <a:graphic xmlns:a="http://schemas.openxmlformats.org/drawingml/2006/main">
                    <a:graphicData uri="http://schemas.openxmlformats.org/drawingml/2006/picture">
                      <pic:pic xmlns:pic="http://schemas.openxmlformats.org/drawingml/2006/picture">
                        <pic:nvPicPr>
                          <pic:cNvPr id="675" name="ID_DE60E1367F4D47B68B43A253F9DB257F_SpCnt_32"/>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593725</wp:posOffset>
                  </wp:positionH>
                  <wp:positionV relativeFrom="paragraph">
                    <wp:posOffset>0</wp:posOffset>
                  </wp:positionV>
                  <wp:extent cx="596900" cy="504190"/>
                  <wp:effectExtent l="0" t="0" r="0" b="0"/>
                  <wp:wrapNone/>
                  <wp:docPr id="676" name="ID_B5BF18E09CFE43799C5EE3D44F45FB47_SpCnt_34"/>
                  <wp:cNvGraphicFramePr/>
                  <a:graphic xmlns:a="http://schemas.openxmlformats.org/drawingml/2006/main">
                    <a:graphicData uri="http://schemas.openxmlformats.org/drawingml/2006/picture">
                      <pic:pic xmlns:pic="http://schemas.openxmlformats.org/drawingml/2006/picture">
                        <pic:nvPicPr>
                          <pic:cNvPr id="676" name="ID_B5BF18E09CFE43799C5EE3D44F45FB47_SpCnt_34"/>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603250</wp:posOffset>
                  </wp:positionH>
                  <wp:positionV relativeFrom="paragraph">
                    <wp:posOffset>0</wp:posOffset>
                  </wp:positionV>
                  <wp:extent cx="596900" cy="504190"/>
                  <wp:effectExtent l="0" t="0" r="0" b="0"/>
                  <wp:wrapNone/>
                  <wp:docPr id="677" name="ID_E826D4FD2F1D481EA1CFBD3451A51F56_SpCnt_32"/>
                  <wp:cNvGraphicFramePr/>
                  <a:graphic xmlns:a="http://schemas.openxmlformats.org/drawingml/2006/main">
                    <a:graphicData uri="http://schemas.openxmlformats.org/drawingml/2006/picture">
                      <pic:pic xmlns:pic="http://schemas.openxmlformats.org/drawingml/2006/picture">
                        <pic:nvPicPr>
                          <pic:cNvPr id="677" name="ID_E826D4FD2F1D481EA1CFBD3451A51F56_SpCnt_32"/>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600075</wp:posOffset>
                  </wp:positionH>
                  <wp:positionV relativeFrom="paragraph">
                    <wp:posOffset>0</wp:posOffset>
                  </wp:positionV>
                  <wp:extent cx="596900" cy="504190"/>
                  <wp:effectExtent l="0" t="0" r="0" b="0"/>
                  <wp:wrapNone/>
                  <wp:docPr id="678" name="ID_DE60E1367F4D47B68B43A253F9DB257F_SpCnt_33"/>
                  <wp:cNvGraphicFramePr/>
                  <a:graphic xmlns:a="http://schemas.openxmlformats.org/drawingml/2006/main">
                    <a:graphicData uri="http://schemas.openxmlformats.org/drawingml/2006/picture">
                      <pic:pic xmlns:pic="http://schemas.openxmlformats.org/drawingml/2006/picture">
                        <pic:nvPicPr>
                          <pic:cNvPr id="678" name="ID_DE60E1367F4D47B68B43A253F9DB257F_SpCnt_33"/>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603250</wp:posOffset>
                  </wp:positionH>
                  <wp:positionV relativeFrom="paragraph">
                    <wp:posOffset>0</wp:posOffset>
                  </wp:positionV>
                  <wp:extent cx="596900" cy="504190"/>
                  <wp:effectExtent l="0" t="0" r="0" b="0"/>
                  <wp:wrapNone/>
                  <wp:docPr id="679" name="ID_CA31AD5AD4A240A69EBE9CEAC8E99D77_SpCnt_32"/>
                  <wp:cNvGraphicFramePr/>
                  <a:graphic xmlns:a="http://schemas.openxmlformats.org/drawingml/2006/main">
                    <a:graphicData uri="http://schemas.openxmlformats.org/drawingml/2006/picture">
                      <pic:pic xmlns:pic="http://schemas.openxmlformats.org/drawingml/2006/picture">
                        <pic:nvPicPr>
                          <pic:cNvPr id="679" name="ID_CA31AD5AD4A240A69EBE9CEAC8E99D77_SpCnt_32"/>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608330</wp:posOffset>
                  </wp:positionH>
                  <wp:positionV relativeFrom="paragraph">
                    <wp:posOffset>0</wp:posOffset>
                  </wp:positionV>
                  <wp:extent cx="596900" cy="504190"/>
                  <wp:effectExtent l="0" t="0" r="0" b="0"/>
                  <wp:wrapNone/>
                  <wp:docPr id="680" name="ID_DE60E1367F4D47B68B43A253F9DB257F_SpCnt_34"/>
                  <wp:cNvGraphicFramePr/>
                  <a:graphic xmlns:a="http://schemas.openxmlformats.org/drawingml/2006/main">
                    <a:graphicData uri="http://schemas.openxmlformats.org/drawingml/2006/picture">
                      <pic:pic xmlns:pic="http://schemas.openxmlformats.org/drawingml/2006/picture">
                        <pic:nvPicPr>
                          <pic:cNvPr id="680" name="ID_DE60E1367F4D47B68B43A253F9DB257F_SpCnt_34"/>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611505</wp:posOffset>
                  </wp:positionH>
                  <wp:positionV relativeFrom="paragraph">
                    <wp:posOffset>0</wp:posOffset>
                  </wp:positionV>
                  <wp:extent cx="596900" cy="504190"/>
                  <wp:effectExtent l="0" t="0" r="0" b="0"/>
                  <wp:wrapNone/>
                  <wp:docPr id="681" name="ID_E826D4FD2F1D481EA1CFBD3451A51F56_SpCnt_33"/>
                  <wp:cNvGraphicFramePr/>
                  <a:graphic xmlns:a="http://schemas.openxmlformats.org/drawingml/2006/main">
                    <a:graphicData uri="http://schemas.openxmlformats.org/drawingml/2006/picture">
                      <pic:pic xmlns:pic="http://schemas.openxmlformats.org/drawingml/2006/picture">
                        <pic:nvPicPr>
                          <pic:cNvPr id="681" name="ID_E826D4FD2F1D481EA1CFBD3451A51F56_SpCnt_33"/>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611505</wp:posOffset>
                  </wp:positionH>
                  <wp:positionV relativeFrom="paragraph">
                    <wp:posOffset>0</wp:posOffset>
                  </wp:positionV>
                  <wp:extent cx="596900" cy="504190"/>
                  <wp:effectExtent l="0" t="0" r="0" b="0"/>
                  <wp:wrapNone/>
                  <wp:docPr id="682" name="ID_CA31AD5AD4A240A69EBE9CEAC8E99D77_SpCnt_33"/>
                  <wp:cNvGraphicFramePr/>
                  <a:graphic xmlns:a="http://schemas.openxmlformats.org/drawingml/2006/main">
                    <a:graphicData uri="http://schemas.openxmlformats.org/drawingml/2006/picture">
                      <pic:pic xmlns:pic="http://schemas.openxmlformats.org/drawingml/2006/picture">
                        <pic:nvPicPr>
                          <pic:cNvPr id="682" name="ID_CA31AD5AD4A240A69EBE9CEAC8E99D77_SpCnt_33"/>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663575</wp:posOffset>
                  </wp:positionH>
                  <wp:positionV relativeFrom="paragraph">
                    <wp:posOffset>0</wp:posOffset>
                  </wp:positionV>
                  <wp:extent cx="654685" cy="647700"/>
                  <wp:effectExtent l="0" t="0" r="0" b="0"/>
                  <wp:wrapNone/>
                  <wp:docPr id="683" name="ID_B5BF18E09CFE43799C5EE3D44F45FB47_SpCnt_35"/>
                  <wp:cNvGraphicFramePr/>
                  <a:graphic xmlns:a="http://schemas.openxmlformats.org/drawingml/2006/main">
                    <a:graphicData uri="http://schemas.openxmlformats.org/drawingml/2006/picture">
                      <pic:pic xmlns:pic="http://schemas.openxmlformats.org/drawingml/2006/picture">
                        <pic:nvPicPr>
                          <pic:cNvPr id="683" name="ID_B5BF18E09CFE43799C5EE3D44F45FB47_SpCnt_35"/>
                          <pic:cNvPicPr/>
                        </pic:nvPicPr>
                        <pic:blipFill>
                          <a:blip r:embed="rId13"/>
                          <a:stretch>
                            <a:fillRect/>
                          </a:stretch>
                        </pic:blipFill>
                        <pic:spPr>
                          <a:xfrm>
                            <a:off x="0" y="0"/>
                            <a:ext cx="654685"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663575</wp:posOffset>
                  </wp:positionH>
                  <wp:positionV relativeFrom="paragraph">
                    <wp:posOffset>0</wp:posOffset>
                  </wp:positionV>
                  <wp:extent cx="647700" cy="647700"/>
                  <wp:effectExtent l="0" t="0" r="0" b="0"/>
                  <wp:wrapNone/>
                  <wp:docPr id="684" name="ID_B73E8774DBA24C66A077783CE7B139D0_SpCnt_35"/>
                  <wp:cNvGraphicFramePr/>
                  <a:graphic xmlns:a="http://schemas.openxmlformats.org/drawingml/2006/main">
                    <a:graphicData uri="http://schemas.openxmlformats.org/drawingml/2006/picture">
                      <pic:pic xmlns:pic="http://schemas.openxmlformats.org/drawingml/2006/picture">
                        <pic:nvPicPr>
                          <pic:cNvPr id="684" name="ID_B73E8774DBA24C66A077783CE7B139D0_SpCnt_35"/>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678815</wp:posOffset>
                  </wp:positionH>
                  <wp:positionV relativeFrom="paragraph">
                    <wp:posOffset>0</wp:posOffset>
                  </wp:positionV>
                  <wp:extent cx="645795" cy="647700"/>
                  <wp:effectExtent l="0" t="0" r="0" b="0"/>
                  <wp:wrapNone/>
                  <wp:docPr id="685" name="ID_DE60E1367F4D47B68B43A253F9DB257F_SpCnt_35"/>
                  <wp:cNvGraphicFramePr/>
                  <a:graphic xmlns:a="http://schemas.openxmlformats.org/drawingml/2006/main">
                    <a:graphicData uri="http://schemas.openxmlformats.org/drawingml/2006/picture">
                      <pic:pic xmlns:pic="http://schemas.openxmlformats.org/drawingml/2006/picture">
                        <pic:nvPicPr>
                          <pic:cNvPr id="685" name="ID_DE60E1367F4D47B68B43A253F9DB257F_SpCnt_35"/>
                          <pic:cNvPicPr/>
                        </pic:nvPicPr>
                        <pic:blipFill>
                          <a:blip r:embed="rId13"/>
                          <a:stretch>
                            <a:fillRect/>
                          </a:stretch>
                        </pic:blipFill>
                        <pic:spPr>
                          <a:xfrm>
                            <a:off x="0" y="0"/>
                            <a:ext cx="645795"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685800</wp:posOffset>
                  </wp:positionH>
                  <wp:positionV relativeFrom="paragraph">
                    <wp:posOffset>0</wp:posOffset>
                  </wp:positionV>
                  <wp:extent cx="647700" cy="647700"/>
                  <wp:effectExtent l="0" t="0" r="0" b="0"/>
                  <wp:wrapNone/>
                  <wp:docPr id="686" name="ID_CA31AD5AD4A240A69EBE9CEAC8E99D77_SpCnt_34"/>
                  <wp:cNvGraphicFramePr/>
                  <a:graphic xmlns:a="http://schemas.openxmlformats.org/drawingml/2006/main">
                    <a:graphicData uri="http://schemas.openxmlformats.org/drawingml/2006/picture">
                      <pic:pic xmlns:pic="http://schemas.openxmlformats.org/drawingml/2006/picture">
                        <pic:nvPicPr>
                          <pic:cNvPr id="686" name="ID_CA31AD5AD4A240A69EBE9CEAC8E99D77_SpCnt_34"/>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685800</wp:posOffset>
                  </wp:positionH>
                  <wp:positionV relativeFrom="paragraph">
                    <wp:posOffset>0</wp:posOffset>
                  </wp:positionV>
                  <wp:extent cx="647700" cy="647700"/>
                  <wp:effectExtent l="0" t="0" r="0" b="0"/>
                  <wp:wrapNone/>
                  <wp:docPr id="687" name="ID_E826D4FD2F1D481EA1CFBD3451A51F56_SpCnt_34"/>
                  <wp:cNvGraphicFramePr/>
                  <a:graphic xmlns:a="http://schemas.openxmlformats.org/drawingml/2006/main">
                    <a:graphicData uri="http://schemas.openxmlformats.org/drawingml/2006/picture">
                      <pic:pic xmlns:pic="http://schemas.openxmlformats.org/drawingml/2006/picture">
                        <pic:nvPicPr>
                          <pic:cNvPr id="687" name="ID_E826D4FD2F1D481EA1CFBD3451A51F56_SpCnt_34"/>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产品尺寸：700×700 mm（棋盘展开尺寸）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配件：固定用的木栓×4</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棉绳格子×1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“O”字母沙包×5</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“×”字母沙包×5</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布袋×4</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材质：纺织物、实木</w:t>
            </w:r>
            <w:r>
              <w:rPr>
                <w:rFonts w:hint="eastAsia" w:ascii="宋体" w:hAnsi="宋体" w:cs="宋体"/>
                <w:i w:val="0"/>
                <w:iCs w:val="0"/>
                <w:color w:val="auto"/>
                <w:kern w:val="0"/>
                <w:sz w:val="21"/>
                <w:szCs w:val="21"/>
                <w:highlight w:val="none"/>
                <w:u w:val="none"/>
                <w:lang w:val="en-US" w:eastAsia="zh-CN" w:bidi="ar"/>
              </w:rPr>
              <w:t>。</w:t>
            </w:r>
          </w:p>
        </w:tc>
      </w:tr>
      <w:tr w14:paraId="72BDC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185F87F3">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85</w:t>
            </w:r>
          </w:p>
        </w:tc>
        <w:tc>
          <w:tcPr>
            <w:tcW w:w="744" w:type="pct"/>
            <w:shd w:val="clear" w:color="auto" w:fill="auto"/>
            <w:vAlign w:val="center"/>
          </w:tcPr>
          <w:p w14:paraId="22AE1C86">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四色走位双面棋</w:t>
            </w:r>
          </w:p>
        </w:tc>
        <w:tc>
          <w:tcPr>
            <w:tcW w:w="476" w:type="pct"/>
            <w:shd w:val="clear" w:color="auto" w:fill="auto"/>
            <w:vAlign w:val="center"/>
          </w:tcPr>
          <w:p w14:paraId="76A5A5C1">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410D0294">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工业</w:t>
            </w:r>
          </w:p>
        </w:tc>
        <w:tc>
          <w:tcPr>
            <w:tcW w:w="3056" w:type="pct"/>
            <w:shd w:val="clear" w:color="auto" w:fill="auto"/>
            <w:vAlign w:val="center"/>
          </w:tcPr>
          <w:p w14:paraId="027B464A">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中间板：椴木夹板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粒子：荷木（浅色但不漂白)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底座：榉木（浅色但不漂白)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270*60*188</w:t>
            </w:r>
          </w:p>
        </w:tc>
      </w:tr>
      <w:tr w14:paraId="5AA7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3" w:type="pct"/>
            <w:shd w:val="clear" w:color="auto" w:fill="auto"/>
            <w:vAlign w:val="center"/>
          </w:tcPr>
          <w:p w14:paraId="26A71737">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86</w:t>
            </w:r>
          </w:p>
        </w:tc>
        <w:tc>
          <w:tcPr>
            <w:tcW w:w="744" w:type="pct"/>
            <w:shd w:val="clear" w:color="auto" w:fill="auto"/>
            <w:vAlign w:val="center"/>
          </w:tcPr>
          <w:p w14:paraId="62FF4F9A">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数字钟迷宫</w:t>
            </w:r>
          </w:p>
        </w:tc>
        <w:tc>
          <w:tcPr>
            <w:tcW w:w="476" w:type="pct"/>
            <w:shd w:val="clear" w:color="auto" w:fill="auto"/>
            <w:vAlign w:val="center"/>
          </w:tcPr>
          <w:p w14:paraId="35FCB845">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12个</w:t>
            </w:r>
          </w:p>
        </w:tc>
        <w:tc>
          <w:tcPr>
            <w:tcW w:w="388" w:type="pct"/>
            <w:shd w:val="clear" w:color="auto" w:fill="auto"/>
            <w:vAlign w:val="center"/>
          </w:tcPr>
          <w:p w14:paraId="26F7EAC9">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0D32BA04">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 xml:space="preserve">底盘木盒: 夹板；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有机玻璃盖: 1.8mm厚，直径175mm                                                                                                  钓竿:D13x60mm</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 绳（可见长度）：长165mm；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产品木头部分湿度要求低于13度，产品边缘光滑，不可有毛刺</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夹板无黑心，空心</w:t>
            </w:r>
            <w:r>
              <w:rPr>
                <w:rFonts w:hint="eastAsia" w:ascii="宋体" w:hAnsi="宋体" w:cs="宋体"/>
                <w:i w:val="0"/>
                <w:iCs w:val="0"/>
                <w:color w:val="auto"/>
                <w:kern w:val="0"/>
                <w:sz w:val="21"/>
                <w:szCs w:val="21"/>
                <w:highlight w:val="none"/>
                <w:u w:val="none"/>
                <w:lang w:val="en-US" w:eastAsia="zh-CN" w:bidi="ar"/>
              </w:rPr>
              <w:t>。</w:t>
            </w:r>
          </w:p>
        </w:tc>
      </w:tr>
      <w:tr w14:paraId="26EA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4F4A11A7">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87</w:t>
            </w:r>
          </w:p>
        </w:tc>
        <w:tc>
          <w:tcPr>
            <w:tcW w:w="744" w:type="pct"/>
            <w:shd w:val="clear" w:color="auto" w:fill="auto"/>
            <w:vAlign w:val="center"/>
          </w:tcPr>
          <w:p w14:paraId="6112E9DB">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七巧板</w:t>
            </w:r>
          </w:p>
        </w:tc>
        <w:tc>
          <w:tcPr>
            <w:tcW w:w="476" w:type="pct"/>
            <w:shd w:val="clear" w:color="auto" w:fill="auto"/>
            <w:vAlign w:val="center"/>
          </w:tcPr>
          <w:p w14:paraId="231B5DC5">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090559C4">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523D3C05">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材质 ：PP食品级环保塑料、安全无毒，颜色艳丽，耐光照不褪色，抗压耐磨，光滑不伤手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产品由红、黄、蓝、绿、橙、紫6种颜色组成                                规格（允许尺寸误差±3mm）：大三角：67*129*3mm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中三角：47*88**3mm 小三角：33*62mm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正方形：48*48*3mm  斜长方形：33*66*3mm                                                       3.件数：40付/箱</w:t>
            </w:r>
          </w:p>
        </w:tc>
      </w:tr>
      <w:tr w14:paraId="21559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196BB8BE">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88</w:t>
            </w:r>
          </w:p>
        </w:tc>
        <w:tc>
          <w:tcPr>
            <w:tcW w:w="744" w:type="pct"/>
            <w:shd w:val="clear" w:color="auto" w:fill="auto"/>
            <w:vAlign w:val="center"/>
          </w:tcPr>
          <w:p w14:paraId="0A0B4768">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空间和远近概念学习板</w:t>
            </w:r>
          </w:p>
        </w:tc>
        <w:tc>
          <w:tcPr>
            <w:tcW w:w="476" w:type="pct"/>
            <w:shd w:val="clear" w:color="auto" w:fill="auto"/>
            <w:vAlign w:val="center"/>
          </w:tcPr>
          <w:p w14:paraId="1761A585">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01A291A6">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03FCDAC3">
            <w:pPr>
              <w:keepNext w:val="0"/>
              <w:keepLines w:val="0"/>
              <w:widowControl/>
              <w:suppressLineNumbers w:val="0"/>
              <w:jc w:val="left"/>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lang w:val="en-US" w:eastAsia="zh-CN" w:bidi="ar"/>
              </w:rPr>
              <w:t>材质：粒子：夹板  底板：榉木（浅色）；</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底板：23*11*2cm、夹板厚度0.5cm</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部件：10个农场主题夹板插片、10个海洋主题插片、5张双面学习卡片</w:t>
            </w:r>
          </w:p>
        </w:tc>
      </w:tr>
      <w:tr w14:paraId="25443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6EC93EE1">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89</w:t>
            </w:r>
          </w:p>
        </w:tc>
        <w:tc>
          <w:tcPr>
            <w:tcW w:w="744" w:type="pct"/>
            <w:shd w:val="clear" w:color="auto" w:fill="auto"/>
            <w:vAlign w:val="center"/>
          </w:tcPr>
          <w:p w14:paraId="47EC9B46">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计算方块教具积木</w:t>
            </w:r>
          </w:p>
        </w:tc>
        <w:tc>
          <w:tcPr>
            <w:tcW w:w="476" w:type="pct"/>
            <w:shd w:val="clear" w:color="auto" w:fill="auto"/>
            <w:vAlign w:val="center"/>
          </w:tcPr>
          <w:p w14:paraId="3B7396D3">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57B904E3">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62685DA2">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材质 ：PP食品级环保塑料、安全无毒，颜色艳丽，耐光照不褪色，抗压耐磨，光滑不伤手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产品由红、黄、蓝、绿、浅蓝、浅绿、橙、紫8种颜色组成     方块规格：19*19mm （允许尺寸误差±3mm）                                         3.件数:3付（每付配方块10色各10粒/学习卡片16张）</w:t>
            </w:r>
          </w:p>
        </w:tc>
      </w:tr>
      <w:tr w14:paraId="5163C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555C0930">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90</w:t>
            </w:r>
          </w:p>
        </w:tc>
        <w:tc>
          <w:tcPr>
            <w:tcW w:w="744" w:type="pct"/>
            <w:shd w:val="clear" w:color="auto" w:fill="auto"/>
            <w:vAlign w:val="center"/>
          </w:tcPr>
          <w:p w14:paraId="65E4093A">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对应和分类</w:t>
            </w:r>
          </w:p>
        </w:tc>
        <w:tc>
          <w:tcPr>
            <w:tcW w:w="476" w:type="pct"/>
            <w:shd w:val="clear" w:color="auto" w:fill="auto"/>
            <w:vAlign w:val="center"/>
          </w:tcPr>
          <w:p w14:paraId="44A1CA33">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4A2FF504">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7551D6EC">
            <w:pPr>
              <w:keepNext w:val="0"/>
              <w:keepLines w:val="0"/>
              <w:widowControl/>
              <w:suppressLineNumbers w:val="0"/>
              <w:jc w:val="left"/>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lang w:val="en-US" w:eastAsia="zh-CN" w:bidi="ar"/>
              </w:rPr>
              <w:t>材质：椴木夹板 ； 木盒：295*120*83mm；</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48片分类粒子规格：3.8*3.5*0.5cm；4片图形对应板：25.8*3.8cm；</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采用环保水性油漆，图案为丝印加热转印工艺，产品木头部分湿度要求低于14度</w:t>
            </w:r>
          </w:p>
        </w:tc>
      </w:tr>
      <w:tr w14:paraId="52FB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33" w:type="pct"/>
            <w:shd w:val="clear" w:color="auto" w:fill="auto"/>
            <w:vAlign w:val="center"/>
          </w:tcPr>
          <w:p w14:paraId="6A81C947">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91</w:t>
            </w:r>
          </w:p>
        </w:tc>
        <w:tc>
          <w:tcPr>
            <w:tcW w:w="744" w:type="pct"/>
            <w:shd w:val="clear" w:color="auto" w:fill="auto"/>
            <w:vAlign w:val="center"/>
          </w:tcPr>
          <w:p w14:paraId="0C88D85C">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反应力游戏</w:t>
            </w:r>
          </w:p>
        </w:tc>
        <w:tc>
          <w:tcPr>
            <w:tcW w:w="476" w:type="pct"/>
            <w:shd w:val="clear" w:color="auto" w:fill="auto"/>
            <w:vAlign w:val="center"/>
          </w:tcPr>
          <w:p w14:paraId="47D37A51">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5F10AD57">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4713D420">
            <w:pPr>
              <w:keepNext w:val="0"/>
              <w:keepLines w:val="0"/>
              <w:widowControl/>
              <w:suppressLineNumbers w:val="0"/>
              <w:jc w:val="left"/>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08330" cy="542290"/>
                  <wp:effectExtent l="0" t="0" r="0" b="0"/>
                  <wp:wrapNone/>
                  <wp:docPr id="688" name="ID_CA31AD5AD4A240A69EBE9CEAC8E99D77_SpCnt_35"/>
                  <wp:cNvGraphicFramePr/>
                  <a:graphic xmlns:a="http://schemas.openxmlformats.org/drawingml/2006/main">
                    <a:graphicData uri="http://schemas.openxmlformats.org/drawingml/2006/picture">
                      <pic:pic xmlns:pic="http://schemas.openxmlformats.org/drawingml/2006/picture">
                        <pic:nvPicPr>
                          <pic:cNvPr id="688" name="ID_CA31AD5AD4A240A69EBE9CEAC8E99D77_SpCnt_35"/>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716280" cy="715010"/>
                  <wp:effectExtent l="0" t="0" r="0" b="0"/>
                  <wp:wrapNone/>
                  <wp:docPr id="689" name="ID_B5BF18E09CFE43799C5EE3D44F45FB47_SpCnt_36"/>
                  <wp:cNvGraphicFramePr/>
                  <a:graphic xmlns:a="http://schemas.openxmlformats.org/drawingml/2006/main">
                    <a:graphicData uri="http://schemas.openxmlformats.org/drawingml/2006/picture">
                      <pic:pic xmlns:pic="http://schemas.openxmlformats.org/drawingml/2006/picture">
                        <pic:nvPicPr>
                          <pic:cNvPr id="689" name="ID_B5BF18E09CFE43799C5EE3D44F45FB47_SpCnt_36"/>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08330" cy="542290"/>
                  <wp:effectExtent l="0" t="0" r="0" b="0"/>
                  <wp:wrapNone/>
                  <wp:docPr id="690" name="ID_B5BF18E09CFE43799C5EE3D44F45FB47_SpCnt_37"/>
                  <wp:cNvGraphicFramePr/>
                  <a:graphic xmlns:a="http://schemas.openxmlformats.org/drawingml/2006/main">
                    <a:graphicData uri="http://schemas.openxmlformats.org/drawingml/2006/picture">
                      <pic:pic xmlns:pic="http://schemas.openxmlformats.org/drawingml/2006/picture">
                        <pic:nvPicPr>
                          <pic:cNvPr id="690" name="ID_B5BF18E09CFE43799C5EE3D44F45FB47_SpCnt_37"/>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4365" cy="542290"/>
                  <wp:effectExtent l="0" t="0" r="0" b="0"/>
                  <wp:wrapNone/>
                  <wp:docPr id="691" name="图片_19_SpCnt_13"/>
                  <wp:cNvGraphicFramePr/>
                  <a:graphic xmlns:a="http://schemas.openxmlformats.org/drawingml/2006/main">
                    <a:graphicData uri="http://schemas.openxmlformats.org/drawingml/2006/picture">
                      <pic:pic xmlns:pic="http://schemas.openxmlformats.org/drawingml/2006/picture">
                        <pic:nvPicPr>
                          <pic:cNvPr id="691" name="图片_19_SpCnt_13"/>
                          <pic:cNvPicPr/>
                        </pic:nvPicPr>
                        <pic:blipFill>
                          <a:blip r:embed="rId13"/>
                          <a:stretch>
                            <a:fillRect/>
                          </a:stretch>
                        </pic:blipFill>
                        <pic:spPr>
                          <a:xfrm>
                            <a:off x="0" y="0"/>
                            <a:ext cx="634365"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723265" cy="715010"/>
                  <wp:effectExtent l="0" t="0" r="0" b="0"/>
                  <wp:wrapNone/>
                  <wp:docPr id="692" name="ID_CA31AD5AD4A240A69EBE9CEAC8E99D77_SpCnt_36"/>
                  <wp:cNvGraphicFramePr/>
                  <a:graphic xmlns:a="http://schemas.openxmlformats.org/drawingml/2006/main">
                    <a:graphicData uri="http://schemas.openxmlformats.org/drawingml/2006/picture">
                      <pic:pic xmlns:pic="http://schemas.openxmlformats.org/drawingml/2006/picture">
                        <pic:nvPicPr>
                          <pic:cNvPr id="692" name="ID_CA31AD5AD4A240A69EBE9CEAC8E99D77_SpCnt_36"/>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723265" cy="715010"/>
                  <wp:effectExtent l="0" t="0" r="0" b="0"/>
                  <wp:wrapNone/>
                  <wp:docPr id="693" name="ID_B73E8774DBA24C66A077783CE7B139D0_SpCnt_36"/>
                  <wp:cNvGraphicFramePr/>
                  <a:graphic xmlns:a="http://schemas.openxmlformats.org/drawingml/2006/main">
                    <a:graphicData uri="http://schemas.openxmlformats.org/drawingml/2006/picture">
                      <pic:pic xmlns:pic="http://schemas.openxmlformats.org/drawingml/2006/picture">
                        <pic:nvPicPr>
                          <pic:cNvPr id="693" name="ID_B73E8774DBA24C66A077783CE7B139D0_SpCnt_36"/>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723265" cy="715010"/>
                  <wp:effectExtent l="0" t="0" r="0" b="0"/>
                  <wp:wrapNone/>
                  <wp:docPr id="694" name="ID_E826D4FD2F1D481EA1CFBD3451A51F56_SpCnt_35"/>
                  <wp:cNvGraphicFramePr/>
                  <a:graphic xmlns:a="http://schemas.openxmlformats.org/drawingml/2006/main">
                    <a:graphicData uri="http://schemas.openxmlformats.org/drawingml/2006/picture">
                      <pic:pic xmlns:pic="http://schemas.openxmlformats.org/drawingml/2006/picture">
                        <pic:nvPicPr>
                          <pic:cNvPr id="694" name="ID_E826D4FD2F1D481EA1CFBD3451A51F56_SpCnt_35"/>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716280" cy="715010"/>
                  <wp:effectExtent l="0" t="0" r="0" b="0"/>
                  <wp:wrapNone/>
                  <wp:docPr id="695" name="ID_DE60E1367F4D47B68B43A253F9DB257F_SpCnt_36"/>
                  <wp:cNvGraphicFramePr/>
                  <a:graphic xmlns:a="http://schemas.openxmlformats.org/drawingml/2006/main">
                    <a:graphicData uri="http://schemas.openxmlformats.org/drawingml/2006/picture">
                      <pic:pic xmlns:pic="http://schemas.openxmlformats.org/drawingml/2006/picture">
                        <pic:nvPicPr>
                          <pic:cNvPr id="695" name="ID_DE60E1367F4D47B68B43A253F9DB257F_SpCnt_36"/>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4365" cy="544195"/>
                  <wp:effectExtent l="0" t="0" r="0" b="0"/>
                  <wp:wrapNone/>
                  <wp:docPr id="696" name="图片_861"/>
                  <wp:cNvGraphicFramePr/>
                  <a:graphic xmlns:a="http://schemas.openxmlformats.org/drawingml/2006/main">
                    <a:graphicData uri="http://schemas.openxmlformats.org/drawingml/2006/picture">
                      <pic:pic xmlns:pic="http://schemas.openxmlformats.org/drawingml/2006/picture">
                        <pic:nvPicPr>
                          <pic:cNvPr id="696" name="图片_861"/>
                          <pic:cNvPicPr/>
                        </pic:nvPicPr>
                        <pic:blipFill>
                          <a:blip r:embed="rId13"/>
                          <a:stretch>
                            <a:fillRect/>
                          </a:stretch>
                        </pic:blipFill>
                        <pic:spPr>
                          <a:xfrm>
                            <a:off x="0" y="0"/>
                            <a:ext cx="634365" cy="544195"/>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720090" cy="717550"/>
                  <wp:effectExtent l="0" t="0" r="0" b="0"/>
                  <wp:wrapNone/>
                  <wp:docPr id="697" name="图片_18_SpCnt_23"/>
                  <wp:cNvGraphicFramePr/>
                  <a:graphic xmlns:a="http://schemas.openxmlformats.org/drawingml/2006/main">
                    <a:graphicData uri="http://schemas.openxmlformats.org/drawingml/2006/picture">
                      <pic:pic xmlns:pic="http://schemas.openxmlformats.org/drawingml/2006/picture">
                        <pic:nvPicPr>
                          <pic:cNvPr id="697" name="图片_18_SpCnt_23"/>
                          <pic:cNvPicPr/>
                        </pic:nvPicPr>
                        <pic:blipFill>
                          <a:blip r:embed="rId13"/>
                          <a:stretch>
                            <a:fillRect/>
                          </a:stretch>
                        </pic:blipFill>
                        <pic:spPr>
                          <a:xfrm>
                            <a:off x="0" y="0"/>
                            <a:ext cx="720090" cy="71755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718820" cy="715645"/>
                  <wp:effectExtent l="0" t="0" r="0" b="0"/>
                  <wp:wrapNone/>
                  <wp:docPr id="698" name="图片_18_SpCnt_24"/>
                  <wp:cNvGraphicFramePr/>
                  <a:graphic xmlns:a="http://schemas.openxmlformats.org/drawingml/2006/main">
                    <a:graphicData uri="http://schemas.openxmlformats.org/drawingml/2006/picture">
                      <pic:pic xmlns:pic="http://schemas.openxmlformats.org/drawingml/2006/picture">
                        <pic:nvPicPr>
                          <pic:cNvPr id="698" name="图片_18_SpCnt_24"/>
                          <pic:cNvPicPr/>
                        </pic:nvPicPr>
                        <pic:blipFill>
                          <a:blip r:embed="rId13"/>
                          <a:stretch>
                            <a:fillRect/>
                          </a:stretch>
                        </pic:blipFill>
                        <pic:spPr>
                          <a:xfrm>
                            <a:off x="0" y="0"/>
                            <a:ext cx="718820" cy="715645"/>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08330" cy="542290"/>
                  <wp:effectExtent l="0" t="0" r="0" b="0"/>
                  <wp:wrapNone/>
                  <wp:docPr id="699" name="ID_DE60E1367F4D47B68B43A253F9DB257F_SpCnt_37"/>
                  <wp:cNvGraphicFramePr/>
                  <a:graphic xmlns:a="http://schemas.openxmlformats.org/drawingml/2006/main">
                    <a:graphicData uri="http://schemas.openxmlformats.org/drawingml/2006/picture">
                      <pic:pic xmlns:pic="http://schemas.openxmlformats.org/drawingml/2006/picture">
                        <pic:nvPicPr>
                          <pic:cNvPr id="699" name="ID_DE60E1367F4D47B68B43A253F9DB257F_SpCnt_37"/>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08330" cy="542290"/>
                  <wp:effectExtent l="0" t="0" r="0" b="0"/>
                  <wp:wrapNone/>
                  <wp:docPr id="700" name="ID_B73E8774DBA24C66A077783CE7B139D0_SpCnt_37"/>
                  <wp:cNvGraphicFramePr/>
                  <a:graphic xmlns:a="http://schemas.openxmlformats.org/drawingml/2006/main">
                    <a:graphicData uri="http://schemas.openxmlformats.org/drawingml/2006/picture">
                      <pic:pic xmlns:pic="http://schemas.openxmlformats.org/drawingml/2006/picture">
                        <pic:nvPicPr>
                          <pic:cNvPr id="700" name="ID_B73E8774DBA24C66A077783CE7B139D0_SpCnt_37"/>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08330" cy="542290"/>
                  <wp:effectExtent l="0" t="0" r="0" b="0"/>
                  <wp:wrapNone/>
                  <wp:docPr id="701" name="ID_E826D4FD2F1D481EA1CFBD3451A51F56_SpCnt_36"/>
                  <wp:cNvGraphicFramePr/>
                  <a:graphic xmlns:a="http://schemas.openxmlformats.org/drawingml/2006/main">
                    <a:graphicData uri="http://schemas.openxmlformats.org/drawingml/2006/picture">
                      <pic:pic xmlns:pic="http://schemas.openxmlformats.org/drawingml/2006/picture">
                        <pic:nvPicPr>
                          <pic:cNvPr id="701" name="ID_E826D4FD2F1D481EA1CFBD3451A51F56_SpCnt_36"/>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4365" cy="539750"/>
                  <wp:effectExtent l="0" t="0" r="0" b="0"/>
                  <wp:wrapNone/>
                  <wp:docPr id="702" name="图片_18_SpCnt_25"/>
                  <wp:cNvGraphicFramePr/>
                  <a:graphic xmlns:a="http://schemas.openxmlformats.org/drawingml/2006/main">
                    <a:graphicData uri="http://schemas.openxmlformats.org/drawingml/2006/picture">
                      <pic:pic xmlns:pic="http://schemas.openxmlformats.org/drawingml/2006/picture">
                        <pic:nvPicPr>
                          <pic:cNvPr id="702" name="图片_18_SpCnt_25"/>
                          <pic:cNvPicPr/>
                        </pic:nvPicPr>
                        <pic:blipFill>
                          <a:blip r:embed="rId13"/>
                          <a:stretch>
                            <a:fillRect/>
                          </a:stretch>
                        </pic:blipFill>
                        <pic:spPr>
                          <a:xfrm>
                            <a:off x="0" y="0"/>
                            <a:ext cx="634365" cy="53975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503555</wp:posOffset>
                  </wp:positionH>
                  <wp:positionV relativeFrom="paragraph">
                    <wp:posOffset>0</wp:posOffset>
                  </wp:positionV>
                  <wp:extent cx="634365" cy="539750"/>
                  <wp:effectExtent l="0" t="0" r="0" b="0"/>
                  <wp:wrapNone/>
                  <wp:docPr id="703" name="图片_18_SpCnt_26"/>
                  <wp:cNvGraphicFramePr/>
                  <a:graphic xmlns:a="http://schemas.openxmlformats.org/drawingml/2006/main">
                    <a:graphicData uri="http://schemas.openxmlformats.org/drawingml/2006/picture">
                      <pic:pic xmlns:pic="http://schemas.openxmlformats.org/drawingml/2006/picture">
                        <pic:nvPicPr>
                          <pic:cNvPr id="703" name="图片_18_SpCnt_26"/>
                          <pic:cNvPicPr/>
                        </pic:nvPicPr>
                        <pic:blipFill>
                          <a:blip r:embed="rId13"/>
                          <a:stretch>
                            <a:fillRect/>
                          </a:stretch>
                        </pic:blipFill>
                        <pic:spPr>
                          <a:xfrm>
                            <a:off x="0" y="0"/>
                            <a:ext cx="634365" cy="53975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570230</wp:posOffset>
                  </wp:positionH>
                  <wp:positionV relativeFrom="paragraph">
                    <wp:posOffset>0</wp:posOffset>
                  </wp:positionV>
                  <wp:extent cx="725805" cy="715010"/>
                  <wp:effectExtent l="0" t="0" r="0" b="0"/>
                  <wp:wrapNone/>
                  <wp:docPr id="704" name="ID_B73E8774DBA24C66A077783CE7B139D0_SpCnt_38"/>
                  <wp:cNvGraphicFramePr/>
                  <a:graphic xmlns:a="http://schemas.openxmlformats.org/drawingml/2006/main">
                    <a:graphicData uri="http://schemas.openxmlformats.org/drawingml/2006/picture">
                      <pic:pic xmlns:pic="http://schemas.openxmlformats.org/drawingml/2006/picture">
                        <pic:nvPicPr>
                          <pic:cNvPr id="704" name="ID_B73E8774DBA24C66A077783CE7B139D0_SpCnt_38"/>
                          <pic:cNvPicPr/>
                        </pic:nvPicPr>
                        <pic:blipFill>
                          <a:blip r:embed="rId13"/>
                          <a:stretch>
                            <a:fillRect/>
                          </a:stretch>
                        </pic:blipFill>
                        <pic:spPr>
                          <a:xfrm>
                            <a:off x="0" y="0"/>
                            <a:ext cx="72580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579120</wp:posOffset>
                  </wp:positionH>
                  <wp:positionV relativeFrom="paragraph">
                    <wp:posOffset>0</wp:posOffset>
                  </wp:positionV>
                  <wp:extent cx="716915" cy="715010"/>
                  <wp:effectExtent l="0" t="0" r="0" b="0"/>
                  <wp:wrapNone/>
                  <wp:docPr id="705" name="ID_B5BF18E09CFE43799C5EE3D44F45FB47_SpCnt_38"/>
                  <wp:cNvGraphicFramePr/>
                  <a:graphic xmlns:a="http://schemas.openxmlformats.org/drawingml/2006/main">
                    <a:graphicData uri="http://schemas.openxmlformats.org/drawingml/2006/picture">
                      <pic:pic xmlns:pic="http://schemas.openxmlformats.org/drawingml/2006/picture">
                        <pic:nvPicPr>
                          <pic:cNvPr id="705" name="ID_B5BF18E09CFE43799C5EE3D44F45FB47_SpCnt_38"/>
                          <pic:cNvPicPr/>
                        </pic:nvPicPr>
                        <pic:blipFill>
                          <a:blip r:embed="rId13"/>
                          <a:stretch>
                            <a:fillRect/>
                          </a:stretch>
                        </pic:blipFill>
                        <pic:spPr>
                          <a:xfrm>
                            <a:off x="0" y="0"/>
                            <a:ext cx="71691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580390</wp:posOffset>
                  </wp:positionH>
                  <wp:positionV relativeFrom="paragraph">
                    <wp:posOffset>0</wp:posOffset>
                  </wp:positionV>
                  <wp:extent cx="596900" cy="504190"/>
                  <wp:effectExtent l="0" t="0" r="0" b="0"/>
                  <wp:wrapNone/>
                  <wp:docPr id="706" name="ID_B73E8774DBA24C66A077783CE7B139D0_SpCnt_39"/>
                  <wp:cNvGraphicFramePr/>
                  <a:graphic xmlns:a="http://schemas.openxmlformats.org/drawingml/2006/main">
                    <a:graphicData uri="http://schemas.openxmlformats.org/drawingml/2006/picture">
                      <pic:pic xmlns:pic="http://schemas.openxmlformats.org/drawingml/2006/picture">
                        <pic:nvPicPr>
                          <pic:cNvPr id="706" name="ID_B73E8774DBA24C66A077783CE7B139D0_SpCnt_39"/>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578485</wp:posOffset>
                  </wp:positionH>
                  <wp:positionV relativeFrom="paragraph">
                    <wp:posOffset>0</wp:posOffset>
                  </wp:positionV>
                  <wp:extent cx="596900" cy="504190"/>
                  <wp:effectExtent l="0" t="0" r="0" b="0"/>
                  <wp:wrapNone/>
                  <wp:docPr id="707" name="ID_B5BF18E09CFE43799C5EE3D44F45FB47_SpCnt_39"/>
                  <wp:cNvGraphicFramePr/>
                  <a:graphic xmlns:a="http://schemas.openxmlformats.org/drawingml/2006/main">
                    <a:graphicData uri="http://schemas.openxmlformats.org/drawingml/2006/picture">
                      <pic:pic xmlns:pic="http://schemas.openxmlformats.org/drawingml/2006/picture">
                        <pic:nvPicPr>
                          <pic:cNvPr id="707" name="ID_B5BF18E09CFE43799C5EE3D44F45FB47_SpCnt_39"/>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573405</wp:posOffset>
                  </wp:positionH>
                  <wp:positionV relativeFrom="paragraph">
                    <wp:posOffset>0</wp:posOffset>
                  </wp:positionV>
                  <wp:extent cx="596900" cy="504190"/>
                  <wp:effectExtent l="0" t="0" r="0" b="0"/>
                  <wp:wrapNone/>
                  <wp:docPr id="708" name="ID_B73E8774DBA24C66A077783CE7B139D0_SpCnt_40"/>
                  <wp:cNvGraphicFramePr/>
                  <a:graphic xmlns:a="http://schemas.openxmlformats.org/drawingml/2006/main">
                    <a:graphicData uri="http://schemas.openxmlformats.org/drawingml/2006/picture">
                      <pic:pic xmlns:pic="http://schemas.openxmlformats.org/drawingml/2006/picture">
                        <pic:nvPicPr>
                          <pic:cNvPr id="708" name="ID_B73E8774DBA24C66A077783CE7B139D0_SpCnt_40"/>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585470</wp:posOffset>
                  </wp:positionH>
                  <wp:positionV relativeFrom="paragraph">
                    <wp:posOffset>0</wp:posOffset>
                  </wp:positionV>
                  <wp:extent cx="596900" cy="504190"/>
                  <wp:effectExtent l="0" t="0" r="0" b="0"/>
                  <wp:wrapNone/>
                  <wp:docPr id="709" name="ID_B5BF18E09CFE43799C5EE3D44F45FB47_SpCnt_40"/>
                  <wp:cNvGraphicFramePr/>
                  <a:graphic xmlns:a="http://schemas.openxmlformats.org/drawingml/2006/main">
                    <a:graphicData uri="http://schemas.openxmlformats.org/drawingml/2006/picture">
                      <pic:pic xmlns:pic="http://schemas.openxmlformats.org/drawingml/2006/picture">
                        <pic:nvPicPr>
                          <pic:cNvPr id="709" name="ID_B5BF18E09CFE43799C5EE3D44F45FB47_SpCnt_40"/>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588645</wp:posOffset>
                  </wp:positionH>
                  <wp:positionV relativeFrom="paragraph">
                    <wp:posOffset>0</wp:posOffset>
                  </wp:positionV>
                  <wp:extent cx="596900" cy="504190"/>
                  <wp:effectExtent l="0" t="0" r="0" b="0"/>
                  <wp:wrapNone/>
                  <wp:docPr id="710" name="ID_B73E8774DBA24C66A077783CE7B139D0_SpCnt_41"/>
                  <wp:cNvGraphicFramePr/>
                  <a:graphic xmlns:a="http://schemas.openxmlformats.org/drawingml/2006/main">
                    <a:graphicData uri="http://schemas.openxmlformats.org/drawingml/2006/picture">
                      <pic:pic xmlns:pic="http://schemas.openxmlformats.org/drawingml/2006/picture">
                        <pic:nvPicPr>
                          <pic:cNvPr id="710" name="ID_B73E8774DBA24C66A077783CE7B139D0_SpCnt_41"/>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594995</wp:posOffset>
                  </wp:positionH>
                  <wp:positionV relativeFrom="paragraph">
                    <wp:posOffset>0</wp:posOffset>
                  </wp:positionV>
                  <wp:extent cx="716280" cy="715010"/>
                  <wp:effectExtent l="0" t="0" r="0" b="0"/>
                  <wp:wrapNone/>
                  <wp:docPr id="711" name="ID_DE60E1367F4D47B68B43A253F9DB257F_SpCnt_38"/>
                  <wp:cNvGraphicFramePr/>
                  <a:graphic xmlns:a="http://schemas.openxmlformats.org/drawingml/2006/main">
                    <a:graphicData uri="http://schemas.openxmlformats.org/drawingml/2006/picture">
                      <pic:pic xmlns:pic="http://schemas.openxmlformats.org/drawingml/2006/picture">
                        <pic:nvPicPr>
                          <pic:cNvPr id="711" name="ID_DE60E1367F4D47B68B43A253F9DB257F_SpCnt_38"/>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597535</wp:posOffset>
                  </wp:positionH>
                  <wp:positionV relativeFrom="paragraph">
                    <wp:posOffset>0</wp:posOffset>
                  </wp:positionV>
                  <wp:extent cx="634365" cy="542290"/>
                  <wp:effectExtent l="0" t="0" r="0" b="0"/>
                  <wp:wrapNone/>
                  <wp:docPr id="712" name="图片_19_SpCnt_14"/>
                  <wp:cNvGraphicFramePr/>
                  <a:graphic xmlns:a="http://schemas.openxmlformats.org/drawingml/2006/main">
                    <a:graphicData uri="http://schemas.openxmlformats.org/drawingml/2006/picture">
                      <pic:pic xmlns:pic="http://schemas.openxmlformats.org/drawingml/2006/picture">
                        <pic:nvPicPr>
                          <pic:cNvPr id="712" name="图片_19_SpCnt_14"/>
                          <pic:cNvPicPr/>
                        </pic:nvPicPr>
                        <pic:blipFill>
                          <a:blip r:embed="rId13"/>
                          <a:stretch>
                            <a:fillRect/>
                          </a:stretch>
                        </pic:blipFill>
                        <pic:spPr>
                          <a:xfrm>
                            <a:off x="0" y="0"/>
                            <a:ext cx="634365" cy="5422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594995</wp:posOffset>
                  </wp:positionH>
                  <wp:positionV relativeFrom="paragraph">
                    <wp:posOffset>0</wp:posOffset>
                  </wp:positionV>
                  <wp:extent cx="723265" cy="715010"/>
                  <wp:effectExtent l="0" t="0" r="0" b="0"/>
                  <wp:wrapNone/>
                  <wp:docPr id="713" name="ID_E826D4FD2F1D481EA1CFBD3451A51F56_SpCnt_37"/>
                  <wp:cNvGraphicFramePr/>
                  <a:graphic xmlns:a="http://schemas.openxmlformats.org/drawingml/2006/main">
                    <a:graphicData uri="http://schemas.openxmlformats.org/drawingml/2006/picture">
                      <pic:pic xmlns:pic="http://schemas.openxmlformats.org/drawingml/2006/picture">
                        <pic:nvPicPr>
                          <pic:cNvPr id="713" name="ID_E826D4FD2F1D481EA1CFBD3451A51F56_SpCnt_37"/>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594995</wp:posOffset>
                  </wp:positionH>
                  <wp:positionV relativeFrom="paragraph">
                    <wp:posOffset>0</wp:posOffset>
                  </wp:positionV>
                  <wp:extent cx="723265" cy="715010"/>
                  <wp:effectExtent l="0" t="0" r="0" b="0"/>
                  <wp:wrapNone/>
                  <wp:docPr id="714" name="ID_CA31AD5AD4A240A69EBE9CEAC8E99D77_SpCnt_37"/>
                  <wp:cNvGraphicFramePr/>
                  <a:graphic xmlns:a="http://schemas.openxmlformats.org/drawingml/2006/main">
                    <a:graphicData uri="http://schemas.openxmlformats.org/drawingml/2006/picture">
                      <pic:pic xmlns:pic="http://schemas.openxmlformats.org/drawingml/2006/picture">
                        <pic:nvPicPr>
                          <pic:cNvPr id="714" name="ID_CA31AD5AD4A240A69EBE9CEAC8E99D77_SpCnt_37"/>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593090</wp:posOffset>
                  </wp:positionH>
                  <wp:positionV relativeFrom="paragraph">
                    <wp:posOffset>0</wp:posOffset>
                  </wp:positionV>
                  <wp:extent cx="596900" cy="504190"/>
                  <wp:effectExtent l="0" t="0" r="0" b="0"/>
                  <wp:wrapNone/>
                  <wp:docPr id="715" name="ID_DE60E1367F4D47B68B43A253F9DB257F_SpCnt_39"/>
                  <wp:cNvGraphicFramePr/>
                  <a:graphic xmlns:a="http://schemas.openxmlformats.org/drawingml/2006/main">
                    <a:graphicData uri="http://schemas.openxmlformats.org/drawingml/2006/picture">
                      <pic:pic xmlns:pic="http://schemas.openxmlformats.org/drawingml/2006/picture">
                        <pic:nvPicPr>
                          <pic:cNvPr id="715" name="ID_DE60E1367F4D47B68B43A253F9DB257F_SpCnt_39"/>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596265</wp:posOffset>
                  </wp:positionH>
                  <wp:positionV relativeFrom="paragraph">
                    <wp:posOffset>0</wp:posOffset>
                  </wp:positionV>
                  <wp:extent cx="596900" cy="504190"/>
                  <wp:effectExtent l="0" t="0" r="0" b="0"/>
                  <wp:wrapNone/>
                  <wp:docPr id="716" name="ID_E826D4FD2F1D481EA1CFBD3451A51F56_SpCnt_38"/>
                  <wp:cNvGraphicFramePr/>
                  <a:graphic xmlns:a="http://schemas.openxmlformats.org/drawingml/2006/main">
                    <a:graphicData uri="http://schemas.openxmlformats.org/drawingml/2006/picture">
                      <pic:pic xmlns:pic="http://schemas.openxmlformats.org/drawingml/2006/picture">
                        <pic:nvPicPr>
                          <pic:cNvPr id="716" name="ID_E826D4FD2F1D481EA1CFBD3451A51F56_SpCnt_38"/>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593725</wp:posOffset>
                  </wp:positionH>
                  <wp:positionV relativeFrom="paragraph">
                    <wp:posOffset>0</wp:posOffset>
                  </wp:positionV>
                  <wp:extent cx="596900" cy="504190"/>
                  <wp:effectExtent l="0" t="0" r="0" b="0"/>
                  <wp:wrapNone/>
                  <wp:docPr id="717" name="ID_B5BF18E09CFE43799C5EE3D44F45FB47_SpCnt_41"/>
                  <wp:cNvGraphicFramePr/>
                  <a:graphic xmlns:a="http://schemas.openxmlformats.org/drawingml/2006/main">
                    <a:graphicData uri="http://schemas.openxmlformats.org/drawingml/2006/picture">
                      <pic:pic xmlns:pic="http://schemas.openxmlformats.org/drawingml/2006/picture">
                        <pic:nvPicPr>
                          <pic:cNvPr id="717" name="ID_B5BF18E09CFE43799C5EE3D44F45FB47_SpCnt_41"/>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596265</wp:posOffset>
                  </wp:positionH>
                  <wp:positionV relativeFrom="paragraph">
                    <wp:posOffset>0</wp:posOffset>
                  </wp:positionV>
                  <wp:extent cx="596900" cy="504190"/>
                  <wp:effectExtent l="0" t="0" r="0" b="0"/>
                  <wp:wrapNone/>
                  <wp:docPr id="718" name="ID_CA31AD5AD4A240A69EBE9CEAC8E99D77_SpCnt_38"/>
                  <wp:cNvGraphicFramePr/>
                  <a:graphic xmlns:a="http://schemas.openxmlformats.org/drawingml/2006/main">
                    <a:graphicData uri="http://schemas.openxmlformats.org/drawingml/2006/picture">
                      <pic:pic xmlns:pic="http://schemas.openxmlformats.org/drawingml/2006/picture">
                        <pic:nvPicPr>
                          <pic:cNvPr id="718" name="ID_CA31AD5AD4A240A69EBE9CEAC8E99D77_SpCnt_38"/>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600075</wp:posOffset>
                  </wp:positionH>
                  <wp:positionV relativeFrom="paragraph">
                    <wp:posOffset>0</wp:posOffset>
                  </wp:positionV>
                  <wp:extent cx="596900" cy="504190"/>
                  <wp:effectExtent l="0" t="0" r="0" b="0"/>
                  <wp:wrapNone/>
                  <wp:docPr id="719" name="ID_DE60E1367F4D47B68B43A253F9DB257F_SpCnt_40"/>
                  <wp:cNvGraphicFramePr/>
                  <a:graphic xmlns:a="http://schemas.openxmlformats.org/drawingml/2006/main">
                    <a:graphicData uri="http://schemas.openxmlformats.org/drawingml/2006/picture">
                      <pic:pic xmlns:pic="http://schemas.openxmlformats.org/drawingml/2006/picture">
                        <pic:nvPicPr>
                          <pic:cNvPr id="719" name="ID_DE60E1367F4D47B68B43A253F9DB257F_SpCnt_40"/>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603250</wp:posOffset>
                  </wp:positionH>
                  <wp:positionV relativeFrom="paragraph">
                    <wp:posOffset>0</wp:posOffset>
                  </wp:positionV>
                  <wp:extent cx="596900" cy="504190"/>
                  <wp:effectExtent l="0" t="0" r="0" b="0"/>
                  <wp:wrapNone/>
                  <wp:docPr id="720" name="ID_E826D4FD2F1D481EA1CFBD3451A51F56_SpCnt_39"/>
                  <wp:cNvGraphicFramePr/>
                  <a:graphic xmlns:a="http://schemas.openxmlformats.org/drawingml/2006/main">
                    <a:graphicData uri="http://schemas.openxmlformats.org/drawingml/2006/picture">
                      <pic:pic xmlns:pic="http://schemas.openxmlformats.org/drawingml/2006/picture">
                        <pic:nvPicPr>
                          <pic:cNvPr id="720" name="ID_E826D4FD2F1D481EA1CFBD3451A51F56_SpCnt_39"/>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603250</wp:posOffset>
                  </wp:positionH>
                  <wp:positionV relativeFrom="paragraph">
                    <wp:posOffset>0</wp:posOffset>
                  </wp:positionV>
                  <wp:extent cx="596900" cy="504190"/>
                  <wp:effectExtent l="0" t="0" r="0" b="0"/>
                  <wp:wrapNone/>
                  <wp:docPr id="721" name="ID_CA31AD5AD4A240A69EBE9CEAC8E99D77_SpCnt_39"/>
                  <wp:cNvGraphicFramePr/>
                  <a:graphic xmlns:a="http://schemas.openxmlformats.org/drawingml/2006/main">
                    <a:graphicData uri="http://schemas.openxmlformats.org/drawingml/2006/picture">
                      <pic:pic xmlns:pic="http://schemas.openxmlformats.org/drawingml/2006/picture">
                        <pic:nvPicPr>
                          <pic:cNvPr id="721" name="ID_CA31AD5AD4A240A69EBE9CEAC8E99D77_SpCnt_39"/>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608330</wp:posOffset>
                  </wp:positionH>
                  <wp:positionV relativeFrom="paragraph">
                    <wp:posOffset>0</wp:posOffset>
                  </wp:positionV>
                  <wp:extent cx="596900" cy="504190"/>
                  <wp:effectExtent l="0" t="0" r="0" b="0"/>
                  <wp:wrapNone/>
                  <wp:docPr id="722" name="ID_DE60E1367F4D47B68B43A253F9DB257F_SpCnt_41"/>
                  <wp:cNvGraphicFramePr/>
                  <a:graphic xmlns:a="http://schemas.openxmlformats.org/drawingml/2006/main">
                    <a:graphicData uri="http://schemas.openxmlformats.org/drawingml/2006/picture">
                      <pic:pic xmlns:pic="http://schemas.openxmlformats.org/drawingml/2006/picture">
                        <pic:nvPicPr>
                          <pic:cNvPr id="722" name="ID_DE60E1367F4D47B68B43A253F9DB257F_SpCnt_41"/>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611505</wp:posOffset>
                  </wp:positionH>
                  <wp:positionV relativeFrom="paragraph">
                    <wp:posOffset>0</wp:posOffset>
                  </wp:positionV>
                  <wp:extent cx="596900" cy="504190"/>
                  <wp:effectExtent l="0" t="0" r="0" b="0"/>
                  <wp:wrapNone/>
                  <wp:docPr id="723" name="ID_CA31AD5AD4A240A69EBE9CEAC8E99D77_SpCnt_40"/>
                  <wp:cNvGraphicFramePr/>
                  <a:graphic xmlns:a="http://schemas.openxmlformats.org/drawingml/2006/main">
                    <a:graphicData uri="http://schemas.openxmlformats.org/drawingml/2006/picture">
                      <pic:pic xmlns:pic="http://schemas.openxmlformats.org/drawingml/2006/picture">
                        <pic:nvPicPr>
                          <pic:cNvPr id="723" name="ID_CA31AD5AD4A240A69EBE9CEAC8E99D77_SpCnt_40"/>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611505</wp:posOffset>
                  </wp:positionH>
                  <wp:positionV relativeFrom="paragraph">
                    <wp:posOffset>0</wp:posOffset>
                  </wp:positionV>
                  <wp:extent cx="596900" cy="504190"/>
                  <wp:effectExtent l="0" t="0" r="0" b="0"/>
                  <wp:wrapNone/>
                  <wp:docPr id="724" name="ID_E826D4FD2F1D481EA1CFBD3451A51F56_SpCnt_40"/>
                  <wp:cNvGraphicFramePr/>
                  <a:graphic xmlns:a="http://schemas.openxmlformats.org/drawingml/2006/main">
                    <a:graphicData uri="http://schemas.openxmlformats.org/drawingml/2006/picture">
                      <pic:pic xmlns:pic="http://schemas.openxmlformats.org/drawingml/2006/picture">
                        <pic:nvPicPr>
                          <pic:cNvPr id="724" name="ID_E826D4FD2F1D481EA1CFBD3451A51F56_SpCnt_40"/>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663575</wp:posOffset>
                  </wp:positionH>
                  <wp:positionV relativeFrom="paragraph">
                    <wp:posOffset>0</wp:posOffset>
                  </wp:positionV>
                  <wp:extent cx="654685" cy="647700"/>
                  <wp:effectExtent l="0" t="0" r="0" b="0"/>
                  <wp:wrapNone/>
                  <wp:docPr id="725" name="ID_B5BF18E09CFE43799C5EE3D44F45FB47_SpCnt_42"/>
                  <wp:cNvGraphicFramePr/>
                  <a:graphic xmlns:a="http://schemas.openxmlformats.org/drawingml/2006/main">
                    <a:graphicData uri="http://schemas.openxmlformats.org/drawingml/2006/picture">
                      <pic:pic xmlns:pic="http://schemas.openxmlformats.org/drawingml/2006/picture">
                        <pic:nvPicPr>
                          <pic:cNvPr id="725" name="ID_B5BF18E09CFE43799C5EE3D44F45FB47_SpCnt_42"/>
                          <pic:cNvPicPr/>
                        </pic:nvPicPr>
                        <pic:blipFill>
                          <a:blip r:embed="rId13"/>
                          <a:stretch>
                            <a:fillRect/>
                          </a:stretch>
                        </pic:blipFill>
                        <pic:spPr>
                          <a:xfrm>
                            <a:off x="0" y="0"/>
                            <a:ext cx="654685"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663575</wp:posOffset>
                  </wp:positionH>
                  <wp:positionV relativeFrom="paragraph">
                    <wp:posOffset>0</wp:posOffset>
                  </wp:positionV>
                  <wp:extent cx="647700" cy="647700"/>
                  <wp:effectExtent l="0" t="0" r="0" b="0"/>
                  <wp:wrapNone/>
                  <wp:docPr id="726" name="ID_B73E8774DBA24C66A077783CE7B139D0_SpCnt_42"/>
                  <wp:cNvGraphicFramePr/>
                  <a:graphic xmlns:a="http://schemas.openxmlformats.org/drawingml/2006/main">
                    <a:graphicData uri="http://schemas.openxmlformats.org/drawingml/2006/picture">
                      <pic:pic xmlns:pic="http://schemas.openxmlformats.org/drawingml/2006/picture">
                        <pic:nvPicPr>
                          <pic:cNvPr id="726" name="ID_B73E8774DBA24C66A077783CE7B139D0_SpCnt_42"/>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678815</wp:posOffset>
                  </wp:positionH>
                  <wp:positionV relativeFrom="paragraph">
                    <wp:posOffset>0</wp:posOffset>
                  </wp:positionV>
                  <wp:extent cx="645795" cy="647700"/>
                  <wp:effectExtent l="0" t="0" r="0" b="0"/>
                  <wp:wrapNone/>
                  <wp:docPr id="727" name="ID_DE60E1367F4D47B68B43A253F9DB257F_SpCnt_42"/>
                  <wp:cNvGraphicFramePr/>
                  <a:graphic xmlns:a="http://schemas.openxmlformats.org/drawingml/2006/main">
                    <a:graphicData uri="http://schemas.openxmlformats.org/drawingml/2006/picture">
                      <pic:pic xmlns:pic="http://schemas.openxmlformats.org/drawingml/2006/picture">
                        <pic:nvPicPr>
                          <pic:cNvPr id="727" name="ID_DE60E1367F4D47B68B43A253F9DB257F_SpCnt_42"/>
                          <pic:cNvPicPr/>
                        </pic:nvPicPr>
                        <pic:blipFill>
                          <a:blip r:embed="rId13"/>
                          <a:stretch>
                            <a:fillRect/>
                          </a:stretch>
                        </pic:blipFill>
                        <pic:spPr>
                          <a:xfrm>
                            <a:off x="0" y="0"/>
                            <a:ext cx="645795"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685800</wp:posOffset>
                  </wp:positionH>
                  <wp:positionV relativeFrom="paragraph">
                    <wp:posOffset>0</wp:posOffset>
                  </wp:positionV>
                  <wp:extent cx="647700" cy="647700"/>
                  <wp:effectExtent l="0" t="0" r="0" b="0"/>
                  <wp:wrapNone/>
                  <wp:docPr id="728" name="ID_CA31AD5AD4A240A69EBE9CEAC8E99D77_SpCnt_41"/>
                  <wp:cNvGraphicFramePr/>
                  <a:graphic xmlns:a="http://schemas.openxmlformats.org/drawingml/2006/main">
                    <a:graphicData uri="http://schemas.openxmlformats.org/drawingml/2006/picture">
                      <pic:pic xmlns:pic="http://schemas.openxmlformats.org/drawingml/2006/picture">
                        <pic:nvPicPr>
                          <pic:cNvPr id="728" name="ID_CA31AD5AD4A240A69EBE9CEAC8E99D77_SpCnt_41"/>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685800</wp:posOffset>
                  </wp:positionH>
                  <wp:positionV relativeFrom="paragraph">
                    <wp:posOffset>0</wp:posOffset>
                  </wp:positionV>
                  <wp:extent cx="647700" cy="647700"/>
                  <wp:effectExtent l="0" t="0" r="0" b="0"/>
                  <wp:wrapNone/>
                  <wp:docPr id="729" name="ID_E826D4FD2F1D481EA1CFBD3451A51F56_SpCnt_41"/>
                  <wp:cNvGraphicFramePr/>
                  <a:graphic xmlns:a="http://schemas.openxmlformats.org/drawingml/2006/main">
                    <a:graphicData uri="http://schemas.openxmlformats.org/drawingml/2006/picture">
                      <pic:pic xmlns:pic="http://schemas.openxmlformats.org/drawingml/2006/picture">
                        <pic:nvPicPr>
                          <pic:cNvPr id="729" name="ID_E826D4FD2F1D481EA1CFBD3451A51F56_SpCnt_41"/>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新宋体" w:hAnsi="新宋体" w:eastAsia="新宋体" w:cs="新宋体"/>
                <w:i w:val="0"/>
                <w:iCs w:val="0"/>
                <w:color w:val="auto"/>
                <w:kern w:val="0"/>
                <w:sz w:val="21"/>
                <w:szCs w:val="21"/>
                <w:highlight w:val="none"/>
                <w:u w:val="none"/>
                <w:lang w:val="en-US" w:eastAsia="zh-CN" w:bidi="ar"/>
              </w:rPr>
              <w:t>材质：椴木夹板</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规格：单个粒子规格/5*5*0.5cm，骰子规格2.5*2.5*2.5cm；</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工艺用/油漆+热转印，4个角倒R10圆角，夹板不得有开裂、破损、黑芯等现象；夹板表面要光滑，没有毛刺、崩边</w:t>
            </w:r>
          </w:p>
        </w:tc>
      </w:tr>
      <w:tr w14:paraId="39D85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01543F0E">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92</w:t>
            </w:r>
          </w:p>
        </w:tc>
        <w:tc>
          <w:tcPr>
            <w:tcW w:w="744" w:type="pct"/>
            <w:shd w:val="clear" w:color="auto" w:fill="auto"/>
            <w:vAlign w:val="center"/>
          </w:tcPr>
          <w:p w14:paraId="6497FFAA">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三转盘</w:t>
            </w:r>
          </w:p>
        </w:tc>
        <w:tc>
          <w:tcPr>
            <w:tcW w:w="476" w:type="pct"/>
            <w:shd w:val="clear" w:color="auto" w:fill="auto"/>
            <w:vAlign w:val="center"/>
          </w:tcPr>
          <w:p w14:paraId="79ADCD50">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4C631EF3">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33593490">
            <w:pPr>
              <w:keepNext w:val="0"/>
              <w:keepLines w:val="0"/>
              <w:widowControl/>
              <w:suppressLineNumbers w:val="0"/>
              <w:jc w:val="left"/>
              <w:textAlignment w:val="center"/>
              <w:rPr>
                <w:rFonts w:ascii="宋体" w:hAnsi="宋体" w:cs="宋体"/>
                <w:color w:val="auto"/>
                <w:sz w:val="21"/>
                <w:szCs w:val="21"/>
                <w:highlight w:val="none"/>
              </w:rPr>
            </w:pPr>
            <w:r>
              <w:rPr>
                <w:rFonts w:hint="eastAsia" w:ascii="新宋体" w:hAnsi="新宋体" w:eastAsia="新宋体" w:cs="新宋体"/>
                <w:i w:val="0"/>
                <w:iCs w:val="0"/>
                <w:color w:val="auto"/>
                <w:kern w:val="0"/>
                <w:sz w:val="21"/>
                <w:szCs w:val="21"/>
                <w:highlight w:val="none"/>
                <w:u w:val="none"/>
                <w:lang w:val="en-US" w:eastAsia="zh-CN" w:bidi="ar"/>
              </w:rPr>
              <w:t>材质：底板和齿轮/密度板，积木柱/硬木，圆片/夹板；</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 xml:space="preserve">黄色长方体积木柱：3.5*3.5*6cm，蓝色六边体积木柱：边2.4*6cm </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红色三角形积木柱：3.9*3.9*6cm；齿轮：￠10*1.3cm；圆片（清水+彩色）：￠7*0.7cm</w:t>
            </w:r>
            <w:r>
              <w:rPr>
                <w:rFonts w:hint="eastAsia" w:ascii="新宋体" w:hAnsi="新宋体" w:eastAsia="新宋体" w:cs="新宋体"/>
                <w:i w:val="0"/>
                <w:iCs w:val="0"/>
                <w:color w:val="auto"/>
                <w:kern w:val="0"/>
                <w:sz w:val="21"/>
                <w:szCs w:val="21"/>
                <w:highlight w:val="none"/>
                <w:u w:val="none"/>
                <w:lang w:val="en-US" w:eastAsia="zh-CN" w:bidi="ar"/>
              </w:rPr>
              <w:br w:type="textWrapping"/>
            </w:r>
            <w:r>
              <w:rPr>
                <w:rFonts w:hint="eastAsia" w:ascii="新宋体" w:hAnsi="新宋体" w:eastAsia="新宋体" w:cs="新宋体"/>
                <w:i w:val="0"/>
                <w:iCs w:val="0"/>
                <w:color w:val="auto"/>
                <w:kern w:val="0"/>
                <w:sz w:val="21"/>
                <w:szCs w:val="21"/>
                <w:highlight w:val="none"/>
                <w:u w:val="none"/>
                <w:lang w:val="en-US" w:eastAsia="zh-CN" w:bidi="ar"/>
              </w:rPr>
              <w:t>圆棒：￠1cm  底板：28*11*2cm</w:t>
            </w:r>
          </w:p>
        </w:tc>
      </w:tr>
      <w:tr w14:paraId="3A0C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2638C41B">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93</w:t>
            </w:r>
          </w:p>
        </w:tc>
        <w:tc>
          <w:tcPr>
            <w:tcW w:w="744" w:type="pct"/>
            <w:shd w:val="clear" w:color="auto" w:fill="auto"/>
            <w:vAlign w:val="center"/>
          </w:tcPr>
          <w:p w14:paraId="17C8961D">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吸管</w:t>
            </w:r>
          </w:p>
        </w:tc>
        <w:tc>
          <w:tcPr>
            <w:tcW w:w="476" w:type="pct"/>
            <w:shd w:val="clear" w:color="auto" w:fill="auto"/>
            <w:vAlign w:val="center"/>
          </w:tcPr>
          <w:p w14:paraId="4337E4AC">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11C9E117">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1D86D200">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723265" cy="715010"/>
                  <wp:effectExtent l="0" t="0" r="0" b="0"/>
                  <wp:wrapNone/>
                  <wp:docPr id="730" name="ID_E826D4FD2F1D481EA1CFBD3451A51F56_SpCnt_42"/>
                  <wp:cNvGraphicFramePr/>
                  <a:graphic xmlns:a="http://schemas.openxmlformats.org/drawingml/2006/main">
                    <a:graphicData uri="http://schemas.openxmlformats.org/drawingml/2006/picture">
                      <pic:pic xmlns:pic="http://schemas.openxmlformats.org/drawingml/2006/picture">
                        <pic:nvPicPr>
                          <pic:cNvPr id="730" name="ID_E826D4FD2F1D481EA1CFBD3451A51F56_SpCnt_42"/>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716280" cy="715010"/>
                  <wp:effectExtent l="0" t="0" r="0" b="0"/>
                  <wp:wrapNone/>
                  <wp:docPr id="731" name="ID_B5BF18E09CFE43799C5EE3D44F45FB47_SpCnt_43"/>
                  <wp:cNvGraphicFramePr/>
                  <a:graphic xmlns:a="http://schemas.openxmlformats.org/drawingml/2006/main">
                    <a:graphicData uri="http://schemas.openxmlformats.org/drawingml/2006/picture">
                      <pic:pic xmlns:pic="http://schemas.openxmlformats.org/drawingml/2006/picture">
                        <pic:nvPicPr>
                          <pic:cNvPr id="731" name="ID_B5BF18E09CFE43799C5EE3D44F45FB47_SpCnt_43"/>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723265" cy="715010"/>
                  <wp:effectExtent l="0" t="0" r="0" b="0"/>
                  <wp:wrapNone/>
                  <wp:docPr id="732" name="ID_B73E8774DBA24C66A077783CE7B139D0_SpCnt_43"/>
                  <wp:cNvGraphicFramePr/>
                  <a:graphic xmlns:a="http://schemas.openxmlformats.org/drawingml/2006/main">
                    <a:graphicData uri="http://schemas.openxmlformats.org/drawingml/2006/picture">
                      <pic:pic xmlns:pic="http://schemas.openxmlformats.org/drawingml/2006/picture">
                        <pic:nvPicPr>
                          <pic:cNvPr id="732" name="ID_B73E8774DBA24C66A077783CE7B139D0_SpCnt_43"/>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08330" cy="542290"/>
                  <wp:effectExtent l="0" t="0" r="0" b="0"/>
                  <wp:wrapNone/>
                  <wp:docPr id="733" name="ID_E826D4FD2F1D481EA1CFBD3451A51F56_SpCnt_43"/>
                  <wp:cNvGraphicFramePr/>
                  <a:graphic xmlns:a="http://schemas.openxmlformats.org/drawingml/2006/main">
                    <a:graphicData uri="http://schemas.openxmlformats.org/drawingml/2006/picture">
                      <pic:pic xmlns:pic="http://schemas.openxmlformats.org/drawingml/2006/picture">
                        <pic:nvPicPr>
                          <pic:cNvPr id="733" name="ID_E826D4FD2F1D481EA1CFBD3451A51F56_SpCnt_43"/>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4365" cy="542290"/>
                  <wp:effectExtent l="0" t="0" r="0" b="0"/>
                  <wp:wrapNone/>
                  <wp:docPr id="734" name="图片_19_SpCnt_15"/>
                  <wp:cNvGraphicFramePr/>
                  <a:graphic xmlns:a="http://schemas.openxmlformats.org/drawingml/2006/main">
                    <a:graphicData uri="http://schemas.openxmlformats.org/drawingml/2006/picture">
                      <pic:pic xmlns:pic="http://schemas.openxmlformats.org/drawingml/2006/picture">
                        <pic:nvPicPr>
                          <pic:cNvPr id="734" name="图片_19_SpCnt_15"/>
                          <pic:cNvPicPr/>
                        </pic:nvPicPr>
                        <pic:blipFill>
                          <a:blip r:embed="rId13"/>
                          <a:stretch>
                            <a:fillRect/>
                          </a:stretch>
                        </pic:blipFill>
                        <pic:spPr>
                          <a:xfrm>
                            <a:off x="0" y="0"/>
                            <a:ext cx="634365"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716280" cy="715010"/>
                  <wp:effectExtent l="0" t="0" r="0" b="0"/>
                  <wp:wrapNone/>
                  <wp:docPr id="735" name="ID_DE60E1367F4D47B68B43A253F9DB257F_SpCnt_43"/>
                  <wp:cNvGraphicFramePr/>
                  <a:graphic xmlns:a="http://schemas.openxmlformats.org/drawingml/2006/main">
                    <a:graphicData uri="http://schemas.openxmlformats.org/drawingml/2006/picture">
                      <pic:pic xmlns:pic="http://schemas.openxmlformats.org/drawingml/2006/picture">
                        <pic:nvPicPr>
                          <pic:cNvPr id="735" name="ID_DE60E1367F4D47B68B43A253F9DB257F_SpCnt_43"/>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4365" cy="544195"/>
                  <wp:effectExtent l="0" t="0" r="0" b="0"/>
                  <wp:wrapNone/>
                  <wp:docPr id="736" name="图片_1326"/>
                  <wp:cNvGraphicFramePr/>
                  <a:graphic xmlns:a="http://schemas.openxmlformats.org/drawingml/2006/main">
                    <a:graphicData uri="http://schemas.openxmlformats.org/drawingml/2006/picture">
                      <pic:pic xmlns:pic="http://schemas.openxmlformats.org/drawingml/2006/picture">
                        <pic:nvPicPr>
                          <pic:cNvPr id="736" name="图片_1326"/>
                          <pic:cNvPicPr/>
                        </pic:nvPicPr>
                        <pic:blipFill>
                          <a:blip r:embed="rId13"/>
                          <a:stretch>
                            <a:fillRect/>
                          </a:stretch>
                        </pic:blipFill>
                        <pic:spPr>
                          <a:xfrm>
                            <a:off x="0" y="0"/>
                            <a:ext cx="634365" cy="54419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4365" cy="539750"/>
                  <wp:effectExtent l="0" t="0" r="0" b="0"/>
                  <wp:wrapNone/>
                  <wp:docPr id="737" name="图片_18_SpCnt_27"/>
                  <wp:cNvGraphicFramePr/>
                  <a:graphic xmlns:a="http://schemas.openxmlformats.org/drawingml/2006/main">
                    <a:graphicData uri="http://schemas.openxmlformats.org/drawingml/2006/picture">
                      <pic:pic xmlns:pic="http://schemas.openxmlformats.org/drawingml/2006/picture">
                        <pic:nvPicPr>
                          <pic:cNvPr id="737" name="图片_18_SpCnt_27"/>
                          <pic:cNvPicPr/>
                        </pic:nvPicPr>
                        <pic:blipFill>
                          <a:blip r:embed="rId13"/>
                          <a:stretch>
                            <a:fillRect/>
                          </a:stretch>
                        </pic:blipFill>
                        <pic:spPr>
                          <a:xfrm>
                            <a:off x="0" y="0"/>
                            <a:ext cx="634365" cy="5397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08330" cy="542290"/>
                  <wp:effectExtent l="0" t="0" r="0" b="0"/>
                  <wp:wrapNone/>
                  <wp:docPr id="738" name="ID_B73E8774DBA24C66A077783CE7B139D0_SpCnt_44"/>
                  <wp:cNvGraphicFramePr/>
                  <a:graphic xmlns:a="http://schemas.openxmlformats.org/drawingml/2006/main">
                    <a:graphicData uri="http://schemas.openxmlformats.org/drawingml/2006/picture">
                      <pic:pic xmlns:pic="http://schemas.openxmlformats.org/drawingml/2006/picture">
                        <pic:nvPicPr>
                          <pic:cNvPr id="738" name="ID_B73E8774DBA24C66A077783CE7B139D0_SpCnt_44"/>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08330" cy="542290"/>
                  <wp:effectExtent l="0" t="0" r="0" b="0"/>
                  <wp:wrapNone/>
                  <wp:docPr id="739" name="ID_CA31AD5AD4A240A69EBE9CEAC8E99D77_SpCnt_42"/>
                  <wp:cNvGraphicFramePr/>
                  <a:graphic xmlns:a="http://schemas.openxmlformats.org/drawingml/2006/main">
                    <a:graphicData uri="http://schemas.openxmlformats.org/drawingml/2006/picture">
                      <pic:pic xmlns:pic="http://schemas.openxmlformats.org/drawingml/2006/picture">
                        <pic:nvPicPr>
                          <pic:cNvPr id="739" name="ID_CA31AD5AD4A240A69EBE9CEAC8E99D77_SpCnt_42"/>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723265" cy="715010"/>
                  <wp:effectExtent l="0" t="0" r="0" b="0"/>
                  <wp:wrapNone/>
                  <wp:docPr id="740" name="ID_CA31AD5AD4A240A69EBE9CEAC8E99D77_SpCnt_43"/>
                  <wp:cNvGraphicFramePr/>
                  <a:graphic xmlns:a="http://schemas.openxmlformats.org/drawingml/2006/main">
                    <a:graphicData uri="http://schemas.openxmlformats.org/drawingml/2006/picture">
                      <pic:pic xmlns:pic="http://schemas.openxmlformats.org/drawingml/2006/picture">
                        <pic:nvPicPr>
                          <pic:cNvPr id="740" name="ID_CA31AD5AD4A240A69EBE9CEAC8E99D77_SpCnt_43"/>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08330" cy="542290"/>
                  <wp:effectExtent l="0" t="0" r="0" b="0"/>
                  <wp:wrapNone/>
                  <wp:docPr id="741" name="ID_DE60E1367F4D47B68B43A253F9DB257F_SpCnt_44"/>
                  <wp:cNvGraphicFramePr/>
                  <a:graphic xmlns:a="http://schemas.openxmlformats.org/drawingml/2006/main">
                    <a:graphicData uri="http://schemas.openxmlformats.org/drawingml/2006/picture">
                      <pic:pic xmlns:pic="http://schemas.openxmlformats.org/drawingml/2006/picture">
                        <pic:nvPicPr>
                          <pic:cNvPr id="741" name="ID_DE60E1367F4D47B68B43A253F9DB257F_SpCnt_44"/>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08330" cy="542290"/>
                  <wp:effectExtent l="0" t="0" r="0" b="0"/>
                  <wp:wrapNone/>
                  <wp:docPr id="742" name="ID_B5BF18E09CFE43799C5EE3D44F45FB47_SpCnt_44"/>
                  <wp:cNvGraphicFramePr/>
                  <a:graphic xmlns:a="http://schemas.openxmlformats.org/drawingml/2006/main">
                    <a:graphicData uri="http://schemas.openxmlformats.org/drawingml/2006/picture">
                      <pic:pic xmlns:pic="http://schemas.openxmlformats.org/drawingml/2006/picture">
                        <pic:nvPicPr>
                          <pic:cNvPr id="742" name="ID_B5BF18E09CFE43799C5EE3D44F45FB47_SpCnt_44"/>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36830</wp:posOffset>
                  </wp:positionV>
                  <wp:extent cx="718820" cy="715645"/>
                  <wp:effectExtent l="0" t="0" r="0" b="0"/>
                  <wp:wrapNone/>
                  <wp:docPr id="743" name="图片_18_SpCnt_28"/>
                  <wp:cNvGraphicFramePr/>
                  <a:graphic xmlns:a="http://schemas.openxmlformats.org/drawingml/2006/main">
                    <a:graphicData uri="http://schemas.openxmlformats.org/drawingml/2006/picture">
                      <pic:pic xmlns:pic="http://schemas.openxmlformats.org/drawingml/2006/picture">
                        <pic:nvPicPr>
                          <pic:cNvPr id="743" name="图片_18_SpCnt_28"/>
                          <pic:cNvPicPr/>
                        </pic:nvPicPr>
                        <pic:blipFill>
                          <a:blip r:embed="rId13"/>
                          <a:stretch>
                            <a:fillRect/>
                          </a:stretch>
                        </pic:blipFill>
                        <pic:spPr>
                          <a:xfrm>
                            <a:off x="0" y="0"/>
                            <a:ext cx="718820" cy="71564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35560</wp:posOffset>
                  </wp:positionV>
                  <wp:extent cx="720090" cy="717550"/>
                  <wp:effectExtent l="0" t="0" r="0" b="0"/>
                  <wp:wrapNone/>
                  <wp:docPr id="744" name="图片_18_SpCnt_29"/>
                  <wp:cNvGraphicFramePr/>
                  <a:graphic xmlns:a="http://schemas.openxmlformats.org/drawingml/2006/main">
                    <a:graphicData uri="http://schemas.openxmlformats.org/drawingml/2006/picture">
                      <pic:pic xmlns:pic="http://schemas.openxmlformats.org/drawingml/2006/picture">
                        <pic:nvPicPr>
                          <pic:cNvPr id="744" name="图片_18_SpCnt_29"/>
                          <pic:cNvPicPr/>
                        </pic:nvPicPr>
                        <pic:blipFill>
                          <a:blip r:embed="rId13"/>
                          <a:stretch>
                            <a:fillRect/>
                          </a:stretch>
                        </pic:blipFill>
                        <pic:spPr>
                          <a:xfrm>
                            <a:off x="0" y="0"/>
                            <a:ext cx="720090" cy="7175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503555</wp:posOffset>
                  </wp:positionH>
                  <wp:positionV relativeFrom="paragraph">
                    <wp:posOffset>0</wp:posOffset>
                  </wp:positionV>
                  <wp:extent cx="634365" cy="539750"/>
                  <wp:effectExtent l="0" t="0" r="0" b="0"/>
                  <wp:wrapNone/>
                  <wp:docPr id="745" name="图片_18_SpCnt_30"/>
                  <wp:cNvGraphicFramePr/>
                  <a:graphic xmlns:a="http://schemas.openxmlformats.org/drawingml/2006/main">
                    <a:graphicData uri="http://schemas.openxmlformats.org/drawingml/2006/picture">
                      <pic:pic xmlns:pic="http://schemas.openxmlformats.org/drawingml/2006/picture">
                        <pic:nvPicPr>
                          <pic:cNvPr id="745" name="图片_18_SpCnt_30"/>
                          <pic:cNvPicPr/>
                        </pic:nvPicPr>
                        <pic:blipFill>
                          <a:blip r:embed="rId13"/>
                          <a:stretch>
                            <a:fillRect/>
                          </a:stretch>
                        </pic:blipFill>
                        <pic:spPr>
                          <a:xfrm>
                            <a:off x="0" y="0"/>
                            <a:ext cx="634365" cy="5397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570230</wp:posOffset>
                  </wp:positionH>
                  <wp:positionV relativeFrom="paragraph">
                    <wp:posOffset>0</wp:posOffset>
                  </wp:positionV>
                  <wp:extent cx="725805" cy="715010"/>
                  <wp:effectExtent l="0" t="0" r="0" b="0"/>
                  <wp:wrapNone/>
                  <wp:docPr id="746" name="ID_B73E8774DBA24C66A077783CE7B139D0_SpCnt_45"/>
                  <wp:cNvGraphicFramePr/>
                  <a:graphic xmlns:a="http://schemas.openxmlformats.org/drawingml/2006/main">
                    <a:graphicData uri="http://schemas.openxmlformats.org/drawingml/2006/picture">
                      <pic:pic xmlns:pic="http://schemas.openxmlformats.org/drawingml/2006/picture">
                        <pic:nvPicPr>
                          <pic:cNvPr id="746" name="ID_B73E8774DBA24C66A077783CE7B139D0_SpCnt_45"/>
                          <pic:cNvPicPr/>
                        </pic:nvPicPr>
                        <pic:blipFill>
                          <a:blip r:embed="rId13"/>
                          <a:stretch>
                            <a:fillRect/>
                          </a:stretch>
                        </pic:blipFill>
                        <pic:spPr>
                          <a:xfrm>
                            <a:off x="0" y="0"/>
                            <a:ext cx="72580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579120</wp:posOffset>
                  </wp:positionH>
                  <wp:positionV relativeFrom="paragraph">
                    <wp:posOffset>0</wp:posOffset>
                  </wp:positionV>
                  <wp:extent cx="716915" cy="715010"/>
                  <wp:effectExtent l="0" t="0" r="0" b="0"/>
                  <wp:wrapNone/>
                  <wp:docPr id="747" name="ID_B5BF18E09CFE43799C5EE3D44F45FB47_SpCnt_45"/>
                  <wp:cNvGraphicFramePr/>
                  <a:graphic xmlns:a="http://schemas.openxmlformats.org/drawingml/2006/main">
                    <a:graphicData uri="http://schemas.openxmlformats.org/drawingml/2006/picture">
                      <pic:pic xmlns:pic="http://schemas.openxmlformats.org/drawingml/2006/picture">
                        <pic:nvPicPr>
                          <pic:cNvPr id="747" name="ID_B5BF18E09CFE43799C5EE3D44F45FB47_SpCnt_45"/>
                          <pic:cNvPicPr/>
                        </pic:nvPicPr>
                        <pic:blipFill>
                          <a:blip r:embed="rId13"/>
                          <a:stretch>
                            <a:fillRect/>
                          </a:stretch>
                        </pic:blipFill>
                        <pic:spPr>
                          <a:xfrm>
                            <a:off x="0" y="0"/>
                            <a:ext cx="71691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578485</wp:posOffset>
                  </wp:positionH>
                  <wp:positionV relativeFrom="paragraph">
                    <wp:posOffset>0</wp:posOffset>
                  </wp:positionV>
                  <wp:extent cx="596900" cy="504190"/>
                  <wp:effectExtent l="0" t="0" r="0" b="0"/>
                  <wp:wrapNone/>
                  <wp:docPr id="748" name="ID_B5BF18E09CFE43799C5EE3D44F45FB47_SpCnt_46"/>
                  <wp:cNvGraphicFramePr/>
                  <a:graphic xmlns:a="http://schemas.openxmlformats.org/drawingml/2006/main">
                    <a:graphicData uri="http://schemas.openxmlformats.org/drawingml/2006/picture">
                      <pic:pic xmlns:pic="http://schemas.openxmlformats.org/drawingml/2006/picture">
                        <pic:nvPicPr>
                          <pic:cNvPr id="748" name="ID_B5BF18E09CFE43799C5EE3D44F45FB47_SpCnt_46"/>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573405</wp:posOffset>
                  </wp:positionH>
                  <wp:positionV relativeFrom="paragraph">
                    <wp:posOffset>0</wp:posOffset>
                  </wp:positionV>
                  <wp:extent cx="596900" cy="504190"/>
                  <wp:effectExtent l="0" t="0" r="0" b="0"/>
                  <wp:wrapNone/>
                  <wp:docPr id="749" name="ID_B73E8774DBA24C66A077783CE7B139D0_SpCnt_46"/>
                  <wp:cNvGraphicFramePr/>
                  <a:graphic xmlns:a="http://schemas.openxmlformats.org/drawingml/2006/main">
                    <a:graphicData uri="http://schemas.openxmlformats.org/drawingml/2006/picture">
                      <pic:pic xmlns:pic="http://schemas.openxmlformats.org/drawingml/2006/picture">
                        <pic:nvPicPr>
                          <pic:cNvPr id="749" name="ID_B73E8774DBA24C66A077783CE7B139D0_SpCnt_46"/>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580390</wp:posOffset>
                  </wp:positionH>
                  <wp:positionV relativeFrom="paragraph">
                    <wp:posOffset>0</wp:posOffset>
                  </wp:positionV>
                  <wp:extent cx="596900" cy="504190"/>
                  <wp:effectExtent l="0" t="0" r="0" b="0"/>
                  <wp:wrapNone/>
                  <wp:docPr id="750" name="ID_B73E8774DBA24C66A077783CE7B139D0_SpCnt_47"/>
                  <wp:cNvGraphicFramePr/>
                  <a:graphic xmlns:a="http://schemas.openxmlformats.org/drawingml/2006/main">
                    <a:graphicData uri="http://schemas.openxmlformats.org/drawingml/2006/picture">
                      <pic:pic xmlns:pic="http://schemas.openxmlformats.org/drawingml/2006/picture">
                        <pic:nvPicPr>
                          <pic:cNvPr id="750" name="ID_B73E8774DBA24C66A077783CE7B139D0_SpCnt_47"/>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588645</wp:posOffset>
                  </wp:positionH>
                  <wp:positionV relativeFrom="paragraph">
                    <wp:posOffset>0</wp:posOffset>
                  </wp:positionV>
                  <wp:extent cx="596900" cy="504190"/>
                  <wp:effectExtent l="0" t="0" r="0" b="0"/>
                  <wp:wrapNone/>
                  <wp:docPr id="751" name="ID_B73E8774DBA24C66A077783CE7B139D0_SpCnt_48"/>
                  <wp:cNvGraphicFramePr/>
                  <a:graphic xmlns:a="http://schemas.openxmlformats.org/drawingml/2006/main">
                    <a:graphicData uri="http://schemas.openxmlformats.org/drawingml/2006/picture">
                      <pic:pic xmlns:pic="http://schemas.openxmlformats.org/drawingml/2006/picture">
                        <pic:nvPicPr>
                          <pic:cNvPr id="751" name="ID_B73E8774DBA24C66A077783CE7B139D0_SpCnt_48"/>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585470</wp:posOffset>
                  </wp:positionH>
                  <wp:positionV relativeFrom="paragraph">
                    <wp:posOffset>0</wp:posOffset>
                  </wp:positionV>
                  <wp:extent cx="596900" cy="504190"/>
                  <wp:effectExtent l="0" t="0" r="0" b="0"/>
                  <wp:wrapNone/>
                  <wp:docPr id="752" name="ID_B5BF18E09CFE43799C5EE3D44F45FB47_SpCnt_47"/>
                  <wp:cNvGraphicFramePr/>
                  <a:graphic xmlns:a="http://schemas.openxmlformats.org/drawingml/2006/main">
                    <a:graphicData uri="http://schemas.openxmlformats.org/drawingml/2006/picture">
                      <pic:pic xmlns:pic="http://schemas.openxmlformats.org/drawingml/2006/picture">
                        <pic:nvPicPr>
                          <pic:cNvPr id="752" name="ID_B5BF18E09CFE43799C5EE3D44F45FB47_SpCnt_47"/>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594995</wp:posOffset>
                  </wp:positionH>
                  <wp:positionV relativeFrom="paragraph">
                    <wp:posOffset>0</wp:posOffset>
                  </wp:positionV>
                  <wp:extent cx="723265" cy="715010"/>
                  <wp:effectExtent l="0" t="0" r="0" b="0"/>
                  <wp:wrapNone/>
                  <wp:docPr id="753" name="ID_CA31AD5AD4A240A69EBE9CEAC8E99D77_SpCnt_44"/>
                  <wp:cNvGraphicFramePr/>
                  <a:graphic xmlns:a="http://schemas.openxmlformats.org/drawingml/2006/main">
                    <a:graphicData uri="http://schemas.openxmlformats.org/drawingml/2006/picture">
                      <pic:pic xmlns:pic="http://schemas.openxmlformats.org/drawingml/2006/picture">
                        <pic:nvPicPr>
                          <pic:cNvPr id="753" name="ID_CA31AD5AD4A240A69EBE9CEAC8E99D77_SpCnt_44"/>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593725</wp:posOffset>
                  </wp:positionH>
                  <wp:positionV relativeFrom="paragraph">
                    <wp:posOffset>0</wp:posOffset>
                  </wp:positionV>
                  <wp:extent cx="596900" cy="504190"/>
                  <wp:effectExtent l="0" t="0" r="0" b="0"/>
                  <wp:wrapNone/>
                  <wp:docPr id="754" name="ID_B5BF18E09CFE43799C5EE3D44F45FB47_SpCnt_48"/>
                  <wp:cNvGraphicFramePr/>
                  <a:graphic xmlns:a="http://schemas.openxmlformats.org/drawingml/2006/main">
                    <a:graphicData uri="http://schemas.openxmlformats.org/drawingml/2006/picture">
                      <pic:pic xmlns:pic="http://schemas.openxmlformats.org/drawingml/2006/picture">
                        <pic:nvPicPr>
                          <pic:cNvPr id="754" name="ID_B5BF18E09CFE43799C5EE3D44F45FB47_SpCnt_48"/>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594995</wp:posOffset>
                  </wp:positionH>
                  <wp:positionV relativeFrom="paragraph">
                    <wp:posOffset>0</wp:posOffset>
                  </wp:positionV>
                  <wp:extent cx="716280" cy="715010"/>
                  <wp:effectExtent l="0" t="0" r="0" b="0"/>
                  <wp:wrapNone/>
                  <wp:docPr id="755" name="ID_DE60E1367F4D47B68B43A253F9DB257F_SpCnt_45"/>
                  <wp:cNvGraphicFramePr/>
                  <a:graphic xmlns:a="http://schemas.openxmlformats.org/drawingml/2006/main">
                    <a:graphicData uri="http://schemas.openxmlformats.org/drawingml/2006/picture">
                      <pic:pic xmlns:pic="http://schemas.openxmlformats.org/drawingml/2006/picture">
                        <pic:nvPicPr>
                          <pic:cNvPr id="755" name="ID_DE60E1367F4D47B68B43A253F9DB257F_SpCnt_45"/>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596265</wp:posOffset>
                  </wp:positionH>
                  <wp:positionV relativeFrom="paragraph">
                    <wp:posOffset>0</wp:posOffset>
                  </wp:positionV>
                  <wp:extent cx="596900" cy="504190"/>
                  <wp:effectExtent l="0" t="0" r="0" b="0"/>
                  <wp:wrapNone/>
                  <wp:docPr id="756" name="ID_E826D4FD2F1D481EA1CFBD3451A51F56_SpCnt_44"/>
                  <wp:cNvGraphicFramePr/>
                  <a:graphic xmlns:a="http://schemas.openxmlformats.org/drawingml/2006/main">
                    <a:graphicData uri="http://schemas.openxmlformats.org/drawingml/2006/picture">
                      <pic:pic xmlns:pic="http://schemas.openxmlformats.org/drawingml/2006/picture">
                        <pic:nvPicPr>
                          <pic:cNvPr id="756" name="ID_E826D4FD2F1D481EA1CFBD3451A51F56_SpCnt_44"/>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594995</wp:posOffset>
                  </wp:positionH>
                  <wp:positionV relativeFrom="paragraph">
                    <wp:posOffset>0</wp:posOffset>
                  </wp:positionV>
                  <wp:extent cx="723265" cy="715010"/>
                  <wp:effectExtent l="0" t="0" r="0" b="0"/>
                  <wp:wrapNone/>
                  <wp:docPr id="757" name="ID_E826D4FD2F1D481EA1CFBD3451A51F56_SpCnt_45"/>
                  <wp:cNvGraphicFramePr/>
                  <a:graphic xmlns:a="http://schemas.openxmlformats.org/drawingml/2006/main">
                    <a:graphicData uri="http://schemas.openxmlformats.org/drawingml/2006/picture">
                      <pic:pic xmlns:pic="http://schemas.openxmlformats.org/drawingml/2006/picture">
                        <pic:nvPicPr>
                          <pic:cNvPr id="757" name="ID_E826D4FD2F1D481EA1CFBD3451A51F56_SpCnt_45"/>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597535</wp:posOffset>
                  </wp:positionH>
                  <wp:positionV relativeFrom="paragraph">
                    <wp:posOffset>0</wp:posOffset>
                  </wp:positionV>
                  <wp:extent cx="634365" cy="542290"/>
                  <wp:effectExtent l="0" t="0" r="0" b="0"/>
                  <wp:wrapNone/>
                  <wp:docPr id="758" name="图片_19_SpCnt_16"/>
                  <wp:cNvGraphicFramePr/>
                  <a:graphic xmlns:a="http://schemas.openxmlformats.org/drawingml/2006/main">
                    <a:graphicData uri="http://schemas.openxmlformats.org/drawingml/2006/picture">
                      <pic:pic xmlns:pic="http://schemas.openxmlformats.org/drawingml/2006/picture">
                        <pic:nvPicPr>
                          <pic:cNvPr id="758" name="图片_19_SpCnt_16"/>
                          <pic:cNvPicPr/>
                        </pic:nvPicPr>
                        <pic:blipFill>
                          <a:blip r:embed="rId13"/>
                          <a:stretch>
                            <a:fillRect/>
                          </a:stretch>
                        </pic:blipFill>
                        <pic:spPr>
                          <a:xfrm>
                            <a:off x="0" y="0"/>
                            <a:ext cx="634365"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593090</wp:posOffset>
                  </wp:positionH>
                  <wp:positionV relativeFrom="paragraph">
                    <wp:posOffset>0</wp:posOffset>
                  </wp:positionV>
                  <wp:extent cx="596900" cy="504190"/>
                  <wp:effectExtent l="0" t="0" r="0" b="0"/>
                  <wp:wrapNone/>
                  <wp:docPr id="759" name="ID_DE60E1367F4D47B68B43A253F9DB257F_SpCnt_46"/>
                  <wp:cNvGraphicFramePr/>
                  <a:graphic xmlns:a="http://schemas.openxmlformats.org/drawingml/2006/main">
                    <a:graphicData uri="http://schemas.openxmlformats.org/drawingml/2006/picture">
                      <pic:pic xmlns:pic="http://schemas.openxmlformats.org/drawingml/2006/picture">
                        <pic:nvPicPr>
                          <pic:cNvPr id="759" name="ID_DE60E1367F4D47B68B43A253F9DB257F_SpCnt_46"/>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596265</wp:posOffset>
                  </wp:positionH>
                  <wp:positionV relativeFrom="paragraph">
                    <wp:posOffset>0</wp:posOffset>
                  </wp:positionV>
                  <wp:extent cx="596900" cy="504190"/>
                  <wp:effectExtent l="0" t="0" r="0" b="0"/>
                  <wp:wrapNone/>
                  <wp:docPr id="760" name="ID_CA31AD5AD4A240A69EBE9CEAC8E99D77_SpCnt_45"/>
                  <wp:cNvGraphicFramePr/>
                  <a:graphic xmlns:a="http://schemas.openxmlformats.org/drawingml/2006/main">
                    <a:graphicData uri="http://schemas.openxmlformats.org/drawingml/2006/picture">
                      <pic:pic xmlns:pic="http://schemas.openxmlformats.org/drawingml/2006/picture">
                        <pic:nvPicPr>
                          <pic:cNvPr id="760" name="ID_CA31AD5AD4A240A69EBE9CEAC8E99D77_SpCnt_45"/>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600075</wp:posOffset>
                  </wp:positionH>
                  <wp:positionV relativeFrom="paragraph">
                    <wp:posOffset>0</wp:posOffset>
                  </wp:positionV>
                  <wp:extent cx="596900" cy="504190"/>
                  <wp:effectExtent l="0" t="0" r="0" b="0"/>
                  <wp:wrapNone/>
                  <wp:docPr id="761" name="ID_DE60E1367F4D47B68B43A253F9DB257F_SpCnt_47"/>
                  <wp:cNvGraphicFramePr/>
                  <a:graphic xmlns:a="http://schemas.openxmlformats.org/drawingml/2006/main">
                    <a:graphicData uri="http://schemas.openxmlformats.org/drawingml/2006/picture">
                      <pic:pic xmlns:pic="http://schemas.openxmlformats.org/drawingml/2006/picture">
                        <pic:nvPicPr>
                          <pic:cNvPr id="761" name="ID_DE60E1367F4D47B68B43A253F9DB257F_SpCnt_47"/>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603250</wp:posOffset>
                  </wp:positionH>
                  <wp:positionV relativeFrom="paragraph">
                    <wp:posOffset>0</wp:posOffset>
                  </wp:positionV>
                  <wp:extent cx="596900" cy="504190"/>
                  <wp:effectExtent l="0" t="0" r="0" b="0"/>
                  <wp:wrapNone/>
                  <wp:docPr id="762" name="ID_E826D4FD2F1D481EA1CFBD3451A51F56_SpCnt_46"/>
                  <wp:cNvGraphicFramePr/>
                  <a:graphic xmlns:a="http://schemas.openxmlformats.org/drawingml/2006/main">
                    <a:graphicData uri="http://schemas.openxmlformats.org/drawingml/2006/picture">
                      <pic:pic xmlns:pic="http://schemas.openxmlformats.org/drawingml/2006/picture">
                        <pic:nvPicPr>
                          <pic:cNvPr id="762" name="ID_E826D4FD2F1D481EA1CFBD3451A51F56_SpCnt_46"/>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603250</wp:posOffset>
                  </wp:positionH>
                  <wp:positionV relativeFrom="paragraph">
                    <wp:posOffset>0</wp:posOffset>
                  </wp:positionV>
                  <wp:extent cx="596900" cy="504190"/>
                  <wp:effectExtent l="0" t="0" r="0" b="0"/>
                  <wp:wrapNone/>
                  <wp:docPr id="763" name="ID_CA31AD5AD4A240A69EBE9CEAC8E99D77_SpCnt_46"/>
                  <wp:cNvGraphicFramePr/>
                  <a:graphic xmlns:a="http://schemas.openxmlformats.org/drawingml/2006/main">
                    <a:graphicData uri="http://schemas.openxmlformats.org/drawingml/2006/picture">
                      <pic:pic xmlns:pic="http://schemas.openxmlformats.org/drawingml/2006/picture">
                        <pic:nvPicPr>
                          <pic:cNvPr id="763" name="ID_CA31AD5AD4A240A69EBE9CEAC8E99D77_SpCnt_46"/>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608330</wp:posOffset>
                  </wp:positionH>
                  <wp:positionV relativeFrom="paragraph">
                    <wp:posOffset>0</wp:posOffset>
                  </wp:positionV>
                  <wp:extent cx="596900" cy="504190"/>
                  <wp:effectExtent l="0" t="0" r="0" b="0"/>
                  <wp:wrapNone/>
                  <wp:docPr id="764" name="ID_DE60E1367F4D47B68B43A253F9DB257F_SpCnt_48"/>
                  <wp:cNvGraphicFramePr/>
                  <a:graphic xmlns:a="http://schemas.openxmlformats.org/drawingml/2006/main">
                    <a:graphicData uri="http://schemas.openxmlformats.org/drawingml/2006/picture">
                      <pic:pic xmlns:pic="http://schemas.openxmlformats.org/drawingml/2006/picture">
                        <pic:nvPicPr>
                          <pic:cNvPr id="764" name="ID_DE60E1367F4D47B68B43A253F9DB257F_SpCnt_48"/>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611505</wp:posOffset>
                  </wp:positionH>
                  <wp:positionV relativeFrom="paragraph">
                    <wp:posOffset>0</wp:posOffset>
                  </wp:positionV>
                  <wp:extent cx="596900" cy="504190"/>
                  <wp:effectExtent l="0" t="0" r="0" b="0"/>
                  <wp:wrapNone/>
                  <wp:docPr id="765" name="ID_E826D4FD2F1D481EA1CFBD3451A51F56_SpCnt_47"/>
                  <wp:cNvGraphicFramePr/>
                  <a:graphic xmlns:a="http://schemas.openxmlformats.org/drawingml/2006/main">
                    <a:graphicData uri="http://schemas.openxmlformats.org/drawingml/2006/picture">
                      <pic:pic xmlns:pic="http://schemas.openxmlformats.org/drawingml/2006/picture">
                        <pic:nvPicPr>
                          <pic:cNvPr id="765" name="ID_E826D4FD2F1D481EA1CFBD3451A51F56_SpCnt_47"/>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611505</wp:posOffset>
                  </wp:positionH>
                  <wp:positionV relativeFrom="paragraph">
                    <wp:posOffset>0</wp:posOffset>
                  </wp:positionV>
                  <wp:extent cx="596900" cy="504190"/>
                  <wp:effectExtent l="0" t="0" r="0" b="0"/>
                  <wp:wrapNone/>
                  <wp:docPr id="766" name="ID_CA31AD5AD4A240A69EBE9CEAC8E99D77_SpCnt_47"/>
                  <wp:cNvGraphicFramePr/>
                  <a:graphic xmlns:a="http://schemas.openxmlformats.org/drawingml/2006/main">
                    <a:graphicData uri="http://schemas.openxmlformats.org/drawingml/2006/picture">
                      <pic:pic xmlns:pic="http://schemas.openxmlformats.org/drawingml/2006/picture">
                        <pic:nvPicPr>
                          <pic:cNvPr id="766" name="ID_CA31AD5AD4A240A69EBE9CEAC8E99D77_SpCnt_47"/>
                          <pic:cNvPicPr/>
                        </pic:nvPicPr>
                        <pic:blipFill>
                          <a:blip r:embed="rId13"/>
                          <a:stretch>
                            <a:fillRect/>
                          </a:stretch>
                        </pic:blipFill>
                        <pic:spPr>
                          <a:xfrm>
                            <a:off x="0" y="0"/>
                            <a:ext cx="596900" cy="5041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663575</wp:posOffset>
                  </wp:positionH>
                  <wp:positionV relativeFrom="paragraph">
                    <wp:posOffset>0</wp:posOffset>
                  </wp:positionV>
                  <wp:extent cx="647700" cy="647700"/>
                  <wp:effectExtent l="0" t="0" r="0" b="0"/>
                  <wp:wrapNone/>
                  <wp:docPr id="767" name="ID_B73E8774DBA24C66A077783CE7B139D0_SpCnt_49"/>
                  <wp:cNvGraphicFramePr/>
                  <a:graphic xmlns:a="http://schemas.openxmlformats.org/drawingml/2006/main">
                    <a:graphicData uri="http://schemas.openxmlformats.org/drawingml/2006/picture">
                      <pic:pic xmlns:pic="http://schemas.openxmlformats.org/drawingml/2006/picture">
                        <pic:nvPicPr>
                          <pic:cNvPr id="767" name="ID_B73E8774DBA24C66A077783CE7B139D0_SpCnt_49"/>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663575</wp:posOffset>
                  </wp:positionH>
                  <wp:positionV relativeFrom="paragraph">
                    <wp:posOffset>0</wp:posOffset>
                  </wp:positionV>
                  <wp:extent cx="654685" cy="647700"/>
                  <wp:effectExtent l="0" t="0" r="0" b="0"/>
                  <wp:wrapNone/>
                  <wp:docPr id="768" name="ID_B5BF18E09CFE43799C5EE3D44F45FB47_SpCnt_49"/>
                  <wp:cNvGraphicFramePr/>
                  <a:graphic xmlns:a="http://schemas.openxmlformats.org/drawingml/2006/main">
                    <a:graphicData uri="http://schemas.openxmlformats.org/drawingml/2006/picture">
                      <pic:pic xmlns:pic="http://schemas.openxmlformats.org/drawingml/2006/picture">
                        <pic:nvPicPr>
                          <pic:cNvPr id="768" name="ID_B5BF18E09CFE43799C5EE3D44F45FB47_SpCnt_49"/>
                          <pic:cNvPicPr/>
                        </pic:nvPicPr>
                        <pic:blipFill>
                          <a:blip r:embed="rId13"/>
                          <a:stretch>
                            <a:fillRect/>
                          </a:stretch>
                        </pic:blipFill>
                        <pic:spPr>
                          <a:xfrm>
                            <a:off x="0" y="0"/>
                            <a:ext cx="654685"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678815</wp:posOffset>
                  </wp:positionH>
                  <wp:positionV relativeFrom="paragraph">
                    <wp:posOffset>0</wp:posOffset>
                  </wp:positionV>
                  <wp:extent cx="645795" cy="647700"/>
                  <wp:effectExtent l="0" t="0" r="0" b="0"/>
                  <wp:wrapNone/>
                  <wp:docPr id="769" name="ID_DE60E1367F4D47B68B43A253F9DB257F_SpCnt_49"/>
                  <wp:cNvGraphicFramePr/>
                  <a:graphic xmlns:a="http://schemas.openxmlformats.org/drawingml/2006/main">
                    <a:graphicData uri="http://schemas.openxmlformats.org/drawingml/2006/picture">
                      <pic:pic xmlns:pic="http://schemas.openxmlformats.org/drawingml/2006/picture">
                        <pic:nvPicPr>
                          <pic:cNvPr id="769" name="ID_DE60E1367F4D47B68B43A253F9DB257F_SpCnt_49"/>
                          <pic:cNvPicPr/>
                        </pic:nvPicPr>
                        <pic:blipFill>
                          <a:blip r:embed="rId13"/>
                          <a:stretch>
                            <a:fillRect/>
                          </a:stretch>
                        </pic:blipFill>
                        <pic:spPr>
                          <a:xfrm>
                            <a:off x="0" y="0"/>
                            <a:ext cx="645795"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685800</wp:posOffset>
                  </wp:positionH>
                  <wp:positionV relativeFrom="paragraph">
                    <wp:posOffset>0</wp:posOffset>
                  </wp:positionV>
                  <wp:extent cx="647700" cy="647700"/>
                  <wp:effectExtent l="0" t="0" r="0" b="0"/>
                  <wp:wrapNone/>
                  <wp:docPr id="770" name="ID_E826D4FD2F1D481EA1CFBD3451A51F56_SpCnt_48"/>
                  <wp:cNvGraphicFramePr/>
                  <a:graphic xmlns:a="http://schemas.openxmlformats.org/drawingml/2006/main">
                    <a:graphicData uri="http://schemas.openxmlformats.org/drawingml/2006/picture">
                      <pic:pic xmlns:pic="http://schemas.openxmlformats.org/drawingml/2006/picture">
                        <pic:nvPicPr>
                          <pic:cNvPr id="770" name="ID_E826D4FD2F1D481EA1CFBD3451A51F56_SpCnt_48"/>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685800</wp:posOffset>
                  </wp:positionH>
                  <wp:positionV relativeFrom="paragraph">
                    <wp:posOffset>0</wp:posOffset>
                  </wp:positionV>
                  <wp:extent cx="647700" cy="647700"/>
                  <wp:effectExtent l="0" t="0" r="0" b="0"/>
                  <wp:wrapNone/>
                  <wp:docPr id="771" name="ID_CA31AD5AD4A240A69EBE9CEAC8E99D77_SpCnt_48"/>
                  <wp:cNvGraphicFramePr/>
                  <a:graphic xmlns:a="http://schemas.openxmlformats.org/drawingml/2006/main">
                    <a:graphicData uri="http://schemas.openxmlformats.org/drawingml/2006/picture">
                      <pic:pic xmlns:pic="http://schemas.openxmlformats.org/drawingml/2006/picture">
                        <pic:nvPicPr>
                          <pic:cNvPr id="771" name="ID_CA31AD5AD4A240A69EBE9CEAC8E99D77_SpCnt_48"/>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.材</w:t>
            </w:r>
            <w:r>
              <w:rPr>
                <w:rFonts w:hint="eastAsia" w:ascii="宋体" w:hAnsi="宋体" w:eastAsia="宋体" w:cs="宋体"/>
                <w:i w:val="0"/>
                <w:iCs w:val="0"/>
                <w:color w:val="auto"/>
                <w:kern w:val="0"/>
                <w:sz w:val="21"/>
                <w:szCs w:val="21"/>
                <w:highlight w:val="none"/>
                <w:u w:val="none"/>
                <w:lang w:val="en-US" w:eastAsia="zh-CN" w:bidi="ar"/>
              </w:rPr>
              <w:t>质 ：PP食品级环保塑料、安全无毒，颜色艳丽，耐光照不褪色，抗压耐磨，光滑不伤手。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2.产品由红、黄、蓝、绿、橙5种颜色组成                          规格（允许尺寸误差±3mm）：管子：172mm 直径6mm  十字转接孔：21*21mm                                                                                      3.件数：800件</w:t>
            </w:r>
          </w:p>
        </w:tc>
      </w:tr>
      <w:tr w14:paraId="15D2C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4390FDC2">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94</w:t>
            </w:r>
          </w:p>
        </w:tc>
        <w:tc>
          <w:tcPr>
            <w:tcW w:w="744" w:type="pct"/>
            <w:shd w:val="clear" w:color="auto" w:fill="auto"/>
            <w:vAlign w:val="center"/>
          </w:tcPr>
          <w:p w14:paraId="7D84523F">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磁力棒</w:t>
            </w:r>
          </w:p>
        </w:tc>
        <w:tc>
          <w:tcPr>
            <w:tcW w:w="476" w:type="pct"/>
            <w:shd w:val="clear" w:color="auto" w:fill="auto"/>
            <w:vAlign w:val="center"/>
          </w:tcPr>
          <w:p w14:paraId="70696980">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2E04F5EF">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274D93FE">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材质</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abs食品级环保塑料、安全无毒，颜色艳丽，耐光照不褪色，抗压耐磨，光滑不伤手。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2.规格（允许尺寸误差±3mm）</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小号球形：直径35mm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长条：52*19mm  86*19mm  弯管：72*19mm                                                                                     3.件数：中号100件配收纳盒</w:t>
            </w:r>
          </w:p>
        </w:tc>
      </w:tr>
      <w:tr w14:paraId="11681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3F144DD0">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95</w:t>
            </w:r>
          </w:p>
        </w:tc>
        <w:tc>
          <w:tcPr>
            <w:tcW w:w="744" w:type="pct"/>
            <w:shd w:val="clear" w:color="auto" w:fill="auto"/>
            <w:vAlign w:val="center"/>
          </w:tcPr>
          <w:p w14:paraId="04A700F2">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工具套装</w:t>
            </w:r>
          </w:p>
        </w:tc>
        <w:tc>
          <w:tcPr>
            <w:tcW w:w="476" w:type="pct"/>
            <w:shd w:val="clear" w:color="auto" w:fill="auto"/>
            <w:vAlign w:val="center"/>
          </w:tcPr>
          <w:p w14:paraId="66CA59C7">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61207721">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341491EE">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08330" cy="542290"/>
                  <wp:effectExtent l="0" t="0" r="0" b="0"/>
                  <wp:wrapNone/>
                  <wp:docPr id="772" name="ID_E826D4FD2F1D481EA1CFBD3451A51F56_SpCnt_49"/>
                  <wp:cNvGraphicFramePr/>
                  <a:graphic xmlns:a="http://schemas.openxmlformats.org/drawingml/2006/main">
                    <a:graphicData uri="http://schemas.openxmlformats.org/drawingml/2006/picture">
                      <pic:pic xmlns:pic="http://schemas.openxmlformats.org/drawingml/2006/picture">
                        <pic:nvPicPr>
                          <pic:cNvPr id="772" name="ID_E826D4FD2F1D481EA1CFBD3451A51F56_SpCnt_49"/>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08330" cy="542290"/>
                  <wp:effectExtent l="0" t="0" r="0" b="0"/>
                  <wp:wrapNone/>
                  <wp:docPr id="773" name="ID_DE60E1367F4D47B68B43A253F9DB257F_SpCnt_50"/>
                  <wp:cNvGraphicFramePr/>
                  <a:graphic xmlns:a="http://schemas.openxmlformats.org/drawingml/2006/main">
                    <a:graphicData uri="http://schemas.openxmlformats.org/drawingml/2006/picture">
                      <pic:pic xmlns:pic="http://schemas.openxmlformats.org/drawingml/2006/picture">
                        <pic:nvPicPr>
                          <pic:cNvPr id="773" name="ID_DE60E1367F4D47B68B43A253F9DB257F_SpCnt_50"/>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08330" cy="542290"/>
                  <wp:effectExtent l="0" t="0" r="0" b="0"/>
                  <wp:wrapNone/>
                  <wp:docPr id="774" name="ID_B73E8774DBA24C66A077783CE7B139D0_SpCnt_50"/>
                  <wp:cNvGraphicFramePr/>
                  <a:graphic xmlns:a="http://schemas.openxmlformats.org/drawingml/2006/main">
                    <a:graphicData uri="http://schemas.openxmlformats.org/drawingml/2006/picture">
                      <pic:pic xmlns:pic="http://schemas.openxmlformats.org/drawingml/2006/picture">
                        <pic:nvPicPr>
                          <pic:cNvPr id="774" name="ID_B73E8774DBA24C66A077783CE7B139D0_SpCnt_50"/>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539115" cy="539115"/>
                  <wp:effectExtent l="0" t="0" r="0" b="0"/>
                  <wp:wrapNone/>
                  <wp:docPr id="775" name="ID_1D2DA7D5EFFF48789A845F8F8569F9EE_SpCnt_1"/>
                  <wp:cNvGraphicFramePr/>
                  <a:graphic xmlns:a="http://schemas.openxmlformats.org/drawingml/2006/main">
                    <a:graphicData uri="http://schemas.openxmlformats.org/drawingml/2006/picture">
                      <pic:pic xmlns:pic="http://schemas.openxmlformats.org/drawingml/2006/picture">
                        <pic:nvPicPr>
                          <pic:cNvPr id="775" name="ID_1D2DA7D5EFFF48789A845F8F8569F9EE_SpCnt_1"/>
                          <pic:cNvPicPr/>
                        </pic:nvPicPr>
                        <pic:blipFill>
                          <a:blip r:embed="rId13"/>
                          <a:stretch>
                            <a:fillRect/>
                          </a:stretch>
                        </pic:blipFill>
                        <pic:spPr>
                          <a:xfrm>
                            <a:off x="0" y="0"/>
                            <a:ext cx="539115" cy="53911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723265" cy="715010"/>
                  <wp:effectExtent l="0" t="0" r="0" b="0"/>
                  <wp:wrapNone/>
                  <wp:docPr id="776" name="ID_E826D4FD2F1D481EA1CFBD3451A51F56_SpCnt_50"/>
                  <wp:cNvGraphicFramePr/>
                  <a:graphic xmlns:a="http://schemas.openxmlformats.org/drawingml/2006/main">
                    <a:graphicData uri="http://schemas.openxmlformats.org/drawingml/2006/picture">
                      <pic:pic xmlns:pic="http://schemas.openxmlformats.org/drawingml/2006/picture">
                        <pic:nvPicPr>
                          <pic:cNvPr id="776" name="ID_E826D4FD2F1D481EA1CFBD3451A51F56_SpCnt_50"/>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716280" cy="715010"/>
                  <wp:effectExtent l="0" t="0" r="0" b="0"/>
                  <wp:wrapNone/>
                  <wp:docPr id="777" name="ID_B5BF18E09CFE43799C5EE3D44F45FB47_SpCnt_50"/>
                  <wp:cNvGraphicFramePr/>
                  <a:graphic xmlns:a="http://schemas.openxmlformats.org/drawingml/2006/main">
                    <a:graphicData uri="http://schemas.openxmlformats.org/drawingml/2006/picture">
                      <pic:pic xmlns:pic="http://schemas.openxmlformats.org/drawingml/2006/picture">
                        <pic:nvPicPr>
                          <pic:cNvPr id="777" name="ID_B5BF18E09CFE43799C5EE3D44F45FB47_SpCnt_50"/>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539115" cy="538480"/>
                  <wp:effectExtent l="0" t="0" r="0" b="0"/>
                  <wp:wrapNone/>
                  <wp:docPr id="778" name="ID_430ADB65064C477C8AF98FB8F15CEBA1_SpCnt_1"/>
                  <wp:cNvGraphicFramePr/>
                  <a:graphic xmlns:a="http://schemas.openxmlformats.org/drawingml/2006/main">
                    <a:graphicData uri="http://schemas.openxmlformats.org/drawingml/2006/picture">
                      <pic:pic xmlns:pic="http://schemas.openxmlformats.org/drawingml/2006/picture">
                        <pic:nvPicPr>
                          <pic:cNvPr id="778" name="ID_430ADB65064C477C8AF98FB8F15CEBA1_SpCnt_1"/>
                          <pic:cNvPicPr/>
                        </pic:nvPicPr>
                        <pic:blipFill>
                          <a:blip r:embed="rId13"/>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716280" cy="715010"/>
                  <wp:effectExtent l="0" t="0" r="0" b="0"/>
                  <wp:wrapNone/>
                  <wp:docPr id="779" name="ID_DE60E1367F4D47B68B43A253F9DB257F_SpCnt_51"/>
                  <wp:cNvGraphicFramePr/>
                  <a:graphic xmlns:a="http://schemas.openxmlformats.org/drawingml/2006/main">
                    <a:graphicData uri="http://schemas.openxmlformats.org/drawingml/2006/picture">
                      <pic:pic xmlns:pic="http://schemas.openxmlformats.org/drawingml/2006/picture">
                        <pic:nvPicPr>
                          <pic:cNvPr id="779" name="ID_DE60E1367F4D47B68B43A253F9DB257F_SpCnt_51"/>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723265" cy="715010"/>
                  <wp:effectExtent l="0" t="0" r="0" b="0"/>
                  <wp:wrapNone/>
                  <wp:docPr id="780" name="ID_B73E8774DBA24C66A077783CE7B139D0_SpCnt_51"/>
                  <wp:cNvGraphicFramePr/>
                  <a:graphic xmlns:a="http://schemas.openxmlformats.org/drawingml/2006/main">
                    <a:graphicData uri="http://schemas.openxmlformats.org/drawingml/2006/picture">
                      <pic:pic xmlns:pic="http://schemas.openxmlformats.org/drawingml/2006/picture">
                        <pic:nvPicPr>
                          <pic:cNvPr id="780" name="ID_B73E8774DBA24C66A077783CE7B139D0_SpCnt_51"/>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4365" cy="539750"/>
                  <wp:effectExtent l="0" t="0" r="0" b="0"/>
                  <wp:wrapNone/>
                  <wp:docPr id="781" name="图片_18_SpCnt_31"/>
                  <wp:cNvGraphicFramePr/>
                  <a:graphic xmlns:a="http://schemas.openxmlformats.org/drawingml/2006/main">
                    <a:graphicData uri="http://schemas.openxmlformats.org/drawingml/2006/picture">
                      <pic:pic xmlns:pic="http://schemas.openxmlformats.org/drawingml/2006/picture">
                        <pic:nvPicPr>
                          <pic:cNvPr id="781" name="图片_18_SpCnt_31"/>
                          <pic:cNvPicPr/>
                        </pic:nvPicPr>
                        <pic:blipFill>
                          <a:blip r:embed="rId13"/>
                          <a:stretch>
                            <a:fillRect/>
                          </a:stretch>
                        </pic:blipFill>
                        <pic:spPr>
                          <a:xfrm>
                            <a:off x="0" y="0"/>
                            <a:ext cx="634365" cy="5397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723265" cy="715010"/>
                  <wp:effectExtent l="0" t="0" r="0" b="0"/>
                  <wp:wrapNone/>
                  <wp:docPr id="782" name="ID_CA31AD5AD4A240A69EBE9CEAC8E99D77_SpCnt_49"/>
                  <wp:cNvGraphicFramePr/>
                  <a:graphic xmlns:a="http://schemas.openxmlformats.org/drawingml/2006/main">
                    <a:graphicData uri="http://schemas.openxmlformats.org/drawingml/2006/picture">
                      <pic:pic xmlns:pic="http://schemas.openxmlformats.org/drawingml/2006/picture">
                        <pic:nvPicPr>
                          <pic:cNvPr id="782" name="ID_CA31AD5AD4A240A69EBE9CEAC8E99D77_SpCnt_49"/>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08330" cy="542290"/>
                  <wp:effectExtent l="0" t="0" r="0" b="0"/>
                  <wp:wrapNone/>
                  <wp:docPr id="783" name="ID_B5BF18E09CFE43799C5EE3D44F45FB47_SpCnt_51"/>
                  <wp:cNvGraphicFramePr/>
                  <a:graphic xmlns:a="http://schemas.openxmlformats.org/drawingml/2006/main">
                    <a:graphicData uri="http://schemas.openxmlformats.org/drawingml/2006/picture">
                      <pic:pic xmlns:pic="http://schemas.openxmlformats.org/drawingml/2006/picture">
                        <pic:nvPicPr>
                          <pic:cNvPr id="783" name="ID_B5BF18E09CFE43799C5EE3D44F45FB47_SpCnt_51"/>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08330" cy="542290"/>
                  <wp:effectExtent l="0" t="0" r="0" b="0"/>
                  <wp:wrapNone/>
                  <wp:docPr id="784" name="ID_CA31AD5AD4A240A69EBE9CEAC8E99D77_SpCnt_50"/>
                  <wp:cNvGraphicFramePr/>
                  <a:graphic xmlns:a="http://schemas.openxmlformats.org/drawingml/2006/main">
                    <a:graphicData uri="http://schemas.openxmlformats.org/drawingml/2006/picture">
                      <pic:pic xmlns:pic="http://schemas.openxmlformats.org/drawingml/2006/picture">
                        <pic:nvPicPr>
                          <pic:cNvPr id="784" name="ID_CA31AD5AD4A240A69EBE9CEAC8E99D77_SpCnt_50"/>
                          <pic:cNvPicPr/>
                        </pic:nvPicPr>
                        <pic:blipFill>
                          <a:blip r:embed="rId13"/>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4365" cy="542290"/>
                  <wp:effectExtent l="0" t="0" r="0" b="0"/>
                  <wp:wrapNone/>
                  <wp:docPr id="785" name="图片_19_SpCnt_17"/>
                  <wp:cNvGraphicFramePr/>
                  <a:graphic xmlns:a="http://schemas.openxmlformats.org/drawingml/2006/main">
                    <a:graphicData uri="http://schemas.openxmlformats.org/drawingml/2006/picture">
                      <pic:pic xmlns:pic="http://schemas.openxmlformats.org/drawingml/2006/picture">
                        <pic:nvPicPr>
                          <pic:cNvPr id="785" name="图片_19_SpCnt_17"/>
                          <pic:cNvPicPr/>
                        </pic:nvPicPr>
                        <pic:blipFill>
                          <a:blip r:embed="rId13"/>
                          <a:stretch>
                            <a:fillRect/>
                          </a:stretch>
                        </pic:blipFill>
                        <pic:spPr>
                          <a:xfrm>
                            <a:off x="0" y="0"/>
                            <a:ext cx="634365" cy="542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570230</wp:posOffset>
                  </wp:positionH>
                  <wp:positionV relativeFrom="paragraph">
                    <wp:posOffset>0</wp:posOffset>
                  </wp:positionV>
                  <wp:extent cx="725805" cy="715010"/>
                  <wp:effectExtent l="0" t="0" r="0" b="0"/>
                  <wp:wrapNone/>
                  <wp:docPr id="786" name="ID_B73E8774DBA24C66A077783CE7B139D0_SpCnt_52"/>
                  <wp:cNvGraphicFramePr/>
                  <a:graphic xmlns:a="http://schemas.openxmlformats.org/drawingml/2006/main">
                    <a:graphicData uri="http://schemas.openxmlformats.org/drawingml/2006/picture">
                      <pic:pic xmlns:pic="http://schemas.openxmlformats.org/drawingml/2006/picture">
                        <pic:nvPicPr>
                          <pic:cNvPr id="786" name="ID_B73E8774DBA24C66A077783CE7B139D0_SpCnt_52"/>
                          <pic:cNvPicPr/>
                        </pic:nvPicPr>
                        <pic:blipFill>
                          <a:blip r:embed="rId13"/>
                          <a:stretch>
                            <a:fillRect/>
                          </a:stretch>
                        </pic:blipFill>
                        <pic:spPr>
                          <a:xfrm>
                            <a:off x="0" y="0"/>
                            <a:ext cx="72580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579120</wp:posOffset>
                  </wp:positionH>
                  <wp:positionV relativeFrom="paragraph">
                    <wp:posOffset>0</wp:posOffset>
                  </wp:positionV>
                  <wp:extent cx="716915" cy="715010"/>
                  <wp:effectExtent l="0" t="0" r="0" b="0"/>
                  <wp:wrapNone/>
                  <wp:docPr id="787" name="ID_B5BF18E09CFE43799C5EE3D44F45FB47_SpCnt_52"/>
                  <wp:cNvGraphicFramePr/>
                  <a:graphic xmlns:a="http://schemas.openxmlformats.org/drawingml/2006/main">
                    <a:graphicData uri="http://schemas.openxmlformats.org/drawingml/2006/picture">
                      <pic:pic xmlns:pic="http://schemas.openxmlformats.org/drawingml/2006/picture">
                        <pic:nvPicPr>
                          <pic:cNvPr id="787" name="ID_B5BF18E09CFE43799C5EE3D44F45FB47_SpCnt_52"/>
                          <pic:cNvPicPr/>
                        </pic:nvPicPr>
                        <pic:blipFill>
                          <a:blip r:embed="rId13"/>
                          <a:stretch>
                            <a:fillRect/>
                          </a:stretch>
                        </pic:blipFill>
                        <pic:spPr>
                          <a:xfrm>
                            <a:off x="0" y="0"/>
                            <a:ext cx="71691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594995</wp:posOffset>
                  </wp:positionH>
                  <wp:positionV relativeFrom="paragraph">
                    <wp:posOffset>0</wp:posOffset>
                  </wp:positionV>
                  <wp:extent cx="723265" cy="715010"/>
                  <wp:effectExtent l="0" t="0" r="0" b="0"/>
                  <wp:wrapNone/>
                  <wp:docPr id="788" name="ID_E826D4FD2F1D481EA1CFBD3451A51F56_SpCnt_51"/>
                  <wp:cNvGraphicFramePr/>
                  <a:graphic xmlns:a="http://schemas.openxmlformats.org/drawingml/2006/main">
                    <a:graphicData uri="http://schemas.openxmlformats.org/drawingml/2006/picture">
                      <pic:pic xmlns:pic="http://schemas.openxmlformats.org/drawingml/2006/picture">
                        <pic:nvPicPr>
                          <pic:cNvPr id="788" name="ID_E826D4FD2F1D481EA1CFBD3451A51F56_SpCnt_51"/>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594995</wp:posOffset>
                  </wp:positionH>
                  <wp:positionV relativeFrom="paragraph">
                    <wp:posOffset>0</wp:posOffset>
                  </wp:positionV>
                  <wp:extent cx="716280" cy="715010"/>
                  <wp:effectExtent l="0" t="0" r="0" b="0"/>
                  <wp:wrapNone/>
                  <wp:docPr id="789" name="ID_DE60E1367F4D47B68B43A253F9DB257F_SpCnt_52"/>
                  <wp:cNvGraphicFramePr/>
                  <a:graphic xmlns:a="http://schemas.openxmlformats.org/drawingml/2006/main">
                    <a:graphicData uri="http://schemas.openxmlformats.org/drawingml/2006/picture">
                      <pic:pic xmlns:pic="http://schemas.openxmlformats.org/drawingml/2006/picture">
                        <pic:nvPicPr>
                          <pic:cNvPr id="789" name="ID_DE60E1367F4D47B68B43A253F9DB257F_SpCnt_52"/>
                          <pic:cNvPicPr/>
                        </pic:nvPicPr>
                        <pic:blipFill>
                          <a:blip r:embed="rId13"/>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594995</wp:posOffset>
                  </wp:positionH>
                  <wp:positionV relativeFrom="paragraph">
                    <wp:posOffset>0</wp:posOffset>
                  </wp:positionV>
                  <wp:extent cx="723265" cy="715010"/>
                  <wp:effectExtent l="0" t="0" r="0" b="0"/>
                  <wp:wrapNone/>
                  <wp:docPr id="790" name="ID_CA31AD5AD4A240A69EBE9CEAC8E99D77_SpCnt_51"/>
                  <wp:cNvGraphicFramePr/>
                  <a:graphic xmlns:a="http://schemas.openxmlformats.org/drawingml/2006/main">
                    <a:graphicData uri="http://schemas.openxmlformats.org/drawingml/2006/picture">
                      <pic:pic xmlns:pic="http://schemas.openxmlformats.org/drawingml/2006/picture">
                        <pic:nvPicPr>
                          <pic:cNvPr id="790" name="ID_CA31AD5AD4A240A69EBE9CEAC8E99D77_SpCnt_51"/>
                          <pic:cNvPicPr/>
                        </pic:nvPicPr>
                        <pic:blipFill>
                          <a:blip r:embed="rId1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663575</wp:posOffset>
                  </wp:positionH>
                  <wp:positionV relativeFrom="paragraph">
                    <wp:posOffset>0</wp:posOffset>
                  </wp:positionV>
                  <wp:extent cx="654685" cy="647700"/>
                  <wp:effectExtent l="0" t="0" r="0" b="0"/>
                  <wp:wrapNone/>
                  <wp:docPr id="791" name="ID_B5BF18E09CFE43799C5EE3D44F45FB47_SpCnt_53"/>
                  <wp:cNvGraphicFramePr/>
                  <a:graphic xmlns:a="http://schemas.openxmlformats.org/drawingml/2006/main">
                    <a:graphicData uri="http://schemas.openxmlformats.org/drawingml/2006/picture">
                      <pic:pic xmlns:pic="http://schemas.openxmlformats.org/drawingml/2006/picture">
                        <pic:nvPicPr>
                          <pic:cNvPr id="791" name="ID_B5BF18E09CFE43799C5EE3D44F45FB47_SpCnt_53"/>
                          <pic:cNvPicPr/>
                        </pic:nvPicPr>
                        <pic:blipFill>
                          <a:blip r:embed="rId13"/>
                          <a:stretch>
                            <a:fillRect/>
                          </a:stretch>
                        </pic:blipFill>
                        <pic:spPr>
                          <a:xfrm>
                            <a:off x="0" y="0"/>
                            <a:ext cx="654685"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663575</wp:posOffset>
                  </wp:positionH>
                  <wp:positionV relativeFrom="paragraph">
                    <wp:posOffset>0</wp:posOffset>
                  </wp:positionV>
                  <wp:extent cx="647700" cy="647700"/>
                  <wp:effectExtent l="0" t="0" r="0" b="0"/>
                  <wp:wrapNone/>
                  <wp:docPr id="792" name="ID_B73E8774DBA24C66A077783CE7B139D0_SpCnt_53"/>
                  <wp:cNvGraphicFramePr/>
                  <a:graphic xmlns:a="http://schemas.openxmlformats.org/drawingml/2006/main">
                    <a:graphicData uri="http://schemas.openxmlformats.org/drawingml/2006/picture">
                      <pic:pic xmlns:pic="http://schemas.openxmlformats.org/drawingml/2006/picture">
                        <pic:nvPicPr>
                          <pic:cNvPr id="792" name="ID_B73E8774DBA24C66A077783CE7B139D0_SpCnt_53"/>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678815</wp:posOffset>
                  </wp:positionH>
                  <wp:positionV relativeFrom="paragraph">
                    <wp:posOffset>0</wp:posOffset>
                  </wp:positionV>
                  <wp:extent cx="645795" cy="647700"/>
                  <wp:effectExtent l="0" t="0" r="0" b="0"/>
                  <wp:wrapNone/>
                  <wp:docPr id="793" name="ID_DE60E1367F4D47B68B43A253F9DB257F_SpCnt_53"/>
                  <wp:cNvGraphicFramePr/>
                  <a:graphic xmlns:a="http://schemas.openxmlformats.org/drawingml/2006/main">
                    <a:graphicData uri="http://schemas.openxmlformats.org/drawingml/2006/picture">
                      <pic:pic xmlns:pic="http://schemas.openxmlformats.org/drawingml/2006/picture">
                        <pic:nvPicPr>
                          <pic:cNvPr id="793" name="ID_DE60E1367F4D47B68B43A253F9DB257F_SpCnt_53"/>
                          <pic:cNvPicPr/>
                        </pic:nvPicPr>
                        <pic:blipFill>
                          <a:blip r:embed="rId13"/>
                          <a:stretch>
                            <a:fillRect/>
                          </a:stretch>
                        </pic:blipFill>
                        <pic:spPr>
                          <a:xfrm>
                            <a:off x="0" y="0"/>
                            <a:ext cx="645795"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685800</wp:posOffset>
                  </wp:positionH>
                  <wp:positionV relativeFrom="paragraph">
                    <wp:posOffset>0</wp:posOffset>
                  </wp:positionV>
                  <wp:extent cx="647700" cy="647700"/>
                  <wp:effectExtent l="0" t="0" r="0" b="0"/>
                  <wp:wrapNone/>
                  <wp:docPr id="794" name="ID_E826D4FD2F1D481EA1CFBD3451A51F56_SpCnt_52"/>
                  <wp:cNvGraphicFramePr/>
                  <a:graphic xmlns:a="http://schemas.openxmlformats.org/drawingml/2006/main">
                    <a:graphicData uri="http://schemas.openxmlformats.org/drawingml/2006/picture">
                      <pic:pic xmlns:pic="http://schemas.openxmlformats.org/drawingml/2006/picture">
                        <pic:nvPicPr>
                          <pic:cNvPr id="794" name="ID_E826D4FD2F1D481EA1CFBD3451A51F56_SpCnt_52"/>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685800</wp:posOffset>
                  </wp:positionH>
                  <wp:positionV relativeFrom="paragraph">
                    <wp:posOffset>0</wp:posOffset>
                  </wp:positionV>
                  <wp:extent cx="647700" cy="647700"/>
                  <wp:effectExtent l="0" t="0" r="0" b="0"/>
                  <wp:wrapNone/>
                  <wp:docPr id="795" name="ID_CA31AD5AD4A240A69EBE9CEAC8E99D77_SpCnt_52"/>
                  <wp:cNvGraphicFramePr/>
                  <a:graphic xmlns:a="http://schemas.openxmlformats.org/drawingml/2006/main">
                    <a:graphicData uri="http://schemas.openxmlformats.org/drawingml/2006/picture">
                      <pic:pic xmlns:pic="http://schemas.openxmlformats.org/drawingml/2006/picture">
                        <pic:nvPicPr>
                          <pic:cNvPr id="795" name="ID_CA31AD5AD4A240A69EBE9CEAC8E99D77_SpCnt_52"/>
                          <pic:cNvPicPr/>
                        </pic:nvPicPr>
                        <pic:blipFill>
                          <a:blip r:embed="rId13"/>
                          <a:stretch>
                            <a:fillRect/>
                          </a:stretch>
                        </pic:blipFill>
                        <pic:spPr>
                          <a:xfrm>
                            <a:off x="0" y="0"/>
                            <a:ext cx="647700" cy="6477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规格：26.6</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32 </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8.8cm（包装尺寸） 材质： 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内含小型电钻、螺丝刀、锤子、板子、2 颗小钻头、3 颗钉子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等多种配件。钻头可正向、反向转动。仿真的造型，让孩子体验动手操作的乐趣</w:t>
            </w:r>
            <w:r>
              <w:rPr>
                <w:rFonts w:hint="eastAsia" w:ascii="宋体" w:hAnsi="宋体" w:cs="宋体"/>
                <w:i w:val="0"/>
                <w:iCs w:val="0"/>
                <w:color w:val="auto"/>
                <w:kern w:val="0"/>
                <w:sz w:val="21"/>
                <w:szCs w:val="21"/>
                <w:highlight w:val="none"/>
                <w:u w:val="none"/>
                <w:lang w:val="en-US" w:eastAsia="zh-CN" w:bidi="ar"/>
              </w:rPr>
              <w:t>。</w:t>
            </w:r>
          </w:p>
        </w:tc>
      </w:tr>
      <w:tr w14:paraId="51A9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4F254E6F">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96</w:t>
            </w:r>
          </w:p>
        </w:tc>
        <w:tc>
          <w:tcPr>
            <w:tcW w:w="744" w:type="pct"/>
            <w:shd w:val="clear" w:color="auto" w:fill="auto"/>
            <w:vAlign w:val="center"/>
          </w:tcPr>
          <w:p w14:paraId="22CC64EB">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棕色鸡蛋/白色鸡蛋套</w:t>
            </w:r>
          </w:p>
        </w:tc>
        <w:tc>
          <w:tcPr>
            <w:tcW w:w="476" w:type="pct"/>
            <w:shd w:val="clear" w:color="auto" w:fill="auto"/>
            <w:vAlign w:val="center"/>
          </w:tcPr>
          <w:p w14:paraId="4C2274E2">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12套</w:t>
            </w:r>
          </w:p>
        </w:tc>
        <w:tc>
          <w:tcPr>
            <w:tcW w:w="388" w:type="pct"/>
            <w:shd w:val="clear" w:color="auto" w:fill="auto"/>
            <w:vAlign w:val="center"/>
          </w:tcPr>
          <w:p w14:paraId="2CC0034D">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6787DF1A">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材质:实木；规格：每个鸡蛋尺寸：4*4*5.3cm；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部件：白色鸡蛋3个，棕色鸡蛋3个</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鸡蛋盒1个；</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产品木头部分湿度要求低于14度，鸡蛋表面要光滑，油漆上无杂色、粘尘、污渍，油漆面为半哑光漆面，采用绿色环保水性油漆</w:t>
            </w:r>
          </w:p>
        </w:tc>
      </w:tr>
      <w:tr w14:paraId="1E5F9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333" w:type="pct"/>
            <w:shd w:val="clear" w:color="auto" w:fill="auto"/>
            <w:vAlign w:val="center"/>
          </w:tcPr>
          <w:p w14:paraId="144B3E23">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97</w:t>
            </w:r>
          </w:p>
        </w:tc>
        <w:tc>
          <w:tcPr>
            <w:tcW w:w="744" w:type="pct"/>
            <w:shd w:val="clear" w:color="auto" w:fill="auto"/>
            <w:vAlign w:val="center"/>
          </w:tcPr>
          <w:p w14:paraId="2C482BA8">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户外大型滑梯</w:t>
            </w:r>
          </w:p>
        </w:tc>
        <w:tc>
          <w:tcPr>
            <w:tcW w:w="476" w:type="pct"/>
            <w:shd w:val="clear" w:color="auto" w:fill="auto"/>
            <w:vAlign w:val="center"/>
          </w:tcPr>
          <w:p w14:paraId="71BE3BAC">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3套</w:t>
            </w:r>
          </w:p>
        </w:tc>
        <w:tc>
          <w:tcPr>
            <w:tcW w:w="388" w:type="pct"/>
            <w:shd w:val="clear" w:color="auto" w:fill="auto"/>
            <w:vAlign w:val="center"/>
          </w:tcPr>
          <w:p w14:paraId="0376F196">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11C97769">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产品参考规格：890*420*420cm（± 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产品功能：具有钻、攀、爬、滑等功能。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材质要求：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立柱材料：直径114mm，厚度2.0mm镀锌管。表面采用静电粉末喷涂处理，表面粉末喷涂材料采用低金属含量材质，符合国家安全标准，通过重金属含量标准。粉末喷涂材料添加抗紫外线稳定剂，达到八级抗紫外线标准，颜色保持长久鲜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2）平台材质：尺寸规格≥1100*1100mm，厚度2.2mm，出口欧盟标准冷轧钢板，电脑程序冲孔机一次成型，冲孔无大小、无锐利毛边、无轻微变</w:t>
            </w:r>
            <w:r>
              <w:rPr>
                <w:rFonts w:hint="eastAsia" w:ascii="宋体" w:hAnsi="宋体" w:cs="宋体"/>
                <w:i w:val="0"/>
                <w:iCs w:val="0"/>
                <w:color w:val="auto"/>
                <w:kern w:val="0"/>
                <w:sz w:val="21"/>
                <w:szCs w:val="21"/>
                <w:highlight w:val="none"/>
                <w:u w:val="none"/>
                <w:lang w:val="en-US" w:eastAsia="zh-CN" w:bidi="ar"/>
              </w:rPr>
              <w:t>形</w:t>
            </w:r>
            <w:r>
              <w:rPr>
                <w:rFonts w:hint="eastAsia" w:ascii="宋体" w:hAnsi="宋体" w:eastAsia="宋体" w:cs="宋体"/>
                <w:i w:val="0"/>
                <w:iCs w:val="0"/>
                <w:color w:val="auto"/>
                <w:kern w:val="0"/>
                <w:sz w:val="21"/>
                <w:szCs w:val="21"/>
                <w:highlight w:val="none"/>
                <w:u w:val="none"/>
                <w:lang w:val="en-US" w:eastAsia="zh-CN" w:bidi="ar"/>
              </w:rPr>
              <w:t>。材质尺寸：1100*1100mm，平台结构设计：井字型承重加固设计，增加载重能力；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塑料配件材质：工程塑料添加抗紫外线稳定及静电防止剂，表面处理：模铸面；要求采用原生工程塑料不添加回收料。聚乙烯原料。颜色粉末与聚乙烯基材充分混合，颜色与基材密不可分，防褪色、脆化、静电等元素长久不会流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夹环材料：铝合金。表面处理：机械抛光。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坚固件：采用半圆头内六角安全螺丝与 T型平头六角螺丝。螺丝要求一般工具无法松动，可预防任意调整功能。</w:t>
            </w:r>
          </w:p>
        </w:tc>
      </w:tr>
      <w:tr w14:paraId="45A7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3F7BAFA0">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98</w:t>
            </w:r>
          </w:p>
        </w:tc>
        <w:tc>
          <w:tcPr>
            <w:tcW w:w="744" w:type="pct"/>
            <w:shd w:val="clear" w:color="auto" w:fill="auto"/>
            <w:vAlign w:val="center"/>
          </w:tcPr>
          <w:p w14:paraId="1C703F64">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攀爬架</w:t>
            </w:r>
          </w:p>
        </w:tc>
        <w:tc>
          <w:tcPr>
            <w:tcW w:w="476" w:type="pct"/>
            <w:shd w:val="clear" w:color="auto" w:fill="auto"/>
            <w:vAlign w:val="center"/>
          </w:tcPr>
          <w:p w14:paraId="42986CF7">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3套</w:t>
            </w:r>
          </w:p>
        </w:tc>
        <w:tc>
          <w:tcPr>
            <w:tcW w:w="388" w:type="pct"/>
            <w:shd w:val="clear" w:color="auto" w:fill="auto"/>
            <w:vAlign w:val="center"/>
          </w:tcPr>
          <w:p w14:paraId="6BF772EC">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21975F9A">
            <w:pPr>
              <w:keepNext w:val="0"/>
              <w:keepLines w:val="0"/>
              <w:widowControl/>
              <w:suppressLineNumbers w:val="0"/>
              <w:jc w:val="left"/>
              <w:textAlignment w:val="center"/>
              <w:rPr>
                <w:rFonts w:hint="default" w:ascii="宋体" w:hAnsi="宋体" w:cs="宋体"/>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规格：400*150*200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1.采用花梨木材质，进行压、刨、铣、冲等处理后，表面进行防腐、防火、防蛀处理；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2.结构：包含不低于四种攀爬，轮胎攀爬、梯子攀爬、攀岩石等；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3.产品采用优质五金件连接，环保耐用，材质不易生锈；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4.攀爬部分爬网采用航海船用缆绳，中芯为镀铬钢丝外套胶管（不少于6股），网绳编织采用专用绳扣连接，间距均匀，可长期使用不变形；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5.产品采用环保户外水性木器漆对木质部分进行处理，清漆透明亮丽，展现木材天然纹理，防腐耐磨；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6.塑料部分采用线型低密度聚乙烯工程塑料，使用先进技术的专业技术将颜料粉末与聚乙烯基材充分混合，强度大，韧性好，安全环保，色彩鲜艳，耐侯性好</w:t>
            </w:r>
            <w:r>
              <w:rPr>
                <w:rFonts w:hint="eastAsia" w:ascii="宋体" w:hAnsi="宋体" w:cs="宋体"/>
                <w:i w:val="0"/>
                <w:iCs w:val="0"/>
                <w:color w:val="auto"/>
                <w:kern w:val="0"/>
                <w:sz w:val="21"/>
                <w:szCs w:val="21"/>
                <w:highlight w:val="none"/>
                <w:u w:val="none"/>
                <w:lang w:val="en-US" w:eastAsia="zh-CN" w:bidi="ar"/>
              </w:rPr>
              <w:t>。</w:t>
            </w:r>
          </w:p>
        </w:tc>
      </w:tr>
      <w:tr w14:paraId="3A6C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466756EB">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99</w:t>
            </w:r>
          </w:p>
        </w:tc>
        <w:tc>
          <w:tcPr>
            <w:tcW w:w="744" w:type="pct"/>
            <w:shd w:val="clear" w:color="auto" w:fill="auto"/>
            <w:vAlign w:val="center"/>
          </w:tcPr>
          <w:p w14:paraId="16350B76">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秋千</w:t>
            </w:r>
          </w:p>
        </w:tc>
        <w:tc>
          <w:tcPr>
            <w:tcW w:w="476" w:type="pct"/>
            <w:shd w:val="clear" w:color="auto" w:fill="auto"/>
            <w:vAlign w:val="center"/>
          </w:tcPr>
          <w:p w14:paraId="308D2B14">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3个</w:t>
            </w:r>
          </w:p>
        </w:tc>
        <w:tc>
          <w:tcPr>
            <w:tcW w:w="388" w:type="pct"/>
            <w:shd w:val="clear" w:color="auto" w:fill="auto"/>
            <w:vAlign w:val="center"/>
          </w:tcPr>
          <w:p w14:paraId="057E6440">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0FABB364">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规格：300*150*200cm；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材质：采用89镀锌管材质，牢固耐用；不锈钢扣件连接，安全稳固更放心；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整体：工艺精细锻炼宝宝平衡感智力和耐心；</w:t>
            </w:r>
          </w:p>
        </w:tc>
      </w:tr>
      <w:tr w14:paraId="2E03E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1CA14CA4">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100</w:t>
            </w:r>
          </w:p>
        </w:tc>
        <w:tc>
          <w:tcPr>
            <w:tcW w:w="744" w:type="pct"/>
            <w:shd w:val="clear" w:color="auto" w:fill="auto"/>
            <w:vAlign w:val="center"/>
          </w:tcPr>
          <w:p w14:paraId="3F74170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压板</w:t>
            </w:r>
          </w:p>
        </w:tc>
        <w:tc>
          <w:tcPr>
            <w:tcW w:w="476" w:type="pct"/>
            <w:shd w:val="clear" w:color="auto" w:fill="auto"/>
            <w:vAlign w:val="center"/>
          </w:tcPr>
          <w:p w14:paraId="2649DE75">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3个</w:t>
            </w:r>
          </w:p>
        </w:tc>
        <w:tc>
          <w:tcPr>
            <w:tcW w:w="388" w:type="pct"/>
            <w:shd w:val="clear" w:color="auto" w:fill="auto"/>
            <w:vAlign w:val="center"/>
          </w:tcPr>
          <w:p w14:paraId="26BF6471">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119487EA">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规格：200*30*65cm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1.材质：采用工程塑料＋优质钢材；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2.工艺：一次成型＋机械精细加工；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3.结构：整体底座是高力度弹簧，加固定钢板；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4.功能：锻炼儿童的身体协调能力和合作意识。使用方法：两人分别坐于两端</w:t>
            </w:r>
            <w:r>
              <w:rPr>
                <w:rFonts w:hint="eastAsia" w:ascii="宋体" w:hAnsi="宋体" w:cs="宋体"/>
                <w:i w:val="0"/>
                <w:iCs w:val="0"/>
                <w:color w:val="auto"/>
                <w:kern w:val="0"/>
                <w:sz w:val="21"/>
                <w:szCs w:val="21"/>
                <w:highlight w:val="none"/>
                <w:u w:val="none"/>
                <w:lang w:val="en-US" w:eastAsia="zh-CN" w:bidi="ar"/>
              </w:rPr>
              <w:t>座</w:t>
            </w:r>
            <w:r>
              <w:rPr>
                <w:rFonts w:hint="eastAsia" w:ascii="宋体" w:hAnsi="宋体" w:eastAsia="宋体" w:cs="宋体"/>
                <w:i w:val="0"/>
                <w:iCs w:val="0"/>
                <w:color w:val="auto"/>
                <w:kern w:val="0"/>
                <w:sz w:val="21"/>
                <w:szCs w:val="21"/>
                <w:highlight w:val="none"/>
                <w:u w:val="none"/>
                <w:lang w:val="en-US" w:eastAsia="zh-CN" w:bidi="ar"/>
              </w:rPr>
              <w:t>椅上，握紧扶手，同时将双脚放在地面上，相互配合蹬动。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整体：选用环保材质，无毒、无味、环保、安全；产品经精细处理，外表光滑无毛刺，不伤手；造型美观，颜色鲜艳，符合孩子的审美要求；支撑整件跷跷板是高力度的弹簧，弹性好，与地面固定的是高强度的钢板，牢固，孩子可放心的在跷跷板玩耍。</w:t>
            </w:r>
          </w:p>
        </w:tc>
      </w:tr>
      <w:tr w14:paraId="6568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0A5DA061">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101</w:t>
            </w:r>
          </w:p>
        </w:tc>
        <w:tc>
          <w:tcPr>
            <w:tcW w:w="744" w:type="pct"/>
            <w:shd w:val="clear" w:color="auto" w:fill="auto"/>
            <w:vAlign w:val="center"/>
          </w:tcPr>
          <w:p w14:paraId="1569922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安吉十六件套组合</w:t>
            </w:r>
          </w:p>
        </w:tc>
        <w:tc>
          <w:tcPr>
            <w:tcW w:w="476" w:type="pct"/>
            <w:shd w:val="clear" w:color="auto" w:fill="auto"/>
            <w:vAlign w:val="center"/>
          </w:tcPr>
          <w:p w14:paraId="21376D78">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3套</w:t>
            </w:r>
          </w:p>
        </w:tc>
        <w:tc>
          <w:tcPr>
            <w:tcW w:w="388" w:type="pct"/>
            <w:shd w:val="clear" w:color="auto" w:fill="auto"/>
            <w:vAlign w:val="center"/>
          </w:tcPr>
          <w:p w14:paraId="1EF327EC">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7E81AC39">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规格：16件/套。材质：碳化松木                                                  包含：高楼梯2个，中楼梯2个，矮楼梯2个，攀爬梯4个，平衡板6块。高楼梯2个：120</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75</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50cm，中楼梯</w:t>
            </w: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个:100</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75</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50cm，矮楼梯2个:80</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75</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50cm，攀爬梯4个:180*35*9cm，平衡板6块:180*20*4cm；材质：碳化松木</w:t>
            </w:r>
          </w:p>
        </w:tc>
      </w:tr>
      <w:tr w14:paraId="2554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1BFF9CD6">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102</w:t>
            </w:r>
          </w:p>
        </w:tc>
        <w:tc>
          <w:tcPr>
            <w:tcW w:w="744" w:type="pct"/>
            <w:shd w:val="clear" w:color="auto" w:fill="auto"/>
            <w:vAlign w:val="center"/>
          </w:tcPr>
          <w:p w14:paraId="11F0871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碳化积木</w:t>
            </w:r>
          </w:p>
        </w:tc>
        <w:tc>
          <w:tcPr>
            <w:tcW w:w="476" w:type="pct"/>
            <w:shd w:val="clear" w:color="auto" w:fill="auto"/>
            <w:vAlign w:val="center"/>
          </w:tcPr>
          <w:p w14:paraId="29CE5A1E">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3套</w:t>
            </w:r>
          </w:p>
        </w:tc>
        <w:tc>
          <w:tcPr>
            <w:tcW w:w="388" w:type="pct"/>
            <w:shd w:val="clear" w:color="auto" w:fill="auto"/>
            <w:vAlign w:val="center"/>
          </w:tcPr>
          <w:p w14:paraId="0D29244F">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5F85624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866片碳化积木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材质：采用优质防腐新西兰松木。</w:t>
            </w:r>
          </w:p>
          <w:p w14:paraId="7F69EB84">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工艺：碳烤、静电喷水性环保油漆、磨圆角、光滑无毛刺 。                           3</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尺寸：（1）长条板(有槽)：120cm×10cm×2.5cm，12个；（2）正方形Ⅰ：10cm×10cm×5cm，120个；（3）正方形Ⅱ：10cm×10cm×2.5cm，132个；（4）长方形Ⅰ：20cm×10cm×5cm，200个；（5）长方形Ⅱ：20cm×10cm×2.5cm，160个；（6）长方形Ⅲ：40cm×10cm×2.5cm，66个；（7）长方形Ⅳ：60cm×10cm×2.5cm，40个；（8）长方形（开槽）Ⅴ：60cm×10cm×2.5cm，6个；（9）长方形Ⅵ：80cm×10cm×2.5cm，18个；（10）三角形：39cm×20cm×2.5cm，12个；（11）直角三角形：40cm×20cm×2.5cm， 8个；（12）圆柱积木Ⅰ：Φ10cm×20cm，6个；（13）圆柱积木Ⅱ：Φ10cm×40cm，2个；（14）圆柱积木Ⅲ：Φ5cm×10cm，20个；（15）圆柱积木Ⅳ：Φ5cm×20cm，20个；（16）圆柱积木Ⅴ：Φ5cm×40cm，10个；（17）半圆环积木：30cm×15cm×2.5cm，6个；（18）半圆积木：15cm×7cm×2.5cm，6个；（19）1/4圆环积木：40cm×15cm×2.5cm，8个；（20）扇形积木：半径为20cm，8个；（21）Y型：40cm×30cm×2.5cm 2个；（22）三叉路：40cm×30cm×2.5cm 4个；（23）22种形状 866片/套。</w:t>
            </w:r>
          </w:p>
        </w:tc>
      </w:tr>
      <w:tr w14:paraId="64E8C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52782F7C">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103</w:t>
            </w:r>
          </w:p>
        </w:tc>
        <w:tc>
          <w:tcPr>
            <w:tcW w:w="744" w:type="pct"/>
            <w:shd w:val="clear" w:color="auto" w:fill="auto"/>
            <w:vAlign w:val="center"/>
          </w:tcPr>
          <w:p w14:paraId="586678E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小皮球</w:t>
            </w:r>
          </w:p>
        </w:tc>
        <w:tc>
          <w:tcPr>
            <w:tcW w:w="476" w:type="pct"/>
            <w:shd w:val="clear" w:color="auto" w:fill="auto"/>
            <w:vAlign w:val="center"/>
          </w:tcPr>
          <w:p w14:paraId="76121EB3">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90个</w:t>
            </w:r>
          </w:p>
        </w:tc>
        <w:tc>
          <w:tcPr>
            <w:tcW w:w="388" w:type="pct"/>
            <w:shd w:val="clear" w:color="auto" w:fill="auto"/>
            <w:vAlign w:val="center"/>
          </w:tcPr>
          <w:p w14:paraId="410CF68B">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6041DD97">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规格：20cm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1.采用环保pvc材质，安全健康，使用放心；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2.整体：回弹力十足，适应各种训练体位，球体材料富有弹性，延展性，能轻松适应各种儿童感统训练动作。</w:t>
            </w:r>
          </w:p>
        </w:tc>
      </w:tr>
      <w:tr w14:paraId="62536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5C42CD7D">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104</w:t>
            </w:r>
          </w:p>
        </w:tc>
        <w:tc>
          <w:tcPr>
            <w:tcW w:w="744" w:type="pct"/>
            <w:shd w:val="clear" w:color="auto" w:fill="auto"/>
            <w:vAlign w:val="center"/>
          </w:tcPr>
          <w:p w14:paraId="2A3BDD7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羊角球</w:t>
            </w:r>
          </w:p>
        </w:tc>
        <w:tc>
          <w:tcPr>
            <w:tcW w:w="476" w:type="pct"/>
            <w:shd w:val="clear" w:color="auto" w:fill="auto"/>
            <w:vAlign w:val="center"/>
          </w:tcPr>
          <w:p w14:paraId="094013A3">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18个</w:t>
            </w:r>
          </w:p>
        </w:tc>
        <w:tc>
          <w:tcPr>
            <w:tcW w:w="388" w:type="pct"/>
            <w:shd w:val="clear" w:color="auto" w:fill="auto"/>
            <w:vAlign w:val="center"/>
          </w:tcPr>
          <w:p w14:paraId="25ED17EB">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5FD1275A">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规格：45cm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1.材质为环保PVC材质，环保健康；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2.结构：带有羊角手柄，手柄带有横向防滑线，方便抓握，板面防滑纹路，凹槽设计，增加摩擦力，有效防滑，大大提高安全性，使用更安心；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3.整体：回弹力十足，适应各种训练体位，球体材料富有弹性，延展性，能轻松适应各种儿童感统训练动作。</w:t>
            </w:r>
          </w:p>
        </w:tc>
      </w:tr>
      <w:tr w14:paraId="4B8D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1950E61E">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105</w:t>
            </w:r>
          </w:p>
        </w:tc>
        <w:tc>
          <w:tcPr>
            <w:tcW w:w="744" w:type="pct"/>
            <w:shd w:val="clear" w:color="auto" w:fill="auto"/>
            <w:vAlign w:val="center"/>
          </w:tcPr>
          <w:p w14:paraId="7981FA7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跳跳球</w:t>
            </w:r>
          </w:p>
        </w:tc>
        <w:tc>
          <w:tcPr>
            <w:tcW w:w="476" w:type="pct"/>
            <w:shd w:val="clear" w:color="auto" w:fill="auto"/>
            <w:vAlign w:val="center"/>
          </w:tcPr>
          <w:p w14:paraId="539F6E5E">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45个</w:t>
            </w:r>
          </w:p>
        </w:tc>
        <w:tc>
          <w:tcPr>
            <w:tcW w:w="388" w:type="pct"/>
            <w:shd w:val="clear" w:color="auto" w:fill="auto"/>
            <w:vAlign w:val="center"/>
          </w:tcPr>
          <w:p w14:paraId="2292F280">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60B10ED2">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规格：27*37cm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1.材质：PU，加厚防爆材料，柔软有弹性，结实耐用；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2.结构：可承重400斤，稳固耐玩，大人小孩都能玩，锻炼身体平衡力，强身健体；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3.整体：底部防滑加厚踏板设计更安全，厚实颗粒球体更防滑，抓地力强。</w:t>
            </w:r>
          </w:p>
        </w:tc>
      </w:tr>
      <w:tr w14:paraId="21ACF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5489444A">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106</w:t>
            </w:r>
          </w:p>
        </w:tc>
        <w:tc>
          <w:tcPr>
            <w:tcW w:w="744" w:type="pct"/>
            <w:shd w:val="clear" w:color="auto" w:fill="auto"/>
            <w:vAlign w:val="center"/>
          </w:tcPr>
          <w:p w14:paraId="4609A27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儿童篮球</w:t>
            </w:r>
          </w:p>
        </w:tc>
        <w:tc>
          <w:tcPr>
            <w:tcW w:w="476" w:type="pct"/>
            <w:shd w:val="clear" w:color="auto" w:fill="auto"/>
            <w:vAlign w:val="center"/>
          </w:tcPr>
          <w:p w14:paraId="5678486E">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90个</w:t>
            </w:r>
          </w:p>
        </w:tc>
        <w:tc>
          <w:tcPr>
            <w:tcW w:w="388" w:type="pct"/>
            <w:shd w:val="clear" w:color="auto" w:fill="auto"/>
            <w:vAlign w:val="center"/>
          </w:tcPr>
          <w:p w14:paraId="334EA71A">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1545D2DA">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规格：20cm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选用橡胶材质，耐磨耐打</w:t>
            </w:r>
            <w:r>
              <w:rPr>
                <w:rFonts w:hint="eastAsia" w:ascii="宋体" w:hAnsi="宋体" w:cs="宋体"/>
                <w:i w:val="0"/>
                <w:iCs w:val="0"/>
                <w:color w:val="auto"/>
                <w:kern w:val="0"/>
                <w:sz w:val="21"/>
                <w:szCs w:val="21"/>
                <w:highlight w:val="none"/>
                <w:u w:val="none"/>
                <w:lang w:val="en-US" w:eastAsia="zh-CN" w:bidi="ar"/>
              </w:rPr>
              <w:t>。</w:t>
            </w:r>
          </w:p>
        </w:tc>
      </w:tr>
      <w:tr w14:paraId="24C24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3959029B">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107</w:t>
            </w:r>
          </w:p>
        </w:tc>
        <w:tc>
          <w:tcPr>
            <w:tcW w:w="744" w:type="pct"/>
            <w:shd w:val="clear" w:color="auto" w:fill="auto"/>
            <w:vAlign w:val="center"/>
          </w:tcPr>
          <w:p w14:paraId="76CB11C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足球</w:t>
            </w:r>
          </w:p>
        </w:tc>
        <w:tc>
          <w:tcPr>
            <w:tcW w:w="476" w:type="pct"/>
            <w:shd w:val="clear" w:color="auto" w:fill="auto"/>
            <w:vAlign w:val="center"/>
          </w:tcPr>
          <w:p w14:paraId="3E000C96">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90个</w:t>
            </w:r>
          </w:p>
        </w:tc>
        <w:tc>
          <w:tcPr>
            <w:tcW w:w="388" w:type="pct"/>
            <w:shd w:val="clear" w:color="auto" w:fill="auto"/>
            <w:vAlign w:val="center"/>
          </w:tcPr>
          <w:p w14:paraId="7321622E">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0493D14F">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规格：18cm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选用橡胶材质，耐磨耐打</w:t>
            </w:r>
            <w:r>
              <w:rPr>
                <w:rFonts w:hint="eastAsia" w:ascii="宋体" w:hAnsi="宋体" w:cs="宋体"/>
                <w:i w:val="0"/>
                <w:iCs w:val="0"/>
                <w:color w:val="auto"/>
                <w:kern w:val="0"/>
                <w:sz w:val="21"/>
                <w:szCs w:val="21"/>
                <w:highlight w:val="none"/>
                <w:u w:val="none"/>
                <w:lang w:val="en-US" w:eastAsia="zh-CN" w:bidi="ar"/>
              </w:rPr>
              <w:t>。</w:t>
            </w:r>
          </w:p>
        </w:tc>
      </w:tr>
      <w:tr w14:paraId="14E3C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333" w:type="pct"/>
            <w:shd w:val="clear" w:color="auto" w:fill="auto"/>
            <w:vAlign w:val="center"/>
          </w:tcPr>
          <w:p w14:paraId="7705D7DD">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108</w:t>
            </w:r>
          </w:p>
        </w:tc>
        <w:tc>
          <w:tcPr>
            <w:tcW w:w="744" w:type="pct"/>
            <w:shd w:val="clear" w:color="auto" w:fill="auto"/>
            <w:vAlign w:val="center"/>
          </w:tcPr>
          <w:p w14:paraId="7C6A152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投篮架</w:t>
            </w:r>
          </w:p>
        </w:tc>
        <w:tc>
          <w:tcPr>
            <w:tcW w:w="476" w:type="pct"/>
            <w:shd w:val="clear" w:color="auto" w:fill="auto"/>
            <w:vAlign w:val="center"/>
          </w:tcPr>
          <w:p w14:paraId="58320DDD">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6个</w:t>
            </w:r>
          </w:p>
        </w:tc>
        <w:tc>
          <w:tcPr>
            <w:tcW w:w="388" w:type="pct"/>
            <w:shd w:val="clear" w:color="auto" w:fill="auto"/>
            <w:vAlign w:val="center"/>
          </w:tcPr>
          <w:p w14:paraId="57144AEC">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3AB127BB">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规格：80*70（167*230）cm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材质:采用吹塑材质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特点：小巧美观，坚固耐用，让孩子学习投篮，锻炼身体</w:t>
            </w:r>
          </w:p>
        </w:tc>
      </w:tr>
      <w:tr w14:paraId="67679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6228D887">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109</w:t>
            </w:r>
          </w:p>
        </w:tc>
        <w:tc>
          <w:tcPr>
            <w:tcW w:w="744" w:type="pct"/>
            <w:shd w:val="clear" w:color="auto" w:fill="auto"/>
            <w:vAlign w:val="center"/>
          </w:tcPr>
          <w:p w14:paraId="0D3D4A4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足球门</w:t>
            </w:r>
          </w:p>
        </w:tc>
        <w:tc>
          <w:tcPr>
            <w:tcW w:w="476" w:type="pct"/>
            <w:shd w:val="clear" w:color="auto" w:fill="auto"/>
            <w:vAlign w:val="center"/>
          </w:tcPr>
          <w:p w14:paraId="12FF4A4E">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6个</w:t>
            </w:r>
          </w:p>
        </w:tc>
        <w:tc>
          <w:tcPr>
            <w:tcW w:w="388" w:type="pct"/>
            <w:shd w:val="clear" w:color="auto" w:fill="auto"/>
            <w:vAlign w:val="center"/>
          </w:tcPr>
          <w:p w14:paraId="6E19A474">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23DA202E">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规格：120*78*58CM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1.框架采用优质PVC管材，抗压不变形，无毒环保，表面光滑，易于清洁，绳网加粗更耐用；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2.三角造型结构，合理稳固，用于足球运动，提升幼儿体能。</w:t>
            </w:r>
          </w:p>
        </w:tc>
      </w:tr>
      <w:tr w14:paraId="7527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41466AD5">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110</w:t>
            </w:r>
          </w:p>
        </w:tc>
        <w:tc>
          <w:tcPr>
            <w:tcW w:w="744" w:type="pct"/>
            <w:shd w:val="clear" w:color="auto" w:fill="auto"/>
            <w:vAlign w:val="center"/>
          </w:tcPr>
          <w:p w14:paraId="39292CB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球车（不含球）</w:t>
            </w:r>
          </w:p>
        </w:tc>
        <w:tc>
          <w:tcPr>
            <w:tcW w:w="476" w:type="pct"/>
            <w:shd w:val="clear" w:color="auto" w:fill="auto"/>
            <w:vAlign w:val="center"/>
          </w:tcPr>
          <w:p w14:paraId="0B55EDEB">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3辆</w:t>
            </w:r>
          </w:p>
        </w:tc>
        <w:tc>
          <w:tcPr>
            <w:tcW w:w="388" w:type="pct"/>
            <w:shd w:val="clear" w:color="auto" w:fill="auto"/>
            <w:vAlign w:val="center"/>
          </w:tcPr>
          <w:p w14:paraId="35AA99B0">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48DF89F7">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规格：90*75*75cm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1.材质：不锈钢篮球框，光滑无毛刺，结实耐用；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2.功能：用于存放球类用品，干净整洁，底部带轮子，结构合理稳定。</w:t>
            </w:r>
          </w:p>
        </w:tc>
      </w:tr>
      <w:tr w14:paraId="4DBBC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50AB2245">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111</w:t>
            </w:r>
          </w:p>
        </w:tc>
        <w:tc>
          <w:tcPr>
            <w:tcW w:w="744" w:type="pct"/>
            <w:shd w:val="clear" w:color="auto" w:fill="auto"/>
            <w:vAlign w:val="center"/>
          </w:tcPr>
          <w:p w14:paraId="4A123D0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幼儿单人三轮脚踏车</w:t>
            </w:r>
          </w:p>
        </w:tc>
        <w:tc>
          <w:tcPr>
            <w:tcW w:w="476" w:type="pct"/>
            <w:shd w:val="clear" w:color="auto" w:fill="auto"/>
            <w:vAlign w:val="center"/>
          </w:tcPr>
          <w:p w14:paraId="72FE252F">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15辆</w:t>
            </w:r>
          </w:p>
        </w:tc>
        <w:tc>
          <w:tcPr>
            <w:tcW w:w="388" w:type="pct"/>
            <w:shd w:val="clear" w:color="auto" w:fill="auto"/>
            <w:vAlign w:val="center"/>
          </w:tcPr>
          <w:p w14:paraId="45F17B41">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1F12EE93">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85*56*63cm；材质：把手：坚固双手握把，好握不易滑手，坚固耐用。脚踏板：高触感脚踏板，任何角度都带动容易。轮胎：橡胶皮制双轮，不怕凹凸不平的地面；轮轴：专用轮轴，带动轮胎轻巧容易好骑，锻炼小朋友的肢体协作能力。</w:t>
            </w:r>
          </w:p>
        </w:tc>
      </w:tr>
      <w:tr w14:paraId="33616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4BB2E381">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112</w:t>
            </w:r>
          </w:p>
        </w:tc>
        <w:tc>
          <w:tcPr>
            <w:tcW w:w="744" w:type="pct"/>
            <w:shd w:val="clear" w:color="auto" w:fill="auto"/>
            <w:vAlign w:val="center"/>
          </w:tcPr>
          <w:p w14:paraId="7CE32DC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幼儿双人三轮脚踏车</w:t>
            </w:r>
          </w:p>
        </w:tc>
        <w:tc>
          <w:tcPr>
            <w:tcW w:w="476" w:type="pct"/>
            <w:shd w:val="clear" w:color="auto" w:fill="auto"/>
            <w:vAlign w:val="center"/>
          </w:tcPr>
          <w:p w14:paraId="69930580">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15辆</w:t>
            </w:r>
          </w:p>
        </w:tc>
        <w:tc>
          <w:tcPr>
            <w:tcW w:w="388" w:type="pct"/>
            <w:shd w:val="clear" w:color="auto" w:fill="auto"/>
            <w:vAlign w:val="center"/>
          </w:tcPr>
          <w:p w14:paraId="34784E22">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6C748810">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110*56*63cm；材质：把手：坚固双手握把，好握不易滑手，坚固耐用。脚踏板：高触感脚踏板，任何角度都带动容易。轮胎：橡胶皮制双轮，不怕凹凸不平的地面；轮轴：专用轮轴，带动轮胎轻巧容易好骑锻炼小朋友的肢体协作能力。</w:t>
            </w:r>
          </w:p>
        </w:tc>
      </w:tr>
      <w:tr w14:paraId="45CA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4C368419">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113</w:t>
            </w:r>
          </w:p>
        </w:tc>
        <w:tc>
          <w:tcPr>
            <w:tcW w:w="744" w:type="pct"/>
            <w:shd w:val="clear" w:color="auto" w:fill="auto"/>
            <w:vAlign w:val="center"/>
          </w:tcPr>
          <w:p w14:paraId="575E0A6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幼儿三轮货车</w:t>
            </w:r>
          </w:p>
        </w:tc>
        <w:tc>
          <w:tcPr>
            <w:tcW w:w="476" w:type="pct"/>
            <w:shd w:val="clear" w:color="auto" w:fill="auto"/>
            <w:vAlign w:val="center"/>
          </w:tcPr>
          <w:p w14:paraId="59A94202">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15辆</w:t>
            </w:r>
          </w:p>
        </w:tc>
        <w:tc>
          <w:tcPr>
            <w:tcW w:w="388" w:type="pct"/>
            <w:shd w:val="clear" w:color="auto" w:fill="auto"/>
            <w:vAlign w:val="center"/>
          </w:tcPr>
          <w:p w14:paraId="08CD8D64">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6053A742">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规格：100*63*63cm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把手：坚固双手握把，好握不易滑手，坚固耐用。脚踏板：高触感脚踏板，任何角度都带动容易。轮胎：橡胶皮制双轮，不怕凹凸不平的地面；轮轴：专用轮轴，带动轮胎轻巧容易好骑锻炼小朋友的肢体协作能力。</w:t>
            </w:r>
          </w:p>
        </w:tc>
      </w:tr>
      <w:tr w14:paraId="7791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32B1B7EF">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114</w:t>
            </w:r>
          </w:p>
        </w:tc>
        <w:tc>
          <w:tcPr>
            <w:tcW w:w="744" w:type="pct"/>
            <w:shd w:val="clear" w:color="auto" w:fill="auto"/>
            <w:vAlign w:val="center"/>
          </w:tcPr>
          <w:p w14:paraId="53700EB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六人转转车</w:t>
            </w:r>
          </w:p>
        </w:tc>
        <w:tc>
          <w:tcPr>
            <w:tcW w:w="476" w:type="pct"/>
            <w:shd w:val="clear" w:color="auto" w:fill="auto"/>
            <w:vAlign w:val="center"/>
          </w:tcPr>
          <w:p w14:paraId="0C76CACF">
            <w:pPr>
              <w:keepNext w:val="0"/>
              <w:keepLines w:val="0"/>
              <w:widowControl/>
              <w:suppressLineNumbers w:val="0"/>
              <w:jc w:val="center"/>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3辆</w:t>
            </w:r>
          </w:p>
        </w:tc>
        <w:tc>
          <w:tcPr>
            <w:tcW w:w="388" w:type="pct"/>
            <w:shd w:val="clear" w:color="auto" w:fill="auto"/>
            <w:vAlign w:val="center"/>
          </w:tcPr>
          <w:p w14:paraId="0198B5E3">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3F297856">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规格：直径140cm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1.骨架采用优质镀锌钢管，抛丸喷砂后全部采用保护焊，机械抛光，经静电喷塑烤漆处理，外表光亮平滑色泽鲜艳；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2.把手、车轮采用优质橡胶，座椅等塑料件为环保型工程塑料，经精密模具一次成型，并经后期加工，韧性好、强度大，表面及边缘光滑圆润，无毛刺，不伤人；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3.脚踏轴采用镀锌圆钢，结实耐用；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4.产品色彩鲜艳，无毒无味，安全环保，防静电、抗紫外线，适合幼儿户外骑行训练。</w:t>
            </w:r>
          </w:p>
        </w:tc>
      </w:tr>
      <w:tr w14:paraId="1253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3E5CBE68">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115</w:t>
            </w:r>
          </w:p>
        </w:tc>
        <w:tc>
          <w:tcPr>
            <w:tcW w:w="744" w:type="pct"/>
            <w:shd w:val="clear" w:color="auto" w:fill="auto"/>
            <w:vAlign w:val="center"/>
          </w:tcPr>
          <w:p w14:paraId="0113192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交通标志</w:t>
            </w:r>
          </w:p>
        </w:tc>
        <w:tc>
          <w:tcPr>
            <w:tcW w:w="476" w:type="pct"/>
            <w:shd w:val="clear" w:color="auto" w:fill="auto"/>
            <w:vAlign w:val="center"/>
          </w:tcPr>
          <w:p w14:paraId="55292A17">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3套</w:t>
            </w:r>
          </w:p>
        </w:tc>
        <w:tc>
          <w:tcPr>
            <w:tcW w:w="388" w:type="pct"/>
            <w:shd w:val="clear" w:color="auto" w:fill="auto"/>
            <w:vAlign w:val="center"/>
          </w:tcPr>
          <w:p w14:paraId="70DD43EB">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6D78EBAA">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规格：36*36*76CM。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材质：环保PVC管，ABS连接件，塑料牌。</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包含交通标志牌12个，基座12个，支柱12根。可搭配交通安全系列的其他产品，也可与脚踏车搭配或与其它骑乘车搭配，在游戏中学习交通安全知识并学会遵守交通安全规则。</w:t>
            </w:r>
          </w:p>
        </w:tc>
      </w:tr>
      <w:tr w14:paraId="084DA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1DB1CAFB">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116</w:t>
            </w:r>
          </w:p>
        </w:tc>
        <w:tc>
          <w:tcPr>
            <w:tcW w:w="744" w:type="pct"/>
            <w:shd w:val="clear" w:color="auto" w:fill="auto"/>
            <w:vAlign w:val="center"/>
          </w:tcPr>
          <w:p w14:paraId="5A2A8CD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手柄跳绳</w:t>
            </w:r>
          </w:p>
        </w:tc>
        <w:tc>
          <w:tcPr>
            <w:tcW w:w="476" w:type="pct"/>
            <w:shd w:val="clear" w:color="auto" w:fill="auto"/>
            <w:vAlign w:val="center"/>
          </w:tcPr>
          <w:p w14:paraId="24899A6E">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45根</w:t>
            </w:r>
          </w:p>
        </w:tc>
        <w:tc>
          <w:tcPr>
            <w:tcW w:w="388" w:type="pct"/>
            <w:shd w:val="clear" w:color="auto" w:fill="auto"/>
            <w:vAlign w:val="center"/>
          </w:tcPr>
          <w:p w14:paraId="18AE4350">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217498DF">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规格：绳长≥2.5m,材质：塑胶绳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跳绳玩具对小朋友的作用在于锻炼身体，提高心肺功能和协调能力，同时也有助于智力发展。</w:t>
            </w:r>
          </w:p>
        </w:tc>
      </w:tr>
      <w:tr w14:paraId="717A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136F4F3E">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117</w:t>
            </w:r>
          </w:p>
        </w:tc>
        <w:tc>
          <w:tcPr>
            <w:tcW w:w="744" w:type="pct"/>
            <w:shd w:val="clear" w:color="auto" w:fill="auto"/>
            <w:vAlign w:val="center"/>
          </w:tcPr>
          <w:p w14:paraId="450CF80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跳绳</w:t>
            </w:r>
          </w:p>
        </w:tc>
        <w:tc>
          <w:tcPr>
            <w:tcW w:w="476" w:type="pct"/>
            <w:shd w:val="clear" w:color="auto" w:fill="auto"/>
            <w:vAlign w:val="center"/>
          </w:tcPr>
          <w:p w14:paraId="7BB9C5A2">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12根</w:t>
            </w:r>
          </w:p>
        </w:tc>
        <w:tc>
          <w:tcPr>
            <w:tcW w:w="388" w:type="pct"/>
            <w:shd w:val="clear" w:color="auto" w:fill="auto"/>
            <w:vAlign w:val="center"/>
          </w:tcPr>
          <w:p w14:paraId="0B11CFF1">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099C4226">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主要材质：荷木/聚炳烯纤维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绳长：7m</w:t>
            </w:r>
          </w:p>
        </w:tc>
      </w:tr>
      <w:tr w14:paraId="62FC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742F8343">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118</w:t>
            </w:r>
          </w:p>
        </w:tc>
        <w:tc>
          <w:tcPr>
            <w:tcW w:w="744" w:type="pct"/>
            <w:shd w:val="clear" w:color="auto" w:fill="auto"/>
            <w:vAlign w:val="center"/>
          </w:tcPr>
          <w:p w14:paraId="3B23A41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彩棒</w:t>
            </w:r>
          </w:p>
        </w:tc>
        <w:tc>
          <w:tcPr>
            <w:tcW w:w="476" w:type="pct"/>
            <w:shd w:val="clear" w:color="auto" w:fill="auto"/>
            <w:vAlign w:val="center"/>
          </w:tcPr>
          <w:p w14:paraId="2DEF9EDF">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90对</w:t>
            </w:r>
          </w:p>
        </w:tc>
        <w:tc>
          <w:tcPr>
            <w:tcW w:w="388" w:type="pct"/>
            <w:shd w:val="clear" w:color="auto" w:fill="auto"/>
            <w:vAlign w:val="center"/>
          </w:tcPr>
          <w:p w14:paraId="1D500064">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5A84C8A7">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规格：35*25cm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1.材质：采用环保塑料材质，安全无异味；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2.结构：外表面镂空星星设计，特殊镂空处理星星，卡通可爱，增加玩耍乐趣，棒内装有铃铛，颜色多彩，增强宝宝对颜色的识别能力，同时增加宝宝的兴趣；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3.功能：训练平衡性，采用精致工艺，整体表面光滑无棱角。</w:t>
            </w:r>
          </w:p>
        </w:tc>
      </w:tr>
      <w:tr w14:paraId="4E0F0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4EC61920">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119</w:t>
            </w:r>
          </w:p>
        </w:tc>
        <w:tc>
          <w:tcPr>
            <w:tcW w:w="744" w:type="pct"/>
            <w:shd w:val="clear" w:color="auto" w:fill="auto"/>
            <w:vAlign w:val="center"/>
          </w:tcPr>
          <w:p w14:paraId="733EFF5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静音毽球</w:t>
            </w:r>
          </w:p>
        </w:tc>
        <w:tc>
          <w:tcPr>
            <w:tcW w:w="476" w:type="pct"/>
            <w:shd w:val="clear" w:color="auto" w:fill="auto"/>
            <w:vAlign w:val="center"/>
          </w:tcPr>
          <w:p w14:paraId="147C1A51">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45只</w:t>
            </w:r>
          </w:p>
        </w:tc>
        <w:tc>
          <w:tcPr>
            <w:tcW w:w="388" w:type="pct"/>
            <w:shd w:val="clear" w:color="auto" w:fill="auto"/>
            <w:vAlign w:val="center"/>
          </w:tcPr>
          <w:p w14:paraId="1EDE55DD">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4FB65478">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规格：20cm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1.材质：金属、鹅毛、橡胶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2.特点：鹅毛、噪音小</w:t>
            </w:r>
          </w:p>
        </w:tc>
      </w:tr>
      <w:tr w14:paraId="6A6B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339741F4">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120</w:t>
            </w:r>
          </w:p>
        </w:tc>
        <w:tc>
          <w:tcPr>
            <w:tcW w:w="744" w:type="pct"/>
            <w:shd w:val="clear" w:color="auto" w:fill="auto"/>
            <w:vAlign w:val="center"/>
          </w:tcPr>
          <w:p w14:paraId="2F18D40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大象套圈</w:t>
            </w:r>
          </w:p>
        </w:tc>
        <w:tc>
          <w:tcPr>
            <w:tcW w:w="476" w:type="pct"/>
            <w:shd w:val="clear" w:color="auto" w:fill="auto"/>
            <w:vAlign w:val="center"/>
          </w:tcPr>
          <w:p w14:paraId="32947F55">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6套</w:t>
            </w:r>
          </w:p>
        </w:tc>
        <w:tc>
          <w:tcPr>
            <w:tcW w:w="388" w:type="pct"/>
            <w:shd w:val="clear" w:color="auto" w:fill="auto"/>
            <w:vAlign w:val="center"/>
          </w:tcPr>
          <w:p w14:paraId="6085183D">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2DEC4323">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规格：40*23cm，4个/套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1.材质：采用环保塑料材质，耐冲击性好，耐磨耗性好，易着色，色彩丰富；</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2.所有边缘棱角均打磨光滑，保障使用安全；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3.作用：可以锻炼幼儿的身体平衡能力，肢体协调性和勇气；</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4.幼儿开展丰富多彩的户外游戏和体育活动，培养幼儿参加体育活动的兴趣和习惯，增强体质，提高对环境的适应能力。</w:t>
            </w:r>
          </w:p>
        </w:tc>
      </w:tr>
      <w:tr w14:paraId="5AC1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3D0DDA94">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121</w:t>
            </w:r>
          </w:p>
        </w:tc>
        <w:tc>
          <w:tcPr>
            <w:tcW w:w="744" w:type="pct"/>
            <w:shd w:val="clear" w:color="auto" w:fill="auto"/>
            <w:vAlign w:val="center"/>
          </w:tcPr>
          <w:p w14:paraId="62DC4F4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蹦床不扶墙</w:t>
            </w:r>
          </w:p>
        </w:tc>
        <w:tc>
          <w:tcPr>
            <w:tcW w:w="476" w:type="pct"/>
            <w:shd w:val="clear" w:color="auto" w:fill="auto"/>
            <w:vAlign w:val="center"/>
          </w:tcPr>
          <w:p w14:paraId="0A8F2B1A">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3个</w:t>
            </w:r>
          </w:p>
        </w:tc>
        <w:tc>
          <w:tcPr>
            <w:tcW w:w="388" w:type="pct"/>
            <w:shd w:val="clear" w:color="auto" w:fill="auto"/>
            <w:vAlign w:val="center"/>
          </w:tcPr>
          <w:p w14:paraId="4BE3BE5B">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0FDC3E43">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规格：直径90cm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1.材质：钢架+PP跳布+牛津布</w:t>
            </w:r>
          </w:p>
        </w:tc>
      </w:tr>
      <w:tr w14:paraId="33B1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37537813">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122</w:t>
            </w:r>
          </w:p>
        </w:tc>
        <w:tc>
          <w:tcPr>
            <w:tcW w:w="744" w:type="pct"/>
            <w:shd w:val="clear" w:color="auto" w:fill="auto"/>
            <w:vAlign w:val="center"/>
          </w:tcPr>
          <w:p w14:paraId="6453A1D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隧道</w:t>
            </w:r>
          </w:p>
        </w:tc>
        <w:tc>
          <w:tcPr>
            <w:tcW w:w="476" w:type="pct"/>
            <w:shd w:val="clear" w:color="auto" w:fill="auto"/>
            <w:vAlign w:val="center"/>
          </w:tcPr>
          <w:p w14:paraId="456BA6C1">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6个</w:t>
            </w:r>
          </w:p>
        </w:tc>
        <w:tc>
          <w:tcPr>
            <w:tcW w:w="388" w:type="pct"/>
            <w:shd w:val="clear" w:color="auto" w:fill="auto"/>
            <w:vAlign w:val="center"/>
          </w:tcPr>
          <w:p w14:paraId="1F8CCC35">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4448BC1E">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规格：48*105cm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材质：尼龙材质，高弹性钢圈上包裹一层棉，爬行或滚动时不搁脚或手臂，安全实用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玩法：可以进行钻爬隧道游戏，也可以当作滚筒进行前后滚动，还可以让小朋友站在里面进行走或跳的接力赛。</w:t>
            </w:r>
          </w:p>
        </w:tc>
      </w:tr>
      <w:tr w14:paraId="149D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0876D179">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123</w:t>
            </w:r>
          </w:p>
        </w:tc>
        <w:tc>
          <w:tcPr>
            <w:tcW w:w="744" w:type="pct"/>
            <w:shd w:val="clear" w:color="auto" w:fill="auto"/>
            <w:vAlign w:val="center"/>
          </w:tcPr>
          <w:p w14:paraId="6350D44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轮胎玩具</w:t>
            </w:r>
          </w:p>
        </w:tc>
        <w:tc>
          <w:tcPr>
            <w:tcW w:w="476" w:type="pct"/>
            <w:shd w:val="clear" w:color="auto" w:fill="auto"/>
            <w:vAlign w:val="center"/>
          </w:tcPr>
          <w:p w14:paraId="6320A8F5">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3套</w:t>
            </w:r>
          </w:p>
        </w:tc>
        <w:tc>
          <w:tcPr>
            <w:tcW w:w="388" w:type="pct"/>
            <w:shd w:val="clear" w:color="auto" w:fill="auto"/>
            <w:vAlign w:val="center"/>
          </w:tcPr>
          <w:p w14:paraId="35AFECCF">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586EA448">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轮胎架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1.规格：225*53*53cm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2.材质：优质环保PVC材质， 光滑无毛刺，结实耐用；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3.功能：用于收纳轮胎，可装10个。</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轮胎，10个</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环保优质工程塑料，吹塑工艺，光滑无毛刺，颜色饱满、玩趣无限。</w:t>
            </w:r>
          </w:p>
        </w:tc>
      </w:tr>
      <w:tr w14:paraId="7CC0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06EE14F9">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124</w:t>
            </w:r>
          </w:p>
        </w:tc>
        <w:tc>
          <w:tcPr>
            <w:tcW w:w="744" w:type="pct"/>
            <w:shd w:val="clear" w:color="auto" w:fill="auto"/>
            <w:vAlign w:val="center"/>
          </w:tcPr>
          <w:p w14:paraId="4FFFBC6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五人协力车</w:t>
            </w:r>
          </w:p>
        </w:tc>
        <w:tc>
          <w:tcPr>
            <w:tcW w:w="476" w:type="pct"/>
            <w:shd w:val="clear" w:color="auto" w:fill="auto"/>
            <w:vAlign w:val="center"/>
          </w:tcPr>
          <w:p w14:paraId="16E531FC">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3组</w:t>
            </w:r>
          </w:p>
        </w:tc>
        <w:tc>
          <w:tcPr>
            <w:tcW w:w="388" w:type="pct"/>
            <w:shd w:val="clear" w:color="auto" w:fill="auto"/>
            <w:vAlign w:val="center"/>
          </w:tcPr>
          <w:p w14:paraId="54BD28C4">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63E36EA9">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规格：193*64*67cm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架采用环保ABS加厚管材，材质环保，抗紫外线、防腐、防污，结实耐用，滚轮采用工程塑料材质，无毒无味，渗入抗紫外线，光稳定剂及抗静电剂，高级颜料粉，防脱色、韧性好、高强度、两面光滑、不褪色、滚塑成型，整体结构牢固，色彩鲜艳。</w:t>
            </w:r>
          </w:p>
        </w:tc>
      </w:tr>
      <w:tr w14:paraId="2F4B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028C6DBD">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125</w:t>
            </w:r>
          </w:p>
        </w:tc>
        <w:tc>
          <w:tcPr>
            <w:tcW w:w="744" w:type="pct"/>
            <w:shd w:val="clear" w:color="auto" w:fill="auto"/>
            <w:vAlign w:val="center"/>
          </w:tcPr>
          <w:p w14:paraId="31733E3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拱门钻洞</w:t>
            </w:r>
          </w:p>
        </w:tc>
        <w:tc>
          <w:tcPr>
            <w:tcW w:w="476" w:type="pct"/>
            <w:shd w:val="clear" w:color="auto" w:fill="auto"/>
            <w:vAlign w:val="center"/>
          </w:tcPr>
          <w:p w14:paraId="50B21269">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3套</w:t>
            </w:r>
          </w:p>
        </w:tc>
        <w:tc>
          <w:tcPr>
            <w:tcW w:w="388" w:type="pct"/>
            <w:shd w:val="clear" w:color="auto" w:fill="auto"/>
            <w:vAlign w:val="center"/>
          </w:tcPr>
          <w:p w14:paraId="1D935F02">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5CC905D1">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规格：67</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60</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30cm，8个/套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材质：优质工程塑料，滚塑工艺</w:t>
            </w:r>
          </w:p>
        </w:tc>
      </w:tr>
      <w:tr w14:paraId="5075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55CCDC06">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126</w:t>
            </w:r>
          </w:p>
        </w:tc>
        <w:tc>
          <w:tcPr>
            <w:tcW w:w="744" w:type="pct"/>
            <w:shd w:val="clear" w:color="auto" w:fill="auto"/>
            <w:vAlign w:val="center"/>
          </w:tcPr>
          <w:p w14:paraId="1B9AF42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圆柱高跷</w:t>
            </w:r>
          </w:p>
        </w:tc>
        <w:tc>
          <w:tcPr>
            <w:tcW w:w="476" w:type="pct"/>
            <w:shd w:val="clear" w:color="auto" w:fill="auto"/>
            <w:vAlign w:val="center"/>
          </w:tcPr>
          <w:p w14:paraId="06AF3C9B">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90对</w:t>
            </w:r>
          </w:p>
        </w:tc>
        <w:tc>
          <w:tcPr>
            <w:tcW w:w="388" w:type="pct"/>
            <w:shd w:val="clear" w:color="auto" w:fill="auto"/>
            <w:vAlign w:val="center"/>
          </w:tcPr>
          <w:p w14:paraId="3F5F87B3">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78DD27CF">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规格：13*11cm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1.材质：采用环保塑料材质，耐冲击性好，耐磨耗性好，易着色，色彩丰富；</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2.所有边缘棱角均打磨光滑，保障使用安全；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3.作用：可以锻炼幼儿的身体平衡能力，肢体协调性和勇气；</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4.幼儿开展丰富多彩的户外游戏和体育活动，培养幼儿参加体育活动的兴趣和习惯，增强体质，提高对环境的适应能力。</w:t>
            </w:r>
          </w:p>
        </w:tc>
      </w:tr>
      <w:tr w14:paraId="112BE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1312B770">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127</w:t>
            </w:r>
          </w:p>
        </w:tc>
        <w:tc>
          <w:tcPr>
            <w:tcW w:w="744" w:type="pct"/>
            <w:shd w:val="clear" w:color="auto" w:fill="auto"/>
            <w:vAlign w:val="center"/>
          </w:tcPr>
          <w:p w14:paraId="5413785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儿童哑铃</w:t>
            </w:r>
          </w:p>
        </w:tc>
        <w:tc>
          <w:tcPr>
            <w:tcW w:w="476" w:type="pct"/>
            <w:shd w:val="clear" w:color="auto" w:fill="auto"/>
            <w:vAlign w:val="center"/>
          </w:tcPr>
          <w:p w14:paraId="067B2B41">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90对</w:t>
            </w:r>
          </w:p>
        </w:tc>
        <w:tc>
          <w:tcPr>
            <w:tcW w:w="388" w:type="pct"/>
            <w:shd w:val="clear" w:color="auto" w:fill="auto"/>
            <w:vAlign w:val="center"/>
          </w:tcPr>
          <w:p w14:paraId="509AB3B1">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3F94919E">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规格：19.5</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哑铃玩具对小朋友的作用主要在于增强肌肉力量、提高耐力和促进骨骼发育</w:t>
            </w:r>
          </w:p>
        </w:tc>
      </w:tr>
      <w:tr w14:paraId="785CB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7C8B4D76">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128</w:t>
            </w:r>
          </w:p>
        </w:tc>
        <w:tc>
          <w:tcPr>
            <w:tcW w:w="744" w:type="pct"/>
            <w:shd w:val="clear" w:color="auto" w:fill="auto"/>
            <w:vAlign w:val="center"/>
          </w:tcPr>
          <w:p w14:paraId="23ADE4C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沙水小玩具</w:t>
            </w:r>
          </w:p>
        </w:tc>
        <w:tc>
          <w:tcPr>
            <w:tcW w:w="476" w:type="pct"/>
            <w:shd w:val="clear" w:color="auto" w:fill="auto"/>
            <w:vAlign w:val="center"/>
          </w:tcPr>
          <w:p w14:paraId="6D70E68D">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6套</w:t>
            </w:r>
          </w:p>
        </w:tc>
        <w:tc>
          <w:tcPr>
            <w:tcW w:w="388" w:type="pct"/>
            <w:shd w:val="clear" w:color="auto" w:fill="auto"/>
            <w:vAlign w:val="center"/>
          </w:tcPr>
          <w:p w14:paraId="7B16E4D8">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44A8D922">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42件套，采用塑料材质，食品级材质，安全放心，严格把控原材</w:t>
            </w:r>
            <w:r>
              <w:rPr>
                <w:rFonts w:hint="eastAsia" w:ascii="宋体" w:hAnsi="宋体" w:cs="宋体"/>
                <w:i w:val="0"/>
                <w:iCs w:val="0"/>
                <w:color w:val="auto"/>
                <w:kern w:val="0"/>
                <w:sz w:val="21"/>
                <w:szCs w:val="21"/>
                <w:highlight w:val="none"/>
                <w:u w:val="none"/>
                <w:lang w:val="en-US" w:eastAsia="zh-CN" w:bidi="ar"/>
              </w:rPr>
              <w:t>料</w:t>
            </w:r>
            <w:r>
              <w:rPr>
                <w:rFonts w:hint="eastAsia" w:ascii="宋体" w:hAnsi="宋体" w:eastAsia="宋体" w:cs="宋体"/>
                <w:i w:val="0"/>
                <w:iCs w:val="0"/>
                <w:color w:val="auto"/>
                <w:kern w:val="0"/>
                <w:sz w:val="21"/>
                <w:szCs w:val="21"/>
                <w:highlight w:val="none"/>
                <w:u w:val="none"/>
                <w:lang w:val="en-US" w:eastAsia="zh-CN" w:bidi="ar"/>
              </w:rPr>
              <w:t>，食品级不含有毒成分，高温不降解。</w:t>
            </w:r>
          </w:p>
        </w:tc>
      </w:tr>
      <w:tr w14:paraId="4C32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4F53FFDC">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129</w:t>
            </w:r>
          </w:p>
        </w:tc>
        <w:tc>
          <w:tcPr>
            <w:tcW w:w="744" w:type="pct"/>
            <w:shd w:val="clear" w:color="auto" w:fill="auto"/>
            <w:vAlign w:val="center"/>
          </w:tcPr>
          <w:p w14:paraId="02BEF72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种植工具</w:t>
            </w:r>
          </w:p>
        </w:tc>
        <w:tc>
          <w:tcPr>
            <w:tcW w:w="476" w:type="pct"/>
            <w:shd w:val="clear" w:color="auto" w:fill="auto"/>
            <w:vAlign w:val="center"/>
          </w:tcPr>
          <w:p w14:paraId="7D560C05">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30套</w:t>
            </w:r>
          </w:p>
        </w:tc>
        <w:tc>
          <w:tcPr>
            <w:tcW w:w="388" w:type="pct"/>
            <w:shd w:val="clear" w:color="auto" w:fill="auto"/>
            <w:vAlign w:val="center"/>
          </w:tcPr>
          <w:p w14:paraId="75C23C9A">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0098128D">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包含耙子、宽铲、尖铲和喷壶各1个，材质：木质、金属、环保塑料</w:t>
            </w:r>
            <w:r>
              <w:rPr>
                <w:rFonts w:hint="eastAsia" w:ascii="宋体" w:hAnsi="宋体" w:cs="宋体"/>
                <w:i w:val="0"/>
                <w:iCs w:val="0"/>
                <w:color w:val="auto"/>
                <w:kern w:val="0"/>
                <w:sz w:val="21"/>
                <w:szCs w:val="21"/>
                <w:highlight w:val="none"/>
                <w:u w:val="none"/>
                <w:lang w:val="en-US" w:eastAsia="zh-CN" w:bidi="ar"/>
              </w:rPr>
              <w:t>。</w:t>
            </w:r>
          </w:p>
        </w:tc>
      </w:tr>
      <w:tr w14:paraId="2C9CB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33" w:type="pct"/>
            <w:shd w:val="clear" w:color="auto" w:fill="auto"/>
            <w:vAlign w:val="center"/>
          </w:tcPr>
          <w:p w14:paraId="5D036C2D">
            <w:pPr>
              <w:widowControl/>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130</w:t>
            </w:r>
          </w:p>
        </w:tc>
        <w:tc>
          <w:tcPr>
            <w:tcW w:w="744" w:type="pct"/>
            <w:shd w:val="clear" w:color="auto" w:fill="auto"/>
            <w:vAlign w:val="center"/>
          </w:tcPr>
          <w:p w14:paraId="4AFA5D2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收纳架</w:t>
            </w:r>
          </w:p>
        </w:tc>
        <w:tc>
          <w:tcPr>
            <w:tcW w:w="476" w:type="pct"/>
            <w:shd w:val="clear" w:color="auto" w:fill="auto"/>
            <w:vAlign w:val="center"/>
          </w:tcPr>
          <w:p w14:paraId="07C0DDA9">
            <w:pPr>
              <w:keepNext w:val="0"/>
              <w:keepLines w:val="0"/>
              <w:widowControl/>
              <w:suppressLineNumbers w:val="0"/>
              <w:jc w:val="center"/>
              <w:textAlignment w:val="center"/>
              <w:rPr>
                <w:rFonts w:hint="default"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6套</w:t>
            </w:r>
          </w:p>
        </w:tc>
        <w:tc>
          <w:tcPr>
            <w:tcW w:w="388" w:type="pct"/>
            <w:shd w:val="clear" w:color="auto" w:fill="auto"/>
            <w:vAlign w:val="center"/>
          </w:tcPr>
          <w:p w14:paraId="25FAA73A">
            <w:pPr>
              <w:widowControl/>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w:t>
            </w:r>
          </w:p>
        </w:tc>
        <w:tc>
          <w:tcPr>
            <w:tcW w:w="3056" w:type="pct"/>
            <w:shd w:val="clear" w:color="auto" w:fill="auto"/>
            <w:vAlign w:val="center"/>
          </w:tcPr>
          <w:p w14:paraId="330A7E08">
            <w:pPr>
              <w:keepNext w:val="0"/>
              <w:keepLines w:val="0"/>
              <w:widowControl/>
              <w:suppressLineNumbers w:val="0"/>
              <w:jc w:val="left"/>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规格：245*85*110cm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材质:采用优质PVC管子，abs连接通，带篷布，整理美观。</w:t>
            </w:r>
          </w:p>
        </w:tc>
      </w:tr>
      <w:tr w14:paraId="791D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5000" w:type="pct"/>
            <w:gridSpan w:val="5"/>
            <w:shd w:val="clear" w:color="auto" w:fill="auto"/>
            <w:vAlign w:val="center"/>
          </w:tcPr>
          <w:p w14:paraId="6B34A267">
            <w:pPr>
              <w:keepNext w:val="0"/>
              <w:keepLines w:val="0"/>
              <w:pageBreakBefore w:val="0"/>
              <w:kinsoku/>
              <w:wordWrap/>
              <w:overflowPunct/>
              <w:topLinePunct w:val="0"/>
              <w:autoSpaceDE/>
              <w:autoSpaceDN/>
              <w:bidi w:val="0"/>
              <w:adjustRightInd/>
              <w:snapToGrid/>
              <w:spacing w:line="312" w:lineRule="auto"/>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b/>
                <w:bCs/>
                <w:color w:val="auto"/>
                <w:szCs w:val="21"/>
                <w:highlight w:val="none"/>
              </w:rPr>
              <w:t>一、商务条款</w:t>
            </w:r>
          </w:p>
        </w:tc>
      </w:tr>
      <w:tr w14:paraId="203B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078" w:type="pct"/>
            <w:gridSpan w:val="2"/>
            <w:shd w:val="clear" w:color="auto" w:fill="auto"/>
            <w:vAlign w:val="center"/>
          </w:tcPr>
          <w:p w14:paraId="6FF71EDE">
            <w:pPr>
              <w:keepNext w:val="0"/>
              <w:keepLines w:val="0"/>
              <w:pageBreakBefore w:val="0"/>
              <w:kinsoku/>
              <w:wordWrap/>
              <w:overflowPunct/>
              <w:topLinePunct w:val="0"/>
              <w:autoSpaceDE/>
              <w:autoSpaceDN/>
              <w:bidi w:val="0"/>
              <w:adjustRightInd/>
              <w:snapToGrid/>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合同签订期</w:t>
            </w:r>
          </w:p>
        </w:tc>
        <w:tc>
          <w:tcPr>
            <w:tcW w:w="3921" w:type="pct"/>
            <w:gridSpan w:val="3"/>
            <w:shd w:val="clear" w:color="auto" w:fill="auto"/>
            <w:vAlign w:val="center"/>
          </w:tcPr>
          <w:p w14:paraId="6D720E74">
            <w:pPr>
              <w:keepNext w:val="0"/>
              <w:keepLines w:val="0"/>
              <w:pageBreakBefore w:val="0"/>
              <w:kinsoku/>
              <w:wordWrap/>
              <w:overflowPunct/>
              <w:topLinePunct w:val="0"/>
              <w:autoSpaceDE/>
              <w:autoSpaceDN/>
              <w:bidi w:val="0"/>
              <w:adjustRightInd/>
              <w:snapToGrid/>
              <w:spacing w:line="312" w:lineRule="auto"/>
              <w:rPr>
                <w:rFonts w:ascii="宋体" w:hAnsi="宋体" w:cs="宋体"/>
                <w:color w:val="auto"/>
                <w:kern w:val="0"/>
                <w:szCs w:val="21"/>
                <w:highlight w:val="none"/>
              </w:rPr>
            </w:pPr>
            <w:r>
              <w:rPr>
                <w:rFonts w:hint="eastAsia" w:ascii="宋体" w:hAnsi="宋体" w:cs="宋体"/>
                <w:color w:val="auto"/>
                <w:kern w:val="0"/>
                <w:szCs w:val="21"/>
                <w:highlight w:val="none"/>
              </w:rPr>
              <w:t>自中标通知书发出之日起25日内。</w:t>
            </w:r>
          </w:p>
        </w:tc>
      </w:tr>
      <w:tr w14:paraId="6DD3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8" w:type="pct"/>
            <w:gridSpan w:val="2"/>
            <w:shd w:val="clear" w:color="auto" w:fill="auto"/>
            <w:vAlign w:val="center"/>
          </w:tcPr>
          <w:p w14:paraId="01ABD9E7">
            <w:pPr>
              <w:keepNext w:val="0"/>
              <w:keepLines w:val="0"/>
              <w:pageBreakBefore w:val="0"/>
              <w:kinsoku/>
              <w:wordWrap/>
              <w:overflowPunct/>
              <w:topLinePunct w:val="0"/>
              <w:autoSpaceDE/>
              <w:autoSpaceDN/>
              <w:bidi w:val="0"/>
              <w:adjustRightInd/>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交付时间及地点</w:t>
            </w:r>
          </w:p>
        </w:tc>
        <w:tc>
          <w:tcPr>
            <w:tcW w:w="3921" w:type="pct"/>
            <w:gridSpan w:val="3"/>
            <w:shd w:val="clear" w:color="auto" w:fill="auto"/>
            <w:vAlign w:val="center"/>
          </w:tcPr>
          <w:p w14:paraId="20B1DB9E">
            <w:pPr>
              <w:keepNext w:val="0"/>
              <w:keepLines w:val="0"/>
              <w:pageBreakBefore w:val="0"/>
              <w:numPr>
                <w:ilvl w:val="0"/>
                <w:numId w:val="4"/>
              </w:numPr>
              <w:kinsoku/>
              <w:wordWrap/>
              <w:overflowPunct/>
              <w:topLinePunct w:val="0"/>
              <w:autoSpaceDE/>
              <w:autoSpaceDN/>
              <w:bidi w:val="0"/>
              <w:adjustRightInd/>
              <w:snapToGrid/>
              <w:spacing w:before="165" w:beforeLines="50" w:after="165" w:afterLines="50" w:line="24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交付时间：自签订合同之日起30日内，安装调试完毕并交付使用。</w:t>
            </w:r>
          </w:p>
          <w:p w14:paraId="3D2ED4EF">
            <w:pPr>
              <w:keepNext w:val="0"/>
              <w:keepLines w:val="0"/>
              <w:pageBreakBefore w:val="0"/>
              <w:numPr>
                <w:ilvl w:val="0"/>
                <w:numId w:val="4"/>
              </w:numPr>
              <w:kinsoku/>
              <w:wordWrap/>
              <w:overflowPunct/>
              <w:topLinePunct w:val="0"/>
              <w:autoSpaceDE/>
              <w:autoSpaceDN/>
              <w:bidi w:val="0"/>
              <w:adjustRightInd/>
              <w:snapToGrid/>
              <w:spacing w:before="165" w:beforeLines="50" w:after="165" w:afterLines="50" w:line="240" w:lineRule="auto"/>
              <w:rPr>
                <w:rFonts w:ascii="宋体" w:hAnsi="宋体" w:cs="宋体"/>
                <w:color w:val="auto"/>
                <w:kern w:val="0"/>
                <w:szCs w:val="21"/>
                <w:highlight w:val="none"/>
              </w:rPr>
            </w:pPr>
            <w:r>
              <w:rPr>
                <w:rFonts w:hint="eastAsia" w:ascii="宋体" w:hAnsi="宋体" w:cs="宋体"/>
                <w:color w:val="auto"/>
                <w:kern w:val="0"/>
                <w:szCs w:val="21"/>
                <w:highlight w:val="none"/>
              </w:rPr>
              <w:t>交付地点：</w:t>
            </w:r>
            <w:r>
              <w:rPr>
                <w:rFonts w:hint="eastAsia" w:ascii="宋体" w:hAnsi="宋体" w:cs="宋体"/>
                <w:color w:val="auto"/>
                <w:kern w:val="0"/>
                <w:szCs w:val="21"/>
                <w:highlight w:val="none"/>
                <w:lang w:val="en-US" w:eastAsia="zh-CN"/>
              </w:rPr>
              <w:t>玉林市</w:t>
            </w:r>
            <w:r>
              <w:rPr>
                <w:rFonts w:hint="eastAsia" w:ascii="宋体" w:hAnsi="宋体" w:cs="宋体"/>
                <w:color w:val="auto"/>
                <w:kern w:val="0"/>
                <w:szCs w:val="21"/>
                <w:highlight w:val="none"/>
              </w:rPr>
              <w:t>采购人指定地点。</w:t>
            </w:r>
          </w:p>
        </w:tc>
      </w:tr>
      <w:tr w14:paraId="0F59A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8" w:type="pct"/>
            <w:gridSpan w:val="2"/>
            <w:shd w:val="clear" w:color="auto" w:fill="auto"/>
            <w:vAlign w:val="center"/>
          </w:tcPr>
          <w:p w14:paraId="373E898D">
            <w:pPr>
              <w:keepNext w:val="0"/>
              <w:keepLines w:val="0"/>
              <w:pageBreakBefore w:val="0"/>
              <w:kinsoku/>
              <w:wordWrap/>
              <w:overflowPunct/>
              <w:topLinePunct w:val="0"/>
              <w:autoSpaceDE/>
              <w:autoSpaceDN/>
              <w:bidi w:val="0"/>
              <w:adjustRightInd/>
              <w:snapToGrid/>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售后服务要求</w:t>
            </w:r>
          </w:p>
        </w:tc>
        <w:tc>
          <w:tcPr>
            <w:tcW w:w="3921" w:type="pct"/>
            <w:gridSpan w:val="3"/>
            <w:shd w:val="clear" w:color="auto" w:fill="auto"/>
            <w:vAlign w:val="center"/>
          </w:tcPr>
          <w:p w14:paraId="6E3EB76E">
            <w:pPr>
              <w:keepNext w:val="0"/>
              <w:keepLines w:val="0"/>
              <w:pageBreakBefore w:val="0"/>
              <w:kinsoku/>
              <w:wordWrap/>
              <w:overflowPunct/>
              <w:topLinePunct w:val="0"/>
              <w:autoSpaceDE/>
              <w:autoSpaceDN/>
              <w:bidi w:val="0"/>
              <w:adjustRightInd/>
              <w:snapToGrid/>
              <w:spacing w:line="312" w:lineRule="auto"/>
              <w:rPr>
                <w:rFonts w:ascii="宋体" w:hAnsi="宋体" w:cs="宋体"/>
                <w:color w:val="auto"/>
                <w:kern w:val="0"/>
                <w:szCs w:val="21"/>
                <w:highlight w:val="none"/>
              </w:rPr>
            </w:pPr>
            <w:r>
              <w:rPr>
                <w:rFonts w:hint="eastAsia" w:ascii="宋体" w:hAnsi="宋体" w:cs="宋体"/>
                <w:color w:val="auto"/>
                <w:kern w:val="0"/>
                <w:szCs w:val="21"/>
                <w:highlight w:val="none"/>
              </w:rPr>
              <w:t>1、在质保期内设备非因人为及不可抗拒因素而引起的损坏或质量问题，中标人负责给予技术服务、维修或更新，并承担相应费用和零部件的费用。</w:t>
            </w:r>
          </w:p>
          <w:p w14:paraId="618FE29B">
            <w:pPr>
              <w:keepNext w:val="0"/>
              <w:keepLines w:val="0"/>
              <w:pageBreakBefore w:val="0"/>
              <w:kinsoku/>
              <w:wordWrap/>
              <w:overflowPunct/>
              <w:topLinePunct w:val="0"/>
              <w:autoSpaceDE/>
              <w:autoSpaceDN/>
              <w:bidi w:val="0"/>
              <w:adjustRightInd/>
              <w:snapToGrid/>
              <w:spacing w:line="312" w:lineRule="auto"/>
              <w:rPr>
                <w:rFonts w:ascii="宋体" w:hAnsi="宋体" w:cs="宋体"/>
                <w:color w:val="auto"/>
                <w:kern w:val="0"/>
                <w:szCs w:val="21"/>
                <w:highlight w:val="none"/>
              </w:rPr>
            </w:pPr>
            <w:r>
              <w:rPr>
                <w:rFonts w:hint="eastAsia" w:ascii="宋体" w:hAnsi="宋体" w:cs="宋体"/>
                <w:color w:val="auto"/>
                <w:kern w:val="0"/>
                <w:szCs w:val="21"/>
                <w:highlight w:val="none"/>
              </w:rPr>
              <w:t>2、接到故障通知后，30分钟内</w:t>
            </w:r>
            <w:r>
              <w:rPr>
                <w:rFonts w:hint="eastAsia" w:ascii="宋体" w:hAnsi="宋体" w:cs="宋体"/>
                <w:color w:val="auto"/>
                <w:kern w:val="0"/>
                <w:szCs w:val="21"/>
                <w:highlight w:val="none"/>
                <w:lang w:val="en-US" w:eastAsia="zh-CN"/>
              </w:rPr>
              <w:t>做</w:t>
            </w:r>
            <w:r>
              <w:rPr>
                <w:rFonts w:hint="eastAsia" w:ascii="宋体" w:hAnsi="宋体" w:cs="宋体"/>
                <w:color w:val="auto"/>
                <w:kern w:val="0"/>
                <w:szCs w:val="21"/>
                <w:highlight w:val="none"/>
              </w:rPr>
              <w:t>出反应，并</w:t>
            </w:r>
            <w:r>
              <w:rPr>
                <w:rFonts w:hint="eastAsia" w:ascii="宋体" w:hAnsi="宋体" w:cs="宋体"/>
                <w:color w:val="auto"/>
                <w:kern w:val="0"/>
                <w:szCs w:val="21"/>
                <w:highlight w:val="none"/>
                <w:lang w:val="en-US" w:eastAsia="zh-CN"/>
              </w:rPr>
              <w:t>做</w:t>
            </w:r>
            <w:r>
              <w:rPr>
                <w:rFonts w:hint="eastAsia" w:ascii="宋体" w:hAnsi="宋体" w:cs="宋体"/>
                <w:color w:val="auto"/>
                <w:kern w:val="0"/>
                <w:szCs w:val="21"/>
                <w:highlight w:val="none"/>
              </w:rPr>
              <w:t>详细的故障处理方案；在8小时内到达采购单位现场，12个小时内按国家及行业标准排除故障，并提供每周7×24小时电话咨询服务。</w:t>
            </w:r>
          </w:p>
          <w:p w14:paraId="10EFCD17">
            <w:pPr>
              <w:keepNext w:val="0"/>
              <w:keepLines w:val="0"/>
              <w:pageBreakBefore w:val="0"/>
              <w:kinsoku/>
              <w:wordWrap/>
              <w:overflowPunct/>
              <w:topLinePunct w:val="0"/>
              <w:autoSpaceDE/>
              <w:autoSpaceDN/>
              <w:bidi w:val="0"/>
              <w:adjustRightInd/>
              <w:snapToGrid/>
              <w:spacing w:line="312" w:lineRule="auto"/>
              <w:rPr>
                <w:rFonts w:ascii="宋体" w:hAnsi="宋体" w:cs="宋体"/>
                <w:color w:val="auto"/>
                <w:kern w:val="0"/>
                <w:szCs w:val="21"/>
                <w:highlight w:val="none"/>
              </w:rPr>
            </w:pPr>
            <w:r>
              <w:rPr>
                <w:rFonts w:hint="eastAsia" w:ascii="宋体" w:hAnsi="宋体" w:cs="宋体"/>
                <w:color w:val="auto"/>
                <w:kern w:val="0"/>
                <w:szCs w:val="21"/>
                <w:highlight w:val="none"/>
              </w:rPr>
              <w:t>3、供货期间和验收工作（包括待验收和已经验收的内容）在交付前，中标单位对供货在安装产品、成品都应采取措施精心保护，防止损毁和失盗，自行负责相关保管业务。</w:t>
            </w:r>
          </w:p>
          <w:p w14:paraId="0EB71508">
            <w:pPr>
              <w:keepNext w:val="0"/>
              <w:keepLines w:val="0"/>
              <w:pageBreakBefore w:val="0"/>
              <w:kinsoku/>
              <w:wordWrap/>
              <w:overflowPunct/>
              <w:topLinePunct w:val="0"/>
              <w:autoSpaceDE/>
              <w:autoSpaceDN/>
              <w:bidi w:val="0"/>
              <w:adjustRightInd/>
              <w:snapToGrid/>
              <w:spacing w:line="312" w:lineRule="auto"/>
              <w:rPr>
                <w:rFonts w:ascii="宋体" w:hAnsi="宋体" w:cs="宋体"/>
                <w:color w:val="auto"/>
                <w:kern w:val="0"/>
                <w:szCs w:val="21"/>
                <w:highlight w:val="none"/>
              </w:rPr>
            </w:pPr>
            <w:r>
              <w:rPr>
                <w:rFonts w:hint="eastAsia" w:ascii="宋体" w:hAnsi="宋体" w:cs="宋体"/>
                <w:color w:val="auto"/>
                <w:kern w:val="0"/>
                <w:szCs w:val="21"/>
                <w:highlight w:val="none"/>
              </w:rPr>
              <w:t>4、验收后，提供全部操作、维护手册。中标单位在验收合格之日起3个工作日内，派工程技术专家到现场来负责提供相关课程培训或讲座，不得少于1场。</w:t>
            </w:r>
          </w:p>
          <w:p w14:paraId="61E57BCC">
            <w:pPr>
              <w:keepNext w:val="0"/>
              <w:keepLines w:val="0"/>
              <w:pageBreakBefore w:val="0"/>
              <w:kinsoku/>
              <w:wordWrap/>
              <w:overflowPunct/>
              <w:topLinePunct w:val="0"/>
              <w:autoSpaceDE/>
              <w:autoSpaceDN/>
              <w:bidi w:val="0"/>
              <w:adjustRightInd/>
              <w:snapToGrid/>
              <w:spacing w:line="312" w:lineRule="auto"/>
              <w:rPr>
                <w:rFonts w:ascii="宋体" w:hAnsi="宋体" w:cs="宋体"/>
                <w:color w:val="auto"/>
                <w:kern w:val="0"/>
                <w:szCs w:val="21"/>
                <w:highlight w:val="none"/>
              </w:rPr>
            </w:pPr>
            <w:r>
              <w:rPr>
                <w:rFonts w:hint="eastAsia" w:ascii="宋体" w:hAnsi="宋体" w:cs="宋体"/>
                <w:color w:val="auto"/>
                <w:kern w:val="0"/>
                <w:szCs w:val="21"/>
                <w:highlight w:val="none"/>
              </w:rPr>
              <w:t>5、供货期间为学校上课时间，上课时间（上午</w:t>
            </w: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rPr>
              <w:t>时至</w:t>
            </w:r>
            <w:r>
              <w:rPr>
                <w:rFonts w:hint="eastAsia" w:ascii="宋体" w:hAnsi="宋体" w:cs="宋体"/>
                <w:color w:val="auto"/>
                <w:kern w:val="0"/>
                <w:szCs w:val="21"/>
                <w:highlight w:val="none"/>
                <w:lang w:val="en-US" w:eastAsia="zh-CN"/>
              </w:rPr>
              <w:t>12</w:t>
            </w:r>
            <w:r>
              <w:rPr>
                <w:rFonts w:hint="eastAsia" w:ascii="宋体" w:hAnsi="宋体" w:cs="宋体"/>
                <w:color w:val="auto"/>
                <w:kern w:val="0"/>
                <w:szCs w:val="21"/>
                <w:highlight w:val="none"/>
              </w:rPr>
              <w:t>时</w:t>
            </w:r>
            <w:r>
              <w:rPr>
                <w:rFonts w:hint="eastAsia" w:ascii="宋体" w:hAnsi="宋体" w:cs="宋体"/>
                <w:color w:val="auto"/>
                <w:kern w:val="0"/>
                <w:szCs w:val="21"/>
                <w:highlight w:val="none"/>
                <w:lang w:val="en-US" w:eastAsia="zh-CN"/>
              </w:rPr>
              <w:t>00</w:t>
            </w:r>
            <w:r>
              <w:rPr>
                <w:rFonts w:hint="eastAsia" w:ascii="宋体" w:hAnsi="宋体" w:cs="宋体"/>
                <w:color w:val="auto"/>
                <w:kern w:val="0"/>
                <w:szCs w:val="21"/>
                <w:highlight w:val="none"/>
              </w:rPr>
              <w:t>分，下午2时至5时30分）供应商必须严格按照设备接收学校安排的场地开展相关工作，不得影响学校在此期间的正常教学秩序。</w:t>
            </w:r>
          </w:p>
          <w:p w14:paraId="486EFF68">
            <w:pPr>
              <w:keepNext w:val="0"/>
              <w:keepLines w:val="0"/>
              <w:pageBreakBefore w:val="0"/>
              <w:kinsoku/>
              <w:wordWrap/>
              <w:overflowPunct/>
              <w:topLinePunct w:val="0"/>
              <w:autoSpaceDE/>
              <w:autoSpaceDN/>
              <w:bidi w:val="0"/>
              <w:adjustRightInd/>
              <w:snapToGrid/>
              <w:spacing w:line="312" w:lineRule="auto"/>
              <w:rPr>
                <w:rFonts w:ascii="宋体" w:hAnsi="宋体" w:cs="宋体"/>
                <w:color w:val="auto"/>
                <w:kern w:val="0"/>
                <w:szCs w:val="21"/>
                <w:highlight w:val="none"/>
              </w:rPr>
            </w:pPr>
            <w:r>
              <w:rPr>
                <w:rFonts w:hint="eastAsia" w:ascii="宋体" w:hAnsi="宋体" w:cs="宋体"/>
                <w:color w:val="auto"/>
                <w:kern w:val="0"/>
                <w:szCs w:val="21"/>
                <w:highlight w:val="none"/>
              </w:rPr>
              <w:t>6、保质期满后对产品提供终身的有偿服务，维修及更换零部件的费用低于市场价格。</w:t>
            </w:r>
          </w:p>
        </w:tc>
      </w:tr>
      <w:tr w14:paraId="362B5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1078" w:type="pct"/>
            <w:gridSpan w:val="2"/>
            <w:shd w:val="clear" w:color="auto" w:fill="auto"/>
            <w:vAlign w:val="center"/>
          </w:tcPr>
          <w:p w14:paraId="272C1409">
            <w:pPr>
              <w:keepNext w:val="0"/>
              <w:keepLines w:val="0"/>
              <w:pageBreakBefore w:val="0"/>
              <w:kinsoku/>
              <w:wordWrap/>
              <w:overflowPunct/>
              <w:topLinePunct w:val="0"/>
              <w:autoSpaceDE/>
              <w:autoSpaceDN/>
              <w:bidi w:val="0"/>
              <w:adjustRightInd/>
              <w:snapToGrid/>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付款方式</w:t>
            </w:r>
          </w:p>
        </w:tc>
        <w:tc>
          <w:tcPr>
            <w:tcW w:w="3921" w:type="pct"/>
            <w:gridSpan w:val="3"/>
            <w:shd w:val="clear" w:color="auto" w:fill="auto"/>
            <w:vAlign w:val="center"/>
          </w:tcPr>
          <w:p w14:paraId="18E718A0">
            <w:pPr>
              <w:keepNext w:val="0"/>
              <w:keepLines w:val="0"/>
              <w:pageBreakBefore w:val="0"/>
              <w:kinsoku/>
              <w:wordWrap/>
              <w:overflowPunct/>
              <w:topLinePunct w:val="0"/>
              <w:autoSpaceDE/>
              <w:autoSpaceDN/>
              <w:bidi w:val="0"/>
              <w:adjustRightInd/>
              <w:snapToGrid/>
              <w:spacing w:line="312" w:lineRule="auto"/>
              <w:rPr>
                <w:rFonts w:ascii="宋体" w:hAnsi="宋体" w:cs="宋体"/>
                <w:color w:val="auto"/>
                <w:kern w:val="0"/>
                <w:szCs w:val="21"/>
                <w:highlight w:val="none"/>
              </w:rPr>
            </w:pPr>
            <w:r>
              <w:rPr>
                <w:rFonts w:hint="eastAsia" w:ascii="宋体" w:hAnsi="宋体" w:cs="宋体"/>
                <w:color w:val="auto"/>
                <w:kern w:val="0"/>
                <w:sz w:val="21"/>
                <w:szCs w:val="21"/>
                <w:highlight w:val="none"/>
                <w:lang w:val="en-US" w:eastAsia="zh-CN" w:bidi="ar"/>
              </w:rPr>
              <w:t>签订合同后15日内支付合同价款的30%作为</w:t>
            </w:r>
            <w:r>
              <w:rPr>
                <w:rFonts w:hint="eastAsia" w:ascii="宋体" w:hAnsi="宋体" w:cs="宋体"/>
                <w:color w:val="auto"/>
                <w:kern w:val="0"/>
                <w:sz w:val="21"/>
                <w:szCs w:val="21"/>
                <w:highlight w:val="none"/>
                <w:lang w:bidi="ar"/>
              </w:rPr>
              <w:t>预付款。中标供应商交货安装</w:t>
            </w:r>
            <w:r>
              <w:rPr>
                <w:rFonts w:hint="eastAsia" w:ascii="宋体" w:hAnsi="宋体" w:cs="宋体"/>
                <w:color w:val="auto"/>
                <w:kern w:val="0"/>
                <w:sz w:val="21"/>
                <w:szCs w:val="21"/>
                <w:highlight w:val="none"/>
                <w:lang w:val="en-US" w:eastAsia="zh-CN" w:bidi="ar"/>
              </w:rPr>
              <w:t>并调试完毕</w:t>
            </w:r>
            <w:r>
              <w:rPr>
                <w:rFonts w:hint="eastAsia" w:ascii="宋体" w:hAnsi="宋体" w:cs="宋体"/>
                <w:color w:val="auto"/>
                <w:kern w:val="0"/>
                <w:sz w:val="21"/>
                <w:szCs w:val="21"/>
                <w:highlight w:val="none"/>
                <w:lang w:bidi="ar"/>
              </w:rPr>
              <w:t>后，经采购人书面验收合格，并按采购人要求提交项目请款有关资料，在财政部门审批同意用款计划后30日内，支付</w:t>
            </w:r>
            <w:r>
              <w:rPr>
                <w:rFonts w:hint="eastAsia" w:ascii="宋体" w:hAnsi="宋体" w:cs="宋体"/>
                <w:color w:val="auto"/>
                <w:kern w:val="0"/>
                <w:sz w:val="21"/>
                <w:szCs w:val="21"/>
                <w:highlight w:val="none"/>
                <w:lang w:val="en-US" w:eastAsia="zh-CN" w:bidi="ar"/>
              </w:rPr>
              <w:t>余下70%</w:t>
            </w:r>
            <w:r>
              <w:rPr>
                <w:rFonts w:hint="eastAsia" w:ascii="宋体" w:hAnsi="宋体" w:cs="宋体"/>
                <w:color w:val="auto"/>
                <w:kern w:val="0"/>
                <w:sz w:val="21"/>
                <w:szCs w:val="21"/>
                <w:highlight w:val="none"/>
                <w:lang w:bidi="ar"/>
              </w:rPr>
              <w:t>合同</w:t>
            </w:r>
            <w:r>
              <w:rPr>
                <w:rFonts w:hint="eastAsia" w:ascii="宋体" w:hAnsi="宋体" w:cs="宋体"/>
                <w:color w:val="auto"/>
                <w:kern w:val="0"/>
                <w:sz w:val="21"/>
                <w:szCs w:val="21"/>
                <w:highlight w:val="none"/>
                <w:lang w:val="en-US" w:eastAsia="zh-CN" w:bidi="ar"/>
              </w:rPr>
              <w:t>价</w:t>
            </w:r>
            <w:r>
              <w:rPr>
                <w:rFonts w:hint="eastAsia" w:ascii="宋体" w:hAnsi="宋体" w:cs="宋体"/>
                <w:color w:val="auto"/>
                <w:kern w:val="0"/>
                <w:sz w:val="21"/>
                <w:szCs w:val="21"/>
                <w:highlight w:val="none"/>
                <w:lang w:bidi="ar"/>
              </w:rPr>
              <w:t>款。</w:t>
            </w:r>
          </w:p>
        </w:tc>
      </w:tr>
      <w:tr w14:paraId="217E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8" w:type="pct"/>
            <w:gridSpan w:val="2"/>
            <w:shd w:val="clear" w:color="auto" w:fill="auto"/>
            <w:vAlign w:val="center"/>
          </w:tcPr>
          <w:p w14:paraId="5666B767">
            <w:pPr>
              <w:keepNext w:val="0"/>
              <w:keepLines w:val="0"/>
              <w:pageBreakBefore w:val="0"/>
              <w:kinsoku/>
              <w:wordWrap/>
              <w:overflowPunct/>
              <w:topLinePunct w:val="0"/>
              <w:autoSpaceDE/>
              <w:autoSpaceDN/>
              <w:bidi w:val="0"/>
              <w:adjustRightInd/>
              <w:snapToGrid/>
              <w:spacing w:line="312" w:lineRule="auto"/>
              <w:jc w:val="center"/>
              <w:rPr>
                <w:rFonts w:ascii="宋体" w:hAnsi="宋体" w:cs="宋体"/>
                <w:color w:val="auto"/>
                <w:kern w:val="0"/>
                <w:szCs w:val="21"/>
                <w:highlight w:val="none"/>
              </w:rPr>
            </w:pPr>
            <w:r>
              <w:rPr>
                <w:rFonts w:hint="eastAsia" w:ascii="宋体" w:hAnsi="宋体" w:cs="宋体"/>
                <w:color w:val="auto"/>
                <w:szCs w:val="21"/>
                <w:highlight w:val="none"/>
              </w:rPr>
              <w:t>产品质量要求</w:t>
            </w:r>
          </w:p>
        </w:tc>
        <w:tc>
          <w:tcPr>
            <w:tcW w:w="3921" w:type="pct"/>
            <w:gridSpan w:val="3"/>
            <w:shd w:val="clear" w:color="auto" w:fill="auto"/>
            <w:vAlign w:val="center"/>
          </w:tcPr>
          <w:p w14:paraId="0A208B3F">
            <w:pPr>
              <w:keepNext w:val="0"/>
              <w:keepLines w:val="0"/>
              <w:pageBreakBefore w:val="0"/>
              <w:kinsoku/>
              <w:wordWrap/>
              <w:overflowPunct/>
              <w:topLinePunct w:val="0"/>
              <w:autoSpaceDE/>
              <w:autoSpaceDN/>
              <w:bidi w:val="0"/>
              <w:adjustRightInd/>
              <w:snapToGrid/>
              <w:spacing w:line="312" w:lineRule="auto"/>
              <w:rPr>
                <w:rFonts w:ascii="宋体" w:hAnsi="宋体" w:cs="宋体"/>
                <w:color w:val="auto"/>
                <w:kern w:val="0"/>
                <w:szCs w:val="21"/>
                <w:highlight w:val="none"/>
              </w:rPr>
            </w:pPr>
            <w:r>
              <w:rPr>
                <w:rFonts w:hint="eastAsia" w:ascii="宋体" w:hAnsi="宋体" w:cs="宋体"/>
                <w:color w:val="auto"/>
                <w:szCs w:val="21"/>
                <w:highlight w:val="none"/>
              </w:rPr>
              <w:t>要求投标货物及其所有零部件、配件必须是符合国家有关质量和安全强制要求和标准的产品。</w:t>
            </w:r>
          </w:p>
        </w:tc>
      </w:tr>
      <w:tr w14:paraId="45C8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8" w:type="pct"/>
            <w:gridSpan w:val="2"/>
            <w:shd w:val="clear" w:color="auto" w:fill="auto"/>
            <w:vAlign w:val="center"/>
          </w:tcPr>
          <w:p w14:paraId="45A001E9">
            <w:pPr>
              <w:keepNext w:val="0"/>
              <w:keepLines w:val="0"/>
              <w:pageBreakBefore w:val="0"/>
              <w:widowControl/>
              <w:kinsoku/>
              <w:wordWrap/>
              <w:overflowPunct/>
              <w:topLinePunct w:val="0"/>
              <w:autoSpaceDE/>
              <w:autoSpaceDN/>
              <w:bidi w:val="0"/>
              <w:adjustRightInd/>
              <w:snapToGrid/>
              <w:spacing w:line="312" w:lineRule="auto"/>
              <w:jc w:val="center"/>
              <w:textAlignment w:val="center"/>
              <w:rPr>
                <w:rFonts w:ascii="宋体" w:hAnsi="宋体" w:cs="宋体"/>
                <w:color w:val="auto"/>
                <w:szCs w:val="21"/>
                <w:highlight w:val="none"/>
              </w:rPr>
            </w:pPr>
            <w:r>
              <w:rPr>
                <w:rFonts w:hint="eastAsia" w:ascii="宋体" w:hAnsi="宋体" w:cs="宋体"/>
                <w:b/>
                <w:bCs/>
                <w:color w:val="auto"/>
                <w:kern w:val="0"/>
                <w:szCs w:val="21"/>
                <w:highlight w:val="none"/>
                <w:lang w:bidi="ar"/>
              </w:rPr>
              <w:t>核心产品</w:t>
            </w:r>
          </w:p>
        </w:tc>
        <w:tc>
          <w:tcPr>
            <w:tcW w:w="3921" w:type="pct"/>
            <w:gridSpan w:val="3"/>
            <w:shd w:val="clear" w:color="auto" w:fill="auto"/>
            <w:vAlign w:val="center"/>
          </w:tcPr>
          <w:p w14:paraId="2EB95251">
            <w:pPr>
              <w:keepNext w:val="0"/>
              <w:keepLines w:val="0"/>
              <w:pageBreakBefore w:val="0"/>
              <w:widowControl/>
              <w:kinsoku/>
              <w:wordWrap/>
              <w:overflowPunct/>
              <w:topLinePunct w:val="0"/>
              <w:autoSpaceDE/>
              <w:autoSpaceDN/>
              <w:bidi w:val="0"/>
              <w:adjustRightInd/>
              <w:snapToGrid/>
              <w:spacing w:line="312" w:lineRule="auto"/>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u w:val="single"/>
              </w:rPr>
              <w:t>本项目核心产品为 项号1“</w:t>
            </w:r>
            <w:r>
              <w:rPr>
                <w:rFonts w:hint="eastAsia" w:ascii="新宋体" w:hAnsi="新宋体" w:eastAsia="新宋体" w:cs="新宋体"/>
                <w:b/>
                <w:bCs/>
                <w:i w:val="0"/>
                <w:iCs w:val="0"/>
                <w:color w:val="auto"/>
                <w:kern w:val="0"/>
                <w:sz w:val="21"/>
                <w:szCs w:val="21"/>
                <w:highlight w:val="none"/>
                <w:u w:val="single"/>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4688840</wp:posOffset>
                  </wp:positionV>
                  <wp:extent cx="708660" cy="715010"/>
                  <wp:effectExtent l="0" t="0" r="0" b="0"/>
                  <wp:wrapNone/>
                  <wp:docPr id="2653" name="ID_DE60E1367F4D47B68B43A253F9DB257F_SpCnt_34"/>
                  <wp:cNvGraphicFramePr/>
                  <a:graphic xmlns:a="http://schemas.openxmlformats.org/drawingml/2006/main">
                    <a:graphicData uri="http://schemas.openxmlformats.org/drawingml/2006/picture">
                      <pic:pic xmlns:pic="http://schemas.openxmlformats.org/drawingml/2006/picture">
                        <pic:nvPicPr>
                          <pic:cNvPr id="2653" name="ID_DE60E1367F4D47B68B43A253F9DB257F_SpCnt_34"/>
                          <pic:cNvPicPr/>
                        </pic:nvPicPr>
                        <pic:blipFill>
                          <a:blip r:embed="rId13"/>
                          <a:stretch>
                            <a:fillRect/>
                          </a:stretch>
                        </pic:blipFill>
                        <pic:spPr>
                          <a:xfrm>
                            <a:off x="0" y="0"/>
                            <a:ext cx="708660" cy="715010"/>
                          </a:xfrm>
                          <a:prstGeom prst="rect">
                            <a:avLst/>
                          </a:prstGeom>
                          <a:noFill/>
                          <a:ln>
                            <a:noFill/>
                          </a:ln>
                        </pic:spPr>
                      </pic:pic>
                    </a:graphicData>
                  </a:graphic>
                </wp:anchor>
              </w:drawing>
            </w:r>
            <w:r>
              <w:rPr>
                <w:rFonts w:hint="eastAsia" w:ascii="新宋体" w:hAnsi="新宋体" w:eastAsia="新宋体" w:cs="新宋体"/>
                <w:b/>
                <w:bCs/>
                <w:i w:val="0"/>
                <w:iCs w:val="0"/>
                <w:color w:val="auto"/>
                <w:kern w:val="0"/>
                <w:sz w:val="21"/>
                <w:szCs w:val="21"/>
                <w:highlight w:val="none"/>
                <w:u w:val="single"/>
                <w:lang w:val="en-US" w:eastAsia="zh-CN" w:bidi="ar"/>
              </w:rPr>
              <w:t>65英寸交互智能一体机”</w:t>
            </w:r>
            <w:r>
              <w:rPr>
                <w:rFonts w:hint="eastAsia" w:ascii="宋体" w:hAnsi="宋体" w:cs="宋体"/>
                <w:color w:val="auto"/>
                <w:szCs w:val="21"/>
                <w:highlight w:val="none"/>
              </w:rPr>
              <w:t>（核心产品品牌相同的，视为提供同品牌产品）</w:t>
            </w:r>
          </w:p>
          <w:p w14:paraId="0FB942CF">
            <w:pPr>
              <w:keepNext w:val="0"/>
              <w:keepLines w:val="0"/>
              <w:pageBreakBefore w:val="0"/>
              <w:widowControl/>
              <w:kinsoku/>
              <w:wordWrap/>
              <w:overflowPunct/>
              <w:topLinePunct w:val="0"/>
              <w:autoSpaceDE/>
              <w:autoSpaceDN/>
              <w:bidi w:val="0"/>
              <w:adjustRightInd/>
              <w:snapToGrid/>
              <w:spacing w:line="312"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注：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评标方法及评定标准》中的推荐原则确定一个投标人获得中标人推荐资格，其他同品牌投标人不作为中标候选人。</w:t>
            </w:r>
          </w:p>
        </w:tc>
      </w:tr>
      <w:tr w14:paraId="29E70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8" w:type="pct"/>
            <w:gridSpan w:val="2"/>
            <w:shd w:val="clear" w:color="auto" w:fill="auto"/>
            <w:vAlign w:val="center"/>
          </w:tcPr>
          <w:p w14:paraId="5730FB7F">
            <w:pPr>
              <w:keepNext w:val="0"/>
              <w:keepLines w:val="0"/>
              <w:pageBreakBefore w:val="0"/>
              <w:kinsoku/>
              <w:wordWrap/>
              <w:overflowPunct/>
              <w:topLinePunct w:val="0"/>
              <w:autoSpaceDE/>
              <w:autoSpaceDN/>
              <w:bidi w:val="0"/>
              <w:adjustRightInd/>
              <w:snapToGrid/>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报价要求</w:t>
            </w:r>
          </w:p>
        </w:tc>
        <w:tc>
          <w:tcPr>
            <w:tcW w:w="3921" w:type="pct"/>
            <w:gridSpan w:val="3"/>
            <w:shd w:val="clear" w:color="auto" w:fill="auto"/>
            <w:vAlign w:val="center"/>
          </w:tcPr>
          <w:p w14:paraId="6DECDC12">
            <w:pPr>
              <w:keepNext w:val="0"/>
              <w:keepLines w:val="0"/>
              <w:pageBreakBefore w:val="0"/>
              <w:widowControl/>
              <w:kinsoku/>
              <w:wordWrap/>
              <w:overflowPunct/>
              <w:topLinePunct w:val="0"/>
              <w:autoSpaceDE/>
              <w:autoSpaceDN/>
              <w:bidi w:val="0"/>
              <w:adjustRightInd/>
              <w:snapToGrid/>
              <w:spacing w:line="312" w:lineRule="auto"/>
              <w:rPr>
                <w:rFonts w:ascii="宋体" w:hAnsi="宋体" w:cs="宋体"/>
                <w:color w:val="auto"/>
                <w:szCs w:val="21"/>
                <w:highlight w:val="none"/>
              </w:rPr>
            </w:pPr>
            <w:r>
              <w:rPr>
                <w:rFonts w:hint="eastAsia" w:ascii="宋体" w:hAnsi="宋体" w:cs="宋体"/>
                <w:color w:val="auto"/>
                <w:szCs w:val="21"/>
                <w:highlight w:val="none"/>
              </w:rPr>
              <w:t>投标报价为采购人指定地点的现场交货价，包括：</w:t>
            </w:r>
          </w:p>
          <w:p w14:paraId="70067AFE">
            <w:pPr>
              <w:keepNext w:val="0"/>
              <w:keepLines w:val="0"/>
              <w:pageBreakBefore w:val="0"/>
              <w:widowControl/>
              <w:kinsoku/>
              <w:wordWrap/>
              <w:overflowPunct/>
              <w:topLinePunct w:val="0"/>
              <w:autoSpaceDE/>
              <w:autoSpaceDN/>
              <w:bidi w:val="0"/>
              <w:adjustRightInd/>
              <w:snapToGrid/>
              <w:spacing w:line="312" w:lineRule="auto"/>
              <w:rPr>
                <w:rFonts w:ascii="宋体" w:hAnsi="宋体" w:cs="宋体"/>
                <w:color w:val="auto"/>
                <w:szCs w:val="21"/>
                <w:highlight w:val="none"/>
              </w:rPr>
            </w:pPr>
            <w:r>
              <w:rPr>
                <w:rFonts w:hint="eastAsia" w:ascii="宋体" w:hAnsi="宋体" w:cs="宋体"/>
                <w:color w:val="auto"/>
                <w:szCs w:val="21"/>
                <w:highlight w:val="none"/>
              </w:rPr>
              <w:t>（1）货物的价格：包括货款、杂配件、安装调试费、验收费；</w:t>
            </w:r>
          </w:p>
          <w:p w14:paraId="7F0C635C">
            <w:pPr>
              <w:keepNext w:val="0"/>
              <w:keepLines w:val="0"/>
              <w:pageBreakBefore w:val="0"/>
              <w:widowControl/>
              <w:kinsoku/>
              <w:wordWrap/>
              <w:overflowPunct/>
              <w:topLinePunct w:val="0"/>
              <w:autoSpaceDE/>
              <w:autoSpaceDN/>
              <w:bidi w:val="0"/>
              <w:adjustRightInd/>
              <w:snapToGrid/>
              <w:spacing w:line="312" w:lineRule="auto"/>
              <w:rPr>
                <w:rFonts w:ascii="宋体" w:hAnsi="宋体" w:cs="宋体"/>
                <w:color w:val="auto"/>
                <w:szCs w:val="21"/>
                <w:highlight w:val="none"/>
              </w:rPr>
            </w:pPr>
            <w:r>
              <w:rPr>
                <w:rFonts w:hint="eastAsia" w:ascii="宋体" w:hAnsi="宋体" w:cs="宋体"/>
                <w:color w:val="auto"/>
                <w:szCs w:val="21"/>
                <w:highlight w:val="none"/>
              </w:rPr>
              <w:t>（2）货物的标准附件、备品备件、专用工具的价格。</w:t>
            </w:r>
          </w:p>
          <w:p w14:paraId="17CBDB13">
            <w:pPr>
              <w:keepNext w:val="0"/>
              <w:keepLines w:val="0"/>
              <w:pageBreakBefore w:val="0"/>
              <w:widowControl/>
              <w:kinsoku/>
              <w:wordWrap/>
              <w:overflowPunct/>
              <w:topLinePunct w:val="0"/>
              <w:autoSpaceDE/>
              <w:autoSpaceDN/>
              <w:bidi w:val="0"/>
              <w:adjustRightInd/>
              <w:snapToGrid/>
              <w:spacing w:line="312" w:lineRule="auto"/>
              <w:rPr>
                <w:rFonts w:ascii="宋体" w:hAnsi="宋体" w:cs="宋体"/>
                <w:color w:val="auto"/>
                <w:szCs w:val="21"/>
                <w:highlight w:val="none"/>
              </w:rPr>
            </w:pPr>
            <w:r>
              <w:rPr>
                <w:rFonts w:hint="eastAsia" w:ascii="宋体" w:hAnsi="宋体" w:cs="宋体"/>
                <w:color w:val="auto"/>
                <w:szCs w:val="21"/>
                <w:highlight w:val="none"/>
              </w:rPr>
              <w:t>（3）运输、装卸、调试、培训、技术支持、售后服务费。</w:t>
            </w:r>
          </w:p>
          <w:p w14:paraId="33F10EC7">
            <w:pPr>
              <w:keepNext w:val="0"/>
              <w:keepLines w:val="0"/>
              <w:pageBreakBefore w:val="0"/>
              <w:widowControl/>
              <w:kinsoku/>
              <w:wordWrap/>
              <w:overflowPunct/>
              <w:topLinePunct w:val="0"/>
              <w:autoSpaceDE/>
              <w:autoSpaceDN/>
              <w:bidi w:val="0"/>
              <w:adjustRightInd/>
              <w:snapToGrid/>
              <w:spacing w:line="312" w:lineRule="auto"/>
              <w:rPr>
                <w:rFonts w:ascii="宋体" w:hAnsi="宋体" w:cs="宋体"/>
                <w:color w:val="auto"/>
                <w:szCs w:val="21"/>
                <w:highlight w:val="none"/>
              </w:rPr>
            </w:pPr>
            <w:r>
              <w:rPr>
                <w:rFonts w:hint="eastAsia" w:ascii="宋体" w:hAnsi="宋体" w:cs="宋体"/>
                <w:color w:val="auto"/>
                <w:szCs w:val="21"/>
                <w:highlight w:val="none"/>
              </w:rPr>
              <w:t>（4）采购代理服务费、保险费和各项税金。</w:t>
            </w:r>
          </w:p>
          <w:p w14:paraId="77A7ECC3">
            <w:pPr>
              <w:keepNext w:val="0"/>
              <w:keepLines w:val="0"/>
              <w:pageBreakBefore w:val="0"/>
              <w:kinsoku/>
              <w:wordWrap/>
              <w:overflowPunct/>
              <w:topLinePunct w:val="0"/>
              <w:autoSpaceDE/>
              <w:autoSpaceDN/>
              <w:bidi w:val="0"/>
              <w:adjustRightInd/>
              <w:snapToGrid/>
              <w:spacing w:line="312" w:lineRule="auto"/>
              <w:rPr>
                <w:rFonts w:ascii="宋体" w:hAnsi="宋体" w:cs="宋体"/>
                <w:color w:val="auto"/>
                <w:kern w:val="0"/>
                <w:szCs w:val="21"/>
                <w:highlight w:val="none"/>
              </w:rPr>
            </w:pPr>
            <w:r>
              <w:rPr>
                <w:rFonts w:hint="eastAsia" w:ascii="宋体" w:hAnsi="宋体" w:cs="宋体"/>
                <w:color w:val="auto"/>
                <w:szCs w:val="21"/>
                <w:highlight w:val="none"/>
              </w:rPr>
              <w:t>注：投标人自行考虑完成项目所需的辅材、杂配件等数量，投标报价中应包含全部内容，中标后采购人不再另行支付额外费用。</w:t>
            </w:r>
          </w:p>
        </w:tc>
      </w:tr>
      <w:tr w14:paraId="6F5D0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8" w:type="pct"/>
            <w:gridSpan w:val="2"/>
            <w:shd w:val="clear" w:color="auto" w:fill="auto"/>
            <w:vAlign w:val="center"/>
          </w:tcPr>
          <w:p w14:paraId="1C255D6E">
            <w:pPr>
              <w:keepNext w:val="0"/>
              <w:keepLines w:val="0"/>
              <w:pageBreakBefore w:val="0"/>
              <w:widowControl/>
              <w:kinsoku/>
              <w:wordWrap/>
              <w:overflowPunct/>
              <w:topLinePunct w:val="0"/>
              <w:autoSpaceDE/>
              <w:autoSpaceDN/>
              <w:bidi w:val="0"/>
              <w:adjustRightInd/>
              <w:snapToGrid/>
              <w:spacing w:line="312" w:lineRule="auto"/>
              <w:jc w:val="center"/>
              <w:rPr>
                <w:rFonts w:ascii="宋体" w:hAnsi="宋体" w:cs="宋体"/>
                <w:color w:val="auto"/>
                <w:kern w:val="0"/>
                <w:szCs w:val="21"/>
                <w:highlight w:val="none"/>
              </w:rPr>
            </w:pPr>
            <w:r>
              <w:rPr>
                <w:rFonts w:hint="eastAsia" w:ascii="宋体" w:hAnsi="宋体" w:cs="宋体"/>
                <w:color w:val="auto"/>
                <w:szCs w:val="21"/>
                <w:highlight w:val="none"/>
              </w:rPr>
              <w:t>质保期</w:t>
            </w:r>
          </w:p>
        </w:tc>
        <w:tc>
          <w:tcPr>
            <w:tcW w:w="3921" w:type="pct"/>
            <w:gridSpan w:val="3"/>
            <w:shd w:val="clear" w:color="auto" w:fill="auto"/>
            <w:vAlign w:val="center"/>
          </w:tcPr>
          <w:p w14:paraId="6B1CBB9D">
            <w:pPr>
              <w:keepNext w:val="0"/>
              <w:keepLines w:val="0"/>
              <w:pageBreakBefore w:val="0"/>
              <w:widowControl/>
              <w:kinsoku/>
              <w:wordWrap/>
              <w:overflowPunct/>
              <w:topLinePunct w:val="0"/>
              <w:autoSpaceDE/>
              <w:autoSpaceDN/>
              <w:bidi w:val="0"/>
              <w:adjustRightInd/>
              <w:snapToGrid/>
              <w:spacing w:line="312" w:lineRule="auto"/>
              <w:rPr>
                <w:rFonts w:ascii="宋体" w:hAnsi="宋体" w:cs="宋体"/>
                <w:color w:val="auto"/>
                <w:kern w:val="0"/>
                <w:szCs w:val="21"/>
                <w:highlight w:val="none"/>
              </w:rPr>
            </w:pPr>
            <w:r>
              <w:rPr>
                <w:rFonts w:hint="eastAsia" w:ascii="宋体" w:hAnsi="宋体" w:cs="宋体"/>
                <w:color w:val="auto"/>
                <w:szCs w:val="21"/>
                <w:highlight w:val="none"/>
              </w:rPr>
              <w:t>按国家有关产品“三包”规定执行“三包”，质保期不得少于2年。各产品分项中另有要求的，从其规定。</w:t>
            </w:r>
          </w:p>
        </w:tc>
      </w:tr>
      <w:tr w14:paraId="5AC6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5"/>
            <w:shd w:val="clear" w:color="auto" w:fill="auto"/>
            <w:vAlign w:val="center"/>
          </w:tcPr>
          <w:p w14:paraId="13951624">
            <w:pPr>
              <w:keepNext w:val="0"/>
              <w:keepLines w:val="0"/>
              <w:pageBreakBefore w:val="0"/>
              <w:kinsoku/>
              <w:wordWrap/>
              <w:overflowPunct/>
              <w:topLinePunct w:val="0"/>
              <w:autoSpaceDE/>
              <w:autoSpaceDN/>
              <w:bidi w:val="0"/>
              <w:adjustRightInd/>
              <w:snapToGrid/>
              <w:spacing w:line="312" w:lineRule="auto"/>
              <w:jc w:val="left"/>
              <w:rPr>
                <w:rFonts w:ascii="宋体" w:hAnsi="宋体" w:cs="宋体"/>
                <w:color w:val="auto"/>
                <w:szCs w:val="21"/>
                <w:highlight w:val="none"/>
              </w:rPr>
            </w:pPr>
            <w:r>
              <w:rPr>
                <w:rFonts w:hint="eastAsia" w:ascii="宋体" w:hAnsi="宋体"/>
                <w:b/>
                <w:bCs/>
                <w:color w:val="auto"/>
                <w:szCs w:val="21"/>
                <w:highlight w:val="none"/>
              </w:rPr>
              <w:t>二、与实现项目目标相关的其他要求</w:t>
            </w:r>
          </w:p>
        </w:tc>
      </w:tr>
      <w:tr w14:paraId="4FD1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5"/>
            <w:shd w:val="clear" w:color="auto" w:fill="auto"/>
            <w:vAlign w:val="center"/>
          </w:tcPr>
          <w:p w14:paraId="69E68E9B">
            <w:pPr>
              <w:keepNext w:val="0"/>
              <w:keepLines w:val="0"/>
              <w:pageBreakBefore w:val="0"/>
              <w:kinsoku/>
              <w:wordWrap/>
              <w:overflowPunct/>
              <w:topLinePunct w:val="0"/>
              <w:autoSpaceDE/>
              <w:autoSpaceDN/>
              <w:bidi w:val="0"/>
              <w:adjustRightInd/>
              <w:snapToGrid/>
              <w:spacing w:line="312" w:lineRule="auto"/>
              <w:jc w:val="left"/>
              <w:rPr>
                <w:rFonts w:ascii="宋体" w:hAnsi="宋体" w:cs="宋体"/>
                <w:color w:val="auto"/>
                <w:szCs w:val="21"/>
                <w:highlight w:val="none"/>
              </w:rPr>
            </w:pPr>
            <w:r>
              <w:rPr>
                <w:rFonts w:hint="eastAsia" w:ascii="宋体" w:hAnsi="宋体"/>
                <w:b/>
                <w:color w:val="auto"/>
                <w:szCs w:val="21"/>
                <w:highlight w:val="none"/>
              </w:rPr>
              <w:t>（一）投标人的履约能力要求</w:t>
            </w:r>
          </w:p>
        </w:tc>
      </w:tr>
      <w:tr w14:paraId="3B02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8" w:type="pct"/>
            <w:gridSpan w:val="2"/>
            <w:shd w:val="clear" w:color="auto" w:fill="auto"/>
            <w:vAlign w:val="center"/>
          </w:tcPr>
          <w:p w14:paraId="3B350EB5">
            <w:pPr>
              <w:keepNext w:val="0"/>
              <w:keepLines w:val="0"/>
              <w:pageBreakBefore w:val="0"/>
              <w:kinsoku/>
              <w:wordWrap/>
              <w:overflowPunct/>
              <w:topLinePunct w:val="0"/>
              <w:autoSpaceDE/>
              <w:autoSpaceDN/>
              <w:bidi w:val="0"/>
              <w:adjustRightInd/>
              <w:snapToGrid/>
              <w:spacing w:line="312" w:lineRule="auto"/>
              <w:jc w:val="left"/>
              <w:rPr>
                <w:rFonts w:ascii="宋体" w:hAnsi="宋体" w:cs="宋体"/>
                <w:color w:val="auto"/>
                <w:kern w:val="0"/>
                <w:szCs w:val="21"/>
                <w:highlight w:val="none"/>
                <w:lang w:bidi="ar"/>
              </w:rPr>
            </w:pPr>
            <w:r>
              <w:rPr>
                <w:rFonts w:hint="eastAsia" w:ascii="宋体" w:hAnsi="宋体"/>
                <w:b/>
                <w:i/>
                <w:color w:val="auto"/>
                <w:szCs w:val="21"/>
                <w:highlight w:val="none"/>
              </w:rPr>
              <w:t>/</w:t>
            </w:r>
          </w:p>
        </w:tc>
        <w:tc>
          <w:tcPr>
            <w:tcW w:w="3921" w:type="pct"/>
            <w:gridSpan w:val="3"/>
            <w:shd w:val="clear" w:color="auto" w:fill="auto"/>
            <w:vAlign w:val="center"/>
          </w:tcPr>
          <w:p w14:paraId="5CAD1E23">
            <w:pPr>
              <w:keepNext w:val="0"/>
              <w:keepLines w:val="0"/>
              <w:pageBreakBefore w:val="0"/>
              <w:kinsoku/>
              <w:wordWrap/>
              <w:overflowPunct/>
              <w:topLinePunct w:val="0"/>
              <w:autoSpaceDE/>
              <w:autoSpaceDN/>
              <w:bidi w:val="0"/>
              <w:adjustRightInd/>
              <w:snapToGrid/>
              <w:spacing w:line="312" w:lineRule="auto"/>
              <w:jc w:val="left"/>
              <w:rPr>
                <w:rFonts w:ascii="宋体" w:hAnsi="宋体" w:cs="宋体"/>
                <w:color w:val="auto"/>
                <w:szCs w:val="21"/>
                <w:highlight w:val="none"/>
              </w:rPr>
            </w:pPr>
            <w:r>
              <w:rPr>
                <w:rFonts w:hint="eastAsia" w:ascii="宋体" w:hAnsi="宋体"/>
                <w:b/>
                <w:i/>
                <w:color w:val="auto"/>
                <w:szCs w:val="21"/>
                <w:highlight w:val="none"/>
              </w:rPr>
              <w:t>/</w:t>
            </w:r>
          </w:p>
        </w:tc>
      </w:tr>
      <w:tr w14:paraId="6F14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5"/>
            <w:shd w:val="clear" w:color="auto" w:fill="auto"/>
            <w:vAlign w:val="center"/>
          </w:tcPr>
          <w:p w14:paraId="4A8FA7C0">
            <w:pPr>
              <w:keepNext w:val="0"/>
              <w:keepLines w:val="0"/>
              <w:pageBreakBefore w:val="0"/>
              <w:kinsoku/>
              <w:wordWrap/>
              <w:overflowPunct/>
              <w:topLinePunct w:val="0"/>
              <w:autoSpaceDE/>
              <w:autoSpaceDN/>
              <w:bidi w:val="0"/>
              <w:adjustRightInd/>
              <w:snapToGrid/>
              <w:spacing w:line="312" w:lineRule="auto"/>
              <w:jc w:val="left"/>
              <w:rPr>
                <w:rFonts w:ascii="宋体" w:hAnsi="宋体" w:cs="宋体"/>
                <w:color w:val="auto"/>
                <w:szCs w:val="21"/>
                <w:highlight w:val="none"/>
              </w:rPr>
            </w:pPr>
            <w:r>
              <w:rPr>
                <w:rFonts w:hint="eastAsia" w:ascii="宋体" w:hAnsi="宋体"/>
                <w:b/>
                <w:color w:val="auto"/>
                <w:szCs w:val="21"/>
                <w:highlight w:val="none"/>
              </w:rPr>
              <w:t>（二）政策性加分条件</w:t>
            </w:r>
          </w:p>
        </w:tc>
      </w:tr>
      <w:tr w14:paraId="0CF9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5"/>
            <w:shd w:val="clear" w:color="auto" w:fill="auto"/>
            <w:vAlign w:val="center"/>
          </w:tcPr>
          <w:p w14:paraId="6F147D53">
            <w:pPr>
              <w:keepNext w:val="0"/>
              <w:keepLines w:val="0"/>
              <w:pageBreakBefore w:val="0"/>
              <w:kinsoku/>
              <w:wordWrap/>
              <w:overflowPunct/>
              <w:topLinePunct w:val="0"/>
              <w:autoSpaceDE/>
              <w:autoSpaceDN/>
              <w:bidi w:val="0"/>
              <w:adjustRightInd/>
              <w:snapToGrid/>
              <w:spacing w:line="312" w:lineRule="auto"/>
              <w:jc w:val="left"/>
              <w:rPr>
                <w:rFonts w:ascii="宋体" w:hAnsi="宋体" w:cs="宋体"/>
                <w:color w:val="auto"/>
                <w:szCs w:val="21"/>
                <w:highlight w:val="none"/>
              </w:rPr>
            </w:pPr>
            <w:r>
              <w:rPr>
                <w:rFonts w:hint="eastAsia" w:ascii="宋体" w:hAnsi="宋体" w:cs="宋体"/>
                <w:color w:val="auto"/>
                <w:szCs w:val="21"/>
                <w:highlight w:val="none"/>
              </w:rPr>
              <w:t>符合节能环保等国家政策要求</w:t>
            </w:r>
          </w:p>
        </w:tc>
      </w:tr>
      <w:tr w14:paraId="705E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5"/>
            <w:shd w:val="clear" w:color="auto" w:fill="auto"/>
            <w:vAlign w:val="center"/>
          </w:tcPr>
          <w:p w14:paraId="08E57D28">
            <w:pPr>
              <w:keepNext w:val="0"/>
              <w:keepLines w:val="0"/>
              <w:pageBreakBefore w:val="0"/>
              <w:kinsoku/>
              <w:wordWrap/>
              <w:overflowPunct/>
              <w:topLinePunct w:val="0"/>
              <w:autoSpaceDE/>
              <w:autoSpaceDN/>
              <w:bidi w:val="0"/>
              <w:adjustRightInd/>
              <w:snapToGrid/>
              <w:spacing w:line="312" w:lineRule="auto"/>
              <w:jc w:val="left"/>
              <w:rPr>
                <w:rFonts w:ascii="宋体" w:hAnsi="宋体" w:cs="宋体"/>
                <w:color w:val="auto"/>
                <w:szCs w:val="21"/>
                <w:highlight w:val="none"/>
              </w:rPr>
            </w:pPr>
            <w:r>
              <w:rPr>
                <w:rFonts w:hint="eastAsia" w:ascii="宋体" w:hAnsi="宋体"/>
                <w:b/>
                <w:color w:val="auto"/>
                <w:szCs w:val="21"/>
                <w:highlight w:val="none"/>
              </w:rPr>
              <w:t>（三）验收标准</w:t>
            </w:r>
          </w:p>
        </w:tc>
      </w:tr>
      <w:tr w14:paraId="3D24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5000" w:type="pct"/>
            <w:gridSpan w:val="5"/>
            <w:shd w:val="clear" w:color="auto" w:fill="auto"/>
            <w:vAlign w:val="center"/>
          </w:tcPr>
          <w:p w14:paraId="0A98323E">
            <w:pPr>
              <w:keepNext w:val="0"/>
              <w:keepLines w:val="0"/>
              <w:pageBreakBefore w:val="0"/>
              <w:widowControl/>
              <w:kinsoku/>
              <w:wordWrap/>
              <w:overflowPunct/>
              <w:topLinePunct w:val="0"/>
              <w:autoSpaceDE/>
              <w:autoSpaceDN/>
              <w:bidi w:val="0"/>
              <w:adjustRightInd/>
              <w:snapToGrid/>
              <w:spacing w:line="240" w:lineRule="auto"/>
              <w:jc w:val="left"/>
              <w:rPr>
                <w:rFonts w:ascii="宋体" w:hAnsi="宋体" w:cs="宋体"/>
                <w:color w:val="auto"/>
                <w:szCs w:val="21"/>
                <w:highlight w:val="none"/>
              </w:rPr>
            </w:pPr>
            <w:r>
              <w:rPr>
                <w:rFonts w:hint="eastAsia" w:ascii="宋体" w:hAnsi="宋体" w:cs="宋体"/>
                <w:color w:val="auto"/>
                <w:szCs w:val="21"/>
                <w:highlight w:val="none"/>
              </w:rPr>
              <w:t>1、验收标准：符合现行国家相关标准、行业标准、地方标准或者其他标准、规范。</w:t>
            </w:r>
          </w:p>
          <w:p w14:paraId="41FC165A">
            <w:pPr>
              <w:keepNext w:val="0"/>
              <w:keepLines w:val="0"/>
              <w:pageBreakBefore w:val="0"/>
              <w:widowControl/>
              <w:kinsoku/>
              <w:wordWrap/>
              <w:overflowPunct/>
              <w:topLinePunct w:val="0"/>
              <w:autoSpaceDE/>
              <w:autoSpaceDN/>
              <w:bidi w:val="0"/>
              <w:adjustRightInd/>
              <w:snapToGrid/>
              <w:spacing w:line="240" w:lineRule="auto"/>
              <w:jc w:val="left"/>
              <w:rPr>
                <w:rFonts w:ascii="宋体" w:hAnsi="宋体" w:cs="宋体"/>
                <w:color w:val="auto"/>
                <w:szCs w:val="21"/>
                <w:highlight w:val="none"/>
              </w:rPr>
            </w:pPr>
            <w:r>
              <w:rPr>
                <w:rFonts w:hint="eastAsia" w:ascii="宋体" w:hAnsi="宋体" w:cs="宋体"/>
                <w:color w:val="auto"/>
                <w:szCs w:val="21"/>
                <w:highlight w:val="none"/>
              </w:rPr>
              <w:t>2、采购人对中标</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提交的货物依据招标文件上的技术规格要求和国家有关质量标准进行现场初步验收，外观、说明书符合招标文件技术要求的，给予签收，初步验收不合格的不予签收。货到后，甲方应当在到货（安装、调试完）后七个工作日内进行验收。</w:t>
            </w:r>
          </w:p>
          <w:p w14:paraId="6A0E16A5">
            <w:pPr>
              <w:keepNext w:val="0"/>
              <w:keepLines w:val="0"/>
              <w:pageBreakBefore w:val="0"/>
              <w:widowControl/>
              <w:kinsoku/>
              <w:wordWrap/>
              <w:overflowPunct/>
              <w:topLinePunct w:val="0"/>
              <w:autoSpaceDE/>
              <w:autoSpaceDN/>
              <w:bidi w:val="0"/>
              <w:adjustRightInd/>
              <w:snapToGrid/>
              <w:spacing w:line="240" w:lineRule="auto"/>
              <w:jc w:val="left"/>
              <w:rPr>
                <w:rFonts w:ascii="宋体" w:hAnsi="宋体" w:cs="宋体"/>
                <w:color w:val="auto"/>
                <w:szCs w:val="21"/>
                <w:highlight w:val="none"/>
              </w:rPr>
            </w:pPr>
            <w:r>
              <w:rPr>
                <w:rFonts w:hint="eastAsia" w:ascii="宋体" w:hAnsi="宋体" w:cs="宋体"/>
                <w:color w:val="auto"/>
                <w:szCs w:val="21"/>
                <w:highlight w:val="none"/>
              </w:rPr>
              <w:t>3、中标</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交货前应对产品作出全面检查和对验收文件进行整理，并列出清单，作为采购人收货验收和使用的技术条件依据，检验的结果应随货物交采购人。</w:t>
            </w:r>
          </w:p>
          <w:p w14:paraId="57EE2DAC">
            <w:pPr>
              <w:keepNext w:val="0"/>
              <w:keepLines w:val="0"/>
              <w:pageBreakBefore w:val="0"/>
              <w:widowControl/>
              <w:kinsoku/>
              <w:wordWrap/>
              <w:overflowPunct/>
              <w:topLinePunct w:val="0"/>
              <w:autoSpaceDE/>
              <w:autoSpaceDN/>
              <w:bidi w:val="0"/>
              <w:adjustRightInd/>
              <w:snapToGrid/>
              <w:spacing w:line="240" w:lineRule="auto"/>
              <w:jc w:val="left"/>
              <w:rPr>
                <w:rFonts w:ascii="宋体" w:hAnsi="宋体" w:cs="宋体"/>
                <w:color w:val="auto"/>
                <w:szCs w:val="21"/>
                <w:highlight w:val="none"/>
              </w:rPr>
            </w:pPr>
            <w:r>
              <w:rPr>
                <w:rFonts w:hint="eastAsia" w:ascii="宋体" w:hAnsi="宋体" w:cs="宋体"/>
                <w:color w:val="auto"/>
                <w:szCs w:val="21"/>
                <w:highlight w:val="none"/>
              </w:rPr>
              <w:t>4、采购人对中标</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提供的货物在使用前进行调试时，中标</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需负责安装并培训采购人的使用操作人员，并协助甲方一起调试，直到符合技术要求，甲方才做最终验收。</w:t>
            </w:r>
          </w:p>
          <w:p w14:paraId="7D116604">
            <w:pPr>
              <w:keepNext w:val="0"/>
              <w:keepLines w:val="0"/>
              <w:pageBreakBefore w:val="0"/>
              <w:widowControl/>
              <w:kinsoku/>
              <w:wordWrap/>
              <w:overflowPunct/>
              <w:topLinePunct w:val="0"/>
              <w:autoSpaceDE/>
              <w:autoSpaceDN/>
              <w:bidi w:val="0"/>
              <w:adjustRightInd/>
              <w:snapToGrid/>
              <w:spacing w:line="240" w:lineRule="auto"/>
              <w:jc w:val="left"/>
              <w:rPr>
                <w:rFonts w:ascii="宋体" w:hAnsi="宋体" w:cs="宋体"/>
                <w:color w:val="auto"/>
                <w:szCs w:val="21"/>
                <w:highlight w:val="none"/>
              </w:rPr>
            </w:pPr>
            <w:r>
              <w:rPr>
                <w:rFonts w:hint="eastAsia" w:ascii="宋体" w:hAnsi="宋体" w:cs="宋体"/>
                <w:color w:val="auto"/>
                <w:szCs w:val="21"/>
                <w:highlight w:val="none"/>
              </w:rPr>
              <w:t>5、对技术复杂的货物，采购人应请国家认可的专业检测机构参与初步验收及最终验收，并由其出具质量检测报告。</w:t>
            </w:r>
          </w:p>
          <w:p w14:paraId="435A72F7">
            <w:pPr>
              <w:keepNext w:val="0"/>
              <w:keepLines w:val="0"/>
              <w:pageBreakBefore w:val="0"/>
              <w:widowControl/>
              <w:kinsoku/>
              <w:wordWrap/>
              <w:overflowPunct/>
              <w:topLinePunct w:val="0"/>
              <w:autoSpaceDE/>
              <w:autoSpaceDN/>
              <w:bidi w:val="0"/>
              <w:adjustRightInd/>
              <w:snapToGrid/>
              <w:spacing w:line="240" w:lineRule="auto"/>
              <w:jc w:val="left"/>
              <w:rPr>
                <w:rFonts w:ascii="宋体" w:hAnsi="宋体" w:cs="宋体"/>
                <w:color w:val="auto"/>
                <w:szCs w:val="21"/>
                <w:highlight w:val="none"/>
              </w:rPr>
            </w:pPr>
            <w:r>
              <w:rPr>
                <w:rFonts w:hint="eastAsia" w:ascii="宋体" w:hAnsi="宋体" w:cs="宋体"/>
                <w:color w:val="auto"/>
                <w:szCs w:val="21"/>
                <w:highlight w:val="none"/>
              </w:rPr>
              <w:t>6、验收时中标</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必须在现场，验收完毕后</w:t>
            </w:r>
            <w:r>
              <w:rPr>
                <w:rFonts w:hint="eastAsia" w:ascii="宋体" w:hAnsi="宋体" w:cs="宋体"/>
                <w:color w:val="auto"/>
                <w:szCs w:val="21"/>
                <w:highlight w:val="none"/>
                <w:lang w:val="en-US" w:eastAsia="zh-CN"/>
              </w:rPr>
              <w:t>做</w:t>
            </w:r>
            <w:r>
              <w:rPr>
                <w:rFonts w:hint="eastAsia" w:ascii="宋体" w:hAnsi="宋体" w:cs="宋体"/>
                <w:color w:val="auto"/>
                <w:szCs w:val="21"/>
                <w:highlight w:val="none"/>
              </w:rPr>
              <w:t>出验收结果报告；验收费用由中标</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负责，投标人在报价时自行考虑相关成本。</w:t>
            </w:r>
          </w:p>
        </w:tc>
      </w:tr>
      <w:tr w14:paraId="46AE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5"/>
            <w:shd w:val="clear" w:color="auto" w:fill="auto"/>
            <w:vAlign w:val="center"/>
          </w:tcPr>
          <w:p w14:paraId="1A241A39">
            <w:pPr>
              <w:keepNext w:val="0"/>
              <w:keepLines w:val="0"/>
              <w:pageBreakBefore w:val="0"/>
              <w:kinsoku/>
              <w:wordWrap/>
              <w:overflowPunct/>
              <w:topLinePunct w:val="0"/>
              <w:autoSpaceDE/>
              <w:autoSpaceDN/>
              <w:bidi w:val="0"/>
              <w:adjustRightInd/>
              <w:snapToGrid/>
              <w:spacing w:line="312" w:lineRule="auto"/>
              <w:jc w:val="left"/>
              <w:rPr>
                <w:rFonts w:ascii="宋体" w:hAnsi="宋体" w:cs="宋体"/>
                <w:color w:val="auto"/>
                <w:szCs w:val="21"/>
                <w:highlight w:val="none"/>
              </w:rPr>
            </w:pPr>
            <w:r>
              <w:rPr>
                <w:rFonts w:hint="eastAsia" w:ascii="宋体" w:hAnsi="宋体"/>
                <w:b/>
                <w:color w:val="auto"/>
                <w:szCs w:val="21"/>
                <w:highlight w:val="none"/>
              </w:rPr>
              <w:t>（四）进口产品说明</w:t>
            </w:r>
          </w:p>
        </w:tc>
      </w:tr>
      <w:tr w14:paraId="07916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078" w:type="pct"/>
            <w:gridSpan w:val="2"/>
            <w:shd w:val="clear" w:color="auto" w:fill="auto"/>
            <w:vAlign w:val="center"/>
          </w:tcPr>
          <w:p w14:paraId="1BF92978">
            <w:pPr>
              <w:keepNext w:val="0"/>
              <w:keepLines w:val="0"/>
              <w:pageBreakBefore w:val="0"/>
              <w:kinsoku/>
              <w:wordWrap/>
              <w:overflowPunct/>
              <w:topLinePunct w:val="0"/>
              <w:autoSpaceDE/>
              <w:autoSpaceDN/>
              <w:bidi w:val="0"/>
              <w:adjustRightInd/>
              <w:snapToGrid/>
              <w:spacing w:line="312" w:lineRule="auto"/>
              <w:rPr>
                <w:rFonts w:ascii="宋体" w:hAnsi="宋体"/>
                <w:b/>
                <w:color w:val="auto"/>
                <w:szCs w:val="21"/>
                <w:highlight w:val="none"/>
              </w:rPr>
            </w:pPr>
            <w:r>
              <w:rPr>
                <w:rFonts w:hint="eastAsia" w:ascii="宋体" w:hAnsi="宋体"/>
                <w:color w:val="auto"/>
                <w:szCs w:val="21"/>
                <w:highlight w:val="none"/>
              </w:rPr>
              <w:t>进口产品说明</w:t>
            </w:r>
          </w:p>
        </w:tc>
        <w:tc>
          <w:tcPr>
            <w:tcW w:w="3921" w:type="pct"/>
            <w:gridSpan w:val="3"/>
            <w:shd w:val="clear" w:color="auto" w:fill="auto"/>
          </w:tcPr>
          <w:p w14:paraId="5127F9FE">
            <w:pPr>
              <w:keepNext w:val="0"/>
              <w:keepLines w:val="0"/>
              <w:pageBreakBefore w:val="0"/>
              <w:kinsoku/>
              <w:wordWrap/>
              <w:overflowPunct/>
              <w:topLinePunct w:val="0"/>
              <w:autoSpaceDE/>
              <w:autoSpaceDN/>
              <w:bidi w:val="0"/>
              <w:adjustRightInd/>
              <w:snapToGrid/>
              <w:spacing w:line="312" w:lineRule="auto"/>
              <w:rPr>
                <w:rFonts w:ascii="宋体" w:hAnsi="宋体" w:cs="宋体"/>
                <w:color w:val="auto"/>
                <w:szCs w:val="21"/>
                <w:highlight w:val="none"/>
              </w:rPr>
            </w:pPr>
            <w:r>
              <w:rPr>
                <w:rFonts w:hint="eastAsia" w:ascii="宋体" w:hAnsi="宋体"/>
                <w:color w:val="auto"/>
                <w:szCs w:val="21"/>
                <w:highlight w:val="none"/>
              </w:rPr>
              <w:t>本项目货物不接受进口产品（即通过中国海关报关验放进入中国境内且产自关境外的产品）参与投标，</w:t>
            </w:r>
            <w:r>
              <w:rPr>
                <w:rFonts w:hint="eastAsia" w:ascii="宋体" w:hAnsi="宋体"/>
                <w:b/>
                <w:color w:val="auto"/>
                <w:szCs w:val="21"/>
                <w:highlight w:val="none"/>
              </w:rPr>
              <w:t>如有进口产品参与投标的作无效</w:t>
            </w:r>
            <w:r>
              <w:rPr>
                <w:rFonts w:hint="eastAsia" w:ascii="宋体" w:hAnsi="宋体"/>
                <w:b/>
                <w:color w:val="auto"/>
                <w:szCs w:val="21"/>
                <w:highlight w:val="none"/>
                <w:lang w:val="en-US" w:eastAsia="zh-CN"/>
              </w:rPr>
              <w:t>投</w:t>
            </w:r>
            <w:r>
              <w:rPr>
                <w:rFonts w:hint="eastAsia" w:ascii="宋体" w:hAnsi="宋体"/>
                <w:b/>
                <w:color w:val="auto"/>
                <w:szCs w:val="21"/>
                <w:highlight w:val="none"/>
              </w:rPr>
              <w:t>标处理</w:t>
            </w:r>
            <w:r>
              <w:rPr>
                <w:rFonts w:hint="eastAsia" w:ascii="宋体" w:hAnsi="宋体"/>
                <w:color w:val="auto"/>
                <w:szCs w:val="21"/>
                <w:highlight w:val="none"/>
              </w:rPr>
              <w:t>。</w:t>
            </w:r>
          </w:p>
        </w:tc>
      </w:tr>
      <w:tr w14:paraId="7F6B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5"/>
            <w:shd w:val="clear" w:color="auto" w:fill="auto"/>
            <w:vAlign w:val="center"/>
          </w:tcPr>
          <w:p w14:paraId="3433F443">
            <w:pPr>
              <w:keepNext w:val="0"/>
              <w:keepLines w:val="0"/>
              <w:pageBreakBefore w:val="0"/>
              <w:kinsoku/>
              <w:wordWrap/>
              <w:overflowPunct/>
              <w:topLinePunct w:val="0"/>
              <w:autoSpaceDE/>
              <w:autoSpaceDN/>
              <w:bidi w:val="0"/>
              <w:adjustRightInd/>
              <w:snapToGrid/>
              <w:spacing w:line="312" w:lineRule="auto"/>
              <w:rPr>
                <w:rFonts w:ascii="宋体" w:hAnsi="宋体"/>
                <w:color w:val="auto"/>
                <w:szCs w:val="21"/>
                <w:highlight w:val="none"/>
              </w:rPr>
            </w:pPr>
            <w:r>
              <w:rPr>
                <w:rFonts w:hint="eastAsia" w:ascii="宋体" w:hAnsi="宋体"/>
                <w:b/>
                <w:color w:val="auto"/>
                <w:szCs w:val="21"/>
                <w:highlight w:val="none"/>
              </w:rPr>
              <w:t>（五）其他要求</w:t>
            </w:r>
          </w:p>
        </w:tc>
      </w:tr>
      <w:tr w14:paraId="429D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5"/>
            <w:shd w:val="clear" w:color="auto" w:fill="auto"/>
            <w:vAlign w:val="center"/>
          </w:tcPr>
          <w:p w14:paraId="365489E6">
            <w:pPr>
              <w:keepNext w:val="0"/>
              <w:keepLines w:val="0"/>
              <w:pageBreakBefore w:val="0"/>
              <w:kinsoku/>
              <w:wordWrap/>
              <w:overflowPunct/>
              <w:topLinePunct w:val="0"/>
              <w:autoSpaceDE/>
              <w:autoSpaceDN/>
              <w:bidi w:val="0"/>
              <w:adjustRightInd/>
              <w:snapToGrid/>
              <w:spacing w:line="312" w:lineRule="auto"/>
              <w:rPr>
                <w:rFonts w:ascii="宋体" w:hAnsi="宋体"/>
                <w:color w:val="auto"/>
                <w:szCs w:val="21"/>
                <w:highlight w:val="none"/>
              </w:rPr>
            </w:pPr>
            <w:r>
              <w:rPr>
                <w:rFonts w:hint="eastAsia" w:ascii="宋体" w:hAnsi="宋体"/>
                <w:bCs/>
                <w:color w:val="auto"/>
                <w:szCs w:val="21"/>
                <w:highlight w:val="none"/>
              </w:rPr>
              <w:t>1.本项目所涉及所有设备、器材的安装，安装期间的安全责任均由项目所属中标</w:t>
            </w:r>
            <w:r>
              <w:rPr>
                <w:rFonts w:hint="eastAsia" w:ascii="宋体" w:hAnsi="宋体"/>
                <w:bCs/>
                <w:color w:val="auto"/>
                <w:szCs w:val="21"/>
                <w:highlight w:val="none"/>
                <w:lang w:val="en-US" w:eastAsia="zh-CN"/>
              </w:rPr>
              <w:t>供应商</w:t>
            </w:r>
            <w:r>
              <w:rPr>
                <w:rFonts w:hint="eastAsia" w:ascii="宋体" w:hAnsi="宋体"/>
                <w:bCs/>
                <w:color w:val="auto"/>
                <w:szCs w:val="21"/>
                <w:highlight w:val="none"/>
              </w:rPr>
              <w:t>负责，中标</w:t>
            </w:r>
            <w:r>
              <w:rPr>
                <w:rFonts w:hint="eastAsia" w:ascii="宋体" w:hAnsi="宋体"/>
                <w:bCs/>
                <w:color w:val="auto"/>
                <w:szCs w:val="21"/>
                <w:highlight w:val="none"/>
                <w:lang w:val="en-US" w:eastAsia="zh-CN"/>
              </w:rPr>
              <w:t>供应商</w:t>
            </w:r>
            <w:r>
              <w:rPr>
                <w:rFonts w:hint="eastAsia" w:ascii="宋体" w:hAnsi="宋体"/>
                <w:bCs/>
                <w:color w:val="auto"/>
                <w:szCs w:val="21"/>
                <w:highlight w:val="none"/>
              </w:rPr>
              <w:t>应当自行负责校园内设备安装时的一切安全问题。</w:t>
            </w:r>
          </w:p>
        </w:tc>
      </w:tr>
    </w:tbl>
    <w:p w14:paraId="425DD1FF">
      <w:pPr>
        <w:keepNext w:val="0"/>
        <w:keepLines w:val="0"/>
        <w:pageBreakBefore w:val="0"/>
        <w:kinsoku/>
        <w:wordWrap/>
        <w:overflowPunct/>
        <w:topLinePunct w:val="0"/>
        <w:autoSpaceDE/>
        <w:autoSpaceDN/>
        <w:bidi w:val="0"/>
        <w:adjustRightInd/>
        <w:snapToGrid/>
        <w:spacing w:line="312" w:lineRule="auto"/>
        <w:rPr>
          <w:rFonts w:ascii="宋体" w:hAnsi="宋体"/>
          <w:color w:val="auto"/>
          <w:szCs w:val="21"/>
          <w:highlight w:val="none"/>
        </w:rPr>
      </w:pPr>
    </w:p>
    <w:p w14:paraId="60B20E77">
      <w:pPr>
        <w:rPr>
          <w:rFonts w:hint="eastAsia" w:ascii="微软雅黑" w:hAnsi="微软雅黑" w:eastAsia="微软雅黑" w:cs="微软雅黑"/>
          <w:sz w:val="32"/>
          <w:szCs w:val="32"/>
        </w:rPr>
      </w:pPr>
    </w:p>
    <w:p w14:paraId="14A923DD">
      <w:pPr>
        <w:rPr>
          <w:rFonts w:hint="eastAsia" w:ascii="微软雅黑" w:hAnsi="微软雅黑" w:eastAsia="微软雅黑" w:cs="微软雅黑"/>
          <w:sz w:val="32"/>
          <w:szCs w:val="32"/>
        </w:rPr>
      </w:pPr>
    </w:p>
    <w:p w14:paraId="22725CCC">
      <w:pPr>
        <w:rPr>
          <w:rFonts w:ascii="Arial Unicode MS" w:hAnsi="Arial Unicode MS" w:eastAsia="Arial Unicode MS" w:cs="Arial Unicode MS"/>
          <w:sz w:val="17"/>
          <w:szCs w:val="17"/>
        </w:rPr>
      </w:pPr>
      <w:r>
        <w:rPr>
          <w:rFonts w:hint="eastAsia" w:ascii="微软雅黑" w:hAnsi="微软雅黑" w:eastAsia="微软雅黑" w:cs="微软雅黑"/>
          <w:sz w:val="32"/>
          <w:szCs w:val="32"/>
        </w:rPr>
        <w:t>附件</w:t>
      </w:r>
      <w:r>
        <w:rPr>
          <w:rFonts w:ascii="Arial Unicode MS" w:hAnsi="Arial Unicode MS" w:eastAsia="Arial Unicode MS" w:cs="Arial Unicode MS"/>
          <w:sz w:val="32"/>
          <w:szCs w:val="32"/>
        </w:rPr>
        <w:t>1</w:t>
      </w:r>
      <w:r>
        <w:rPr>
          <w:rFonts w:hint="eastAsia" w:ascii="微软雅黑" w:hAnsi="微软雅黑" w:eastAsia="微软雅黑" w:cs="微软雅黑"/>
          <w:sz w:val="32"/>
          <w:szCs w:val="32"/>
        </w:rPr>
        <w:t>：</w:t>
      </w:r>
    </w:p>
    <w:p w14:paraId="516A68C8">
      <w:pPr>
        <w:spacing w:line="528" w:lineRule="exact"/>
        <w:ind w:left="1871" w:firstLine="800" w:firstLineChars="200"/>
        <w:rPr>
          <w:rFonts w:ascii="Arial Unicode MS" w:hAnsi="Arial Unicode MS" w:eastAsia="Arial Unicode MS" w:cs="Arial Unicode MS"/>
          <w:sz w:val="40"/>
          <w:szCs w:val="40"/>
        </w:rPr>
      </w:pPr>
      <w:r>
        <w:rPr>
          <w:rFonts w:hint="eastAsia" w:ascii="微软雅黑" w:hAnsi="微软雅黑" w:eastAsia="微软雅黑" w:cs="微软雅黑"/>
          <w:sz w:val="40"/>
          <w:szCs w:val="40"/>
        </w:rPr>
        <w:t>节能产品政府采购品目清单</w:t>
      </w:r>
    </w:p>
    <w:tbl>
      <w:tblPr>
        <w:tblStyle w:val="26"/>
        <w:tblW w:w="9592" w:type="dxa"/>
        <w:tblInd w:w="93" w:type="dxa"/>
        <w:tblLayout w:type="autofit"/>
        <w:tblCellMar>
          <w:top w:w="0" w:type="dxa"/>
          <w:left w:w="108" w:type="dxa"/>
          <w:bottom w:w="0" w:type="dxa"/>
          <w:right w:w="108" w:type="dxa"/>
        </w:tblCellMar>
      </w:tblPr>
      <w:tblGrid>
        <w:gridCol w:w="641"/>
        <w:gridCol w:w="1116"/>
        <w:gridCol w:w="1700"/>
        <w:gridCol w:w="1725"/>
        <w:gridCol w:w="4410"/>
      </w:tblGrid>
      <w:tr w14:paraId="0ADE5F41">
        <w:tblPrEx>
          <w:tblCellMar>
            <w:top w:w="0" w:type="dxa"/>
            <w:left w:w="108" w:type="dxa"/>
            <w:bottom w:w="0" w:type="dxa"/>
            <w:right w:w="108" w:type="dxa"/>
          </w:tblCellMar>
        </w:tblPrEx>
        <w:trPr>
          <w:trHeight w:val="555" w:hRule="atLeast"/>
        </w:trPr>
        <w:tc>
          <w:tcPr>
            <w:tcW w:w="641" w:type="dxa"/>
            <w:tcBorders>
              <w:top w:val="single" w:color="000000" w:sz="8" w:space="0"/>
              <w:left w:val="single" w:color="000000" w:sz="8" w:space="0"/>
              <w:bottom w:val="nil"/>
              <w:right w:val="single" w:color="000000" w:sz="8" w:space="0"/>
            </w:tcBorders>
          </w:tcPr>
          <w:p w14:paraId="3D596BCD">
            <w:pPr>
              <w:widowControl/>
              <w:jc w:val="center"/>
              <w:rPr>
                <w:rFonts w:ascii="宋体" w:hAnsi="宋体" w:cs="宋体"/>
                <w:b/>
                <w:bCs/>
                <w:kern w:val="0"/>
                <w:sz w:val="22"/>
                <w:szCs w:val="22"/>
              </w:rPr>
            </w:pPr>
            <w:r>
              <w:rPr>
                <w:rFonts w:hint="eastAsia" w:ascii="宋体" w:hAnsi="宋体" w:cs="宋体"/>
                <w:b/>
                <w:bCs/>
                <w:kern w:val="0"/>
                <w:sz w:val="22"/>
                <w:szCs w:val="22"/>
              </w:rPr>
              <w:t>品目序号</w:t>
            </w:r>
          </w:p>
        </w:tc>
        <w:tc>
          <w:tcPr>
            <w:tcW w:w="4541" w:type="dxa"/>
            <w:gridSpan w:val="3"/>
            <w:tcBorders>
              <w:top w:val="single" w:color="000000" w:sz="8" w:space="0"/>
              <w:left w:val="nil"/>
              <w:bottom w:val="single" w:color="000000" w:sz="8" w:space="0"/>
              <w:right w:val="single" w:color="000000" w:sz="8" w:space="0"/>
            </w:tcBorders>
            <w:vAlign w:val="center"/>
          </w:tcPr>
          <w:p w14:paraId="5797F762">
            <w:pPr>
              <w:widowControl/>
              <w:jc w:val="center"/>
              <w:rPr>
                <w:rFonts w:ascii="宋体" w:hAnsi="宋体" w:cs="宋体"/>
                <w:b/>
                <w:bCs/>
                <w:kern w:val="0"/>
                <w:sz w:val="22"/>
                <w:szCs w:val="22"/>
              </w:rPr>
            </w:pPr>
            <w:r>
              <w:rPr>
                <w:rFonts w:hint="eastAsia" w:ascii="宋体" w:hAnsi="宋体" w:cs="宋体"/>
                <w:b/>
                <w:bCs/>
                <w:kern w:val="0"/>
                <w:sz w:val="22"/>
                <w:szCs w:val="22"/>
              </w:rPr>
              <w:t>名称</w:t>
            </w:r>
          </w:p>
        </w:tc>
        <w:tc>
          <w:tcPr>
            <w:tcW w:w="4410" w:type="dxa"/>
            <w:tcBorders>
              <w:top w:val="single" w:color="000000" w:sz="8" w:space="0"/>
              <w:left w:val="nil"/>
              <w:bottom w:val="single" w:color="000000" w:sz="8" w:space="0"/>
              <w:right w:val="single" w:color="000000" w:sz="8" w:space="0"/>
            </w:tcBorders>
            <w:vAlign w:val="center"/>
          </w:tcPr>
          <w:p w14:paraId="4974E5C9">
            <w:pPr>
              <w:widowControl/>
              <w:jc w:val="center"/>
              <w:rPr>
                <w:rFonts w:ascii="宋体" w:hAnsi="宋体" w:cs="宋体"/>
                <w:b/>
                <w:bCs/>
                <w:kern w:val="0"/>
                <w:sz w:val="22"/>
                <w:szCs w:val="22"/>
              </w:rPr>
            </w:pPr>
            <w:r>
              <w:rPr>
                <w:rFonts w:hint="eastAsia" w:ascii="宋体" w:hAnsi="宋体" w:cs="宋体"/>
                <w:b/>
                <w:bCs/>
                <w:kern w:val="0"/>
                <w:sz w:val="22"/>
                <w:szCs w:val="22"/>
              </w:rPr>
              <w:t>依据的标准</w:t>
            </w:r>
          </w:p>
        </w:tc>
      </w:tr>
      <w:tr w14:paraId="2749D3E6">
        <w:tblPrEx>
          <w:tblCellMar>
            <w:top w:w="0" w:type="dxa"/>
            <w:left w:w="108" w:type="dxa"/>
            <w:bottom w:w="0" w:type="dxa"/>
            <w:right w:w="108" w:type="dxa"/>
          </w:tblCellMar>
        </w:tblPrEx>
        <w:trPr>
          <w:trHeight w:val="495" w:hRule="atLeast"/>
        </w:trPr>
        <w:tc>
          <w:tcPr>
            <w:tcW w:w="641" w:type="dxa"/>
            <w:vMerge w:val="restart"/>
            <w:tcBorders>
              <w:top w:val="single" w:color="000000" w:sz="8" w:space="0"/>
              <w:left w:val="single" w:color="000000" w:sz="8" w:space="0"/>
              <w:bottom w:val="single" w:color="000000" w:sz="8" w:space="0"/>
              <w:right w:val="single" w:color="000000" w:sz="8" w:space="0"/>
            </w:tcBorders>
            <w:vAlign w:val="center"/>
          </w:tcPr>
          <w:p w14:paraId="59943848">
            <w:pPr>
              <w:widowControl/>
              <w:jc w:val="center"/>
              <w:rPr>
                <w:rFonts w:ascii="宋体" w:hAnsi="宋体" w:cs="宋体"/>
                <w:kern w:val="0"/>
                <w:sz w:val="20"/>
                <w:szCs w:val="20"/>
              </w:rPr>
            </w:pPr>
            <w:r>
              <w:rPr>
                <w:rFonts w:hint="eastAsia" w:ascii="宋体" w:hAnsi="宋体" w:cs="宋体"/>
                <w:kern w:val="0"/>
                <w:sz w:val="20"/>
                <w:szCs w:val="20"/>
              </w:rPr>
              <w:t>1</w:t>
            </w:r>
          </w:p>
        </w:tc>
        <w:tc>
          <w:tcPr>
            <w:tcW w:w="1116" w:type="dxa"/>
            <w:vMerge w:val="restart"/>
            <w:tcBorders>
              <w:top w:val="nil"/>
              <w:left w:val="single" w:color="000000" w:sz="8" w:space="0"/>
              <w:bottom w:val="single" w:color="000000" w:sz="8" w:space="0"/>
              <w:right w:val="single" w:color="000000" w:sz="8" w:space="0"/>
            </w:tcBorders>
            <w:vAlign w:val="center"/>
          </w:tcPr>
          <w:p w14:paraId="34391ECA">
            <w:pPr>
              <w:widowControl/>
              <w:jc w:val="center"/>
              <w:rPr>
                <w:rFonts w:ascii="宋体" w:hAnsi="宋体" w:cs="宋体"/>
                <w:kern w:val="0"/>
                <w:sz w:val="20"/>
                <w:szCs w:val="20"/>
              </w:rPr>
            </w:pPr>
            <w:r>
              <w:rPr>
                <w:rFonts w:hint="eastAsia" w:ascii="宋体" w:hAnsi="宋体" w:cs="宋体"/>
                <w:kern w:val="0"/>
                <w:sz w:val="20"/>
                <w:szCs w:val="20"/>
              </w:rPr>
              <w:t>A020101计算机设备</w:t>
            </w:r>
          </w:p>
        </w:tc>
        <w:tc>
          <w:tcPr>
            <w:tcW w:w="1700" w:type="dxa"/>
            <w:tcBorders>
              <w:top w:val="nil"/>
              <w:left w:val="nil"/>
              <w:bottom w:val="single" w:color="000000" w:sz="8" w:space="0"/>
              <w:right w:val="single" w:color="000000" w:sz="8" w:space="0"/>
            </w:tcBorders>
            <w:vAlign w:val="center"/>
          </w:tcPr>
          <w:p w14:paraId="1FABBABD">
            <w:pPr>
              <w:widowControl/>
              <w:jc w:val="center"/>
              <w:rPr>
                <w:rFonts w:ascii="宋体" w:hAnsi="宋体" w:cs="宋体"/>
                <w:kern w:val="0"/>
                <w:sz w:val="20"/>
                <w:szCs w:val="20"/>
              </w:rPr>
            </w:pPr>
            <w:r>
              <w:rPr>
                <w:rFonts w:hint="eastAsia" w:ascii="宋体" w:hAnsi="宋体" w:cs="宋体"/>
                <w:kern w:val="0"/>
                <w:sz w:val="20"/>
                <w:szCs w:val="20"/>
              </w:rPr>
              <w:t>★A02010104台式计算机</w:t>
            </w:r>
          </w:p>
        </w:tc>
        <w:tc>
          <w:tcPr>
            <w:tcW w:w="1725" w:type="dxa"/>
            <w:tcBorders>
              <w:top w:val="nil"/>
              <w:left w:val="nil"/>
              <w:bottom w:val="single" w:color="000000" w:sz="8" w:space="0"/>
              <w:right w:val="single" w:color="000000" w:sz="8" w:space="0"/>
            </w:tcBorders>
            <w:vAlign w:val="center"/>
          </w:tcPr>
          <w:p w14:paraId="515B1D1B">
            <w:pPr>
              <w:widowControl/>
              <w:jc w:val="center"/>
              <w:rPr>
                <w:rFonts w:ascii="宋体" w:hAnsi="宋体" w:cs="宋体"/>
                <w:kern w:val="0"/>
                <w:sz w:val="20"/>
                <w:szCs w:val="20"/>
              </w:rPr>
            </w:pPr>
            <w:r>
              <w:rPr>
                <w:rFonts w:hint="eastAsia" w:ascii="宋体" w:hAnsi="宋体" w:cs="宋体"/>
                <w:kern w:val="0"/>
                <w:sz w:val="20"/>
                <w:szCs w:val="20"/>
              </w:rPr>
              <w:t>　</w:t>
            </w:r>
          </w:p>
        </w:tc>
        <w:tc>
          <w:tcPr>
            <w:tcW w:w="4410" w:type="dxa"/>
            <w:tcBorders>
              <w:top w:val="nil"/>
              <w:left w:val="nil"/>
              <w:bottom w:val="single" w:color="000000" w:sz="8" w:space="0"/>
              <w:right w:val="single" w:color="000000" w:sz="8" w:space="0"/>
            </w:tcBorders>
            <w:vAlign w:val="center"/>
          </w:tcPr>
          <w:p w14:paraId="468C48EF">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14:paraId="44D943EE">
        <w:tblPrEx>
          <w:tblCellMar>
            <w:top w:w="0" w:type="dxa"/>
            <w:left w:w="108" w:type="dxa"/>
            <w:bottom w:w="0" w:type="dxa"/>
            <w:right w:w="108" w:type="dxa"/>
          </w:tblCellMar>
        </w:tblPrEx>
        <w:trPr>
          <w:trHeight w:val="495" w:hRule="atLeast"/>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23897429">
            <w:pPr>
              <w:widowControl/>
              <w:jc w:val="left"/>
              <w:rPr>
                <w:rFonts w:ascii="宋体" w:hAnsi="宋体" w:cs="宋体"/>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527A7C40">
            <w:pPr>
              <w:widowControl/>
              <w:jc w:val="left"/>
              <w:rPr>
                <w:rFonts w:ascii="宋体" w:hAnsi="宋体" w:cs="宋体"/>
                <w:kern w:val="0"/>
                <w:sz w:val="20"/>
                <w:szCs w:val="20"/>
              </w:rPr>
            </w:pPr>
          </w:p>
        </w:tc>
        <w:tc>
          <w:tcPr>
            <w:tcW w:w="1700" w:type="dxa"/>
            <w:tcBorders>
              <w:top w:val="nil"/>
              <w:left w:val="nil"/>
              <w:bottom w:val="single" w:color="000000" w:sz="8" w:space="0"/>
              <w:right w:val="single" w:color="000000" w:sz="8" w:space="0"/>
            </w:tcBorders>
            <w:vAlign w:val="center"/>
          </w:tcPr>
          <w:p w14:paraId="0EB3507D">
            <w:pPr>
              <w:widowControl/>
              <w:jc w:val="center"/>
              <w:rPr>
                <w:rFonts w:ascii="宋体" w:hAnsi="宋体" w:cs="宋体"/>
                <w:kern w:val="0"/>
                <w:sz w:val="20"/>
                <w:szCs w:val="20"/>
              </w:rPr>
            </w:pPr>
            <w:r>
              <w:rPr>
                <w:rFonts w:hint="eastAsia" w:ascii="宋体" w:hAnsi="宋体" w:cs="宋体"/>
                <w:kern w:val="0"/>
                <w:sz w:val="20"/>
                <w:szCs w:val="20"/>
              </w:rPr>
              <w:t>★A02010105便携式计算机</w:t>
            </w:r>
          </w:p>
        </w:tc>
        <w:tc>
          <w:tcPr>
            <w:tcW w:w="1725" w:type="dxa"/>
            <w:tcBorders>
              <w:top w:val="nil"/>
              <w:left w:val="nil"/>
              <w:bottom w:val="single" w:color="000000" w:sz="8" w:space="0"/>
              <w:right w:val="single" w:color="000000" w:sz="8" w:space="0"/>
            </w:tcBorders>
            <w:vAlign w:val="center"/>
          </w:tcPr>
          <w:p w14:paraId="7FA71AD3">
            <w:pPr>
              <w:widowControl/>
              <w:jc w:val="center"/>
              <w:rPr>
                <w:rFonts w:ascii="宋体" w:hAnsi="宋体" w:cs="宋体"/>
                <w:kern w:val="0"/>
                <w:sz w:val="20"/>
                <w:szCs w:val="20"/>
              </w:rPr>
            </w:pPr>
            <w:r>
              <w:rPr>
                <w:rFonts w:hint="eastAsia" w:ascii="宋体" w:hAnsi="宋体" w:cs="宋体"/>
                <w:kern w:val="0"/>
                <w:sz w:val="20"/>
                <w:szCs w:val="20"/>
              </w:rPr>
              <w:t>　</w:t>
            </w:r>
          </w:p>
        </w:tc>
        <w:tc>
          <w:tcPr>
            <w:tcW w:w="4410" w:type="dxa"/>
            <w:tcBorders>
              <w:top w:val="nil"/>
              <w:left w:val="nil"/>
              <w:bottom w:val="single" w:color="000000" w:sz="8" w:space="0"/>
              <w:right w:val="single" w:color="000000" w:sz="8" w:space="0"/>
            </w:tcBorders>
            <w:vAlign w:val="center"/>
          </w:tcPr>
          <w:p w14:paraId="7F89E960">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14:paraId="4DD4A5EC">
        <w:tblPrEx>
          <w:tblCellMar>
            <w:top w:w="0" w:type="dxa"/>
            <w:left w:w="108" w:type="dxa"/>
            <w:bottom w:w="0" w:type="dxa"/>
            <w:right w:w="108" w:type="dxa"/>
          </w:tblCellMar>
        </w:tblPrEx>
        <w:trPr>
          <w:trHeight w:val="735" w:hRule="atLeast"/>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45906AF9">
            <w:pPr>
              <w:widowControl/>
              <w:jc w:val="left"/>
              <w:rPr>
                <w:rFonts w:ascii="宋体" w:hAnsi="宋体" w:cs="宋体"/>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3D52BA03">
            <w:pPr>
              <w:widowControl/>
              <w:jc w:val="left"/>
              <w:rPr>
                <w:rFonts w:ascii="宋体" w:hAnsi="宋体" w:cs="宋体"/>
                <w:kern w:val="0"/>
                <w:sz w:val="20"/>
                <w:szCs w:val="20"/>
              </w:rPr>
            </w:pPr>
          </w:p>
        </w:tc>
        <w:tc>
          <w:tcPr>
            <w:tcW w:w="1700" w:type="dxa"/>
            <w:tcBorders>
              <w:top w:val="nil"/>
              <w:left w:val="nil"/>
              <w:bottom w:val="single" w:color="000000" w:sz="8" w:space="0"/>
              <w:right w:val="single" w:color="000000" w:sz="8" w:space="0"/>
            </w:tcBorders>
            <w:vAlign w:val="center"/>
          </w:tcPr>
          <w:p w14:paraId="29BAC596">
            <w:pPr>
              <w:widowControl/>
              <w:jc w:val="center"/>
              <w:rPr>
                <w:rFonts w:ascii="宋体" w:hAnsi="宋体" w:cs="宋体"/>
                <w:kern w:val="0"/>
                <w:sz w:val="20"/>
                <w:szCs w:val="20"/>
              </w:rPr>
            </w:pPr>
            <w:r>
              <w:rPr>
                <w:rFonts w:hint="eastAsia" w:ascii="宋体" w:hAnsi="宋体" w:cs="宋体"/>
                <w:kern w:val="0"/>
                <w:sz w:val="20"/>
                <w:szCs w:val="20"/>
              </w:rPr>
              <w:t>★A02010107平板式微型计算机</w:t>
            </w:r>
          </w:p>
        </w:tc>
        <w:tc>
          <w:tcPr>
            <w:tcW w:w="1725" w:type="dxa"/>
            <w:tcBorders>
              <w:top w:val="nil"/>
              <w:left w:val="nil"/>
              <w:bottom w:val="single" w:color="000000" w:sz="8" w:space="0"/>
              <w:right w:val="single" w:color="000000" w:sz="8" w:space="0"/>
            </w:tcBorders>
            <w:vAlign w:val="center"/>
          </w:tcPr>
          <w:p w14:paraId="6E40DEFB">
            <w:pPr>
              <w:widowControl/>
              <w:jc w:val="center"/>
              <w:rPr>
                <w:rFonts w:ascii="宋体" w:hAnsi="宋体" w:cs="宋体"/>
                <w:kern w:val="0"/>
                <w:sz w:val="20"/>
                <w:szCs w:val="20"/>
              </w:rPr>
            </w:pPr>
            <w:r>
              <w:rPr>
                <w:rFonts w:hint="eastAsia" w:ascii="宋体" w:hAnsi="宋体" w:cs="宋体"/>
                <w:kern w:val="0"/>
                <w:sz w:val="20"/>
                <w:szCs w:val="20"/>
              </w:rPr>
              <w:t>　</w:t>
            </w:r>
          </w:p>
        </w:tc>
        <w:tc>
          <w:tcPr>
            <w:tcW w:w="4410" w:type="dxa"/>
            <w:tcBorders>
              <w:top w:val="nil"/>
              <w:left w:val="nil"/>
              <w:bottom w:val="single" w:color="000000" w:sz="8" w:space="0"/>
              <w:right w:val="single" w:color="000000" w:sz="8" w:space="0"/>
            </w:tcBorders>
            <w:vAlign w:val="center"/>
          </w:tcPr>
          <w:p w14:paraId="635CCEE7">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14:paraId="201996FC">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vAlign w:val="center"/>
          </w:tcPr>
          <w:p w14:paraId="1B90B7FE">
            <w:pPr>
              <w:widowControl/>
              <w:jc w:val="center"/>
              <w:rPr>
                <w:rFonts w:ascii="宋体" w:hAnsi="宋体" w:cs="宋体"/>
                <w:kern w:val="0"/>
                <w:sz w:val="20"/>
                <w:szCs w:val="20"/>
              </w:rPr>
            </w:pPr>
            <w:r>
              <w:rPr>
                <w:rFonts w:hint="eastAsia" w:ascii="宋体" w:hAnsi="宋体" w:cs="宋体"/>
                <w:kern w:val="0"/>
                <w:sz w:val="20"/>
                <w:szCs w:val="20"/>
              </w:rPr>
              <w:t>2</w:t>
            </w:r>
          </w:p>
        </w:tc>
        <w:tc>
          <w:tcPr>
            <w:tcW w:w="1116" w:type="dxa"/>
            <w:vMerge w:val="restart"/>
            <w:tcBorders>
              <w:top w:val="nil"/>
              <w:left w:val="single" w:color="000000" w:sz="8" w:space="0"/>
              <w:bottom w:val="single" w:color="000000" w:sz="8" w:space="0"/>
              <w:right w:val="single" w:color="000000" w:sz="8" w:space="0"/>
            </w:tcBorders>
            <w:vAlign w:val="center"/>
          </w:tcPr>
          <w:p w14:paraId="1EE4B96A">
            <w:pPr>
              <w:widowControl/>
              <w:jc w:val="center"/>
              <w:rPr>
                <w:rFonts w:ascii="宋体" w:hAnsi="宋体" w:cs="宋体"/>
                <w:kern w:val="0"/>
                <w:sz w:val="20"/>
                <w:szCs w:val="20"/>
              </w:rPr>
            </w:pPr>
            <w:r>
              <w:rPr>
                <w:rFonts w:hint="eastAsia" w:ascii="宋体" w:hAnsi="宋体" w:cs="宋体"/>
                <w:kern w:val="0"/>
                <w:sz w:val="20"/>
                <w:szCs w:val="20"/>
              </w:rPr>
              <w:t>A020106输入输出设备</w:t>
            </w:r>
          </w:p>
        </w:tc>
        <w:tc>
          <w:tcPr>
            <w:tcW w:w="1700" w:type="dxa"/>
            <w:vMerge w:val="restart"/>
            <w:tcBorders>
              <w:top w:val="nil"/>
              <w:left w:val="single" w:color="000000" w:sz="8" w:space="0"/>
              <w:bottom w:val="single" w:color="000000" w:sz="8" w:space="0"/>
              <w:right w:val="single" w:color="000000" w:sz="8" w:space="0"/>
            </w:tcBorders>
            <w:vAlign w:val="center"/>
          </w:tcPr>
          <w:p w14:paraId="0B5077BF">
            <w:pPr>
              <w:widowControl/>
              <w:jc w:val="center"/>
              <w:rPr>
                <w:rFonts w:ascii="宋体" w:hAnsi="宋体" w:cs="宋体"/>
                <w:kern w:val="0"/>
                <w:sz w:val="20"/>
                <w:szCs w:val="20"/>
              </w:rPr>
            </w:pPr>
            <w:r>
              <w:rPr>
                <w:rFonts w:hint="eastAsia" w:ascii="宋体" w:hAnsi="宋体" w:cs="宋体"/>
                <w:kern w:val="0"/>
                <w:sz w:val="20"/>
                <w:szCs w:val="20"/>
              </w:rPr>
              <w:t>A02010601打印设备</w:t>
            </w:r>
          </w:p>
        </w:tc>
        <w:tc>
          <w:tcPr>
            <w:tcW w:w="1725" w:type="dxa"/>
            <w:tcBorders>
              <w:top w:val="nil"/>
              <w:left w:val="nil"/>
              <w:bottom w:val="single" w:color="000000" w:sz="8" w:space="0"/>
              <w:right w:val="single" w:color="000000" w:sz="8" w:space="0"/>
            </w:tcBorders>
            <w:vAlign w:val="center"/>
          </w:tcPr>
          <w:p w14:paraId="7E1E0B22">
            <w:pPr>
              <w:widowControl/>
              <w:jc w:val="center"/>
              <w:rPr>
                <w:rFonts w:ascii="宋体" w:hAnsi="宋体" w:cs="宋体"/>
                <w:kern w:val="0"/>
                <w:sz w:val="20"/>
                <w:szCs w:val="20"/>
              </w:rPr>
            </w:pPr>
            <w:r>
              <w:rPr>
                <w:rFonts w:hint="eastAsia" w:ascii="宋体" w:hAnsi="宋体" w:cs="宋体"/>
                <w:kern w:val="0"/>
                <w:sz w:val="20"/>
                <w:szCs w:val="20"/>
              </w:rPr>
              <w:t>A0201060101喷墨打印机</w:t>
            </w:r>
          </w:p>
        </w:tc>
        <w:tc>
          <w:tcPr>
            <w:tcW w:w="4410" w:type="dxa"/>
            <w:tcBorders>
              <w:top w:val="nil"/>
              <w:left w:val="nil"/>
              <w:bottom w:val="single" w:color="000000" w:sz="8" w:space="0"/>
              <w:right w:val="single" w:color="000000" w:sz="8" w:space="0"/>
            </w:tcBorders>
            <w:vAlign w:val="center"/>
          </w:tcPr>
          <w:p w14:paraId="1C9BE445">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23F071E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344E6B64">
            <w:pPr>
              <w:widowControl/>
              <w:jc w:val="left"/>
              <w:rPr>
                <w:rFonts w:ascii="宋体" w:hAnsi="宋体" w:cs="宋体"/>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2F2E60AC">
            <w:pPr>
              <w:widowControl/>
              <w:jc w:val="left"/>
              <w:rPr>
                <w:rFonts w:ascii="宋体" w:hAnsi="宋体" w:cs="宋体"/>
                <w:kern w:val="0"/>
                <w:sz w:val="20"/>
                <w:szCs w:val="20"/>
              </w:rPr>
            </w:pPr>
          </w:p>
        </w:tc>
        <w:tc>
          <w:tcPr>
            <w:tcW w:w="1700" w:type="dxa"/>
            <w:vMerge w:val="continue"/>
            <w:tcBorders>
              <w:top w:val="nil"/>
              <w:left w:val="single" w:color="000000" w:sz="8" w:space="0"/>
              <w:bottom w:val="single" w:color="000000" w:sz="8" w:space="0"/>
              <w:right w:val="single" w:color="000000" w:sz="8" w:space="0"/>
            </w:tcBorders>
            <w:vAlign w:val="center"/>
          </w:tcPr>
          <w:p w14:paraId="0E742779">
            <w:pPr>
              <w:widowControl/>
              <w:jc w:val="left"/>
              <w:rPr>
                <w:rFonts w:ascii="宋体" w:hAnsi="宋体" w:cs="宋体"/>
                <w:kern w:val="0"/>
                <w:sz w:val="20"/>
                <w:szCs w:val="20"/>
              </w:rPr>
            </w:pPr>
          </w:p>
        </w:tc>
        <w:tc>
          <w:tcPr>
            <w:tcW w:w="1725" w:type="dxa"/>
            <w:tcBorders>
              <w:top w:val="nil"/>
              <w:left w:val="nil"/>
              <w:bottom w:val="single" w:color="000000" w:sz="8" w:space="0"/>
              <w:right w:val="single" w:color="000000" w:sz="8" w:space="0"/>
            </w:tcBorders>
            <w:vAlign w:val="center"/>
          </w:tcPr>
          <w:p w14:paraId="6E7BBDE2">
            <w:pPr>
              <w:widowControl/>
              <w:jc w:val="center"/>
              <w:rPr>
                <w:rFonts w:ascii="宋体" w:hAnsi="宋体" w:cs="宋体"/>
                <w:kern w:val="0"/>
                <w:sz w:val="20"/>
                <w:szCs w:val="20"/>
              </w:rPr>
            </w:pPr>
            <w:r>
              <w:rPr>
                <w:rFonts w:hint="eastAsia" w:ascii="宋体" w:hAnsi="宋体" w:cs="宋体"/>
                <w:kern w:val="0"/>
                <w:sz w:val="20"/>
                <w:szCs w:val="20"/>
              </w:rPr>
              <w:t>★A0201060102激光打印机</w:t>
            </w:r>
          </w:p>
        </w:tc>
        <w:tc>
          <w:tcPr>
            <w:tcW w:w="4410" w:type="dxa"/>
            <w:tcBorders>
              <w:top w:val="nil"/>
              <w:left w:val="nil"/>
              <w:bottom w:val="single" w:color="000000" w:sz="8" w:space="0"/>
              <w:right w:val="single" w:color="000000" w:sz="8" w:space="0"/>
            </w:tcBorders>
            <w:vAlign w:val="center"/>
          </w:tcPr>
          <w:p w14:paraId="27A15CD0">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4FBF1D7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7AD18CD3">
            <w:pPr>
              <w:widowControl/>
              <w:jc w:val="left"/>
              <w:rPr>
                <w:rFonts w:ascii="宋体" w:hAnsi="宋体" w:cs="宋体"/>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53F9DD02">
            <w:pPr>
              <w:widowControl/>
              <w:jc w:val="left"/>
              <w:rPr>
                <w:rFonts w:ascii="宋体" w:hAnsi="宋体" w:cs="宋体"/>
                <w:kern w:val="0"/>
                <w:sz w:val="20"/>
                <w:szCs w:val="20"/>
              </w:rPr>
            </w:pPr>
          </w:p>
        </w:tc>
        <w:tc>
          <w:tcPr>
            <w:tcW w:w="1700" w:type="dxa"/>
            <w:vMerge w:val="continue"/>
            <w:tcBorders>
              <w:top w:val="nil"/>
              <w:left w:val="single" w:color="000000" w:sz="8" w:space="0"/>
              <w:bottom w:val="single" w:color="000000" w:sz="8" w:space="0"/>
              <w:right w:val="single" w:color="000000" w:sz="8" w:space="0"/>
            </w:tcBorders>
            <w:vAlign w:val="center"/>
          </w:tcPr>
          <w:p w14:paraId="5C8D0430">
            <w:pPr>
              <w:widowControl/>
              <w:jc w:val="left"/>
              <w:rPr>
                <w:rFonts w:ascii="宋体" w:hAnsi="宋体" w:cs="宋体"/>
                <w:kern w:val="0"/>
                <w:sz w:val="20"/>
                <w:szCs w:val="20"/>
              </w:rPr>
            </w:pPr>
          </w:p>
        </w:tc>
        <w:tc>
          <w:tcPr>
            <w:tcW w:w="1725" w:type="dxa"/>
            <w:tcBorders>
              <w:top w:val="nil"/>
              <w:left w:val="nil"/>
              <w:bottom w:val="single" w:color="000000" w:sz="8" w:space="0"/>
              <w:right w:val="single" w:color="000000" w:sz="8" w:space="0"/>
            </w:tcBorders>
            <w:vAlign w:val="center"/>
          </w:tcPr>
          <w:p w14:paraId="26DEEB90">
            <w:pPr>
              <w:widowControl/>
              <w:jc w:val="center"/>
              <w:rPr>
                <w:rFonts w:ascii="宋体" w:hAnsi="宋体" w:cs="宋体"/>
                <w:kern w:val="0"/>
                <w:sz w:val="20"/>
                <w:szCs w:val="20"/>
              </w:rPr>
            </w:pPr>
            <w:r>
              <w:rPr>
                <w:rFonts w:hint="eastAsia" w:ascii="宋体" w:hAnsi="宋体" w:cs="宋体"/>
                <w:kern w:val="0"/>
                <w:sz w:val="20"/>
                <w:szCs w:val="20"/>
              </w:rPr>
              <w:t>★A0201060104针式打印机</w:t>
            </w:r>
          </w:p>
        </w:tc>
        <w:tc>
          <w:tcPr>
            <w:tcW w:w="4410" w:type="dxa"/>
            <w:tcBorders>
              <w:top w:val="nil"/>
              <w:left w:val="nil"/>
              <w:bottom w:val="single" w:color="000000" w:sz="8" w:space="0"/>
              <w:right w:val="single" w:color="000000" w:sz="8" w:space="0"/>
            </w:tcBorders>
            <w:vAlign w:val="center"/>
          </w:tcPr>
          <w:p w14:paraId="3F6D816F">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1427DEFE">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46F2E7C6">
            <w:pPr>
              <w:widowControl/>
              <w:jc w:val="left"/>
              <w:rPr>
                <w:rFonts w:ascii="宋体" w:hAnsi="宋体" w:cs="宋体"/>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7F49AB3B">
            <w:pPr>
              <w:widowControl/>
              <w:jc w:val="left"/>
              <w:rPr>
                <w:rFonts w:ascii="宋体" w:hAnsi="宋体" w:cs="宋体"/>
                <w:kern w:val="0"/>
                <w:sz w:val="20"/>
                <w:szCs w:val="20"/>
              </w:rPr>
            </w:pPr>
          </w:p>
        </w:tc>
        <w:tc>
          <w:tcPr>
            <w:tcW w:w="1700" w:type="dxa"/>
            <w:tcBorders>
              <w:top w:val="nil"/>
              <w:left w:val="nil"/>
              <w:bottom w:val="single" w:color="000000" w:sz="8" w:space="0"/>
              <w:right w:val="single" w:color="000000" w:sz="8" w:space="0"/>
            </w:tcBorders>
            <w:vAlign w:val="center"/>
          </w:tcPr>
          <w:p w14:paraId="6A406D64">
            <w:pPr>
              <w:widowControl/>
              <w:jc w:val="center"/>
              <w:rPr>
                <w:rFonts w:ascii="宋体" w:hAnsi="宋体" w:cs="宋体"/>
                <w:kern w:val="0"/>
                <w:sz w:val="20"/>
                <w:szCs w:val="20"/>
              </w:rPr>
            </w:pPr>
            <w:r>
              <w:rPr>
                <w:rFonts w:hint="eastAsia" w:ascii="宋体" w:hAnsi="宋体" w:cs="宋体"/>
                <w:kern w:val="0"/>
                <w:sz w:val="20"/>
                <w:szCs w:val="20"/>
              </w:rPr>
              <w:t>A02010604显示设备</w:t>
            </w:r>
          </w:p>
        </w:tc>
        <w:tc>
          <w:tcPr>
            <w:tcW w:w="1725" w:type="dxa"/>
            <w:tcBorders>
              <w:top w:val="nil"/>
              <w:left w:val="nil"/>
              <w:bottom w:val="single" w:color="000000" w:sz="8" w:space="0"/>
              <w:right w:val="single" w:color="000000" w:sz="8" w:space="0"/>
            </w:tcBorders>
            <w:vAlign w:val="center"/>
          </w:tcPr>
          <w:p w14:paraId="58071CAC">
            <w:pPr>
              <w:widowControl/>
              <w:jc w:val="center"/>
              <w:rPr>
                <w:rFonts w:ascii="宋体" w:hAnsi="宋体" w:cs="宋体"/>
                <w:kern w:val="0"/>
                <w:sz w:val="20"/>
                <w:szCs w:val="20"/>
              </w:rPr>
            </w:pPr>
            <w:r>
              <w:rPr>
                <w:rFonts w:hint="eastAsia" w:ascii="宋体" w:hAnsi="宋体" w:cs="宋体"/>
                <w:kern w:val="0"/>
                <w:sz w:val="20"/>
                <w:szCs w:val="20"/>
              </w:rPr>
              <w:t>★A0201060401液晶显示器</w:t>
            </w:r>
          </w:p>
        </w:tc>
        <w:tc>
          <w:tcPr>
            <w:tcW w:w="4410" w:type="dxa"/>
            <w:tcBorders>
              <w:top w:val="nil"/>
              <w:left w:val="nil"/>
              <w:bottom w:val="single" w:color="000000" w:sz="8" w:space="0"/>
              <w:right w:val="single" w:color="000000" w:sz="8" w:space="0"/>
            </w:tcBorders>
            <w:vAlign w:val="center"/>
          </w:tcPr>
          <w:p w14:paraId="7DD96518">
            <w:pPr>
              <w:widowControl/>
              <w:jc w:val="left"/>
              <w:rPr>
                <w:rFonts w:ascii="宋体" w:hAnsi="宋体" w:cs="宋体"/>
                <w:kern w:val="0"/>
                <w:sz w:val="20"/>
                <w:szCs w:val="20"/>
              </w:rPr>
            </w:pPr>
            <w:r>
              <w:rPr>
                <w:rFonts w:hint="eastAsia" w:ascii="宋体" w:hAnsi="宋体" w:cs="宋体"/>
                <w:kern w:val="0"/>
                <w:sz w:val="20"/>
                <w:szCs w:val="20"/>
              </w:rPr>
              <w:t>《计算机显示器能效限定值及能效等级》（GB21520）</w:t>
            </w:r>
          </w:p>
        </w:tc>
      </w:tr>
      <w:tr w14:paraId="20391A3C">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vAlign w:val="center"/>
          </w:tcPr>
          <w:p w14:paraId="34618AFD">
            <w:pPr>
              <w:widowControl/>
              <w:jc w:val="left"/>
              <w:rPr>
                <w:rFonts w:ascii="宋体" w:hAnsi="宋体" w:cs="宋体"/>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6D40249C">
            <w:pPr>
              <w:widowControl/>
              <w:jc w:val="left"/>
              <w:rPr>
                <w:rFonts w:ascii="宋体" w:hAnsi="宋体" w:cs="宋体"/>
                <w:kern w:val="0"/>
                <w:sz w:val="20"/>
                <w:szCs w:val="20"/>
              </w:rPr>
            </w:pPr>
          </w:p>
        </w:tc>
        <w:tc>
          <w:tcPr>
            <w:tcW w:w="1700" w:type="dxa"/>
            <w:tcBorders>
              <w:top w:val="nil"/>
              <w:left w:val="nil"/>
              <w:bottom w:val="single" w:color="000000" w:sz="8" w:space="0"/>
              <w:right w:val="single" w:color="000000" w:sz="8" w:space="0"/>
            </w:tcBorders>
            <w:vAlign w:val="center"/>
          </w:tcPr>
          <w:p w14:paraId="1C3286CE">
            <w:pPr>
              <w:widowControl/>
              <w:jc w:val="center"/>
              <w:rPr>
                <w:rFonts w:ascii="宋体" w:hAnsi="宋体" w:cs="宋体"/>
                <w:kern w:val="0"/>
                <w:sz w:val="20"/>
                <w:szCs w:val="20"/>
              </w:rPr>
            </w:pPr>
            <w:r>
              <w:rPr>
                <w:rFonts w:hint="eastAsia" w:ascii="宋体" w:hAnsi="宋体" w:cs="宋体"/>
                <w:kern w:val="0"/>
                <w:sz w:val="20"/>
                <w:szCs w:val="20"/>
              </w:rPr>
              <w:t>A02010609图形图像输入设备</w:t>
            </w:r>
          </w:p>
        </w:tc>
        <w:tc>
          <w:tcPr>
            <w:tcW w:w="1725" w:type="dxa"/>
            <w:tcBorders>
              <w:top w:val="nil"/>
              <w:left w:val="nil"/>
              <w:bottom w:val="single" w:color="000000" w:sz="8" w:space="0"/>
              <w:right w:val="single" w:color="000000" w:sz="8" w:space="0"/>
            </w:tcBorders>
            <w:vAlign w:val="center"/>
          </w:tcPr>
          <w:p w14:paraId="68271602">
            <w:pPr>
              <w:widowControl/>
              <w:jc w:val="center"/>
              <w:rPr>
                <w:rFonts w:ascii="宋体" w:hAnsi="宋体" w:cs="宋体"/>
                <w:kern w:val="0"/>
                <w:sz w:val="20"/>
                <w:szCs w:val="20"/>
              </w:rPr>
            </w:pPr>
            <w:r>
              <w:rPr>
                <w:rFonts w:hint="eastAsia" w:ascii="宋体" w:hAnsi="宋体" w:cs="宋体"/>
                <w:kern w:val="0"/>
                <w:sz w:val="20"/>
                <w:szCs w:val="20"/>
              </w:rPr>
              <w:t>A0201060901扫描仪</w:t>
            </w:r>
          </w:p>
        </w:tc>
        <w:tc>
          <w:tcPr>
            <w:tcW w:w="4410" w:type="dxa"/>
            <w:tcBorders>
              <w:top w:val="nil"/>
              <w:left w:val="nil"/>
              <w:bottom w:val="single" w:color="000000" w:sz="8" w:space="0"/>
              <w:right w:val="single" w:color="000000" w:sz="8" w:space="0"/>
            </w:tcBorders>
            <w:vAlign w:val="center"/>
          </w:tcPr>
          <w:p w14:paraId="2ED39988">
            <w:pPr>
              <w:widowControl/>
              <w:jc w:val="left"/>
              <w:rPr>
                <w:rFonts w:ascii="宋体" w:hAnsi="宋体" w:cs="宋体"/>
                <w:kern w:val="0"/>
                <w:sz w:val="20"/>
                <w:szCs w:val="20"/>
              </w:rPr>
            </w:pPr>
            <w:r>
              <w:rPr>
                <w:rFonts w:hint="eastAsia" w:ascii="宋体" w:hAnsi="宋体" w:cs="宋体"/>
                <w:kern w:val="0"/>
                <w:sz w:val="20"/>
                <w:szCs w:val="20"/>
              </w:rPr>
              <w:t>参照《复印机、打印机和传真机能效限定值及能效等级》（GB21521中打印速度为15页/分的针式打印机相关要求中打印速度为15页/分的针式打印机相关要求</w:t>
            </w:r>
          </w:p>
        </w:tc>
      </w:tr>
      <w:tr w14:paraId="4AF4D393">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52A6191F">
            <w:pPr>
              <w:widowControl/>
              <w:jc w:val="center"/>
              <w:rPr>
                <w:rFonts w:ascii="宋体" w:hAnsi="宋体" w:cs="宋体"/>
                <w:kern w:val="0"/>
                <w:sz w:val="20"/>
                <w:szCs w:val="20"/>
              </w:rPr>
            </w:pPr>
            <w:r>
              <w:rPr>
                <w:rFonts w:hint="eastAsia" w:ascii="宋体" w:hAnsi="宋体" w:cs="宋体"/>
                <w:kern w:val="0"/>
                <w:sz w:val="20"/>
                <w:szCs w:val="20"/>
              </w:rPr>
              <w:t>3</w:t>
            </w:r>
          </w:p>
        </w:tc>
        <w:tc>
          <w:tcPr>
            <w:tcW w:w="1116" w:type="dxa"/>
            <w:tcBorders>
              <w:top w:val="nil"/>
              <w:left w:val="nil"/>
              <w:bottom w:val="single" w:color="000000" w:sz="8" w:space="0"/>
              <w:right w:val="single" w:color="000000" w:sz="8" w:space="0"/>
            </w:tcBorders>
            <w:vAlign w:val="center"/>
          </w:tcPr>
          <w:p w14:paraId="31D44A0A">
            <w:pPr>
              <w:widowControl/>
              <w:jc w:val="center"/>
              <w:rPr>
                <w:rFonts w:ascii="宋体" w:hAnsi="宋体" w:cs="宋体"/>
                <w:kern w:val="0"/>
                <w:sz w:val="20"/>
                <w:szCs w:val="20"/>
              </w:rPr>
            </w:pPr>
            <w:r>
              <w:rPr>
                <w:rFonts w:hint="eastAsia" w:ascii="宋体" w:hAnsi="宋体" w:cs="宋体"/>
                <w:kern w:val="0"/>
                <w:sz w:val="20"/>
                <w:szCs w:val="20"/>
              </w:rPr>
              <w:t>A020202投影仪</w:t>
            </w:r>
          </w:p>
        </w:tc>
        <w:tc>
          <w:tcPr>
            <w:tcW w:w="1700" w:type="dxa"/>
            <w:tcBorders>
              <w:top w:val="nil"/>
              <w:left w:val="nil"/>
              <w:bottom w:val="single" w:color="000000" w:sz="8" w:space="0"/>
              <w:right w:val="single" w:color="000000" w:sz="8" w:space="0"/>
            </w:tcBorders>
            <w:vAlign w:val="center"/>
          </w:tcPr>
          <w:p w14:paraId="3D5D6D76">
            <w:pPr>
              <w:widowControl/>
              <w:jc w:val="center"/>
              <w:rPr>
                <w:rFonts w:ascii="宋体" w:hAnsi="宋体" w:cs="宋体"/>
                <w:kern w:val="0"/>
                <w:sz w:val="20"/>
                <w:szCs w:val="20"/>
              </w:rPr>
            </w:pPr>
            <w:r>
              <w:rPr>
                <w:rFonts w:hint="eastAsia" w:ascii="宋体" w:hAnsi="宋体" w:cs="宋体"/>
                <w:kern w:val="0"/>
                <w:sz w:val="20"/>
                <w:szCs w:val="20"/>
              </w:rPr>
              <w:t>　</w:t>
            </w:r>
          </w:p>
        </w:tc>
        <w:tc>
          <w:tcPr>
            <w:tcW w:w="1725" w:type="dxa"/>
            <w:tcBorders>
              <w:top w:val="nil"/>
              <w:left w:val="nil"/>
              <w:bottom w:val="single" w:color="000000" w:sz="8" w:space="0"/>
              <w:right w:val="single" w:color="000000" w:sz="8" w:space="0"/>
            </w:tcBorders>
            <w:vAlign w:val="center"/>
          </w:tcPr>
          <w:p w14:paraId="5C9C29EB">
            <w:pPr>
              <w:widowControl/>
              <w:jc w:val="center"/>
              <w:rPr>
                <w:rFonts w:ascii="宋体" w:hAnsi="宋体" w:cs="宋体"/>
                <w:kern w:val="0"/>
                <w:sz w:val="20"/>
                <w:szCs w:val="20"/>
              </w:rPr>
            </w:pPr>
            <w:r>
              <w:rPr>
                <w:rFonts w:hint="eastAsia" w:ascii="宋体" w:hAnsi="宋体" w:cs="宋体"/>
                <w:kern w:val="0"/>
                <w:sz w:val="20"/>
                <w:szCs w:val="20"/>
              </w:rPr>
              <w:t>　</w:t>
            </w:r>
          </w:p>
        </w:tc>
        <w:tc>
          <w:tcPr>
            <w:tcW w:w="4410" w:type="dxa"/>
            <w:tcBorders>
              <w:top w:val="nil"/>
              <w:left w:val="nil"/>
              <w:bottom w:val="single" w:color="000000" w:sz="8" w:space="0"/>
              <w:right w:val="single" w:color="000000" w:sz="8" w:space="0"/>
            </w:tcBorders>
            <w:vAlign w:val="center"/>
          </w:tcPr>
          <w:p w14:paraId="7A4676A5">
            <w:pPr>
              <w:widowControl/>
              <w:jc w:val="left"/>
              <w:rPr>
                <w:rFonts w:ascii="宋体" w:hAnsi="宋体" w:cs="宋体"/>
                <w:kern w:val="0"/>
                <w:sz w:val="20"/>
                <w:szCs w:val="20"/>
              </w:rPr>
            </w:pPr>
            <w:r>
              <w:rPr>
                <w:rFonts w:hint="eastAsia" w:ascii="宋体" w:hAnsi="宋体" w:cs="宋体"/>
                <w:kern w:val="0"/>
                <w:sz w:val="20"/>
                <w:szCs w:val="20"/>
              </w:rPr>
              <w:t>《投影机能效限定值及能效等级》（GB32028）</w:t>
            </w:r>
          </w:p>
        </w:tc>
      </w:tr>
      <w:tr w14:paraId="4E04D395">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341F6027">
            <w:pPr>
              <w:widowControl/>
              <w:jc w:val="center"/>
              <w:rPr>
                <w:rFonts w:ascii="宋体" w:hAnsi="宋体" w:cs="宋体"/>
                <w:kern w:val="0"/>
                <w:sz w:val="20"/>
                <w:szCs w:val="20"/>
              </w:rPr>
            </w:pPr>
            <w:r>
              <w:rPr>
                <w:rFonts w:hint="eastAsia" w:ascii="宋体" w:hAnsi="宋体" w:cs="宋体"/>
                <w:kern w:val="0"/>
                <w:sz w:val="20"/>
                <w:szCs w:val="20"/>
              </w:rPr>
              <w:t>4</w:t>
            </w:r>
          </w:p>
        </w:tc>
        <w:tc>
          <w:tcPr>
            <w:tcW w:w="1116" w:type="dxa"/>
            <w:tcBorders>
              <w:top w:val="nil"/>
              <w:left w:val="nil"/>
              <w:bottom w:val="single" w:color="000000" w:sz="8" w:space="0"/>
              <w:right w:val="single" w:color="000000" w:sz="8" w:space="0"/>
            </w:tcBorders>
            <w:vAlign w:val="center"/>
          </w:tcPr>
          <w:p w14:paraId="2F474665">
            <w:pPr>
              <w:widowControl/>
              <w:jc w:val="center"/>
              <w:rPr>
                <w:rFonts w:ascii="宋体" w:hAnsi="宋体" w:cs="宋体"/>
                <w:kern w:val="0"/>
                <w:sz w:val="20"/>
                <w:szCs w:val="20"/>
              </w:rPr>
            </w:pPr>
            <w:r>
              <w:rPr>
                <w:rFonts w:hint="eastAsia" w:ascii="宋体" w:hAnsi="宋体" w:cs="宋体"/>
                <w:kern w:val="0"/>
                <w:sz w:val="20"/>
                <w:szCs w:val="20"/>
              </w:rPr>
              <w:t>A020204多功能一体机</w:t>
            </w:r>
          </w:p>
        </w:tc>
        <w:tc>
          <w:tcPr>
            <w:tcW w:w="1700" w:type="dxa"/>
            <w:tcBorders>
              <w:top w:val="nil"/>
              <w:left w:val="nil"/>
              <w:bottom w:val="single" w:color="000000" w:sz="8" w:space="0"/>
              <w:right w:val="single" w:color="000000" w:sz="8" w:space="0"/>
            </w:tcBorders>
            <w:vAlign w:val="center"/>
          </w:tcPr>
          <w:p w14:paraId="7B678C31">
            <w:pPr>
              <w:widowControl/>
              <w:jc w:val="center"/>
              <w:rPr>
                <w:rFonts w:ascii="宋体" w:hAnsi="宋体" w:cs="宋体"/>
                <w:kern w:val="0"/>
                <w:sz w:val="20"/>
                <w:szCs w:val="20"/>
              </w:rPr>
            </w:pPr>
            <w:r>
              <w:rPr>
                <w:rFonts w:hint="eastAsia" w:ascii="宋体" w:hAnsi="宋体" w:cs="宋体"/>
                <w:kern w:val="0"/>
                <w:sz w:val="20"/>
                <w:szCs w:val="20"/>
              </w:rPr>
              <w:t>　</w:t>
            </w:r>
          </w:p>
        </w:tc>
        <w:tc>
          <w:tcPr>
            <w:tcW w:w="1725" w:type="dxa"/>
            <w:tcBorders>
              <w:top w:val="nil"/>
              <w:left w:val="nil"/>
              <w:bottom w:val="single" w:color="000000" w:sz="8" w:space="0"/>
              <w:right w:val="single" w:color="000000" w:sz="8" w:space="0"/>
            </w:tcBorders>
            <w:vAlign w:val="center"/>
          </w:tcPr>
          <w:p w14:paraId="7FD0D691">
            <w:pPr>
              <w:widowControl/>
              <w:jc w:val="center"/>
              <w:rPr>
                <w:rFonts w:ascii="宋体" w:hAnsi="宋体" w:cs="宋体"/>
                <w:kern w:val="0"/>
                <w:sz w:val="20"/>
                <w:szCs w:val="20"/>
              </w:rPr>
            </w:pPr>
            <w:r>
              <w:rPr>
                <w:rFonts w:hint="eastAsia" w:ascii="宋体" w:hAnsi="宋体" w:cs="宋体"/>
                <w:kern w:val="0"/>
                <w:sz w:val="20"/>
                <w:szCs w:val="20"/>
              </w:rPr>
              <w:t>　</w:t>
            </w:r>
          </w:p>
        </w:tc>
        <w:tc>
          <w:tcPr>
            <w:tcW w:w="4410" w:type="dxa"/>
            <w:tcBorders>
              <w:top w:val="nil"/>
              <w:left w:val="nil"/>
              <w:bottom w:val="single" w:color="000000" w:sz="8" w:space="0"/>
              <w:right w:val="single" w:color="000000" w:sz="8" w:space="0"/>
            </w:tcBorders>
            <w:vAlign w:val="center"/>
          </w:tcPr>
          <w:p w14:paraId="2A40206F">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72E48504">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41F0B084">
            <w:pPr>
              <w:widowControl/>
              <w:jc w:val="center"/>
              <w:rPr>
                <w:rFonts w:ascii="宋体" w:hAnsi="宋体" w:cs="宋体"/>
                <w:kern w:val="0"/>
                <w:sz w:val="20"/>
                <w:szCs w:val="20"/>
              </w:rPr>
            </w:pPr>
            <w:r>
              <w:rPr>
                <w:rFonts w:hint="eastAsia" w:ascii="宋体" w:hAnsi="宋体" w:cs="宋体"/>
                <w:kern w:val="0"/>
                <w:sz w:val="20"/>
                <w:szCs w:val="20"/>
              </w:rPr>
              <w:t>5</w:t>
            </w:r>
          </w:p>
        </w:tc>
        <w:tc>
          <w:tcPr>
            <w:tcW w:w="1116" w:type="dxa"/>
            <w:tcBorders>
              <w:top w:val="nil"/>
              <w:left w:val="nil"/>
              <w:bottom w:val="single" w:color="000000" w:sz="8" w:space="0"/>
              <w:right w:val="single" w:color="000000" w:sz="8" w:space="0"/>
            </w:tcBorders>
            <w:vAlign w:val="center"/>
          </w:tcPr>
          <w:p w14:paraId="268E0323">
            <w:pPr>
              <w:widowControl/>
              <w:jc w:val="center"/>
              <w:rPr>
                <w:rFonts w:ascii="宋体" w:hAnsi="宋体" w:cs="宋体"/>
                <w:kern w:val="0"/>
                <w:sz w:val="20"/>
                <w:szCs w:val="20"/>
              </w:rPr>
            </w:pPr>
            <w:r>
              <w:rPr>
                <w:rFonts w:hint="eastAsia" w:ascii="宋体" w:hAnsi="宋体" w:cs="宋体"/>
                <w:kern w:val="0"/>
                <w:sz w:val="20"/>
                <w:szCs w:val="20"/>
              </w:rPr>
              <w:t>A020519泵</w:t>
            </w:r>
          </w:p>
        </w:tc>
        <w:tc>
          <w:tcPr>
            <w:tcW w:w="1700" w:type="dxa"/>
            <w:tcBorders>
              <w:top w:val="nil"/>
              <w:left w:val="nil"/>
              <w:bottom w:val="single" w:color="000000" w:sz="8" w:space="0"/>
              <w:right w:val="single" w:color="000000" w:sz="8" w:space="0"/>
            </w:tcBorders>
            <w:vAlign w:val="center"/>
          </w:tcPr>
          <w:p w14:paraId="2F201BFA">
            <w:pPr>
              <w:widowControl/>
              <w:jc w:val="center"/>
              <w:rPr>
                <w:rFonts w:ascii="宋体" w:hAnsi="宋体" w:cs="宋体"/>
                <w:kern w:val="0"/>
                <w:sz w:val="20"/>
                <w:szCs w:val="20"/>
              </w:rPr>
            </w:pPr>
            <w:r>
              <w:rPr>
                <w:rFonts w:hint="eastAsia" w:ascii="宋体" w:hAnsi="宋体" w:cs="宋体"/>
                <w:kern w:val="0"/>
                <w:sz w:val="20"/>
                <w:szCs w:val="20"/>
              </w:rPr>
              <w:t>A02051901离心泵</w:t>
            </w:r>
          </w:p>
        </w:tc>
        <w:tc>
          <w:tcPr>
            <w:tcW w:w="1725" w:type="dxa"/>
            <w:tcBorders>
              <w:top w:val="nil"/>
              <w:left w:val="nil"/>
              <w:bottom w:val="single" w:color="000000" w:sz="8" w:space="0"/>
              <w:right w:val="single" w:color="000000" w:sz="8" w:space="0"/>
            </w:tcBorders>
            <w:vAlign w:val="center"/>
          </w:tcPr>
          <w:p w14:paraId="0CBBC527">
            <w:pPr>
              <w:widowControl/>
              <w:jc w:val="center"/>
              <w:rPr>
                <w:rFonts w:ascii="宋体" w:hAnsi="宋体" w:cs="宋体"/>
                <w:kern w:val="0"/>
                <w:sz w:val="20"/>
                <w:szCs w:val="20"/>
              </w:rPr>
            </w:pPr>
            <w:r>
              <w:rPr>
                <w:rFonts w:hint="eastAsia" w:ascii="宋体" w:hAnsi="宋体" w:cs="宋体"/>
                <w:kern w:val="0"/>
                <w:sz w:val="20"/>
                <w:szCs w:val="20"/>
              </w:rPr>
              <w:t>　</w:t>
            </w:r>
          </w:p>
        </w:tc>
        <w:tc>
          <w:tcPr>
            <w:tcW w:w="4410" w:type="dxa"/>
            <w:tcBorders>
              <w:top w:val="nil"/>
              <w:left w:val="nil"/>
              <w:bottom w:val="single" w:color="000000" w:sz="8" w:space="0"/>
              <w:right w:val="single" w:color="000000" w:sz="8" w:space="0"/>
            </w:tcBorders>
            <w:vAlign w:val="center"/>
          </w:tcPr>
          <w:p w14:paraId="2F4B0DAF">
            <w:pPr>
              <w:widowControl/>
              <w:jc w:val="left"/>
              <w:rPr>
                <w:rFonts w:ascii="宋体" w:hAnsi="宋体" w:cs="宋体"/>
                <w:kern w:val="0"/>
                <w:sz w:val="20"/>
                <w:szCs w:val="20"/>
              </w:rPr>
            </w:pPr>
            <w:r>
              <w:rPr>
                <w:rFonts w:hint="eastAsia" w:ascii="宋体" w:hAnsi="宋体" w:cs="宋体"/>
                <w:kern w:val="0"/>
                <w:sz w:val="20"/>
                <w:szCs w:val="20"/>
              </w:rPr>
              <w:t>《清水离心泵能效限定值及节能评价值》（GB19762）</w:t>
            </w:r>
          </w:p>
        </w:tc>
      </w:tr>
      <w:tr w14:paraId="48B72647">
        <w:tblPrEx>
          <w:tblCellMar>
            <w:top w:w="0" w:type="dxa"/>
            <w:left w:w="108" w:type="dxa"/>
            <w:bottom w:w="0" w:type="dxa"/>
            <w:right w:w="108" w:type="dxa"/>
          </w:tblCellMar>
        </w:tblPrEx>
        <w:trPr>
          <w:trHeight w:val="735" w:hRule="atLeast"/>
        </w:trPr>
        <w:tc>
          <w:tcPr>
            <w:tcW w:w="641" w:type="dxa"/>
            <w:vMerge w:val="restart"/>
            <w:tcBorders>
              <w:top w:val="nil"/>
              <w:left w:val="single" w:color="000000" w:sz="8" w:space="0"/>
              <w:bottom w:val="single" w:color="000000" w:sz="8" w:space="0"/>
              <w:right w:val="single" w:color="000000" w:sz="8" w:space="0"/>
            </w:tcBorders>
            <w:vAlign w:val="center"/>
          </w:tcPr>
          <w:p w14:paraId="0B49940A">
            <w:pPr>
              <w:widowControl/>
              <w:jc w:val="center"/>
              <w:rPr>
                <w:rFonts w:ascii="宋体" w:hAnsi="宋体" w:cs="宋体"/>
                <w:kern w:val="0"/>
                <w:sz w:val="20"/>
                <w:szCs w:val="20"/>
              </w:rPr>
            </w:pPr>
            <w:r>
              <w:rPr>
                <w:rFonts w:hint="eastAsia" w:ascii="宋体" w:hAnsi="宋体" w:cs="宋体"/>
                <w:kern w:val="0"/>
                <w:sz w:val="20"/>
                <w:szCs w:val="20"/>
              </w:rPr>
              <w:t>6</w:t>
            </w:r>
          </w:p>
        </w:tc>
        <w:tc>
          <w:tcPr>
            <w:tcW w:w="1116" w:type="dxa"/>
            <w:vMerge w:val="restart"/>
            <w:tcBorders>
              <w:top w:val="nil"/>
              <w:left w:val="single" w:color="000000" w:sz="8" w:space="0"/>
              <w:bottom w:val="single" w:color="000000" w:sz="8" w:space="0"/>
              <w:right w:val="single" w:color="000000" w:sz="8" w:space="0"/>
            </w:tcBorders>
            <w:vAlign w:val="center"/>
          </w:tcPr>
          <w:p w14:paraId="66E070F7">
            <w:pPr>
              <w:widowControl/>
              <w:jc w:val="center"/>
              <w:rPr>
                <w:rFonts w:ascii="宋体" w:hAnsi="宋体" w:cs="宋体"/>
                <w:kern w:val="0"/>
                <w:sz w:val="20"/>
                <w:szCs w:val="20"/>
              </w:rPr>
            </w:pPr>
            <w:r>
              <w:rPr>
                <w:rFonts w:hint="eastAsia" w:ascii="宋体" w:hAnsi="宋体" w:cs="宋体"/>
                <w:kern w:val="0"/>
                <w:sz w:val="20"/>
                <w:szCs w:val="20"/>
              </w:rPr>
              <w:t>A020523制冷空调设备</w:t>
            </w:r>
          </w:p>
        </w:tc>
        <w:tc>
          <w:tcPr>
            <w:tcW w:w="1700" w:type="dxa"/>
            <w:vMerge w:val="restart"/>
            <w:tcBorders>
              <w:top w:val="nil"/>
              <w:left w:val="single" w:color="000000" w:sz="8" w:space="0"/>
              <w:bottom w:val="single" w:color="000000" w:sz="8" w:space="0"/>
              <w:right w:val="single" w:color="000000" w:sz="8" w:space="0"/>
            </w:tcBorders>
            <w:vAlign w:val="center"/>
          </w:tcPr>
          <w:p w14:paraId="5857A99F">
            <w:pPr>
              <w:widowControl/>
              <w:jc w:val="center"/>
              <w:rPr>
                <w:rFonts w:ascii="宋体" w:hAnsi="宋体" w:cs="宋体"/>
                <w:kern w:val="0"/>
                <w:sz w:val="20"/>
                <w:szCs w:val="20"/>
              </w:rPr>
            </w:pPr>
            <w:r>
              <w:rPr>
                <w:rFonts w:hint="eastAsia" w:ascii="宋体" w:hAnsi="宋体" w:cs="宋体"/>
                <w:kern w:val="0"/>
                <w:sz w:val="20"/>
                <w:szCs w:val="20"/>
              </w:rPr>
              <w:t>★A02052301制冷压缩机</w:t>
            </w:r>
          </w:p>
        </w:tc>
        <w:tc>
          <w:tcPr>
            <w:tcW w:w="1725" w:type="dxa"/>
            <w:tcBorders>
              <w:top w:val="nil"/>
              <w:left w:val="nil"/>
              <w:bottom w:val="single" w:color="000000" w:sz="8" w:space="0"/>
              <w:right w:val="single" w:color="000000" w:sz="8" w:space="0"/>
            </w:tcBorders>
            <w:vAlign w:val="center"/>
          </w:tcPr>
          <w:p w14:paraId="4EA3AFDB">
            <w:pPr>
              <w:widowControl/>
              <w:jc w:val="center"/>
              <w:rPr>
                <w:rFonts w:ascii="宋体" w:hAnsi="宋体" w:cs="宋体"/>
                <w:kern w:val="0"/>
                <w:sz w:val="20"/>
                <w:szCs w:val="20"/>
              </w:rPr>
            </w:pPr>
            <w:r>
              <w:rPr>
                <w:rFonts w:hint="eastAsia" w:ascii="宋体" w:hAnsi="宋体" w:cs="宋体"/>
                <w:kern w:val="0"/>
                <w:sz w:val="20"/>
                <w:szCs w:val="20"/>
              </w:rPr>
              <w:t>冷水机组</w:t>
            </w:r>
          </w:p>
        </w:tc>
        <w:tc>
          <w:tcPr>
            <w:tcW w:w="4410" w:type="dxa"/>
            <w:tcBorders>
              <w:top w:val="nil"/>
              <w:left w:val="nil"/>
              <w:bottom w:val="single" w:color="000000" w:sz="8" w:space="0"/>
              <w:right w:val="single" w:color="000000" w:sz="8" w:space="0"/>
            </w:tcBorders>
            <w:vAlign w:val="center"/>
          </w:tcPr>
          <w:p w14:paraId="26AA607B">
            <w:pPr>
              <w:widowControl/>
              <w:jc w:val="left"/>
              <w:rPr>
                <w:rFonts w:ascii="宋体" w:hAnsi="宋体" w:cs="宋体"/>
                <w:kern w:val="0"/>
                <w:sz w:val="20"/>
                <w:szCs w:val="20"/>
              </w:rPr>
            </w:pPr>
            <w:r>
              <w:rPr>
                <w:rFonts w:hint="eastAsia" w:ascii="宋体" w:hAnsi="宋体" w:cs="宋体"/>
                <w:kern w:val="0"/>
                <w:sz w:val="20"/>
                <w:szCs w:val="20"/>
              </w:rPr>
              <w:t>《冷水机组能效限定值及能效等级》（GB19577），《低环境温度空气源热泵（冷水）机组能效限定值及能效等级》（GB37480）</w:t>
            </w:r>
          </w:p>
        </w:tc>
      </w:tr>
      <w:tr w14:paraId="7D09288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0C3DFCA0">
            <w:pPr>
              <w:widowControl/>
              <w:jc w:val="left"/>
              <w:rPr>
                <w:rFonts w:ascii="宋体" w:hAnsi="宋体" w:cs="宋体"/>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244E4E1B">
            <w:pPr>
              <w:widowControl/>
              <w:jc w:val="left"/>
              <w:rPr>
                <w:rFonts w:ascii="宋体" w:hAnsi="宋体" w:cs="宋体"/>
                <w:kern w:val="0"/>
                <w:sz w:val="20"/>
                <w:szCs w:val="20"/>
              </w:rPr>
            </w:pPr>
          </w:p>
        </w:tc>
        <w:tc>
          <w:tcPr>
            <w:tcW w:w="1700" w:type="dxa"/>
            <w:vMerge w:val="continue"/>
            <w:tcBorders>
              <w:top w:val="nil"/>
              <w:left w:val="single" w:color="000000" w:sz="8" w:space="0"/>
              <w:bottom w:val="single" w:color="000000" w:sz="8" w:space="0"/>
              <w:right w:val="single" w:color="000000" w:sz="8" w:space="0"/>
            </w:tcBorders>
            <w:vAlign w:val="center"/>
          </w:tcPr>
          <w:p w14:paraId="33E6AC34">
            <w:pPr>
              <w:widowControl/>
              <w:jc w:val="left"/>
              <w:rPr>
                <w:rFonts w:ascii="宋体" w:hAnsi="宋体" w:cs="宋体"/>
                <w:kern w:val="0"/>
                <w:sz w:val="20"/>
                <w:szCs w:val="20"/>
              </w:rPr>
            </w:pPr>
          </w:p>
        </w:tc>
        <w:tc>
          <w:tcPr>
            <w:tcW w:w="1725" w:type="dxa"/>
            <w:tcBorders>
              <w:top w:val="nil"/>
              <w:left w:val="nil"/>
              <w:bottom w:val="single" w:color="000000" w:sz="8" w:space="0"/>
              <w:right w:val="single" w:color="000000" w:sz="8" w:space="0"/>
            </w:tcBorders>
            <w:vAlign w:val="center"/>
          </w:tcPr>
          <w:p w14:paraId="2CA117AA">
            <w:pPr>
              <w:widowControl/>
              <w:jc w:val="center"/>
              <w:rPr>
                <w:rFonts w:ascii="宋体" w:hAnsi="宋体" w:cs="宋体"/>
                <w:kern w:val="0"/>
                <w:sz w:val="20"/>
                <w:szCs w:val="20"/>
              </w:rPr>
            </w:pPr>
            <w:r>
              <w:rPr>
                <w:rFonts w:hint="eastAsia" w:ascii="宋体" w:hAnsi="宋体" w:cs="宋体"/>
                <w:kern w:val="0"/>
                <w:sz w:val="20"/>
                <w:szCs w:val="20"/>
              </w:rPr>
              <w:t>水源热泵机组</w:t>
            </w:r>
          </w:p>
        </w:tc>
        <w:tc>
          <w:tcPr>
            <w:tcW w:w="4410" w:type="dxa"/>
            <w:tcBorders>
              <w:top w:val="nil"/>
              <w:left w:val="nil"/>
              <w:bottom w:val="single" w:color="000000" w:sz="8" w:space="0"/>
              <w:right w:val="single" w:color="000000" w:sz="8" w:space="0"/>
            </w:tcBorders>
            <w:vAlign w:val="center"/>
          </w:tcPr>
          <w:p w14:paraId="620FC447">
            <w:pPr>
              <w:widowControl/>
              <w:jc w:val="left"/>
              <w:rPr>
                <w:rFonts w:ascii="宋体" w:hAnsi="宋体" w:cs="宋体"/>
                <w:kern w:val="0"/>
                <w:sz w:val="20"/>
                <w:szCs w:val="20"/>
              </w:rPr>
            </w:pPr>
            <w:r>
              <w:rPr>
                <w:rFonts w:hint="eastAsia" w:ascii="宋体" w:hAnsi="宋体" w:cs="宋体"/>
                <w:kern w:val="0"/>
                <w:sz w:val="20"/>
                <w:szCs w:val="20"/>
              </w:rPr>
              <w:t>《水（地）源热泵机组能效限定值及能效等级》（GB30721）</w:t>
            </w:r>
          </w:p>
        </w:tc>
      </w:tr>
      <w:tr w14:paraId="04C5B232">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446569AA">
            <w:pPr>
              <w:widowControl/>
              <w:jc w:val="left"/>
              <w:rPr>
                <w:rFonts w:ascii="宋体" w:hAnsi="宋体" w:cs="宋体"/>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30656D40">
            <w:pPr>
              <w:widowControl/>
              <w:jc w:val="left"/>
              <w:rPr>
                <w:rFonts w:ascii="宋体" w:hAnsi="宋体" w:cs="宋体"/>
                <w:kern w:val="0"/>
                <w:sz w:val="20"/>
                <w:szCs w:val="20"/>
              </w:rPr>
            </w:pPr>
          </w:p>
        </w:tc>
        <w:tc>
          <w:tcPr>
            <w:tcW w:w="1700" w:type="dxa"/>
            <w:vMerge w:val="continue"/>
            <w:tcBorders>
              <w:top w:val="nil"/>
              <w:left w:val="single" w:color="000000" w:sz="8" w:space="0"/>
              <w:bottom w:val="single" w:color="000000" w:sz="8" w:space="0"/>
              <w:right w:val="single" w:color="000000" w:sz="8" w:space="0"/>
            </w:tcBorders>
            <w:vAlign w:val="center"/>
          </w:tcPr>
          <w:p w14:paraId="1A1DD43A">
            <w:pPr>
              <w:widowControl/>
              <w:jc w:val="left"/>
              <w:rPr>
                <w:rFonts w:ascii="宋体" w:hAnsi="宋体" w:cs="宋体"/>
                <w:kern w:val="0"/>
                <w:sz w:val="20"/>
                <w:szCs w:val="20"/>
              </w:rPr>
            </w:pPr>
          </w:p>
        </w:tc>
        <w:tc>
          <w:tcPr>
            <w:tcW w:w="1725" w:type="dxa"/>
            <w:tcBorders>
              <w:top w:val="nil"/>
              <w:left w:val="nil"/>
              <w:bottom w:val="single" w:color="auto" w:sz="4" w:space="0"/>
              <w:right w:val="single" w:color="000000" w:sz="8" w:space="0"/>
            </w:tcBorders>
            <w:vAlign w:val="center"/>
          </w:tcPr>
          <w:p w14:paraId="4B86F713">
            <w:pPr>
              <w:widowControl/>
              <w:jc w:val="center"/>
              <w:rPr>
                <w:rFonts w:ascii="宋体" w:hAnsi="宋体" w:cs="宋体"/>
                <w:kern w:val="0"/>
                <w:sz w:val="20"/>
                <w:szCs w:val="20"/>
              </w:rPr>
            </w:pPr>
            <w:r>
              <w:rPr>
                <w:rFonts w:hint="eastAsia" w:ascii="宋体" w:hAnsi="宋体" w:cs="宋体"/>
                <w:kern w:val="0"/>
                <w:sz w:val="20"/>
                <w:szCs w:val="20"/>
              </w:rPr>
              <w:t>溴化锂吸收式冷水机组</w:t>
            </w:r>
          </w:p>
        </w:tc>
        <w:tc>
          <w:tcPr>
            <w:tcW w:w="4410" w:type="dxa"/>
            <w:tcBorders>
              <w:top w:val="nil"/>
              <w:left w:val="nil"/>
              <w:bottom w:val="single" w:color="auto" w:sz="4" w:space="0"/>
              <w:right w:val="single" w:color="000000" w:sz="8" w:space="0"/>
            </w:tcBorders>
            <w:vAlign w:val="center"/>
          </w:tcPr>
          <w:p w14:paraId="239AEDAD">
            <w:pPr>
              <w:widowControl/>
              <w:jc w:val="left"/>
              <w:rPr>
                <w:rFonts w:ascii="宋体" w:hAnsi="宋体" w:cs="宋体"/>
                <w:kern w:val="0"/>
                <w:sz w:val="20"/>
                <w:szCs w:val="20"/>
              </w:rPr>
            </w:pPr>
            <w:r>
              <w:rPr>
                <w:rFonts w:hint="eastAsia" w:ascii="宋体" w:hAnsi="宋体" w:cs="宋体"/>
                <w:kern w:val="0"/>
                <w:sz w:val="20"/>
                <w:szCs w:val="20"/>
              </w:rPr>
              <w:t>《溴化锂吸收式冷水机组能效限定值及能效等级》（GB29540）</w:t>
            </w:r>
          </w:p>
        </w:tc>
      </w:tr>
      <w:tr w14:paraId="29F3B258">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39CE7371">
            <w:pPr>
              <w:widowControl/>
              <w:jc w:val="left"/>
              <w:rPr>
                <w:rFonts w:ascii="宋体" w:hAnsi="宋体" w:cs="宋体"/>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1E4178F0">
            <w:pPr>
              <w:widowControl/>
              <w:jc w:val="left"/>
              <w:rPr>
                <w:rFonts w:ascii="宋体" w:hAnsi="宋体" w:cs="宋体"/>
                <w:kern w:val="0"/>
                <w:sz w:val="20"/>
                <w:szCs w:val="20"/>
              </w:rPr>
            </w:pPr>
          </w:p>
        </w:tc>
        <w:tc>
          <w:tcPr>
            <w:tcW w:w="1700" w:type="dxa"/>
            <w:vMerge w:val="restart"/>
            <w:tcBorders>
              <w:top w:val="nil"/>
              <w:left w:val="single" w:color="000000" w:sz="8" w:space="0"/>
              <w:bottom w:val="single" w:color="000000" w:sz="8" w:space="0"/>
              <w:right w:val="single" w:color="auto" w:sz="4" w:space="0"/>
            </w:tcBorders>
            <w:vAlign w:val="center"/>
          </w:tcPr>
          <w:p w14:paraId="04C4A022">
            <w:pPr>
              <w:widowControl/>
              <w:jc w:val="center"/>
              <w:rPr>
                <w:rFonts w:ascii="宋体" w:hAnsi="宋体" w:cs="宋体"/>
                <w:kern w:val="0"/>
                <w:sz w:val="20"/>
                <w:szCs w:val="20"/>
              </w:rPr>
            </w:pPr>
            <w:r>
              <w:rPr>
                <w:rFonts w:hint="eastAsia" w:ascii="宋体" w:hAnsi="宋体" w:cs="宋体"/>
                <w:kern w:val="0"/>
                <w:sz w:val="20"/>
                <w:szCs w:val="20"/>
              </w:rPr>
              <w:t>★A02052305空调机组</w:t>
            </w:r>
          </w:p>
        </w:tc>
        <w:tc>
          <w:tcPr>
            <w:tcW w:w="1725" w:type="dxa"/>
            <w:tcBorders>
              <w:top w:val="single" w:color="auto" w:sz="4" w:space="0"/>
              <w:left w:val="single" w:color="auto" w:sz="4" w:space="0"/>
              <w:bottom w:val="single" w:color="auto" w:sz="4" w:space="0"/>
              <w:right w:val="single" w:color="auto" w:sz="4" w:space="0"/>
            </w:tcBorders>
            <w:vAlign w:val="center"/>
          </w:tcPr>
          <w:p w14:paraId="155D39FE">
            <w:pPr>
              <w:widowControl/>
              <w:jc w:val="center"/>
              <w:rPr>
                <w:rFonts w:ascii="宋体" w:hAnsi="宋体" w:cs="宋体"/>
                <w:kern w:val="0"/>
                <w:sz w:val="20"/>
                <w:szCs w:val="20"/>
              </w:rPr>
            </w:pPr>
            <w:r>
              <w:rPr>
                <w:rFonts w:hint="eastAsia" w:ascii="宋体" w:hAnsi="宋体" w:cs="宋体"/>
                <w:kern w:val="0"/>
                <w:sz w:val="20"/>
                <w:szCs w:val="20"/>
              </w:rPr>
              <w:t>多联式空调（热泵）机组(制冷量&gt;14000W)</w:t>
            </w:r>
          </w:p>
        </w:tc>
        <w:tc>
          <w:tcPr>
            <w:tcW w:w="4410" w:type="dxa"/>
            <w:tcBorders>
              <w:top w:val="single" w:color="auto" w:sz="4" w:space="0"/>
              <w:left w:val="single" w:color="auto" w:sz="4" w:space="0"/>
              <w:bottom w:val="single" w:color="auto" w:sz="4" w:space="0"/>
              <w:right w:val="single" w:color="auto" w:sz="4" w:space="0"/>
            </w:tcBorders>
            <w:vAlign w:val="center"/>
          </w:tcPr>
          <w:p w14:paraId="11B7C864">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14:paraId="10061D5B">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05CF52AB">
            <w:pPr>
              <w:widowControl/>
              <w:jc w:val="left"/>
              <w:rPr>
                <w:rFonts w:ascii="宋体" w:hAnsi="宋体" w:cs="宋体"/>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76F43E2C">
            <w:pPr>
              <w:widowControl/>
              <w:jc w:val="left"/>
              <w:rPr>
                <w:rFonts w:ascii="宋体" w:hAnsi="宋体" w:cs="宋体"/>
                <w:kern w:val="0"/>
                <w:sz w:val="20"/>
                <w:szCs w:val="20"/>
              </w:rPr>
            </w:pPr>
          </w:p>
        </w:tc>
        <w:tc>
          <w:tcPr>
            <w:tcW w:w="1700" w:type="dxa"/>
            <w:vMerge w:val="continue"/>
            <w:tcBorders>
              <w:top w:val="nil"/>
              <w:left w:val="single" w:color="000000" w:sz="8" w:space="0"/>
              <w:bottom w:val="single" w:color="000000" w:sz="8" w:space="0"/>
              <w:right w:val="single" w:color="000000" w:sz="8" w:space="0"/>
            </w:tcBorders>
            <w:vAlign w:val="center"/>
          </w:tcPr>
          <w:p w14:paraId="330DB7AC">
            <w:pPr>
              <w:widowControl/>
              <w:jc w:val="left"/>
              <w:rPr>
                <w:rFonts w:ascii="宋体" w:hAnsi="宋体" w:cs="宋体"/>
                <w:kern w:val="0"/>
                <w:sz w:val="20"/>
                <w:szCs w:val="20"/>
              </w:rPr>
            </w:pPr>
          </w:p>
        </w:tc>
        <w:tc>
          <w:tcPr>
            <w:tcW w:w="1725" w:type="dxa"/>
            <w:tcBorders>
              <w:top w:val="single" w:color="auto" w:sz="4" w:space="0"/>
              <w:left w:val="nil"/>
              <w:bottom w:val="single" w:color="000000" w:sz="8" w:space="0"/>
              <w:right w:val="single" w:color="000000" w:sz="8" w:space="0"/>
            </w:tcBorders>
            <w:vAlign w:val="center"/>
          </w:tcPr>
          <w:p w14:paraId="64DAE400">
            <w:pPr>
              <w:widowControl/>
              <w:jc w:val="center"/>
              <w:rPr>
                <w:rFonts w:ascii="宋体" w:hAnsi="宋体" w:cs="宋体"/>
                <w:kern w:val="0"/>
                <w:sz w:val="20"/>
                <w:szCs w:val="20"/>
              </w:rPr>
            </w:pPr>
            <w:r>
              <w:rPr>
                <w:rFonts w:hint="eastAsia" w:ascii="宋体" w:hAnsi="宋体" w:cs="宋体"/>
                <w:kern w:val="0"/>
                <w:sz w:val="20"/>
                <w:szCs w:val="20"/>
              </w:rPr>
              <w:t>单元式空气调节机(制冷量&gt;14000W</w:t>
            </w:r>
          </w:p>
        </w:tc>
        <w:tc>
          <w:tcPr>
            <w:tcW w:w="4410" w:type="dxa"/>
            <w:tcBorders>
              <w:top w:val="single" w:color="auto" w:sz="4" w:space="0"/>
              <w:left w:val="nil"/>
              <w:bottom w:val="single" w:color="000000" w:sz="8" w:space="0"/>
              <w:right w:val="single" w:color="000000" w:sz="8" w:space="0"/>
            </w:tcBorders>
            <w:vAlign w:val="center"/>
          </w:tcPr>
          <w:p w14:paraId="05927E0D">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《单元式空气调节机能效限定值及能效等级》（GB19576）《风管送风式空调机组能效限定值及能效等级》（GB37479）</w:t>
            </w:r>
          </w:p>
        </w:tc>
      </w:tr>
      <w:tr w14:paraId="67DC0DDB">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39C72AE2">
            <w:pPr>
              <w:widowControl/>
              <w:jc w:val="left"/>
              <w:rPr>
                <w:rFonts w:ascii="宋体" w:hAnsi="宋体" w:cs="宋体"/>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6F81DD7E">
            <w:pPr>
              <w:widowControl/>
              <w:jc w:val="left"/>
              <w:rPr>
                <w:rFonts w:ascii="宋体" w:hAnsi="宋体" w:cs="宋体"/>
                <w:kern w:val="0"/>
                <w:sz w:val="20"/>
                <w:szCs w:val="20"/>
              </w:rPr>
            </w:pPr>
          </w:p>
        </w:tc>
        <w:tc>
          <w:tcPr>
            <w:tcW w:w="1700" w:type="dxa"/>
            <w:tcBorders>
              <w:top w:val="nil"/>
              <w:left w:val="nil"/>
              <w:bottom w:val="single" w:color="000000" w:sz="8" w:space="0"/>
              <w:right w:val="single" w:color="000000" w:sz="8" w:space="0"/>
            </w:tcBorders>
            <w:vAlign w:val="center"/>
          </w:tcPr>
          <w:p w14:paraId="69306C20">
            <w:pPr>
              <w:widowControl/>
              <w:jc w:val="center"/>
              <w:rPr>
                <w:rFonts w:ascii="宋体" w:hAnsi="宋体" w:cs="宋体"/>
                <w:kern w:val="0"/>
                <w:sz w:val="20"/>
                <w:szCs w:val="20"/>
              </w:rPr>
            </w:pPr>
            <w:r>
              <w:rPr>
                <w:rFonts w:hint="eastAsia" w:ascii="宋体" w:hAnsi="宋体" w:cs="宋体"/>
                <w:kern w:val="0"/>
                <w:sz w:val="20"/>
                <w:szCs w:val="20"/>
              </w:rPr>
              <w:t>★A02052309专用制冷、空调设备</w:t>
            </w:r>
          </w:p>
        </w:tc>
        <w:tc>
          <w:tcPr>
            <w:tcW w:w="1725" w:type="dxa"/>
            <w:tcBorders>
              <w:top w:val="nil"/>
              <w:left w:val="nil"/>
              <w:bottom w:val="single" w:color="000000" w:sz="8" w:space="0"/>
              <w:right w:val="single" w:color="000000" w:sz="8" w:space="0"/>
            </w:tcBorders>
            <w:vAlign w:val="center"/>
          </w:tcPr>
          <w:p w14:paraId="49738DF4">
            <w:pPr>
              <w:widowControl/>
              <w:jc w:val="center"/>
              <w:rPr>
                <w:rFonts w:ascii="宋体" w:hAnsi="宋体" w:cs="宋体"/>
                <w:kern w:val="0"/>
                <w:sz w:val="20"/>
                <w:szCs w:val="20"/>
              </w:rPr>
            </w:pPr>
            <w:r>
              <w:rPr>
                <w:rFonts w:hint="eastAsia" w:ascii="宋体" w:hAnsi="宋体" w:cs="宋体"/>
                <w:kern w:val="0"/>
                <w:sz w:val="20"/>
                <w:szCs w:val="20"/>
              </w:rPr>
              <w:t>机房空调</w:t>
            </w:r>
          </w:p>
        </w:tc>
        <w:tc>
          <w:tcPr>
            <w:tcW w:w="4410" w:type="dxa"/>
            <w:tcBorders>
              <w:top w:val="nil"/>
              <w:left w:val="nil"/>
              <w:bottom w:val="single" w:color="000000" w:sz="8" w:space="0"/>
              <w:right w:val="single" w:color="000000" w:sz="8" w:space="0"/>
            </w:tcBorders>
            <w:vAlign w:val="center"/>
          </w:tcPr>
          <w:p w14:paraId="51009233">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w:t>
            </w:r>
          </w:p>
        </w:tc>
      </w:tr>
      <w:tr w14:paraId="277527A6">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167B9D52">
            <w:pPr>
              <w:widowControl/>
              <w:jc w:val="left"/>
              <w:rPr>
                <w:rFonts w:ascii="宋体" w:hAnsi="宋体" w:cs="宋体"/>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68A96993">
            <w:pPr>
              <w:widowControl/>
              <w:jc w:val="left"/>
              <w:rPr>
                <w:rFonts w:ascii="宋体" w:hAnsi="宋体" w:cs="宋体"/>
                <w:kern w:val="0"/>
                <w:sz w:val="20"/>
                <w:szCs w:val="20"/>
              </w:rPr>
            </w:pPr>
          </w:p>
        </w:tc>
        <w:tc>
          <w:tcPr>
            <w:tcW w:w="1700" w:type="dxa"/>
            <w:tcBorders>
              <w:top w:val="nil"/>
              <w:left w:val="nil"/>
              <w:bottom w:val="single" w:color="000000" w:sz="8" w:space="0"/>
              <w:right w:val="single" w:color="000000" w:sz="8" w:space="0"/>
            </w:tcBorders>
            <w:vAlign w:val="center"/>
          </w:tcPr>
          <w:p w14:paraId="11572FE2">
            <w:pPr>
              <w:widowControl/>
              <w:jc w:val="center"/>
              <w:rPr>
                <w:rFonts w:ascii="宋体" w:hAnsi="宋体" w:cs="宋体"/>
                <w:kern w:val="0"/>
                <w:sz w:val="20"/>
                <w:szCs w:val="20"/>
              </w:rPr>
            </w:pPr>
            <w:r>
              <w:rPr>
                <w:rFonts w:hint="eastAsia" w:ascii="宋体" w:hAnsi="宋体" w:cs="宋体"/>
                <w:kern w:val="0"/>
                <w:sz w:val="20"/>
                <w:szCs w:val="20"/>
              </w:rPr>
              <w:t>A02052399其他制冷空调设备</w:t>
            </w:r>
          </w:p>
        </w:tc>
        <w:tc>
          <w:tcPr>
            <w:tcW w:w="1725" w:type="dxa"/>
            <w:tcBorders>
              <w:top w:val="nil"/>
              <w:left w:val="nil"/>
              <w:bottom w:val="single" w:color="000000" w:sz="8" w:space="0"/>
              <w:right w:val="single" w:color="000000" w:sz="8" w:space="0"/>
            </w:tcBorders>
            <w:vAlign w:val="center"/>
          </w:tcPr>
          <w:p w14:paraId="2A16F908">
            <w:pPr>
              <w:widowControl/>
              <w:jc w:val="center"/>
              <w:rPr>
                <w:rFonts w:ascii="宋体" w:hAnsi="宋体" w:cs="宋体"/>
                <w:kern w:val="0"/>
                <w:sz w:val="20"/>
                <w:szCs w:val="20"/>
              </w:rPr>
            </w:pPr>
            <w:r>
              <w:rPr>
                <w:rFonts w:hint="eastAsia" w:ascii="宋体" w:hAnsi="宋体" w:cs="宋体"/>
                <w:kern w:val="0"/>
                <w:sz w:val="20"/>
                <w:szCs w:val="20"/>
              </w:rPr>
              <w:t>冷却塔</w:t>
            </w:r>
          </w:p>
        </w:tc>
        <w:tc>
          <w:tcPr>
            <w:tcW w:w="4410" w:type="dxa"/>
            <w:tcBorders>
              <w:top w:val="nil"/>
              <w:left w:val="nil"/>
              <w:bottom w:val="single" w:color="000000" w:sz="8" w:space="0"/>
              <w:right w:val="single" w:color="000000" w:sz="8" w:space="0"/>
            </w:tcBorders>
            <w:vAlign w:val="center"/>
          </w:tcPr>
          <w:p w14:paraId="29DFE9DA">
            <w:pPr>
              <w:widowControl/>
              <w:jc w:val="left"/>
              <w:rPr>
                <w:rFonts w:ascii="宋体" w:hAnsi="宋体" w:cs="宋体"/>
                <w:kern w:val="0"/>
                <w:sz w:val="20"/>
                <w:szCs w:val="20"/>
              </w:rPr>
            </w:pPr>
            <w:r>
              <w:rPr>
                <w:rFonts w:hint="eastAsia" w:ascii="宋体" w:hAnsi="宋体" w:cs="宋体"/>
                <w:kern w:val="0"/>
                <w:sz w:val="20"/>
                <w:szCs w:val="20"/>
              </w:rPr>
              <w:t>《机械通风冷却塔第1部分：中小型开式冷却塔》（GB/T7190.1）；《机械通风冷却塔第2部分：大型开式冷却塔》（GB/T7190.2）</w:t>
            </w:r>
          </w:p>
        </w:tc>
      </w:tr>
      <w:tr w14:paraId="6532119B">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077CA2C5">
            <w:pPr>
              <w:widowControl/>
              <w:jc w:val="center"/>
              <w:rPr>
                <w:rFonts w:ascii="宋体" w:hAnsi="宋体" w:cs="宋体"/>
                <w:kern w:val="0"/>
                <w:sz w:val="20"/>
                <w:szCs w:val="20"/>
              </w:rPr>
            </w:pPr>
            <w:r>
              <w:rPr>
                <w:rFonts w:hint="eastAsia" w:ascii="宋体" w:hAnsi="宋体" w:cs="宋体"/>
                <w:kern w:val="0"/>
                <w:sz w:val="20"/>
                <w:szCs w:val="20"/>
              </w:rPr>
              <w:t>7</w:t>
            </w:r>
          </w:p>
        </w:tc>
        <w:tc>
          <w:tcPr>
            <w:tcW w:w="1116" w:type="dxa"/>
            <w:tcBorders>
              <w:top w:val="nil"/>
              <w:left w:val="nil"/>
              <w:bottom w:val="single" w:color="000000" w:sz="8" w:space="0"/>
              <w:right w:val="single" w:color="000000" w:sz="8" w:space="0"/>
            </w:tcBorders>
            <w:vAlign w:val="center"/>
          </w:tcPr>
          <w:p w14:paraId="16965278">
            <w:pPr>
              <w:widowControl/>
              <w:jc w:val="center"/>
              <w:rPr>
                <w:rFonts w:ascii="宋体" w:hAnsi="宋体" w:cs="宋体"/>
                <w:kern w:val="0"/>
                <w:sz w:val="20"/>
                <w:szCs w:val="20"/>
              </w:rPr>
            </w:pPr>
            <w:r>
              <w:rPr>
                <w:rFonts w:hint="eastAsia" w:ascii="宋体" w:hAnsi="宋体" w:cs="宋体"/>
                <w:kern w:val="0"/>
                <w:sz w:val="20"/>
                <w:szCs w:val="20"/>
              </w:rPr>
              <w:t>A020601电机</w:t>
            </w:r>
          </w:p>
        </w:tc>
        <w:tc>
          <w:tcPr>
            <w:tcW w:w="1700" w:type="dxa"/>
            <w:tcBorders>
              <w:top w:val="nil"/>
              <w:left w:val="nil"/>
              <w:bottom w:val="single" w:color="000000" w:sz="8" w:space="0"/>
              <w:right w:val="single" w:color="000000" w:sz="8" w:space="0"/>
            </w:tcBorders>
            <w:vAlign w:val="center"/>
          </w:tcPr>
          <w:p w14:paraId="46806988">
            <w:pPr>
              <w:widowControl/>
              <w:jc w:val="center"/>
              <w:rPr>
                <w:rFonts w:ascii="宋体" w:hAnsi="宋体" w:cs="宋体"/>
                <w:kern w:val="0"/>
                <w:sz w:val="20"/>
                <w:szCs w:val="20"/>
              </w:rPr>
            </w:pPr>
            <w:r>
              <w:rPr>
                <w:rFonts w:hint="eastAsia" w:ascii="宋体" w:hAnsi="宋体" w:cs="宋体"/>
                <w:kern w:val="0"/>
                <w:sz w:val="20"/>
                <w:szCs w:val="20"/>
              </w:rPr>
              <w:t>　</w:t>
            </w:r>
          </w:p>
        </w:tc>
        <w:tc>
          <w:tcPr>
            <w:tcW w:w="1725" w:type="dxa"/>
            <w:tcBorders>
              <w:top w:val="nil"/>
              <w:left w:val="nil"/>
              <w:bottom w:val="single" w:color="000000" w:sz="8" w:space="0"/>
              <w:right w:val="single" w:color="000000" w:sz="8" w:space="0"/>
            </w:tcBorders>
            <w:vAlign w:val="center"/>
          </w:tcPr>
          <w:p w14:paraId="1C142D57">
            <w:pPr>
              <w:widowControl/>
              <w:jc w:val="center"/>
              <w:rPr>
                <w:rFonts w:ascii="宋体" w:hAnsi="宋体" w:cs="宋体"/>
                <w:kern w:val="0"/>
                <w:sz w:val="20"/>
                <w:szCs w:val="20"/>
              </w:rPr>
            </w:pPr>
            <w:r>
              <w:rPr>
                <w:rFonts w:hint="eastAsia" w:ascii="宋体" w:hAnsi="宋体" w:cs="宋体"/>
                <w:kern w:val="0"/>
                <w:sz w:val="20"/>
                <w:szCs w:val="20"/>
              </w:rPr>
              <w:t>　</w:t>
            </w:r>
          </w:p>
        </w:tc>
        <w:tc>
          <w:tcPr>
            <w:tcW w:w="4410" w:type="dxa"/>
            <w:tcBorders>
              <w:top w:val="nil"/>
              <w:left w:val="nil"/>
              <w:bottom w:val="single" w:color="000000" w:sz="8" w:space="0"/>
              <w:right w:val="single" w:color="000000" w:sz="8" w:space="0"/>
            </w:tcBorders>
            <w:vAlign w:val="center"/>
          </w:tcPr>
          <w:p w14:paraId="5A1BB9C8">
            <w:pPr>
              <w:widowControl/>
              <w:jc w:val="left"/>
              <w:rPr>
                <w:rFonts w:ascii="宋体" w:hAnsi="宋体" w:cs="宋体"/>
                <w:kern w:val="0"/>
                <w:sz w:val="20"/>
                <w:szCs w:val="20"/>
              </w:rPr>
            </w:pPr>
            <w:r>
              <w:rPr>
                <w:rFonts w:hint="eastAsia" w:ascii="宋体" w:hAnsi="宋体" w:cs="宋体"/>
                <w:kern w:val="0"/>
                <w:sz w:val="20"/>
                <w:szCs w:val="20"/>
              </w:rPr>
              <w:t>《中小型三相异步电动机能效限定值及能效等级》（GB18613）</w:t>
            </w:r>
          </w:p>
        </w:tc>
      </w:tr>
      <w:tr w14:paraId="2F22F1FB">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53B05B88">
            <w:pPr>
              <w:widowControl/>
              <w:jc w:val="center"/>
              <w:rPr>
                <w:rFonts w:ascii="宋体" w:hAnsi="宋体" w:cs="宋体"/>
                <w:kern w:val="0"/>
                <w:sz w:val="20"/>
                <w:szCs w:val="20"/>
              </w:rPr>
            </w:pPr>
            <w:r>
              <w:rPr>
                <w:rFonts w:hint="eastAsia" w:ascii="宋体" w:hAnsi="宋体" w:cs="宋体"/>
                <w:kern w:val="0"/>
                <w:sz w:val="20"/>
                <w:szCs w:val="20"/>
              </w:rPr>
              <w:t>8</w:t>
            </w:r>
          </w:p>
        </w:tc>
        <w:tc>
          <w:tcPr>
            <w:tcW w:w="1116" w:type="dxa"/>
            <w:tcBorders>
              <w:top w:val="nil"/>
              <w:left w:val="nil"/>
              <w:bottom w:val="single" w:color="000000" w:sz="8" w:space="0"/>
              <w:right w:val="single" w:color="000000" w:sz="8" w:space="0"/>
            </w:tcBorders>
            <w:vAlign w:val="center"/>
          </w:tcPr>
          <w:p w14:paraId="344A6526">
            <w:pPr>
              <w:widowControl/>
              <w:jc w:val="center"/>
              <w:rPr>
                <w:rFonts w:ascii="宋体" w:hAnsi="宋体" w:cs="宋体"/>
                <w:kern w:val="0"/>
                <w:sz w:val="20"/>
                <w:szCs w:val="20"/>
              </w:rPr>
            </w:pPr>
            <w:r>
              <w:rPr>
                <w:rFonts w:hint="eastAsia" w:ascii="宋体" w:hAnsi="宋体" w:cs="宋体"/>
                <w:kern w:val="0"/>
                <w:sz w:val="20"/>
                <w:szCs w:val="20"/>
              </w:rPr>
              <w:t>A020602变压器</w:t>
            </w:r>
          </w:p>
        </w:tc>
        <w:tc>
          <w:tcPr>
            <w:tcW w:w="1700" w:type="dxa"/>
            <w:tcBorders>
              <w:top w:val="nil"/>
              <w:left w:val="nil"/>
              <w:bottom w:val="single" w:color="000000" w:sz="8" w:space="0"/>
              <w:right w:val="single" w:color="000000" w:sz="8" w:space="0"/>
            </w:tcBorders>
            <w:vAlign w:val="center"/>
          </w:tcPr>
          <w:p w14:paraId="6646AFFC">
            <w:pPr>
              <w:widowControl/>
              <w:jc w:val="center"/>
              <w:rPr>
                <w:rFonts w:ascii="宋体" w:hAnsi="宋体" w:cs="宋体"/>
                <w:kern w:val="0"/>
                <w:sz w:val="20"/>
                <w:szCs w:val="20"/>
              </w:rPr>
            </w:pPr>
            <w:r>
              <w:rPr>
                <w:rFonts w:hint="eastAsia" w:ascii="宋体" w:hAnsi="宋体" w:cs="宋体"/>
                <w:kern w:val="0"/>
                <w:sz w:val="20"/>
                <w:szCs w:val="20"/>
              </w:rPr>
              <w:t>配电变压器</w:t>
            </w:r>
          </w:p>
        </w:tc>
        <w:tc>
          <w:tcPr>
            <w:tcW w:w="1725" w:type="dxa"/>
            <w:tcBorders>
              <w:top w:val="nil"/>
              <w:left w:val="nil"/>
              <w:bottom w:val="single" w:color="000000" w:sz="8" w:space="0"/>
              <w:right w:val="single" w:color="000000" w:sz="8" w:space="0"/>
            </w:tcBorders>
            <w:vAlign w:val="center"/>
          </w:tcPr>
          <w:p w14:paraId="528DADB9">
            <w:pPr>
              <w:widowControl/>
              <w:jc w:val="center"/>
              <w:rPr>
                <w:rFonts w:ascii="宋体" w:hAnsi="宋体" w:cs="宋体"/>
                <w:kern w:val="0"/>
                <w:sz w:val="20"/>
                <w:szCs w:val="20"/>
              </w:rPr>
            </w:pPr>
            <w:r>
              <w:rPr>
                <w:rFonts w:hint="eastAsia" w:ascii="宋体" w:hAnsi="宋体" w:cs="宋体"/>
                <w:kern w:val="0"/>
                <w:sz w:val="20"/>
                <w:szCs w:val="20"/>
              </w:rPr>
              <w:t>　</w:t>
            </w:r>
          </w:p>
        </w:tc>
        <w:tc>
          <w:tcPr>
            <w:tcW w:w="4410" w:type="dxa"/>
            <w:tcBorders>
              <w:top w:val="nil"/>
              <w:left w:val="nil"/>
              <w:bottom w:val="single" w:color="000000" w:sz="8" w:space="0"/>
              <w:right w:val="single" w:color="000000" w:sz="8" w:space="0"/>
            </w:tcBorders>
            <w:vAlign w:val="center"/>
          </w:tcPr>
          <w:p w14:paraId="131E3DA7">
            <w:pPr>
              <w:widowControl/>
              <w:jc w:val="left"/>
              <w:rPr>
                <w:rFonts w:ascii="宋体" w:hAnsi="宋体" w:cs="宋体"/>
                <w:kern w:val="0"/>
                <w:sz w:val="20"/>
                <w:szCs w:val="20"/>
              </w:rPr>
            </w:pPr>
            <w:r>
              <w:rPr>
                <w:rFonts w:hint="eastAsia" w:ascii="宋体" w:hAnsi="宋体" w:cs="宋体"/>
                <w:kern w:val="0"/>
                <w:sz w:val="20"/>
                <w:szCs w:val="20"/>
              </w:rPr>
              <w:t>《三相配电变压器能效限定值及能效等级》（GB20052）</w:t>
            </w:r>
          </w:p>
        </w:tc>
      </w:tr>
      <w:tr w14:paraId="6F98A037">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451DD01F">
            <w:pPr>
              <w:widowControl/>
              <w:jc w:val="center"/>
              <w:rPr>
                <w:rFonts w:ascii="宋体" w:hAnsi="宋体" w:cs="宋体"/>
                <w:kern w:val="0"/>
                <w:sz w:val="20"/>
                <w:szCs w:val="20"/>
              </w:rPr>
            </w:pPr>
            <w:r>
              <w:rPr>
                <w:rFonts w:hint="eastAsia" w:ascii="宋体" w:hAnsi="宋体" w:cs="宋体"/>
                <w:kern w:val="0"/>
                <w:sz w:val="20"/>
                <w:szCs w:val="20"/>
              </w:rPr>
              <w:t>9</w:t>
            </w:r>
          </w:p>
        </w:tc>
        <w:tc>
          <w:tcPr>
            <w:tcW w:w="1116" w:type="dxa"/>
            <w:tcBorders>
              <w:top w:val="nil"/>
              <w:left w:val="nil"/>
              <w:bottom w:val="single" w:color="000000" w:sz="8" w:space="0"/>
              <w:right w:val="single" w:color="000000" w:sz="8" w:space="0"/>
            </w:tcBorders>
            <w:vAlign w:val="center"/>
          </w:tcPr>
          <w:p w14:paraId="44C0CB78">
            <w:pPr>
              <w:widowControl/>
              <w:jc w:val="center"/>
              <w:rPr>
                <w:rFonts w:ascii="宋体" w:hAnsi="宋体" w:cs="宋体"/>
                <w:kern w:val="0"/>
                <w:sz w:val="20"/>
                <w:szCs w:val="20"/>
              </w:rPr>
            </w:pPr>
            <w:r>
              <w:rPr>
                <w:rFonts w:hint="eastAsia" w:ascii="宋体" w:hAnsi="宋体" w:cs="宋体"/>
                <w:kern w:val="0"/>
                <w:sz w:val="20"/>
                <w:szCs w:val="20"/>
              </w:rPr>
              <w:t>★A020609镇流器</w:t>
            </w:r>
          </w:p>
        </w:tc>
        <w:tc>
          <w:tcPr>
            <w:tcW w:w="1700" w:type="dxa"/>
            <w:tcBorders>
              <w:top w:val="nil"/>
              <w:left w:val="nil"/>
              <w:bottom w:val="single" w:color="000000" w:sz="8" w:space="0"/>
              <w:right w:val="single" w:color="000000" w:sz="8" w:space="0"/>
            </w:tcBorders>
            <w:vAlign w:val="center"/>
          </w:tcPr>
          <w:p w14:paraId="1EA8BAC6">
            <w:pPr>
              <w:widowControl/>
              <w:jc w:val="center"/>
              <w:rPr>
                <w:rFonts w:ascii="宋体" w:hAnsi="宋体" w:cs="宋体"/>
                <w:kern w:val="0"/>
                <w:sz w:val="20"/>
                <w:szCs w:val="20"/>
              </w:rPr>
            </w:pPr>
            <w:r>
              <w:rPr>
                <w:rFonts w:hint="eastAsia" w:ascii="宋体" w:hAnsi="宋体" w:cs="宋体"/>
                <w:kern w:val="0"/>
                <w:sz w:val="20"/>
                <w:szCs w:val="20"/>
              </w:rPr>
              <w:t>管型荧光灯镇流器</w:t>
            </w:r>
          </w:p>
        </w:tc>
        <w:tc>
          <w:tcPr>
            <w:tcW w:w="1725" w:type="dxa"/>
            <w:tcBorders>
              <w:top w:val="nil"/>
              <w:left w:val="nil"/>
              <w:bottom w:val="single" w:color="000000" w:sz="8" w:space="0"/>
              <w:right w:val="single" w:color="000000" w:sz="8" w:space="0"/>
            </w:tcBorders>
            <w:vAlign w:val="center"/>
          </w:tcPr>
          <w:p w14:paraId="0318450B">
            <w:pPr>
              <w:widowControl/>
              <w:jc w:val="center"/>
              <w:rPr>
                <w:rFonts w:ascii="宋体" w:hAnsi="宋体" w:cs="宋体"/>
                <w:kern w:val="0"/>
                <w:sz w:val="20"/>
                <w:szCs w:val="20"/>
              </w:rPr>
            </w:pPr>
            <w:r>
              <w:rPr>
                <w:rFonts w:hint="eastAsia" w:ascii="宋体" w:hAnsi="宋体" w:cs="宋体"/>
                <w:kern w:val="0"/>
                <w:sz w:val="20"/>
                <w:szCs w:val="20"/>
              </w:rPr>
              <w:t>　</w:t>
            </w:r>
          </w:p>
        </w:tc>
        <w:tc>
          <w:tcPr>
            <w:tcW w:w="4410" w:type="dxa"/>
            <w:tcBorders>
              <w:top w:val="nil"/>
              <w:left w:val="nil"/>
              <w:bottom w:val="single" w:color="000000" w:sz="8" w:space="0"/>
              <w:right w:val="single" w:color="000000" w:sz="8" w:space="0"/>
            </w:tcBorders>
            <w:vAlign w:val="center"/>
          </w:tcPr>
          <w:p w14:paraId="6CB1F329">
            <w:pPr>
              <w:widowControl/>
              <w:jc w:val="left"/>
              <w:rPr>
                <w:rFonts w:ascii="宋体" w:hAnsi="宋体" w:cs="宋体"/>
                <w:kern w:val="0"/>
                <w:sz w:val="20"/>
                <w:szCs w:val="20"/>
              </w:rPr>
            </w:pPr>
            <w:r>
              <w:rPr>
                <w:rFonts w:hint="eastAsia" w:ascii="宋体" w:hAnsi="宋体" w:cs="宋体"/>
                <w:kern w:val="0"/>
                <w:sz w:val="20"/>
                <w:szCs w:val="20"/>
              </w:rPr>
              <w:t>《管形荧光灯镇流器能效限定值及能效等级》（GB17896）</w:t>
            </w:r>
          </w:p>
        </w:tc>
      </w:tr>
      <w:tr w14:paraId="1ABE5DD2">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vAlign w:val="center"/>
          </w:tcPr>
          <w:p w14:paraId="7390B6BE">
            <w:pPr>
              <w:widowControl/>
              <w:jc w:val="center"/>
              <w:rPr>
                <w:rFonts w:ascii="宋体" w:hAnsi="宋体" w:cs="宋体"/>
                <w:kern w:val="0"/>
                <w:sz w:val="20"/>
                <w:szCs w:val="20"/>
              </w:rPr>
            </w:pPr>
            <w:r>
              <w:rPr>
                <w:rFonts w:hint="eastAsia" w:ascii="宋体" w:hAnsi="宋体" w:cs="宋体"/>
                <w:kern w:val="0"/>
                <w:sz w:val="20"/>
                <w:szCs w:val="20"/>
              </w:rPr>
              <w:t>10</w:t>
            </w:r>
          </w:p>
        </w:tc>
        <w:tc>
          <w:tcPr>
            <w:tcW w:w="1116" w:type="dxa"/>
            <w:vMerge w:val="restart"/>
            <w:tcBorders>
              <w:top w:val="nil"/>
              <w:left w:val="single" w:color="000000" w:sz="8" w:space="0"/>
              <w:bottom w:val="single" w:color="000000" w:sz="8" w:space="0"/>
              <w:right w:val="single" w:color="000000" w:sz="8" w:space="0"/>
            </w:tcBorders>
            <w:vAlign w:val="center"/>
          </w:tcPr>
          <w:p w14:paraId="2F084451">
            <w:pPr>
              <w:widowControl/>
              <w:jc w:val="center"/>
              <w:rPr>
                <w:rFonts w:ascii="宋体" w:hAnsi="宋体" w:cs="宋体"/>
                <w:kern w:val="0"/>
                <w:sz w:val="20"/>
                <w:szCs w:val="20"/>
              </w:rPr>
            </w:pPr>
            <w:r>
              <w:rPr>
                <w:rFonts w:hint="eastAsia" w:ascii="宋体" w:hAnsi="宋体" w:cs="宋体"/>
                <w:kern w:val="0"/>
                <w:sz w:val="20"/>
                <w:szCs w:val="20"/>
              </w:rPr>
              <w:t>A020618生活用电器</w:t>
            </w:r>
          </w:p>
        </w:tc>
        <w:tc>
          <w:tcPr>
            <w:tcW w:w="1700" w:type="dxa"/>
            <w:tcBorders>
              <w:top w:val="nil"/>
              <w:left w:val="nil"/>
              <w:bottom w:val="single" w:color="000000" w:sz="8" w:space="0"/>
              <w:right w:val="single" w:color="000000" w:sz="8" w:space="0"/>
            </w:tcBorders>
            <w:vAlign w:val="center"/>
          </w:tcPr>
          <w:p w14:paraId="54EA2365">
            <w:pPr>
              <w:widowControl/>
              <w:jc w:val="center"/>
              <w:rPr>
                <w:rFonts w:ascii="宋体" w:hAnsi="宋体" w:cs="宋体"/>
                <w:kern w:val="0"/>
                <w:sz w:val="20"/>
                <w:szCs w:val="20"/>
              </w:rPr>
            </w:pPr>
            <w:r>
              <w:rPr>
                <w:rFonts w:hint="eastAsia" w:ascii="宋体" w:hAnsi="宋体" w:cs="宋体"/>
                <w:kern w:val="0"/>
                <w:sz w:val="20"/>
                <w:szCs w:val="20"/>
              </w:rPr>
              <w:t>A0206180101电冰箱</w:t>
            </w:r>
          </w:p>
        </w:tc>
        <w:tc>
          <w:tcPr>
            <w:tcW w:w="1725" w:type="dxa"/>
            <w:tcBorders>
              <w:top w:val="nil"/>
              <w:left w:val="nil"/>
              <w:bottom w:val="single" w:color="000000" w:sz="8" w:space="0"/>
              <w:right w:val="single" w:color="000000" w:sz="8" w:space="0"/>
            </w:tcBorders>
            <w:vAlign w:val="center"/>
          </w:tcPr>
          <w:p w14:paraId="5564DABE">
            <w:pPr>
              <w:widowControl/>
              <w:jc w:val="center"/>
              <w:rPr>
                <w:rFonts w:ascii="宋体" w:hAnsi="宋体" w:cs="宋体"/>
                <w:kern w:val="0"/>
                <w:sz w:val="20"/>
                <w:szCs w:val="20"/>
              </w:rPr>
            </w:pPr>
            <w:r>
              <w:rPr>
                <w:rFonts w:hint="eastAsia" w:ascii="宋体" w:hAnsi="宋体" w:cs="宋体"/>
                <w:kern w:val="0"/>
                <w:sz w:val="20"/>
                <w:szCs w:val="20"/>
              </w:rPr>
              <w:t>　</w:t>
            </w:r>
          </w:p>
        </w:tc>
        <w:tc>
          <w:tcPr>
            <w:tcW w:w="4410" w:type="dxa"/>
            <w:tcBorders>
              <w:top w:val="nil"/>
              <w:left w:val="nil"/>
              <w:bottom w:val="single" w:color="000000" w:sz="8" w:space="0"/>
              <w:right w:val="single" w:color="000000" w:sz="8" w:space="0"/>
            </w:tcBorders>
            <w:vAlign w:val="center"/>
          </w:tcPr>
          <w:p w14:paraId="369D3181">
            <w:pPr>
              <w:widowControl/>
              <w:jc w:val="left"/>
              <w:rPr>
                <w:rFonts w:ascii="宋体" w:hAnsi="宋体" w:cs="宋体"/>
                <w:kern w:val="0"/>
                <w:sz w:val="20"/>
                <w:szCs w:val="20"/>
              </w:rPr>
            </w:pPr>
            <w:r>
              <w:rPr>
                <w:rFonts w:hint="eastAsia" w:ascii="宋体" w:hAnsi="宋体" w:cs="宋体"/>
                <w:kern w:val="0"/>
                <w:sz w:val="20"/>
                <w:szCs w:val="20"/>
              </w:rPr>
              <w:t>《家用电冰箱耗电量限定值及能效等级》（GB 12021.2）</w:t>
            </w:r>
          </w:p>
        </w:tc>
      </w:tr>
      <w:tr w14:paraId="6F0423C4">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vAlign w:val="center"/>
          </w:tcPr>
          <w:p w14:paraId="04D6BD72">
            <w:pPr>
              <w:widowControl/>
              <w:jc w:val="left"/>
              <w:rPr>
                <w:rFonts w:ascii="宋体" w:hAnsi="宋体" w:cs="宋体"/>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558CC9D4">
            <w:pPr>
              <w:widowControl/>
              <w:jc w:val="left"/>
              <w:rPr>
                <w:rFonts w:ascii="宋体" w:hAnsi="宋体" w:cs="宋体"/>
                <w:kern w:val="0"/>
                <w:sz w:val="20"/>
                <w:szCs w:val="20"/>
              </w:rPr>
            </w:pPr>
          </w:p>
        </w:tc>
        <w:tc>
          <w:tcPr>
            <w:tcW w:w="1700" w:type="dxa"/>
            <w:vMerge w:val="restart"/>
            <w:tcBorders>
              <w:top w:val="nil"/>
              <w:left w:val="single" w:color="000000" w:sz="8" w:space="0"/>
              <w:bottom w:val="single" w:color="000000" w:sz="8" w:space="0"/>
              <w:right w:val="single" w:color="000000" w:sz="8" w:space="0"/>
            </w:tcBorders>
            <w:vAlign w:val="center"/>
          </w:tcPr>
          <w:p w14:paraId="58A15988">
            <w:pPr>
              <w:widowControl/>
              <w:jc w:val="center"/>
              <w:rPr>
                <w:rFonts w:ascii="宋体" w:hAnsi="宋体" w:cs="宋体"/>
                <w:kern w:val="0"/>
                <w:sz w:val="20"/>
                <w:szCs w:val="20"/>
              </w:rPr>
            </w:pPr>
            <w:r>
              <w:rPr>
                <w:rFonts w:hint="eastAsia" w:ascii="宋体" w:hAnsi="宋体" w:cs="宋体"/>
                <w:kern w:val="0"/>
                <w:sz w:val="20"/>
                <w:szCs w:val="20"/>
              </w:rPr>
              <w:t>★A0206180203空调机</w:t>
            </w:r>
          </w:p>
        </w:tc>
        <w:tc>
          <w:tcPr>
            <w:tcW w:w="1725" w:type="dxa"/>
            <w:tcBorders>
              <w:top w:val="nil"/>
              <w:left w:val="nil"/>
              <w:bottom w:val="single" w:color="000000" w:sz="8" w:space="0"/>
              <w:right w:val="single" w:color="000000" w:sz="8" w:space="0"/>
            </w:tcBorders>
            <w:vAlign w:val="center"/>
          </w:tcPr>
          <w:p w14:paraId="6F2E8400">
            <w:pPr>
              <w:widowControl/>
              <w:jc w:val="center"/>
              <w:rPr>
                <w:rFonts w:ascii="宋体" w:hAnsi="宋体" w:cs="宋体"/>
                <w:kern w:val="0"/>
                <w:sz w:val="20"/>
                <w:szCs w:val="20"/>
              </w:rPr>
            </w:pPr>
            <w:r>
              <w:rPr>
                <w:rFonts w:hint="eastAsia" w:ascii="宋体" w:hAnsi="宋体" w:cs="宋体"/>
                <w:kern w:val="0"/>
                <w:sz w:val="20"/>
                <w:szCs w:val="20"/>
              </w:rPr>
              <w:t>房间空气调节器</w:t>
            </w:r>
          </w:p>
        </w:tc>
        <w:tc>
          <w:tcPr>
            <w:tcW w:w="4410" w:type="dxa"/>
            <w:tcBorders>
              <w:top w:val="nil"/>
              <w:left w:val="nil"/>
              <w:bottom w:val="single" w:color="000000" w:sz="8" w:space="0"/>
              <w:right w:val="single" w:color="000000" w:sz="8" w:space="0"/>
            </w:tcBorders>
            <w:vAlign w:val="center"/>
          </w:tcPr>
          <w:p w14:paraId="38012E6E">
            <w:pPr>
              <w:widowControl/>
              <w:jc w:val="left"/>
              <w:rPr>
                <w:rFonts w:ascii="宋体" w:hAnsi="宋体" w:cs="宋体"/>
                <w:kern w:val="0"/>
                <w:sz w:val="20"/>
                <w:szCs w:val="20"/>
              </w:rPr>
            </w:pPr>
            <w:r>
              <w:rPr>
                <w:rFonts w:hint="eastAsia" w:ascii="宋体" w:hAnsi="宋体" w:cs="宋体"/>
                <w:kern w:val="0"/>
                <w:sz w:val="20"/>
                <w:szCs w:val="20"/>
              </w:rPr>
              <w:t>《转速可控型房间空气调节器能效限定值及能效等级》（GB21455-2013），待2019年修订发布后，按《房间空气调节器能效限定值及能效等级》（GB21455-2019实施。</w:t>
            </w:r>
          </w:p>
        </w:tc>
      </w:tr>
      <w:tr w14:paraId="33948811">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12053E63">
            <w:pPr>
              <w:widowControl/>
              <w:jc w:val="left"/>
              <w:rPr>
                <w:rFonts w:ascii="宋体" w:hAnsi="宋体" w:cs="宋体"/>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54D02E4D">
            <w:pPr>
              <w:widowControl/>
              <w:jc w:val="left"/>
              <w:rPr>
                <w:rFonts w:ascii="宋体" w:hAnsi="宋体" w:cs="宋体"/>
                <w:kern w:val="0"/>
                <w:sz w:val="20"/>
                <w:szCs w:val="20"/>
              </w:rPr>
            </w:pPr>
          </w:p>
        </w:tc>
        <w:tc>
          <w:tcPr>
            <w:tcW w:w="1700" w:type="dxa"/>
            <w:vMerge w:val="continue"/>
            <w:tcBorders>
              <w:top w:val="nil"/>
              <w:left w:val="single" w:color="000000" w:sz="8" w:space="0"/>
              <w:bottom w:val="single" w:color="000000" w:sz="8" w:space="0"/>
              <w:right w:val="single" w:color="000000" w:sz="8" w:space="0"/>
            </w:tcBorders>
            <w:vAlign w:val="center"/>
          </w:tcPr>
          <w:p w14:paraId="108DF1E7">
            <w:pPr>
              <w:widowControl/>
              <w:jc w:val="left"/>
              <w:rPr>
                <w:rFonts w:ascii="宋体" w:hAnsi="宋体" w:cs="宋体"/>
                <w:kern w:val="0"/>
                <w:sz w:val="20"/>
                <w:szCs w:val="20"/>
              </w:rPr>
            </w:pPr>
          </w:p>
        </w:tc>
        <w:tc>
          <w:tcPr>
            <w:tcW w:w="1725" w:type="dxa"/>
            <w:tcBorders>
              <w:top w:val="nil"/>
              <w:left w:val="nil"/>
              <w:bottom w:val="single" w:color="000000" w:sz="8" w:space="0"/>
              <w:right w:val="single" w:color="000000" w:sz="8" w:space="0"/>
            </w:tcBorders>
            <w:vAlign w:val="center"/>
          </w:tcPr>
          <w:p w14:paraId="48FC1EA8">
            <w:pPr>
              <w:widowControl/>
              <w:jc w:val="center"/>
              <w:rPr>
                <w:rFonts w:ascii="宋体" w:hAnsi="宋体" w:cs="宋体"/>
                <w:kern w:val="0"/>
                <w:sz w:val="20"/>
                <w:szCs w:val="20"/>
              </w:rPr>
            </w:pPr>
            <w:r>
              <w:rPr>
                <w:rFonts w:hint="eastAsia" w:ascii="宋体" w:hAnsi="宋体" w:cs="宋体"/>
                <w:kern w:val="0"/>
                <w:sz w:val="20"/>
                <w:szCs w:val="20"/>
              </w:rPr>
              <w:t>多联式空调（热泵）机组（制冷量≤ 14000W）</w:t>
            </w:r>
          </w:p>
        </w:tc>
        <w:tc>
          <w:tcPr>
            <w:tcW w:w="4410" w:type="dxa"/>
            <w:tcBorders>
              <w:top w:val="nil"/>
              <w:left w:val="nil"/>
              <w:bottom w:val="single" w:color="000000" w:sz="8" w:space="0"/>
              <w:right w:val="single" w:color="000000" w:sz="8" w:space="0"/>
            </w:tcBorders>
            <w:vAlign w:val="center"/>
          </w:tcPr>
          <w:p w14:paraId="6EE91E2D">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14:paraId="7740553B">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6639D9E5">
            <w:pPr>
              <w:widowControl/>
              <w:jc w:val="left"/>
              <w:rPr>
                <w:rFonts w:ascii="宋体" w:hAnsi="宋体" w:cs="宋体"/>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2CA9F4CB">
            <w:pPr>
              <w:widowControl/>
              <w:jc w:val="left"/>
              <w:rPr>
                <w:rFonts w:ascii="宋体" w:hAnsi="宋体" w:cs="宋体"/>
                <w:kern w:val="0"/>
                <w:sz w:val="20"/>
                <w:szCs w:val="20"/>
              </w:rPr>
            </w:pPr>
          </w:p>
        </w:tc>
        <w:tc>
          <w:tcPr>
            <w:tcW w:w="1700" w:type="dxa"/>
            <w:vMerge w:val="continue"/>
            <w:tcBorders>
              <w:top w:val="nil"/>
              <w:left w:val="single" w:color="000000" w:sz="8" w:space="0"/>
              <w:bottom w:val="single" w:color="000000" w:sz="8" w:space="0"/>
              <w:right w:val="single" w:color="000000" w:sz="8" w:space="0"/>
            </w:tcBorders>
            <w:vAlign w:val="center"/>
          </w:tcPr>
          <w:p w14:paraId="01302841">
            <w:pPr>
              <w:widowControl/>
              <w:jc w:val="left"/>
              <w:rPr>
                <w:rFonts w:ascii="宋体" w:hAnsi="宋体" w:cs="宋体"/>
                <w:kern w:val="0"/>
                <w:sz w:val="20"/>
                <w:szCs w:val="20"/>
              </w:rPr>
            </w:pPr>
          </w:p>
        </w:tc>
        <w:tc>
          <w:tcPr>
            <w:tcW w:w="1725" w:type="dxa"/>
            <w:tcBorders>
              <w:top w:val="nil"/>
              <w:left w:val="nil"/>
              <w:bottom w:val="single" w:color="000000" w:sz="8" w:space="0"/>
              <w:right w:val="single" w:color="000000" w:sz="8" w:space="0"/>
            </w:tcBorders>
            <w:vAlign w:val="center"/>
          </w:tcPr>
          <w:p w14:paraId="3A2F33F1">
            <w:pPr>
              <w:widowControl/>
              <w:jc w:val="center"/>
              <w:rPr>
                <w:rFonts w:ascii="宋体" w:hAnsi="宋体" w:cs="宋体"/>
                <w:kern w:val="0"/>
                <w:sz w:val="20"/>
                <w:szCs w:val="20"/>
              </w:rPr>
            </w:pPr>
            <w:r>
              <w:rPr>
                <w:rFonts w:hint="eastAsia" w:ascii="宋体" w:hAnsi="宋体" w:cs="宋体"/>
                <w:kern w:val="0"/>
                <w:sz w:val="20"/>
                <w:szCs w:val="20"/>
              </w:rPr>
              <w:t>单元式空气调节机(制冷量≤14000W)</w:t>
            </w:r>
          </w:p>
        </w:tc>
        <w:tc>
          <w:tcPr>
            <w:tcW w:w="4410" w:type="dxa"/>
            <w:tcBorders>
              <w:top w:val="nil"/>
              <w:left w:val="nil"/>
              <w:bottom w:val="single" w:color="000000" w:sz="8" w:space="0"/>
              <w:right w:val="single" w:color="000000" w:sz="8" w:space="0"/>
            </w:tcBorders>
            <w:vAlign w:val="center"/>
          </w:tcPr>
          <w:p w14:paraId="3C027A4C">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《单元式空气调节机能效限定值及能源效率等级》（GB19576）《风管送风式空调机组能效限定值及能效等级》（GB37479）</w:t>
            </w:r>
          </w:p>
        </w:tc>
      </w:tr>
      <w:tr w14:paraId="00357817">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38A9D2FC">
            <w:pPr>
              <w:widowControl/>
              <w:jc w:val="left"/>
              <w:rPr>
                <w:rFonts w:ascii="宋体" w:hAnsi="宋体" w:cs="宋体"/>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6CE5DB4D">
            <w:pPr>
              <w:widowControl/>
              <w:jc w:val="left"/>
              <w:rPr>
                <w:rFonts w:ascii="宋体" w:hAnsi="宋体" w:cs="宋体"/>
                <w:kern w:val="0"/>
                <w:sz w:val="20"/>
                <w:szCs w:val="20"/>
              </w:rPr>
            </w:pPr>
          </w:p>
        </w:tc>
        <w:tc>
          <w:tcPr>
            <w:tcW w:w="1700" w:type="dxa"/>
            <w:tcBorders>
              <w:top w:val="nil"/>
              <w:left w:val="nil"/>
              <w:bottom w:val="single" w:color="000000" w:sz="8" w:space="0"/>
              <w:right w:val="single" w:color="000000" w:sz="8" w:space="0"/>
            </w:tcBorders>
            <w:vAlign w:val="center"/>
          </w:tcPr>
          <w:p w14:paraId="6E8FA1EF">
            <w:pPr>
              <w:widowControl/>
              <w:jc w:val="center"/>
              <w:rPr>
                <w:rFonts w:ascii="宋体" w:hAnsi="宋体" w:cs="宋体"/>
                <w:kern w:val="0"/>
                <w:sz w:val="20"/>
                <w:szCs w:val="20"/>
              </w:rPr>
            </w:pPr>
            <w:r>
              <w:rPr>
                <w:rFonts w:hint="eastAsia" w:ascii="宋体" w:hAnsi="宋体" w:cs="宋体"/>
                <w:kern w:val="0"/>
                <w:sz w:val="20"/>
                <w:szCs w:val="20"/>
              </w:rPr>
              <w:t>A0206180301洗衣机</w:t>
            </w:r>
          </w:p>
        </w:tc>
        <w:tc>
          <w:tcPr>
            <w:tcW w:w="1725" w:type="dxa"/>
            <w:tcBorders>
              <w:top w:val="nil"/>
              <w:left w:val="nil"/>
              <w:bottom w:val="single" w:color="000000" w:sz="8" w:space="0"/>
              <w:right w:val="single" w:color="000000" w:sz="8" w:space="0"/>
            </w:tcBorders>
            <w:vAlign w:val="center"/>
          </w:tcPr>
          <w:p w14:paraId="39E6463F">
            <w:pPr>
              <w:widowControl/>
              <w:jc w:val="center"/>
              <w:rPr>
                <w:rFonts w:ascii="宋体" w:hAnsi="宋体" w:cs="宋体"/>
                <w:kern w:val="0"/>
                <w:sz w:val="20"/>
                <w:szCs w:val="20"/>
              </w:rPr>
            </w:pPr>
            <w:r>
              <w:rPr>
                <w:rFonts w:hint="eastAsia" w:ascii="宋体" w:hAnsi="宋体" w:cs="宋体"/>
                <w:kern w:val="0"/>
                <w:sz w:val="20"/>
                <w:szCs w:val="20"/>
              </w:rPr>
              <w:t>　</w:t>
            </w:r>
          </w:p>
        </w:tc>
        <w:tc>
          <w:tcPr>
            <w:tcW w:w="4410" w:type="dxa"/>
            <w:tcBorders>
              <w:top w:val="nil"/>
              <w:left w:val="nil"/>
              <w:bottom w:val="single" w:color="000000" w:sz="8" w:space="0"/>
              <w:right w:val="single" w:color="000000" w:sz="8" w:space="0"/>
            </w:tcBorders>
            <w:vAlign w:val="center"/>
          </w:tcPr>
          <w:p w14:paraId="0BC9106C">
            <w:pPr>
              <w:widowControl/>
              <w:jc w:val="left"/>
              <w:rPr>
                <w:rFonts w:ascii="宋体" w:hAnsi="宋体" w:cs="宋体"/>
                <w:kern w:val="0"/>
                <w:sz w:val="20"/>
                <w:szCs w:val="20"/>
              </w:rPr>
            </w:pPr>
            <w:r>
              <w:rPr>
                <w:rFonts w:hint="eastAsia" w:ascii="宋体" w:hAnsi="宋体" w:cs="宋体"/>
                <w:kern w:val="0"/>
                <w:sz w:val="20"/>
                <w:szCs w:val="20"/>
              </w:rPr>
              <w:t>《电动洗衣机能效水效限定值及等级》（GB12021.4）</w:t>
            </w:r>
          </w:p>
        </w:tc>
      </w:tr>
      <w:tr w14:paraId="242A1E4B">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46D718A4">
            <w:pPr>
              <w:widowControl/>
              <w:jc w:val="left"/>
              <w:rPr>
                <w:rFonts w:ascii="宋体" w:hAnsi="宋体" w:cs="宋体"/>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120C541F">
            <w:pPr>
              <w:widowControl/>
              <w:jc w:val="left"/>
              <w:rPr>
                <w:rFonts w:ascii="宋体" w:hAnsi="宋体" w:cs="宋体"/>
                <w:kern w:val="0"/>
                <w:sz w:val="20"/>
                <w:szCs w:val="20"/>
              </w:rPr>
            </w:pPr>
          </w:p>
        </w:tc>
        <w:tc>
          <w:tcPr>
            <w:tcW w:w="1700" w:type="dxa"/>
            <w:vMerge w:val="restart"/>
            <w:tcBorders>
              <w:top w:val="nil"/>
              <w:left w:val="single" w:color="000000" w:sz="8" w:space="0"/>
              <w:bottom w:val="single" w:color="000000" w:sz="8" w:space="0"/>
              <w:right w:val="single" w:color="000000" w:sz="8" w:space="0"/>
            </w:tcBorders>
            <w:vAlign w:val="center"/>
          </w:tcPr>
          <w:p w14:paraId="254C7F2D">
            <w:pPr>
              <w:widowControl/>
              <w:jc w:val="center"/>
              <w:rPr>
                <w:rFonts w:ascii="宋体" w:hAnsi="宋体" w:cs="宋体"/>
                <w:kern w:val="0"/>
                <w:sz w:val="20"/>
                <w:szCs w:val="20"/>
              </w:rPr>
            </w:pPr>
            <w:r>
              <w:rPr>
                <w:rFonts w:hint="eastAsia" w:ascii="宋体" w:hAnsi="宋体" w:cs="宋体"/>
                <w:kern w:val="0"/>
                <w:sz w:val="20"/>
                <w:szCs w:val="20"/>
              </w:rPr>
              <w:t>A02061808热水器</w:t>
            </w:r>
          </w:p>
        </w:tc>
        <w:tc>
          <w:tcPr>
            <w:tcW w:w="1725" w:type="dxa"/>
            <w:tcBorders>
              <w:top w:val="nil"/>
              <w:left w:val="nil"/>
              <w:bottom w:val="single" w:color="000000" w:sz="8" w:space="0"/>
              <w:right w:val="single" w:color="000000" w:sz="8" w:space="0"/>
            </w:tcBorders>
            <w:vAlign w:val="center"/>
          </w:tcPr>
          <w:p w14:paraId="60F22DF6">
            <w:pPr>
              <w:widowControl/>
              <w:jc w:val="center"/>
              <w:rPr>
                <w:rFonts w:ascii="宋体" w:hAnsi="宋体" w:cs="宋体"/>
                <w:kern w:val="0"/>
                <w:sz w:val="20"/>
                <w:szCs w:val="20"/>
              </w:rPr>
            </w:pPr>
            <w:r>
              <w:rPr>
                <w:rFonts w:hint="eastAsia" w:ascii="宋体" w:hAnsi="宋体" w:cs="宋体"/>
                <w:kern w:val="0"/>
                <w:sz w:val="20"/>
                <w:szCs w:val="20"/>
              </w:rPr>
              <w:t>★电热水器</w:t>
            </w:r>
          </w:p>
        </w:tc>
        <w:tc>
          <w:tcPr>
            <w:tcW w:w="4410" w:type="dxa"/>
            <w:tcBorders>
              <w:top w:val="nil"/>
              <w:left w:val="nil"/>
              <w:bottom w:val="single" w:color="000000" w:sz="8" w:space="0"/>
              <w:right w:val="single" w:color="000000" w:sz="8" w:space="0"/>
            </w:tcBorders>
            <w:vAlign w:val="center"/>
          </w:tcPr>
          <w:p w14:paraId="69EDF28D">
            <w:pPr>
              <w:widowControl/>
              <w:jc w:val="left"/>
              <w:rPr>
                <w:rFonts w:ascii="宋体" w:hAnsi="宋体" w:cs="宋体"/>
                <w:kern w:val="0"/>
                <w:sz w:val="20"/>
                <w:szCs w:val="20"/>
              </w:rPr>
            </w:pPr>
            <w:r>
              <w:rPr>
                <w:rFonts w:hint="eastAsia" w:ascii="宋体" w:hAnsi="宋体" w:cs="宋体"/>
                <w:kern w:val="0"/>
                <w:sz w:val="20"/>
                <w:szCs w:val="20"/>
              </w:rPr>
              <w:t>《储水式电热水器能效限定值及能效等级》（GB21519）</w:t>
            </w:r>
          </w:p>
        </w:tc>
      </w:tr>
      <w:tr w14:paraId="407CC2A7">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0FFA19BA">
            <w:pPr>
              <w:widowControl/>
              <w:jc w:val="left"/>
              <w:rPr>
                <w:rFonts w:ascii="宋体" w:hAnsi="宋体" w:cs="宋体"/>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4B119563">
            <w:pPr>
              <w:widowControl/>
              <w:jc w:val="left"/>
              <w:rPr>
                <w:rFonts w:ascii="宋体" w:hAnsi="宋体" w:cs="宋体"/>
                <w:kern w:val="0"/>
                <w:sz w:val="20"/>
                <w:szCs w:val="20"/>
              </w:rPr>
            </w:pPr>
          </w:p>
        </w:tc>
        <w:tc>
          <w:tcPr>
            <w:tcW w:w="1700" w:type="dxa"/>
            <w:vMerge w:val="continue"/>
            <w:tcBorders>
              <w:top w:val="nil"/>
              <w:left w:val="single" w:color="000000" w:sz="8" w:space="0"/>
              <w:bottom w:val="single" w:color="000000" w:sz="8" w:space="0"/>
              <w:right w:val="single" w:color="000000" w:sz="8" w:space="0"/>
            </w:tcBorders>
            <w:vAlign w:val="center"/>
          </w:tcPr>
          <w:p w14:paraId="226FE81B">
            <w:pPr>
              <w:widowControl/>
              <w:jc w:val="left"/>
              <w:rPr>
                <w:rFonts w:ascii="宋体" w:hAnsi="宋体" w:cs="宋体"/>
                <w:kern w:val="0"/>
                <w:sz w:val="20"/>
                <w:szCs w:val="20"/>
              </w:rPr>
            </w:pPr>
          </w:p>
        </w:tc>
        <w:tc>
          <w:tcPr>
            <w:tcW w:w="1725" w:type="dxa"/>
            <w:tcBorders>
              <w:top w:val="nil"/>
              <w:left w:val="nil"/>
              <w:bottom w:val="single" w:color="000000" w:sz="8" w:space="0"/>
              <w:right w:val="single" w:color="000000" w:sz="8" w:space="0"/>
            </w:tcBorders>
            <w:vAlign w:val="center"/>
          </w:tcPr>
          <w:p w14:paraId="44AEDF12">
            <w:pPr>
              <w:widowControl/>
              <w:jc w:val="center"/>
              <w:rPr>
                <w:rFonts w:ascii="宋体" w:hAnsi="宋体" w:cs="宋体"/>
                <w:kern w:val="0"/>
                <w:sz w:val="20"/>
                <w:szCs w:val="20"/>
              </w:rPr>
            </w:pPr>
            <w:r>
              <w:rPr>
                <w:rFonts w:hint="eastAsia" w:ascii="宋体" w:hAnsi="宋体" w:cs="宋体"/>
                <w:kern w:val="0"/>
                <w:sz w:val="20"/>
                <w:szCs w:val="20"/>
              </w:rPr>
              <w:t>燃气热水器</w:t>
            </w:r>
          </w:p>
        </w:tc>
        <w:tc>
          <w:tcPr>
            <w:tcW w:w="4410" w:type="dxa"/>
            <w:tcBorders>
              <w:top w:val="nil"/>
              <w:left w:val="nil"/>
              <w:bottom w:val="single" w:color="000000" w:sz="8" w:space="0"/>
              <w:right w:val="single" w:color="000000" w:sz="8" w:space="0"/>
            </w:tcBorders>
            <w:vAlign w:val="center"/>
          </w:tcPr>
          <w:p w14:paraId="0A75EB53">
            <w:pPr>
              <w:widowControl/>
              <w:jc w:val="left"/>
              <w:rPr>
                <w:rFonts w:ascii="宋体" w:hAnsi="宋体" w:cs="宋体"/>
                <w:kern w:val="0"/>
                <w:sz w:val="20"/>
                <w:szCs w:val="20"/>
              </w:rPr>
            </w:pPr>
            <w:r>
              <w:rPr>
                <w:rFonts w:hint="eastAsia" w:ascii="宋体" w:hAnsi="宋体" w:cs="宋体"/>
                <w:kern w:val="0"/>
                <w:sz w:val="20"/>
                <w:szCs w:val="20"/>
              </w:rPr>
              <w:t>《家用燃气快速热水器和燃气采暖热水炉能效限定值及能效等级》（GB20665）</w:t>
            </w:r>
          </w:p>
        </w:tc>
      </w:tr>
      <w:tr w14:paraId="0478B069">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0D338150">
            <w:pPr>
              <w:widowControl/>
              <w:jc w:val="left"/>
              <w:rPr>
                <w:rFonts w:ascii="宋体" w:hAnsi="宋体" w:cs="宋体"/>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632C675B">
            <w:pPr>
              <w:widowControl/>
              <w:jc w:val="left"/>
              <w:rPr>
                <w:rFonts w:ascii="宋体" w:hAnsi="宋体" w:cs="宋体"/>
                <w:kern w:val="0"/>
                <w:sz w:val="20"/>
                <w:szCs w:val="20"/>
              </w:rPr>
            </w:pPr>
          </w:p>
        </w:tc>
        <w:tc>
          <w:tcPr>
            <w:tcW w:w="1700" w:type="dxa"/>
            <w:vMerge w:val="continue"/>
            <w:tcBorders>
              <w:top w:val="nil"/>
              <w:left w:val="single" w:color="000000" w:sz="8" w:space="0"/>
              <w:bottom w:val="single" w:color="000000" w:sz="8" w:space="0"/>
              <w:right w:val="single" w:color="000000" w:sz="8" w:space="0"/>
            </w:tcBorders>
            <w:vAlign w:val="center"/>
          </w:tcPr>
          <w:p w14:paraId="1E90DA4E">
            <w:pPr>
              <w:widowControl/>
              <w:jc w:val="left"/>
              <w:rPr>
                <w:rFonts w:ascii="宋体" w:hAnsi="宋体" w:cs="宋体"/>
                <w:kern w:val="0"/>
                <w:sz w:val="20"/>
                <w:szCs w:val="20"/>
              </w:rPr>
            </w:pPr>
          </w:p>
        </w:tc>
        <w:tc>
          <w:tcPr>
            <w:tcW w:w="1725" w:type="dxa"/>
            <w:tcBorders>
              <w:top w:val="nil"/>
              <w:left w:val="nil"/>
              <w:bottom w:val="single" w:color="000000" w:sz="8" w:space="0"/>
              <w:right w:val="single" w:color="000000" w:sz="8" w:space="0"/>
            </w:tcBorders>
            <w:vAlign w:val="center"/>
          </w:tcPr>
          <w:p w14:paraId="3A88AEAD">
            <w:pPr>
              <w:widowControl/>
              <w:jc w:val="center"/>
              <w:rPr>
                <w:rFonts w:ascii="宋体" w:hAnsi="宋体" w:cs="宋体"/>
                <w:kern w:val="0"/>
                <w:sz w:val="20"/>
                <w:szCs w:val="20"/>
              </w:rPr>
            </w:pPr>
            <w:r>
              <w:rPr>
                <w:rFonts w:hint="eastAsia" w:ascii="宋体" w:hAnsi="宋体" w:cs="宋体"/>
                <w:kern w:val="0"/>
                <w:sz w:val="20"/>
                <w:szCs w:val="20"/>
              </w:rPr>
              <w:t>热泵热水器</w:t>
            </w:r>
          </w:p>
        </w:tc>
        <w:tc>
          <w:tcPr>
            <w:tcW w:w="4410" w:type="dxa"/>
            <w:tcBorders>
              <w:top w:val="nil"/>
              <w:left w:val="nil"/>
              <w:bottom w:val="single" w:color="000000" w:sz="8" w:space="0"/>
              <w:right w:val="single" w:color="000000" w:sz="8" w:space="0"/>
            </w:tcBorders>
            <w:vAlign w:val="center"/>
          </w:tcPr>
          <w:p w14:paraId="096FB685">
            <w:pPr>
              <w:widowControl/>
              <w:jc w:val="left"/>
              <w:rPr>
                <w:rFonts w:ascii="宋体" w:hAnsi="宋体" w:cs="宋体"/>
                <w:kern w:val="0"/>
                <w:sz w:val="20"/>
                <w:szCs w:val="20"/>
              </w:rPr>
            </w:pPr>
            <w:r>
              <w:rPr>
                <w:rFonts w:hint="eastAsia" w:ascii="宋体" w:hAnsi="宋体" w:cs="宋体"/>
                <w:kern w:val="0"/>
                <w:sz w:val="20"/>
                <w:szCs w:val="20"/>
              </w:rPr>
              <w:t>《热泵热水机（器）能效限定值及能效等级》（GB29541）</w:t>
            </w:r>
          </w:p>
        </w:tc>
      </w:tr>
      <w:tr w14:paraId="2E23417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05A397F4">
            <w:pPr>
              <w:widowControl/>
              <w:jc w:val="left"/>
              <w:rPr>
                <w:rFonts w:ascii="宋体" w:hAnsi="宋体" w:cs="宋体"/>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3F2F0C54">
            <w:pPr>
              <w:widowControl/>
              <w:jc w:val="left"/>
              <w:rPr>
                <w:rFonts w:ascii="宋体" w:hAnsi="宋体" w:cs="宋体"/>
                <w:kern w:val="0"/>
                <w:sz w:val="20"/>
                <w:szCs w:val="20"/>
              </w:rPr>
            </w:pPr>
          </w:p>
        </w:tc>
        <w:tc>
          <w:tcPr>
            <w:tcW w:w="1700" w:type="dxa"/>
            <w:vMerge w:val="continue"/>
            <w:tcBorders>
              <w:top w:val="nil"/>
              <w:left w:val="single" w:color="000000" w:sz="8" w:space="0"/>
              <w:bottom w:val="single" w:color="000000" w:sz="8" w:space="0"/>
              <w:right w:val="single" w:color="000000" w:sz="8" w:space="0"/>
            </w:tcBorders>
            <w:vAlign w:val="center"/>
          </w:tcPr>
          <w:p w14:paraId="4F0E16DC">
            <w:pPr>
              <w:widowControl/>
              <w:jc w:val="left"/>
              <w:rPr>
                <w:rFonts w:ascii="宋体" w:hAnsi="宋体" w:cs="宋体"/>
                <w:kern w:val="0"/>
                <w:sz w:val="20"/>
                <w:szCs w:val="20"/>
              </w:rPr>
            </w:pPr>
          </w:p>
        </w:tc>
        <w:tc>
          <w:tcPr>
            <w:tcW w:w="1725" w:type="dxa"/>
            <w:tcBorders>
              <w:top w:val="nil"/>
              <w:left w:val="nil"/>
              <w:bottom w:val="single" w:color="000000" w:sz="8" w:space="0"/>
              <w:right w:val="single" w:color="000000" w:sz="8" w:space="0"/>
            </w:tcBorders>
            <w:vAlign w:val="center"/>
          </w:tcPr>
          <w:p w14:paraId="4FC04FC2">
            <w:pPr>
              <w:widowControl/>
              <w:jc w:val="center"/>
              <w:rPr>
                <w:rFonts w:ascii="宋体" w:hAnsi="宋体" w:cs="宋体"/>
                <w:kern w:val="0"/>
                <w:sz w:val="20"/>
                <w:szCs w:val="20"/>
              </w:rPr>
            </w:pPr>
            <w:r>
              <w:rPr>
                <w:rFonts w:hint="eastAsia" w:ascii="宋体" w:hAnsi="宋体" w:cs="宋体"/>
                <w:kern w:val="0"/>
                <w:sz w:val="20"/>
                <w:szCs w:val="20"/>
              </w:rPr>
              <w:t>太阳能热水系统</w:t>
            </w:r>
          </w:p>
        </w:tc>
        <w:tc>
          <w:tcPr>
            <w:tcW w:w="4410" w:type="dxa"/>
            <w:tcBorders>
              <w:top w:val="nil"/>
              <w:left w:val="nil"/>
              <w:bottom w:val="single" w:color="000000" w:sz="8" w:space="0"/>
              <w:right w:val="single" w:color="000000" w:sz="8" w:space="0"/>
            </w:tcBorders>
            <w:vAlign w:val="center"/>
          </w:tcPr>
          <w:p w14:paraId="5A1D5728">
            <w:pPr>
              <w:widowControl/>
              <w:jc w:val="left"/>
              <w:rPr>
                <w:rFonts w:ascii="宋体" w:hAnsi="宋体" w:cs="宋体"/>
                <w:kern w:val="0"/>
                <w:sz w:val="20"/>
                <w:szCs w:val="20"/>
              </w:rPr>
            </w:pPr>
            <w:r>
              <w:rPr>
                <w:rFonts w:hint="eastAsia" w:ascii="宋体" w:hAnsi="宋体" w:cs="宋体"/>
                <w:kern w:val="0"/>
                <w:sz w:val="20"/>
                <w:szCs w:val="20"/>
              </w:rPr>
              <w:t>《家用太阳能热水系统能效限定值及能效等级》（GB26969）</w:t>
            </w:r>
          </w:p>
        </w:tc>
      </w:tr>
      <w:tr w14:paraId="47905F35">
        <w:tblPrEx>
          <w:tblCellMar>
            <w:top w:w="0" w:type="dxa"/>
            <w:left w:w="108" w:type="dxa"/>
            <w:bottom w:w="0" w:type="dxa"/>
            <w:right w:w="108" w:type="dxa"/>
          </w:tblCellMar>
        </w:tblPrEx>
        <w:trPr>
          <w:trHeight w:val="495" w:hRule="atLeast"/>
        </w:trPr>
        <w:tc>
          <w:tcPr>
            <w:tcW w:w="641" w:type="dxa"/>
            <w:vMerge w:val="restart"/>
            <w:tcBorders>
              <w:top w:val="nil"/>
              <w:left w:val="single" w:color="auto" w:sz="8" w:space="0"/>
              <w:bottom w:val="single" w:color="auto" w:sz="8" w:space="0"/>
              <w:right w:val="single" w:color="auto" w:sz="8" w:space="0"/>
            </w:tcBorders>
            <w:vAlign w:val="center"/>
          </w:tcPr>
          <w:p w14:paraId="61DB1E01">
            <w:pPr>
              <w:widowControl/>
              <w:jc w:val="center"/>
              <w:rPr>
                <w:rFonts w:ascii="宋体" w:hAnsi="宋体" w:cs="宋体"/>
                <w:kern w:val="0"/>
                <w:sz w:val="20"/>
                <w:szCs w:val="20"/>
              </w:rPr>
            </w:pPr>
            <w:r>
              <w:rPr>
                <w:rFonts w:hint="eastAsia" w:ascii="宋体" w:hAnsi="宋体" w:cs="宋体"/>
                <w:kern w:val="0"/>
                <w:sz w:val="20"/>
                <w:szCs w:val="20"/>
              </w:rPr>
              <w:t>11</w:t>
            </w:r>
          </w:p>
        </w:tc>
        <w:tc>
          <w:tcPr>
            <w:tcW w:w="1116" w:type="dxa"/>
            <w:vMerge w:val="restart"/>
            <w:tcBorders>
              <w:top w:val="nil"/>
              <w:left w:val="single" w:color="auto" w:sz="8" w:space="0"/>
              <w:bottom w:val="single" w:color="auto" w:sz="8" w:space="0"/>
              <w:right w:val="single" w:color="auto" w:sz="8" w:space="0"/>
            </w:tcBorders>
            <w:vAlign w:val="center"/>
          </w:tcPr>
          <w:p w14:paraId="6FB8F433">
            <w:pPr>
              <w:widowControl/>
              <w:jc w:val="center"/>
              <w:rPr>
                <w:rFonts w:ascii="宋体" w:hAnsi="宋体" w:cs="宋体"/>
                <w:kern w:val="0"/>
                <w:sz w:val="20"/>
                <w:szCs w:val="20"/>
              </w:rPr>
            </w:pPr>
            <w:r>
              <w:rPr>
                <w:rFonts w:hint="eastAsia" w:ascii="宋体" w:hAnsi="宋体" w:cs="宋体"/>
                <w:kern w:val="0"/>
                <w:sz w:val="20"/>
                <w:szCs w:val="20"/>
              </w:rPr>
              <w:t>A020619照明设备</w:t>
            </w:r>
          </w:p>
        </w:tc>
        <w:tc>
          <w:tcPr>
            <w:tcW w:w="1700" w:type="dxa"/>
            <w:tcBorders>
              <w:top w:val="nil"/>
              <w:left w:val="nil"/>
              <w:bottom w:val="single" w:color="auto" w:sz="4" w:space="0"/>
              <w:right w:val="single" w:color="auto" w:sz="8" w:space="0"/>
            </w:tcBorders>
            <w:vAlign w:val="center"/>
          </w:tcPr>
          <w:p w14:paraId="3C99302B">
            <w:pPr>
              <w:widowControl/>
              <w:jc w:val="center"/>
              <w:rPr>
                <w:rFonts w:ascii="宋体" w:hAnsi="宋体" w:cs="宋体"/>
                <w:kern w:val="0"/>
                <w:sz w:val="20"/>
                <w:szCs w:val="20"/>
              </w:rPr>
            </w:pPr>
            <w:r>
              <w:rPr>
                <w:rFonts w:hint="eastAsia" w:ascii="宋体" w:hAnsi="宋体" w:cs="宋体"/>
                <w:kern w:val="0"/>
                <w:sz w:val="20"/>
                <w:szCs w:val="20"/>
              </w:rPr>
              <w:t>★普通照明用双端荧光灯</w:t>
            </w:r>
          </w:p>
        </w:tc>
        <w:tc>
          <w:tcPr>
            <w:tcW w:w="1725" w:type="dxa"/>
            <w:tcBorders>
              <w:top w:val="nil"/>
              <w:left w:val="nil"/>
              <w:bottom w:val="single" w:color="auto" w:sz="4" w:space="0"/>
              <w:right w:val="single" w:color="auto" w:sz="8" w:space="0"/>
            </w:tcBorders>
            <w:vAlign w:val="center"/>
          </w:tcPr>
          <w:p w14:paraId="7737F2F6">
            <w:pPr>
              <w:widowControl/>
              <w:jc w:val="center"/>
              <w:rPr>
                <w:rFonts w:ascii="宋体" w:hAnsi="宋体" w:cs="宋体"/>
                <w:kern w:val="0"/>
                <w:sz w:val="20"/>
                <w:szCs w:val="20"/>
              </w:rPr>
            </w:pPr>
            <w:r>
              <w:rPr>
                <w:rFonts w:hint="eastAsia" w:ascii="宋体" w:hAnsi="宋体" w:cs="宋体"/>
                <w:kern w:val="0"/>
                <w:sz w:val="20"/>
                <w:szCs w:val="20"/>
              </w:rPr>
              <w:t>　</w:t>
            </w:r>
          </w:p>
        </w:tc>
        <w:tc>
          <w:tcPr>
            <w:tcW w:w="4410" w:type="dxa"/>
            <w:tcBorders>
              <w:top w:val="nil"/>
              <w:left w:val="nil"/>
              <w:bottom w:val="single" w:color="auto" w:sz="4" w:space="0"/>
              <w:right w:val="single" w:color="auto" w:sz="8" w:space="0"/>
            </w:tcBorders>
            <w:vAlign w:val="center"/>
          </w:tcPr>
          <w:p w14:paraId="6DC86F65">
            <w:pPr>
              <w:widowControl/>
              <w:jc w:val="left"/>
              <w:rPr>
                <w:rFonts w:ascii="宋体" w:hAnsi="宋体" w:cs="宋体"/>
                <w:kern w:val="0"/>
                <w:sz w:val="20"/>
                <w:szCs w:val="20"/>
              </w:rPr>
            </w:pPr>
            <w:r>
              <w:rPr>
                <w:rFonts w:hint="eastAsia" w:ascii="宋体" w:hAnsi="宋体" w:cs="宋体"/>
                <w:kern w:val="0"/>
                <w:sz w:val="20"/>
                <w:szCs w:val="20"/>
              </w:rPr>
              <w:t>《普通照明用双端荧光灯能效限定值及能效等级》（GB19043）</w:t>
            </w:r>
          </w:p>
        </w:tc>
      </w:tr>
      <w:tr w14:paraId="08E8205B">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vAlign w:val="center"/>
          </w:tcPr>
          <w:p w14:paraId="3691E4C0">
            <w:pPr>
              <w:widowControl/>
              <w:jc w:val="left"/>
              <w:rPr>
                <w:rFonts w:ascii="宋体" w:hAnsi="宋体" w:cs="宋体"/>
                <w:kern w:val="0"/>
                <w:sz w:val="20"/>
                <w:szCs w:val="20"/>
              </w:rPr>
            </w:pPr>
          </w:p>
        </w:tc>
        <w:tc>
          <w:tcPr>
            <w:tcW w:w="0" w:type="auto"/>
            <w:vMerge w:val="continue"/>
            <w:tcBorders>
              <w:top w:val="nil"/>
              <w:left w:val="single" w:color="auto" w:sz="8" w:space="0"/>
              <w:bottom w:val="single" w:color="auto" w:sz="8" w:space="0"/>
              <w:right w:val="single" w:color="auto" w:sz="4" w:space="0"/>
            </w:tcBorders>
            <w:vAlign w:val="center"/>
          </w:tcPr>
          <w:p w14:paraId="41ACB228">
            <w:pPr>
              <w:widowControl/>
              <w:jc w:val="left"/>
              <w:rPr>
                <w:rFonts w:ascii="宋体" w:hAnsi="宋体" w:cs="宋体"/>
                <w:kern w:val="0"/>
                <w:sz w:val="20"/>
                <w:szCs w:val="20"/>
              </w:rPr>
            </w:pPr>
          </w:p>
        </w:tc>
        <w:tc>
          <w:tcPr>
            <w:tcW w:w="1700" w:type="dxa"/>
            <w:tcBorders>
              <w:top w:val="single" w:color="auto" w:sz="4" w:space="0"/>
              <w:left w:val="single" w:color="auto" w:sz="4" w:space="0"/>
              <w:bottom w:val="single" w:color="auto" w:sz="4" w:space="0"/>
              <w:right w:val="single" w:color="auto" w:sz="4" w:space="0"/>
            </w:tcBorders>
            <w:vAlign w:val="center"/>
          </w:tcPr>
          <w:p w14:paraId="788ED88C">
            <w:pPr>
              <w:widowControl/>
              <w:jc w:val="center"/>
              <w:rPr>
                <w:rFonts w:ascii="宋体" w:hAnsi="宋体" w:cs="宋体"/>
                <w:kern w:val="0"/>
                <w:sz w:val="20"/>
                <w:szCs w:val="20"/>
              </w:rPr>
            </w:pPr>
            <w:r>
              <w:rPr>
                <w:rFonts w:hint="eastAsia" w:ascii="宋体" w:hAnsi="宋体" w:cs="宋体"/>
                <w:kern w:val="0"/>
                <w:sz w:val="20"/>
                <w:szCs w:val="20"/>
              </w:rPr>
              <w:t>LED道路/隧道照明产品</w:t>
            </w:r>
          </w:p>
        </w:tc>
        <w:tc>
          <w:tcPr>
            <w:tcW w:w="1725" w:type="dxa"/>
            <w:tcBorders>
              <w:top w:val="single" w:color="auto" w:sz="4" w:space="0"/>
              <w:left w:val="single" w:color="auto" w:sz="4" w:space="0"/>
              <w:bottom w:val="single" w:color="auto" w:sz="4" w:space="0"/>
              <w:right w:val="single" w:color="auto" w:sz="4" w:space="0"/>
            </w:tcBorders>
            <w:vAlign w:val="center"/>
          </w:tcPr>
          <w:p w14:paraId="0EB46692">
            <w:pPr>
              <w:widowControl/>
              <w:jc w:val="center"/>
              <w:rPr>
                <w:rFonts w:ascii="宋体" w:hAnsi="宋体" w:cs="宋体"/>
                <w:kern w:val="0"/>
                <w:sz w:val="20"/>
                <w:szCs w:val="20"/>
              </w:rPr>
            </w:pPr>
            <w:r>
              <w:rPr>
                <w:rFonts w:hint="eastAsia" w:ascii="宋体" w:hAnsi="宋体" w:cs="宋体"/>
                <w:kern w:val="0"/>
                <w:sz w:val="20"/>
                <w:szCs w:val="20"/>
              </w:rPr>
              <w:t>　</w:t>
            </w:r>
          </w:p>
        </w:tc>
        <w:tc>
          <w:tcPr>
            <w:tcW w:w="4410" w:type="dxa"/>
            <w:tcBorders>
              <w:top w:val="single" w:color="auto" w:sz="4" w:space="0"/>
              <w:left w:val="single" w:color="auto" w:sz="4" w:space="0"/>
              <w:bottom w:val="single" w:color="auto" w:sz="4" w:space="0"/>
              <w:right w:val="single" w:color="auto" w:sz="4" w:space="0"/>
            </w:tcBorders>
            <w:vAlign w:val="center"/>
          </w:tcPr>
          <w:p w14:paraId="65E6A91A">
            <w:pPr>
              <w:widowControl/>
              <w:jc w:val="left"/>
              <w:rPr>
                <w:rFonts w:ascii="宋体" w:hAnsi="宋体" w:cs="宋体"/>
                <w:kern w:val="0"/>
                <w:sz w:val="20"/>
                <w:szCs w:val="20"/>
              </w:rPr>
            </w:pPr>
            <w:r>
              <w:rPr>
                <w:rFonts w:hint="eastAsia" w:ascii="宋体" w:hAnsi="宋体" w:cs="宋体"/>
                <w:kern w:val="0"/>
                <w:sz w:val="20"/>
                <w:szCs w:val="20"/>
              </w:rPr>
              <w:t>《道路和隧道照明用LED灯具能效限定值及能效等级》（GB37478）</w:t>
            </w:r>
          </w:p>
        </w:tc>
      </w:tr>
      <w:tr w14:paraId="4EA073DE">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vAlign w:val="center"/>
          </w:tcPr>
          <w:p w14:paraId="792A4DB9">
            <w:pPr>
              <w:widowControl/>
              <w:jc w:val="left"/>
              <w:rPr>
                <w:rFonts w:ascii="宋体" w:hAnsi="宋体" w:cs="宋体"/>
                <w:kern w:val="0"/>
                <w:sz w:val="20"/>
                <w:szCs w:val="20"/>
              </w:rPr>
            </w:pPr>
          </w:p>
        </w:tc>
        <w:tc>
          <w:tcPr>
            <w:tcW w:w="0" w:type="auto"/>
            <w:vMerge w:val="continue"/>
            <w:tcBorders>
              <w:top w:val="nil"/>
              <w:left w:val="single" w:color="auto" w:sz="8" w:space="0"/>
              <w:bottom w:val="single" w:color="auto" w:sz="8" w:space="0"/>
              <w:right w:val="single" w:color="auto" w:sz="8" w:space="0"/>
            </w:tcBorders>
            <w:vAlign w:val="center"/>
          </w:tcPr>
          <w:p w14:paraId="4E405274">
            <w:pPr>
              <w:widowControl/>
              <w:jc w:val="left"/>
              <w:rPr>
                <w:rFonts w:ascii="宋体" w:hAnsi="宋体" w:cs="宋体"/>
                <w:kern w:val="0"/>
                <w:sz w:val="20"/>
                <w:szCs w:val="20"/>
              </w:rPr>
            </w:pPr>
          </w:p>
        </w:tc>
        <w:tc>
          <w:tcPr>
            <w:tcW w:w="1700" w:type="dxa"/>
            <w:tcBorders>
              <w:top w:val="single" w:color="auto" w:sz="4" w:space="0"/>
              <w:left w:val="nil"/>
              <w:bottom w:val="single" w:color="auto" w:sz="8" w:space="0"/>
              <w:right w:val="single" w:color="auto" w:sz="8" w:space="0"/>
            </w:tcBorders>
            <w:vAlign w:val="center"/>
          </w:tcPr>
          <w:p w14:paraId="598D055D">
            <w:pPr>
              <w:widowControl/>
              <w:jc w:val="center"/>
              <w:rPr>
                <w:rFonts w:ascii="宋体" w:hAnsi="宋体" w:cs="宋体"/>
                <w:kern w:val="0"/>
                <w:sz w:val="20"/>
                <w:szCs w:val="20"/>
              </w:rPr>
            </w:pPr>
            <w:r>
              <w:rPr>
                <w:rFonts w:hint="eastAsia" w:ascii="宋体" w:hAnsi="宋体" w:cs="宋体"/>
                <w:kern w:val="0"/>
                <w:sz w:val="20"/>
                <w:szCs w:val="20"/>
              </w:rPr>
              <w:t>LED筒灯</w:t>
            </w:r>
          </w:p>
        </w:tc>
        <w:tc>
          <w:tcPr>
            <w:tcW w:w="1725" w:type="dxa"/>
            <w:tcBorders>
              <w:top w:val="single" w:color="auto" w:sz="4" w:space="0"/>
              <w:left w:val="nil"/>
              <w:bottom w:val="single" w:color="auto" w:sz="8" w:space="0"/>
              <w:right w:val="single" w:color="auto" w:sz="8" w:space="0"/>
            </w:tcBorders>
            <w:vAlign w:val="center"/>
          </w:tcPr>
          <w:p w14:paraId="0DCC7FC0">
            <w:pPr>
              <w:widowControl/>
              <w:jc w:val="center"/>
              <w:rPr>
                <w:rFonts w:ascii="宋体" w:hAnsi="宋体" w:cs="宋体"/>
                <w:kern w:val="0"/>
                <w:sz w:val="20"/>
                <w:szCs w:val="20"/>
              </w:rPr>
            </w:pPr>
            <w:r>
              <w:rPr>
                <w:rFonts w:hint="eastAsia" w:ascii="宋体" w:hAnsi="宋体" w:cs="宋体"/>
                <w:kern w:val="0"/>
                <w:sz w:val="20"/>
                <w:szCs w:val="20"/>
              </w:rPr>
              <w:t>　</w:t>
            </w:r>
          </w:p>
        </w:tc>
        <w:tc>
          <w:tcPr>
            <w:tcW w:w="4410" w:type="dxa"/>
            <w:tcBorders>
              <w:top w:val="single" w:color="auto" w:sz="4" w:space="0"/>
              <w:left w:val="nil"/>
              <w:bottom w:val="single" w:color="auto" w:sz="8" w:space="0"/>
              <w:right w:val="single" w:color="auto" w:sz="8" w:space="0"/>
            </w:tcBorders>
            <w:vAlign w:val="center"/>
          </w:tcPr>
          <w:p w14:paraId="063037EE">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14:paraId="09981FF8">
        <w:tblPrEx>
          <w:tblCellMar>
            <w:top w:w="0" w:type="dxa"/>
            <w:left w:w="108" w:type="dxa"/>
            <w:bottom w:w="0" w:type="dxa"/>
            <w:right w:w="108" w:type="dxa"/>
          </w:tblCellMar>
        </w:tblPrEx>
        <w:trPr>
          <w:trHeight w:val="735" w:hRule="atLeast"/>
        </w:trPr>
        <w:tc>
          <w:tcPr>
            <w:tcW w:w="0" w:type="auto"/>
            <w:vMerge w:val="continue"/>
            <w:tcBorders>
              <w:top w:val="nil"/>
              <w:left w:val="single" w:color="auto" w:sz="8" w:space="0"/>
              <w:bottom w:val="single" w:color="auto" w:sz="8" w:space="0"/>
              <w:right w:val="single" w:color="auto" w:sz="8" w:space="0"/>
            </w:tcBorders>
            <w:vAlign w:val="center"/>
          </w:tcPr>
          <w:p w14:paraId="359208B3">
            <w:pPr>
              <w:widowControl/>
              <w:jc w:val="left"/>
              <w:rPr>
                <w:rFonts w:ascii="宋体" w:hAnsi="宋体" w:cs="宋体"/>
                <w:kern w:val="0"/>
                <w:sz w:val="20"/>
                <w:szCs w:val="20"/>
              </w:rPr>
            </w:pPr>
          </w:p>
        </w:tc>
        <w:tc>
          <w:tcPr>
            <w:tcW w:w="0" w:type="auto"/>
            <w:vMerge w:val="continue"/>
            <w:tcBorders>
              <w:top w:val="nil"/>
              <w:left w:val="single" w:color="auto" w:sz="8" w:space="0"/>
              <w:bottom w:val="single" w:color="auto" w:sz="8" w:space="0"/>
              <w:right w:val="single" w:color="auto" w:sz="8" w:space="0"/>
            </w:tcBorders>
            <w:vAlign w:val="center"/>
          </w:tcPr>
          <w:p w14:paraId="67548CF1">
            <w:pPr>
              <w:widowControl/>
              <w:jc w:val="left"/>
              <w:rPr>
                <w:rFonts w:ascii="宋体" w:hAnsi="宋体" w:cs="宋体"/>
                <w:kern w:val="0"/>
                <w:sz w:val="20"/>
                <w:szCs w:val="20"/>
              </w:rPr>
            </w:pPr>
          </w:p>
        </w:tc>
        <w:tc>
          <w:tcPr>
            <w:tcW w:w="1700" w:type="dxa"/>
            <w:tcBorders>
              <w:top w:val="nil"/>
              <w:left w:val="nil"/>
              <w:bottom w:val="single" w:color="auto" w:sz="8" w:space="0"/>
              <w:right w:val="single" w:color="auto" w:sz="8" w:space="0"/>
            </w:tcBorders>
            <w:vAlign w:val="center"/>
          </w:tcPr>
          <w:p w14:paraId="37C80754">
            <w:pPr>
              <w:widowControl/>
              <w:jc w:val="center"/>
              <w:rPr>
                <w:rFonts w:ascii="宋体" w:hAnsi="宋体" w:cs="宋体"/>
                <w:kern w:val="0"/>
                <w:sz w:val="20"/>
                <w:szCs w:val="20"/>
              </w:rPr>
            </w:pPr>
            <w:r>
              <w:rPr>
                <w:rFonts w:hint="eastAsia" w:ascii="宋体" w:hAnsi="宋体" w:cs="宋体"/>
                <w:kern w:val="0"/>
                <w:sz w:val="20"/>
                <w:szCs w:val="20"/>
              </w:rPr>
              <w:t>普通照明用非定向自镇流LED灯</w:t>
            </w:r>
          </w:p>
        </w:tc>
        <w:tc>
          <w:tcPr>
            <w:tcW w:w="1725" w:type="dxa"/>
            <w:tcBorders>
              <w:top w:val="nil"/>
              <w:left w:val="nil"/>
              <w:bottom w:val="single" w:color="auto" w:sz="8" w:space="0"/>
              <w:right w:val="single" w:color="auto" w:sz="8" w:space="0"/>
            </w:tcBorders>
            <w:vAlign w:val="center"/>
          </w:tcPr>
          <w:p w14:paraId="30AE6139">
            <w:pPr>
              <w:widowControl/>
              <w:jc w:val="center"/>
              <w:rPr>
                <w:rFonts w:ascii="宋体" w:hAnsi="宋体" w:cs="宋体"/>
                <w:kern w:val="0"/>
                <w:sz w:val="20"/>
                <w:szCs w:val="20"/>
              </w:rPr>
            </w:pPr>
            <w:r>
              <w:rPr>
                <w:rFonts w:hint="eastAsia" w:ascii="宋体" w:hAnsi="宋体" w:cs="宋体"/>
                <w:kern w:val="0"/>
                <w:sz w:val="20"/>
                <w:szCs w:val="20"/>
              </w:rPr>
              <w:t>　</w:t>
            </w:r>
          </w:p>
        </w:tc>
        <w:tc>
          <w:tcPr>
            <w:tcW w:w="4410" w:type="dxa"/>
            <w:tcBorders>
              <w:top w:val="nil"/>
              <w:left w:val="nil"/>
              <w:bottom w:val="single" w:color="auto" w:sz="8" w:space="0"/>
              <w:right w:val="single" w:color="auto" w:sz="8" w:space="0"/>
            </w:tcBorders>
            <w:vAlign w:val="center"/>
          </w:tcPr>
          <w:p w14:paraId="0EBEDA0F">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14:paraId="4D85E6A4">
        <w:tblPrEx>
          <w:tblCellMar>
            <w:top w:w="0" w:type="dxa"/>
            <w:left w:w="108" w:type="dxa"/>
            <w:bottom w:w="0" w:type="dxa"/>
            <w:right w:w="108" w:type="dxa"/>
          </w:tblCellMar>
        </w:tblPrEx>
        <w:trPr>
          <w:trHeight w:val="735" w:hRule="atLeast"/>
        </w:trPr>
        <w:tc>
          <w:tcPr>
            <w:tcW w:w="641" w:type="dxa"/>
            <w:tcBorders>
              <w:top w:val="nil"/>
              <w:left w:val="single" w:color="auto" w:sz="8" w:space="0"/>
              <w:bottom w:val="single" w:color="auto" w:sz="8" w:space="0"/>
              <w:right w:val="single" w:color="auto" w:sz="8" w:space="0"/>
            </w:tcBorders>
            <w:vAlign w:val="center"/>
          </w:tcPr>
          <w:p w14:paraId="5F803DC2">
            <w:pPr>
              <w:widowControl/>
              <w:jc w:val="center"/>
              <w:rPr>
                <w:rFonts w:ascii="宋体" w:hAnsi="宋体" w:cs="宋体"/>
                <w:kern w:val="0"/>
                <w:sz w:val="20"/>
                <w:szCs w:val="20"/>
              </w:rPr>
            </w:pPr>
            <w:r>
              <w:rPr>
                <w:rFonts w:hint="eastAsia" w:ascii="宋体" w:hAnsi="宋体" w:cs="宋体"/>
                <w:kern w:val="0"/>
                <w:sz w:val="20"/>
                <w:szCs w:val="20"/>
              </w:rPr>
              <w:t>12</w:t>
            </w:r>
          </w:p>
        </w:tc>
        <w:tc>
          <w:tcPr>
            <w:tcW w:w="1116" w:type="dxa"/>
            <w:tcBorders>
              <w:top w:val="nil"/>
              <w:left w:val="nil"/>
              <w:bottom w:val="single" w:color="auto" w:sz="8" w:space="0"/>
              <w:right w:val="single" w:color="auto" w:sz="8" w:space="0"/>
            </w:tcBorders>
            <w:vAlign w:val="center"/>
          </w:tcPr>
          <w:p w14:paraId="7159EE09">
            <w:pPr>
              <w:widowControl/>
              <w:jc w:val="center"/>
              <w:rPr>
                <w:rFonts w:ascii="宋体" w:hAnsi="宋体" w:cs="宋体"/>
                <w:kern w:val="0"/>
                <w:sz w:val="20"/>
                <w:szCs w:val="20"/>
              </w:rPr>
            </w:pPr>
            <w:r>
              <w:rPr>
                <w:rFonts w:hint="eastAsia" w:ascii="宋体" w:hAnsi="宋体" w:cs="宋体"/>
                <w:kern w:val="0"/>
                <w:sz w:val="20"/>
                <w:szCs w:val="20"/>
              </w:rPr>
              <w:t>★A020910电视设备</w:t>
            </w:r>
          </w:p>
        </w:tc>
        <w:tc>
          <w:tcPr>
            <w:tcW w:w="1700" w:type="dxa"/>
            <w:tcBorders>
              <w:top w:val="nil"/>
              <w:left w:val="nil"/>
              <w:bottom w:val="single" w:color="auto" w:sz="8" w:space="0"/>
              <w:right w:val="single" w:color="auto" w:sz="8" w:space="0"/>
            </w:tcBorders>
            <w:vAlign w:val="center"/>
          </w:tcPr>
          <w:p w14:paraId="0513E416">
            <w:pPr>
              <w:widowControl/>
              <w:jc w:val="center"/>
              <w:rPr>
                <w:rFonts w:ascii="宋体" w:hAnsi="宋体" w:cs="宋体"/>
                <w:kern w:val="0"/>
                <w:sz w:val="20"/>
                <w:szCs w:val="20"/>
              </w:rPr>
            </w:pPr>
            <w:r>
              <w:rPr>
                <w:rFonts w:hint="eastAsia" w:ascii="宋体" w:hAnsi="宋体" w:cs="宋体"/>
                <w:kern w:val="0"/>
                <w:sz w:val="20"/>
                <w:szCs w:val="20"/>
              </w:rPr>
              <w:t>A02091001普通电视设备（电视机）</w:t>
            </w:r>
          </w:p>
        </w:tc>
        <w:tc>
          <w:tcPr>
            <w:tcW w:w="1725" w:type="dxa"/>
            <w:tcBorders>
              <w:top w:val="nil"/>
              <w:left w:val="nil"/>
              <w:bottom w:val="single" w:color="auto" w:sz="8" w:space="0"/>
              <w:right w:val="single" w:color="auto" w:sz="8" w:space="0"/>
            </w:tcBorders>
            <w:vAlign w:val="center"/>
          </w:tcPr>
          <w:p w14:paraId="00CD83D4">
            <w:pPr>
              <w:widowControl/>
              <w:jc w:val="center"/>
              <w:rPr>
                <w:rFonts w:ascii="宋体" w:hAnsi="宋体" w:cs="宋体"/>
                <w:kern w:val="0"/>
                <w:sz w:val="20"/>
                <w:szCs w:val="20"/>
              </w:rPr>
            </w:pPr>
            <w:r>
              <w:rPr>
                <w:rFonts w:hint="eastAsia" w:ascii="宋体" w:hAnsi="宋体" w:cs="宋体"/>
                <w:kern w:val="0"/>
                <w:sz w:val="20"/>
                <w:szCs w:val="20"/>
              </w:rPr>
              <w:t>　</w:t>
            </w:r>
          </w:p>
        </w:tc>
        <w:tc>
          <w:tcPr>
            <w:tcW w:w="4410" w:type="dxa"/>
            <w:tcBorders>
              <w:top w:val="nil"/>
              <w:left w:val="nil"/>
              <w:bottom w:val="single" w:color="auto" w:sz="8" w:space="0"/>
              <w:right w:val="single" w:color="auto" w:sz="8" w:space="0"/>
            </w:tcBorders>
            <w:vAlign w:val="center"/>
          </w:tcPr>
          <w:p w14:paraId="3D5DB00F">
            <w:pPr>
              <w:widowControl/>
              <w:jc w:val="left"/>
              <w:rPr>
                <w:rFonts w:ascii="宋体" w:hAnsi="宋体" w:cs="宋体"/>
                <w:kern w:val="0"/>
                <w:sz w:val="20"/>
                <w:szCs w:val="20"/>
              </w:rPr>
            </w:pPr>
            <w:r>
              <w:rPr>
                <w:rFonts w:hint="eastAsia" w:ascii="宋体" w:hAnsi="宋体" w:cs="宋体"/>
                <w:kern w:val="0"/>
                <w:sz w:val="20"/>
                <w:szCs w:val="20"/>
              </w:rPr>
              <w:t>《平板电视能效限定值及能效等级》（GB24850）</w:t>
            </w:r>
          </w:p>
        </w:tc>
      </w:tr>
      <w:tr w14:paraId="22FC27FE">
        <w:tblPrEx>
          <w:tblCellMar>
            <w:top w:w="0" w:type="dxa"/>
            <w:left w:w="108" w:type="dxa"/>
            <w:bottom w:w="0" w:type="dxa"/>
            <w:right w:w="108" w:type="dxa"/>
          </w:tblCellMar>
        </w:tblPrEx>
        <w:trPr>
          <w:trHeight w:val="975" w:hRule="atLeast"/>
        </w:trPr>
        <w:tc>
          <w:tcPr>
            <w:tcW w:w="641" w:type="dxa"/>
            <w:tcBorders>
              <w:top w:val="nil"/>
              <w:left w:val="single" w:color="auto" w:sz="8" w:space="0"/>
              <w:bottom w:val="single" w:color="auto" w:sz="8" w:space="0"/>
              <w:right w:val="single" w:color="auto" w:sz="8" w:space="0"/>
            </w:tcBorders>
            <w:vAlign w:val="center"/>
          </w:tcPr>
          <w:p w14:paraId="401950CE">
            <w:pPr>
              <w:widowControl/>
              <w:jc w:val="center"/>
              <w:rPr>
                <w:rFonts w:ascii="宋体" w:hAnsi="宋体" w:cs="宋体"/>
                <w:kern w:val="0"/>
                <w:sz w:val="20"/>
                <w:szCs w:val="20"/>
              </w:rPr>
            </w:pPr>
            <w:r>
              <w:rPr>
                <w:rFonts w:hint="eastAsia" w:ascii="宋体" w:hAnsi="宋体" w:cs="宋体"/>
                <w:kern w:val="0"/>
                <w:sz w:val="20"/>
                <w:szCs w:val="20"/>
              </w:rPr>
              <w:t>13</w:t>
            </w:r>
          </w:p>
        </w:tc>
        <w:tc>
          <w:tcPr>
            <w:tcW w:w="1116" w:type="dxa"/>
            <w:tcBorders>
              <w:top w:val="nil"/>
              <w:left w:val="nil"/>
              <w:bottom w:val="single" w:color="auto" w:sz="8" w:space="0"/>
              <w:right w:val="single" w:color="auto" w:sz="8" w:space="0"/>
            </w:tcBorders>
            <w:vAlign w:val="center"/>
          </w:tcPr>
          <w:p w14:paraId="3A40665E">
            <w:pPr>
              <w:widowControl/>
              <w:jc w:val="center"/>
              <w:rPr>
                <w:rFonts w:ascii="宋体" w:hAnsi="宋体" w:cs="宋体"/>
                <w:kern w:val="0"/>
                <w:sz w:val="20"/>
                <w:szCs w:val="20"/>
              </w:rPr>
            </w:pPr>
            <w:r>
              <w:rPr>
                <w:rFonts w:hint="eastAsia" w:ascii="宋体" w:hAnsi="宋体" w:cs="宋体"/>
                <w:kern w:val="0"/>
                <w:sz w:val="20"/>
                <w:szCs w:val="20"/>
              </w:rPr>
              <w:t>★A020911视频设备</w:t>
            </w:r>
          </w:p>
        </w:tc>
        <w:tc>
          <w:tcPr>
            <w:tcW w:w="1700" w:type="dxa"/>
            <w:tcBorders>
              <w:top w:val="nil"/>
              <w:left w:val="nil"/>
              <w:bottom w:val="single" w:color="auto" w:sz="8" w:space="0"/>
              <w:right w:val="single" w:color="auto" w:sz="8" w:space="0"/>
            </w:tcBorders>
            <w:vAlign w:val="center"/>
          </w:tcPr>
          <w:p w14:paraId="34E1FD2E">
            <w:pPr>
              <w:widowControl/>
              <w:jc w:val="center"/>
              <w:rPr>
                <w:rFonts w:ascii="宋体" w:hAnsi="宋体" w:cs="宋体"/>
                <w:kern w:val="0"/>
                <w:sz w:val="20"/>
                <w:szCs w:val="20"/>
              </w:rPr>
            </w:pPr>
            <w:r>
              <w:rPr>
                <w:rFonts w:hint="eastAsia" w:ascii="宋体" w:hAnsi="宋体" w:cs="宋体"/>
                <w:kern w:val="0"/>
                <w:sz w:val="20"/>
                <w:szCs w:val="20"/>
              </w:rPr>
              <w:t>A02091107视频监控设备</w:t>
            </w:r>
          </w:p>
        </w:tc>
        <w:tc>
          <w:tcPr>
            <w:tcW w:w="1725" w:type="dxa"/>
            <w:tcBorders>
              <w:top w:val="nil"/>
              <w:left w:val="nil"/>
              <w:bottom w:val="single" w:color="auto" w:sz="8" w:space="0"/>
              <w:right w:val="single" w:color="auto" w:sz="8" w:space="0"/>
            </w:tcBorders>
            <w:vAlign w:val="center"/>
          </w:tcPr>
          <w:p w14:paraId="01741BD0">
            <w:pPr>
              <w:widowControl/>
              <w:jc w:val="center"/>
              <w:rPr>
                <w:rFonts w:ascii="宋体" w:hAnsi="宋体" w:cs="宋体"/>
                <w:kern w:val="0"/>
                <w:sz w:val="20"/>
                <w:szCs w:val="20"/>
              </w:rPr>
            </w:pPr>
            <w:r>
              <w:rPr>
                <w:rFonts w:hint="eastAsia" w:ascii="宋体" w:hAnsi="宋体" w:cs="宋体"/>
                <w:kern w:val="0"/>
                <w:sz w:val="20"/>
                <w:szCs w:val="20"/>
              </w:rPr>
              <w:t>监视器</w:t>
            </w:r>
          </w:p>
        </w:tc>
        <w:tc>
          <w:tcPr>
            <w:tcW w:w="4410" w:type="dxa"/>
            <w:tcBorders>
              <w:top w:val="nil"/>
              <w:left w:val="nil"/>
              <w:bottom w:val="single" w:color="auto" w:sz="8" w:space="0"/>
              <w:right w:val="single" w:color="auto" w:sz="8" w:space="0"/>
            </w:tcBorders>
            <w:vAlign w:val="center"/>
          </w:tcPr>
          <w:p w14:paraId="0C409B11">
            <w:pPr>
              <w:widowControl/>
              <w:jc w:val="left"/>
              <w:rPr>
                <w:rFonts w:ascii="宋体" w:hAnsi="宋体" w:cs="宋体"/>
                <w:kern w:val="0"/>
                <w:sz w:val="20"/>
                <w:szCs w:val="20"/>
              </w:rPr>
            </w:pPr>
            <w:r>
              <w:rPr>
                <w:rFonts w:hint="eastAsia" w:ascii="宋体" w:hAnsi="宋体" w:cs="宋体"/>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14:paraId="73B4DC53">
        <w:tblPrEx>
          <w:tblCellMar>
            <w:top w:w="0" w:type="dxa"/>
            <w:left w:w="108" w:type="dxa"/>
            <w:bottom w:w="0" w:type="dxa"/>
            <w:right w:w="108" w:type="dxa"/>
          </w:tblCellMar>
        </w:tblPrEx>
        <w:trPr>
          <w:trHeight w:val="495" w:hRule="atLeast"/>
        </w:trPr>
        <w:tc>
          <w:tcPr>
            <w:tcW w:w="641" w:type="dxa"/>
            <w:tcBorders>
              <w:top w:val="nil"/>
              <w:left w:val="single" w:color="auto" w:sz="8" w:space="0"/>
              <w:bottom w:val="single" w:color="auto" w:sz="8" w:space="0"/>
              <w:right w:val="single" w:color="auto" w:sz="8" w:space="0"/>
            </w:tcBorders>
            <w:vAlign w:val="center"/>
          </w:tcPr>
          <w:p w14:paraId="7D53BBDC">
            <w:pPr>
              <w:widowControl/>
              <w:jc w:val="center"/>
              <w:rPr>
                <w:rFonts w:ascii="宋体" w:hAnsi="宋体" w:cs="宋体"/>
                <w:kern w:val="0"/>
                <w:sz w:val="20"/>
                <w:szCs w:val="20"/>
              </w:rPr>
            </w:pPr>
            <w:r>
              <w:rPr>
                <w:rFonts w:hint="eastAsia" w:ascii="宋体" w:hAnsi="宋体" w:cs="宋体"/>
                <w:kern w:val="0"/>
                <w:sz w:val="20"/>
                <w:szCs w:val="20"/>
              </w:rPr>
              <w:t>14</w:t>
            </w:r>
          </w:p>
        </w:tc>
        <w:tc>
          <w:tcPr>
            <w:tcW w:w="1116" w:type="dxa"/>
            <w:tcBorders>
              <w:top w:val="nil"/>
              <w:left w:val="nil"/>
              <w:bottom w:val="single" w:color="auto" w:sz="8" w:space="0"/>
              <w:right w:val="single" w:color="auto" w:sz="8" w:space="0"/>
            </w:tcBorders>
            <w:vAlign w:val="center"/>
          </w:tcPr>
          <w:p w14:paraId="5A8165B6">
            <w:pPr>
              <w:widowControl/>
              <w:jc w:val="center"/>
              <w:rPr>
                <w:rFonts w:ascii="宋体" w:hAnsi="宋体" w:cs="宋体"/>
                <w:kern w:val="0"/>
                <w:sz w:val="20"/>
                <w:szCs w:val="20"/>
              </w:rPr>
            </w:pPr>
            <w:r>
              <w:rPr>
                <w:rFonts w:hint="eastAsia" w:ascii="宋体" w:hAnsi="宋体" w:cs="宋体"/>
                <w:kern w:val="0"/>
                <w:sz w:val="20"/>
                <w:szCs w:val="20"/>
              </w:rPr>
              <w:t>A031210饮食炊事机械</w:t>
            </w:r>
          </w:p>
        </w:tc>
        <w:tc>
          <w:tcPr>
            <w:tcW w:w="1700" w:type="dxa"/>
            <w:tcBorders>
              <w:top w:val="nil"/>
              <w:left w:val="nil"/>
              <w:bottom w:val="single" w:color="auto" w:sz="8" w:space="0"/>
              <w:right w:val="single" w:color="auto" w:sz="8" w:space="0"/>
            </w:tcBorders>
            <w:vAlign w:val="center"/>
          </w:tcPr>
          <w:p w14:paraId="2ECFC8FA">
            <w:pPr>
              <w:widowControl/>
              <w:jc w:val="center"/>
              <w:rPr>
                <w:rFonts w:ascii="宋体" w:hAnsi="宋体" w:cs="宋体"/>
                <w:kern w:val="0"/>
                <w:sz w:val="20"/>
                <w:szCs w:val="20"/>
              </w:rPr>
            </w:pPr>
            <w:r>
              <w:rPr>
                <w:rFonts w:hint="eastAsia" w:ascii="宋体" w:hAnsi="宋体" w:cs="宋体"/>
                <w:kern w:val="0"/>
                <w:sz w:val="20"/>
                <w:szCs w:val="20"/>
              </w:rPr>
              <w:t>商用燃气灶具</w:t>
            </w:r>
          </w:p>
        </w:tc>
        <w:tc>
          <w:tcPr>
            <w:tcW w:w="1725" w:type="dxa"/>
            <w:tcBorders>
              <w:top w:val="nil"/>
              <w:left w:val="nil"/>
              <w:bottom w:val="single" w:color="auto" w:sz="8" w:space="0"/>
              <w:right w:val="single" w:color="auto" w:sz="8" w:space="0"/>
            </w:tcBorders>
            <w:vAlign w:val="center"/>
          </w:tcPr>
          <w:p w14:paraId="4E639729">
            <w:pPr>
              <w:widowControl/>
              <w:jc w:val="center"/>
              <w:rPr>
                <w:rFonts w:ascii="宋体" w:hAnsi="宋体" w:cs="宋体"/>
                <w:kern w:val="0"/>
                <w:sz w:val="20"/>
                <w:szCs w:val="20"/>
              </w:rPr>
            </w:pPr>
            <w:r>
              <w:rPr>
                <w:rFonts w:hint="eastAsia" w:ascii="宋体" w:hAnsi="宋体" w:cs="宋体"/>
                <w:kern w:val="0"/>
                <w:sz w:val="20"/>
                <w:szCs w:val="20"/>
              </w:rPr>
              <w:t>　</w:t>
            </w:r>
          </w:p>
        </w:tc>
        <w:tc>
          <w:tcPr>
            <w:tcW w:w="4410" w:type="dxa"/>
            <w:tcBorders>
              <w:top w:val="nil"/>
              <w:left w:val="nil"/>
              <w:bottom w:val="single" w:color="auto" w:sz="8" w:space="0"/>
              <w:right w:val="single" w:color="auto" w:sz="8" w:space="0"/>
            </w:tcBorders>
            <w:vAlign w:val="center"/>
          </w:tcPr>
          <w:p w14:paraId="3B658FC3">
            <w:pPr>
              <w:widowControl/>
              <w:jc w:val="left"/>
              <w:rPr>
                <w:rFonts w:ascii="宋体" w:hAnsi="宋体" w:cs="宋体"/>
                <w:kern w:val="0"/>
                <w:sz w:val="20"/>
                <w:szCs w:val="20"/>
              </w:rPr>
            </w:pPr>
            <w:r>
              <w:rPr>
                <w:rFonts w:hint="eastAsia" w:ascii="宋体" w:hAnsi="宋体" w:cs="宋体"/>
                <w:kern w:val="0"/>
                <w:sz w:val="20"/>
                <w:szCs w:val="20"/>
              </w:rPr>
              <w:t>《商用燃气灶具能效限定值及能效等级》（GB30531）</w:t>
            </w:r>
          </w:p>
        </w:tc>
      </w:tr>
      <w:tr w14:paraId="6A671FC7">
        <w:tblPrEx>
          <w:tblCellMar>
            <w:top w:w="0" w:type="dxa"/>
            <w:left w:w="108" w:type="dxa"/>
            <w:bottom w:w="0" w:type="dxa"/>
            <w:right w:w="108" w:type="dxa"/>
          </w:tblCellMar>
        </w:tblPrEx>
        <w:trPr>
          <w:trHeight w:val="285" w:hRule="atLeast"/>
        </w:trPr>
        <w:tc>
          <w:tcPr>
            <w:tcW w:w="641" w:type="dxa"/>
            <w:vMerge w:val="restart"/>
            <w:tcBorders>
              <w:top w:val="nil"/>
              <w:left w:val="single" w:color="auto" w:sz="8" w:space="0"/>
              <w:bottom w:val="single" w:color="auto" w:sz="8" w:space="0"/>
              <w:right w:val="single" w:color="auto" w:sz="8" w:space="0"/>
            </w:tcBorders>
            <w:vAlign w:val="center"/>
          </w:tcPr>
          <w:p w14:paraId="13E1F3BB">
            <w:pPr>
              <w:widowControl/>
              <w:jc w:val="center"/>
              <w:rPr>
                <w:rFonts w:ascii="宋体" w:hAnsi="宋体" w:cs="宋体"/>
                <w:kern w:val="0"/>
                <w:sz w:val="20"/>
                <w:szCs w:val="20"/>
              </w:rPr>
            </w:pPr>
            <w:r>
              <w:rPr>
                <w:rFonts w:hint="eastAsia" w:ascii="宋体" w:hAnsi="宋体" w:cs="宋体"/>
                <w:kern w:val="0"/>
                <w:sz w:val="20"/>
                <w:szCs w:val="20"/>
              </w:rPr>
              <w:t>15</w:t>
            </w:r>
          </w:p>
        </w:tc>
        <w:tc>
          <w:tcPr>
            <w:tcW w:w="1116" w:type="dxa"/>
            <w:vMerge w:val="restart"/>
            <w:tcBorders>
              <w:top w:val="nil"/>
              <w:left w:val="single" w:color="auto" w:sz="8" w:space="0"/>
              <w:bottom w:val="single" w:color="000000" w:sz="8" w:space="0"/>
              <w:right w:val="single" w:color="auto" w:sz="8" w:space="0"/>
            </w:tcBorders>
            <w:vAlign w:val="center"/>
          </w:tcPr>
          <w:p w14:paraId="12737B38">
            <w:pPr>
              <w:widowControl/>
              <w:jc w:val="center"/>
              <w:rPr>
                <w:rFonts w:ascii="宋体" w:hAnsi="宋体" w:cs="宋体"/>
                <w:kern w:val="0"/>
                <w:sz w:val="20"/>
                <w:szCs w:val="20"/>
              </w:rPr>
            </w:pPr>
            <w:r>
              <w:rPr>
                <w:rFonts w:hint="eastAsia" w:ascii="宋体" w:hAnsi="宋体" w:cs="宋体"/>
                <w:kern w:val="0"/>
                <w:sz w:val="20"/>
                <w:szCs w:val="20"/>
              </w:rPr>
              <w:t>★A060805便器</w:t>
            </w:r>
          </w:p>
        </w:tc>
        <w:tc>
          <w:tcPr>
            <w:tcW w:w="1700" w:type="dxa"/>
            <w:tcBorders>
              <w:top w:val="nil"/>
              <w:left w:val="nil"/>
              <w:bottom w:val="single" w:color="auto" w:sz="8" w:space="0"/>
              <w:right w:val="single" w:color="auto" w:sz="8" w:space="0"/>
            </w:tcBorders>
            <w:vAlign w:val="center"/>
          </w:tcPr>
          <w:p w14:paraId="05B70FA8">
            <w:pPr>
              <w:widowControl/>
              <w:jc w:val="center"/>
              <w:rPr>
                <w:rFonts w:ascii="宋体" w:hAnsi="宋体" w:cs="宋体"/>
                <w:kern w:val="0"/>
                <w:sz w:val="20"/>
                <w:szCs w:val="20"/>
              </w:rPr>
            </w:pPr>
            <w:r>
              <w:rPr>
                <w:rFonts w:hint="eastAsia" w:ascii="宋体" w:hAnsi="宋体" w:cs="宋体"/>
                <w:kern w:val="0"/>
                <w:sz w:val="20"/>
                <w:szCs w:val="20"/>
              </w:rPr>
              <w:t>坐便器</w:t>
            </w:r>
          </w:p>
        </w:tc>
        <w:tc>
          <w:tcPr>
            <w:tcW w:w="1725" w:type="dxa"/>
            <w:tcBorders>
              <w:top w:val="nil"/>
              <w:left w:val="nil"/>
              <w:bottom w:val="single" w:color="auto" w:sz="8" w:space="0"/>
              <w:right w:val="single" w:color="auto" w:sz="8" w:space="0"/>
            </w:tcBorders>
            <w:vAlign w:val="center"/>
          </w:tcPr>
          <w:p w14:paraId="2AC040EC">
            <w:pPr>
              <w:widowControl/>
              <w:jc w:val="center"/>
              <w:rPr>
                <w:rFonts w:ascii="宋体" w:hAnsi="宋体" w:cs="宋体"/>
                <w:kern w:val="0"/>
                <w:sz w:val="20"/>
                <w:szCs w:val="20"/>
              </w:rPr>
            </w:pPr>
            <w:r>
              <w:rPr>
                <w:rFonts w:hint="eastAsia" w:ascii="宋体" w:hAnsi="宋体" w:cs="宋体"/>
                <w:kern w:val="0"/>
                <w:sz w:val="20"/>
                <w:szCs w:val="20"/>
              </w:rPr>
              <w:t>　</w:t>
            </w:r>
          </w:p>
        </w:tc>
        <w:tc>
          <w:tcPr>
            <w:tcW w:w="4410" w:type="dxa"/>
            <w:tcBorders>
              <w:top w:val="nil"/>
              <w:left w:val="nil"/>
              <w:bottom w:val="single" w:color="auto" w:sz="8" w:space="0"/>
              <w:right w:val="single" w:color="auto" w:sz="8" w:space="0"/>
            </w:tcBorders>
            <w:vAlign w:val="center"/>
          </w:tcPr>
          <w:p w14:paraId="5E5F4BA8">
            <w:pPr>
              <w:widowControl/>
              <w:jc w:val="left"/>
              <w:rPr>
                <w:rFonts w:ascii="宋体" w:hAnsi="宋体" w:cs="宋体"/>
                <w:kern w:val="0"/>
                <w:sz w:val="20"/>
                <w:szCs w:val="20"/>
              </w:rPr>
            </w:pPr>
            <w:r>
              <w:rPr>
                <w:rFonts w:hint="eastAsia" w:ascii="宋体" w:hAnsi="宋体" w:cs="宋体"/>
                <w:kern w:val="0"/>
                <w:sz w:val="20"/>
                <w:szCs w:val="20"/>
              </w:rPr>
              <w:t>《坐便器水效限定值及水效等级》（GB25502）</w:t>
            </w:r>
          </w:p>
        </w:tc>
      </w:tr>
      <w:tr w14:paraId="7AFB7540">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vAlign w:val="center"/>
          </w:tcPr>
          <w:p w14:paraId="0B4A7A5A">
            <w:pPr>
              <w:widowControl/>
              <w:jc w:val="left"/>
              <w:rPr>
                <w:rFonts w:ascii="宋体" w:hAnsi="宋体" w:cs="宋体"/>
                <w:kern w:val="0"/>
                <w:sz w:val="20"/>
                <w:szCs w:val="20"/>
              </w:rPr>
            </w:pPr>
          </w:p>
        </w:tc>
        <w:tc>
          <w:tcPr>
            <w:tcW w:w="0" w:type="auto"/>
            <w:vMerge w:val="continue"/>
            <w:tcBorders>
              <w:top w:val="nil"/>
              <w:left w:val="single" w:color="auto" w:sz="8" w:space="0"/>
              <w:bottom w:val="single" w:color="000000" w:sz="8" w:space="0"/>
              <w:right w:val="single" w:color="auto" w:sz="8" w:space="0"/>
            </w:tcBorders>
            <w:vAlign w:val="center"/>
          </w:tcPr>
          <w:p w14:paraId="072E4090">
            <w:pPr>
              <w:widowControl/>
              <w:jc w:val="left"/>
              <w:rPr>
                <w:rFonts w:ascii="宋体" w:hAnsi="宋体" w:cs="宋体"/>
                <w:kern w:val="0"/>
                <w:sz w:val="20"/>
                <w:szCs w:val="20"/>
              </w:rPr>
            </w:pPr>
          </w:p>
        </w:tc>
        <w:tc>
          <w:tcPr>
            <w:tcW w:w="1700" w:type="dxa"/>
            <w:tcBorders>
              <w:top w:val="nil"/>
              <w:left w:val="nil"/>
              <w:bottom w:val="single" w:color="auto" w:sz="8" w:space="0"/>
              <w:right w:val="single" w:color="auto" w:sz="8" w:space="0"/>
            </w:tcBorders>
            <w:vAlign w:val="center"/>
          </w:tcPr>
          <w:p w14:paraId="35F2FB09">
            <w:pPr>
              <w:widowControl/>
              <w:jc w:val="center"/>
              <w:rPr>
                <w:rFonts w:ascii="宋体" w:hAnsi="宋体" w:cs="宋体"/>
                <w:kern w:val="0"/>
                <w:sz w:val="20"/>
                <w:szCs w:val="20"/>
              </w:rPr>
            </w:pPr>
            <w:r>
              <w:rPr>
                <w:rFonts w:hint="eastAsia" w:ascii="宋体" w:hAnsi="宋体" w:cs="宋体"/>
                <w:kern w:val="0"/>
                <w:sz w:val="20"/>
                <w:szCs w:val="20"/>
              </w:rPr>
              <w:t>蹲便器</w:t>
            </w:r>
          </w:p>
        </w:tc>
        <w:tc>
          <w:tcPr>
            <w:tcW w:w="1725" w:type="dxa"/>
            <w:tcBorders>
              <w:top w:val="nil"/>
              <w:left w:val="nil"/>
              <w:bottom w:val="single" w:color="auto" w:sz="8" w:space="0"/>
              <w:right w:val="single" w:color="auto" w:sz="8" w:space="0"/>
            </w:tcBorders>
            <w:vAlign w:val="center"/>
          </w:tcPr>
          <w:p w14:paraId="5134E87B">
            <w:pPr>
              <w:widowControl/>
              <w:jc w:val="center"/>
              <w:rPr>
                <w:rFonts w:ascii="宋体" w:hAnsi="宋体" w:cs="宋体"/>
                <w:kern w:val="0"/>
                <w:sz w:val="20"/>
                <w:szCs w:val="20"/>
              </w:rPr>
            </w:pPr>
            <w:r>
              <w:rPr>
                <w:rFonts w:hint="eastAsia" w:ascii="宋体" w:hAnsi="宋体" w:cs="宋体"/>
                <w:kern w:val="0"/>
                <w:sz w:val="20"/>
                <w:szCs w:val="20"/>
              </w:rPr>
              <w:t>　</w:t>
            </w:r>
          </w:p>
        </w:tc>
        <w:tc>
          <w:tcPr>
            <w:tcW w:w="4410" w:type="dxa"/>
            <w:tcBorders>
              <w:top w:val="nil"/>
              <w:left w:val="nil"/>
              <w:bottom w:val="single" w:color="auto" w:sz="8" w:space="0"/>
              <w:right w:val="single" w:color="auto" w:sz="8" w:space="0"/>
            </w:tcBorders>
            <w:vAlign w:val="center"/>
          </w:tcPr>
          <w:p w14:paraId="66F158BF">
            <w:pPr>
              <w:widowControl/>
              <w:jc w:val="left"/>
              <w:rPr>
                <w:rFonts w:ascii="宋体" w:hAnsi="宋体" w:cs="宋体"/>
                <w:kern w:val="0"/>
                <w:sz w:val="20"/>
                <w:szCs w:val="20"/>
              </w:rPr>
            </w:pPr>
            <w:r>
              <w:rPr>
                <w:rFonts w:hint="eastAsia" w:ascii="宋体" w:hAnsi="宋体" w:cs="宋体"/>
                <w:kern w:val="0"/>
                <w:sz w:val="20"/>
                <w:szCs w:val="20"/>
              </w:rPr>
              <w:t>《蹲便器用水效率限定值及用水效率等级》（GB30717）</w:t>
            </w:r>
          </w:p>
        </w:tc>
      </w:tr>
      <w:tr w14:paraId="1DA75685">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vAlign w:val="center"/>
          </w:tcPr>
          <w:p w14:paraId="25B5BA07">
            <w:pPr>
              <w:widowControl/>
              <w:jc w:val="left"/>
              <w:rPr>
                <w:rFonts w:ascii="宋体" w:hAnsi="宋体" w:cs="宋体"/>
                <w:kern w:val="0"/>
                <w:sz w:val="20"/>
                <w:szCs w:val="20"/>
              </w:rPr>
            </w:pPr>
          </w:p>
        </w:tc>
        <w:tc>
          <w:tcPr>
            <w:tcW w:w="0" w:type="auto"/>
            <w:vMerge w:val="continue"/>
            <w:tcBorders>
              <w:top w:val="nil"/>
              <w:left w:val="single" w:color="auto" w:sz="8" w:space="0"/>
              <w:bottom w:val="single" w:color="000000" w:sz="8" w:space="0"/>
              <w:right w:val="single" w:color="auto" w:sz="8" w:space="0"/>
            </w:tcBorders>
            <w:vAlign w:val="center"/>
          </w:tcPr>
          <w:p w14:paraId="5A8FA779">
            <w:pPr>
              <w:widowControl/>
              <w:jc w:val="left"/>
              <w:rPr>
                <w:rFonts w:ascii="宋体" w:hAnsi="宋体" w:cs="宋体"/>
                <w:kern w:val="0"/>
                <w:sz w:val="20"/>
                <w:szCs w:val="20"/>
              </w:rPr>
            </w:pPr>
          </w:p>
        </w:tc>
        <w:tc>
          <w:tcPr>
            <w:tcW w:w="1700" w:type="dxa"/>
            <w:tcBorders>
              <w:top w:val="nil"/>
              <w:left w:val="nil"/>
              <w:bottom w:val="single" w:color="auto" w:sz="8" w:space="0"/>
              <w:right w:val="single" w:color="auto" w:sz="8" w:space="0"/>
            </w:tcBorders>
            <w:vAlign w:val="center"/>
          </w:tcPr>
          <w:p w14:paraId="62698F9D">
            <w:pPr>
              <w:widowControl/>
              <w:jc w:val="center"/>
              <w:rPr>
                <w:rFonts w:ascii="宋体" w:hAnsi="宋体" w:cs="宋体"/>
                <w:kern w:val="0"/>
                <w:sz w:val="20"/>
                <w:szCs w:val="20"/>
              </w:rPr>
            </w:pPr>
            <w:r>
              <w:rPr>
                <w:rFonts w:hint="eastAsia" w:ascii="宋体" w:hAnsi="宋体" w:cs="宋体"/>
                <w:kern w:val="0"/>
                <w:sz w:val="20"/>
                <w:szCs w:val="20"/>
              </w:rPr>
              <w:t>小便器</w:t>
            </w:r>
          </w:p>
        </w:tc>
        <w:tc>
          <w:tcPr>
            <w:tcW w:w="1725" w:type="dxa"/>
            <w:tcBorders>
              <w:top w:val="nil"/>
              <w:left w:val="nil"/>
              <w:bottom w:val="single" w:color="auto" w:sz="8" w:space="0"/>
              <w:right w:val="single" w:color="auto" w:sz="8" w:space="0"/>
            </w:tcBorders>
            <w:vAlign w:val="center"/>
          </w:tcPr>
          <w:p w14:paraId="345A95A5">
            <w:pPr>
              <w:widowControl/>
              <w:jc w:val="center"/>
              <w:rPr>
                <w:rFonts w:ascii="宋体" w:hAnsi="宋体" w:cs="宋体"/>
                <w:kern w:val="0"/>
                <w:sz w:val="20"/>
                <w:szCs w:val="20"/>
              </w:rPr>
            </w:pPr>
            <w:r>
              <w:rPr>
                <w:rFonts w:hint="eastAsia" w:ascii="宋体" w:hAnsi="宋体" w:cs="宋体"/>
                <w:kern w:val="0"/>
                <w:sz w:val="20"/>
                <w:szCs w:val="20"/>
              </w:rPr>
              <w:t>　</w:t>
            </w:r>
          </w:p>
        </w:tc>
        <w:tc>
          <w:tcPr>
            <w:tcW w:w="4410" w:type="dxa"/>
            <w:tcBorders>
              <w:top w:val="nil"/>
              <w:left w:val="nil"/>
              <w:bottom w:val="single" w:color="auto" w:sz="8" w:space="0"/>
              <w:right w:val="single" w:color="auto" w:sz="8" w:space="0"/>
            </w:tcBorders>
            <w:vAlign w:val="center"/>
          </w:tcPr>
          <w:p w14:paraId="5C021D55">
            <w:pPr>
              <w:widowControl/>
              <w:jc w:val="left"/>
              <w:rPr>
                <w:rFonts w:ascii="宋体" w:hAnsi="宋体" w:cs="宋体"/>
                <w:kern w:val="0"/>
                <w:sz w:val="20"/>
                <w:szCs w:val="20"/>
              </w:rPr>
            </w:pPr>
            <w:r>
              <w:rPr>
                <w:rFonts w:hint="eastAsia" w:ascii="宋体" w:hAnsi="宋体" w:cs="宋体"/>
                <w:kern w:val="0"/>
                <w:sz w:val="20"/>
                <w:szCs w:val="20"/>
              </w:rPr>
              <w:t>《小便器用水效率限定值及用水效率等级》（GB28377）</w:t>
            </w:r>
          </w:p>
        </w:tc>
      </w:tr>
      <w:tr w14:paraId="0F97693E">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1EBBA2C7">
            <w:pPr>
              <w:widowControl/>
              <w:jc w:val="center"/>
              <w:rPr>
                <w:rFonts w:ascii="宋体" w:hAnsi="宋体" w:cs="宋体"/>
                <w:kern w:val="0"/>
                <w:sz w:val="20"/>
                <w:szCs w:val="20"/>
              </w:rPr>
            </w:pPr>
            <w:r>
              <w:rPr>
                <w:rFonts w:hint="eastAsia" w:ascii="宋体" w:hAnsi="宋体" w:cs="宋体"/>
                <w:kern w:val="0"/>
                <w:sz w:val="20"/>
                <w:szCs w:val="20"/>
              </w:rPr>
              <w:t>16</w:t>
            </w:r>
          </w:p>
        </w:tc>
        <w:tc>
          <w:tcPr>
            <w:tcW w:w="1116" w:type="dxa"/>
            <w:tcBorders>
              <w:top w:val="nil"/>
              <w:left w:val="nil"/>
              <w:bottom w:val="single" w:color="000000" w:sz="8" w:space="0"/>
              <w:right w:val="single" w:color="000000" w:sz="8" w:space="0"/>
            </w:tcBorders>
            <w:vAlign w:val="center"/>
          </w:tcPr>
          <w:p w14:paraId="708FC8C6">
            <w:pPr>
              <w:widowControl/>
              <w:jc w:val="center"/>
              <w:rPr>
                <w:rFonts w:ascii="宋体" w:hAnsi="宋体" w:cs="宋体"/>
                <w:kern w:val="0"/>
                <w:sz w:val="20"/>
                <w:szCs w:val="20"/>
              </w:rPr>
            </w:pPr>
            <w:r>
              <w:rPr>
                <w:rFonts w:hint="eastAsia" w:ascii="宋体" w:hAnsi="宋体" w:cs="宋体"/>
                <w:kern w:val="0"/>
                <w:sz w:val="20"/>
                <w:szCs w:val="20"/>
              </w:rPr>
              <w:t>★A060806水嘴</w:t>
            </w:r>
          </w:p>
        </w:tc>
        <w:tc>
          <w:tcPr>
            <w:tcW w:w="1700" w:type="dxa"/>
            <w:tcBorders>
              <w:top w:val="nil"/>
              <w:left w:val="nil"/>
              <w:bottom w:val="single" w:color="000000" w:sz="8" w:space="0"/>
              <w:right w:val="single" w:color="000000" w:sz="8" w:space="0"/>
            </w:tcBorders>
            <w:vAlign w:val="center"/>
          </w:tcPr>
          <w:p w14:paraId="395C7426">
            <w:pPr>
              <w:widowControl/>
              <w:jc w:val="center"/>
              <w:rPr>
                <w:rFonts w:ascii="宋体" w:hAnsi="宋体" w:cs="宋体"/>
                <w:kern w:val="0"/>
                <w:sz w:val="20"/>
                <w:szCs w:val="20"/>
              </w:rPr>
            </w:pPr>
            <w:r>
              <w:rPr>
                <w:rFonts w:hint="eastAsia" w:ascii="宋体" w:hAnsi="宋体" w:cs="宋体"/>
                <w:kern w:val="0"/>
                <w:sz w:val="20"/>
                <w:szCs w:val="20"/>
              </w:rPr>
              <w:t>　</w:t>
            </w:r>
          </w:p>
        </w:tc>
        <w:tc>
          <w:tcPr>
            <w:tcW w:w="1725" w:type="dxa"/>
            <w:tcBorders>
              <w:top w:val="nil"/>
              <w:left w:val="nil"/>
              <w:bottom w:val="single" w:color="000000" w:sz="8" w:space="0"/>
              <w:right w:val="single" w:color="000000" w:sz="8" w:space="0"/>
            </w:tcBorders>
            <w:vAlign w:val="center"/>
          </w:tcPr>
          <w:p w14:paraId="3C790827">
            <w:pPr>
              <w:widowControl/>
              <w:jc w:val="center"/>
              <w:rPr>
                <w:rFonts w:ascii="宋体" w:hAnsi="宋体" w:cs="宋体"/>
                <w:kern w:val="0"/>
                <w:sz w:val="20"/>
                <w:szCs w:val="20"/>
              </w:rPr>
            </w:pPr>
            <w:r>
              <w:rPr>
                <w:rFonts w:hint="eastAsia" w:ascii="宋体" w:hAnsi="宋体" w:cs="宋体"/>
                <w:kern w:val="0"/>
                <w:sz w:val="20"/>
                <w:szCs w:val="20"/>
              </w:rPr>
              <w:t>　</w:t>
            </w:r>
          </w:p>
        </w:tc>
        <w:tc>
          <w:tcPr>
            <w:tcW w:w="4410" w:type="dxa"/>
            <w:tcBorders>
              <w:top w:val="nil"/>
              <w:left w:val="nil"/>
              <w:bottom w:val="single" w:color="000000" w:sz="8" w:space="0"/>
              <w:right w:val="single" w:color="000000" w:sz="8" w:space="0"/>
            </w:tcBorders>
            <w:vAlign w:val="center"/>
          </w:tcPr>
          <w:p w14:paraId="2D8F09D4">
            <w:pPr>
              <w:widowControl/>
              <w:jc w:val="left"/>
              <w:rPr>
                <w:rFonts w:ascii="宋体" w:hAnsi="宋体" w:cs="宋体"/>
                <w:kern w:val="0"/>
                <w:sz w:val="20"/>
                <w:szCs w:val="20"/>
              </w:rPr>
            </w:pPr>
            <w:r>
              <w:rPr>
                <w:rFonts w:hint="eastAsia" w:ascii="宋体" w:hAnsi="宋体" w:cs="宋体"/>
                <w:kern w:val="0"/>
                <w:sz w:val="20"/>
                <w:szCs w:val="20"/>
              </w:rPr>
              <w:t>《水嘴用水效率限定值及用水效率等级》（GB 25501）</w:t>
            </w:r>
          </w:p>
        </w:tc>
      </w:tr>
      <w:tr w14:paraId="1F8D3C80">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6A4A3771">
            <w:pPr>
              <w:widowControl/>
              <w:jc w:val="center"/>
              <w:rPr>
                <w:rFonts w:ascii="宋体" w:hAnsi="宋体" w:cs="宋体"/>
                <w:kern w:val="0"/>
                <w:sz w:val="20"/>
                <w:szCs w:val="20"/>
              </w:rPr>
            </w:pPr>
            <w:r>
              <w:rPr>
                <w:rFonts w:hint="eastAsia" w:ascii="宋体" w:hAnsi="宋体" w:cs="宋体"/>
                <w:kern w:val="0"/>
                <w:sz w:val="20"/>
                <w:szCs w:val="20"/>
              </w:rPr>
              <w:t>17</w:t>
            </w:r>
          </w:p>
        </w:tc>
        <w:tc>
          <w:tcPr>
            <w:tcW w:w="1116" w:type="dxa"/>
            <w:tcBorders>
              <w:top w:val="nil"/>
              <w:left w:val="nil"/>
              <w:bottom w:val="single" w:color="000000" w:sz="8" w:space="0"/>
              <w:right w:val="single" w:color="000000" w:sz="8" w:space="0"/>
            </w:tcBorders>
            <w:vAlign w:val="center"/>
          </w:tcPr>
          <w:p w14:paraId="35074DD4">
            <w:pPr>
              <w:widowControl/>
              <w:jc w:val="center"/>
              <w:rPr>
                <w:rFonts w:ascii="宋体" w:hAnsi="宋体" w:cs="宋体"/>
                <w:kern w:val="0"/>
                <w:sz w:val="20"/>
                <w:szCs w:val="20"/>
              </w:rPr>
            </w:pPr>
            <w:r>
              <w:rPr>
                <w:rFonts w:hint="eastAsia" w:ascii="宋体" w:hAnsi="宋体" w:cs="宋体"/>
                <w:kern w:val="0"/>
                <w:sz w:val="20"/>
                <w:szCs w:val="20"/>
              </w:rPr>
              <w:t>A060807便器冲洗阀</w:t>
            </w:r>
          </w:p>
        </w:tc>
        <w:tc>
          <w:tcPr>
            <w:tcW w:w="1700" w:type="dxa"/>
            <w:tcBorders>
              <w:top w:val="nil"/>
              <w:left w:val="nil"/>
              <w:bottom w:val="single" w:color="000000" w:sz="8" w:space="0"/>
              <w:right w:val="single" w:color="000000" w:sz="8" w:space="0"/>
            </w:tcBorders>
            <w:vAlign w:val="center"/>
          </w:tcPr>
          <w:p w14:paraId="3ADA87B0">
            <w:pPr>
              <w:widowControl/>
              <w:jc w:val="center"/>
              <w:rPr>
                <w:rFonts w:ascii="宋体" w:hAnsi="宋体" w:cs="宋体"/>
                <w:kern w:val="0"/>
                <w:sz w:val="20"/>
                <w:szCs w:val="20"/>
              </w:rPr>
            </w:pPr>
            <w:r>
              <w:rPr>
                <w:rFonts w:hint="eastAsia" w:ascii="宋体" w:hAnsi="宋体" w:cs="宋体"/>
                <w:kern w:val="0"/>
                <w:sz w:val="20"/>
                <w:szCs w:val="20"/>
              </w:rPr>
              <w:t>　</w:t>
            </w:r>
          </w:p>
        </w:tc>
        <w:tc>
          <w:tcPr>
            <w:tcW w:w="1725" w:type="dxa"/>
            <w:tcBorders>
              <w:top w:val="nil"/>
              <w:left w:val="nil"/>
              <w:bottom w:val="single" w:color="000000" w:sz="8" w:space="0"/>
              <w:right w:val="single" w:color="000000" w:sz="8" w:space="0"/>
            </w:tcBorders>
            <w:vAlign w:val="center"/>
          </w:tcPr>
          <w:p w14:paraId="1C34D0F1">
            <w:pPr>
              <w:widowControl/>
              <w:jc w:val="center"/>
              <w:rPr>
                <w:rFonts w:ascii="宋体" w:hAnsi="宋体" w:cs="宋体"/>
                <w:kern w:val="0"/>
                <w:sz w:val="20"/>
                <w:szCs w:val="20"/>
              </w:rPr>
            </w:pPr>
            <w:r>
              <w:rPr>
                <w:rFonts w:hint="eastAsia" w:ascii="宋体" w:hAnsi="宋体" w:cs="宋体"/>
                <w:kern w:val="0"/>
                <w:sz w:val="20"/>
                <w:szCs w:val="20"/>
              </w:rPr>
              <w:t>　</w:t>
            </w:r>
          </w:p>
        </w:tc>
        <w:tc>
          <w:tcPr>
            <w:tcW w:w="4410" w:type="dxa"/>
            <w:tcBorders>
              <w:top w:val="nil"/>
              <w:left w:val="nil"/>
              <w:bottom w:val="single" w:color="000000" w:sz="8" w:space="0"/>
              <w:right w:val="single" w:color="000000" w:sz="8" w:space="0"/>
            </w:tcBorders>
            <w:vAlign w:val="center"/>
          </w:tcPr>
          <w:p w14:paraId="06049902">
            <w:pPr>
              <w:widowControl/>
              <w:jc w:val="left"/>
              <w:rPr>
                <w:rFonts w:ascii="宋体" w:hAnsi="宋体" w:cs="宋体"/>
                <w:kern w:val="0"/>
                <w:sz w:val="20"/>
                <w:szCs w:val="20"/>
              </w:rPr>
            </w:pPr>
            <w:r>
              <w:rPr>
                <w:rFonts w:hint="eastAsia" w:ascii="宋体" w:hAnsi="宋体" w:cs="宋体"/>
                <w:kern w:val="0"/>
                <w:sz w:val="20"/>
                <w:szCs w:val="20"/>
              </w:rPr>
              <w:t>《便器冲洗阀用水效率限定值及用水效率等级》（GB28379）</w:t>
            </w:r>
          </w:p>
        </w:tc>
      </w:tr>
      <w:tr w14:paraId="2F869FA8">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2EEEE6F4">
            <w:pPr>
              <w:widowControl/>
              <w:jc w:val="center"/>
              <w:rPr>
                <w:rFonts w:ascii="宋体" w:hAnsi="宋体" w:cs="宋体"/>
                <w:kern w:val="0"/>
                <w:sz w:val="20"/>
                <w:szCs w:val="20"/>
              </w:rPr>
            </w:pPr>
            <w:r>
              <w:rPr>
                <w:rFonts w:hint="eastAsia" w:ascii="宋体" w:hAnsi="宋体" w:cs="宋体"/>
                <w:kern w:val="0"/>
                <w:sz w:val="20"/>
                <w:szCs w:val="20"/>
              </w:rPr>
              <w:t>18</w:t>
            </w:r>
          </w:p>
        </w:tc>
        <w:tc>
          <w:tcPr>
            <w:tcW w:w="1116" w:type="dxa"/>
            <w:tcBorders>
              <w:top w:val="nil"/>
              <w:left w:val="nil"/>
              <w:bottom w:val="single" w:color="000000" w:sz="8" w:space="0"/>
              <w:right w:val="single" w:color="000000" w:sz="8" w:space="0"/>
            </w:tcBorders>
            <w:vAlign w:val="center"/>
          </w:tcPr>
          <w:p w14:paraId="3FF246F3">
            <w:pPr>
              <w:widowControl/>
              <w:jc w:val="center"/>
              <w:rPr>
                <w:rFonts w:ascii="宋体" w:hAnsi="宋体" w:cs="宋体"/>
                <w:kern w:val="0"/>
                <w:sz w:val="20"/>
                <w:szCs w:val="20"/>
              </w:rPr>
            </w:pPr>
            <w:r>
              <w:rPr>
                <w:rFonts w:hint="eastAsia" w:ascii="宋体" w:hAnsi="宋体" w:cs="宋体"/>
                <w:kern w:val="0"/>
                <w:sz w:val="20"/>
                <w:szCs w:val="20"/>
              </w:rPr>
              <w:t>A060810淋浴器</w:t>
            </w:r>
          </w:p>
        </w:tc>
        <w:tc>
          <w:tcPr>
            <w:tcW w:w="1700" w:type="dxa"/>
            <w:tcBorders>
              <w:top w:val="nil"/>
              <w:left w:val="nil"/>
              <w:bottom w:val="single" w:color="000000" w:sz="8" w:space="0"/>
              <w:right w:val="single" w:color="000000" w:sz="8" w:space="0"/>
            </w:tcBorders>
            <w:vAlign w:val="center"/>
          </w:tcPr>
          <w:p w14:paraId="05030C16">
            <w:pPr>
              <w:widowControl/>
              <w:jc w:val="center"/>
              <w:rPr>
                <w:rFonts w:ascii="宋体" w:hAnsi="宋体" w:cs="宋体"/>
                <w:kern w:val="0"/>
                <w:sz w:val="20"/>
                <w:szCs w:val="20"/>
              </w:rPr>
            </w:pPr>
            <w:r>
              <w:rPr>
                <w:rFonts w:hint="eastAsia" w:ascii="宋体" w:hAnsi="宋体" w:cs="宋体"/>
                <w:kern w:val="0"/>
                <w:sz w:val="20"/>
                <w:szCs w:val="20"/>
              </w:rPr>
              <w:t>　</w:t>
            </w:r>
          </w:p>
        </w:tc>
        <w:tc>
          <w:tcPr>
            <w:tcW w:w="1725" w:type="dxa"/>
            <w:tcBorders>
              <w:top w:val="nil"/>
              <w:left w:val="nil"/>
              <w:bottom w:val="single" w:color="000000" w:sz="8" w:space="0"/>
              <w:right w:val="single" w:color="000000" w:sz="8" w:space="0"/>
            </w:tcBorders>
            <w:vAlign w:val="center"/>
          </w:tcPr>
          <w:p w14:paraId="6F84D1A6">
            <w:pPr>
              <w:widowControl/>
              <w:jc w:val="center"/>
              <w:rPr>
                <w:rFonts w:ascii="宋体" w:hAnsi="宋体" w:cs="宋体"/>
                <w:kern w:val="0"/>
                <w:sz w:val="20"/>
                <w:szCs w:val="20"/>
              </w:rPr>
            </w:pPr>
            <w:r>
              <w:rPr>
                <w:rFonts w:hint="eastAsia" w:ascii="宋体" w:hAnsi="宋体" w:cs="宋体"/>
                <w:kern w:val="0"/>
                <w:sz w:val="20"/>
                <w:szCs w:val="20"/>
              </w:rPr>
              <w:t>　</w:t>
            </w:r>
          </w:p>
        </w:tc>
        <w:tc>
          <w:tcPr>
            <w:tcW w:w="4410" w:type="dxa"/>
            <w:tcBorders>
              <w:top w:val="nil"/>
              <w:left w:val="nil"/>
              <w:bottom w:val="single" w:color="000000" w:sz="8" w:space="0"/>
              <w:right w:val="single" w:color="000000" w:sz="8" w:space="0"/>
            </w:tcBorders>
            <w:vAlign w:val="center"/>
          </w:tcPr>
          <w:p w14:paraId="532DDCBE">
            <w:pPr>
              <w:widowControl/>
              <w:jc w:val="left"/>
              <w:rPr>
                <w:rFonts w:ascii="宋体" w:hAnsi="宋体" w:cs="宋体"/>
                <w:kern w:val="0"/>
                <w:sz w:val="20"/>
                <w:szCs w:val="20"/>
              </w:rPr>
            </w:pPr>
            <w:r>
              <w:rPr>
                <w:rFonts w:hint="eastAsia" w:ascii="宋体" w:hAnsi="宋体" w:cs="宋体"/>
                <w:kern w:val="0"/>
                <w:sz w:val="20"/>
                <w:szCs w:val="20"/>
              </w:rPr>
              <w:t>《淋浴器用水效率限定值及用水效率等级》（GB28378）</w:t>
            </w:r>
          </w:p>
        </w:tc>
      </w:tr>
    </w:tbl>
    <w:p w14:paraId="30EB2412">
      <w:pPr>
        <w:widowControl/>
        <w:rPr>
          <w:rFonts w:ascii="宋体" w:hAnsi="宋体" w:cs="宋体"/>
          <w:sz w:val="20"/>
          <w:szCs w:val="20"/>
        </w:rPr>
      </w:pPr>
    </w:p>
    <w:p w14:paraId="48F7C35B">
      <w:pPr>
        <w:pStyle w:val="11"/>
        <w:spacing w:line="360" w:lineRule="auto"/>
        <w:rPr>
          <w:rFonts w:ascii="宋体" w:hAnsi="宋体"/>
          <w:szCs w:val="21"/>
        </w:rPr>
      </w:pPr>
      <w:r>
        <w:rPr>
          <w:rFonts w:hint="eastAsia"/>
          <w:spacing w:val="-3"/>
          <w:szCs w:val="21"/>
        </w:rPr>
        <w:t>注：</w:t>
      </w:r>
      <w:r>
        <w:rPr>
          <w:spacing w:val="-3"/>
          <w:szCs w:val="21"/>
        </w:rPr>
        <w:t>1.</w:t>
      </w:r>
      <w:r>
        <w:rPr>
          <w:rFonts w:hint="eastAsia"/>
          <w:spacing w:val="-3"/>
          <w:szCs w:val="21"/>
        </w:rPr>
        <w:t>节能产品认证应依据相关国家标准的最新版本，依据国家标准中二级能效（水效）</w:t>
      </w:r>
      <w:r>
        <w:rPr>
          <w:rFonts w:hint="eastAsia"/>
          <w:szCs w:val="21"/>
        </w:rPr>
        <w:t>指标。</w:t>
      </w:r>
    </w:p>
    <w:p w14:paraId="267AEF8B">
      <w:pPr>
        <w:pStyle w:val="11"/>
        <w:spacing w:line="360" w:lineRule="auto"/>
        <w:rPr>
          <w:b/>
          <w:bCs/>
          <w:szCs w:val="21"/>
        </w:rPr>
      </w:pPr>
      <w:r>
        <w:rPr>
          <w:rFonts w:hint="eastAsia" w:ascii="宋体" w:hAnsi="宋体"/>
          <w:szCs w:val="21"/>
        </w:rPr>
        <w:t xml:space="preserve">    </w:t>
      </w:r>
      <w:r>
        <w:rPr>
          <w:szCs w:val="21"/>
        </w:rPr>
        <w:t>2</w:t>
      </w:r>
      <w:r>
        <w:rPr>
          <w:b/>
          <w:bCs/>
          <w:szCs w:val="21"/>
        </w:rPr>
        <w:t>.</w:t>
      </w:r>
      <w:r>
        <w:rPr>
          <w:rFonts w:hint="eastAsia"/>
          <w:b/>
          <w:bCs/>
          <w:szCs w:val="21"/>
        </w:rPr>
        <w:t>以</w:t>
      </w:r>
      <w:r>
        <w:rPr>
          <w:b/>
          <w:bCs/>
          <w:szCs w:val="21"/>
        </w:rPr>
        <w:t>“</w:t>
      </w:r>
      <w:r>
        <w:rPr>
          <w:rFonts w:hint="eastAsia"/>
          <w:b/>
          <w:bCs/>
          <w:szCs w:val="21"/>
        </w:rPr>
        <w:t>★</w:t>
      </w:r>
      <w:r>
        <w:rPr>
          <w:b/>
          <w:bCs/>
          <w:szCs w:val="21"/>
        </w:rPr>
        <w:t>”</w:t>
      </w:r>
      <w:r>
        <w:rPr>
          <w:rFonts w:hint="eastAsia"/>
          <w:b/>
          <w:bCs/>
          <w:szCs w:val="21"/>
        </w:rPr>
        <w:t>标注的为政府强制采购产品。</w:t>
      </w:r>
    </w:p>
    <w:p w14:paraId="41FA4E0B">
      <w:pPr>
        <w:pStyle w:val="16"/>
        <w:jc w:val="left"/>
        <w:rPr>
          <w:rFonts w:ascii="Arial Unicode MS" w:hAnsi="Arial Unicode MS" w:eastAsia="Arial Unicode MS" w:cs="Arial Unicode MS"/>
          <w:sz w:val="32"/>
          <w:szCs w:val="32"/>
        </w:rPr>
      </w:pPr>
      <w:r>
        <w:rPr>
          <w:rFonts w:hint="eastAsia" w:hAnsi="宋体"/>
        </w:rPr>
        <w:br w:type="page"/>
      </w:r>
      <w:r>
        <w:rPr>
          <w:rFonts w:hint="eastAsia" w:ascii="微软雅黑" w:hAnsi="微软雅黑" w:eastAsia="微软雅黑" w:cs="微软雅黑"/>
          <w:sz w:val="32"/>
          <w:szCs w:val="32"/>
        </w:rPr>
        <w:t>附件</w:t>
      </w:r>
      <w:r>
        <w:rPr>
          <w:rFonts w:ascii="Arial Unicode MS" w:hAnsi="Arial Unicode MS" w:eastAsia="Arial Unicode MS" w:cs="Arial Unicode MS"/>
          <w:sz w:val="32"/>
          <w:szCs w:val="32"/>
        </w:rPr>
        <w:t>2</w:t>
      </w:r>
      <w:r>
        <w:rPr>
          <w:rFonts w:hint="eastAsia" w:ascii="微软雅黑" w:hAnsi="微软雅黑" w:eastAsia="微软雅黑" w:cs="微软雅黑"/>
          <w:sz w:val="32"/>
          <w:szCs w:val="32"/>
        </w:rPr>
        <w:t>：</w:t>
      </w:r>
    </w:p>
    <w:p w14:paraId="5EF96B94">
      <w:pPr>
        <w:spacing w:line="528" w:lineRule="exact"/>
        <w:jc w:val="center"/>
        <w:rPr>
          <w:rFonts w:ascii="微软雅黑" w:hAnsi="微软雅黑" w:eastAsia="微软雅黑" w:cs="微软雅黑"/>
          <w:sz w:val="40"/>
          <w:szCs w:val="40"/>
        </w:rPr>
      </w:pPr>
      <w:r>
        <w:rPr>
          <w:rFonts w:hint="eastAsia" w:ascii="微软雅黑" w:hAnsi="微软雅黑" w:eastAsia="微软雅黑" w:cs="微软雅黑"/>
          <w:sz w:val="40"/>
          <w:szCs w:val="40"/>
        </w:rPr>
        <w:t>中小微企业划型标准</w:t>
      </w:r>
    </w:p>
    <w:p w14:paraId="6FE2ADF5">
      <w:pPr>
        <w:spacing w:line="528" w:lineRule="exact"/>
        <w:jc w:val="center"/>
        <w:rPr>
          <w:rFonts w:ascii="微软雅黑" w:hAnsi="微软雅黑" w:eastAsia="微软雅黑" w:cs="微软雅黑"/>
          <w:sz w:val="40"/>
          <w:szCs w:val="40"/>
        </w:rPr>
      </w:pPr>
    </w:p>
    <w:tbl>
      <w:tblPr>
        <w:tblStyle w:val="26"/>
        <w:tblW w:w="9429" w:type="dxa"/>
        <w:tblInd w:w="250" w:type="dxa"/>
        <w:tblLayout w:type="fixed"/>
        <w:tblCellMar>
          <w:top w:w="0" w:type="dxa"/>
          <w:left w:w="108" w:type="dxa"/>
          <w:bottom w:w="0" w:type="dxa"/>
          <w:right w:w="108" w:type="dxa"/>
        </w:tblCellMar>
      </w:tblPr>
      <w:tblGrid>
        <w:gridCol w:w="1701"/>
        <w:gridCol w:w="1383"/>
        <w:gridCol w:w="1365"/>
        <w:gridCol w:w="1815"/>
        <w:gridCol w:w="1530"/>
        <w:gridCol w:w="1635"/>
      </w:tblGrid>
      <w:tr w14:paraId="61EA94FC">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vAlign w:val="center"/>
          </w:tcPr>
          <w:p w14:paraId="792B45D3">
            <w:pPr>
              <w:widowControl/>
              <w:jc w:val="left"/>
              <w:rPr>
                <w:rFonts w:ascii="仿宋_GB2312" w:hAnsi="仿宋" w:eastAsia="仿宋_GB2312" w:cs="宋体"/>
                <w:b/>
                <w:kern w:val="0"/>
                <w:sz w:val="24"/>
              </w:rPr>
            </w:pPr>
            <w:r>
              <w:rPr>
                <w:rFonts w:hint="eastAsia" w:ascii="仿宋_GB2312" w:hAnsi="仿宋" w:eastAsia="仿宋_GB2312" w:cs="宋体"/>
                <w:b/>
                <w:kern w:val="0"/>
                <w:sz w:val="24"/>
              </w:rPr>
              <w:t>行业名称</w:t>
            </w:r>
          </w:p>
        </w:tc>
        <w:tc>
          <w:tcPr>
            <w:tcW w:w="1383" w:type="dxa"/>
            <w:tcBorders>
              <w:top w:val="single" w:color="auto" w:sz="4" w:space="0"/>
              <w:left w:val="nil"/>
              <w:bottom w:val="single" w:color="auto" w:sz="4" w:space="0"/>
              <w:right w:val="single" w:color="auto" w:sz="4" w:space="0"/>
            </w:tcBorders>
            <w:vAlign w:val="center"/>
          </w:tcPr>
          <w:p w14:paraId="20EBC834">
            <w:pPr>
              <w:widowControl/>
              <w:jc w:val="left"/>
              <w:rPr>
                <w:rFonts w:ascii="仿宋_GB2312" w:hAnsi="仿宋" w:eastAsia="仿宋_GB2312" w:cs="宋体"/>
                <w:b/>
                <w:kern w:val="0"/>
                <w:sz w:val="24"/>
              </w:rPr>
            </w:pPr>
            <w:r>
              <w:rPr>
                <w:rFonts w:hint="eastAsia" w:ascii="仿宋_GB2312" w:hAnsi="仿宋" w:eastAsia="仿宋_GB2312" w:cs="宋体"/>
                <w:b/>
                <w:kern w:val="0"/>
                <w:sz w:val="24"/>
              </w:rPr>
              <w:t>指标名称</w:t>
            </w:r>
          </w:p>
        </w:tc>
        <w:tc>
          <w:tcPr>
            <w:tcW w:w="1365" w:type="dxa"/>
            <w:tcBorders>
              <w:top w:val="single" w:color="auto" w:sz="4" w:space="0"/>
              <w:left w:val="nil"/>
              <w:bottom w:val="single" w:color="auto" w:sz="4" w:space="0"/>
              <w:right w:val="single" w:color="auto" w:sz="4" w:space="0"/>
            </w:tcBorders>
            <w:vAlign w:val="center"/>
          </w:tcPr>
          <w:p w14:paraId="2BB7AE09">
            <w:pPr>
              <w:widowControl/>
              <w:jc w:val="left"/>
              <w:rPr>
                <w:rFonts w:ascii="仿宋_GB2312" w:hAnsi="仿宋" w:eastAsia="仿宋_GB2312" w:cs="宋体"/>
                <w:b/>
                <w:kern w:val="0"/>
                <w:sz w:val="24"/>
              </w:rPr>
            </w:pPr>
            <w:r>
              <w:rPr>
                <w:rFonts w:hint="eastAsia" w:ascii="仿宋_GB2312" w:hAnsi="仿宋" w:eastAsia="仿宋_GB2312" w:cs="宋体"/>
                <w:b/>
                <w:kern w:val="0"/>
                <w:sz w:val="24"/>
              </w:rPr>
              <w:t>计量单位</w:t>
            </w:r>
          </w:p>
        </w:tc>
        <w:tc>
          <w:tcPr>
            <w:tcW w:w="1815" w:type="dxa"/>
            <w:tcBorders>
              <w:top w:val="single" w:color="auto" w:sz="4" w:space="0"/>
              <w:left w:val="nil"/>
              <w:bottom w:val="single" w:color="auto" w:sz="4" w:space="0"/>
              <w:right w:val="single" w:color="auto" w:sz="4" w:space="0"/>
            </w:tcBorders>
            <w:vAlign w:val="center"/>
          </w:tcPr>
          <w:p w14:paraId="4C596031">
            <w:pPr>
              <w:widowControl/>
              <w:jc w:val="left"/>
              <w:rPr>
                <w:rFonts w:ascii="仿宋_GB2312" w:hAnsi="仿宋" w:eastAsia="仿宋_GB2312" w:cs="宋体"/>
                <w:b/>
                <w:kern w:val="0"/>
                <w:sz w:val="24"/>
              </w:rPr>
            </w:pPr>
            <w:r>
              <w:rPr>
                <w:rFonts w:hint="eastAsia" w:ascii="仿宋_GB2312" w:hAnsi="仿宋" w:eastAsia="仿宋_GB2312" w:cs="宋体"/>
                <w:b/>
                <w:kern w:val="0"/>
                <w:sz w:val="24"/>
              </w:rPr>
              <w:t>中型</w:t>
            </w:r>
          </w:p>
        </w:tc>
        <w:tc>
          <w:tcPr>
            <w:tcW w:w="1530" w:type="dxa"/>
            <w:tcBorders>
              <w:top w:val="single" w:color="auto" w:sz="4" w:space="0"/>
              <w:left w:val="nil"/>
              <w:bottom w:val="single" w:color="auto" w:sz="4" w:space="0"/>
              <w:right w:val="single" w:color="auto" w:sz="4" w:space="0"/>
            </w:tcBorders>
            <w:vAlign w:val="center"/>
          </w:tcPr>
          <w:p w14:paraId="3C5111B7">
            <w:pPr>
              <w:widowControl/>
              <w:jc w:val="left"/>
              <w:rPr>
                <w:rFonts w:ascii="仿宋_GB2312" w:hAnsi="仿宋" w:eastAsia="仿宋_GB2312" w:cs="宋体"/>
                <w:b/>
                <w:kern w:val="0"/>
                <w:sz w:val="24"/>
              </w:rPr>
            </w:pPr>
            <w:r>
              <w:rPr>
                <w:rFonts w:hint="eastAsia" w:ascii="仿宋_GB2312" w:hAnsi="仿宋" w:eastAsia="仿宋_GB2312" w:cs="宋体"/>
                <w:b/>
                <w:kern w:val="0"/>
                <w:sz w:val="24"/>
              </w:rPr>
              <w:t>小型</w:t>
            </w:r>
          </w:p>
        </w:tc>
        <w:tc>
          <w:tcPr>
            <w:tcW w:w="1635" w:type="dxa"/>
            <w:tcBorders>
              <w:top w:val="single" w:color="auto" w:sz="4" w:space="0"/>
              <w:left w:val="nil"/>
              <w:bottom w:val="single" w:color="auto" w:sz="4" w:space="0"/>
              <w:right w:val="single" w:color="auto" w:sz="4" w:space="0"/>
            </w:tcBorders>
            <w:vAlign w:val="center"/>
          </w:tcPr>
          <w:p w14:paraId="44D7FBCE">
            <w:pPr>
              <w:widowControl/>
              <w:jc w:val="left"/>
              <w:rPr>
                <w:rFonts w:ascii="仿宋_GB2312" w:hAnsi="仿宋" w:eastAsia="仿宋_GB2312" w:cs="宋体"/>
                <w:b/>
                <w:kern w:val="0"/>
                <w:sz w:val="24"/>
              </w:rPr>
            </w:pPr>
            <w:r>
              <w:rPr>
                <w:rFonts w:hint="eastAsia" w:ascii="仿宋_GB2312" w:hAnsi="仿宋" w:eastAsia="仿宋_GB2312" w:cs="宋体"/>
                <w:b/>
                <w:kern w:val="0"/>
                <w:sz w:val="24"/>
              </w:rPr>
              <w:t>微型</w:t>
            </w:r>
          </w:p>
        </w:tc>
      </w:tr>
      <w:tr w14:paraId="5FB8A57D">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6C84C319">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农、林、牧、渔</w:t>
            </w:r>
          </w:p>
        </w:tc>
        <w:tc>
          <w:tcPr>
            <w:tcW w:w="1383" w:type="dxa"/>
            <w:tcBorders>
              <w:top w:val="nil"/>
              <w:left w:val="nil"/>
              <w:bottom w:val="single" w:color="auto" w:sz="4" w:space="0"/>
              <w:right w:val="single" w:color="auto" w:sz="4" w:space="0"/>
            </w:tcBorders>
            <w:vAlign w:val="center"/>
          </w:tcPr>
          <w:p w14:paraId="299D5ED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365" w:type="dxa"/>
            <w:tcBorders>
              <w:top w:val="nil"/>
              <w:left w:val="nil"/>
              <w:bottom w:val="single" w:color="auto" w:sz="4" w:space="0"/>
              <w:right w:val="single" w:color="auto" w:sz="4" w:space="0"/>
            </w:tcBorders>
            <w:vAlign w:val="center"/>
          </w:tcPr>
          <w:p w14:paraId="0957BF6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15" w:type="dxa"/>
            <w:tcBorders>
              <w:top w:val="nil"/>
              <w:left w:val="nil"/>
              <w:bottom w:val="single" w:color="auto" w:sz="4" w:space="0"/>
              <w:right w:val="single" w:color="auto" w:sz="4" w:space="0"/>
            </w:tcBorders>
            <w:vAlign w:val="center"/>
          </w:tcPr>
          <w:p w14:paraId="0A35130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530" w:type="dxa"/>
            <w:tcBorders>
              <w:top w:val="nil"/>
              <w:left w:val="nil"/>
              <w:bottom w:val="single" w:color="auto" w:sz="4" w:space="0"/>
              <w:right w:val="single" w:color="auto" w:sz="4" w:space="0"/>
            </w:tcBorders>
            <w:vAlign w:val="center"/>
          </w:tcPr>
          <w:p w14:paraId="38D2456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50≤Y＜500</w:t>
            </w:r>
          </w:p>
        </w:tc>
        <w:tc>
          <w:tcPr>
            <w:tcW w:w="1635" w:type="dxa"/>
            <w:tcBorders>
              <w:top w:val="nil"/>
              <w:left w:val="nil"/>
              <w:bottom w:val="single" w:color="auto" w:sz="4" w:space="0"/>
              <w:right w:val="single" w:color="auto" w:sz="4" w:space="0"/>
            </w:tcBorders>
            <w:vAlign w:val="center"/>
          </w:tcPr>
          <w:p w14:paraId="0A1CA86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4CC120B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0B1DDF9">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工业</w:t>
            </w:r>
          </w:p>
        </w:tc>
        <w:tc>
          <w:tcPr>
            <w:tcW w:w="1383" w:type="dxa"/>
            <w:tcBorders>
              <w:top w:val="nil"/>
              <w:left w:val="nil"/>
              <w:bottom w:val="single" w:color="auto" w:sz="4" w:space="0"/>
              <w:right w:val="single" w:color="auto" w:sz="4" w:space="0"/>
            </w:tcBorders>
            <w:vAlign w:val="center"/>
          </w:tcPr>
          <w:p w14:paraId="19510A3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365" w:type="dxa"/>
            <w:tcBorders>
              <w:top w:val="nil"/>
              <w:left w:val="nil"/>
              <w:bottom w:val="single" w:color="auto" w:sz="4" w:space="0"/>
              <w:right w:val="single" w:color="auto" w:sz="4" w:space="0"/>
            </w:tcBorders>
            <w:vAlign w:val="center"/>
          </w:tcPr>
          <w:p w14:paraId="589E81E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15" w:type="dxa"/>
            <w:tcBorders>
              <w:top w:val="nil"/>
              <w:left w:val="nil"/>
              <w:bottom w:val="single" w:color="auto" w:sz="4" w:space="0"/>
              <w:right w:val="single" w:color="auto" w:sz="4" w:space="0"/>
            </w:tcBorders>
            <w:vAlign w:val="center"/>
          </w:tcPr>
          <w:p w14:paraId="3307144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530" w:type="dxa"/>
            <w:tcBorders>
              <w:top w:val="nil"/>
              <w:left w:val="nil"/>
              <w:bottom w:val="single" w:color="auto" w:sz="4" w:space="0"/>
              <w:right w:val="single" w:color="auto" w:sz="4" w:space="0"/>
            </w:tcBorders>
            <w:vAlign w:val="center"/>
          </w:tcPr>
          <w:p w14:paraId="0EC9849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635" w:type="dxa"/>
            <w:tcBorders>
              <w:top w:val="nil"/>
              <w:left w:val="nil"/>
              <w:bottom w:val="single" w:color="auto" w:sz="4" w:space="0"/>
              <w:right w:val="single" w:color="auto" w:sz="4" w:space="0"/>
            </w:tcBorders>
            <w:vAlign w:val="center"/>
          </w:tcPr>
          <w:p w14:paraId="257013B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4F45A659">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0D04C48">
            <w:pPr>
              <w:widowControl/>
              <w:jc w:val="left"/>
              <w:rPr>
                <w:rFonts w:ascii="仿宋_GB2312" w:hAnsi="仿宋" w:eastAsia="仿宋_GB2312" w:cs="宋体"/>
                <w:b/>
                <w:bCs/>
                <w:kern w:val="0"/>
                <w:sz w:val="18"/>
                <w:szCs w:val="18"/>
              </w:rPr>
            </w:pPr>
          </w:p>
        </w:tc>
        <w:tc>
          <w:tcPr>
            <w:tcW w:w="1383" w:type="dxa"/>
            <w:tcBorders>
              <w:top w:val="nil"/>
              <w:left w:val="nil"/>
              <w:bottom w:val="single" w:color="auto" w:sz="4" w:space="0"/>
              <w:right w:val="single" w:color="auto" w:sz="4" w:space="0"/>
            </w:tcBorders>
            <w:vAlign w:val="center"/>
          </w:tcPr>
          <w:p w14:paraId="2737215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365" w:type="dxa"/>
            <w:tcBorders>
              <w:top w:val="nil"/>
              <w:left w:val="nil"/>
              <w:bottom w:val="single" w:color="auto" w:sz="4" w:space="0"/>
              <w:right w:val="single" w:color="auto" w:sz="4" w:space="0"/>
            </w:tcBorders>
            <w:vAlign w:val="center"/>
          </w:tcPr>
          <w:p w14:paraId="58FB19D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15" w:type="dxa"/>
            <w:tcBorders>
              <w:top w:val="nil"/>
              <w:left w:val="nil"/>
              <w:bottom w:val="single" w:color="auto" w:sz="4" w:space="0"/>
              <w:right w:val="single" w:color="auto" w:sz="4" w:space="0"/>
            </w:tcBorders>
            <w:vAlign w:val="center"/>
          </w:tcPr>
          <w:p w14:paraId="1A9CB58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2000≤Y＜40000</w:t>
            </w:r>
          </w:p>
        </w:tc>
        <w:tc>
          <w:tcPr>
            <w:tcW w:w="1530" w:type="dxa"/>
            <w:tcBorders>
              <w:top w:val="nil"/>
              <w:left w:val="nil"/>
              <w:bottom w:val="single" w:color="auto" w:sz="4" w:space="0"/>
              <w:right w:val="single" w:color="auto" w:sz="4" w:space="0"/>
            </w:tcBorders>
            <w:vAlign w:val="center"/>
          </w:tcPr>
          <w:p w14:paraId="1930E14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300≤Y＜2000</w:t>
            </w:r>
          </w:p>
        </w:tc>
        <w:tc>
          <w:tcPr>
            <w:tcW w:w="1635" w:type="dxa"/>
            <w:tcBorders>
              <w:top w:val="nil"/>
              <w:left w:val="nil"/>
              <w:bottom w:val="single" w:color="auto" w:sz="4" w:space="0"/>
              <w:right w:val="single" w:color="auto" w:sz="4" w:space="0"/>
            </w:tcBorders>
            <w:vAlign w:val="center"/>
          </w:tcPr>
          <w:p w14:paraId="4AB1E03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30391C02">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D0757BC">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建筑业</w:t>
            </w:r>
          </w:p>
        </w:tc>
        <w:tc>
          <w:tcPr>
            <w:tcW w:w="1383" w:type="dxa"/>
            <w:tcBorders>
              <w:top w:val="nil"/>
              <w:left w:val="nil"/>
              <w:bottom w:val="single" w:color="auto" w:sz="4" w:space="0"/>
              <w:right w:val="single" w:color="auto" w:sz="4" w:space="0"/>
            </w:tcBorders>
            <w:vAlign w:val="center"/>
          </w:tcPr>
          <w:p w14:paraId="0721AA0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365" w:type="dxa"/>
            <w:tcBorders>
              <w:top w:val="nil"/>
              <w:left w:val="nil"/>
              <w:bottom w:val="single" w:color="auto" w:sz="4" w:space="0"/>
              <w:right w:val="single" w:color="auto" w:sz="4" w:space="0"/>
            </w:tcBorders>
            <w:vAlign w:val="center"/>
          </w:tcPr>
          <w:p w14:paraId="56EABB2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15" w:type="dxa"/>
            <w:tcBorders>
              <w:top w:val="nil"/>
              <w:left w:val="nil"/>
              <w:bottom w:val="single" w:color="auto" w:sz="4" w:space="0"/>
              <w:right w:val="single" w:color="auto" w:sz="4" w:space="0"/>
            </w:tcBorders>
            <w:vAlign w:val="center"/>
          </w:tcPr>
          <w:p w14:paraId="1E1DDF1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6000≤Y＜80000</w:t>
            </w:r>
          </w:p>
        </w:tc>
        <w:tc>
          <w:tcPr>
            <w:tcW w:w="1530" w:type="dxa"/>
            <w:tcBorders>
              <w:top w:val="nil"/>
              <w:left w:val="nil"/>
              <w:bottom w:val="single" w:color="auto" w:sz="4" w:space="0"/>
              <w:right w:val="single" w:color="auto" w:sz="4" w:space="0"/>
            </w:tcBorders>
            <w:vAlign w:val="center"/>
          </w:tcPr>
          <w:p w14:paraId="093D3D6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300≤Y＜6000</w:t>
            </w:r>
          </w:p>
        </w:tc>
        <w:tc>
          <w:tcPr>
            <w:tcW w:w="1635" w:type="dxa"/>
            <w:tcBorders>
              <w:top w:val="nil"/>
              <w:left w:val="nil"/>
              <w:bottom w:val="single" w:color="auto" w:sz="4" w:space="0"/>
              <w:right w:val="single" w:color="auto" w:sz="4" w:space="0"/>
            </w:tcBorders>
            <w:vAlign w:val="center"/>
          </w:tcPr>
          <w:p w14:paraId="6AE1B90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62E2E8A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32A0523">
            <w:pPr>
              <w:widowControl/>
              <w:jc w:val="left"/>
              <w:rPr>
                <w:rFonts w:ascii="仿宋_GB2312" w:hAnsi="仿宋" w:eastAsia="仿宋_GB2312" w:cs="宋体"/>
                <w:b/>
                <w:bCs/>
                <w:kern w:val="0"/>
                <w:sz w:val="18"/>
                <w:szCs w:val="18"/>
              </w:rPr>
            </w:pPr>
          </w:p>
        </w:tc>
        <w:tc>
          <w:tcPr>
            <w:tcW w:w="1383" w:type="dxa"/>
            <w:tcBorders>
              <w:top w:val="nil"/>
              <w:left w:val="nil"/>
              <w:bottom w:val="single" w:color="auto" w:sz="4" w:space="0"/>
              <w:right w:val="single" w:color="auto" w:sz="4" w:space="0"/>
            </w:tcBorders>
            <w:vAlign w:val="center"/>
          </w:tcPr>
          <w:p w14:paraId="02603FC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1365" w:type="dxa"/>
            <w:tcBorders>
              <w:top w:val="nil"/>
              <w:left w:val="nil"/>
              <w:bottom w:val="single" w:color="auto" w:sz="4" w:space="0"/>
              <w:right w:val="single" w:color="auto" w:sz="4" w:space="0"/>
            </w:tcBorders>
            <w:vAlign w:val="center"/>
          </w:tcPr>
          <w:p w14:paraId="09FE631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15" w:type="dxa"/>
            <w:tcBorders>
              <w:top w:val="nil"/>
              <w:left w:val="nil"/>
              <w:bottom w:val="single" w:color="auto" w:sz="4" w:space="0"/>
              <w:right w:val="single" w:color="auto" w:sz="4" w:space="0"/>
            </w:tcBorders>
            <w:vAlign w:val="center"/>
          </w:tcPr>
          <w:p w14:paraId="062A8BB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5000≤Z＜80000</w:t>
            </w:r>
          </w:p>
        </w:tc>
        <w:tc>
          <w:tcPr>
            <w:tcW w:w="1530" w:type="dxa"/>
            <w:tcBorders>
              <w:top w:val="nil"/>
              <w:left w:val="nil"/>
              <w:bottom w:val="single" w:color="auto" w:sz="4" w:space="0"/>
              <w:right w:val="single" w:color="auto" w:sz="4" w:space="0"/>
            </w:tcBorders>
            <w:vAlign w:val="center"/>
          </w:tcPr>
          <w:p w14:paraId="2DFC29C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300≤Z＜5000</w:t>
            </w:r>
          </w:p>
        </w:tc>
        <w:tc>
          <w:tcPr>
            <w:tcW w:w="1635" w:type="dxa"/>
            <w:tcBorders>
              <w:top w:val="nil"/>
              <w:left w:val="nil"/>
              <w:bottom w:val="single" w:color="auto" w:sz="4" w:space="0"/>
              <w:right w:val="single" w:color="auto" w:sz="4" w:space="0"/>
            </w:tcBorders>
            <w:vAlign w:val="center"/>
          </w:tcPr>
          <w:p w14:paraId="0B45363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Z＜300</w:t>
            </w:r>
          </w:p>
        </w:tc>
      </w:tr>
      <w:tr w14:paraId="26E3EB3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EE49CA7">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批发业</w:t>
            </w:r>
          </w:p>
        </w:tc>
        <w:tc>
          <w:tcPr>
            <w:tcW w:w="1383" w:type="dxa"/>
            <w:tcBorders>
              <w:top w:val="nil"/>
              <w:left w:val="nil"/>
              <w:bottom w:val="single" w:color="auto" w:sz="4" w:space="0"/>
              <w:right w:val="single" w:color="auto" w:sz="4" w:space="0"/>
            </w:tcBorders>
            <w:vAlign w:val="center"/>
          </w:tcPr>
          <w:p w14:paraId="1FF2FC9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365" w:type="dxa"/>
            <w:tcBorders>
              <w:top w:val="nil"/>
              <w:left w:val="nil"/>
              <w:bottom w:val="single" w:color="auto" w:sz="4" w:space="0"/>
              <w:right w:val="single" w:color="auto" w:sz="4" w:space="0"/>
            </w:tcBorders>
            <w:vAlign w:val="center"/>
          </w:tcPr>
          <w:p w14:paraId="01BF949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15" w:type="dxa"/>
            <w:tcBorders>
              <w:top w:val="nil"/>
              <w:left w:val="nil"/>
              <w:bottom w:val="single" w:color="auto" w:sz="4" w:space="0"/>
              <w:right w:val="single" w:color="auto" w:sz="4" w:space="0"/>
            </w:tcBorders>
            <w:vAlign w:val="center"/>
          </w:tcPr>
          <w:p w14:paraId="71DD7BD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20≤X＜200</w:t>
            </w:r>
          </w:p>
        </w:tc>
        <w:tc>
          <w:tcPr>
            <w:tcW w:w="1530" w:type="dxa"/>
            <w:tcBorders>
              <w:top w:val="nil"/>
              <w:left w:val="nil"/>
              <w:bottom w:val="single" w:color="auto" w:sz="4" w:space="0"/>
              <w:right w:val="single" w:color="auto" w:sz="4" w:space="0"/>
            </w:tcBorders>
            <w:vAlign w:val="center"/>
          </w:tcPr>
          <w:p w14:paraId="3B75821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5≤X＜20</w:t>
            </w:r>
          </w:p>
        </w:tc>
        <w:tc>
          <w:tcPr>
            <w:tcW w:w="1635" w:type="dxa"/>
            <w:tcBorders>
              <w:top w:val="nil"/>
              <w:left w:val="nil"/>
              <w:bottom w:val="single" w:color="auto" w:sz="4" w:space="0"/>
              <w:right w:val="single" w:color="auto" w:sz="4" w:space="0"/>
            </w:tcBorders>
            <w:vAlign w:val="center"/>
          </w:tcPr>
          <w:p w14:paraId="0D62A8D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X＜5</w:t>
            </w:r>
          </w:p>
        </w:tc>
      </w:tr>
      <w:tr w14:paraId="6C303D5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51B9049">
            <w:pPr>
              <w:widowControl/>
              <w:jc w:val="left"/>
              <w:rPr>
                <w:rFonts w:ascii="仿宋_GB2312" w:hAnsi="仿宋" w:eastAsia="仿宋_GB2312" w:cs="宋体"/>
                <w:b/>
                <w:bCs/>
                <w:kern w:val="0"/>
                <w:sz w:val="18"/>
                <w:szCs w:val="18"/>
              </w:rPr>
            </w:pPr>
          </w:p>
        </w:tc>
        <w:tc>
          <w:tcPr>
            <w:tcW w:w="1383" w:type="dxa"/>
            <w:tcBorders>
              <w:top w:val="nil"/>
              <w:left w:val="nil"/>
              <w:bottom w:val="single" w:color="auto" w:sz="4" w:space="0"/>
              <w:right w:val="single" w:color="auto" w:sz="4" w:space="0"/>
            </w:tcBorders>
            <w:vAlign w:val="center"/>
          </w:tcPr>
          <w:p w14:paraId="650E6D7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365" w:type="dxa"/>
            <w:tcBorders>
              <w:top w:val="nil"/>
              <w:left w:val="nil"/>
              <w:bottom w:val="single" w:color="auto" w:sz="4" w:space="0"/>
              <w:right w:val="single" w:color="auto" w:sz="4" w:space="0"/>
            </w:tcBorders>
            <w:vAlign w:val="center"/>
          </w:tcPr>
          <w:p w14:paraId="0E0DFE4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15" w:type="dxa"/>
            <w:tcBorders>
              <w:top w:val="nil"/>
              <w:left w:val="nil"/>
              <w:bottom w:val="single" w:color="auto" w:sz="4" w:space="0"/>
              <w:right w:val="single" w:color="auto" w:sz="4" w:space="0"/>
            </w:tcBorders>
            <w:vAlign w:val="center"/>
          </w:tcPr>
          <w:p w14:paraId="06550CF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5000≤Y＜40000</w:t>
            </w:r>
          </w:p>
        </w:tc>
        <w:tc>
          <w:tcPr>
            <w:tcW w:w="1530" w:type="dxa"/>
            <w:tcBorders>
              <w:top w:val="nil"/>
              <w:left w:val="nil"/>
              <w:bottom w:val="single" w:color="auto" w:sz="4" w:space="0"/>
              <w:right w:val="single" w:color="auto" w:sz="4" w:space="0"/>
            </w:tcBorders>
            <w:vAlign w:val="center"/>
          </w:tcPr>
          <w:p w14:paraId="0027B08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635" w:type="dxa"/>
            <w:tcBorders>
              <w:top w:val="nil"/>
              <w:left w:val="nil"/>
              <w:bottom w:val="single" w:color="auto" w:sz="4" w:space="0"/>
              <w:right w:val="single" w:color="auto" w:sz="4" w:space="0"/>
            </w:tcBorders>
            <w:vAlign w:val="center"/>
          </w:tcPr>
          <w:p w14:paraId="3F8B322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Y＜1000</w:t>
            </w:r>
          </w:p>
        </w:tc>
      </w:tr>
      <w:tr w14:paraId="3F84DE12">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A7AB05A">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零售业</w:t>
            </w:r>
          </w:p>
        </w:tc>
        <w:tc>
          <w:tcPr>
            <w:tcW w:w="1383" w:type="dxa"/>
            <w:tcBorders>
              <w:top w:val="nil"/>
              <w:left w:val="nil"/>
              <w:bottom w:val="single" w:color="auto" w:sz="4" w:space="0"/>
              <w:right w:val="single" w:color="auto" w:sz="4" w:space="0"/>
            </w:tcBorders>
            <w:vAlign w:val="center"/>
          </w:tcPr>
          <w:p w14:paraId="1F742B6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365" w:type="dxa"/>
            <w:tcBorders>
              <w:top w:val="nil"/>
              <w:left w:val="nil"/>
              <w:bottom w:val="single" w:color="auto" w:sz="4" w:space="0"/>
              <w:right w:val="single" w:color="auto" w:sz="4" w:space="0"/>
            </w:tcBorders>
            <w:vAlign w:val="center"/>
          </w:tcPr>
          <w:p w14:paraId="5289C5C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15" w:type="dxa"/>
            <w:tcBorders>
              <w:top w:val="nil"/>
              <w:left w:val="nil"/>
              <w:bottom w:val="single" w:color="auto" w:sz="4" w:space="0"/>
              <w:right w:val="single" w:color="auto" w:sz="4" w:space="0"/>
            </w:tcBorders>
            <w:vAlign w:val="center"/>
          </w:tcPr>
          <w:p w14:paraId="1D27377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50≤X＜300</w:t>
            </w:r>
          </w:p>
        </w:tc>
        <w:tc>
          <w:tcPr>
            <w:tcW w:w="1530" w:type="dxa"/>
            <w:tcBorders>
              <w:top w:val="nil"/>
              <w:left w:val="nil"/>
              <w:bottom w:val="single" w:color="auto" w:sz="4" w:space="0"/>
              <w:right w:val="single" w:color="auto" w:sz="4" w:space="0"/>
            </w:tcBorders>
            <w:vAlign w:val="center"/>
          </w:tcPr>
          <w:p w14:paraId="5AE4982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10≤X＜50</w:t>
            </w:r>
          </w:p>
        </w:tc>
        <w:tc>
          <w:tcPr>
            <w:tcW w:w="1635" w:type="dxa"/>
            <w:tcBorders>
              <w:top w:val="nil"/>
              <w:left w:val="nil"/>
              <w:bottom w:val="single" w:color="auto" w:sz="4" w:space="0"/>
              <w:right w:val="single" w:color="auto" w:sz="4" w:space="0"/>
            </w:tcBorders>
            <w:vAlign w:val="center"/>
          </w:tcPr>
          <w:p w14:paraId="56A1137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3AD79FC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0E652A5">
            <w:pPr>
              <w:widowControl/>
              <w:jc w:val="left"/>
              <w:rPr>
                <w:rFonts w:ascii="仿宋_GB2312" w:hAnsi="仿宋" w:eastAsia="仿宋_GB2312" w:cs="宋体"/>
                <w:b/>
                <w:bCs/>
                <w:kern w:val="0"/>
                <w:sz w:val="18"/>
                <w:szCs w:val="18"/>
              </w:rPr>
            </w:pPr>
          </w:p>
        </w:tc>
        <w:tc>
          <w:tcPr>
            <w:tcW w:w="1383" w:type="dxa"/>
            <w:tcBorders>
              <w:top w:val="nil"/>
              <w:left w:val="nil"/>
              <w:bottom w:val="single" w:color="auto" w:sz="4" w:space="0"/>
              <w:right w:val="single" w:color="auto" w:sz="4" w:space="0"/>
            </w:tcBorders>
            <w:vAlign w:val="center"/>
          </w:tcPr>
          <w:p w14:paraId="0C2DA40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365" w:type="dxa"/>
            <w:tcBorders>
              <w:top w:val="nil"/>
              <w:left w:val="nil"/>
              <w:bottom w:val="single" w:color="auto" w:sz="4" w:space="0"/>
              <w:right w:val="single" w:color="auto" w:sz="4" w:space="0"/>
            </w:tcBorders>
            <w:vAlign w:val="center"/>
          </w:tcPr>
          <w:p w14:paraId="26DA1D6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15" w:type="dxa"/>
            <w:tcBorders>
              <w:top w:val="nil"/>
              <w:left w:val="nil"/>
              <w:bottom w:val="single" w:color="auto" w:sz="4" w:space="0"/>
              <w:right w:val="single" w:color="auto" w:sz="4" w:space="0"/>
            </w:tcBorders>
            <w:vAlign w:val="center"/>
          </w:tcPr>
          <w:p w14:paraId="3D6FFE5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530" w:type="dxa"/>
            <w:tcBorders>
              <w:top w:val="nil"/>
              <w:left w:val="nil"/>
              <w:bottom w:val="single" w:color="auto" w:sz="4" w:space="0"/>
              <w:right w:val="single" w:color="auto" w:sz="4" w:space="0"/>
            </w:tcBorders>
            <w:vAlign w:val="center"/>
          </w:tcPr>
          <w:p w14:paraId="66A11C9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100≤Y＜500</w:t>
            </w:r>
          </w:p>
        </w:tc>
        <w:tc>
          <w:tcPr>
            <w:tcW w:w="1635" w:type="dxa"/>
            <w:tcBorders>
              <w:top w:val="nil"/>
              <w:left w:val="nil"/>
              <w:bottom w:val="single" w:color="auto" w:sz="4" w:space="0"/>
              <w:right w:val="single" w:color="auto" w:sz="4" w:space="0"/>
            </w:tcBorders>
            <w:vAlign w:val="center"/>
          </w:tcPr>
          <w:p w14:paraId="3BEBFBD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497BF89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1E8EC9E">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交通运输业</w:t>
            </w:r>
          </w:p>
        </w:tc>
        <w:tc>
          <w:tcPr>
            <w:tcW w:w="1383" w:type="dxa"/>
            <w:tcBorders>
              <w:top w:val="nil"/>
              <w:left w:val="nil"/>
              <w:bottom w:val="single" w:color="auto" w:sz="4" w:space="0"/>
              <w:right w:val="single" w:color="auto" w:sz="4" w:space="0"/>
            </w:tcBorders>
            <w:vAlign w:val="center"/>
          </w:tcPr>
          <w:p w14:paraId="662BD1A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365" w:type="dxa"/>
            <w:tcBorders>
              <w:top w:val="nil"/>
              <w:left w:val="nil"/>
              <w:bottom w:val="single" w:color="auto" w:sz="4" w:space="0"/>
              <w:right w:val="single" w:color="auto" w:sz="4" w:space="0"/>
            </w:tcBorders>
            <w:vAlign w:val="center"/>
          </w:tcPr>
          <w:p w14:paraId="31A7D6C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15" w:type="dxa"/>
            <w:tcBorders>
              <w:top w:val="nil"/>
              <w:left w:val="nil"/>
              <w:bottom w:val="single" w:color="auto" w:sz="4" w:space="0"/>
              <w:right w:val="single" w:color="auto" w:sz="4" w:space="0"/>
            </w:tcBorders>
            <w:vAlign w:val="center"/>
          </w:tcPr>
          <w:p w14:paraId="25B2870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530" w:type="dxa"/>
            <w:tcBorders>
              <w:top w:val="nil"/>
              <w:left w:val="nil"/>
              <w:bottom w:val="single" w:color="auto" w:sz="4" w:space="0"/>
              <w:right w:val="single" w:color="auto" w:sz="4" w:space="0"/>
            </w:tcBorders>
            <w:vAlign w:val="center"/>
          </w:tcPr>
          <w:p w14:paraId="443F7F1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635" w:type="dxa"/>
            <w:tcBorders>
              <w:top w:val="nil"/>
              <w:left w:val="nil"/>
              <w:bottom w:val="single" w:color="auto" w:sz="4" w:space="0"/>
              <w:right w:val="single" w:color="auto" w:sz="4" w:space="0"/>
            </w:tcBorders>
            <w:vAlign w:val="center"/>
          </w:tcPr>
          <w:p w14:paraId="3B60848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38D176B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16D58A9">
            <w:pPr>
              <w:widowControl/>
              <w:jc w:val="left"/>
              <w:rPr>
                <w:rFonts w:ascii="仿宋_GB2312" w:hAnsi="仿宋" w:eastAsia="仿宋_GB2312" w:cs="宋体"/>
                <w:b/>
                <w:bCs/>
                <w:kern w:val="0"/>
                <w:sz w:val="18"/>
                <w:szCs w:val="18"/>
              </w:rPr>
            </w:pPr>
          </w:p>
        </w:tc>
        <w:tc>
          <w:tcPr>
            <w:tcW w:w="1383" w:type="dxa"/>
            <w:tcBorders>
              <w:top w:val="nil"/>
              <w:left w:val="nil"/>
              <w:bottom w:val="single" w:color="auto" w:sz="4" w:space="0"/>
              <w:right w:val="single" w:color="auto" w:sz="4" w:space="0"/>
            </w:tcBorders>
            <w:vAlign w:val="center"/>
          </w:tcPr>
          <w:p w14:paraId="584F422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365" w:type="dxa"/>
            <w:tcBorders>
              <w:top w:val="nil"/>
              <w:left w:val="nil"/>
              <w:bottom w:val="single" w:color="auto" w:sz="4" w:space="0"/>
              <w:right w:val="single" w:color="auto" w:sz="4" w:space="0"/>
            </w:tcBorders>
            <w:vAlign w:val="center"/>
          </w:tcPr>
          <w:p w14:paraId="5922EF6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15" w:type="dxa"/>
            <w:tcBorders>
              <w:top w:val="nil"/>
              <w:left w:val="nil"/>
              <w:bottom w:val="single" w:color="auto" w:sz="4" w:space="0"/>
              <w:right w:val="single" w:color="auto" w:sz="4" w:space="0"/>
            </w:tcBorders>
            <w:vAlign w:val="center"/>
          </w:tcPr>
          <w:p w14:paraId="4F0E079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3000≤Y＜30000</w:t>
            </w:r>
          </w:p>
        </w:tc>
        <w:tc>
          <w:tcPr>
            <w:tcW w:w="1530" w:type="dxa"/>
            <w:tcBorders>
              <w:top w:val="nil"/>
              <w:left w:val="nil"/>
              <w:bottom w:val="single" w:color="auto" w:sz="4" w:space="0"/>
              <w:right w:val="single" w:color="auto" w:sz="4" w:space="0"/>
            </w:tcBorders>
            <w:vAlign w:val="center"/>
          </w:tcPr>
          <w:p w14:paraId="4C7EC37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200≤Y＜3000</w:t>
            </w:r>
          </w:p>
        </w:tc>
        <w:tc>
          <w:tcPr>
            <w:tcW w:w="1635" w:type="dxa"/>
            <w:tcBorders>
              <w:top w:val="nil"/>
              <w:left w:val="nil"/>
              <w:bottom w:val="single" w:color="auto" w:sz="4" w:space="0"/>
              <w:right w:val="single" w:color="auto" w:sz="4" w:space="0"/>
            </w:tcBorders>
            <w:vAlign w:val="center"/>
          </w:tcPr>
          <w:p w14:paraId="3BD8B84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w:t>
            </w:r>
          </w:p>
        </w:tc>
      </w:tr>
      <w:tr w14:paraId="68BAD09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BA5B96A">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仓储业</w:t>
            </w:r>
          </w:p>
        </w:tc>
        <w:tc>
          <w:tcPr>
            <w:tcW w:w="1383" w:type="dxa"/>
            <w:tcBorders>
              <w:top w:val="nil"/>
              <w:left w:val="nil"/>
              <w:bottom w:val="single" w:color="auto" w:sz="4" w:space="0"/>
              <w:right w:val="single" w:color="auto" w:sz="4" w:space="0"/>
            </w:tcBorders>
            <w:vAlign w:val="center"/>
          </w:tcPr>
          <w:p w14:paraId="6E49252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365" w:type="dxa"/>
            <w:tcBorders>
              <w:top w:val="nil"/>
              <w:left w:val="nil"/>
              <w:bottom w:val="single" w:color="auto" w:sz="4" w:space="0"/>
              <w:right w:val="single" w:color="auto" w:sz="4" w:space="0"/>
            </w:tcBorders>
            <w:vAlign w:val="center"/>
          </w:tcPr>
          <w:p w14:paraId="10702D3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15" w:type="dxa"/>
            <w:tcBorders>
              <w:top w:val="nil"/>
              <w:left w:val="nil"/>
              <w:bottom w:val="single" w:color="auto" w:sz="4" w:space="0"/>
              <w:right w:val="single" w:color="auto" w:sz="4" w:space="0"/>
            </w:tcBorders>
            <w:vAlign w:val="center"/>
          </w:tcPr>
          <w:p w14:paraId="30C22CF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w:t>
            </w:r>
          </w:p>
        </w:tc>
        <w:tc>
          <w:tcPr>
            <w:tcW w:w="1530" w:type="dxa"/>
            <w:tcBorders>
              <w:top w:val="nil"/>
              <w:left w:val="nil"/>
              <w:bottom w:val="single" w:color="auto" w:sz="4" w:space="0"/>
              <w:right w:val="single" w:color="auto" w:sz="4" w:space="0"/>
            </w:tcBorders>
            <w:vAlign w:val="center"/>
          </w:tcPr>
          <w:p w14:paraId="3199E02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20≤X＜100</w:t>
            </w:r>
          </w:p>
        </w:tc>
        <w:tc>
          <w:tcPr>
            <w:tcW w:w="1635" w:type="dxa"/>
            <w:tcBorders>
              <w:top w:val="nil"/>
              <w:left w:val="nil"/>
              <w:bottom w:val="single" w:color="auto" w:sz="4" w:space="0"/>
              <w:right w:val="single" w:color="auto" w:sz="4" w:space="0"/>
            </w:tcBorders>
            <w:vAlign w:val="center"/>
          </w:tcPr>
          <w:p w14:paraId="287D8AA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14F0CE0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62F6BA1D">
            <w:pPr>
              <w:widowControl/>
              <w:jc w:val="left"/>
              <w:rPr>
                <w:rFonts w:ascii="仿宋_GB2312" w:hAnsi="仿宋" w:eastAsia="仿宋_GB2312" w:cs="宋体"/>
                <w:b/>
                <w:bCs/>
                <w:kern w:val="0"/>
                <w:sz w:val="18"/>
                <w:szCs w:val="18"/>
              </w:rPr>
            </w:pPr>
          </w:p>
        </w:tc>
        <w:tc>
          <w:tcPr>
            <w:tcW w:w="1383" w:type="dxa"/>
            <w:tcBorders>
              <w:top w:val="nil"/>
              <w:left w:val="nil"/>
              <w:bottom w:val="single" w:color="auto" w:sz="4" w:space="0"/>
              <w:right w:val="single" w:color="auto" w:sz="4" w:space="0"/>
            </w:tcBorders>
            <w:vAlign w:val="center"/>
          </w:tcPr>
          <w:p w14:paraId="5EE2A34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365" w:type="dxa"/>
            <w:tcBorders>
              <w:top w:val="nil"/>
              <w:left w:val="nil"/>
              <w:bottom w:val="single" w:color="auto" w:sz="4" w:space="0"/>
              <w:right w:val="single" w:color="auto" w:sz="4" w:space="0"/>
            </w:tcBorders>
            <w:vAlign w:val="center"/>
          </w:tcPr>
          <w:p w14:paraId="0049693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15" w:type="dxa"/>
            <w:tcBorders>
              <w:top w:val="nil"/>
              <w:left w:val="nil"/>
              <w:bottom w:val="single" w:color="auto" w:sz="4" w:space="0"/>
              <w:right w:val="single" w:color="auto" w:sz="4" w:space="0"/>
            </w:tcBorders>
            <w:vAlign w:val="center"/>
          </w:tcPr>
          <w:p w14:paraId="42D51D6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1000≤Y＜30000</w:t>
            </w:r>
          </w:p>
        </w:tc>
        <w:tc>
          <w:tcPr>
            <w:tcW w:w="1530" w:type="dxa"/>
            <w:tcBorders>
              <w:top w:val="nil"/>
              <w:left w:val="nil"/>
              <w:bottom w:val="single" w:color="auto" w:sz="4" w:space="0"/>
              <w:right w:val="single" w:color="auto" w:sz="4" w:space="0"/>
            </w:tcBorders>
            <w:vAlign w:val="center"/>
          </w:tcPr>
          <w:p w14:paraId="3EE13D1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635" w:type="dxa"/>
            <w:tcBorders>
              <w:top w:val="nil"/>
              <w:left w:val="nil"/>
              <w:bottom w:val="single" w:color="auto" w:sz="4" w:space="0"/>
              <w:right w:val="single" w:color="auto" w:sz="4" w:space="0"/>
            </w:tcBorders>
            <w:vAlign w:val="center"/>
          </w:tcPr>
          <w:p w14:paraId="77F3033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656FC83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1EC5C4B">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邮政业</w:t>
            </w:r>
          </w:p>
        </w:tc>
        <w:tc>
          <w:tcPr>
            <w:tcW w:w="1383" w:type="dxa"/>
            <w:tcBorders>
              <w:top w:val="nil"/>
              <w:left w:val="nil"/>
              <w:bottom w:val="single" w:color="auto" w:sz="4" w:space="0"/>
              <w:right w:val="single" w:color="auto" w:sz="4" w:space="0"/>
            </w:tcBorders>
            <w:vAlign w:val="center"/>
          </w:tcPr>
          <w:p w14:paraId="25F2A53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365" w:type="dxa"/>
            <w:tcBorders>
              <w:top w:val="nil"/>
              <w:left w:val="nil"/>
              <w:bottom w:val="single" w:color="auto" w:sz="4" w:space="0"/>
              <w:right w:val="single" w:color="auto" w:sz="4" w:space="0"/>
            </w:tcBorders>
            <w:vAlign w:val="center"/>
          </w:tcPr>
          <w:p w14:paraId="24A15DD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15" w:type="dxa"/>
            <w:tcBorders>
              <w:top w:val="nil"/>
              <w:left w:val="nil"/>
              <w:bottom w:val="single" w:color="auto" w:sz="4" w:space="0"/>
              <w:right w:val="single" w:color="auto" w:sz="4" w:space="0"/>
            </w:tcBorders>
            <w:vAlign w:val="center"/>
          </w:tcPr>
          <w:p w14:paraId="751C84A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530" w:type="dxa"/>
            <w:tcBorders>
              <w:top w:val="nil"/>
              <w:left w:val="nil"/>
              <w:bottom w:val="single" w:color="auto" w:sz="4" w:space="0"/>
              <w:right w:val="single" w:color="auto" w:sz="4" w:space="0"/>
            </w:tcBorders>
            <w:vAlign w:val="center"/>
          </w:tcPr>
          <w:p w14:paraId="360C75F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635" w:type="dxa"/>
            <w:tcBorders>
              <w:top w:val="nil"/>
              <w:left w:val="nil"/>
              <w:bottom w:val="single" w:color="auto" w:sz="4" w:space="0"/>
              <w:right w:val="single" w:color="auto" w:sz="4" w:space="0"/>
            </w:tcBorders>
            <w:vAlign w:val="center"/>
          </w:tcPr>
          <w:p w14:paraId="44AC96E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37AE15E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24D076A">
            <w:pPr>
              <w:widowControl/>
              <w:jc w:val="left"/>
              <w:rPr>
                <w:rFonts w:ascii="仿宋_GB2312" w:hAnsi="仿宋" w:eastAsia="仿宋_GB2312" w:cs="宋体"/>
                <w:b/>
                <w:bCs/>
                <w:kern w:val="0"/>
                <w:sz w:val="18"/>
                <w:szCs w:val="18"/>
              </w:rPr>
            </w:pPr>
          </w:p>
        </w:tc>
        <w:tc>
          <w:tcPr>
            <w:tcW w:w="1383" w:type="dxa"/>
            <w:tcBorders>
              <w:top w:val="nil"/>
              <w:left w:val="nil"/>
              <w:bottom w:val="single" w:color="auto" w:sz="4" w:space="0"/>
              <w:right w:val="single" w:color="auto" w:sz="4" w:space="0"/>
            </w:tcBorders>
            <w:vAlign w:val="center"/>
          </w:tcPr>
          <w:p w14:paraId="08BB91B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365" w:type="dxa"/>
            <w:tcBorders>
              <w:top w:val="nil"/>
              <w:left w:val="nil"/>
              <w:bottom w:val="single" w:color="auto" w:sz="4" w:space="0"/>
              <w:right w:val="single" w:color="auto" w:sz="4" w:space="0"/>
            </w:tcBorders>
            <w:vAlign w:val="center"/>
          </w:tcPr>
          <w:p w14:paraId="2762409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15" w:type="dxa"/>
            <w:tcBorders>
              <w:top w:val="nil"/>
              <w:left w:val="nil"/>
              <w:bottom w:val="single" w:color="auto" w:sz="4" w:space="0"/>
              <w:right w:val="single" w:color="auto" w:sz="4" w:space="0"/>
            </w:tcBorders>
            <w:vAlign w:val="center"/>
          </w:tcPr>
          <w:p w14:paraId="1F107D3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2000≤Y＜30000</w:t>
            </w:r>
          </w:p>
        </w:tc>
        <w:tc>
          <w:tcPr>
            <w:tcW w:w="1530" w:type="dxa"/>
            <w:tcBorders>
              <w:top w:val="nil"/>
              <w:left w:val="nil"/>
              <w:bottom w:val="single" w:color="auto" w:sz="4" w:space="0"/>
              <w:right w:val="single" w:color="auto" w:sz="4" w:space="0"/>
            </w:tcBorders>
            <w:vAlign w:val="center"/>
          </w:tcPr>
          <w:p w14:paraId="5D77704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635" w:type="dxa"/>
            <w:tcBorders>
              <w:top w:val="nil"/>
              <w:left w:val="nil"/>
              <w:bottom w:val="single" w:color="auto" w:sz="4" w:space="0"/>
              <w:right w:val="single" w:color="auto" w:sz="4" w:space="0"/>
            </w:tcBorders>
            <w:vAlign w:val="center"/>
          </w:tcPr>
          <w:p w14:paraId="3A4B828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4A9FC9C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9D280D1">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住宿业</w:t>
            </w:r>
          </w:p>
        </w:tc>
        <w:tc>
          <w:tcPr>
            <w:tcW w:w="1383" w:type="dxa"/>
            <w:tcBorders>
              <w:top w:val="nil"/>
              <w:left w:val="nil"/>
              <w:bottom w:val="single" w:color="auto" w:sz="4" w:space="0"/>
              <w:right w:val="single" w:color="auto" w:sz="4" w:space="0"/>
            </w:tcBorders>
            <w:vAlign w:val="center"/>
          </w:tcPr>
          <w:p w14:paraId="0DFEF6A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365" w:type="dxa"/>
            <w:tcBorders>
              <w:top w:val="nil"/>
              <w:left w:val="nil"/>
              <w:bottom w:val="single" w:color="auto" w:sz="4" w:space="0"/>
              <w:right w:val="single" w:color="auto" w:sz="4" w:space="0"/>
            </w:tcBorders>
            <w:vAlign w:val="center"/>
          </w:tcPr>
          <w:p w14:paraId="34C8469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15" w:type="dxa"/>
            <w:tcBorders>
              <w:top w:val="nil"/>
              <w:left w:val="nil"/>
              <w:bottom w:val="single" w:color="auto" w:sz="4" w:space="0"/>
              <w:right w:val="single" w:color="auto" w:sz="4" w:space="0"/>
            </w:tcBorders>
            <w:vAlign w:val="center"/>
          </w:tcPr>
          <w:p w14:paraId="3CBBAAB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530" w:type="dxa"/>
            <w:tcBorders>
              <w:top w:val="nil"/>
              <w:left w:val="nil"/>
              <w:bottom w:val="single" w:color="auto" w:sz="4" w:space="0"/>
              <w:right w:val="single" w:color="auto" w:sz="4" w:space="0"/>
            </w:tcBorders>
            <w:vAlign w:val="center"/>
          </w:tcPr>
          <w:p w14:paraId="218C6A7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635" w:type="dxa"/>
            <w:tcBorders>
              <w:top w:val="nil"/>
              <w:left w:val="nil"/>
              <w:bottom w:val="single" w:color="auto" w:sz="4" w:space="0"/>
              <w:right w:val="single" w:color="auto" w:sz="4" w:space="0"/>
            </w:tcBorders>
            <w:vAlign w:val="center"/>
          </w:tcPr>
          <w:p w14:paraId="44AD786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6659C5C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7770801">
            <w:pPr>
              <w:widowControl/>
              <w:jc w:val="left"/>
              <w:rPr>
                <w:rFonts w:ascii="仿宋_GB2312" w:hAnsi="仿宋" w:eastAsia="仿宋_GB2312" w:cs="宋体"/>
                <w:b/>
                <w:bCs/>
                <w:kern w:val="0"/>
                <w:sz w:val="18"/>
                <w:szCs w:val="18"/>
              </w:rPr>
            </w:pPr>
          </w:p>
        </w:tc>
        <w:tc>
          <w:tcPr>
            <w:tcW w:w="1383" w:type="dxa"/>
            <w:tcBorders>
              <w:top w:val="nil"/>
              <w:left w:val="nil"/>
              <w:bottom w:val="single" w:color="auto" w:sz="4" w:space="0"/>
              <w:right w:val="single" w:color="auto" w:sz="4" w:space="0"/>
            </w:tcBorders>
            <w:vAlign w:val="center"/>
          </w:tcPr>
          <w:p w14:paraId="25E0CC9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365" w:type="dxa"/>
            <w:tcBorders>
              <w:top w:val="nil"/>
              <w:left w:val="nil"/>
              <w:bottom w:val="single" w:color="auto" w:sz="4" w:space="0"/>
              <w:right w:val="single" w:color="auto" w:sz="4" w:space="0"/>
            </w:tcBorders>
            <w:vAlign w:val="center"/>
          </w:tcPr>
          <w:p w14:paraId="3C2C1EE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15" w:type="dxa"/>
            <w:tcBorders>
              <w:top w:val="nil"/>
              <w:left w:val="nil"/>
              <w:bottom w:val="single" w:color="auto" w:sz="4" w:space="0"/>
              <w:right w:val="single" w:color="auto" w:sz="4" w:space="0"/>
            </w:tcBorders>
            <w:vAlign w:val="center"/>
          </w:tcPr>
          <w:p w14:paraId="290CBAF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530" w:type="dxa"/>
            <w:tcBorders>
              <w:top w:val="nil"/>
              <w:left w:val="nil"/>
              <w:bottom w:val="single" w:color="auto" w:sz="4" w:space="0"/>
              <w:right w:val="single" w:color="auto" w:sz="4" w:space="0"/>
            </w:tcBorders>
            <w:vAlign w:val="center"/>
          </w:tcPr>
          <w:p w14:paraId="60F48D8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635" w:type="dxa"/>
            <w:tcBorders>
              <w:top w:val="nil"/>
              <w:left w:val="nil"/>
              <w:bottom w:val="single" w:color="auto" w:sz="4" w:space="0"/>
              <w:right w:val="single" w:color="auto" w:sz="4" w:space="0"/>
            </w:tcBorders>
            <w:vAlign w:val="center"/>
          </w:tcPr>
          <w:p w14:paraId="5A7F5CF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7B349AF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F9C8C63">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餐饮业</w:t>
            </w:r>
          </w:p>
        </w:tc>
        <w:tc>
          <w:tcPr>
            <w:tcW w:w="1383" w:type="dxa"/>
            <w:tcBorders>
              <w:top w:val="nil"/>
              <w:left w:val="nil"/>
              <w:bottom w:val="single" w:color="auto" w:sz="4" w:space="0"/>
              <w:right w:val="single" w:color="auto" w:sz="4" w:space="0"/>
            </w:tcBorders>
            <w:vAlign w:val="center"/>
          </w:tcPr>
          <w:p w14:paraId="029E9F1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365" w:type="dxa"/>
            <w:tcBorders>
              <w:top w:val="nil"/>
              <w:left w:val="nil"/>
              <w:bottom w:val="single" w:color="auto" w:sz="4" w:space="0"/>
              <w:right w:val="single" w:color="auto" w:sz="4" w:space="0"/>
            </w:tcBorders>
            <w:vAlign w:val="center"/>
          </w:tcPr>
          <w:p w14:paraId="4BE452B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15" w:type="dxa"/>
            <w:tcBorders>
              <w:top w:val="nil"/>
              <w:left w:val="nil"/>
              <w:bottom w:val="single" w:color="auto" w:sz="4" w:space="0"/>
              <w:right w:val="single" w:color="auto" w:sz="4" w:space="0"/>
            </w:tcBorders>
            <w:vAlign w:val="center"/>
          </w:tcPr>
          <w:p w14:paraId="1F435A0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530" w:type="dxa"/>
            <w:tcBorders>
              <w:top w:val="nil"/>
              <w:left w:val="nil"/>
              <w:bottom w:val="single" w:color="auto" w:sz="4" w:space="0"/>
              <w:right w:val="single" w:color="auto" w:sz="4" w:space="0"/>
            </w:tcBorders>
            <w:vAlign w:val="center"/>
          </w:tcPr>
          <w:p w14:paraId="546E3B0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635" w:type="dxa"/>
            <w:tcBorders>
              <w:top w:val="nil"/>
              <w:left w:val="nil"/>
              <w:bottom w:val="single" w:color="auto" w:sz="4" w:space="0"/>
              <w:right w:val="single" w:color="auto" w:sz="4" w:space="0"/>
            </w:tcBorders>
            <w:vAlign w:val="center"/>
          </w:tcPr>
          <w:p w14:paraId="0DEF057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7FC343B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FB30898">
            <w:pPr>
              <w:widowControl/>
              <w:jc w:val="left"/>
              <w:rPr>
                <w:rFonts w:ascii="仿宋_GB2312" w:hAnsi="仿宋" w:eastAsia="仿宋_GB2312" w:cs="宋体"/>
                <w:b/>
                <w:bCs/>
                <w:kern w:val="0"/>
                <w:sz w:val="18"/>
                <w:szCs w:val="18"/>
              </w:rPr>
            </w:pPr>
          </w:p>
        </w:tc>
        <w:tc>
          <w:tcPr>
            <w:tcW w:w="1383" w:type="dxa"/>
            <w:tcBorders>
              <w:top w:val="nil"/>
              <w:left w:val="nil"/>
              <w:bottom w:val="single" w:color="auto" w:sz="4" w:space="0"/>
              <w:right w:val="single" w:color="auto" w:sz="4" w:space="0"/>
            </w:tcBorders>
            <w:vAlign w:val="center"/>
          </w:tcPr>
          <w:p w14:paraId="146EA48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365" w:type="dxa"/>
            <w:tcBorders>
              <w:top w:val="nil"/>
              <w:left w:val="nil"/>
              <w:bottom w:val="single" w:color="auto" w:sz="4" w:space="0"/>
              <w:right w:val="single" w:color="auto" w:sz="4" w:space="0"/>
            </w:tcBorders>
            <w:vAlign w:val="center"/>
          </w:tcPr>
          <w:p w14:paraId="43F76E5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15" w:type="dxa"/>
            <w:tcBorders>
              <w:top w:val="nil"/>
              <w:left w:val="nil"/>
              <w:bottom w:val="single" w:color="auto" w:sz="4" w:space="0"/>
              <w:right w:val="single" w:color="auto" w:sz="4" w:space="0"/>
            </w:tcBorders>
            <w:vAlign w:val="center"/>
          </w:tcPr>
          <w:p w14:paraId="46726EF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530" w:type="dxa"/>
            <w:tcBorders>
              <w:top w:val="nil"/>
              <w:left w:val="nil"/>
              <w:bottom w:val="single" w:color="auto" w:sz="4" w:space="0"/>
              <w:right w:val="single" w:color="auto" w:sz="4" w:space="0"/>
            </w:tcBorders>
            <w:vAlign w:val="center"/>
          </w:tcPr>
          <w:p w14:paraId="4558EDF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635" w:type="dxa"/>
            <w:tcBorders>
              <w:top w:val="nil"/>
              <w:left w:val="nil"/>
              <w:bottom w:val="single" w:color="auto" w:sz="4" w:space="0"/>
              <w:right w:val="single" w:color="auto" w:sz="4" w:space="0"/>
            </w:tcBorders>
            <w:vAlign w:val="center"/>
          </w:tcPr>
          <w:p w14:paraId="663D286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595FE3A7">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86D4B9E">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信息传输业</w:t>
            </w:r>
          </w:p>
        </w:tc>
        <w:tc>
          <w:tcPr>
            <w:tcW w:w="1383" w:type="dxa"/>
            <w:tcBorders>
              <w:top w:val="nil"/>
              <w:left w:val="nil"/>
              <w:bottom w:val="single" w:color="auto" w:sz="4" w:space="0"/>
              <w:right w:val="single" w:color="auto" w:sz="4" w:space="0"/>
            </w:tcBorders>
            <w:vAlign w:val="center"/>
          </w:tcPr>
          <w:p w14:paraId="0A5A471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365" w:type="dxa"/>
            <w:tcBorders>
              <w:top w:val="nil"/>
              <w:left w:val="nil"/>
              <w:bottom w:val="single" w:color="auto" w:sz="4" w:space="0"/>
              <w:right w:val="single" w:color="auto" w:sz="4" w:space="0"/>
            </w:tcBorders>
            <w:vAlign w:val="center"/>
          </w:tcPr>
          <w:p w14:paraId="0F6BAEA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15" w:type="dxa"/>
            <w:tcBorders>
              <w:top w:val="nil"/>
              <w:left w:val="nil"/>
              <w:bottom w:val="single" w:color="auto" w:sz="4" w:space="0"/>
              <w:right w:val="single" w:color="auto" w:sz="4" w:space="0"/>
            </w:tcBorders>
            <w:vAlign w:val="center"/>
          </w:tcPr>
          <w:p w14:paraId="3B94B06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100≤X＜2000</w:t>
            </w:r>
          </w:p>
        </w:tc>
        <w:tc>
          <w:tcPr>
            <w:tcW w:w="1530" w:type="dxa"/>
            <w:tcBorders>
              <w:top w:val="nil"/>
              <w:left w:val="nil"/>
              <w:bottom w:val="single" w:color="auto" w:sz="4" w:space="0"/>
              <w:right w:val="single" w:color="auto" w:sz="4" w:space="0"/>
            </w:tcBorders>
            <w:vAlign w:val="center"/>
          </w:tcPr>
          <w:p w14:paraId="69BA0F8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635" w:type="dxa"/>
            <w:tcBorders>
              <w:top w:val="nil"/>
              <w:left w:val="nil"/>
              <w:bottom w:val="single" w:color="auto" w:sz="4" w:space="0"/>
              <w:right w:val="single" w:color="auto" w:sz="4" w:space="0"/>
            </w:tcBorders>
            <w:vAlign w:val="center"/>
          </w:tcPr>
          <w:p w14:paraId="529118D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7AEF1ED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726F217">
            <w:pPr>
              <w:widowControl/>
              <w:jc w:val="left"/>
              <w:rPr>
                <w:rFonts w:ascii="仿宋_GB2312" w:hAnsi="仿宋" w:eastAsia="仿宋_GB2312" w:cs="宋体"/>
                <w:b/>
                <w:bCs/>
                <w:kern w:val="0"/>
                <w:sz w:val="18"/>
                <w:szCs w:val="18"/>
              </w:rPr>
            </w:pPr>
          </w:p>
        </w:tc>
        <w:tc>
          <w:tcPr>
            <w:tcW w:w="1383" w:type="dxa"/>
            <w:tcBorders>
              <w:top w:val="nil"/>
              <w:left w:val="nil"/>
              <w:bottom w:val="single" w:color="auto" w:sz="4" w:space="0"/>
              <w:right w:val="single" w:color="auto" w:sz="4" w:space="0"/>
            </w:tcBorders>
            <w:vAlign w:val="center"/>
          </w:tcPr>
          <w:p w14:paraId="2492BFE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365" w:type="dxa"/>
            <w:tcBorders>
              <w:top w:val="nil"/>
              <w:left w:val="nil"/>
              <w:bottom w:val="single" w:color="auto" w:sz="4" w:space="0"/>
              <w:right w:val="single" w:color="auto" w:sz="4" w:space="0"/>
            </w:tcBorders>
            <w:vAlign w:val="center"/>
          </w:tcPr>
          <w:p w14:paraId="62433D4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15" w:type="dxa"/>
            <w:tcBorders>
              <w:top w:val="nil"/>
              <w:left w:val="nil"/>
              <w:bottom w:val="single" w:color="auto" w:sz="4" w:space="0"/>
              <w:right w:val="single" w:color="auto" w:sz="4" w:space="0"/>
            </w:tcBorders>
            <w:vAlign w:val="center"/>
          </w:tcPr>
          <w:p w14:paraId="25DC795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1000≤Y＜100000</w:t>
            </w:r>
          </w:p>
        </w:tc>
        <w:tc>
          <w:tcPr>
            <w:tcW w:w="1530" w:type="dxa"/>
            <w:tcBorders>
              <w:top w:val="nil"/>
              <w:left w:val="nil"/>
              <w:bottom w:val="single" w:color="auto" w:sz="4" w:space="0"/>
              <w:right w:val="single" w:color="auto" w:sz="4" w:space="0"/>
            </w:tcBorders>
            <w:vAlign w:val="center"/>
          </w:tcPr>
          <w:p w14:paraId="2F50C10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635" w:type="dxa"/>
            <w:tcBorders>
              <w:top w:val="nil"/>
              <w:left w:val="nil"/>
              <w:bottom w:val="single" w:color="auto" w:sz="4" w:space="0"/>
              <w:right w:val="single" w:color="auto" w:sz="4" w:space="0"/>
            </w:tcBorders>
            <w:vAlign w:val="center"/>
          </w:tcPr>
          <w:p w14:paraId="3A501EB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5B728C1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E334A60">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软件和信息技术服务业</w:t>
            </w:r>
          </w:p>
        </w:tc>
        <w:tc>
          <w:tcPr>
            <w:tcW w:w="1383" w:type="dxa"/>
            <w:tcBorders>
              <w:top w:val="nil"/>
              <w:left w:val="nil"/>
              <w:bottom w:val="single" w:color="auto" w:sz="4" w:space="0"/>
              <w:right w:val="single" w:color="auto" w:sz="4" w:space="0"/>
            </w:tcBorders>
            <w:vAlign w:val="center"/>
          </w:tcPr>
          <w:p w14:paraId="2AC526A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365" w:type="dxa"/>
            <w:tcBorders>
              <w:top w:val="nil"/>
              <w:left w:val="nil"/>
              <w:bottom w:val="single" w:color="auto" w:sz="4" w:space="0"/>
              <w:right w:val="single" w:color="auto" w:sz="4" w:space="0"/>
            </w:tcBorders>
            <w:vAlign w:val="center"/>
          </w:tcPr>
          <w:p w14:paraId="4500154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15" w:type="dxa"/>
            <w:tcBorders>
              <w:top w:val="nil"/>
              <w:left w:val="nil"/>
              <w:bottom w:val="single" w:color="auto" w:sz="4" w:space="0"/>
              <w:right w:val="single" w:color="auto" w:sz="4" w:space="0"/>
            </w:tcBorders>
            <w:vAlign w:val="center"/>
          </w:tcPr>
          <w:p w14:paraId="4F6FBCF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530" w:type="dxa"/>
            <w:tcBorders>
              <w:top w:val="nil"/>
              <w:left w:val="nil"/>
              <w:bottom w:val="single" w:color="auto" w:sz="4" w:space="0"/>
              <w:right w:val="single" w:color="auto" w:sz="4" w:space="0"/>
            </w:tcBorders>
            <w:vAlign w:val="center"/>
          </w:tcPr>
          <w:p w14:paraId="03F039E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635" w:type="dxa"/>
            <w:tcBorders>
              <w:top w:val="nil"/>
              <w:left w:val="nil"/>
              <w:bottom w:val="single" w:color="auto" w:sz="4" w:space="0"/>
              <w:right w:val="single" w:color="auto" w:sz="4" w:space="0"/>
            </w:tcBorders>
            <w:vAlign w:val="center"/>
          </w:tcPr>
          <w:p w14:paraId="6BE3895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69159DC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2157980">
            <w:pPr>
              <w:widowControl/>
              <w:jc w:val="left"/>
              <w:rPr>
                <w:rFonts w:ascii="仿宋_GB2312" w:hAnsi="仿宋" w:eastAsia="仿宋_GB2312" w:cs="宋体"/>
                <w:b/>
                <w:bCs/>
                <w:kern w:val="0"/>
                <w:sz w:val="18"/>
                <w:szCs w:val="18"/>
              </w:rPr>
            </w:pPr>
          </w:p>
        </w:tc>
        <w:tc>
          <w:tcPr>
            <w:tcW w:w="1383" w:type="dxa"/>
            <w:tcBorders>
              <w:top w:val="nil"/>
              <w:left w:val="nil"/>
              <w:bottom w:val="single" w:color="auto" w:sz="4" w:space="0"/>
              <w:right w:val="single" w:color="auto" w:sz="4" w:space="0"/>
            </w:tcBorders>
            <w:vAlign w:val="center"/>
          </w:tcPr>
          <w:p w14:paraId="7FAAE1F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365" w:type="dxa"/>
            <w:tcBorders>
              <w:top w:val="nil"/>
              <w:left w:val="nil"/>
              <w:bottom w:val="single" w:color="auto" w:sz="4" w:space="0"/>
              <w:right w:val="single" w:color="auto" w:sz="4" w:space="0"/>
            </w:tcBorders>
            <w:vAlign w:val="center"/>
          </w:tcPr>
          <w:p w14:paraId="12431EF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15" w:type="dxa"/>
            <w:tcBorders>
              <w:top w:val="nil"/>
              <w:left w:val="nil"/>
              <w:bottom w:val="single" w:color="auto" w:sz="4" w:space="0"/>
              <w:right w:val="single" w:color="auto" w:sz="4" w:space="0"/>
            </w:tcBorders>
            <w:vAlign w:val="center"/>
          </w:tcPr>
          <w:p w14:paraId="52A601F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w:t>
            </w:r>
          </w:p>
        </w:tc>
        <w:tc>
          <w:tcPr>
            <w:tcW w:w="1530" w:type="dxa"/>
            <w:tcBorders>
              <w:top w:val="nil"/>
              <w:left w:val="nil"/>
              <w:bottom w:val="single" w:color="auto" w:sz="4" w:space="0"/>
              <w:right w:val="single" w:color="auto" w:sz="4" w:space="0"/>
            </w:tcBorders>
            <w:vAlign w:val="center"/>
          </w:tcPr>
          <w:p w14:paraId="08A9AB8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50≤Y＜1000</w:t>
            </w:r>
          </w:p>
        </w:tc>
        <w:tc>
          <w:tcPr>
            <w:tcW w:w="1635" w:type="dxa"/>
            <w:tcBorders>
              <w:top w:val="nil"/>
              <w:left w:val="nil"/>
              <w:bottom w:val="single" w:color="auto" w:sz="4" w:space="0"/>
              <w:right w:val="single" w:color="auto" w:sz="4" w:space="0"/>
            </w:tcBorders>
            <w:vAlign w:val="center"/>
          </w:tcPr>
          <w:p w14:paraId="7597954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36C59F4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961376E">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房地产开发经营</w:t>
            </w:r>
          </w:p>
        </w:tc>
        <w:tc>
          <w:tcPr>
            <w:tcW w:w="1383" w:type="dxa"/>
            <w:tcBorders>
              <w:top w:val="nil"/>
              <w:left w:val="nil"/>
              <w:bottom w:val="single" w:color="auto" w:sz="4" w:space="0"/>
              <w:right w:val="single" w:color="auto" w:sz="4" w:space="0"/>
            </w:tcBorders>
            <w:vAlign w:val="center"/>
          </w:tcPr>
          <w:p w14:paraId="75428B0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365" w:type="dxa"/>
            <w:tcBorders>
              <w:top w:val="nil"/>
              <w:left w:val="nil"/>
              <w:bottom w:val="single" w:color="auto" w:sz="4" w:space="0"/>
              <w:right w:val="single" w:color="auto" w:sz="4" w:space="0"/>
            </w:tcBorders>
            <w:vAlign w:val="center"/>
          </w:tcPr>
          <w:p w14:paraId="79FC40C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15" w:type="dxa"/>
            <w:tcBorders>
              <w:top w:val="nil"/>
              <w:left w:val="nil"/>
              <w:bottom w:val="single" w:color="auto" w:sz="4" w:space="0"/>
              <w:right w:val="single" w:color="auto" w:sz="4" w:space="0"/>
            </w:tcBorders>
            <w:vAlign w:val="center"/>
          </w:tcPr>
          <w:p w14:paraId="1EC93DA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1000≤Y＜200000</w:t>
            </w:r>
          </w:p>
        </w:tc>
        <w:tc>
          <w:tcPr>
            <w:tcW w:w="1530" w:type="dxa"/>
            <w:tcBorders>
              <w:top w:val="nil"/>
              <w:left w:val="nil"/>
              <w:bottom w:val="single" w:color="auto" w:sz="4" w:space="0"/>
              <w:right w:val="single" w:color="auto" w:sz="4" w:space="0"/>
            </w:tcBorders>
            <w:vAlign w:val="center"/>
          </w:tcPr>
          <w:p w14:paraId="6277CBA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100≤X＜1000</w:t>
            </w:r>
          </w:p>
        </w:tc>
        <w:tc>
          <w:tcPr>
            <w:tcW w:w="1635" w:type="dxa"/>
            <w:tcBorders>
              <w:top w:val="nil"/>
              <w:left w:val="nil"/>
              <w:bottom w:val="single" w:color="auto" w:sz="4" w:space="0"/>
              <w:right w:val="single" w:color="auto" w:sz="4" w:space="0"/>
            </w:tcBorders>
            <w:vAlign w:val="center"/>
          </w:tcPr>
          <w:p w14:paraId="0035053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35A8112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056CC6D">
            <w:pPr>
              <w:widowControl/>
              <w:jc w:val="left"/>
              <w:rPr>
                <w:rFonts w:ascii="仿宋_GB2312" w:hAnsi="仿宋" w:eastAsia="仿宋_GB2312" w:cs="宋体"/>
                <w:b/>
                <w:bCs/>
                <w:kern w:val="0"/>
                <w:sz w:val="18"/>
                <w:szCs w:val="18"/>
              </w:rPr>
            </w:pPr>
          </w:p>
        </w:tc>
        <w:tc>
          <w:tcPr>
            <w:tcW w:w="1383" w:type="dxa"/>
            <w:tcBorders>
              <w:top w:val="nil"/>
              <w:left w:val="nil"/>
              <w:bottom w:val="single" w:color="auto" w:sz="4" w:space="0"/>
              <w:right w:val="single" w:color="auto" w:sz="4" w:space="0"/>
            </w:tcBorders>
            <w:vAlign w:val="center"/>
          </w:tcPr>
          <w:p w14:paraId="0B1F307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1365" w:type="dxa"/>
            <w:tcBorders>
              <w:top w:val="nil"/>
              <w:left w:val="nil"/>
              <w:bottom w:val="single" w:color="auto" w:sz="4" w:space="0"/>
              <w:right w:val="single" w:color="auto" w:sz="4" w:space="0"/>
            </w:tcBorders>
            <w:vAlign w:val="center"/>
          </w:tcPr>
          <w:p w14:paraId="3698FE3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15" w:type="dxa"/>
            <w:tcBorders>
              <w:top w:val="nil"/>
              <w:left w:val="nil"/>
              <w:bottom w:val="single" w:color="auto" w:sz="4" w:space="0"/>
              <w:right w:val="single" w:color="auto" w:sz="4" w:space="0"/>
            </w:tcBorders>
            <w:vAlign w:val="center"/>
          </w:tcPr>
          <w:p w14:paraId="48C7BDB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5000≤Z＜10000</w:t>
            </w:r>
          </w:p>
        </w:tc>
        <w:tc>
          <w:tcPr>
            <w:tcW w:w="1530" w:type="dxa"/>
            <w:tcBorders>
              <w:top w:val="nil"/>
              <w:left w:val="nil"/>
              <w:bottom w:val="single" w:color="auto" w:sz="4" w:space="0"/>
              <w:right w:val="single" w:color="auto" w:sz="4" w:space="0"/>
            </w:tcBorders>
            <w:vAlign w:val="center"/>
          </w:tcPr>
          <w:p w14:paraId="3AB78E9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2000≤Y＜5000</w:t>
            </w:r>
          </w:p>
        </w:tc>
        <w:tc>
          <w:tcPr>
            <w:tcW w:w="1635" w:type="dxa"/>
            <w:tcBorders>
              <w:top w:val="nil"/>
              <w:left w:val="nil"/>
              <w:bottom w:val="single" w:color="auto" w:sz="4" w:space="0"/>
              <w:right w:val="single" w:color="auto" w:sz="4" w:space="0"/>
            </w:tcBorders>
            <w:vAlign w:val="center"/>
          </w:tcPr>
          <w:p w14:paraId="43F5C26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Y＜2000</w:t>
            </w:r>
          </w:p>
        </w:tc>
      </w:tr>
      <w:tr w14:paraId="7ABC7C20">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0949874">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物业管理</w:t>
            </w:r>
          </w:p>
        </w:tc>
        <w:tc>
          <w:tcPr>
            <w:tcW w:w="1383" w:type="dxa"/>
            <w:tcBorders>
              <w:top w:val="nil"/>
              <w:left w:val="nil"/>
              <w:bottom w:val="single" w:color="auto" w:sz="4" w:space="0"/>
              <w:right w:val="single" w:color="auto" w:sz="4" w:space="0"/>
            </w:tcBorders>
            <w:vAlign w:val="center"/>
          </w:tcPr>
          <w:p w14:paraId="157C27E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365" w:type="dxa"/>
            <w:tcBorders>
              <w:top w:val="nil"/>
              <w:left w:val="nil"/>
              <w:bottom w:val="single" w:color="auto" w:sz="4" w:space="0"/>
              <w:right w:val="single" w:color="auto" w:sz="4" w:space="0"/>
            </w:tcBorders>
            <w:vAlign w:val="center"/>
          </w:tcPr>
          <w:p w14:paraId="7BC4329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15" w:type="dxa"/>
            <w:tcBorders>
              <w:top w:val="nil"/>
              <w:left w:val="nil"/>
              <w:bottom w:val="single" w:color="auto" w:sz="4" w:space="0"/>
              <w:right w:val="single" w:color="auto" w:sz="4" w:space="0"/>
            </w:tcBorders>
            <w:vAlign w:val="center"/>
          </w:tcPr>
          <w:p w14:paraId="385B834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530" w:type="dxa"/>
            <w:tcBorders>
              <w:top w:val="nil"/>
              <w:left w:val="nil"/>
              <w:bottom w:val="single" w:color="auto" w:sz="4" w:space="0"/>
              <w:right w:val="single" w:color="auto" w:sz="4" w:space="0"/>
            </w:tcBorders>
            <w:vAlign w:val="center"/>
          </w:tcPr>
          <w:p w14:paraId="24789DD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635" w:type="dxa"/>
            <w:tcBorders>
              <w:top w:val="nil"/>
              <w:left w:val="nil"/>
              <w:bottom w:val="single" w:color="auto" w:sz="4" w:space="0"/>
              <w:right w:val="single" w:color="auto" w:sz="4" w:space="0"/>
            </w:tcBorders>
            <w:vAlign w:val="center"/>
          </w:tcPr>
          <w:p w14:paraId="4F44D17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0639642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B51F33B">
            <w:pPr>
              <w:widowControl/>
              <w:jc w:val="left"/>
              <w:rPr>
                <w:rFonts w:ascii="仿宋_GB2312" w:hAnsi="仿宋" w:eastAsia="仿宋_GB2312" w:cs="宋体"/>
                <w:b/>
                <w:bCs/>
                <w:kern w:val="0"/>
                <w:sz w:val="18"/>
                <w:szCs w:val="18"/>
              </w:rPr>
            </w:pPr>
          </w:p>
        </w:tc>
        <w:tc>
          <w:tcPr>
            <w:tcW w:w="1383" w:type="dxa"/>
            <w:tcBorders>
              <w:top w:val="nil"/>
              <w:left w:val="nil"/>
              <w:bottom w:val="single" w:color="auto" w:sz="4" w:space="0"/>
              <w:right w:val="single" w:color="auto" w:sz="4" w:space="0"/>
            </w:tcBorders>
            <w:vAlign w:val="center"/>
          </w:tcPr>
          <w:p w14:paraId="01E8E90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365" w:type="dxa"/>
            <w:tcBorders>
              <w:top w:val="nil"/>
              <w:left w:val="nil"/>
              <w:bottom w:val="single" w:color="auto" w:sz="4" w:space="0"/>
              <w:right w:val="single" w:color="auto" w:sz="4" w:space="0"/>
            </w:tcBorders>
            <w:vAlign w:val="center"/>
          </w:tcPr>
          <w:p w14:paraId="67823B9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15" w:type="dxa"/>
            <w:tcBorders>
              <w:top w:val="nil"/>
              <w:left w:val="nil"/>
              <w:bottom w:val="single" w:color="auto" w:sz="4" w:space="0"/>
              <w:right w:val="single" w:color="auto" w:sz="4" w:space="0"/>
            </w:tcBorders>
            <w:vAlign w:val="center"/>
          </w:tcPr>
          <w:p w14:paraId="2F0524C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530" w:type="dxa"/>
            <w:tcBorders>
              <w:top w:val="nil"/>
              <w:left w:val="nil"/>
              <w:bottom w:val="single" w:color="auto" w:sz="4" w:space="0"/>
              <w:right w:val="single" w:color="auto" w:sz="4" w:space="0"/>
            </w:tcBorders>
            <w:vAlign w:val="center"/>
          </w:tcPr>
          <w:p w14:paraId="39239B3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500≤Y＜1000</w:t>
            </w:r>
          </w:p>
        </w:tc>
        <w:tc>
          <w:tcPr>
            <w:tcW w:w="1635" w:type="dxa"/>
            <w:tcBorders>
              <w:top w:val="nil"/>
              <w:left w:val="nil"/>
              <w:bottom w:val="single" w:color="auto" w:sz="4" w:space="0"/>
              <w:right w:val="single" w:color="auto" w:sz="4" w:space="0"/>
            </w:tcBorders>
            <w:vAlign w:val="center"/>
          </w:tcPr>
          <w:p w14:paraId="1678C2F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Y＜500</w:t>
            </w:r>
          </w:p>
        </w:tc>
      </w:tr>
      <w:tr w14:paraId="616ADAC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240345A">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租赁和商务服务业</w:t>
            </w:r>
          </w:p>
        </w:tc>
        <w:tc>
          <w:tcPr>
            <w:tcW w:w="1383" w:type="dxa"/>
            <w:tcBorders>
              <w:top w:val="nil"/>
              <w:left w:val="nil"/>
              <w:bottom w:val="single" w:color="auto" w:sz="4" w:space="0"/>
              <w:right w:val="single" w:color="auto" w:sz="4" w:space="0"/>
            </w:tcBorders>
            <w:vAlign w:val="center"/>
          </w:tcPr>
          <w:p w14:paraId="0FEB84B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365" w:type="dxa"/>
            <w:tcBorders>
              <w:top w:val="nil"/>
              <w:left w:val="nil"/>
              <w:bottom w:val="single" w:color="auto" w:sz="4" w:space="0"/>
              <w:right w:val="single" w:color="auto" w:sz="4" w:space="0"/>
            </w:tcBorders>
            <w:vAlign w:val="center"/>
          </w:tcPr>
          <w:p w14:paraId="6CD51B7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15" w:type="dxa"/>
            <w:tcBorders>
              <w:top w:val="nil"/>
              <w:left w:val="nil"/>
              <w:bottom w:val="single" w:color="auto" w:sz="4" w:space="0"/>
              <w:right w:val="single" w:color="auto" w:sz="4" w:space="0"/>
            </w:tcBorders>
            <w:vAlign w:val="center"/>
          </w:tcPr>
          <w:p w14:paraId="6890E30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530" w:type="dxa"/>
            <w:tcBorders>
              <w:top w:val="nil"/>
              <w:left w:val="nil"/>
              <w:bottom w:val="single" w:color="auto" w:sz="4" w:space="0"/>
              <w:right w:val="single" w:color="auto" w:sz="4" w:space="0"/>
            </w:tcBorders>
            <w:vAlign w:val="center"/>
          </w:tcPr>
          <w:p w14:paraId="4EFDC23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635" w:type="dxa"/>
            <w:tcBorders>
              <w:top w:val="nil"/>
              <w:left w:val="nil"/>
              <w:bottom w:val="single" w:color="auto" w:sz="4" w:space="0"/>
              <w:right w:val="single" w:color="auto" w:sz="4" w:space="0"/>
            </w:tcBorders>
            <w:vAlign w:val="center"/>
          </w:tcPr>
          <w:p w14:paraId="740CFAB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3B0CBCF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33C7183">
            <w:pPr>
              <w:widowControl/>
              <w:jc w:val="left"/>
              <w:rPr>
                <w:rFonts w:ascii="仿宋_GB2312" w:hAnsi="仿宋" w:eastAsia="仿宋_GB2312" w:cs="宋体"/>
                <w:b/>
                <w:bCs/>
                <w:kern w:val="0"/>
                <w:sz w:val="18"/>
                <w:szCs w:val="18"/>
              </w:rPr>
            </w:pPr>
          </w:p>
        </w:tc>
        <w:tc>
          <w:tcPr>
            <w:tcW w:w="1383" w:type="dxa"/>
            <w:tcBorders>
              <w:top w:val="nil"/>
              <w:left w:val="nil"/>
              <w:bottom w:val="single" w:color="auto" w:sz="4" w:space="0"/>
              <w:right w:val="single" w:color="auto" w:sz="4" w:space="0"/>
            </w:tcBorders>
            <w:vAlign w:val="center"/>
          </w:tcPr>
          <w:p w14:paraId="5BEA2B2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1365" w:type="dxa"/>
            <w:tcBorders>
              <w:top w:val="nil"/>
              <w:left w:val="nil"/>
              <w:bottom w:val="single" w:color="auto" w:sz="4" w:space="0"/>
              <w:right w:val="single" w:color="auto" w:sz="4" w:space="0"/>
            </w:tcBorders>
            <w:vAlign w:val="center"/>
          </w:tcPr>
          <w:p w14:paraId="2FDEC5C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15" w:type="dxa"/>
            <w:tcBorders>
              <w:top w:val="nil"/>
              <w:left w:val="nil"/>
              <w:bottom w:val="single" w:color="auto" w:sz="4" w:space="0"/>
              <w:right w:val="single" w:color="auto" w:sz="4" w:space="0"/>
            </w:tcBorders>
            <w:vAlign w:val="center"/>
          </w:tcPr>
          <w:p w14:paraId="0227E8C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8000≤Z＜120000</w:t>
            </w:r>
          </w:p>
        </w:tc>
        <w:tc>
          <w:tcPr>
            <w:tcW w:w="1530" w:type="dxa"/>
            <w:tcBorders>
              <w:top w:val="nil"/>
              <w:left w:val="nil"/>
              <w:bottom w:val="single" w:color="auto" w:sz="4" w:space="0"/>
              <w:right w:val="single" w:color="auto" w:sz="4" w:space="0"/>
            </w:tcBorders>
            <w:vAlign w:val="center"/>
          </w:tcPr>
          <w:p w14:paraId="0E462BA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100≤Z＜8000</w:t>
            </w:r>
          </w:p>
        </w:tc>
        <w:tc>
          <w:tcPr>
            <w:tcW w:w="1635" w:type="dxa"/>
            <w:tcBorders>
              <w:top w:val="nil"/>
              <w:left w:val="nil"/>
              <w:bottom w:val="single" w:color="auto" w:sz="4" w:space="0"/>
              <w:right w:val="single" w:color="auto" w:sz="4" w:space="0"/>
            </w:tcBorders>
            <w:vAlign w:val="center"/>
          </w:tcPr>
          <w:p w14:paraId="59EDCD2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7AEBA4E4">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0714377A">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其他未列明行业</w:t>
            </w:r>
          </w:p>
        </w:tc>
        <w:tc>
          <w:tcPr>
            <w:tcW w:w="1383" w:type="dxa"/>
            <w:tcBorders>
              <w:top w:val="nil"/>
              <w:left w:val="nil"/>
              <w:bottom w:val="single" w:color="auto" w:sz="4" w:space="0"/>
              <w:right w:val="single" w:color="auto" w:sz="4" w:space="0"/>
            </w:tcBorders>
            <w:vAlign w:val="center"/>
          </w:tcPr>
          <w:p w14:paraId="09C451F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365" w:type="dxa"/>
            <w:tcBorders>
              <w:top w:val="nil"/>
              <w:left w:val="nil"/>
              <w:bottom w:val="single" w:color="auto" w:sz="4" w:space="0"/>
              <w:right w:val="single" w:color="auto" w:sz="4" w:space="0"/>
            </w:tcBorders>
            <w:vAlign w:val="center"/>
          </w:tcPr>
          <w:p w14:paraId="7F825AE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15" w:type="dxa"/>
            <w:tcBorders>
              <w:top w:val="nil"/>
              <w:left w:val="nil"/>
              <w:bottom w:val="single" w:color="auto" w:sz="4" w:space="0"/>
              <w:right w:val="single" w:color="auto" w:sz="4" w:space="0"/>
            </w:tcBorders>
            <w:vAlign w:val="center"/>
          </w:tcPr>
          <w:p w14:paraId="78A59FE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530" w:type="dxa"/>
            <w:tcBorders>
              <w:top w:val="nil"/>
              <w:left w:val="nil"/>
              <w:bottom w:val="single" w:color="auto" w:sz="4" w:space="0"/>
              <w:right w:val="single" w:color="auto" w:sz="4" w:space="0"/>
            </w:tcBorders>
            <w:vAlign w:val="center"/>
          </w:tcPr>
          <w:p w14:paraId="5A63CCA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635" w:type="dxa"/>
            <w:tcBorders>
              <w:top w:val="nil"/>
              <w:left w:val="nil"/>
              <w:bottom w:val="single" w:color="auto" w:sz="4" w:space="0"/>
              <w:right w:val="single" w:color="auto" w:sz="4" w:space="0"/>
            </w:tcBorders>
            <w:vAlign w:val="center"/>
          </w:tcPr>
          <w:p w14:paraId="3FF2358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bl>
    <w:p w14:paraId="551C8A6E">
      <w:pPr>
        <w:spacing w:line="360" w:lineRule="auto"/>
        <w:ind w:firstLine="525" w:firstLineChars="250"/>
        <w:rPr>
          <w:rFonts w:ascii="仿宋_GB2312" w:hAnsi="仿宋" w:eastAsia="仿宋_GB2312"/>
          <w:szCs w:val="21"/>
        </w:rPr>
      </w:pPr>
      <w:r>
        <w:rPr>
          <w:rFonts w:hint="eastAsia" w:ascii="仿宋_GB2312" w:hAnsi="仿宋" w:eastAsia="仿宋_GB2312"/>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60BAAAFB">
      <w:pPr>
        <w:widowControl/>
        <w:jc w:val="left"/>
        <w:rPr>
          <w:rFonts w:ascii="宋体" w:hAnsi="宋体"/>
          <w:szCs w:val="20"/>
        </w:rPr>
        <w:sectPr>
          <w:footerReference r:id="rId5" w:type="default"/>
          <w:pgSz w:w="11906" w:h="16838"/>
          <w:pgMar w:top="1134" w:right="1134" w:bottom="1134" w:left="1134" w:header="720" w:footer="720" w:gutter="0"/>
          <w:cols w:space="720" w:num="1"/>
          <w:docGrid w:type="lines" w:linePitch="331" w:charSpace="0"/>
        </w:sectPr>
      </w:pPr>
    </w:p>
    <w:p w14:paraId="30493915">
      <w:pPr>
        <w:pStyle w:val="2"/>
        <w:spacing w:before="0" w:after="0" w:line="360" w:lineRule="auto"/>
        <w:jc w:val="center"/>
      </w:pPr>
      <w:bookmarkStart w:id="37" w:name="_Toc1885"/>
      <w:bookmarkStart w:id="38" w:name="_Toc3368"/>
      <w:r>
        <w:rPr>
          <w:rFonts w:hint="eastAsia"/>
        </w:rPr>
        <w:t>第三章  投标人须知</w:t>
      </w:r>
      <w:bookmarkEnd w:id="37"/>
      <w:bookmarkEnd w:id="38"/>
    </w:p>
    <w:p w14:paraId="3DDB3996">
      <w:pPr>
        <w:jc w:val="center"/>
        <w:rPr>
          <w:sz w:val="36"/>
          <w:szCs w:val="36"/>
        </w:rPr>
      </w:pPr>
      <w:bookmarkStart w:id="39" w:name="_Toc254970526"/>
      <w:bookmarkStart w:id="40" w:name="_Toc254970667"/>
      <w:r>
        <w:rPr>
          <w:rFonts w:hint="eastAsia"/>
          <w:sz w:val="36"/>
          <w:szCs w:val="36"/>
        </w:rPr>
        <w:t>投标人须知前附表</w:t>
      </w:r>
      <w:bookmarkEnd w:id="39"/>
      <w:bookmarkEnd w:id="40"/>
    </w:p>
    <w:tbl>
      <w:tblPr>
        <w:tblStyle w:val="26"/>
        <w:tblW w:w="986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95"/>
        <w:gridCol w:w="8865"/>
      </w:tblGrid>
      <w:tr w14:paraId="2D053C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5" w:type="dxa"/>
            <w:tcBorders>
              <w:top w:val="single" w:color="auto" w:sz="4" w:space="0"/>
              <w:left w:val="single" w:color="auto" w:sz="4" w:space="0"/>
              <w:bottom w:val="single" w:color="auto" w:sz="4" w:space="0"/>
              <w:right w:val="single" w:color="auto" w:sz="4" w:space="0"/>
            </w:tcBorders>
            <w:vAlign w:val="center"/>
          </w:tcPr>
          <w:p w14:paraId="2208328E">
            <w:pPr>
              <w:snapToGrid w:val="0"/>
              <w:spacing w:line="360" w:lineRule="auto"/>
              <w:jc w:val="left"/>
              <w:rPr>
                <w:rFonts w:ascii="宋体" w:hAnsi="宋体"/>
                <w:szCs w:val="21"/>
              </w:rPr>
            </w:pPr>
            <w:r>
              <w:rPr>
                <w:rFonts w:hint="eastAsia" w:ascii="宋体" w:hAnsi="宋体"/>
                <w:szCs w:val="21"/>
              </w:rPr>
              <w:t>条款号</w:t>
            </w:r>
          </w:p>
        </w:tc>
        <w:tc>
          <w:tcPr>
            <w:tcW w:w="8865" w:type="dxa"/>
            <w:tcBorders>
              <w:top w:val="single" w:color="auto" w:sz="4" w:space="0"/>
              <w:left w:val="single" w:color="auto" w:sz="4" w:space="0"/>
              <w:bottom w:val="single" w:color="auto" w:sz="4" w:space="0"/>
              <w:right w:val="single" w:color="auto" w:sz="4" w:space="0"/>
            </w:tcBorders>
            <w:vAlign w:val="center"/>
          </w:tcPr>
          <w:p w14:paraId="32864A1B">
            <w:pPr>
              <w:snapToGrid w:val="0"/>
              <w:spacing w:line="360" w:lineRule="auto"/>
              <w:jc w:val="center"/>
              <w:rPr>
                <w:rFonts w:ascii="宋体" w:hAnsi="宋体"/>
                <w:szCs w:val="21"/>
              </w:rPr>
            </w:pPr>
            <w:r>
              <w:rPr>
                <w:rFonts w:hint="eastAsia" w:ascii="宋体" w:hAnsi="宋体"/>
                <w:szCs w:val="21"/>
              </w:rPr>
              <w:t>编列内容</w:t>
            </w:r>
          </w:p>
        </w:tc>
      </w:tr>
      <w:tr w14:paraId="3B4EDF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5" w:type="dxa"/>
            <w:tcBorders>
              <w:top w:val="single" w:color="auto" w:sz="4" w:space="0"/>
              <w:left w:val="single" w:color="auto" w:sz="4" w:space="0"/>
              <w:bottom w:val="single" w:color="auto" w:sz="4" w:space="0"/>
              <w:right w:val="single" w:color="auto" w:sz="4" w:space="0"/>
            </w:tcBorders>
            <w:vAlign w:val="center"/>
          </w:tcPr>
          <w:p w14:paraId="44F15B3F">
            <w:pPr>
              <w:spacing w:line="360" w:lineRule="auto"/>
              <w:jc w:val="center"/>
              <w:rPr>
                <w:rFonts w:ascii="宋体" w:hAnsi="宋体"/>
                <w:szCs w:val="21"/>
              </w:rPr>
            </w:pPr>
            <w:r>
              <w:rPr>
                <w:rFonts w:hint="eastAsia" w:ascii="宋体" w:hAnsi="宋体"/>
                <w:szCs w:val="21"/>
              </w:rPr>
              <w:t>3</w:t>
            </w:r>
          </w:p>
        </w:tc>
        <w:tc>
          <w:tcPr>
            <w:tcW w:w="8865" w:type="dxa"/>
            <w:tcBorders>
              <w:top w:val="single" w:color="auto" w:sz="4" w:space="0"/>
              <w:left w:val="single" w:color="auto" w:sz="4" w:space="0"/>
              <w:bottom w:val="single" w:color="auto" w:sz="4" w:space="0"/>
              <w:right w:val="single" w:color="auto" w:sz="4" w:space="0"/>
            </w:tcBorders>
            <w:vAlign w:val="center"/>
          </w:tcPr>
          <w:p w14:paraId="40C877E9">
            <w:pPr>
              <w:snapToGrid w:val="0"/>
              <w:spacing w:line="360" w:lineRule="auto"/>
              <w:jc w:val="left"/>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投标人的资格要求详见招标公告。</w:t>
            </w:r>
          </w:p>
          <w:p w14:paraId="6C2BACCE">
            <w:pPr>
              <w:snapToGrid w:val="0"/>
              <w:spacing w:line="360" w:lineRule="auto"/>
              <w:jc w:val="left"/>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投标人出现下列情形之一的，不得参加政府采购活动：</w:t>
            </w:r>
          </w:p>
          <w:p w14:paraId="15C0CFF1">
            <w:pPr>
              <w:snapToGrid w:val="0"/>
              <w:spacing w:line="360" w:lineRule="auto"/>
              <w:jc w:val="left"/>
              <w:rPr>
                <w:rFonts w:ascii="宋体" w:hAnsi="宋体"/>
                <w:szCs w:val="21"/>
              </w:rPr>
            </w:pPr>
            <w:r>
              <w:rPr>
                <w:rFonts w:ascii="宋体" w:hAnsi="宋体"/>
                <w:szCs w:val="21"/>
              </w:rPr>
              <w:t>2.1</w:t>
            </w:r>
            <w:r>
              <w:rPr>
                <w:rFonts w:hint="eastAsia" w:ascii="宋体" w:hAnsi="宋体"/>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47600ED">
            <w:pPr>
              <w:snapToGrid w:val="0"/>
              <w:spacing w:line="360" w:lineRule="auto"/>
              <w:jc w:val="left"/>
              <w:rPr>
                <w:rFonts w:ascii="宋体" w:hAnsi="宋体"/>
                <w:szCs w:val="21"/>
              </w:rPr>
            </w:pPr>
            <w:r>
              <w:rPr>
                <w:rFonts w:ascii="宋体" w:hAnsi="宋体"/>
                <w:szCs w:val="21"/>
              </w:rPr>
              <w:t>2.2</w:t>
            </w:r>
            <w:r>
              <w:rPr>
                <w:rFonts w:hint="eastAsia" w:ascii="宋体" w:hAnsi="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0604AD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995" w:type="dxa"/>
            <w:tcBorders>
              <w:top w:val="single" w:color="auto" w:sz="4" w:space="0"/>
              <w:left w:val="single" w:color="auto" w:sz="4" w:space="0"/>
              <w:bottom w:val="single" w:color="auto" w:sz="4" w:space="0"/>
              <w:right w:val="single" w:color="auto" w:sz="4" w:space="0"/>
            </w:tcBorders>
            <w:vAlign w:val="center"/>
          </w:tcPr>
          <w:p w14:paraId="370DACF4">
            <w:pPr>
              <w:spacing w:line="360" w:lineRule="auto"/>
              <w:jc w:val="center"/>
              <w:rPr>
                <w:rFonts w:ascii="宋体" w:hAnsi="宋体"/>
                <w:szCs w:val="21"/>
              </w:rPr>
            </w:pPr>
            <w:bookmarkStart w:id="41" w:name="_5"/>
            <w:bookmarkEnd w:id="41"/>
            <w:bookmarkStart w:id="42" w:name="_8.1"/>
            <w:bookmarkEnd w:id="42"/>
            <w:bookmarkStart w:id="43" w:name="_9.2"/>
            <w:bookmarkEnd w:id="43"/>
            <w:r>
              <w:rPr>
                <w:rFonts w:hint="eastAsia" w:ascii="宋体" w:hAnsi="宋体"/>
                <w:szCs w:val="21"/>
              </w:rPr>
              <w:t>6.1</w:t>
            </w:r>
          </w:p>
        </w:tc>
        <w:tc>
          <w:tcPr>
            <w:tcW w:w="8865" w:type="dxa"/>
            <w:tcBorders>
              <w:top w:val="single" w:color="auto" w:sz="4" w:space="0"/>
              <w:left w:val="single" w:color="auto" w:sz="4" w:space="0"/>
              <w:bottom w:val="single" w:color="auto" w:sz="4" w:space="0"/>
              <w:right w:val="single" w:color="auto" w:sz="4" w:space="0"/>
            </w:tcBorders>
            <w:vAlign w:val="center"/>
          </w:tcPr>
          <w:p w14:paraId="78600672">
            <w:pPr>
              <w:pStyle w:val="9"/>
              <w:spacing w:line="360" w:lineRule="auto"/>
              <w:rPr>
                <w:rFonts w:ascii="宋体" w:hAnsi="宋体"/>
                <w:szCs w:val="21"/>
              </w:rPr>
            </w:pPr>
            <w:r>
              <w:rPr>
                <w:rFonts w:hint="eastAsia" w:ascii="宋体" w:hAnsi="宋体"/>
                <w:szCs w:val="21"/>
              </w:rPr>
              <w:t>本项目是否接受联合体投标：详见招标公告。</w:t>
            </w:r>
          </w:p>
        </w:tc>
      </w:tr>
      <w:tr w14:paraId="2A7C27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995" w:type="dxa"/>
            <w:tcBorders>
              <w:top w:val="single" w:color="auto" w:sz="4" w:space="0"/>
              <w:left w:val="single" w:color="auto" w:sz="4" w:space="0"/>
              <w:bottom w:val="single" w:color="auto" w:sz="4" w:space="0"/>
              <w:right w:val="single" w:color="auto" w:sz="4" w:space="0"/>
            </w:tcBorders>
            <w:vAlign w:val="center"/>
          </w:tcPr>
          <w:p w14:paraId="1BCB3C8A">
            <w:pPr>
              <w:spacing w:line="360" w:lineRule="auto"/>
              <w:jc w:val="center"/>
              <w:rPr>
                <w:rFonts w:ascii="宋体" w:hAnsi="宋体"/>
                <w:szCs w:val="21"/>
              </w:rPr>
            </w:pPr>
            <w:r>
              <w:rPr>
                <w:rFonts w:ascii="宋体" w:hAnsi="宋体"/>
                <w:szCs w:val="21"/>
              </w:rPr>
              <w:t>6.2</w:t>
            </w:r>
          </w:p>
        </w:tc>
        <w:tc>
          <w:tcPr>
            <w:tcW w:w="8865" w:type="dxa"/>
            <w:tcBorders>
              <w:top w:val="single" w:color="auto" w:sz="4" w:space="0"/>
              <w:left w:val="single" w:color="auto" w:sz="4" w:space="0"/>
              <w:bottom w:val="single" w:color="auto" w:sz="4" w:space="0"/>
              <w:right w:val="single" w:color="auto" w:sz="4" w:space="0"/>
            </w:tcBorders>
            <w:vAlign w:val="center"/>
          </w:tcPr>
          <w:p w14:paraId="6E9AFFF9">
            <w:pPr>
              <w:pStyle w:val="9"/>
              <w:spacing w:line="360" w:lineRule="auto"/>
              <w:rPr>
                <w:rFonts w:ascii="宋体" w:hAnsi="宋体"/>
                <w:szCs w:val="21"/>
              </w:rPr>
            </w:pPr>
            <w:r>
              <w:rPr>
                <w:rFonts w:hint="eastAsia" w:ascii="宋体" w:hAnsi="宋体"/>
                <w:szCs w:val="21"/>
              </w:rPr>
              <w:t>联合体投标要求：无。</w:t>
            </w:r>
          </w:p>
        </w:tc>
      </w:tr>
      <w:tr w14:paraId="769037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5" w:type="dxa"/>
            <w:tcBorders>
              <w:top w:val="single" w:color="auto" w:sz="4" w:space="0"/>
              <w:left w:val="single" w:color="auto" w:sz="4" w:space="0"/>
              <w:bottom w:val="single" w:color="auto" w:sz="4" w:space="0"/>
              <w:right w:val="single" w:color="auto" w:sz="4" w:space="0"/>
            </w:tcBorders>
            <w:vAlign w:val="center"/>
          </w:tcPr>
          <w:p w14:paraId="07C1FC06">
            <w:pPr>
              <w:spacing w:line="360" w:lineRule="auto"/>
              <w:jc w:val="center"/>
              <w:rPr>
                <w:rFonts w:ascii="宋体" w:hAnsi="宋体"/>
                <w:szCs w:val="21"/>
              </w:rPr>
            </w:pPr>
            <w:r>
              <w:rPr>
                <w:rFonts w:hint="eastAsia" w:ascii="宋体" w:hAnsi="宋体"/>
                <w:szCs w:val="21"/>
              </w:rPr>
              <w:t>7.2</w:t>
            </w:r>
          </w:p>
        </w:tc>
        <w:tc>
          <w:tcPr>
            <w:tcW w:w="8865" w:type="dxa"/>
            <w:tcBorders>
              <w:top w:val="single" w:color="auto" w:sz="4" w:space="0"/>
              <w:left w:val="single" w:color="auto" w:sz="4" w:space="0"/>
              <w:bottom w:val="single" w:color="auto" w:sz="4" w:space="0"/>
              <w:right w:val="single" w:color="auto" w:sz="4" w:space="0"/>
            </w:tcBorders>
            <w:vAlign w:val="center"/>
          </w:tcPr>
          <w:p w14:paraId="755FAA32">
            <w:pPr>
              <w:pStyle w:val="9"/>
              <w:spacing w:line="360" w:lineRule="auto"/>
              <w:rPr>
                <w:rFonts w:ascii="宋体" w:hAnsi="宋体"/>
                <w:szCs w:val="21"/>
                <w:u w:val="single"/>
              </w:rPr>
            </w:pPr>
            <w:r>
              <w:rPr>
                <w:rFonts w:hint="eastAsia" w:ascii="宋体" w:hAnsi="宋体"/>
                <w:szCs w:val="21"/>
              </w:rPr>
              <w:t>☑不允许分包</w:t>
            </w:r>
          </w:p>
        </w:tc>
      </w:tr>
      <w:tr w14:paraId="3A2001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5" w:type="dxa"/>
            <w:tcBorders>
              <w:top w:val="single" w:color="auto" w:sz="4" w:space="0"/>
              <w:left w:val="single" w:color="auto" w:sz="4" w:space="0"/>
              <w:bottom w:val="single" w:color="auto" w:sz="4" w:space="0"/>
              <w:right w:val="single" w:color="auto" w:sz="4" w:space="0"/>
            </w:tcBorders>
            <w:vAlign w:val="center"/>
          </w:tcPr>
          <w:p w14:paraId="609FC8C7">
            <w:pPr>
              <w:spacing w:line="360" w:lineRule="auto"/>
              <w:jc w:val="center"/>
              <w:rPr>
                <w:rFonts w:ascii="宋体" w:hAnsi="宋体"/>
                <w:szCs w:val="21"/>
              </w:rPr>
            </w:pPr>
            <w:r>
              <w:rPr>
                <w:rFonts w:hint="eastAsia" w:ascii="宋体" w:hAnsi="宋体"/>
                <w:szCs w:val="21"/>
              </w:rPr>
              <w:t>8.1</w:t>
            </w:r>
          </w:p>
        </w:tc>
        <w:tc>
          <w:tcPr>
            <w:tcW w:w="8865" w:type="dxa"/>
            <w:tcBorders>
              <w:top w:val="single" w:color="auto" w:sz="4" w:space="0"/>
              <w:left w:val="single" w:color="auto" w:sz="4" w:space="0"/>
              <w:bottom w:val="single" w:color="auto" w:sz="4" w:space="0"/>
              <w:right w:val="single" w:color="auto" w:sz="4" w:space="0"/>
            </w:tcBorders>
            <w:vAlign w:val="center"/>
          </w:tcPr>
          <w:p w14:paraId="7D7F30DD">
            <w:pPr>
              <w:autoSpaceDE w:val="0"/>
              <w:autoSpaceDN w:val="0"/>
              <w:snapToGrid w:val="0"/>
              <w:spacing w:line="360" w:lineRule="auto"/>
              <w:textAlignment w:val="bottom"/>
              <w:rPr>
                <w:rFonts w:ascii="宋体" w:hAnsi="宋体"/>
                <w:b/>
                <w:bCs/>
                <w:szCs w:val="21"/>
              </w:rPr>
            </w:pPr>
            <w:r>
              <w:rPr>
                <w:rFonts w:hint="eastAsia" w:ascii="宋体" w:hAnsi="宋体"/>
                <w:b/>
                <w:bCs/>
                <w:szCs w:val="21"/>
              </w:rPr>
              <w:t>采用综合评分法的采购项目，提供相同品牌产品（非单一产品采购项目的，指核心产品）的不同投标人评审得分相同时，按照下列方式确定一个投标人获得中标人推荐资格：</w:t>
            </w:r>
          </w:p>
          <w:p w14:paraId="68FF9E98">
            <w:pPr>
              <w:autoSpaceDE w:val="0"/>
              <w:autoSpaceDN w:val="0"/>
              <w:snapToGrid w:val="0"/>
              <w:spacing w:line="360" w:lineRule="auto"/>
              <w:textAlignment w:val="bottom"/>
              <w:rPr>
                <w:rFonts w:ascii="宋体" w:hAnsi="宋体"/>
                <w:szCs w:val="21"/>
              </w:rPr>
            </w:pPr>
            <w:r>
              <w:rPr>
                <w:rFonts w:hint="eastAsia" w:ascii="宋体" w:hAnsi="宋体"/>
                <w:b/>
                <w:bCs/>
                <w:szCs w:val="21"/>
              </w:rPr>
              <w:t>依次按投标报价低的优先、政策分得分高的优先、技术评分高的优先、商务评分高的优先、质保期长优先、交货期短优先、故障响应时间短优先的顺序推荐；</w:t>
            </w:r>
          </w:p>
        </w:tc>
      </w:tr>
      <w:tr w14:paraId="6D0B6B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95" w:type="dxa"/>
            <w:vMerge w:val="restart"/>
            <w:tcBorders>
              <w:top w:val="single" w:color="auto" w:sz="4" w:space="0"/>
              <w:left w:val="single" w:color="auto" w:sz="4" w:space="0"/>
              <w:right w:val="single" w:color="auto" w:sz="4" w:space="0"/>
            </w:tcBorders>
            <w:vAlign w:val="center"/>
          </w:tcPr>
          <w:p w14:paraId="1D06087A">
            <w:pPr>
              <w:spacing w:line="360" w:lineRule="auto"/>
              <w:jc w:val="center"/>
              <w:rPr>
                <w:rFonts w:ascii="宋体" w:hAnsi="宋体"/>
                <w:szCs w:val="21"/>
              </w:rPr>
            </w:pPr>
            <w:r>
              <w:rPr>
                <w:rFonts w:hint="eastAsia" w:ascii="宋体" w:hAnsi="宋体"/>
                <w:szCs w:val="21"/>
              </w:rPr>
              <w:t>1</w:t>
            </w:r>
            <w:r>
              <w:rPr>
                <w:rFonts w:ascii="宋体" w:hAnsi="宋体"/>
                <w:szCs w:val="21"/>
              </w:rPr>
              <w:t>1.2</w:t>
            </w:r>
          </w:p>
        </w:tc>
        <w:tc>
          <w:tcPr>
            <w:tcW w:w="8865" w:type="dxa"/>
            <w:tcBorders>
              <w:top w:val="single" w:color="auto" w:sz="4" w:space="0"/>
              <w:left w:val="single" w:color="auto" w:sz="4" w:space="0"/>
              <w:bottom w:val="single" w:color="auto" w:sz="4" w:space="0"/>
              <w:right w:val="single" w:color="auto" w:sz="4" w:space="0"/>
            </w:tcBorders>
            <w:vAlign w:val="center"/>
          </w:tcPr>
          <w:p w14:paraId="19B88DFD">
            <w:pPr>
              <w:snapToGrid w:val="0"/>
              <w:spacing w:line="360" w:lineRule="auto"/>
              <w:rPr>
                <w:rFonts w:ascii="宋体" w:hAnsi="宋体"/>
                <w:szCs w:val="21"/>
              </w:rPr>
            </w:pPr>
            <w:r>
              <w:rPr>
                <w:rFonts w:hint="eastAsia" w:ascii="宋体" w:hAnsi="宋体"/>
                <w:szCs w:val="21"/>
              </w:rPr>
              <w:t>不组织现场考察。</w:t>
            </w:r>
          </w:p>
        </w:tc>
      </w:tr>
      <w:tr w14:paraId="279A78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995" w:type="dxa"/>
            <w:vMerge w:val="continue"/>
            <w:tcBorders>
              <w:left w:val="single" w:color="auto" w:sz="4" w:space="0"/>
              <w:bottom w:val="single" w:color="auto" w:sz="4" w:space="0"/>
              <w:right w:val="single" w:color="auto" w:sz="4" w:space="0"/>
            </w:tcBorders>
            <w:vAlign w:val="center"/>
          </w:tcPr>
          <w:p w14:paraId="6E26907A">
            <w:pPr>
              <w:spacing w:line="360" w:lineRule="auto"/>
              <w:jc w:val="center"/>
              <w:rPr>
                <w:rFonts w:ascii="宋体" w:hAnsi="宋体"/>
                <w:szCs w:val="21"/>
              </w:rPr>
            </w:pPr>
          </w:p>
        </w:tc>
        <w:tc>
          <w:tcPr>
            <w:tcW w:w="8865" w:type="dxa"/>
            <w:tcBorders>
              <w:top w:val="single" w:color="auto" w:sz="4" w:space="0"/>
              <w:left w:val="single" w:color="auto" w:sz="4" w:space="0"/>
              <w:bottom w:val="single" w:color="auto" w:sz="4" w:space="0"/>
              <w:right w:val="single" w:color="auto" w:sz="4" w:space="0"/>
            </w:tcBorders>
            <w:vAlign w:val="center"/>
          </w:tcPr>
          <w:p w14:paraId="7E6411B1">
            <w:pPr>
              <w:snapToGrid w:val="0"/>
              <w:spacing w:line="360" w:lineRule="auto"/>
              <w:rPr>
                <w:rFonts w:ascii="宋体" w:hAnsi="宋体"/>
                <w:szCs w:val="21"/>
              </w:rPr>
            </w:pPr>
            <w:r>
              <w:rPr>
                <w:rFonts w:hint="eastAsia" w:ascii="宋体" w:hAnsi="宋体"/>
                <w:szCs w:val="21"/>
              </w:rPr>
              <w:t>不组织召开开标前答疑会。</w:t>
            </w:r>
          </w:p>
        </w:tc>
      </w:tr>
      <w:tr w14:paraId="7F1233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5" w:type="dxa"/>
            <w:vMerge w:val="restart"/>
            <w:tcBorders>
              <w:top w:val="single" w:color="auto" w:sz="4" w:space="0"/>
              <w:left w:val="single" w:color="auto" w:sz="4" w:space="0"/>
              <w:right w:val="single" w:color="auto" w:sz="4" w:space="0"/>
            </w:tcBorders>
            <w:vAlign w:val="center"/>
          </w:tcPr>
          <w:p w14:paraId="2E26E59A">
            <w:pPr>
              <w:spacing w:line="360" w:lineRule="auto"/>
              <w:jc w:val="center"/>
              <w:rPr>
                <w:rFonts w:ascii="宋体" w:hAnsi="宋体"/>
                <w:szCs w:val="21"/>
              </w:rPr>
            </w:pPr>
            <w:bookmarkStart w:id="44" w:name="_13.1"/>
            <w:bookmarkEnd w:id="44"/>
            <w:r>
              <w:rPr>
                <w:rFonts w:hint="eastAsia" w:ascii="宋体" w:hAnsi="宋体"/>
                <w:szCs w:val="21"/>
              </w:rPr>
              <w:t>13</w:t>
            </w:r>
          </w:p>
        </w:tc>
        <w:tc>
          <w:tcPr>
            <w:tcW w:w="8865" w:type="dxa"/>
            <w:tcBorders>
              <w:top w:val="single" w:color="auto" w:sz="4" w:space="0"/>
              <w:left w:val="single" w:color="auto" w:sz="4" w:space="0"/>
              <w:bottom w:val="single" w:color="auto" w:sz="4" w:space="0"/>
              <w:right w:val="single" w:color="auto" w:sz="4" w:space="0"/>
            </w:tcBorders>
            <w:vAlign w:val="center"/>
          </w:tcPr>
          <w:p w14:paraId="3099E72F">
            <w:pPr>
              <w:snapToGrid w:val="0"/>
              <w:spacing w:line="360" w:lineRule="auto"/>
              <w:jc w:val="left"/>
              <w:rPr>
                <w:rFonts w:ascii="宋体" w:hAnsi="宋体" w:cs="Courier New"/>
                <w:b/>
                <w:szCs w:val="21"/>
              </w:rPr>
            </w:pPr>
            <w:r>
              <w:rPr>
                <w:rFonts w:hint="eastAsia" w:ascii="宋体" w:hAnsi="宋体" w:cs="Courier New"/>
                <w:b/>
                <w:szCs w:val="21"/>
              </w:rPr>
              <w:t>报价文件：</w:t>
            </w:r>
          </w:p>
          <w:p w14:paraId="234E6357">
            <w:pPr>
              <w:tabs>
                <w:tab w:val="left" w:pos="459"/>
              </w:tabs>
              <w:snapToGrid w:val="0"/>
              <w:spacing w:line="360" w:lineRule="auto"/>
              <w:ind w:left="420"/>
              <w:jc w:val="left"/>
              <w:rPr>
                <w:rFonts w:ascii="宋体" w:hAnsi="宋体"/>
                <w:szCs w:val="21"/>
              </w:rPr>
            </w:pPr>
            <w:r>
              <w:rPr>
                <w:rFonts w:hint="eastAsia" w:ascii="宋体" w:hAnsi="宋体"/>
                <w:szCs w:val="21"/>
              </w:rPr>
              <w:t>1.投标函（格式后附）；</w:t>
            </w:r>
            <w:r>
              <w:rPr>
                <w:rFonts w:hint="eastAsia" w:ascii="宋体" w:hAnsi="宋体"/>
                <w:b/>
                <w:szCs w:val="21"/>
              </w:rPr>
              <w:t>（必须提供，否则按无效投标处理）</w:t>
            </w:r>
          </w:p>
          <w:p w14:paraId="3630E286">
            <w:pPr>
              <w:tabs>
                <w:tab w:val="left" w:pos="459"/>
              </w:tabs>
              <w:snapToGrid w:val="0"/>
              <w:spacing w:line="360" w:lineRule="auto"/>
              <w:ind w:left="420"/>
              <w:jc w:val="left"/>
              <w:rPr>
                <w:rFonts w:ascii="宋体" w:hAnsi="宋体"/>
                <w:szCs w:val="21"/>
              </w:rPr>
            </w:pPr>
            <w:bookmarkStart w:id="45" w:name="_Hlk71299233"/>
            <w:r>
              <w:rPr>
                <w:rFonts w:hint="eastAsia" w:ascii="宋体" w:hAnsi="宋体"/>
                <w:szCs w:val="21"/>
              </w:rPr>
              <w:t>2.开标一览表</w:t>
            </w:r>
            <w:bookmarkEnd w:id="45"/>
            <w:r>
              <w:rPr>
                <w:rFonts w:hint="eastAsia" w:ascii="宋体" w:hAnsi="宋体"/>
                <w:szCs w:val="21"/>
              </w:rPr>
              <w:t>（格式后附）； （</w:t>
            </w:r>
            <w:r>
              <w:rPr>
                <w:rFonts w:hint="eastAsia" w:ascii="宋体" w:hAnsi="宋体"/>
                <w:b/>
                <w:szCs w:val="21"/>
              </w:rPr>
              <w:t>必须提供，否则按无效投标处理</w:t>
            </w:r>
            <w:r>
              <w:rPr>
                <w:rFonts w:hint="eastAsia" w:ascii="宋体" w:hAnsi="宋体"/>
                <w:szCs w:val="21"/>
              </w:rPr>
              <w:t>）</w:t>
            </w:r>
          </w:p>
          <w:p w14:paraId="4C5F50A0">
            <w:pPr>
              <w:tabs>
                <w:tab w:val="left" w:pos="459"/>
              </w:tabs>
              <w:snapToGrid w:val="0"/>
              <w:spacing w:line="360" w:lineRule="auto"/>
              <w:ind w:left="420"/>
              <w:jc w:val="left"/>
              <w:rPr>
                <w:rFonts w:ascii="宋体" w:hAnsi="宋体"/>
                <w:szCs w:val="21"/>
              </w:rPr>
            </w:pPr>
            <w:r>
              <w:rPr>
                <w:rFonts w:hint="eastAsia" w:ascii="宋体" w:hAnsi="宋体"/>
                <w:szCs w:val="21"/>
              </w:rPr>
              <w:t>3.投标人针对报价需要说明的其他文件和说明，如《中小企业声明函》 。</w:t>
            </w:r>
          </w:p>
          <w:p w14:paraId="435BD9D4">
            <w:pPr>
              <w:snapToGrid w:val="0"/>
              <w:spacing w:line="360" w:lineRule="auto"/>
              <w:ind w:firstLine="422" w:firstLineChars="200"/>
              <w:jc w:val="left"/>
              <w:rPr>
                <w:rFonts w:ascii="宋体" w:hAnsi="宋体" w:cs="宋体"/>
                <w:b/>
                <w:szCs w:val="21"/>
              </w:rPr>
            </w:pPr>
            <w:r>
              <w:rPr>
                <w:rFonts w:hint="eastAsia" w:ascii="宋体" w:hAnsi="宋体" w:cs="宋体"/>
                <w:b/>
                <w:szCs w:val="21"/>
              </w:rPr>
              <w:t>注：</w:t>
            </w:r>
            <w:r>
              <w:rPr>
                <w:rFonts w:hint="eastAsia" w:ascii="宋体" w:hAnsi="宋体"/>
                <w:b/>
                <w:bCs/>
                <w:szCs w:val="21"/>
              </w:rPr>
              <w:t>以上标明“必须提供”的材料，格式</w:t>
            </w:r>
            <w:r>
              <w:rPr>
                <w:rFonts w:hint="eastAsia" w:ascii="宋体" w:hAnsi="宋体" w:cs="宋体"/>
                <w:b/>
                <w:szCs w:val="21"/>
              </w:rPr>
              <w:t>中有要求法定代表人或者委托代理人签字的，必须按要求签字并加盖投标人电子签章</w:t>
            </w:r>
            <w:r>
              <w:rPr>
                <w:rFonts w:hint="eastAsia" w:ascii="宋体" w:hAnsi="宋体"/>
                <w:b/>
                <w:bCs/>
                <w:szCs w:val="21"/>
              </w:rPr>
              <w:t>，否则按无效投标</w:t>
            </w:r>
            <w:r>
              <w:rPr>
                <w:rFonts w:hint="eastAsia" w:ascii="宋体" w:hAnsi="宋体" w:cs="Courier New"/>
                <w:b/>
                <w:szCs w:val="21"/>
              </w:rPr>
              <w:t>处理。</w:t>
            </w:r>
            <w:r>
              <w:rPr>
                <w:rFonts w:hint="eastAsia" w:ascii="宋体" w:hAnsi="宋体" w:cs="宋体"/>
                <w:b/>
                <w:szCs w:val="21"/>
              </w:rPr>
              <w:t xml:space="preserve"> </w:t>
            </w:r>
          </w:p>
        </w:tc>
      </w:tr>
      <w:tr w14:paraId="31F5CA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5" w:type="dxa"/>
            <w:vMerge w:val="continue"/>
            <w:tcBorders>
              <w:left w:val="single" w:color="auto" w:sz="4" w:space="0"/>
              <w:right w:val="single" w:color="auto" w:sz="4" w:space="0"/>
            </w:tcBorders>
            <w:vAlign w:val="center"/>
          </w:tcPr>
          <w:p w14:paraId="18781C8A">
            <w:pPr>
              <w:spacing w:line="360" w:lineRule="auto"/>
              <w:rPr>
                <w:rFonts w:ascii="宋体" w:hAnsi="宋体"/>
                <w:szCs w:val="21"/>
              </w:rPr>
            </w:pPr>
            <w:bookmarkStart w:id="46" w:name="_13.2"/>
            <w:bookmarkEnd w:id="46"/>
          </w:p>
        </w:tc>
        <w:tc>
          <w:tcPr>
            <w:tcW w:w="8865" w:type="dxa"/>
            <w:tcBorders>
              <w:top w:val="single" w:color="auto" w:sz="4" w:space="0"/>
              <w:left w:val="single" w:color="auto" w:sz="4" w:space="0"/>
              <w:bottom w:val="single" w:color="auto" w:sz="4" w:space="0"/>
              <w:right w:val="single" w:color="auto" w:sz="4" w:space="0"/>
            </w:tcBorders>
            <w:vAlign w:val="center"/>
          </w:tcPr>
          <w:p w14:paraId="6D9EC3FB">
            <w:pPr>
              <w:snapToGrid w:val="0"/>
              <w:spacing w:line="360" w:lineRule="auto"/>
              <w:jc w:val="left"/>
              <w:rPr>
                <w:rFonts w:ascii="宋体" w:hAnsi="宋体" w:cs="Courier New"/>
                <w:b/>
                <w:szCs w:val="21"/>
              </w:rPr>
            </w:pPr>
            <w:r>
              <w:rPr>
                <w:rFonts w:hint="eastAsia" w:ascii="宋体" w:hAnsi="宋体" w:cs="Courier New"/>
                <w:b/>
                <w:szCs w:val="21"/>
              </w:rPr>
              <w:t>资格证明文件</w:t>
            </w:r>
          </w:p>
          <w:p w14:paraId="186EC10F">
            <w:pPr>
              <w:snapToGrid w:val="0"/>
              <w:spacing w:line="360" w:lineRule="auto"/>
              <w:ind w:firstLine="420" w:firstLineChars="200"/>
              <w:jc w:val="left"/>
              <w:rPr>
                <w:rFonts w:ascii="宋体" w:hAnsi="宋体" w:cs="Courier New"/>
                <w:b/>
                <w:szCs w:val="21"/>
              </w:rPr>
            </w:pPr>
            <w:r>
              <w:rPr>
                <w:rFonts w:hint="eastAsia" w:ascii="宋体" w:hAnsi="宋体"/>
                <w:szCs w:val="21"/>
              </w:rPr>
              <w:t>1.投标人为法人或者其他组织的，提供营业执照等证明文件</w:t>
            </w:r>
            <w:r>
              <w:rPr>
                <w:rFonts w:hint="eastAsia" w:ascii="宋体" w:hAnsi="宋体" w:cs="宋体"/>
                <w:szCs w:val="21"/>
              </w:rPr>
              <w:t>（如营业执照或者事业单位法人证书或者</w:t>
            </w:r>
            <w:r>
              <w:rPr>
                <w:rStyle w:val="51"/>
                <w:color w:val="auto"/>
                <w:sz w:val="21"/>
                <w:szCs w:val="21"/>
              </w:rPr>
              <w:t>执业许可证</w:t>
            </w:r>
            <w:r>
              <w:rPr>
                <w:rFonts w:hint="eastAsia" w:ascii="宋体" w:hAnsi="宋体" w:cs="宋体"/>
                <w:szCs w:val="21"/>
              </w:rPr>
              <w:t>或者登记证书等）</w:t>
            </w:r>
            <w:r>
              <w:rPr>
                <w:rFonts w:hint="eastAsia" w:ascii="宋体" w:hAnsi="宋体"/>
                <w:szCs w:val="21"/>
              </w:rPr>
              <w:t>，投标人为自然人的，提供身份证</w:t>
            </w:r>
            <w:r>
              <w:rPr>
                <w:rFonts w:hint="eastAsia" w:ascii="宋体" w:hAnsi="宋体" w:cs="宋体"/>
                <w:szCs w:val="21"/>
              </w:rPr>
              <w:t>复印件</w:t>
            </w:r>
            <w:r>
              <w:rPr>
                <w:rFonts w:hint="eastAsia" w:ascii="宋体" w:hAnsi="宋体"/>
                <w:szCs w:val="21"/>
              </w:rPr>
              <w:t>；（</w:t>
            </w:r>
            <w:r>
              <w:rPr>
                <w:rFonts w:hint="eastAsia" w:ascii="宋体" w:hAnsi="宋体"/>
                <w:b/>
                <w:szCs w:val="21"/>
              </w:rPr>
              <w:t>必须提供，否则按无效投标处理</w:t>
            </w:r>
            <w:r>
              <w:rPr>
                <w:rFonts w:hint="eastAsia" w:ascii="宋体" w:hAnsi="宋体"/>
                <w:szCs w:val="21"/>
              </w:rPr>
              <w:t>）</w:t>
            </w:r>
          </w:p>
          <w:p w14:paraId="2C660EC3">
            <w:pPr>
              <w:snapToGrid w:val="0"/>
              <w:spacing w:line="360" w:lineRule="auto"/>
              <w:ind w:firstLine="420" w:firstLineChars="200"/>
              <w:jc w:val="left"/>
              <w:rPr>
                <w:rFonts w:ascii="宋体" w:hAnsi="宋体" w:cs="Courier New"/>
                <w:b/>
                <w:szCs w:val="21"/>
              </w:rPr>
            </w:pPr>
            <w:r>
              <w:rPr>
                <w:rFonts w:hint="eastAsia" w:ascii="宋体" w:hAnsi="宋体" w:cs="宋体"/>
                <w:szCs w:val="21"/>
              </w:rPr>
              <w:t>2.投标人依法缴纳税收的相关材料（</w:t>
            </w:r>
            <w:r>
              <w:rPr>
                <w:rFonts w:hint="eastAsia" w:ascii="宋体" w:hAnsi="宋体" w:cs="宋体"/>
                <w:szCs w:val="21"/>
                <w:u w:val="single"/>
              </w:rPr>
              <w:t>2024</w:t>
            </w:r>
            <w:r>
              <w:rPr>
                <w:rFonts w:hint="eastAsia" w:ascii="宋体" w:hAnsi="宋体" w:cs="宋体"/>
                <w:szCs w:val="21"/>
              </w:rPr>
              <w:t>年</w:t>
            </w:r>
            <w:r>
              <w:rPr>
                <w:rFonts w:hint="eastAsia" w:ascii="宋体" w:hAnsi="宋体" w:cs="宋体"/>
                <w:szCs w:val="21"/>
                <w:u w:val="single"/>
                <w:lang w:val="en-US" w:eastAsia="zh-CN"/>
              </w:rPr>
              <w:t>10</w:t>
            </w:r>
            <w:r>
              <w:rPr>
                <w:rFonts w:hint="eastAsia" w:ascii="宋体" w:hAnsi="宋体" w:cs="宋体"/>
                <w:szCs w:val="21"/>
              </w:rPr>
              <w:t>月至</w:t>
            </w:r>
            <w:r>
              <w:rPr>
                <w:rFonts w:hint="eastAsia" w:ascii="宋体" w:hAnsi="宋体" w:cs="宋体"/>
                <w:szCs w:val="21"/>
                <w:u w:val="single"/>
              </w:rPr>
              <w:t>投标文件提交截止时间</w:t>
            </w:r>
            <w:r>
              <w:rPr>
                <w:rFonts w:hint="eastAsia" w:ascii="宋体" w:hAnsi="宋体" w:cs="宋体"/>
                <w:szCs w:val="21"/>
              </w:rPr>
              <w:t>内任意</w:t>
            </w:r>
            <w:r>
              <w:rPr>
                <w:rFonts w:hint="eastAsia" w:ascii="宋体" w:hAnsi="宋体" w:cs="宋体"/>
                <w:szCs w:val="21"/>
                <w:lang w:val="en-US" w:eastAsia="zh-CN"/>
              </w:rPr>
              <w:t>连续</w:t>
            </w:r>
            <w:r>
              <w:rPr>
                <w:rFonts w:hint="eastAsia" w:ascii="宋体" w:hAnsi="宋体" w:cs="宋体"/>
                <w:szCs w:val="21"/>
                <w:u w:val="single"/>
              </w:rPr>
              <w:t>3</w:t>
            </w:r>
            <w:r>
              <w:rPr>
                <w:rFonts w:hint="eastAsia" w:ascii="宋体" w:hAnsi="宋体" w:cs="宋体"/>
                <w:szCs w:val="21"/>
              </w:rPr>
              <w:t>个月的依法缴纳税收的</w:t>
            </w:r>
            <w:r>
              <w:rPr>
                <w:rFonts w:hint="eastAsia"/>
              </w:rPr>
              <w:t>证明材料</w:t>
            </w:r>
            <w:r>
              <w:rPr>
                <w:rFonts w:hint="eastAsia" w:ascii="宋体" w:hAnsi="宋体" w:cs="宋体"/>
                <w:szCs w:val="21"/>
              </w:rPr>
              <w:t>复印件；</w:t>
            </w:r>
            <w:r>
              <w:rPr>
                <w:rFonts w:hint="eastAsia" w:ascii="宋体" w:hAnsi="宋体"/>
                <w:szCs w:val="21"/>
              </w:rPr>
              <w:t>依法免税的供应商，</w:t>
            </w:r>
            <w:r>
              <w:rPr>
                <w:rFonts w:hint="eastAsia"/>
              </w:rPr>
              <w:t>必须提供符合免税条件的证明材料</w:t>
            </w:r>
            <w:r>
              <w:rPr>
                <w:rFonts w:hint="eastAsia" w:ascii="宋体" w:hAnsi="宋体"/>
                <w:szCs w:val="21"/>
              </w:rPr>
              <w:t>。</w:t>
            </w:r>
            <w:r>
              <w:rPr>
                <w:rFonts w:hint="eastAsia" w:ascii="宋体" w:hAnsi="宋体" w:cs="宋体"/>
                <w:szCs w:val="21"/>
              </w:rPr>
              <w:t>从</w:t>
            </w:r>
            <w:r>
              <w:rPr>
                <w:rFonts w:hint="eastAsia"/>
                <w:szCs w:val="21"/>
              </w:rPr>
              <w:t>成立之日</w:t>
            </w:r>
            <w:r>
              <w:rPr>
                <w:rFonts w:hint="eastAsia" w:ascii="宋体" w:hAnsi="宋体" w:cs="宋体"/>
                <w:szCs w:val="21"/>
              </w:rPr>
              <w:t>起到投标文件提交截止时间止不足要求月数的，只需提供从</w:t>
            </w:r>
            <w:r>
              <w:rPr>
                <w:rFonts w:hint="eastAsia"/>
                <w:szCs w:val="21"/>
              </w:rPr>
              <w:t>成立之日起</w:t>
            </w:r>
            <w:r>
              <w:rPr>
                <w:rFonts w:hint="eastAsia" w:ascii="宋体" w:hAnsi="宋体" w:cs="宋体"/>
                <w:szCs w:val="21"/>
              </w:rPr>
              <w:t>的依法缴纳税收</w:t>
            </w:r>
            <w:r>
              <w:rPr>
                <w:rFonts w:hint="eastAsia" w:ascii="宋体" w:hAnsi="宋体"/>
                <w:szCs w:val="21"/>
              </w:rPr>
              <w:t>相应证明文件</w:t>
            </w:r>
            <w:r>
              <w:rPr>
                <w:rFonts w:hint="eastAsia" w:ascii="宋体" w:hAnsi="宋体" w:cs="宋体"/>
                <w:szCs w:val="21"/>
              </w:rPr>
              <w:t>）</w:t>
            </w:r>
            <w:r>
              <w:rPr>
                <w:rFonts w:hint="eastAsia" w:ascii="宋体" w:hAnsi="宋体"/>
                <w:szCs w:val="21"/>
              </w:rPr>
              <w:t>；（</w:t>
            </w:r>
            <w:r>
              <w:rPr>
                <w:rFonts w:hint="eastAsia" w:ascii="宋体" w:hAnsi="宋体"/>
                <w:b/>
                <w:szCs w:val="21"/>
              </w:rPr>
              <w:t>必须提供，否则按无效投标处理</w:t>
            </w:r>
            <w:r>
              <w:rPr>
                <w:rFonts w:hint="eastAsia" w:ascii="宋体" w:hAnsi="宋体"/>
                <w:szCs w:val="21"/>
              </w:rPr>
              <w:t>）</w:t>
            </w:r>
          </w:p>
          <w:p w14:paraId="6A90BB15">
            <w:pPr>
              <w:snapToGrid w:val="0"/>
              <w:spacing w:line="360" w:lineRule="auto"/>
              <w:ind w:firstLine="420" w:firstLineChars="200"/>
              <w:jc w:val="left"/>
              <w:rPr>
                <w:rFonts w:ascii="宋体" w:hAnsi="宋体" w:cs="Courier New"/>
                <w:b/>
                <w:szCs w:val="21"/>
              </w:rPr>
            </w:pPr>
            <w:r>
              <w:rPr>
                <w:rFonts w:hint="eastAsia" w:ascii="宋体" w:hAnsi="宋体" w:cs="宋体"/>
                <w:szCs w:val="21"/>
              </w:rPr>
              <w:t>3.投标人依法缴纳社会保障资金的相关材料[</w:t>
            </w:r>
            <w:r>
              <w:rPr>
                <w:rFonts w:hint="eastAsia" w:ascii="宋体" w:hAnsi="宋体" w:cs="宋体"/>
                <w:szCs w:val="21"/>
                <w:u w:val="single"/>
              </w:rPr>
              <w:t>2024</w:t>
            </w:r>
            <w:r>
              <w:rPr>
                <w:rFonts w:hint="eastAsia" w:ascii="宋体" w:hAnsi="宋体" w:cs="宋体"/>
                <w:szCs w:val="21"/>
              </w:rPr>
              <w:t>年</w:t>
            </w:r>
            <w:r>
              <w:rPr>
                <w:rFonts w:hint="eastAsia" w:ascii="宋体" w:hAnsi="宋体" w:cs="宋体"/>
                <w:szCs w:val="21"/>
                <w:u w:val="single"/>
                <w:lang w:val="en-US" w:eastAsia="zh-CN"/>
              </w:rPr>
              <w:t>10</w:t>
            </w:r>
            <w:r>
              <w:rPr>
                <w:rFonts w:hint="eastAsia" w:ascii="宋体" w:hAnsi="宋体" w:cs="宋体"/>
                <w:szCs w:val="21"/>
              </w:rPr>
              <w:t>月至</w:t>
            </w:r>
            <w:r>
              <w:rPr>
                <w:rFonts w:hint="eastAsia" w:ascii="宋体" w:hAnsi="宋体" w:cs="宋体"/>
                <w:szCs w:val="21"/>
                <w:u w:val="single"/>
              </w:rPr>
              <w:t>投标文件提交截止时间</w:t>
            </w:r>
            <w:r>
              <w:rPr>
                <w:rFonts w:hint="eastAsia" w:ascii="宋体" w:hAnsi="宋体" w:cs="宋体"/>
                <w:szCs w:val="21"/>
              </w:rPr>
              <w:t>内任意</w:t>
            </w:r>
            <w:r>
              <w:rPr>
                <w:rFonts w:hint="eastAsia" w:ascii="宋体" w:hAnsi="宋体" w:cs="宋体"/>
                <w:szCs w:val="21"/>
                <w:lang w:val="en-US" w:eastAsia="zh-CN"/>
              </w:rPr>
              <w:t>连续</w:t>
            </w:r>
            <w:r>
              <w:rPr>
                <w:rFonts w:hint="eastAsia" w:ascii="宋体" w:hAnsi="宋体" w:cs="宋体"/>
                <w:szCs w:val="21"/>
                <w:u w:val="single"/>
              </w:rPr>
              <w:t>3</w:t>
            </w:r>
            <w:r>
              <w:rPr>
                <w:rFonts w:hint="eastAsia" w:ascii="宋体" w:hAnsi="宋体" w:cs="宋体"/>
                <w:szCs w:val="21"/>
              </w:rPr>
              <w:t>个月的依法缴纳社会保障资金的缴费</w:t>
            </w:r>
            <w:r>
              <w:rPr>
                <w:rFonts w:hint="eastAsia"/>
              </w:rPr>
              <w:t>证明材料</w:t>
            </w:r>
            <w:r>
              <w:rPr>
                <w:rFonts w:hint="eastAsia" w:ascii="宋体" w:hAnsi="宋体" w:cs="宋体"/>
                <w:szCs w:val="21"/>
              </w:rPr>
              <w:t>（</w:t>
            </w:r>
            <w:r>
              <w:rPr>
                <w:rFonts w:hint="eastAsia"/>
              </w:rPr>
              <w:t>如：</w:t>
            </w:r>
            <w:r>
              <w:rPr>
                <w:rFonts w:hint="eastAsia" w:ascii="宋体" w:hAnsi="宋体" w:cs="宋体"/>
                <w:szCs w:val="21"/>
              </w:rPr>
              <w:t>专用收据、社会保险缴纳清单或者社保部门的证明）复印件；</w:t>
            </w:r>
            <w:r>
              <w:rPr>
                <w:rFonts w:hint="eastAsia" w:ascii="宋体" w:hAnsi="宋体"/>
                <w:szCs w:val="21"/>
              </w:rPr>
              <w:t>依法不需要缴纳社会保障资金的供应商，必须提供相应文件证明不需要缴纳社会保障资金。</w:t>
            </w:r>
            <w:r>
              <w:rPr>
                <w:rFonts w:hint="eastAsia" w:ascii="宋体" w:hAnsi="宋体" w:cs="宋体"/>
                <w:szCs w:val="21"/>
              </w:rPr>
              <w:t>从</w:t>
            </w:r>
            <w:r>
              <w:rPr>
                <w:rFonts w:hint="eastAsia"/>
                <w:szCs w:val="21"/>
              </w:rPr>
              <w:t>成立之日起</w:t>
            </w:r>
            <w:r>
              <w:rPr>
                <w:rFonts w:hint="eastAsia" w:ascii="宋体" w:hAnsi="宋体" w:cs="宋体"/>
                <w:szCs w:val="21"/>
              </w:rPr>
              <w:t>到投标文件提交截止时间止不足要求月数的只需提供从</w:t>
            </w:r>
            <w:r>
              <w:rPr>
                <w:rFonts w:hint="eastAsia"/>
                <w:szCs w:val="21"/>
              </w:rPr>
              <w:t>成立之日起</w:t>
            </w:r>
            <w:r>
              <w:rPr>
                <w:rFonts w:hint="eastAsia" w:ascii="宋体" w:hAnsi="宋体" w:cs="宋体"/>
                <w:szCs w:val="21"/>
              </w:rPr>
              <w:t>的依法缴纳社会保障资金的</w:t>
            </w:r>
            <w:r>
              <w:rPr>
                <w:rFonts w:hint="eastAsia" w:ascii="宋体" w:hAnsi="宋体"/>
                <w:szCs w:val="21"/>
              </w:rPr>
              <w:t>相应证明文件</w:t>
            </w:r>
            <w:r>
              <w:rPr>
                <w:rFonts w:hint="eastAsia" w:ascii="宋体" w:hAnsi="宋体" w:cs="宋体"/>
                <w:szCs w:val="21"/>
              </w:rPr>
              <w:t>]</w:t>
            </w:r>
            <w:r>
              <w:rPr>
                <w:rFonts w:hint="eastAsia" w:ascii="宋体" w:hAnsi="宋体"/>
                <w:szCs w:val="21"/>
              </w:rPr>
              <w:t>；（</w:t>
            </w:r>
            <w:r>
              <w:rPr>
                <w:rFonts w:hint="eastAsia" w:ascii="宋体" w:hAnsi="宋体"/>
                <w:b/>
                <w:szCs w:val="21"/>
              </w:rPr>
              <w:t>必须提供，否则按无效投标处理</w:t>
            </w:r>
            <w:r>
              <w:rPr>
                <w:rFonts w:hint="eastAsia" w:ascii="宋体" w:hAnsi="宋体"/>
                <w:szCs w:val="21"/>
              </w:rPr>
              <w:t>）</w:t>
            </w:r>
          </w:p>
          <w:p w14:paraId="408CAC07">
            <w:pPr>
              <w:snapToGrid w:val="0"/>
              <w:spacing w:line="360" w:lineRule="auto"/>
              <w:ind w:firstLine="420" w:firstLineChars="200"/>
              <w:jc w:val="left"/>
              <w:rPr>
                <w:rFonts w:ascii="宋体" w:hAnsi="宋体" w:cs="Courier New"/>
                <w:b/>
                <w:szCs w:val="21"/>
              </w:rPr>
            </w:pPr>
            <w:r>
              <w:rPr>
                <w:rFonts w:hint="eastAsia" w:ascii="宋体" w:hAnsi="宋体" w:cs="宋体"/>
                <w:szCs w:val="21"/>
              </w:rPr>
              <w:t>4.投标人</w:t>
            </w:r>
            <w:r>
              <w:rPr>
                <w:rFonts w:hint="eastAsia"/>
                <w:szCs w:val="21"/>
              </w:rPr>
              <w:t>财务状况报告</w:t>
            </w:r>
            <w:r>
              <w:rPr>
                <w:rFonts w:hint="eastAsia" w:ascii="宋体" w:hAnsi="宋体"/>
                <w:szCs w:val="21"/>
              </w:rPr>
              <w:t>[</w:t>
            </w:r>
            <w:r>
              <w:rPr>
                <w:rFonts w:hint="eastAsia" w:ascii="宋体" w:hAnsi="宋体"/>
                <w:szCs w:val="21"/>
                <w:u w:val="single"/>
              </w:rPr>
              <w:t>2023</w:t>
            </w:r>
            <w:r>
              <w:rPr>
                <w:rFonts w:hint="eastAsia" w:ascii="宋体" w:hAnsi="宋体"/>
                <w:szCs w:val="21"/>
              </w:rPr>
              <w:t>年</w:t>
            </w:r>
            <w:r>
              <w:rPr>
                <w:rFonts w:hint="eastAsia" w:ascii="宋体" w:hAnsi="宋体"/>
                <w:szCs w:val="21"/>
                <w:lang w:val="en-US" w:eastAsia="zh-CN"/>
              </w:rPr>
              <w:t>或</w:t>
            </w:r>
            <w:r>
              <w:rPr>
                <w:rFonts w:hint="eastAsia" w:ascii="宋体" w:hAnsi="宋体"/>
                <w:szCs w:val="21"/>
                <w:u w:val="single"/>
                <w:lang w:val="en-US" w:eastAsia="zh-CN"/>
              </w:rPr>
              <w:t>2024</w:t>
            </w:r>
            <w:r>
              <w:rPr>
                <w:rFonts w:hint="eastAsia" w:ascii="宋体" w:hAnsi="宋体"/>
                <w:szCs w:val="21"/>
                <w:lang w:val="en-US" w:eastAsia="zh-CN"/>
              </w:rPr>
              <w:t>年</w:t>
            </w:r>
            <w:r>
              <w:rPr>
                <w:rFonts w:hint="eastAsia" w:ascii="宋体" w:hAnsi="宋体"/>
                <w:szCs w:val="21"/>
              </w:rPr>
              <w:t>财务状况报告复印件【可以是财务报表(包括资产负债表</w:t>
            </w:r>
            <w:r>
              <w:rPr>
                <w:rFonts w:hint="eastAsia" w:ascii="宋体" w:hAnsi="宋体"/>
                <w:szCs w:val="21"/>
                <w:lang w:eastAsia="zh-CN"/>
              </w:rPr>
              <w:t>、</w:t>
            </w:r>
            <w:r>
              <w:rPr>
                <w:rFonts w:hint="eastAsia" w:ascii="宋体" w:hAnsi="宋体"/>
                <w:szCs w:val="21"/>
              </w:rPr>
              <w:t>利润表、现金流量表)或银行出具的资信证明或第三方审计报告等证明材料(202</w:t>
            </w:r>
            <w:r>
              <w:rPr>
                <w:rFonts w:hint="default" w:ascii="宋体" w:hAnsi="宋体"/>
                <w:szCs w:val="21"/>
              </w:rPr>
              <w:t>5</w:t>
            </w:r>
            <w:r>
              <w:rPr>
                <w:rFonts w:hint="eastAsia" w:ascii="宋体" w:hAnsi="宋体"/>
                <w:szCs w:val="21"/>
              </w:rPr>
              <w:t>年新成立的投标人按实际情况提供)。（</w:t>
            </w:r>
            <w:r>
              <w:rPr>
                <w:rFonts w:hint="eastAsia" w:ascii="宋体" w:hAnsi="宋体"/>
                <w:b/>
                <w:szCs w:val="21"/>
              </w:rPr>
              <w:t>必须提供，否则按无效投标处理</w:t>
            </w:r>
            <w:r>
              <w:rPr>
                <w:rFonts w:hint="eastAsia" w:ascii="宋体" w:hAnsi="宋体"/>
                <w:szCs w:val="21"/>
              </w:rPr>
              <w:t>）</w:t>
            </w:r>
          </w:p>
          <w:p w14:paraId="700B6B2D">
            <w:pPr>
              <w:snapToGrid w:val="0"/>
              <w:spacing w:line="360" w:lineRule="auto"/>
              <w:ind w:firstLine="420" w:firstLineChars="200"/>
              <w:jc w:val="left"/>
              <w:rPr>
                <w:rFonts w:ascii="宋体" w:hAnsi="宋体"/>
                <w:szCs w:val="21"/>
              </w:rPr>
            </w:pPr>
            <w:r>
              <w:rPr>
                <w:rFonts w:hint="eastAsia" w:ascii="宋体" w:hAnsi="宋体"/>
                <w:szCs w:val="21"/>
              </w:rPr>
              <w:t>5.投标人直接控股股东信息表（格式后附）；（</w:t>
            </w:r>
            <w:r>
              <w:rPr>
                <w:rFonts w:hint="eastAsia" w:ascii="宋体" w:hAnsi="宋体"/>
                <w:b/>
                <w:szCs w:val="21"/>
              </w:rPr>
              <w:t>必须提供，否则按无效投标处理</w:t>
            </w:r>
            <w:r>
              <w:rPr>
                <w:rFonts w:hint="eastAsia" w:ascii="宋体" w:hAnsi="宋体"/>
                <w:szCs w:val="21"/>
              </w:rPr>
              <w:t>）</w:t>
            </w:r>
          </w:p>
          <w:p w14:paraId="4FACE5F1">
            <w:pPr>
              <w:snapToGrid w:val="0"/>
              <w:spacing w:line="360" w:lineRule="auto"/>
              <w:ind w:firstLine="420" w:firstLineChars="200"/>
              <w:jc w:val="left"/>
              <w:rPr>
                <w:rFonts w:ascii="宋体" w:hAnsi="宋体"/>
                <w:szCs w:val="21"/>
              </w:rPr>
            </w:pPr>
            <w:r>
              <w:rPr>
                <w:rFonts w:hint="eastAsia" w:ascii="宋体" w:hAnsi="宋体"/>
                <w:szCs w:val="21"/>
              </w:rPr>
              <w:t>6.投标人直接管理关系信息表（格式后附）；（</w:t>
            </w:r>
            <w:r>
              <w:rPr>
                <w:rFonts w:hint="eastAsia" w:ascii="宋体" w:hAnsi="宋体"/>
                <w:b/>
                <w:szCs w:val="21"/>
              </w:rPr>
              <w:t>必须提供，否则按无效投标处理</w:t>
            </w:r>
            <w:r>
              <w:rPr>
                <w:rFonts w:hint="eastAsia" w:ascii="宋体" w:hAnsi="宋体"/>
                <w:szCs w:val="21"/>
              </w:rPr>
              <w:t>）</w:t>
            </w:r>
          </w:p>
          <w:p w14:paraId="7A37AC99">
            <w:pPr>
              <w:snapToGrid w:val="0"/>
              <w:spacing w:line="360" w:lineRule="auto"/>
              <w:ind w:firstLine="420" w:firstLineChars="200"/>
              <w:jc w:val="left"/>
              <w:rPr>
                <w:rFonts w:ascii="宋体" w:hAnsi="宋体" w:cs="Courier New"/>
                <w:b/>
                <w:szCs w:val="21"/>
              </w:rPr>
            </w:pPr>
            <w:r>
              <w:rPr>
                <w:rFonts w:hint="eastAsia" w:ascii="宋体" w:hAnsi="宋体"/>
                <w:szCs w:val="21"/>
              </w:rPr>
              <w:t>7.投标声明（格式后附）；（</w:t>
            </w:r>
            <w:r>
              <w:rPr>
                <w:rFonts w:hint="eastAsia" w:ascii="宋体" w:hAnsi="宋体"/>
                <w:b/>
                <w:szCs w:val="21"/>
              </w:rPr>
              <w:t>必须提供，否则按无效投标处理</w:t>
            </w:r>
            <w:r>
              <w:rPr>
                <w:rFonts w:hint="eastAsia" w:ascii="宋体" w:hAnsi="宋体"/>
                <w:szCs w:val="21"/>
              </w:rPr>
              <w:t>）</w:t>
            </w:r>
          </w:p>
          <w:p w14:paraId="63ECC4CE">
            <w:pPr>
              <w:snapToGrid w:val="0"/>
              <w:spacing w:line="360" w:lineRule="auto"/>
              <w:ind w:firstLine="420" w:firstLineChars="200"/>
              <w:jc w:val="left"/>
              <w:rPr>
                <w:rFonts w:hint="eastAsia" w:ascii="宋体" w:hAnsi="宋体" w:eastAsia="宋体"/>
                <w:szCs w:val="21"/>
                <w:lang w:eastAsia="zh-CN"/>
              </w:rPr>
            </w:pPr>
            <w:r>
              <w:rPr>
                <w:rFonts w:hint="eastAsia" w:ascii="宋体" w:hAnsi="宋体"/>
                <w:szCs w:val="21"/>
              </w:rPr>
              <w:t>8.除招标文件规定必须提供以外，投标人认为需要提供的其他证明材料。</w:t>
            </w:r>
            <w:r>
              <w:rPr>
                <w:rFonts w:hint="eastAsia" w:ascii="宋体" w:hAnsi="宋体"/>
                <w:b/>
                <w:bCs/>
                <w:szCs w:val="21"/>
                <w:lang w:eastAsia="zh-CN"/>
              </w:rPr>
              <w:t>（</w:t>
            </w:r>
            <w:r>
              <w:rPr>
                <w:rFonts w:hint="eastAsia" w:ascii="宋体" w:hAnsi="宋体"/>
                <w:b/>
                <w:bCs/>
                <w:szCs w:val="21"/>
                <w:lang w:val="en-US" w:eastAsia="zh-CN"/>
              </w:rPr>
              <w:t>如有，请提供</w:t>
            </w:r>
            <w:r>
              <w:rPr>
                <w:rFonts w:hint="eastAsia" w:ascii="宋体" w:hAnsi="宋体"/>
                <w:b/>
                <w:bCs/>
                <w:szCs w:val="21"/>
                <w:lang w:eastAsia="zh-CN"/>
              </w:rPr>
              <w:t>）</w:t>
            </w:r>
          </w:p>
          <w:p w14:paraId="2D34428A">
            <w:pPr>
              <w:snapToGrid w:val="0"/>
              <w:spacing w:line="360" w:lineRule="auto"/>
              <w:jc w:val="left"/>
              <w:rPr>
                <w:rFonts w:ascii="宋体" w:hAnsi="宋体"/>
                <w:b/>
                <w:bCs/>
                <w:szCs w:val="21"/>
              </w:rPr>
            </w:pPr>
            <w:r>
              <w:rPr>
                <w:rFonts w:hint="eastAsia" w:ascii="宋体" w:hAnsi="宋体"/>
                <w:b/>
                <w:bCs/>
                <w:szCs w:val="21"/>
              </w:rPr>
              <w:t>注：以上标明“必须提供”的材料，格式</w:t>
            </w:r>
            <w:r>
              <w:rPr>
                <w:rFonts w:hint="eastAsia" w:ascii="宋体" w:hAnsi="宋体" w:cs="宋体"/>
                <w:b/>
                <w:szCs w:val="21"/>
              </w:rPr>
              <w:t>中有要求法定代表人或者委托代理人签字的，必须按要求签字并加盖投标人电子签章</w:t>
            </w:r>
            <w:r>
              <w:rPr>
                <w:rFonts w:hint="eastAsia" w:ascii="宋体" w:hAnsi="宋体"/>
                <w:b/>
                <w:bCs/>
                <w:szCs w:val="21"/>
              </w:rPr>
              <w:t>，否则按无效投标</w:t>
            </w:r>
            <w:r>
              <w:rPr>
                <w:rFonts w:hint="eastAsia" w:ascii="宋体" w:hAnsi="宋体" w:cs="Courier New"/>
                <w:b/>
                <w:szCs w:val="21"/>
              </w:rPr>
              <w:t>处理。</w:t>
            </w:r>
          </w:p>
        </w:tc>
      </w:tr>
      <w:tr w14:paraId="70D65E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5" w:type="dxa"/>
            <w:vMerge w:val="continue"/>
            <w:tcBorders>
              <w:left w:val="single" w:color="auto" w:sz="4" w:space="0"/>
              <w:right w:val="single" w:color="auto" w:sz="4" w:space="0"/>
            </w:tcBorders>
            <w:vAlign w:val="center"/>
          </w:tcPr>
          <w:p w14:paraId="3E7306BF">
            <w:pPr>
              <w:spacing w:line="360" w:lineRule="auto"/>
              <w:rPr>
                <w:rFonts w:ascii="宋体" w:hAnsi="宋体"/>
                <w:szCs w:val="21"/>
              </w:rPr>
            </w:pPr>
            <w:bookmarkStart w:id="47" w:name="_13.3"/>
            <w:bookmarkEnd w:id="47"/>
          </w:p>
        </w:tc>
        <w:tc>
          <w:tcPr>
            <w:tcW w:w="8865" w:type="dxa"/>
            <w:tcBorders>
              <w:top w:val="single" w:color="auto" w:sz="4" w:space="0"/>
              <w:left w:val="single" w:color="auto" w:sz="4" w:space="0"/>
              <w:bottom w:val="single" w:color="auto" w:sz="4" w:space="0"/>
              <w:right w:val="single" w:color="auto" w:sz="4" w:space="0"/>
            </w:tcBorders>
            <w:vAlign w:val="center"/>
          </w:tcPr>
          <w:p w14:paraId="1A087087">
            <w:pPr>
              <w:snapToGrid w:val="0"/>
              <w:spacing w:line="360" w:lineRule="auto"/>
              <w:jc w:val="left"/>
              <w:rPr>
                <w:rFonts w:ascii="宋体" w:hAnsi="宋体" w:cs="Courier New"/>
                <w:b/>
                <w:szCs w:val="21"/>
              </w:rPr>
            </w:pPr>
            <w:r>
              <w:rPr>
                <w:rFonts w:hint="eastAsia"/>
                <w:b/>
                <w:kern w:val="0"/>
              </w:rPr>
              <w:t>商务及技术文件</w:t>
            </w:r>
            <w:r>
              <w:rPr>
                <w:rFonts w:hint="eastAsia" w:ascii="宋体" w:hAnsi="宋体" w:cs="Courier New"/>
                <w:b/>
                <w:szCs w:val="21"/>
              </w:rPr>
              <w:t>：</w:t>
            </w:r>
          </w:p>
          <w:p w14:paraId="1AEF3F50">
            <w:pPr>
              <w:snapToGrid w:val="0"/>
              <w:spacing w:line="360" w:lineRule="auto"/>
              <w:ind w:left="413"/>
              <w:jc w:val="left"/>
              <w:rPr>
                <w:rFonts w:ascii="宋体" w:hAnsi="宋体"/>
                <w:szCs w:val="21"/>
              </w:rPr>
            </w:pPr>
            <w:r>
              <w:rPr>
                <w:rFonts w:hint="eastAsia" w:ascii="宋体" w:hAnsi="宋体"/>
                <w:szCs w:val="21"/>
              </w:rPr>
              <w:t>1.无串通投标行为的承诺函（格式后附）；（</w:t>
            </w:r>
            <w:r>
              <w:rPr>
                <w:rFonts w:hint="eastAsia" w:ascii="宋体" w:hAnsi="宋体"/>
                <w:b/>
                <w:szCs w:val="21"/>
              </w:rPr>
              <w:t>必须提供，否则按无效投标处理</w:t>
            </w:r>
            <w:r>
              <w:rPr>
                <w:rFonts w:hint="eastAsia" w:ascii="宋体" w:hAnsi="宋体"/>
                <w:szCs w:val="21"/>
              </w:rPr>
              <w:t>）</w:t>
            </w:r>
          </w:p>
          <w:p w14:paraId="3DB9E066">
            <w:pPr>
              <w:snapToGrid w:val="0"/>
              <w:spacing w:line="360" w:lineRule="auto"/>
              <w:ind w:left="413"/>
              <w:jc w:val="left"/>
              <w:rPr>
                <w:rFonts w:ascii="宋体" w:hAnsi="宋体"/>
                <w:szCs w:val="21"/>
              </w:rPr>
            </w:pPr>
            <w:r>
              <w:rPr>
                <w:rFonts w:hint="eastAsia" w:ascii="宋体" w:hAnsi="宋体"/>
                <w:szCs w:val="21"/>
              </w:rPr>
              <w:t>2.法定代表人身份证明及法定代表人有效身份证正反面复印件（格式后附）；（</w:t>
            </w:r>
            <w:r>
              <w:rPr>
                <w:rFonts w:hint="eastAsia" w:ascii="宋体" w:hAnsi="宋体" w:cs="宋体"/>
                <w:b/>
                <w:bCs/>
                <w:szCs w:val="21"/>
              </w:rPr>
              <w:t>除自然人投标外</w:t>
            </w:r>
            <w:r>
              <w:rPr>
                <w:rFonts w:hint="eastAsia" w:ascii="宋体" w:hAnsi="宋体"/>
                <w:b/>
                <w:szCs w:val="21"/>
              </w:rPr>
              <w:t>必须提供，否则按无效投标处理</w:t>
            </w:r>
            <w:r>
              <w:rPr>
                <w:rFonts w:hint="eastAsia" w:ascii="宋体" w:hAnsi="宋体"/>
                <w:szCs w:val="21"/>
              </w:rPr>
              <w:t>）</w:t>
            </w:r>
          </w:p>
          <w:p w14:paraId="4EA9DE17">
            <w:pPr>
              <w:snapToGrid w:val="0"/>
              <w:spacing w:line="360" w:lineRule="auto"/>
              <w:ind w:left="413"/>
              <w:jc w:val="left"/>
              <w:rPr>
                <w:rFonts w:ascii="宋体" w:hAnsi="宋体"/>
                <w:szCs w:val="21"/>
              </w:rPr>
            </w:pPr>
            <w:r>
              <w:rPr>
                <w:rFonts w:hint="eastAsia" w:ascii="宋体" w:hAnsi="宋体"/>
                <w:szCs w:val="21"/>
              </w:rPr>
              <w:t>3.授权委托书及委托代理人有效身份证正反面复印件（格式后附）；（</w:t>
            </w:r>
            <w:r>
              <w:rPr>
                <w:rFonts w:hint="eastAsia" w:ascii="宋体" w:hAnsi="宋体"/>
                <w:b/>
                <w:szCs w:val="21"/>
              </w:rPr>
              <w:t>委托时必须提供，否则按无效投标处理</w:t>
            </w:r>
            <w:r>
              <w:rPr>
                <w:rFonts w:hint="eastAsia" w:ascii="宋体" w:hAnsi="宋体"/>
                <w:szCs w:val="21"/>
              </w:rPr>
              <w:t>）</w:t>
            </w:r>
          </w:p>
          <w:p w14:paraId="29167654">
            <w:pPr>
              <w:snapToGrid w:val="0"/>
              <w:spacing w:line="360" w:lineRule="auto"/>
              <w:ind w:left="413"/>
              <w:jc w:val="left"/>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商务要求偏离表（格式后附）；（</w:t>
            </w:r>
            <w:r>
              <w:rPr>
                <w:rFonts w:hint="eastAsia" w:ascii="宋体" w:hAnsi="宋体"/>
                <w:b/>
                <w:szCs w:val="21"/>
              </w:rPr>
              <w:t>必须提供，否则按无效投标处理</w:t>
            </w:r>
            <w:r>
              <w:rPr>
                <w:rFonts w:hint="eastAsia" w:ascii="宋体" w:hAnsi="宋体"/>
                <w:szCs w:val="21"/>
              </w:rPr>
              <w:t>）</w:t>
            </w:r>
          </w:p>
          <w:p w14:paraId="352C52DE">
            <w:pPr>
              <w:snapToGrid w:val="0"/>
              <w:spacing w:line="360" w:lineRule="auto"/>
              <w:ind w:left="413"/>
              <w:jc w:val="left"/>
              <w:rPr>
                <w:rFonts w:ascii="宋体" w:hAnsi="宋体"/>
                <w:szCs w:val="21"/>
              </w:rPr>
            </w:pPr>
            <w:r>
              <w:rPr>
                <w:rFonts w:hint="eastAsia" w:ascii="宋体" w:hAnsi="宋体"/>
                <w:szCs w:val="21"/>
              </w:rPr>
              <w:t>5.售后服务承诺（格式自拟）；（</w:t>
            </w:r>
            <w:r>
              <w:rPr>
                <w:rFonts w:hint="eastAsia" w:ascii="宋体" w:hAnsi="宋体"/>
                <w:b/>
                <w:szCs w:val="21"/>
              </w:rPr>
              <w:t>必须提供，否则按无效投标处理</w:t>
            </w:r>
            <w:r>
              <w:rPr>
                <w:rFonts w:hint="eastAsia" w:ascii="宋体" w:hAnsi="宋体"/>
                <w:szCs w:val="21"/>
              </w:rPr>
              <w:t>）</w:t>
            </w:r>
          </w:p>
          <w:p w14:paraId="6583D227">
            <w:pPr>
              <w:snapToGrid w:val="0"/>
              <w:spacing w:line="360" w:lineRule="auto"/>
              <w:ind w:left="420"/>
              <w:jc w:val="left"/>
              <w:rPr>
                <w:rFonts w:ascii="宋体" w:hAnsi="宋体"/>
                <w:szCs w:val="21"/>
              </w:rPr>
            </w:pPr>
            <w:r>
              <w:rPr>
                <w:rFonts w:hint="eastAsia" w:ascii="宋体" w:hAnsi="宋体"/>
                <w:szCs w:val="21"/>
              </w:rPr>
              <w:t>6.设备性能配置清单（格式后附）；（</w:t>
            </w:r>
            <w:r>
              <w:rPr>
                <w:rFonts w:hint="eastAsia" w:ascii="宋体" w:hAnsi="宋体"/>
                <w:b/>
                <w:szCs w:val="21"/>
              </w:rPr>
              <w:t>必须提供，否则按无效投标处理</w:t>
            </w:r>
            <w:r>
              <w:rPr>
                <w:rFonts w:hint="eastAsia" w:ascii="宋体" w:hAnsi="宋体"/>
                <w:szCs w:val="21"/>
              </w:rPr>
              <w:t>）</w:t>
            </w:r>
          </w:p>
          <w:p w14:paraId="52528A50">
            <w:pPr>
              <w:snapToGrid w:val="0"/>
              <w:spacing w:line="360" w:lineRule="auto"/>
              <w:ind w:left="420"/>
              <w:jc w:val="left"/>
              <w:rPr>
                <w:rFonts w:ascii="宋体" w:hAnsi="宋体"/>
                <w:szCs w:val="21"/>
              </w:rPr>
            </w:pPr>
            <w:r>
              <w:rPr>
                <w:rFonts w:hint="eastAsia" w:ascii="宋体" w:hAnsi="宋体"/>
                <w:szCs w:val="21"/>
              </w:rPr>
              <w:t>7.技术要求偏离表（格式后附）；（</w:t>
            </w:r>
            <w:r>
              <w:rPr>
                <w:rFonts w:hint="eastAsia" w:ascii="宋体" w:hAnsi="宋体"/>
                <w:b/>
                <w:szCs w:val="21"/>
              </w:rPr>
              <w:t>必须提供，否则按无效投标处理</w:t>
            </w:r>
            <w:r>
              <w:rPr>
                <w:rFonts w:hint="eastAsia" w:ascii="宋体" w:hAnsi="宋体"/>
                <w:szCs w:val="21"/>
              </w:rPr>
              <w:t>）</w:t>
            </w:r>
          </w:p>
          <w:p w14:paraId="3F4254DB">
            <w:pPr>
              <w:snapToGrid w:val="0"/>
              <w:spacing w:line="360" w:lineRule="auto"/>
              <w:ind w:left="420"/>
              <w:jc w:val="left"/>
              <w:rPr>
                <w:rFonts w:ascii="宋体" w:hAnsi="宋体"/>
                <w:szCs w:val="21"/>
              </w:rPr>
            </w:pPr>
            <w:r>
              <w:rPr>
                <w:rFonts w:hint="eastAsia" w:ascii="宋体" w:hAnsi="宋体"/>
                <w:szCs w:val="21"/>
              </w:rPr>
              <w:t>8.项目实施方案（格式自拟）；[项目前期准备、项目实施计划（项目实施人员一览表（格式后附）、技术服务、技术培训的内容和措施等）]；（</w:t>
            </w:r>
            <w:r>
              <w:rPr>
                <w:rFonts w:hint="eastAsia" w:ascii="宋体" w:hAnsi="宋体"/>
                <w:b/>
                <w:szCs w:val="21"/>
              </w:rPr>
              <w:t>必须提供，否则按无效投标处理</w:t>
            </w:r>
            <w:r>
              <w:rPr>
                <w:rFonts w:hint="eastAsia" w:ascii="宋体" w:hAnsi="宋体"/>
                <w:szCs w:val="21"/>
              </w:rPr>
              <w:t>）</w:t>
            </w:r>
          </w:p>
          <w:p w14:paraId="74E93824">
            <w:pPr>
              <w:snapToGrid w:val="0"/>
              <w:spacing w:line="360" w:lineRule="auto"/>
              <w:ind w:left="420"/>
              <w:jc w:val="left"/>
              <w:rPr>
                <w:rFonts w:ascii="宋体" w:hAnsi="宋体"/>
                <w:szCs w:val="21"/>
              </w:rPr>
            </w:pPr>
            <w:r>
              <w:rPr>
                <w:rFonts w:hint="eastAsia" w:ascii="宋体" w:hAnsi="宋体"/>
                <w:szCs w:val="21"/>
              </w:rPr>
              <w:t>9.对本项目系统总体要求的理解。包括：功能说明、性能指标及设备选型说明（质量、性能、价格、外观、体积等方面进行比较和选择的理由及过程，格式自拟）；</w:t>
            </w:r>
            <w:r>
              <w:rPr>
                <w:rFonts w:hint="eastAsia" w:ascii="宋体" w:hAnsi="宋体"/>
                <w:b/>
                <w:bCs/>
                <w:szCs w:val="21"/>
                <w:lang w:eastAsia="zh-CN"/>
              </w:rPr>
              <w:t>（</w:t>
            </w:r>
            <w:r>
              <w:rPr>
                <w:rFonts w:hint="eastAsia" w:ascii="宋体" w:hAnsi="宋体"/>
                <w:b/>
                <w:bCs/>
                <w:szCs w:val="21"/>
                <w:lang w:val="en-US" w:eastAsia="zh-CN"/>
              </w:rPr>
              <w:t>如有，请提供</w:t>
            </w:r>
            <w:r>
              <w:rPr>
                <w:rFonts w:hint="eastAsia" w:ascii="宋体" w:hAnsi="宋体"/>
                <w:b/>
                <w:bCs/>
                <w:szCs w:val="21"/>
                <w:lang w:eastAsia="zh-CN"/>
              </w:rPr>
              <w:t>）</w:t>
            </w:r>
          </w:p>
          <w:p w14:paraId="50679AAA">
            <w:pPr>
              <w:snapToGrid w:val="0"/>
              <w:spacing w:line="360" w:lineRule="auto"/>
              <w:ind w:left="420"/>
              <w:jc w:val="left"/>
              <w:rPr>
                <w:rFonts w:ascii="宋体" w:hAnsi="宋体"/>
                <w:szCs w:val="21"/>
              </w:rPr>
            </w:pPr>
            <w:r>
              <w:rPr>
                <w:rFonts w:hint="eastAsia" w:ascii="宋体" w:hAnsi="宋体"/>
                <w:szCs w:val="21"/>
              </w:rPr>
              <w:t>10.投标人情况介绍（格式自拟）；</w:t>
            </w:r>
            <w:r>
              <w:rPr>
                <w:rFonts w:hint="eastAsia" w:ascii="宋体" w:hAnsi="宋体"/>
                <w:b/>
                <w:bCs/>
                <w:szCs w:val="21"/>
                <w:lang w:eastAsia="zh-CN"/>
              </w:rPr>
              <w:t>（</w:t>
            </w:r>
            <w:r>
              <w:rPr>
                <w:rFonts w:hint="eastAsia" w:ascii="宋体" w:hAnsi="宋体"/>
                <w:b/>
                <w:bCs/>
                <w:szCs w:val="21"/>
                <w:lang w:val="en-US" w:eastAsia="zh-CN"/>
              </w:rPr>
              <w:t>如有，请提供</w:t>
            </w:r>
            <w:r>
              <w:rPr>
                <w:rFonts w:hint="eastAsia" w:ascii="宋体" w:hAnsi="宋体"/>
                <w:b/>
                <w:bCs/>
                <w:szCs w:val="21"/>
                <w:lang w:eastAsia="zh-CN"/>
              </w:rPr>
              <w:t>）</w:t>
            </w:r>
          </w:p>
          <w:p w14:paraId="05360CBE">
            <w:pPr>
              <w:snapToGrid w:val="0"/>
              <w:spacing w:line="360" w:lineRule="auto"/>
              <w:ind w:left="420"/>
              <w:jc w:val="left"/>
              <w:rPr>
                <w:rFonts w:ascii="宋体" w:hAnsi="宋体"/>
                <w:szCs w:val="21"/>
              </w:rPr>
            </w:pPr>
            <w:r>
              <w:rPr>
                <w:rFonts w:hint="eastAsia" w:ascii="宋体" w:hAnsi="宋体"/>
                <w:szCs w:val="21"/>
              </w:rPr>
              <w:t>11.产品出厂标准、质量检测报告（格式自拟）</w:t>
            </w:r>
            <w:r>
              <w:rPr>
                <w:rFonts w:hint="eastAsia" w:ascii="宋体" w:hAnsi="宋体"/>
                <w:szCs w:val="21"/>
                <w:lang w:eastAsia="zh-CN"/>
              </w:rPr>
              <w:t>；</w:t>
            </w:r>
            <w:r>
              <w:rPr>
                <w:rFonts w:hint="eastAsia" w:ascii="宋体" w:hAnsi="宋体"/>
                <w:b/>
                <w:bCs/>
                <w:szCs w:val="21"/>
                <w:lang w:eastAsia="zh-CN"/>
              </w:rPr>
              <w:t>（</w:t>
            </w:r>
            <w:r>
              <w:rPr>
                <w:rFonts w:hint="eastAsia" w:ascii="宋体" w:hAnsi="宋体"/>
                <w:b/>
                <w:bCs/>
                <w:szCs w:val="21"/>
                <w:lang w:val="en-US" w:eastAsia="zh-CN"/>
              </w:rPr>
              <w:t>如有，请提供</w:t>
            </w:r>
            <w:r>
              <w:rPr>
                <w:rFonts w:hint="eastAsia" w:ascii="宋体" w:hAnsi="宋体"/>
                <w:b/>
                <w:bCs/>
                <w:szCs w:val="21"/>
                <w:lang w:eastAsia="zh-CN"/>
              </w:rPr>
              <w:t>）</w:t>
            </w:r>
          </w:p>
          <w:p w14:paraId="4FCC5AAA">
            <w:pPr>
              <w:snapToGrid w:val="0"/>
              <w:spacing w:line="360" w:lineRule="auto"/>
              <w:ind w:left="420"/>
              <w:jc w:val="left"/>
              <w:rPr>
                <w:rFonts w:ascii="宋体" w:hAnsi="宋体"/>
                <w:b/>
                <w:bCs/>
                <w:szCs w:val="21"/>
              </w:rPr>
            </w:pPr>
            <w:r>
              <w:rPr>
                <w:rFonts w:hint="eastAsia" w:ascii="宋体" w:hAnsi="宋体"/>
                <w:szCs w:val="21"/>
              </w:rPr>
              <w:t>12.优惠条件：投标人承诺给予招标人的各种优惠条件，包括售后服务、备品备件、专用耗材等方面的优惠；投标人不得给予赠品或者与采购无关的其他商品、服务</w:t>
            </w:r>
            <w:r>
              <w:rPr>
                <w:rFonts w:hint="eastAsia" w:ascii="宋体" w:hAnsi="宋体"/>
                <w:szCs w:val="21"/>
                <w:lang w:eastAsia="zh-CN"/>
              </w:rPr>
              <w:t>；</w:t>
            </w:r>
            <w:r>
              <w:rPr>
                <w:rFonts w:hint="eastAsia" w:ascii="宋体" w:hAnsi="宋体"/>
                <w:b/>
                <w:bCs/>
                <w:szCs w:val="21"/>
                <w:lang w:eastAsia="zh-CN"/>
              </w:rPr>
              <w:t>（</w:t>
            </w:r>
            <w:r>
              <w:rPr>
                <w:rFonts w:hint="eastAsia" w:ascii="宋体" w:hAnsi="宋体"/>
                <w:b/>
                <w:bCs/>
                <w:szCs w:val="21"/>
                <w:lang w:val="en-US" w:eastAsia="zh-CN"/>
              </w:rPr>
              <w:t>如有，请提供</w:t>
            </w:r>
            <w:r>
              <w:rPr>
                <w:rFonts w:hint="eastAsia" w:ascii="宋体" w:hAnsi="宋体"/>
                <w:b/>
                <w:bCs/>
                <w:szCs w:val="21"/>
                <w:lang w:eastAsia="zh-CN"/>
              </w:rPr>
              <w:t>）</w:t>
            </w:r>
          </w:p>
          <w:p w14:paraId="5E10B1C0">
            <w:pPr>
              <w:snapToGrid w:val="0"/>
              <w:spacing w:line="360" w:lineRule="auto"/>
              <w:ind w:left="420"/>
              <w:jc w:val="left"/>
              <w:rPr>
                <w:rFonts w:ascii="宋体" w:hAnsi="宋体"/>
                <w:bCs/>
                <w:szCs w:val="21"/>
              </w:rPr>
            </w:pPr>
            <w:r>
              <w:rPr>
                <w:rFonts w:hint="eastAsia" w:ascii="宋体" w:hAnsi="宋体"/>
                <w:szCs w:val="21"/>
              </w:rPr>
              <w:t>1</w:t>
            </w:r>
            <w:r>
              <w:rPr>
                <w:rFonts w:hint="eastAsia" w:ascii="宋体" w:hAnsi="宋体"/>
                <w:szCs w:val="21"/>
                <w:lang w:val="en-US" w:eastAsia="zh-CN"/>
              </w:rPr>
              <w:t>3</w:t>
            </w:r>
            <w:r>
              <w:rPr>
                <w:rFonts w:hint="eastAsia" w:ascii="宋体" w:hAnsi="宋体"/>
                <w:szCs w:val="21"/>
              </w:rPr>
              <w:t>.除招标文件规定必须提供以外，投标人认为需要提供的其他证明材料（格式自拟）。</w:t>
            </w:r>
            <w:r>
              <w:rPr>
                <w:rFonts w:hint="eastAsia" w:ascii="宋体" w:hAnsi="宋体"/>
                <w:b/>
                <w:bCs/>
                <w:szCs w:val="21"/>
                <w:lang w:eastAsia="zh-CN"/>
              </w:rPr>
              <w:t>（</w:t>
            </w:r>
            <w:r>
              <w:rPr>
                <w:rFonts w:hint="eastAsia" w:ascii="宋体" w:hAnsi="宋体"/>
                <w:b/>
                <w:bCs/>
                <w:szCs w:val="21"/>
                <w:lang w:val="en-US" w:eastAsia="zh-CN"/>
              </w:rPr>
              <w:t>如有，请提供</w:t>
            </w:r>
            <w:r>
              <w:rPr>
                <w:rFonts w:hint="eastAsia" w:ascii="宋体" w:hAnsi="宋体"/>
                <w:b/>
                <w:bCs/>
                <w:szCs w:val="21"/>
                <w:lang w:eastAsia="zh-CN"/>
              </w:rPr>
              <w:t>）</w:t>
            </w:r>
          </w:p>
          <w:p w14:paraId="72D7FE95">
            <w:pPr>
              <w:snapToGrid w:val="0"/>
              <w:spacing w:line="360" w:lineRule="auto"/>
              <w:ind w:left="413"/>
              <w:jc w:val="left"/>
              <w:rPr>
                <w:rFonts w:ascii="宋体" w:hAnsi="宋体"/>
                <w:szCs w:val="21"/>
              </w:rPr>
            </w:pPr>
            <w:r>
              <w:rPr>
                <w:rFonts w:hint="eastAsia" w:ascii="宋体" w:hAnsi="宋体"/>
                <w:szCs w:val="21"/>
              </w:rPr>
              <w:t>（投标人根据“第二章 采购需求”及“第四章 评标方法及评标标准”提供有关证明材料）。</w:t>
            </w:r>
          </w:p>
          <w:p w14:paraId="6390F146">
            <w:pPr>
              <w:snapToGrid w:val="0"/>
              <w:spacing w:line="360" w:lineRule="auto"/>
              <w:jc w:val="left"/>
              <w:rPr>
                <w:rFonts w:ascii="宋体" w:hAnsi="宋体"/>
                <w:szCs w:val="21"/>
              </w:rPr>
            </w:pPr>
            <w:r>
              <w:rPr>
                <w:rFonts w:hint="eastAsia" w:ascii="宋体" w:hAnsi="宋体"/>
                <w:b/>
                <w:bCs/>
                <w:szCs w:val="21"/>
              </w:rPr>
              <w:t>注：以上标明“必须提供”的材料，格式</w:t>
            </w:r>
            <w:r>
              <w:rPr>
                <w:rFonts w:hint="eastAsia" w:ascii="宋体" w:hAnsi="宋体" w:cs="宋体"/>
                <w:b/>
                <w:szCs w:val="21"/>
              </w:rPr>
              <w:t>中有要求法定代表人或者委托代理人签字的，必须按要求签字并加盖投标人电子签章</w:t>
            </w:r>
            <w:r>
              <w:rPr>
                <w:rFonts w:hint="eastAsia" w:ascii="宋体" w:hAnsi="宋体"/>
                <w:b/>
                <w:bCs/>
                <w:szCs w:val="21"/>
              </w:rPr>
              <w:t>，否则按无效投标</w:t>
            </w:r>
            <w:r>
              <w:rPr>
                <w:rFonts w:hint="eastAsia" w:ascii="宋体" w:hAnsi="宋体" w:cs="Courier New"/>
                <w:b/>
                <w:szCs w:val="21"/>
              </w:rPr>
              <w:t>处理。</w:t>
            </w:r>
          </w:p>
        </w:tc>
      </w:tr>
      <w:tr w14:paraId="7477C0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5" w:type="dxa"/>
            <w:tcBorders>
              <w:top w:val="single" w:color="auto" w:sz="4" w:space="0"/>
              <w:left w:val="single" w:color="auto" w:sz="4" w:space="0"/>
              <w:bottom w:val="single" w:color="auto" w:sz="4" w:space="0"/>
              <w:right w:val="single" w:color="auto" w:sz="4" w:space="0"/>
            </w:tcBorders>
            <w:vAlign w:val="center"/>
          </w:tcPr>
          <w:p w14:paraId="06F213BC">
            <w:pPr>
              <w:spacing w:line="360" w:lineRule="auto"/>
              <w:jc w:val="center"/>
              <w:rPr>
                <w:rFonts w:ascii="宋体" w:hAnsi="宋体"/>
                <w:szCs w:val="21"/>
              </w:rPr>
            </w:pPr>
            <w:bookmarkStart w:id="48" w:name="_13.5"/>
            <w:bookmarkEnd w:id="48"/>
            <w:bookmarkStart w:id="49" w:name="_13.4"/>
            <w:bookmarkEnd w:id="49"/>
            <w:bookmarkStart w:id="50" w:name="_16.2"/>
            <w:bookmarkEnd w:id="50"/>
            <w:r>
              <w:rPr>
                <w:rFonts w:hint="eastAsia" w:ascii="宋体" w:hAnsi="宋体"/>
                <w:szCs w:val="21"/>
              </w:rPr>
              <w:t>16</w:t>
            </w:r>
            <w:bookmarkStart w:id="51" w:name="_Hlt19693758"/>
            <w:bookmarkStart w:id="52" w:name="_Hlt19693759"/>
            <w:bookmarkStart w:id="53" w:name="_Hlt19194067"/>
            <w:bookmarkStart w:id="54" w:name="_Hlt19194066"/>
            <w:r>
              <w:rPr>
                <w:rFonts w:hint="eastAsia" w:ascii="宋体" w:hAnsi="宋体"/>
                <w:szCs w:val="21"/>
              </w:rPr>
              <w:t>.</w:t>
            </w:r>
            <w:bookmarkEnd w:id="51"/>
            <w:bookmarkEnd w:id="52"/>
            <w:bookmarkEnd w:id="53"/>
            <w:bookmarkEnd w:id="54"/>
            <w:r>
              <w:rPr>
                <w:rFonts w:hint="eastAsia" w:ascii="宋体" w:hAnsi="宋体"/>
                <w:szCs w:val="21"/>
              </w:rPr>
              <w:t>2</w:t>
            </w:r>
          </w:p>
        </w:tc>
        <w:tc>
          <w:tcPr>
            <w:tcW w:w="8865" w:type="dxa"/>
            <w:tcBorders>
              <w:top w:val="single" w:color="auto" w:sz="4" w:space="0"/>
              <w:left w:val="single" w:color="auto" w:sz="4" w:space="0"/>
              <w:bottom w:val="single" w:color="auto" w:sz="4" w:space="0"/>
              <w:right w:val="single" w:color="auto" w:sz="4" w:space="0"/>
            </w:tcBorders>
            <w:vAlign w:val="center"/>
          </w:tcPr>
          <w:p w14:paraId="5C6FC6D8">
            <w:pPr>
              <w:widowControl/>
              <w:spacing w:line="360" w:lineRule="auto"/>
              <w:jc w:val="left"/>
              <w:rPr>
                <w:rFonts w:ascii="宋体" w:hAnsi="宋体" w:cs="宋体"/>
                <w:kern w:val="0"/>
                <w:szCs w:val="21"/>
                <w:lang w:bidi="ar"/>
              </w:rPr>
            </w:pPr>
            <w:r>
              <w:rPr>
                <w:rFonts w:hint="eastAsia" w:ascii="宋体" w:hAnsi="宋体" w:cs="宋体"/>
                <w:kern w:val="0"/>
                <w:szCs w:val="21"/>
                <w:lang w:bidi="ar"/>
              </w:rPr>
              <w:t>投标报价为采购人指定地点的现场交货价，包括：</w:t>
            </w:r>
          </w:p>
          <w:p w14:paraId="4735AFF2">
            <w:pPr>
              <w:widowControl/>
              <w:spacing w:line="360" w:lineRule="auto"/>
              <w:jc w:val="left"/>
              <w:rPr>
                <w:rFonts w:ascii="宋体" w:hAnsi="宋体" w:cs="宋体"/>
                <w:kern w:val="0"/>
                <w:szCs w:val="21"/>
                <w:lang w:bidi="ar"/>
              </w:rPr>
            </w:pPr>
            <w:r>
              <w:rPr>
                <w:rFonts w:hint="eastAsia" w:ascii="宋体" w:hAnsi="宋体" w:cs="宋体"/>
                <w:kern w:val="0"/>
                <w:szCs w:val="21"/>
                <w:lang w:bidi="ar"/>
              </w:rPr>
              <w:t>（1）货物的价格：包括货款、杂配件、安装调试费、验收费；</w:t>
            </w:r>
          </w:p>
          <w:p w14:paraId="05A99DE7">
            <w:pPr>
              <w:widowControl/>
              <w:spacing w:line="360" w:lineRule="auto"/>
              <w:jc w:val="left"/>
              <w:rPr>
                <w:rFonts w:ascii="宋体" w:hAnsi="宋体" w:cs="宋体"/>
                <w:kern w:val="0"/>
                <w:szCs w:val="21"/>
                <w:lang w:bidi="ar"/>
              </w:rPr>
            </w:pPr>
            <w:r>
              <w:rPr>
                <w:rFonts w:hint="eastAsia" w:ascii="宋体" w:hAnsi="宋体" w:cs="宋体"/>
                <w:kern w:val="0"/>
                <w:szCs w:val="21"/>
                <w:lang w:bidi="ar"/>
              </w:rPr>
              <w:t>（2）货物的标准附件、备品备件、专用工具的价格。</w:t>
            </w:r>
          </w:p>
          <w:p w14:paraId="0217F6AE">
            <w:pPr>
              <w:widowControl/>
              <w:spacing w:line="360" w:lineRule="auto"/>
              <w:jc w:val="left"/>
              <w:rPr>
                <w:rFonts w:ascii="宋体" w:hAnsi="宋体" w:cs="宋体"/>
                <w:kern w:val="0"/>
                <w:szCs w:val="21"/>
                <w:lang w:bidi="ar"/>
              </w:rPr>
            </w:pPr>
            <w:r>
              <w:rPr>
                <w:rFonts w:hint="eastAsia" w:ascii="宋体" w:hAnsi="宋体" w:cs="宋体"/>
                <w:kern w:val="0"/>
                <w:szCs w:val="21"/>
                <w:lang w:bidi="ar"/>
              </w:rPr>
              <w:t>（3）运输、装卸、调试、培训、技术支持、售后服务费。</w:t>
            </w:r>
          </w:p>
          <w:p w14:paraId="7CEF7B2D">
            <w:pPr>
              <w:widowControl/>
              <w:spacing w:line="360" w:lineRule="auto"/>
              <w:jc w:val="left"/>
              <w:rPr>
                <w:rFonts w:ascii="宋体" w:hAnsi="宋体" w:cs="宋体"/>
                <w:kern w:val="0"/>
                <w:szCs w:val="21"/>
                <w:lang w:bidi="ar"/>
              </w:rPr>
            </w:pPr>
            <w:r>
              <w:rPr>
                <w:rFonts w:hint="eastAsia" w:ascii="宋体" w:hAnsi="宋体" w:cs="宋体"/>
                <w:kern w:val="0"/>
                <w:szCs w:val="21"/>
                <w:lang w:bidi="ar"/>
              </w:rPr>
              <w:t>（4）采购代理服务费、保险费和各项税金。</w:t>
            </w:r>
          </w:p>
          <w:p w14:paraId="6E3ECE6C">
            <w:pPr>
              <w:snapToGrid w:val="0"/>
              <w:spacing w:line="360" w:lineRule="auto"/>
              <w:rPr>
                <w:rFonts w:ascii="宋体" w:hAnsi="宋体"/>
                <w:b/>
                <w:szCs w:val="21"/>
              </w:rPr>
            </w:pPr>
            <w:r>
              <w:rPr>
                <w:rFonts w:hint="eastAsia" w:ascii="宋体" w:hAnsi="宋体" w:cs="宋体"/>
                <w:kern w:val="0"/>
                <w:szCs w:val="21"/>
                <w:lang w:bidi="ar"/>
              </w:rPr>
              <w:t>注：投标人自行考虑完成项目所需的辅材、杂配件等数量，投标报价中应包含全部内容，中标后采购人不再另行支付额外费用。</w:t>
            </w:r>
          </w:p>
        </w:tc>
      </w:tr>
      <w:tr w14:paraId="050BFC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5" w:type="dxa"/>
            <w:tcBorders>
              <w:top w:val="single" w:color="auto" w:sz="4" w:space="0"/>
              <w:left w:val="single" w:color="auto" w:sz="4" w:space="0"/>
              <w:bottom w:val="single" w:color="auto" w:sz="4" w:space="0"/>
              <w:right w:val="single" w:color="auto" w:sz="4" w:space="0"/>
            </w:tcBorders>
            <w:vAlign w:val="center"/>
          </w:tcPr>
          <w:p w14:paraId="7C85D385">
            <w:pPr>
              <w:spacing w:line="360" w:lineRule="auto"/>
              <w:jc w:val="center"/>
              <w:rPr>
                <w:rFonts w:ascii="宋体" w:hAnsi="宋体"/>
                <w:szCs w:val="21"/>
              </w:rPr>
            </w:pPr>
            <w:bookmarkStart w:id="55" w:name="_17.1"/>
            <w:bookmarkEnd w:id="55"/>
            <w:r>
              <w:rPr>
                <w:rFonts w:hint="eastAsia" w:ascii="宋体" w:hAnsi="宋体"/>
                <w:szCs w:val="21"/>
              </w:rPr>
              <w:t>17.</w:t>
            </w:r>
            <w:r>
              <w:rPr>
                <w:rFonts w:ascii="宋体" w:hAnsi="宋体"/>
                <w:szCs w:val="21"/>
              </w:rPr>
              <w:t>2</w:t>
            </w:r>
          </w:p>
        </w:tc>
        <w:tc>
          <w:tcPr>
            <w:tcW w:w="8865" w:type="dxa"/>
            <w:tcBorders>
              <w:top w:val="single" w:color="auto" w:sz="4" w:space="0"/>
              <w:left w:val="single" w:color="auto" w:sz="4" w:space="0"/>
              <w:bottom w:val="single" w:color="auto" w:sz="4" w:space="0"/>
              <w:right w:val="single" w:color="auto" w:sz="4" w:space="0"/>
            </w:tcBorders>
            <w:vAlign w:val="center"/>
          </w:tcPr>
          <w:p w14:paraId="731EE57A">
            <w:pPr>
              <w:snapToGrid w:val="0"/>
              <w:spacing w:line="360" w:lineRule="auto"/>
              <w:rPr>
                <w:rFonts w:ascii="宋体" w:hAnsi="宋体"/>
                <w:szCs w:val="21"/>
              </w:rPr>
            </w:pPr>
            <w:r>
              <w:rPr>
                <w:rFonts w:hint="eastAsia" w:ascii="宋体" w:hAnsi="宋体"/>
                <w:szCs w:val="21"/>
              </w:rPr>
              <w:t>投标有效期：自投标截止之日起</w:t>
            </w:r>
            <w:r>
              <w:rPr>
                <w:rFonts w:ascii="宋体" w:hAnsi="宋体"/>
                <w:szCs w:val="21"/>
                <w:u w:val="single"/>
              </w:rPr>
              <w:t xml:space="preserve"> </w:t>
            </w:r>
            <w:r>
              <w:rPr>
                <w:rFonts w:hint="eastAsia" w:ascii="宋体" w:hAnsi="宋体"/>
                <w:szCs w:val="21"/>
                <w:u w:val="single"/>
              </w:rPr>
              <w:t>90</w:t>
            </w:r>
            <w:r>
              <w:rPr>
                <w:rFonts w:ascii="宋体" w:hAnsi="宋体"/>
                <w:szCs w:val="21"/>
                <w:u w:val="single"/>
              </w:rPr>
              <w:t xml:space="preserve"> </w:t>
            </w:r>
            <w:r>
              <w:rPr>
                <w:rFonts w:hint="eastAsia" w:ascii="宋体" w:hAnsi="宋体"/>
                <w:szCs w:val="21"/>
              </w:rPr>
              <w:t>日。</w:t>
            </w:r>
          </w:p>
        </w:tc>
      </w:tr>
      <w:tr w14:paraId="194E89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995" w:type="dxa"/>
            <w:tcBorders>
              <w:top w:val="single" w:color="auto" w:sz="4" w:space="0"/>
              <w:left w:val="single" w:color="auto" w:sz="4" w:space="0"/>
              <w:bottom w:val="single" w:color="auto" w:sz="4" w:space="0"/>
              <w:right w:val="single" w:color="auto" w:sz="4" w:space="0"/>
            </w:tcBorders>
            <w:vAlign w:val="center"/>
          </w:tcPr>
          <w:p w14:paraId="63E8A318">
            <w:pPr>
              <w:spacing w:line="360" w:lineRule="auto"/>
              <w:jc w:val="center"/>
              <w:rPr>
                <w:rFonts w:ascii="宋体" w:hAnsi="宋体"/>
                <w:szCs w:val="21"/>
              </w:rPr>
            </w:pPr>
            <w:bookmarkStart w:id="56" w:name="_18"/>
            <w:bookmarkEnd w:id="56"/>
            <w:r>
              <w:rPr>
                <w:rFonts w:hint="eastAsia" w:ascii="宋体" w:hAnsi="宋体"/>
                <w:szCs w:val="21"/>
              </w:rPr>
              <w:t>18</w:t>
            </w:r>
            <w:r>
              <w:rPr>
                <w:rFonts w:ascii="宋体" w:hAnsi="宋体"/>
                <w:szCs w:val="21"/>
              </w:rPr>
              <w:t>.1</w:t>
            </w:r>
          </w:p>
        </w:tc>
        <w:tc>
          <w:tcPr>
            <w:tcW w:w="8865" w:type="dxa"/>
            <w:tcBorders>
              <w:top w:val="single" w:color="auto" w:sz="4" w:space="0"/>
              <w:left w:val="single" w:color="auto" w:sz="4" w:space="0"/>
              <w:bottom w:val="single" w:color="auto" w:sz="4" w:space="0"/>
              <w:right w:val="single" w:color="auto" w:sz="4" w:space="0"/>
            </w:tcBorders>
            <w:vAlign w:val="center"/>
          </w:tcPr>
          <w:p w14:paraId="50EC7C01">
            <w:pPr>
              <w:autoSpaceDE w:val="0"/>
              <w:autoSpaceDN w:val="0"/>
              <w:snapToGrid w:val="0"/>
              <w:spacing w:line="360" w:lineRule="auto"/>
              <w:textAlignment w:val="bottom"/>
              <w:rPr>
                <w:rFonts w:ascii="宋体" w:hAnsi="宋体"/>
                <w:b/>
                <w:szCs w:val="21"/>
              </w:rPr>
            </w:pPr>
            <w:r>
              <w:rPr>
                <w:rFonts w:hint="eastAsia" w:ascii="宋体" w:hAnsi="宋体"/>
                <w:szCs w:val="21"/>
              </w:rPr>
              <w:t>本项目不收取投标保证金。</w:t>
            </w:r>
          </w:p>
        </w:tc>
      </w:tr>
      <w:tr w14:paraId="381F27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995" w:type="dxa"/>
            <w:tcBorders>
              <w:top w:val="single" w:color="auto" w:sz="4" w:space="0"/>
              <w:left w:val="single" w:color="auto" w:sz="4" w:space="0"/>
              <w:bottom w:val="single" w:color="auto" w:sz="4" w:space="0"/>
              <w:right w:val="single" w:color="auto" w:sz="4" w:space="0"/>
            </w:tcBorders>
            <w:vAlign w:val="center"/>
          </w:tcPr>
          <w:p w14:paraId="4DD480E0">
            <w:pPr>
              <w:spacing w:line="360" w:lineRule="auto"/>
              <w:jc w:val="center"/>
              <w:rPr>
                <w:rFonts w:ascii="宋体" w:hAnsi="宋体"/>
                <w:szCs w:val="21"/>
              </w:rPr>
            </w:pPr>
            <w:bookmarkStart w:id="57" w:name="_19.2"/>
            <w:bookmarkEnd w:id="57"/>
            <w:r>
              <w:rPr>
                <w:rFonts w:hint="eastAsia" w:ascii="宋体" w:hAnsi="宋体"/>
                <w:szCs w:val="21"/>
              </w:rPr>
              <w:t>20</w:t>
            </w:r>
          </w:p>
        </w:tc>
        <w:tc>
          <w:tcPr>
            <w:tcW w:w="8865" w:type="dxa"/>
            <w:tcBorders>
              <w:top w:val="single" w:color="auto" w:sz="4" w:space="0"/>
              <w:left w:val="single" w:color="auto" w:sz="4" w:space="0"/>
              <w:bottom w:val="single" w:color="auto" w:sz="4" w:space="0"/>
              <w:right w:val="single" w:color="auto" w:sz="4" w:space="0"/>
            </w:tcBorders>
            <w:vAlign w:val="center"/>
          </w:tcPr>
          <w:p w14:paraId="2846AF34">
            <w:pPr>
              <w:autoSpaceDE w:val="0"/>
              <w:autoSpaceDN w:val="0"/>
              <w:adjustRightInd w:val="0"/>
              <w:spacing w:line="360" w:lineRule="auto"/>
              <w:textAlignment w:val="bottom"/>
              <w:rPr>
                <w:rFonts w:ascii="宋体" w:hAnsi="宋体"/>
                <w:szCs w:val="21"/>
              </w:rPr>
            </w:pPr>
            <w:r>
              <w:rPr>
                <w:rFonts w:hint="eastAsia" w:ascii="宋体" w:hAnsi="宋体"/>
                <w:szCs w:val="21"/>
              </w:rPr>
              <w:t>本项目不接受</w:t>
            </w:r>
            <w:r>
              <w:rPr>
                <w:rFonts w:hint="eastAsia"/>
              </w:rPr>
              <w:t>电子</w:t>
            </w:r>
            <w:r>
              <w:rPr>
                <w:rFonts w:hint="eastAsia" w:ascii="宋体" w:hAnsi="宋体"/>
                <w:szCs w:val="21"/>
              </w:rPr>
              <w:t>备份投标文件。</w:t>
            </w:r>
          </w:p>
        </w:tc>
      </w:tr>
      <w:tr w14:paraId="5B325C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995" w:type="dxa"/>
            <w:tcBorders>
              <w:top w:val="single" w:color="auto" w:sz="4" w:space="0"/>
              <w:left w:val="single" w:color="auto" w:sz="4" w:space="0"/>
              <w:bottom w:val="single" w:color="auto" w:sz="4" w:space="0"/>
              <w:right w:val="single" w:color="auto" w:sz="4" w:space="0"/>
            </w:tcBorders>
            <w:vAlign w:val="center"/>
          </w:tcPr>
          <w:p w14:paraId="3E59CCE5">
            <w:pPr>
              <w:spacing w:line="360" w:lineRule="auto"/>
              <w:jc w:val="center"/>
              <w:rPr>
                <w:rFonts w:ascii="宋体" w:hAnsi="宋体"/>
                <w:szCs w:val="21"/>
              </w:rPr>
            </w:pPr>
            <w:bookmarkStart w:id="58" w:name="_21.1"/>
            <w:bookmarkEnd w:id="58"/>
            <w:r>
              <w:rPr>
                <w:rFonts w:hint="eastAsia" w:ascii="宋体" w:hAnsi="宋体"/>
                <w:szCs w:val="21"/>
              </w:rPr>
              <w:t>21.1</w:t>
            </w:r>
          </w:p>
        </w:tc>
        <w:tc>
          <w:tcPr>
            <w:tcW w:w="8865" w:type="dxa"/>
            <w:tcBorders>
              <w:top w:val="single" w:color="auto" w:sz="4" w:space="0"/>
              <w:left w:val="single" w:color="auto" w:sz="4" w:space="0"/>
              <w:bottom w:val="single" w:color="auto" w:sz="4" w:space="0"/>
              <w:right w:val="single" w:color="auto" w:sz="4" w:space="0"/>
            </w:tcBorders>
            <w:vAlign w:val="center"/>
          </w:tcPr>
          <w:p w14:paraId="57CFB7E4">
            <w:pPr>
              <w:snapToGrid w:val="0"/>
              <w:spacing w:line="360" w:lineRule="auto"/>
              <w:rPr>
                <w:rFonts w:ascii="宋体" w:hAnsi="宋体"/>
                <w:szCs w:val="21"/>
                <w:u w:val="single"/>
              </w:rPr>
            </w:pPr>
            <w:r>
              <w:rPr>
                <w:rFonts w:hint="eastAsia" w:ascii="宋体" w:hAnsi="宋体"/>
                <w:szCs w:val="21"/>
              </w:rPr>
              <w:t>1. 提交投标文件截止时间：详见招标公告</w:t>
            </w:r>
          </w:p>
          <w:p w14:paraId="7FFC977E">
            <w:pPr>
              <w:snapToGrid w:val="0"/>
              <w:spacing w:line="360" w:lineRule="auto"/>
              <w:rPr>
                <w:rFonts w:ascii="宋体" w:hAnsi="宋体"/>
                <w:szCs w:val="21"/>
              </w:rPr>
            </w:pPr>
            <w:r>
              <w:rPr>
                <w:rFonts w:hint="eastAsia" w:ascii="宋体" w:hAnsi="宋体"/>
                <w:szCs w:val="21"/>
              </w:rPr>
              <w:t>2.投标地点：详见招标公告</w:t>
            </w:r>
          </w:p>
        </w:tc>
      </w:tr>
      <w:tr w14:paraId="205165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5" w:type="dxa"/>
            <w:tcBorders>
              <w:top w:val="single" w:color="auto" w:sz="4" w:space="0"/>
              <w:left w:val="single" w:color="auto" w:sz="4" w:space="0"/>
              <w:bottom w:val="single" w:color="auto" w:sz="4" w:space="0"/>
              <w:right w:val="single" w:color="auto" w:sz="4" w:space="0"/>
            </w:tcBorders>
            <w:vAlign w:val="center"/>
          </w:tcPr>
          <w:p w14:paraId="5C26F4D5">
            <w:pPr>
              <w:spacing w:line="360" w:lineRule="auto"/>
              <w:jc w:val="center"/>
              <w:rPr>
                <w:rFonts w:ascii="宋体" w:hAnsi="宋体"/>
                <w:szCs w:val="21"/>
              </w:rPr>
            </w:pPr>
            <w:bookmarkStart w:id="59" w:name="_23"/>
            <w:bookmarkEnd w:id="59"/>
            <w:r>
              <w:rPr>
                <w:rFonts w:hint="eastAsia" w:ascii="宋体" w:hAnsi="宋体"/>
                <w:szCs w:val="21"/>
              </w:rPr>
              <w:t>23</w:t>
            </w:r>
          </w:p>
        </w:tc>
        <w:tc>
          <w:tcPr>
            <w:tcW w:w="8865" w:type="dxa"/>
            <w:tcBorders>
              <w:top w:val="single" w:color="auto" w:sz="4" w:space="0"/>
              <w:left w:val="single" w:color="auto" w:sz="4" w:space="0"/>
              <w:bottom w:val="single" w:color="auto" w:sz="4" w:space="0"/>
              <w:right w:val="single" w:color="auto" w:sz="4" w:space="0"/>
            </w:tcBorders>
            <w:vAlign w:val="center"/>
          </w:tcPr>
          <w:p w14:paraId="76BDDF4A">
            <w:pPr>
              <w:snapToGrid w:val="0"/>
              <w:spacing w:line="360" w:lineRule="auto"/>
              <w:rPr>
                <w:rFonts w:ascii="宋体" w:hAnsi="宋体"/>
                <w:szCs w:val="21"/>
              </w:rPr>
            </w:pPr>
            <w:r>
              <w:rPr>
                <w:rFonts w:hint="eastAsia" w:ascii="宋体" w:hAnsi="宋体"/>
                <w:szCs w:val="21"/>
              </w:rPr>
              <w:t>1.开标时间：详见招标公告</w:t>
            </w:r>
          </w:p>
          <w:p w14:paraId="275C7AB9">
            <w:pPr>
              <w:snapToGrid w:val="0"/>
              <w:spacing w:line="360" w:lineRule="auto"/>
              <w:rPr>
                <w:rFonts w:ascii="宋体" w:hAnsi="宋体"/>
                <w:szCs w:val="21"/>
              </w:rPr>
            </w:pPr>
            <w:r>
              <w:rPr>
                <w:rFonts w:hint="eastAsia" w:ascii="宋体" w:hAnsi="宋体"/>
                <w:szCs w:val="21"/>
              </w:rPr>
              <w:t>2.开标地点：详见招标公告</w:t>
            </w:r>
          </w:p>
        </w:tc>
      </w:tr>
      <w:tr w14:paraId="248254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995" w:type="dxa"/>
            <w:tcBorders>
              <w:top w:val="single" w:color="auto" w:sz="4" w:space="0"/>
              <w:left w:val="single" w:color="auto" w:sz="4" w:space="0"/>
              <w:bottom w:val="single" w:color="auto" w:sz="4" w:space="0"/>
              <w:right w:val="single" w:color="auto" w:sz="4" w:space="0"/>
            </w:tcBorders>
            <w:vAlign w:val="center"/>
          </w:tcPr>
          <w:p w14:paraId="729039A0">
            <w:pPr>
              <w:spacing w:line="360" w:lineRule="auto"/>
              <w:jc w:val="center"/>
              <w:rPr>
                <w:rFonts w:ascii="宋体" w:hAnsi="宋体"/>
                <w:szCs w:val="21"/>
              </w:rPr>
            </w:pPr>
            <w:r>
              <w:rPr>
                <w:rFonts w:hint="eastAsia" w:ascii="宋体" w:hAnsi="宋体"/>
                <w:szCs w:val="21"/>
              </w:rPr>
              <w:t>24.3（1）</w:t>
            </w:r>
          </w:p>
        </w:tc>
        <w:tc>
          <w:tcPr>
            <w:tcW w:w="8865" w:type="dxa"/>
            <w:tcBorders>
              <w:top w:val="single" w:color="auto" w:sz="4" w:space="0"/>
              <w:left w:val="single" w:color="auto" w:sz="4" w:space="0"/>
              <w:bottom w:val="single" w:color="auto" w:sz="4" w:space="0"/>
              <w:right w:val="single" w:color="auto" w:sz="4" w:space="0"/>
            </w:tcBorders>
            <w:vAlign w:val="center"/>
          </w:tcPr>
          <w:p w14:paraId="40E107AA">
            <w:pPr>
              <w:snapToGrid w:val="0"/>
              <w:spacing w:line="360" w:lineRule="auto"/>
              <w:rPr>
                <w:rFonts w:hAnsi="宋体"/>
                <w:u w:val="single"/>
              </w:rPr>
            </w:pPr>
            <w:r>
              <w:rPr>
                <w:rFonts w:hint="eastAsia" w:hAnsi="宋体"/>
              </w:rPr>
              <w:t>电子投标文件解密时间：</w:t>
            </w:r>
            <w:r>
              <w:rPr>
                <w:rFonts w:hint="eastAsia" w:ascii="宋体" w:hAnsi="宋体" w:eastAsia="宋体" w:cs="宋体"/>
                <w:u w:val="single"/>
              </w:rPr>
              <w:t>30</w:t>
            </w:r>
            <w:r>
              <w:rPr>
                <w:rFonts w:hint="eastAsia" w:hAnsi="宋体"/>
              </w:rPr>
              <w:t>分钟</w:t>
            </w:r>
          </w:p>
        </w:tc>
      </w:tr>
      <w:tr w14:paraId="2CFCB9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5" w:type="dxa"/>
            <w:tcBorders>
              <w:top w:val="single" w:color="auto" w:sz="4" w:space="0"/>
              <w:left w:val="single" w:color="auto" w:sz="4" w:space="0"/>
              <w:bottom w:val="single" w:color="auto" w:sz="4" w:space="0"/>
              <w:right w:val="single" w:color="auto" w:sz="4" w:space="0"/>
            </w:tcBorders>
            <w:vAlign w:val="center"/>
          </w:tcPr>
          <w:p w14:paraId="00B1C4B0">
            <w:pPr>
              <w:spacing w:line="360" w:lineRule="auto"/>
              <w:jc w:val="center"/>
              <w:rPr>
                <w:rFonts w:ascii="宋体" w:hAnsi="宋体"/>
                <w:szCs w:val="21"/>
              </w:rPr>
            </w:pPr>
            <w:r>
              <w:rPr>
                <w:rFonts w:hint="eastAsia" w:ascii="宋体" w:hAnsi="宋体"/>
                <w:szCs w:val="21"/>
              </w:rPr>
              <w:t>24</w:t>
            </w:r>
            <w:r>
              <w:rPr>
                <w:rFonts w:ascii="宋体" w:hAnsi="宋体"/>
                <w:szCs w:val="21"/>
              </w:rPr>
              <w:t>.3</w:t>
            </w:r>
            <w:r>
              <w:rPr>
                <w:rFonts w:hint="eastAsia" w:ascii="宋体" w:hAnsi="宋体"/>
                <w:szCs w:val="21"/>
              </w:rPr>
              <w:t>（</w:t>
            </w:r>
            <w:r>
              <w:rPr>
                <w:rFonts w:ascii="宋体" w:hAnsi="宋体"/>
                <w:szCs w:val="21"/>
              </w:rPr>
              <w:t>2</w:t>
            </w:r>
            <w:r>
              <w:rPr>
                <w:rFonts w:hint="eastAsia" w:ascii="宋体" w:hAnsi="宋体"/>
                <w:szCs w:val="21"/>
              </w:rPr>
              <w:t>）</w:t>
            </w:r>
          </w:p>
        </w:tc>
        <w:tc>
          <w:tcPr>
            <w:tcW w:w="8865" w:type="dxa"/>
            <w:tcBorders>
              <w:top w:val="single" w:color="auto" w:sz="4" w:space="0"/>
              <w:left w:val="single" w:color="auto" w:sz="4" w:space="0"/>
              <w:bottom w:val="single" w:color="auto" w:sz="4" w:space="0"/>
              <w:right w:val="single" w:color="auto" w:sz="4" w:space="0"/>
            </w:tcBorders>
            <w:vAlign w:val="center"/>
          </w:tcPr>
          <w:p w14:paraId="7D3731AD">
            <w:pPr>
              <w:snapToGrid w:val="0"/>
              <w:spacing w:line="360" w:lineRule="auto"/>
              <w:rPr>
                <w:rFonts w:ascii="宋体" w:hAnsi="宋体"/>
                <w:szCs w:val="21"/>
              </w:rPr>
            </w:pPr>
            <w:r>
              <w:rPr>
                <w:rFonts w:hint="eastAsia"/>
              </w:rPr>
              <w:t>宣布的内容</w:t>
            </w:r>
            <w:r>
              <w:rPr>
                <w:rFonts w:hint="eastAsia" w:hAnsi="宋体"/>
              </w:rPr>
              <w:t>：投标人名称、投标价格</w:t>
            </w:r>
          </w:p>
        </w:tc>
      </w:tr>
      <w:tr w14:paraId="3B16FC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5" w:type="dxa"/>
            <w:tcBorders>
              <w:top w:val="single" w:color="auto" w:sz="4" w:space="0"/>
              <w:left w:val="single" w:color="auto" w:sz="4" w:space="0"/>
              <w:bottom w:val="single" w:color="auto" w:sz="4" w:space="0"/>
              <w:right w:val="single" w:color="auto" w:sz="4" w:space="0"/>
            </w:tcBorders>
            <w:vAlign w:val="center"/>
          </w:tcPr>
          <w:p w14:paraId="7D191D1A">
            <w:pPr>
              <w:spacing w:line="360" w:lineRule="auto"/>
              <w:jc w:val="center"/>
              <w:rPr>
                <w:rFonts w:ascii="宋体" w:hAnsi="宋体"/>
                <w:szCs w:val="21"/>
              </w:rPr>
            </w:pPr>
            <w:bookmarkStart w:id="60" w:name="_25.3"/>
            <w:bookmarkEnd w:id="60"/>
            <w:r>
              <w:rPr>
                <w:rFonts w:hint="eastAsia" w:ascii="宋体" w:hAnsi="宋体"/>
                <w:szCs w:val="21"/>
              </w:rPr>
              <w:t>25.3（</w:t>
            </w:r>
            <w:r>
              <w:rPr>
                <w:rFonts w:ascii="宋体" w:hAnsi="宋体"/>
                <w:szCs w:val="21"/>
              </w:rPr>
              <w:t>2</w:t>
            </w:r>
            <w:r>
              <w:rPr>
                <w:rFonts w:hint="eastAsia" w:ascii="宋体" w:hAnsi="宋体"/>
                <w:szCs w:val="21"/>
              </w:rPr>
              <w:t>）</w:t>
            </w:r>
          </w:p>
        </w:tc>
        <w:tc>
          <w:tcPr>
            <w:tcW w:w="8865" w:type="dxa"/>
            <w:tcBorders>
              <w:top w:val="single" w:color="auto" w:sz="4" w:space="0"/>
              <w:left w:val="single" w:color="auto" w:sz="4" w:space="0"/>
              <w:bottom w:val="single" w:color="auto" w:sz="4" w:space="0"/>
              <w:right w:val="single" w:color="auto" w:sz="4" w:space="0"/>
            </w:tcBorders>
            <w:vAlign w:val="center"/>
          </w:tcPr>
          <w:p w14:paraId="5A3B7D33">
            <w:pPr>
              <w:snapToGrid w:val="0"/>
              <w:spacing w:line="360" w:lineRule="auto"/>
              <w:rPr>
                <w:rFonts w:ascii="宋体" w:hAnsi="宋体"/>
                <w:szCs w:val="21"/>
              </w:rPr>
            </w:pPr>
            <w:r>
              <w:rPr>
                <w:rFonts w:hint="eastAsia" w:ascii="宋体" w:hAnsi="宋体"/>
                <w:szCs w:val="21"/>
              </w:rPr>
              <w:t>采购人或者采购代理机构在资格审查结束前，对投标人进行信用查询。</w:t>
            </w:r>
          </w:p>
          <w:p w14:paraId="5A4E1619">
            <w:pPr>
              <w:snapToGrid w:val="0"/>
              <w:spacing w:line="360" w:lineRule="auto"/>
              <w:rPr>
                <w:rFonts w:ascii="宋体" w:hAnsi="宋体"/>
                <w:szCs w:val="21"/>
              </w:rPr>
            </w:pPr>
            <w:r>
              <w:rPr>
                <w:rFonts w:hint="eastAsia" w:ascii="宋体" w:hAnsi="宋体"/>
                <w:szCs w:val="21"/>
              </w:rPr>
              <w:t>查询渠道：“信用中国”网站（www.creditchina.gov.cn） 、中国政府采购网（www.ccgp.gov.cn）。</w:t>
            </w:r>
          </w:p>
          <w:p w14:paraId="7FFB0314">
            <w:pPr>
              <w:snapToGrid w:val="0"/>
              <w:spacing w:line="360" w:lineRule="auto"/>
              <w:rPr>
                <w:rFonts w:ascii="宋体" w:hAnsi="宋体"/>
                <w:szCs w:val="21"/>
              </w:rPr>
            </w:pPr>
            <w:r>
              <w:rPr>
                <w:rFonts w:hint="eastAsia" w:ascii="宋体" w:hAnsi="宋体"/>
                <w:szCs w:val="21"/>
              </w:rPr>
              <w:t>信用查询截止时点：资格审查结束前</w:t>
            </w:r>
          </w:p>
          <w:p w14:paraId="63E34CE8">
            <w:pPr>
              <w:snapToGrid w:val="0"/>
              <w:spacing w:line="360" w:lineRule="auto"/>
              <w:rPr>
                <w:rFonts w:ascii="宋体" w:hAnsi="宋体"/>
                <w:szCs w:val="21"/>
              </w:rPr>
            </w:pPr>
            <w:r>
              <w:rPr>
                <w:rFonts w:hint="eastAsia" w:ascii="宋体" w:hAnsi="宋体"/>
                <w:szCs w:val="21"/>
              </w:rPr>
              <w:t>查询记录和证据留存方式：在查询网站中直接截图查询记录，截图作为在广西政府采购云平台（</w:t>
            </w:r>
            <w:r>
              <w:rPr>
                <w:rFonts w:hint="eastAsia" w:ascii="宋体" w:hAnsi="宋体"/>
                <w:bCs/>
                <w:szCs w:val="21"/>
              </w:rPr>
              <w:t>https://www.gcy.zfcg.gxzf.gov.cn/</w:t>
            </w:r>
            <w:r>
              <w:rPr>
                <w:rFonts w:hint="eastAsia" w:ascii="宋体" w:hAnsi="宋体"/>
                <w:szCs w:val="21"/>
              </w:rPr>
              <w:t>）作为附件上传保存。</w:t>
            </w:r>
          </w:p>
          <w:p w14:paraId="020E51D4">
            <w:pPr>
              <w:snapToGrid w:val="0"/>
              <w:spacing w:line="360" w:lineRule="auto"/>
              <w:rPr>
                <w:rFonts w:ascii="宋体" w:hAnsi="宋体"/>
                <w:b/>
                <w:szCs w:val="21"/>
              </w:rPr>
            </w:pPr>
            <w:r>
              <w:rPr>
                <w:rFonts w:hint="eastAsia" w:ascii="宋体" w:hAnsi="宋体"/>
                <w:szCs w:val="21"/>
              </w:rPr>
              <w:t>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tc>
      </w:tr>
      <w:tr w14:paraId="1DFF32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5" w:type="dxa"/>
            <w:tcBorders>
              <w:top w:val="single" w:color="auto" w:sz="4" w:space="0"/>
              <w:left w:val="single" w:color="auto" w:sz="4" w:space="0"/>
              <w:bottom w:val="single" w:color="auto" w:sz="4" w:space="0"/>
              <w:right w:val="single" w:color="auto" w:sz="4" w:space="0"/>
            </w:tcBorders>
            <w:vAlign w:val="center"/>
          </w:tcPr>
          <w:p w14:paraId="5B196C83">
            <w:pPr>
              <w:spacing w:line="360" w:lineRule="auto"/>
              <w:jc w:val="center"/>
              <w:rPr>
                <w:rFonts w:ascii="宋体" w:hAnsi="宋体"/>
                <w:szCs w:val="21"/>
              </w:rPr>
            </w:pPr>
            <w:bookmarkStart w:id="61" w:name="_26"/>
            <w:bookmarkEnd w:id="61"/>
            <w:r>
              <w:rPr>
                <w:rFonts w:hint="eastAsia" w:ascii="宋体" w:hAnsi="宋体"/>
                <w:szCs w:val="21"/>
              </w:rPr>
              <w:t>26</w:t>
            </w:r>
            <w:r>
              <w:rPr>
                <w:rFonts w:ascii="宋体" w:hAnsi="宋体"/>
                <w:szCs w:val="21"/>
              </w:rPr>
              <w:t>.1</w:t>
            </w:r>
          </w:p>
        </w:tc>
        <w:tc>
          <w:tcPr>
            <w:tcW w:w="8865" w:type="dxa"/>
            <w:tcBorders>
              <w:top w:val="single" w:color="auto" w:sz="4" w:space="0"/>
              <w:left w:val="single" w:color="auto" w:sz="4" w:space="0"/>
              <w:bottom w:val="single" w:color="auto" w:sz="4" w:space="0"/>
              <w:right w:val="single" w:color="auto" w:sz="4" w:space="0"/>
            </w:tcBorders>
            <w:vAlign w:val="center"/>
          </w:tcPr>
          <w:p w14:paraId="2A772880">
            <w:pPr>
              <w:autoSpaceDE w:val="0"/>
              <w:autoSpaceDN w:val="0"/>
              <w:snapToGrid w:val="0"/>
              <w:spacing w:line="360" w:lineRule="auto"/>
              <w:textAlignment w:val="bottom"/>
              <w:rPr>
                <w:rFonts w:ascii="宋体" w:hAnsi="宋体"/>
                <w:szCs w:val="21"/>
              </w:rPr>
            </w:pPr>
            <w:r>
              <w:rPr>
                <w:rFonts w:hint="eastAsia" w:ascii="宋体" w:hAnsi="宋体"/>
                <w:szCs w:val="21"/>
              </w:rPr>
              <w:t>评标委员会的人数：</w:t>
            </w:r>
            <w:r>
              <w:rPr>
                <w:rFonts w:hint="eastAsia" w:ascii="宋体" w:hAnsi="宋体"/>
                <w:szCs w:val="21"/>
                <w:u w:val="single"/>
              </w:rPr>
              <w:t xml:space="preserve"> 5 </w:t>
            </w:r>
            <w:r>
              <w:rPr>
                <w:rFonts w:hint="eastAsia" w:ascii="宋体" w:hAnsi="宋体"/>
                <w:szCs w:val="21"/>
              </w:rPr>
              <w:t>人</w:t>
            </w:r>
          </w:p>
        </w:tc>
      </w:tr>
      <w:tr w14:paraId="3E1708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5" w:type="dxa"/>
            <w:tcBorders>
              <w:top w:val="single" w:color="auto" w:sz="4" w:space="0"/>
              <w:left w:val="single" w:color="auto" w:sz="4" w:space="0"/>
              <w:bottom w:val="single" w:color="auto" w:sz="4" w:space="0"/>
              <w:right w:val="single" w:color="auto" w:sz="4" w:space="0"/>
            </w:tcBorders>
            <w:vAlign w:val="center"/>
          </w:tcPr>
          <w:p w14:paraId="757B9440">
            <w:pPr>
              <w:spacing w:line="360" w:lineRule="auto"/>
              <w:jc w:val="center"/>
              <w:rPr>
                <w:rFonts w:ascii="宋体" w:hAnsi="宋体"/>
                <w:szCs w:val="21"/>
              </w:rPr>
            </w:pPr>
            <w:bookmarkStart w:id="62" w:name="_28.3"/>
            <w:bookmarkEnd w:id="62"/>
            <w:r>
              <w:rPr>
                <w:rFonts w:ascii="宋体" w:hAnsi="宋体"/>
                <w:szCs w:val="21"/>
              </w:rPr>
              <w:t>29.1</w:t>
            </w:r>
          </w:p>
        </w:tc>
        <w:tc>
          <w:tcPr>
            <w:tcW w:w="8865" w:type="dxa"/>
            <w:tcBorders>
              <w:top w:val="single" w:color="auto" w:sz="4" w:space="0"/>
              <w:left w:val="single" w:color="auto" w:sz="4" w:space="0"/>
              <w:bottom w:val="single" w:color="auto" w:sz="4" w:space="0"/>
              <w:right w:val="single" w:color="auto" w:sz="4" w:space="0"/>
            </w:tcBorders>
            <w:vAlign w:val="center"/>
          </w:tcPr>
          <w:p w14:paraId="26136EE0">
            <w:pPr>
              <w:autoSpaceDE w:val="0"/>
              <w:autoSpaceDN w:val="0"/>
              <w:snapToGrid w:val="0"/>
              <w:spacing w:line="360" w:lineRule="auto"/>
              <w:textAlignment w:val="bottom"/>
              <w:rPr>
                <w:rFonts w:ascii="宋体" w:hAnsi="宋体"/>
                <w:szCs w:val="21"/>
              </w:rPr>
            </w:pPr>
            <w:r>
              <w:rPr>
                <w:rFonts w:hint="eastAsia" w:ascii="宋体" w:hAnsi="宋体"/>
                <w:szCs w:val="21"/>
              </w:rPr>
              <w:t>评标方法：</w:t>
            </w:r>
          </w:p>
          <w:p w14:paraId="0A504483">
            <w:pPr>
              <w:autoSpaceDE w:val="0"/>
              <w:autoSpaceDN w:val="0"/>
              <w:snapToGrid w:val="0"/>
              <w:spacing w:line="360" w:lineRule="auto"/>
              <w:textAlignment w:val="bottom"/>
              <w:rPr>
                <w:rFonts w:ascii="宋体" w:hAnsi="宋体"/>
                <w:szCs w:val="21"/>
              </w:rPr>
            </w:pPr>
            <w:r>
              <w:rPr>
                <w:rFonts w:hint="eastAsia" w:ascii="宋体" w:hAnsi="宋体"/>
                <w:szCs w:val="21"/>
              </w:rPr>
              <w:t>☑综合评分法</w:t>
            </w:r>
          </w:p>
          <w:p w14:paraId="7C9E8A74">
            <w:pPr>
              <w:autoSpaceDE w:val="0"/>
              <w:autoSpaceDN w:val="0"/>
              <w:snapToGrid w:val="0"/>
              <w:spacing w:line="360" w:lineRule="auto"/>
              <w:textAlignment w:val="bottom"/>
              <w:rPr>
                <w:rFonts w:ascii="宋体" w:hAnsi="宋体"/>
                <w:szCs w:val="21"/>
              </w:rPr>
            </w:pPr>
            <w:r>
              <w:rPr>
                <w:rFonts w:hint="eastAsia" w:ascii="宋体" w:hAnsi="宋体"/>
                <w:szCs w:val="21"/>
              </w:rPr>
              <w:t>□最低评标价法</w:t>
            </w:r>
          </w:p>
        </w:tc>
      </w:tr>
      <w:tr w14:paraId="401807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95" w:type="dxa"/>
            <w:tcBorders>
              <w:top w:val="single" w:color="auto" w:sz="4" w:space="0"/>
              <w:left w:val="single" w:color="auto" w:sz="4" w:space="0"/>
              <w:bottom w:val="single" w:color="auto" w:sz="4" w:space="0"/>
              <w:right w:val="single" w:color="auto" w:sz="4" w:space="0"/>
            </w:tcBorders>
            <w:vAlign w:val="center"/>
          </w:tcPr>
          <w:p w14:paraId="5C9D55C4">
            <w:pPr>
              <w:spacing w:line="360" w:lineRule="auto"/>
              <w:jc w:val="center"/>
              <w:rPr>
                <w:rFonts w:ascii="宋体" w:hAnsi="宋体"/>
                <w:szCs w:val="21"/>
              </w:rPr>
            </w:pPr>
            <w:bookmarkStart w:id="63" w:name="_29.2.2（2）"/>
            <w:bookmarkEnd w:id="63"/>
            <w:r>
              <w:rPr>
                <w:rFonts w:hint="eastAsia" w:ascii="宋体" w:hAnsi="宋体"/>
                <w:szCs w:val="21"/>
              </w:rPr>
              <w:t>2</w:t>
            </w:r>
            <w:r>
              <w:rPr>
                <w:rFonts w:ascii="宋体" w:hAnsi="宋体"/>
                <w:szCs w:val="21"/>
              </w:rPr>
              <w:t>9.2</w:t>
            </w:r>
          </w:p>
        </w:tc>
        <w:tc>
          <w:tcPr>
            <w:tcW w:w="8865" w:type="dxa"/>
            <w:tcBorders>
              <w:top w:val="single" w:color="auto" w:sz="4" w:space="0"/>
              <w:left w:val="single" w:color="auto" w:sz="4" w:space="0"/>
              <w:right w:val="single" w:color="auto" w:sz="4" w:space="0"/>
            </w:tcBorders>
            <w:vAlign w:val="center"/>
          </w:tcPr>
          <w:p w14:paraId="35F50854">
            <w:pPr>
              <w:snapToGrid w:val="0"/>
              <w:spacing w:line="360" w:lineRule="auto"/>
              <w:rPr>
                <w:rFonts w:ascii="宋体" w:hAnsi="宋体"/>
                <w:szCs w:val="21"/>
              </w:rPr>
            </w:pPr>
            <w:r>
              <w:rPr>
                <w:rFonts w:hint="eastAsia" w:ascii="宋体" w:hAnsi="宋体" w:cs="宋体"/>
                <w:szCs w:val="21"/>
              </w:rPr>
              <w:t>商务要求</w:t>
            </w:r>
            <w:r>
              <w:rPr>
                <w:rFonts w:hint="eastAsia" w:ascii="宋体" w:hAnsi="宋体"/>
                <w:szCs w:val="21"/>
              </w:rPr>
              <w:t>评审中允许负偏离的条款数为</w:t>
            </w:r>
            <w:r>
              <w:rPr>
                <w:rFonts w:hint="eastAsia" w:ascii="宋体" w:hAnsi="宋体"/>
                <w:szCs w:val="21"/>
                <w:u w:val="single"/>
              </w:rPr>
              <w:t>0</w:t>
            </w:r>
            <w:r>
              <w:rPr>
                <w:rFonts w:hint="eastAsia" w:ascii="宋体" w:hAnsi="宋体"/>
                <w:szCs w:val="21"/>
              </w:rPr>
              <w:t>项。</w:t>
            </w:r>
          </w:p>
          <w:p w14:paraId="3336A574">
            <w:pPr>
              <w:snapToGrid w:val="0"/>
              <w:spacing w:line="360" w:lineRule="auto"/>
              <w:rPr>
                <w:rFonts w:ascii="宋体" w:hAnsi="宋体"/>
                <w:szCs w:val="21"/>
              </w:rPr>
            </w:pPr>
            <w:r>
              <w:rPr>
                <w:rFonts w:hint="eastAsia" w:ascii="宋体" w:hAnsi="宋体" w:cs="宋体"/>
                <w:szCs w:val="21"/>
              </w:rPr>
              <w:t>技术要求</w:t>
            </w:r>
            <w:r>
              <w:rPr>
                <w:rFonts w:hint="eastAsia" w:ascii="宋体" w:hAnsi="宋体"/>
                <w:szCs w:val="21"/>
              </w:rPr>
              <w:t>评审中允许负偏离的条款数为</w:t>
            </w:r>
            <w:r>
              <w:rPr>
                <w:rFonts w:hint="eastAsia" w:ascii="宋体" w:hAnsi="宋体"/>
                <w:szCs w:val="21"/>
                <w:u w:val="single"/>
              </w:rPr>
              <w:t>3</w:t>
            </w:r>
            <w:r>
              <w:rPr>
                <w:rFonts w:hint="eastAsia" w:ascii="宋体" w:hAnsi="宋体"/>
                <w:szCs w:val="21"/>
              </w:rPr>
              <w:t>项。</w:t>
            </w:r>
          </w:p>
        </w:tc>
      </w:tr>
      <w:tr w14:paraId="2A25E5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95" w:type="dxa"/>
            <w:tcBorders>
              <w:top w:val="single" w:color="auto" w:sz="4" w:space="0"/>
              <w:left w:val="single" w:color="auto" w:sz="4" w:space="0"/>
              <w:bottom w:val="single" w:color="auto" w:sz="4" w:space="0"/>
              <w:right w:val="single" w:color="auto" w:sz="4" w:space="0"/>
            </w:tcBorders>
            <w:vAlign w:val="center"/>
          </w:tcPr>
          <w:p w14:paraId="744A8A52">
            <w:pPr>
              <w:spacing w:line="360" w:lineRule="auto"/>
              <w:jc w:val="center"/>
              <w:rPr>
                <w:rFonts w:ascii="宋体" w:hAnsi="宋体"/>
                <w:szCs w:val="21"/>
              </w:rPr>
            </w:pPr>
            <w:r>
              <w:rPr>
                <w:rFonts w:hint="eastAsia" w:ascii="宋体" w:hAnsi="宋体"/>
                <w:szCs w:val="21"/>
              </w:rPr>
              <w:t>2</w:t>
            </w:r>
            <w:r>
              <w:rPr>
                <w:rFonts w:ascii="宋体" w:hAnsi="宋体"/>
                <w:szCs w:val="21"/>
              </w:rPr>
              <w:t>9.3</w:t>
            </w:r>
          </w:p>
        </w:tc>
        <w:tc>
          <w:tcPr>
            <w:tcW w:w="8865" w:type="dxa"/>
            <w:tcBorders>
              <w:top w:val="single" w:color="auto" w:sz="4" w:space="0"/>
              <w:left w:val="single" w:color="auto" w:sz="4" w:space="0"/>
              <w:right w:val="single" w:color="auto" w:sz="4" w:space="0"/>
            </w:tcBorders>
            <w:vAlign w:val="center"/>
          </w:tcPr>
          <w:p w14:paraId="2957AA59">
            <w:pPr>
              <w:snapToGrid w:val="0"/>
              <w:spacing w:line="360" w:lineRule="auto"/>
              <w:rPr>
                <w:rFonts w:ascii="宋体" w:hAnsi="宋体" w:cs="宋体"/>
                <w:szCs w:val="21"/>
                <w:u w:val="single"/>
              </w:rPr>
            </w:pPr>
            <w:r>
              <w:rPr>
                <w:rFonts w:hAnsi="宋体"/>
              </w:rPr>
              <w:t>中标候选人推荐数量</w:t>
            </w:r>
            <w:r>
              <w:rPr>
                <w:rFonts w:hint="eastAsia" w:hAnsi="宋体"/>
              </w:rPr>
              <w:t>：根据总得分由高到低（综合评分法）排列次序并推荐得分排名前 3 名为中标候选人。</w:t>
            </w:r>
          </w:p>
        </w:tc>
      </w:tr>
      <w:tr w14:paraId="429A3F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5" w:type="dxa"/>
            <w:tcBorders>
              <w:top w:val="single" w:color="auto" w:sz="4" w:space="0"/>
              <w:left w:val="single" w:color="auto" w:sz="4" w:space="0"/>
              <w:bottom w:val="single" w:color="auto" w:sz="4" w:space="0"/>
              <w:right w:val="single" w:color="auto" w:sz="4" w:space="0"/>
            </w:tcBorders>
            <w:vAlign w:val="center"/>
          </w:tcPr>
          <w:p w14:paraId="0814B66D">
            <w:pPr>
              <w:spacing w:line="360" w:lineRule="auto"/>
              <w:jc w:val="center"/>
              <w:rPr>
                <w:rFonts w:ascii="宋体" w:hAnsi="宋体"/>
                <w:szCs w:val="21"/>
              </w:rPr>
            </w:pPr>
            <w:r>
              <w:rPr>
                <w:rFonts w:hint="eastAsia" w:ascii="宋体" w:hAnsi="宋体"/>
                <w:szCs w:val="21"/>
              </w:rPr>
              <w:t>30</w:t>
            </w:r>
            <w:r>
              <w:rPr>
                <w:rFonts w:ascii="宋体" w:hAnsi="宋体"/>
                <w:szCs w:val="21"/>
              </w:rPr>
              <w:t>.1</w:t>
            </w:r>
          </w:p>
        </w:tc>
        <w:tc>
          <w:tcPr>
            <w:tcW w:w="8865" w:type="dxa"/>
            <w:tcBorders>
              <w:top w:val="single" w:color="auto" w:sz="4" w:space="0"/>
              <w:left w:val="single" w:color="auto" w:sz="4" w:space="0"/>
              <w:bottom w:val="single" w:color="auto" w:sz="4" w:space="0"/>
              <w:right w:val="single" w:color="auto" w:sz="4" w:space="0"/>
            </w:tcBorders>
            <w:vAlign w:val="center"/>
          </w:tcPr>
          <w:p w14:paraId="5531AD6A">
            <w:pPr>
              <w:autoSpaceDE w:val="0"/>
              <w:autoSpaceDN w:val="0"/>
              <w:snapToGrid w:val="0"/>
              <w:spacing w:line="360" w:lineRule="auto"/>
              <w:textAlignment w:val="bottom"/>
              <w:rPr>
                <w:rFonts w:ascii="宋体" w:hAnsi="宋体"/>
                <w:szCs w:val="21"/>
              </w:rPr>
            </w:pPr>
            <w:r>
              <w:rPr>
                <w:rFonts w:hint="eastAsia" w:ascii="宋体" w:hAnsi="宋体"/>
                <w:sz w:val="22"/>
                <w:szCs w:val="22"/>
              </w:rPr>
              <w:t>采用综合评分法的采购项目，</w:t>
            </w:r>
            <w:r>
              <w:rPr>
                <w:rFonts w:hint="eastAsia" w:ascii="宋体" w:hAnsi="宋体"/>
                <w:szCs w:val="21"/>
              </w:rPr>
              <w:t>采购人确定中标人时，出现中标候选人并列的情形，采购人按以下的方式确定中标人：依次按投标报价低的优先、政策分得分高的优先、技术评分高的优先、商务评分高的优先、质保期长优先、交货期短优先、故障响应时间短优先的顺序确定。</w:t>
            </w:r>
          </w:p>
        </w:tc>
      </w:tr>
      <w:tr w14:paraId="08A5E5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95" w:type="dxa"/>
            <w:tcBorders>
              <w:top w:val="single" w:color="auto" w:sz="4" w:space="0"/>
              <w:left w:val="single" w:color="auto" w:sz="4" w:space="0"/>
              <w:bottom w:val="single" w:color="auto" w:sz="4" w:space="0"/>
              <w:right w:val="single" w:color="auto" w:sz="4" w:space="0"/>
            </w:tcBorders>
            <w:vAlign w:val="center"/>
          </w:tcPr>
          <w:p w14:paraId="2A3052B3">
            <w:pPr>
              <w:spacing w:line="360" w:lineRule="auto"/>
              <w:jc w:val="center"/>
              <w:rPr>
                <w:rFonts w:ascii="宋体" w:hAnsi="宋体"/>
                <w:szCs w:val="21"/>
                <w:highlight w:val="none"/>
              </w:rPr>
            </w:pPr>
            <w:bookmarkStart w:id="64" w:name="_39.1"/>
            <w:bookmarkEnd w:id="64"/>
            <w:r>
              <w:rPr>
                <w:rFonts w:hint="eastAsia" w:ascii="宋体" w:hAnsi="宋体"/>
                <w:szCs w:val="21"/>
                <w:highlight w:val="none"/>
              </w:rPr>
              <w:t>35</w:t>
            </w:r>
            <w:r>
              <w:rPr>
                <w:rFonts w:ascii="宋体" w:hAnsi="宋体"/>
                <w:szCs w:val="21"/>
                <w:highlight w:val="none"/>
              </w:rPr>
              <w:t>.1</w:t>
            </w:r>
          </w:p>
        </w:tc>
        <w:tc>
          <w:tcPr>
            <w:tcW w:w="8865" w:type="dxa"/>
            <w:tcBorders>
              <w:top w:val="single" w:color="auto" w:sz="4" w:space="0"/>
              <w:left w:val="single" w:color="auto" w:sz="4" w:space="0"/>
              <w:bottom w:val="single" w:color="auto" w:sz="4" w:space="0"/>
              <w:right w:val="single" w:color="auto" w:sz="4" w:space="0"/>
            </w:tcBorders>
            <w:vAlign w:val="center"/>
          </w:tcPr>
          <w:p w14:paraId="5C872E6A">
            <w:pPr>
              <w:pageBreakBefore w:val="0"/>
              <w:widowControl w:val="0"/>
              <w:kinsoku/>
              <w:wordWrap/>
              <w:overflowPunct/>
              <w:topLinePunct w:val="0"/>
              <w:bidi w:val="0"/>
              <w:adjustRightInd/>
              <w:snapToGrid w:val="0"/>
              <w:spacing w:line="360" w:lineRule="auto"/>
              <w:rPr>
                <w:rFonts w:hint="eastAsia" w:ascii="宋体" w:hAnsi="宋体"/>
                <w:color w:val="auto"/>
                <w:szCs w:val="21"/>
                <w:highlight w:val="none"/>
              </w:rPr>
            </w:pPr>
            <w:r>
              <w:rPr>
                <w:rFonts w:hint="eastAsia" w:ascii="宋体" w:hAnsi="宋体"/>
                <w:color w:val="auto"/>
                <w:szCs w:val="21"/>
                <w:highlight w:val="none"/>
              </w:rPr>
              <w:t>本项目收取履约保证金，具体规定如下：</w:t>
            </w:r>
          </w:p>
          <w:p w14:paraId="6548993A">
            <w:pPr>
              <w:pageBreakBefore w:val="0"/>
              <w:widowControl w:val="0"/>
              <w:kinsoku/>
              <w:wordWrap/>
              <w:overflowPunct/>
              <w:topLinePunct w:val="0"/>
              <w:bidi w:val="0"/>
              <w:adjustRightInd/>
              <w:snapToGrid w:val="0"/>
              <w:spacing w:line="360" w:lineRule="auto"/>
              <w:rPr>
                <w:rFonts w:hint="eastAsia" w:ascii="宋体" w:hAnsi="宋体"/>
                <w:color w:val="auto"/>
                <w:szCs w:val="21"/>
                <w:highlight w:val="none"/>
              </w:rPr>
            </w:pPr>
            <w:r>
              <w:rPr>
                <w:rFonts w:hint="eastAsia" w:ascii="宋体" w:hAnsi="宋体"/>
                <w:color w:val="auto"/>
                <w:szCs w:val="21"/>
                <w:highlight w:val="none"/>
              </w:rPr>
              <w:t>1.履约保证金金额：按中标金额的2%收取，双方签订合同后5个工作日内，中标供应商缴纳至采购人指定账户。</w:t>
            </w:r>
          </w:p>
          <w:p w14:paraId="17A73D13">
            <w:pPr>
              <w:pageBreakBefore w:val="0"/>
              <w:widowControl w:val="0"/>
              <w:kinsoku/>
              <w:wordWrap/>
              <w:overflowPunct/>
              <w:topLinePunct w:val="0"/>
              <w:bidi w:val="0"/>
              <w:adjustRightInd/>
              <w:snapToGrid w:val="0"/>
              <w:spacing w:line="360" w:lineRule="auto"/>
              <w:rPr>
                <w:rFonts w:hint="eastAsia" w:ascii="宋体" w:hAnsi="宋体"/>
                <w:color w:val="auto"/>
                <w:szCs w:val="21"/>
                <w:highlight w:val="none"/>
              </w:rPr>
            </w:pPr>
            <w:r>
              <w:rPr>
                <w:rFonts w:hint="eastAsia" w:ascii="宋体" w:hAnsi="宋体"/>
                <w:color w:val="auto"/>
                <w:szCs w:val="21"/>
                <w:highlight w:val="none"/>
              </w:rPr>
              <w:t>2.履约保证金递交方式：银行、保险机构出具的保函等非现金方式。</w:t>
            </w:r>
          </w:p>
          <w:p w14:paraId="44DB364B">
            <w:pPr>
              <w:pageBreakBefore w:val="0"/>
              <w:widowControl w:val="0"/>
              <w:kinsoku/>
              <w:wordWrap/>
              <w:overflowPunct/>
              <w:topLinePunct w:val="0"/>
              <w:bidi w:val="0"/>
              <w:adjustRightInd/>
              <w:snapToGrid w:val="0"/>
              <w:spacing w:line="360" w:lineRule="auto"/>
              <w:rPr>
                <w:rFonts w:hint="eastAsia" w:ascii="宋体" w:hAnsi="宋体"/>
                <w:color w:val="auto"/>
                <w:szCs w:val="21"/>
                <w:highlight w:val="none"/>
              </w:rPr>
            </w:pPr>
            <w:r>
              <w:rPr>
                <w:rFonts w:hint="eastAsia" w:ascii="宋体" w:hAnsi="宋体"/>
                <w:color w:val="auto"/>
                <w:szCs w:val="21"/>
                <w:highlight w:val="none"/>
              </w:rPr>
              <w:t>3.履约保证金退付的方式、时间及条件：中标供应商按承诺履约，产品安装验收合格，中标人向采购人提供《广西壮族自治区政府采购项目合同验收书》（详见桂财采〔2015〕22号），采购人在收到合格材料后5个工作日内办理退还手续（不计利息）（如有涉及违约行为的，扣除违约金后退还）。</w:t>
            </w:r>
          </w:p>
          <w:p w14:paraId="659921D6">
            <w:pPr>
              <w:pageBreakBefore w:val="0"/>
              <w:widowControl w:val="0"/>
              <w:kinsoku/>
              <w:wordWrap/>
              <w:overflowPunct/>
              <w:topLinePunct w:val="0"/>
              <w:bidi w:val="0"/>
              <w:adjustRightInd/>
              <w:snapToGrid w:val="0"/>
              <w:spacing w:line="360" w:lineRule="auto"/>
              <w:rPr>
                <w:rFonts w:hint="eastAsia" w:ascii="宋体" w:hAnsi="宋体"/>
                <w:color w:val="auto"/>
                <w:szCs w:val="21"/>
                <w:highlight w:val="none"/>
              </w:rPr>
            </w:pPr>
            <w:r>
              <w:rPr>
                <w:rFonts w:hint="eastAsia" w:ascii="宋体" w:hAnsi="宋体"/>
                <w:color w:val="auto"/>
                <w:szCs w:val="21"/>
                <w:highlight w:val="none"/>
              </w:rPr>
              <w:t>4.不予退还的情形：签订合同后，如中标人不按双方签订的合同规定履约，则其全部履约保证金不予退还。</w:t>
            </w:r>
          </w:p>
          <w:p w14:paraId="1F58D65D">
            <w:pPr>
              <w:pageBreakBefore w:val="0"/>
              <w:widowControl w:val="0"/>
              <w:kinsoku/>
              <w:wordWrap/>
              <w:overflowPunct/>
              <w:topLinePunct w:val="0"/>
              <w:bidi w:val="0"/>
              <w:adjustRightInd/>
              <w:snapToGrid w:val="0"/>
              <w:spacing w:line="360" w:lineRule="auto"/>
              <w:rPr>
                <w:rFonts w:hint="eastAsia" w:ascii="宋体" w:hAnsi="宋体"/>
                <w:color w:val="auto"/>
                <w:szCs w:val="21"/>
                <w:highlight w:val="none"/>
              </w:rPr>
            </w:pPr>
            <w:r>
              <w:rPr>
                <w:rFonts w:hint="eastAsia" w:ascii="宋体" w:hAnsi="宋体"/>
                <w:color w:val="auto"/>
                <w:szCs w:val="21"/>
                <w:highlight w:val="none"/>
              </w:rPr>
              <w:t>备注：</w:t>
            </w:r>
          </w:p>
          <w:p w14:paraId="369582E9">
            <w:pPr>
              <w:pageBreakBefore w:val="0"/>
              <w:widowControl w:val="0"/>
              <w:kinsoku/>
              <w:wordWrap/>
              <w:overflowPunct/>
              <w:topLinePunct w:val="0"/>
              <w:bidi w:val="0"/>
              <w:adjustRightInd/>
              <w:snapToGrid w:val="0"/>
              <w:spacing w:line="360" w:lineRule="auto"/>
              <w:rPr>
                <w:rFonts w:hint="eastAsia" w:ascii="宋体" w:hAnsi="宋体"/>
                <w:color w:val="auto"/>
                <w:szCs w:val="21"/>
                <w:highlight w:val="none"/>
              </w:rPr>
            </w:pPr>
            <w:r>
              <w:rPr>
                <w:rFonts w:hint="eastAsia" w:ascii="宋体" w:hAnsi="宋体"/>
                <w:color w:val="auto"/>
                <w:szCs w:val="21"/>
                <w:highlight w:val="none"/>
              </w:rPr>
              <w:t>1.根据《广西壮族自治区财政厅关于持续优化政府采购营商环境推动高质量发展的通知》（桂财采〔2024〕55号）规定，对中小企业收取的履约保证金数额不得超过政府采购合同金额的2%。</w:t>
            </w:r>
          </w:p>
          <w:p w14:paraId="129700AA">
            <w:pPr>
              <w:pageBreakBefore w:val="0"/>
              <w:widowControl w:val="0"/>
              <w:kinsoku/>
              <w:wordWrap/>
              <w:overflowPunct/>
              <w:topLinePunct w:val="0"/>
              <w:bidi w:val="0"/>
              <w:adjustRightInd/>
              <w:snapToGrid w:val="0"/>
              <w:spacing w:line="360" w:lineRule="auto"/>
              <w:rPr>
                <w:rFonts w:hint="eastAsia" w:ascii="宋体" w:hAnsi="宋体"/>
                <w:color w:val="auto"/>
                <w:szCs w:val="21"/>
                <w:highlight w:val="none"/>
              </w:rPr>
            </w:pPr>
            <w:r>
              <w:rPr>
                <w:rFonts w:hint="eastAsia" w:ascii="宋体" w:hAnsi="宋体"/>
                <w:color w:val="auto"/>
                <w:szCs w:val="21"/>
                <w:highlight w:val="none"/>
              </w:rPr>
              <w:t>2.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4BDC8F8F">
            <w:pPr>
              <w:pageBreakBefore w:val="0"/>
              <w:widowControl w:val="0"/>
              <w:kinsoku/>
              <w:wordWrap/>
              <w:overflowPunct/>
              <w:topLinePunct w:val="0"/>
              <w:bidi w:val="0"/>
              <w:adjustRightInd/>
              <w:snapToGrid w:val="0"/>
              <w:spacing w:line="360" w:lineRule="auto"/>
              <w:rPr>
                <w:highlight w:val="none"/>
              </w:rPr>
            </w:pPr>
            <w:r>
              <w:rPr>
                <w:rFonts w:hint="eastAsia" w:ascii="宋体" w:hAnsi="宋体"/>
                <w:color w:val="auto"/>
                <w:szCs w:val="21"/>
                <w:highlight w:val="none"/>
              </w:rPr>
              <w:t>3.采用银行、保险机构出具的保函的，必须为无条件保函，否则不予签订合同。</w:t>
            </w:r>
          </w:p>
        </w:tc>
      </w:tr>
      <w:tr w14:paraId="120BC4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5" w:type="dxa"/>
            <w:tcBorders>
              <w:top w:val="single" w:color="auto" w:sz="4" w:space="0"/>
              <w:left w:val="single" w:color="auto" w:sz="4" w:space="0"/>
              <w:bottom w:val="single" w:color="auto" w:sz="4" w:space="0"/>
              <w:right w:val="single" w:color="auto" w:sz="4" w:space="0"/>
            </w:tcBorders>
            <w:vAlign w:val="center"/>
          </w:tcPr>
          <w:p w14:paraId="7EEA2451">
            <w:pPr>
              <w:spacing w:line="360" w:lineRule="auto"/>
              <w:jc w:val="center"/>
              <w:rPr>
                <w:rFonts w:ascii="宋体" w:hAnsi="宋体"/>
                <w:szCs w:val="21"/>
              </w:rPr>
            </w:pPr>
            <w:bookmarkStart w:id="65" w:name="_40.1"/>
            <w:bookmarkEnd w:id="65"/>
            <w:r>
              <w:rPr>
                <w:rFonts w:hint="eastAsia" w:ascii="宋体" w:hAnsi="宋体"/>
                <w:szCs w:val="21"/>
              </w:rPr>
              <w:t>36.1</w:t>
            </w:r>
          </w:p>
        </w:tc>
        <w:tc>
          <w:tcPr>
            <w:tcW w:w="8865" w:type="dxa"/>
            <w:tcBorders>
              <w:top w:val="single" w:color="auto" w:sz="4" w:space="0"/>
              <w:left w:val="single" w:color="auto" w:sz="4" w:space="0"/>
              <w:bottom w:val="single" w:color="auto" w:sz="4" w:space="0"/>
              <w:right w:val="single" w:color="auto" w:sz="4" w:space="0"/>
            </w:tcBorders>
            <w:vAlign w:val="center"/>
          </w:tcPr>
          <w:p w14:paraId="71F5B069">
            <w:pPr>
              <w:autoSpaceDE w:val="0"/>
              <w:autoSpaceDN w:val="0"/>
              <w:snapToGrid w:val="0"/>
              <w:spacing w:line="360" w:lineRule="auto"/>
              <w:textAlignment w:val="bottom"/>
              <w:rPr>
                <w:rFonts w:ascii="宋体" w:hAnsi="宋体"/>
                <w:szCs w:val="21"/>
              </w:rPr>
            </w:pPr>
            <w:r>
              <w:rPr>
                <w:rFonts w:hint="eastAsia" w:ascii="宋体" w:hAnsi="宋体"/>
                <w:szCs w:val="21"/>
              </w:rPr>
              <w:t xml:space="preserve">签订合同携带的证明材料： </w:t>
            </w:r>
          </w:p>
          <w:p w14:paraId="69963B77">
            <w:pPr>
              <w:autoSpaceDE w:val="0"/>
              <w:autoSpaceDN w:val="0"/>
              <w:snapToGrid w:val="0"/>
              <w:spacing w:line="360" w:lineRule="auto"/>
              <w:textAlignment w:val="bottom"/>
              <w:rPr>
                <w:rFonts w:ascii="宋体" w:hAnsi="宋体"/>
                <w:szCs w:val="21"/>
              </w:rPr>
            </w:pPr>
            <w:r>
              <w:rPr>
                <w:rFonts w:hint="eastAsia" w:ascii="宋体" w:hAnsi="宋体"/>
                <w:szCs w:val="21"/>
              </w:rPr>
              <w:t>委托代理人负责签订合同的，须携带授权委托书及委托代理人身份证原件等其他资格证件。</w:t>
            </w:r>
          </w:p>
          <w:p w14:paraId="07FB925D">
            <w:pPr>
              <w:autoSpaceDE w:val="0"/>
              <w:autoSpaceDN w:val="0"/>
              <w:snapToGrid w:val="0"/>
              <w:spacing w:line="360" w:lineRule="auto"/>
              <w:textAlignment w:val="bottom"/>
              <w:rPr>
                <w:rFonts w:ascii="宋体" w:hAnsi="宋体"/>
                <w:szCs w:val="21"/>
              </w:rPr>
            </w:pPr>
            <w:r>
              <w:rPr>
                <w:rFonts w:hint="eastAsia" w:ascii="宋体" w:hAnsi="宋体"/>
                <w:szCs w:val="21"/>
              </w:rPr>
              <w:t>法定代表人负责签订合同的，须携带法定代表人</w:t>
            </w:r>
            <w:r>
              <w:rPr>
                <w:rFonts w:ascii="宋体" w:hAnsi="宋体"/>
                <w:szCs w:val="21"/>
              </w:rPr>
              <w:t>身份证明原件</w:t>
            </w:r>
            <w:r>
              <w:rPr>
                <w:rFonts w:hint="eastAsia" w:ascii="宋体" w:hAnsi="宋体"/>
                <w:szCs w:val="21"/>
              </w:rPr>
              <w:t>及</w:t>
            </w:r>
            <w:r>
              <w:rPr>
                <w:rFonts w:ascii="宋体" w:hAnsi="宋体"/>
                <w:szCs w:val="21"/>
              </w:rPr>
              <w:t>身份证原件</w:t>
            </w:r>
            <w:r>
              <w:rPr>
                <w:rFonts w:hint="eastAsia" w:ascii="宋体" w:hAnsi="宋体"/>
                <w:szCs w:val="21"/>
              </w:rPr>
              <w:t>等其他证明材料。</w:t>
            </w:r>
          </w:p>
        </w:tc>
      </w:tr>
      <w:tr w14:paraId="62B124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5" w:type="dxa"/>
            <w:tcBorders>
              <w:top w:val="single" w:color="auto" w:sz="4" w:space="0"/>
              <w:left w:val="single" w:color="auto" w:sz="4" w:space="0"/>
              <w:bottom w:val="single" w:color="auto" w:sz="4" w:space="0"/>
              <w:right w:val="single" w:color="auto" w:sz="4" w:space="0"/>
            </w:tcBorders>
            <w:vAlign w:val="center"/>
          </w:tcPr>
          <w:p w14:paraId="38FFFB06">
            <w:pPr>
              <w:spacing w:line="360" w:lineRule="auto"/>
              <w:jc w:val="center"/>
              <w:rPr>
                <w:rFonts w:ascii="宋体" w:hAnsi="宋体"/>
                <w:szCs w:val="21"/>
              </w:rPr>
            </w:pPr>
            <w:r>
              <w:rPr>
                <w:rFonts w:hint="eastAsia" w:ascii="宋体" w:hAnsi="宋体"/>
                <w:szCs w:val="21"/>
              </w:rPr>
              <w:t>3</w:t>
            </w:r>
            <w:r>
              <w:rPr>
                <w:rFonts w:ascii="宋体" w:hAnsi="宋体"/>
                <w:szCs w:val="21"/>
              </w:rPr>
              <w:t>8.2</w:t>
            </w:r>
          </w:p>
        </w:tc>
        <w:tc>
          <w:tcPr>
            <w:tcW w:w="8865" w:type="dxa"/>
            <w:tcBorders>
              <w:top w:val="single" w:color="auto" w:sz="4" w:space="0"/>
              <w:left w:val="single" w:color="auto" w:sz="4" w:space="0"/>
              <w:bottom w:val="single" w:color="auto" w:sz="4" w:space="0"/>
              <w:right w:val="single" w:color="auto" w:sz="4" w:space="0"/>
            </w:tcBorders>
            <w:vAlign w:val="center"/>
          </w:tcPr>
          <w:p w14:paraId="39E88096">
            <w:pPr>
              <w:snapToGrid w:val="0"/>
              <w:spacing w:line="360" w:lineRule="auto"/>
              <w:rPr>
                <w:rFonts w:ascii="宋体" w:hAnsi="宋体"/>
                <w:szCs w:val="21"/>
              </w:rPr>
            </w:pPr>
            <w:r>
              <w:rPr>
                <w:rFonts w:hint="eastAsia" w:ascii="宋体" w:hAnsi="宋体"/>
                <w:szCs w:val="21"/>
              </w:rPr>
              <w:t>接收质疑函方式：以书面形式</w:t>
            </w:r>
          </w:p>
          <w:p w14:paraId="10ADD35C">
            <w:pPr>
              <w:snapToGrid w:val="0"/>
              <w:spacing w:line="360" w:lineRule="auto"/>
              <w:rPr>
                <w:rFonts w:ascii="宋体" w:hAnsi="宋体" w:cs="宋体"/>
                <w:szCs w:val="21"/>
              </w:rPr>
            </w:pPr>
            <w:r>
              <w:rPr>
                <w:rFonts w:hint="eastAsia" w:ascii="宋体" w:hAnsi="宋体"/>
                <w:szCs w:val="21"/>
              </w:rPr>
              <w:t>质疑联系部门及联系方式：</w:t>
            </w:r>
            <w:r>
              <w:rPr>
                <w:rFonts w:hint="eastAsia" w:ascii="宋体" w:hAnsi="宋体"/>
                <w:szCs w:val="21"/>
                <w:lang w:eastAsia="zh-CN"/>
              </w:rPr>
              <w:t>广西政投项目咨询有限公司</w:t>
            </w:r>
            <w:r>
              <w:rPr>
                <w:rFonts w:hint="eastAsia" w:ascii="宋体" w:hAnsi="宋体"/>
                <w:szCs w:val="21"/>
              </w:rPr>
              <w:t>，</w:t>
            </w:r>
            <w:r>
              <w:rPr>
                <w:rFonts w:ascii="宋体" w:hAnsi="宋体"/>
                <w:szCs w:val="21"/>
              </w:rPr>
              <w:t>联系电话</w:t>
            </w:r>
            <w:r>
              <w:rPr>
                <w:rFonts w:hint="eastAsia" w:ascii="宋体" w:hAnsi="宋体"/>
                <w:szCs w:val="21"/>
              </w:rPr>
              <w:t>：</w:t>
            </w:r>
            <w:r>
              <w:rPr>
                <w:rFonts w:hint="eastAsia" w:ascii="宋体" w:hAnsi="宋体"/>
                <w:szCs w:val="21"/>
                <w:lang w:val="en-US" w:eastAsia="zh-CN"/>
              </w:rPr>
              <w:t>0771-5891216</w:t>
            </w:r>
            <w:r>
              <w:rPr>
                <w:rFonts w:hint="eastAsia" w:ascii="宋体" w:hAnsi="宋体"/>
                <w:szCs w:val="21"/>
              </w:rPr>
              <w:t>，</w:t>
            </w:r>
            <w:r>
              <w:rPr>
                <w:rFonts w:ascii="宋体" w:hAnsi="宋体"/>
                <w:szCs w:val="21"/>
              </w:rPr>
              <w:t>通讯地址</w:t>
            </w:r>
            <w:r>
              <w:rPr>
                <w:rFonts w:hint="eastAsia" w:ascii="宋体" w:hAnsi="宋体" w:cs="Helvetica"/>
                <w:szCs w:val="21"/>
              </w:rPr>
              <w:t>：中国（广西）自由贸易试验区南宁片区凯旋路16号广西裕达集团南宁五象总部基地广东大厦二十六层2602号房</w:t>
            </w:r>
          </w:p>
          <w:p w14:paraId="293F937F">
            <w:pPr>
              <w:autoSpaceDE w:val="0"/>
              <w:autoSpaceDN w:val="0"/>
              <w:snapToGrid w:val="0"/>
              <w:spacing w:line="360" w:lineRule="auto"/>
              <w:textAlignment w:val="bottom"/>
              <w:rPr>
                <w:rFonts w:ascii="宋体" w:hAnsi="宋体"/>
                <w:szCs w:val="21"/>
              </w:rPr>
            </w:pPr>
            <w:r>
              <w:rPr>
                <w:rFonts w:hint="eastAsia" w:ascii="宋体" w:hAnsi="宋体" w:cs="宋体"/>
              </w:rPr>
              <w:t>业务时间：工作日每天9时00分到12时00分，15时00分到18时00分。</w:t>
            </w:r>
          </w:p>
        </w:tc>
      </w:tr>
      <w:tr w14:paraId="726AE9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5" w:type="dxa"/>
            <w:tcBorders>
              <w:top w:val="single" w:color="auto" w:sz="4" w:space="0"/>
              <w:left w:val="single" w:color="auto" w:sz="4" w:space="0"/>
              <w:bottom w:val="single" w:color="auto" w:sz="4" w:space="0"/>
              <w:right w:val="single" w:color="auto" w:sz="4" w:space="0"/>
            </w:tcBorders>
            <w:vAlign w:val="center"/>
          </w:tcPr>
          <w:p w14:paraId="2AB3CB85">
            <w:pPr>
              <w:spacing w:line="360" w:lineRule="auto"/>
              <w:jc w:val="center"/>
              <w:rPr>
                <w:rFonts w:ascii="宋体" w:hAnsi="宋体"/>
                <w:szCs w:val="21"/>
              </w:rPr>
            </w:pPr>
            <w:bookmarkStart w:id="66" w:name="_41"/>
            <w:bookmarkEnd w:id="66"/>
            <w:bookmarkStart w:id="67" w:name="_42"/>
            <w:bookmarkEnd w:id="67"/>
            <w:bookmarkStart w:id="68" w:name="_Hlt17709148"/>
            <w:r>
              <w:rPr>
                <w:rFonts w:hint="eastAsia" w:ascii="宋体" w:hAnsi="宋体"/>
                <w:szCs w:val="21"/>
              </w:rPr>
              <w:t>3</w:t>
            </w:r>
            <w:bookmarkEnd w:id="68"/>
            <w:r>
              <w:rPr>
                <w:rFonts w:ascii="宋体" w:hAnsi="宋体"/>
                <w:szCs w:val="21"/>
              </w:rPr>
              <w:t>9.1</w:t>
            </w:r>
          </w:p>
        </w:tc>
        <w:tc>
          <w:tcPr>
            <w:tcW w:w="8865" w:type="dxa"/>
            <w:tcBorders>
              <w:top w:val="single" w:color="auto" w:sz="4" w:space="0"/>
              <w:left w:val="single" w:color="auto" w:sz="4" w:space="0"/>
              <w:bottom w:val="single" w:color="auto" w:sz="4" w:space="0"/>
              <w:right w:val="single" w:color="auto" w:sz="4" w:space="0"/>
            </w:tcBorders>
            <w:vAlign w:val="center"/>
          </w:tcPr>
          <w:p w14:paraId="0A826372">
            <w:pPr>
              <w:pStyle w:val="16"/>
              <w:snapToGrid w:val="0"/>
              <w:spacing w:line="360" w:lineRule="auto"/>
              <w:rPr>
                <w:rFonts w:hAnsi="宋体" w:cs="宋体"/>
                <w:sz w:val="21"/>
              </w:rPr>
            </w:pPr>
            <w:r>
              <w:rPr>
                <w:rFonts w:hint="eastAsia" w:hAnsi="宋体" w:cs="宋体"/>
                <w:sz w:val="21"/>
              </w:rPr>
              <w:t>1.采购代理费支付方式：</w:t>
            </w:r>
          </w:p>
          <w:p w14:paraId="581E4E5C">
            <w:pPr>
              <w:pStyle w:val="16"/>
              <w:snapToGrid w:val="0"/>
              <w:spacing w:line="360" w:lineRule="auto"/>
              <w:rPr>
                <w:rFonts w:hAnsi="宋体" w:cs="宋体"/>
                <w:sz w:val="21"/>
              </w:rPr>
            </w:pPr>
            <w:r>
              <w:rPr>
                <w:rFonts w:hint="eastAsia" w:hAnsi="宋体" w:cs="宋体"/>
                <w:sz w:val="21"/>
              </w:rPr>
              <w:t>本项目代理服务费由</w:t>
            </w:r>
            <w:r>
              <w:rPr>
                <w:rFonts w:hint="eastAsia" w:hAnsi="宋体" w:cs="宋体"/>
                <w:sz w:val="21"/>
                <w:u w:val="single"/>
              </w:rPr>
              <w:t>中标人</w:t>
            </w:r>
            <w:r>
              <w:rPr>
                <w:rFonts w:hint="eastAsia" w:hAnsi="宋体" w:cs="宋体"/>
                <w:sz w:val="21"/>
              </w:rPr>
              <w:t>一次性向采购代理机构支付。</w:t>
            </w:r>
          </w:p>
          <w:p w14:paraId="301BB2CE">
            <w:pPr>
              <w:pStyle w:val="16"/>
              <w:snapToGrid w:val="0"/>
              <w:spacing w:line="360" w:lineRule="auto"/>
              <w:rPr>
                <w:rFonts w:hAnsi="宋体" w:cs="宋体"/>
                <w:sz w:val="21"/>
              </w:rPr>
            </w:pPr>
            <w:r>
              <w:rPr>
                <w:rFonts w:hint="eastAsia" w:hAnsi="宋体" w:cs="宋体"/>
                <w:sz w:val="21"/>
              </w:rPr>
              <w:t>2.采购代理费收取标准：</w:t>
            </w:r>
          </w:p>
          <w:p w14:paraId="53B65B6E">
            <w:pPr>
              <w:pStyle w:val="16"/>
              <w:snapToGrid w:val="0"/>
              <w:spacing w:line="360" w:lineRule="auto"/>
              <w:rPr>
                <w:rFonts w:hint="eastAsia" w:hAnsi="宋体" w:cs="宋体"/>
                <w:color w:val="auto"/>
                <w:sz w:val="21"/>
                <w:highlight w:val="none"/>
              </w:rPr>
            </w:pPr>
            <w:bookmarkStart w:id="69" w:name="PO_3000001871_PM025"/>
            <w:r>
              <w:rPr>
                <w:rFonts w:hint="eastAsia" w:ascii="宋体" w:hAnsi="宋体" w:eastAsia="宋体" w:cs="宋体"/>
                <w:color w:val="auto"/>
                <w:sz w:val="21"/>
                <w:highlight w:val="none"/>
                <w:lang w:val="en-US" w:eastAsia="zh-CN"/>
              </w:rPr>
              <w:t>本项目代理服务费</w:t>
            </w:r>
            <w:r>
              <w:rPr>
                <w:rFonts w:hint="eastAsia" w:hAnsi="宋体" w:cs="宋体"/>
                <w:color w:val="auto"/>
                <w:sz w:val="21"/>
                <w:highlight w:val="none"/>
                <w:lang w:val="en-US" w:eastAsia="zh-CN"/>
              </w:rPr>
              <w:t>参</w:t>
            </w:r>
            <w:r>
              <w:rPr>
                <w:rFonts w:hint="eastAsia" w:ascii="宋体" w:hAnsi="宋体" w:eastAsia="宋体" w:cs="宋体"/>
                <w:color w:val="auto"/>
                <w:sz w:val="21"/>
                <w:highlight w:val="none"/>
                <w:lang w:val="en-US" w:eastAsia="zh-CN"/>
              </w:rPr>
              <w:t>照《国家计委关于印发&lt;招标代理服务收费管理暂行办法&gt;的通知》（计价格〔2002〕1980号）和发改价格[2011]534号</w:t>
            </w:r>
            <w:r>
              <w:rPr>
                <w:rFonts w:hint="eastAsia" w:hAnsi="宋体" w:cs="宋体"/>
                <w:color w:val="auto"/>
                <w:sz w:val="21"/>
                <w:highlight w:val="none"/>
                <w:lang w:val="en-US" w:eastAsia="zh-CN"/>
              </w:rPr>
              <w:t>货物</w:t>
            </w:r>
            <w:r>
              <w:rPr>
                <w:rFonts w:hint="eastAsia" w:ascii="宋体" w:hAnsi="宋体" w:eastAsia="宋体" w:cs="宋体"/>
                <w:color w:val="auto"/>
                <w:sz w:val="21"/>
                <w:highlight w:val="none"/>
                <w:lang w:val="en-US" w:eastAsia="zh-CN"/>
              </w:rPr>
              <w:t>类计取</w:t>
            </w:r>
            <w:r>
              <w:rPr>
                <w:rFonts w:hint="eastAsia" w:hAnsi="宋体" w:cs="宋体"/>
                <w:color w:val="auto"/>
                <w:sz w:val="21"/>
                <w:highlight w:val="none"/>
              </w:rPr>
              <w:t>。</w:t>
            </w:r>
            <w:bookmarkEnd w:id="69"/>
          </w:p>
          <w:p w14:paraId="28357668">
            <w:pPr>
              <w:pStyle w:val="16"/>
              <w:snapToGrid w:val="0"/>
              <w:spacing w:line="360" w:lineRule="auto"/>
              <w:rPr>
                <w:rFonts w:hint="eastAsia" w:hAnsi="宋体"/>
                <w:sz w:val="21"/>
              </w:rPr>
            </w:pPr>
            <w:r>
              <w:rPr>
                <w:rFonts w:hint="eastAsia" w:hAnsi="宋体"/>
                <w:sz w:val="21"/>
              </w:rPr>
              <w:t>3.账户名称：</w:t>
            </w:r>
            <w:r>
              <w:rPr>
                <w:rFonts w:hint="eastAsia" w:hAnsi="宋体"/>
                <w:sz w:val="21"/>
                <w:lang w:val="en-US" w:eastAsia="zh-CN"/>
              </w:rPr>
              <w:t>广西政投项目咨询有限公司</w:t>
            </w:r>
          </w:p>
          <w:p w14:paraId="2EEA1EE3">
            <w:pPr>
              <w:pStyle w:val="16"/>
              <w:snapToGrid w:val="0"/>
              <w:spacing w:line="360" w:lineRule="auto"/>
              <w:rPr>
                <w:rFonts w:hint="eastAsia" w:hAnsi="宋体"/>
                <w:sz w:val="21"/>
                <w:lang w:val="en-US" w:eastAsia="zh-CN"/>
              </w:rPr>
            </w:pPr>
            <w:r>
              <w:rPr>
                <w:rFonts w:hint="eastAsia" w:hAnsi="宋体"/>
                <w:sz w:val="21"/>
              </w:rPr>
              <w:t>开户银行：</w:t>
            </w:r>
            <w:r>
              <w:rPr>
                <w:rFonts w:hint="eastAsia" w:hAnsi="宋体"/>
                <w:sz w:val="21"/>
                <w:lang w:val="en-US" w:eastAsia="zh-CN"/>
              </w:rPr>
              <w:t>中国工商银行股份有限公司南宁市民族支行</w:t>
            </w:r>
          </w:p>
          <w:p w14:paraId="1B4AF892">
            <w:pPr>
              <w:pStyle w:val="16"/>
              <w:snapToGrid w:val="0"/>
              <w:spacing w:line="360" w:lineRule="auto"/>
              <w:rPr>
                <w:rFonts w:hAnsi="宋体" w:cs="宋体"/>
                <w:sz w:val="21"/>
              </w:rPr>
            </w:pPr>
            <w:r>
              <w:rPr>
                <w:rFonts w:hint="eastAsia" w:hAnsi="宋体"/>
                <w:sz w:val="21"/>
              </w:rPr>
              <w:t>银行账号：</w:t>
            </w:r>
            <w:r>
              <w:rPr>
                <w:rFonts w:hint="eastAsia" w:hAnsi="宋体"/>
                <w:sz w:val="21"/>
                <w:lang w:val="en-US" w:eastAsia="zh-CN"/>
              </w:rPr>
              <w:t>210210900930040414</w:t>
            </w:r>
          </w:p>
        </w:tc>
      </w:tr>
      <w:tr w14:paraId="049536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5" w:type="dxa"/>
            <w:tcBorders>
              <w:top w:val="single" w:color="auto" w:sz="4" w:space="0"/>
              <w:left w:val="single" w:color="auto" w:sz="4" w:space="0"/>
              <w:bottom w:val="single" w:color="auto" w:sz="4" w:space="0"/>
              <w:right w:val="single" w:color="auto" w:sz="4" w:space="0"/>
            </w:tcBorders>
            <w:vAlign w:val="center"/>
          </w:tcPr>
          <w:p w14:paraId="48BB7489">
            <w:pPr>
              <w:snapToGrid w:val="0"/>
              <w:spacing w:line="360" w:lineRule="auto"/>
              <w:jc w:val="center"/>
              <w:rPr>
                <w:rFonts w:ascii="宋体" w:hAnsi="宋体"/>
                <w:szCs w:val="21"/>
              </w:rPr>
            </w:pPr>
            <w:r>
              <w:rPr>
                <w:rFonts w:ascii="宋体" w:hAnsi="宋体"/>
                <w:szCs w:val="21"/>
              </w:rPr>
              <w:t>40.1</w:t>
            </w:r>
          </w:p>
        </w:tc>
        <w:tc>
          <w:tcPr>
            <w:tcW w:w="8865" w:type="dxa"/>
            <w:tcBorders>
              <w:top w:val="single" w:color="auto" w:sz="4" w:space="0"/>
              <w:left w:val="single" w:color="auto" w:sz="4" w:space="0"/>
              <w:bottom w:val="single" w:color="auto" w:sz="4" w:space="0"/>
              <w:right w:val="single" w:color="auto" w:sz="4" w:space="0"/>
            </w:tcBorders>
            <w:vAlign w:val="center"/>
          </w:tcPr>
          <w:p w14:paraId="17DB8199">
            <w:pPr>
              <w:keepNext w:val="0"/>
              <w:keepLines w:val="0"/>
              <w:pageBreakBefore w:val="0"/>
              <w:widowControl w:val="0"/>
              <w:kinsoku/>
              <w:wordWrap/>
              <w:overflowPunct/>
              <w:topLinePunct w:val="0"/>
              <w:autoSpaceDE/>
              <w:autoSpaceDN/>
              <w:bidi w:val="0"/>
              <w:adjustRightInd/>
              <w:snapToGrid w:val="0"/>
              <w:spacing w:line="336" w:lineRule="auto"/>
              <w:textAlignment w:val="auto"/>
              <w:rPr>
                <w:rFonts w:ascii="宋体" w:hAnsi="宋体"/>
                <w:szCs w:val="21"/>
              </w:rPr>
            </w:pPr>
            <w:r>
              <w:rPr>
                <w:rFonts w:hint="eastAsia" w:ascii="宋体" w:hAnsi="宋体"/>
                <w:szCs w:val="21"/>
              </w:rPr>
              <w:t>解释：</w:t>
            </w:r>
            <w:r>
              <w:rPr>
                <w:rFonts w:ascii="宋体" w:hAnsi="宋体"/>
                <w:szCs w:val="21"/>
              </w:rPr>
              <w:t>构成本招标文件的各个组成文件应互为解释，互为说明；除招标文件中有特别规定外，仅适用于招标投标阶段的规定，按</w:t>
            </w:r>
            <w:r>
              <w:rPr>
                <w:rFonts w:hint="eastAsia" w:ascii="宋体" w:hAnsi="宋体"/>
                <w:szCs w:val="21"/>
              </w:rPr>
              <w:t>更正公告（澄清公告）</w:t>
            </w:r>
            <w:r>
              <w:rPr>
                <w:rFonts w:ascii="宋体" w:hAnsi="宋体"/>
                <w:szCs w:val="21"/>
              </w:rPr>
              <w:t>、招标公告、</w:t>
            </w:r>
            <w:r>
              <w:rPr>
                <w:rFonts w:hint="eastAsia" w:ascii="宋体" w:hAnsi="宋体"/>
                <w:szCs w:val="21"/>
              </w:rPr>
              <w:t>采购需求、</w:t>
            </w:r>
            <w:r>
              <w:rPr>
                <w:rFonts w:ascii="宋体" w:hAnsi="宋体"/>
                <w:szCs w:val="21"/>
              </w:rPr>
              <w:t>投标人须知、</w:t>
            </w:r>
            <w:r>
              <w:rPr>
                <w:rFonts w:hint="eastAsia" w:ascii="宋体" w:hAnsi="宋体"/>
                <w:szCs w:val="21"/>
              </w:rPr>
              <w:t>评标方法及评标标准</w:t>
            </w:r>
            <w:r>
              <w:rPr>
                <w:rFonts w:ascii="宋体" w:hAnsi="宋体"/>
                <w:szCs w:val="21"/>
              </w:rPr>
              <w:t>、</w:t>
            </w:r>
            <w:r>
              <w:rPr>
                <w:rFonts w:hint="eastAsia" w:ascii="宋体" w:hAnsi="宋体"/>
                <w:szCs w:val="21"/>
              </w:rPr>
              <w:t>拟签订的合同文本、</w:t>
            </w:r>
            <w:r>
              <w:rPr>
                <w:rFonts w:ascii="宋体" w:hAnsi="宋体"/>
                <w:szCs w:val="21"/>
              </w:rPr>
              <w:t>投标文件格式的先后顺序解释；同一组成文件中就同一事项的规定或者约定不一致的，以编排顺序在后者为准；同一组成文件不同版本之间有不一致的，以形成时间在后者为准；</w:t>
            </w:r>
            <w:r>
              <w:rPr>
                <w:rFonts w:hint="eastAsia" w:ascii="宋体" w:hAnsi="宋体"/>
                <w:szCs w:val="21"/>
              </w:rPr>
              <w:t>更正公告（澄清公告）</w:t>
            </w:r>
            <w:r>
              <w:rPr>
                <w:rFonts w:ascii="宋体" w:hAnsi="宋体"/>
                <w:szCs w:val="21"/>
              </w:rPr>
              <w:t>与同步更新的招标文件不一致时以</w:t>
            </w:r>
            <w:r>
              <w:rPr>
                <w:rFonts w:hint="eastAsia" w:ascii="宋体" w:hAnsi="宋体"/>
                <w:szCs w:val="21"/>
              </w:rPr>
              <w:t>更正公告（澄清公告）</w:t>
            </w:r>
            <w:r>
              <w:rPr>
                <w:rFonts w:ascii="宋体" w:hAnsi="宋体"/>
                <w:szCs w:val="21"/>
              </w:rPr>
              <w:t>为准。按本款前述规定仍不能形成结论的，由</w:t>
            </w:r>
            <w:r>
              <w:rPr>
                <w:rFonts w:hint="eastAsia" w:ascii="宋体" w:hAnsi="宋体"/>
                <w:szCs w:val="21"/>
              </w:rPr>
              <w:t>采购</w:t>
            </w:r>
            <w:r>
              <w:rPr>
                <w:rFonts w:ascii="宋体" w:hAnsi="宋体"/>
                <w:szCs w:val="21"/>
              </w:rPr>
              <w:t>人</w:t>
            </w:r>
            <w:r>
              <w:rPr>
                <w:rFonts w:hint="eastAsia" w:ascii="宋体" w:hAnsi="宋体"/>
                <w:szCs w:val="21"/>
              </w:rPr>
              <w:t>或者采购代理机构</w:t>
            </w:r>
            <w:r>
              <w:rPr>
                <w:rFonts w:ascii="宋体" w:hAnsi="宋体"/>
                <w:szCs w:val="21"/>
              </w:rPr>
              <w:t>负责解释。</w:t>
            </w:r>
          </w:p>
        </w:tc>
      </w:tr>
      <w:tr w14:paraId="0C9252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5" w:type="dxa"/>
            <w:tcBorders>
              <w:top w:val="single" w:color="auto" w:sz="4" w:space="0"/>
              <w:left w:val="single" w:color="auto" w:sz="4" w:space="0"/>
              <w:bottom w:val="single" w:color="auto" w:sz="4" w:space="0"/>
              <w:right w:val="single" w:color="auto" w:sz="4" w:space="0"/>
            </w:tcBorders>
            <w:vAlign w:val="center"/>
          </w:tcPr>
          <w:p w14:paraId="1AA6A6CB">
            <w:pPr>
              <w:snapToGrid w:val="0"/>
              <w:spacing w:line="360" w:lineRule="auto"/>
              <w:jc w:val="center"/>
              <w:rPr>
                <w:rFonts w:ascii="宋体" w:hAnsi="宋体"/>
                <w:szCs w:val="21"/>
              </w:rPr>
            </w:pPr>
            <w:r>
              <w:rPr>
                <w:rFonts w:ascii="宋体" w:hAnsi="宋体"/>
                <w:szCs w:val="21"/>
              </w:rPr>
              <w:t>40.2</w:t>
            </w:r>
          </w:p>
        </w:tc>
        <w:tc>
          <w:tcPr>
            <w:tcW w:w="8865" w:type="dxa"/>
            <w:tcBorders>
              <w:top w:val="single" w:color="auto" w:sz="4" w:space="0"/>
              <w:left w:val="single" w:color="auto" w:sz="4" w:space="0"/>
              <w:bottom w:val="single" w:color="auto" w:sz="4" w:space="0"/>
              <w:right w:val="single" w:color="auto" w:sz="4" w:space="0"/>
            </w:tcBorders>
            <w:vAlign w:val="center"/>
          </w:tcPr>
          <w:p w14:paraId="4C15D375">
            <w:pPr>
              <w:pStyle w:val="16"/>
              <w:keepNext w:val="0"/>
              <w:keepLines w:val="0"/>
              <w:pageBreakBefore w:val="0"/>
              <w:widowControl w:val="0"/>
              <w:kinsoku/>
              <w:wordWrap/>
              <w:overflowPunct/>
              <w:topLinePunct w:val="0"/>
              <w:autoSpaceDE/>
              <w:autoSpaceDN/>
              <w:bidi w:val="0"/>
              <w:adjustRightInd/>
              <w:snapToGrid w:val="0"/>
              <w:spacing w:line="336" w:lineRule="auto"/>
              <w:textAlignment w:val="auto"/>
              <w:rPr>
                <w:rFonts w:hAnsi="宋体" w:cs="宋体"/>
                <w:bCs/>
                <w:sz w:val="21"/>
              </w:rPr>
            </w:pPr>
            <w:r>
              <w:rPr>
                <w:rFonts w:hint="eastAsia" w:hAnsi="宋体" w:cs="宋体"/>
                <w:bCs/>
                <w:sz w:val="21"/>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724D7CEC">
            <w:pPr>
              <w:pStyle w:val="16"/>
              <w:keepNext w:val="0"/>
              <w:keepLines w:val="0"/>
              <w:pageBreakBefore w:val="0"/>
              <w:widowControl w:val="0"/>
              <w:kinsoku/>
              <w:wordWrap/>
              <w:overflowPunct/>
              <w:topLinePunct w:val="0"/>
              <w:autoSpaceDE/>
              <w:autoSpaceDN/>
              <w:bidi w:val="0"/>
              <w:adjustRightInd/>
              <w:snapToGrid w:val="0"/>
              <w:spacing w:line="336" w:lineRule="auto"/>
              <w:textAlignment w:val="auto"/>
              <w:rPr>
                <w:rFonts w:hAnsi="宋体" w:cs="宋体"/>
                <w:bCs/>
                <w:sz w:val="21"/>
              </w:rPr>
            </w:pPr>
            <w:r>
              <w:rPr>
                <w:rFonts w:hint="eastAsia" w:hAnsi="宋体" w:cs="宋体"/>
                <w:bCs/>
                <w:sz w:val="21"/>
              </w:rPr>
              <w:t>2.本招标文件所称的“</w:t>
            </w:r>
            <w:r>
              <w:rPr>
                <w:rFonts w:hint="eastAsia" w:hAnsi="宋体"/>
                <w:sz w:val="21"/>
              </w:rPr>
              <w:t>电子签章</w:t>
            </w:r>
            <w:r>
              <w:rPr>
                <w:rFonts w:hint="eastAsia" w:hAnsi="宋体" w:cs="宋体"/>
                <w:bCs/>
                <w:sz w:val="21"/>
              </w:rPr>
              <w:t>”、“电子签名”</w:t>
            </w:r>
            <w:r>
              <w:rPr>
                <w:rFonts w:hint="eastAsia" w:hAnsi="宋体"/>
                <w:sz w:val="21"/>
              </w:rPr>
              <w:t>，是指经广西政府采购云平台认可的CA认证的电子签名数据为表现形式的印章，可用于签署电子投标文件，电子印章与实物印章具有同等法律效力，不因其采用电子化表现形式而否定其法律效力。</w:t>
            </w:r>
          </w:p>
          <w:p w14:paraId="04961066">
            <w:pPr>
              <w:pStyle w:val="16"/>
              <w:keepNext w:val="0"/>
              <w:keepLines w:val="0"/>
              <w:pageBreakBefore w:val="0"/>
              <w:widowControl w:val="0"/>
              <w:kinsoku/>
              <w:wordWrap/>
              <w:overflowPunct/>
              <w:topLinePunct w:val="0"/>
              <w:autoSpaceDE/>
              <w:autoSpaceDN/>
              <w:bidi w:val="0"/>
              <w:adjustRightInd/>
              <w:snapToGrid w:val="0"/>
              <w:spacing w:line="336" w:lineRule="auto"/>
              <w:textAlignment w:val="auto"/>
              <w:rPr>
                <w:rFonts w:hAnsi="宋体" w:cs="宋体"/>
                <w:bCs/>
                <w:sz w:val="21"/>
              </w:rPr>
            </w:pPr>
            <w:r>
              <w:rPr>
                <w:rFonts w:hint="eastAsia" w:hAnsi="宋体" w:cs="宋体"/>
                <w:bCs/>
                <w:sz w:val="21"/>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65649D06">
            <w:pPr>
              <w:pStyle w:val="16"/>
              <w:keepNext w:val="0"/>
              <w:keepLines w:val="0"/>
              <w:pageBreakBefore w:val="0"/>
              <w:widowControl w:val="0"/>
              <w:kinsoku/>
              <w:wordWrap/>
              <w:overflowPunct/>
              <w:topLinePunct w:val="0"/>
              <w:autoSpaceDE/>
              <w:autoSpaceDN/>
              <w:bidi w:val="0"/>
              <w:adjustRightInd/>
              <w:snapToGrid w:val="0"/>
              <w:spacing w:line="336" w:lineRule="auto"/>
              <w:textAlignment w:val="auto"/>
              <w:rPr>
                <w:rFonts w:hAnsi="宋体" w:cs="宋体"/>
                <w:bCs/>
                <w:sz w:val="21"/>
              </w:rPr>
            </w:pPr>
            <w:r>
              <w:rPr>
                <w:rFonts w:hint="eastAsia" w:hAnsi="宋体" w:cs="宋体"/>
                <w:bCs/>
                <w:sz w:val="21"/>
              </w:rPr>
              <w:t>4.本招标文件中描述投标人的“签字”是指投标人的法定代表人或者委托代理人亲自在文件规定签字处亲笔写上个人的名字的行为，私章、签字章、印鉴、影印等其他形式均不能代替亲笔签字。</w:t>
            </w:r>
          </w:p>
          <w:p w14:paraId="2C7F8753">
            <w:pPr>
              <w:pStyle w:val="16"/>
              <w:keepNext w:val="0"/>
              <w:keepLines w:val="0"/>
              <w:pageBreakBefore w:val="0"/>
              <w:widowControl w:val="0"/>
              <w:kinsoku/>
              <w:wordWrap/>
              <w:overflowPunct/>
              <w:topLinePunct w:val="0"/>
              <w:autoSpaceDE/>
              <w:autoSpaceDN/>
              <w:bidi w:val="0"/>
              <w:adjustRightInd/>
              <w:snapToGrid w:val="0"/>
              <w:spacing w:line="336" w:lineRule="auto"/>
              <w:textAlignment w:val="auto"/>
              <w:rPr>
                <w:sz w:val="21"/>
              </w:rPr>
            </w:pPr>
            <w:r>
              <w:rPr>
                <w:rFonts w:hint="eastAsia" w:hAnsi="宋体" w:cs="宋体"/>
                <w:bCs/>
                <w:sz w:val="21"/>
              </w:rPr>
              <w:t>5.本招标文件所称的“以上”“以下”“以内”“届满”，包括本数；所称的“不满”“超过”“以外”，不包括本数。</w:t>
            </w:r>
          </w:p>
        </w:tc>
      </w:tr>
    </w:tbl>
    <w:p w14:paraId="2DC86F69">
      <w:pPr>
        <w:rPr>
          <w:rFonts w:hint="eastAsia"/>
        </w:rPr>
      </w:pPr>
      <w:bookmarkStart w:id="70" w:name="_Toc28217"/>
      <w:bookmarkStart w:id="71" w:name="_Toc31115"/>
      <w:r>
        <w:rPr>
          <w:rFonts w:hint="eastAsia"/>
        </w:rPr>
        <w:br w:type="page"/>
      </w:r>
    </w:p>
    <w:p w14:paraId="60867481">
      <w:pPr>
        <w:pStyle w:val="4"/>
        <w:keepNext w:val="0"/>
        <w:keepLines w:val="0"/>
        <w:ind w:left="0" w:leftChars="0" w:firstLine="0" w:firstLineChars="0"/>
        <w:jc w:val="center"/>
        <w:rPr>
          <w:rFonts w:hint="default" w:eastAsia="宋体"/>
          <w:lang w:val="en-US" w:eastAsia="zh-CN"/>
        </w:rPr>
      </w:pPr>
      <w:r>
        <w:rPr>
          <w:rFonts w:hint="eastAsia"/>
        </w:rPr>
        <w:t>投标人须知正文</w:t>
      </w:r>
      <w:bookmarkEnd w:id="70"/>
      <w:bookmarkEnd w:id="71"/>
    </w:p>
    <w:p w14:paraId="25E1DF00">
      <w:pPr>
        <w:pStyle w:val="4"/>
        <w:keepNext w:val="0"/>
        <w:keepLines w:val="0"/>
        <w:jc w:val="center"/>
      </w:pPr>
      <w:bookmarkStart w:id="72" w:name="_Toc4836"/>
      <w:bookmarkStart w:id="73" w:name="_Toc28615"/>
      <w:r>
        <w:rPr>
          <w:rFonts w:hint="eastAsia"/>
        </w:rPr>
        <w:t>一、总  则</w:t>
      </w:r>
      <w:bookmarkEnd w:id="72"/>
      <w:bookmarkEnd w:id="73"/>
    </w:p>
    <w:p w14:paraId="19560B10">
      <w:pPr>
        <w:pStyle w:val="6"/>
        <w:keepNext w:val="0"/>
        <w:keepLines w:val="0"/>
        <w:spacing w:before="0" w:after="0" w:line="360" w:lineRule="auto"/>
        <w:ind w:left="420" w:leftChars="200"/>
        <w:rPr>
          <w:rFonts w:ascii="黑体" w:hAnsi="黑体" w:eastAsia="黑体"/>
          <w:sz w:val="24"/>
        </w:rPr>
      </w:pPr>
      <w:bookmarkStart w:id="74" w:name="_Toc254970668"/>
      <w:bookmarkStart w:id="75" w:name="_Toc254970527"/>
      <w:r>
        <w:rPr>
          <w:rFonts w:hint="eastAsia" w:ascii="黑体" w:hAnsi="黑体" w:eastAsia="黑体"/>
          <w:sz w:val="24"/>
        </w:rPr>
        <w:t>1.适用范围</w:t>
      </w:r>
      <w:bookmarkEnd w:id="74"/>
      <w:bookmarkEnd w:id="75"/>
    </w:p>
    <w:p w14:paraId="499A25B3">
      <w:pPr>
        <w:snapToGrid w:val="0"/>
        <w:spacing w:line="360" w:lineRule="auto"/>
        <w:ind w:firstLine="420" w:firstLineChars="200"/>
        <w:jc w:val="left"/>
        <w:rPr>
          <w:rFonts w:ascii="宋体" w:hAnsi="宋体"/>
          <w:szCs w:val="21"/>
        </w:rPr>
      </w:pPr>
      <w:r>
        <w:rPr>
          <w:rFonts w:hint="eastAsia" w:ascii="宋体" w:hAnsi="宋体"/>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620D4631">
      <w:pPr>
        <w:snapToGrid w:val="0"/>
        <w:spacing w:line="360" w:lineRule="auto"/>
        <w:ind w:firstLine="420" w:firstLineChars="200"/>
        <w:jc w:val="left"/>
        <w:rPr>
          <w:rFonts w:ascii="宋体" w:hAnsi="宋体" w:cs="宋体"/>
          <w:spacing w:val="-6"/>
          <w:szCs w:val="21"/>
        </w:rPr>
      </w:pPr>
      <w:r>
        <w:rPr>
          <w:rFonts w:hint="eastAsia" w:ascii="宋体" w:hAnsi="宋体"/>
          <w:szCs w:val="21"/>
        </w:rPr>
        <w:t>1.2本招标文件</w:t>
      </w:r>
      <w:r>
        <w:rPr>
          <w:rFonts w:hint="eastAsia" w:ascii="宋体" w:hAnsi="宋体" w:cs="宋体"/>
          <w:spacing w:val="-6"/>
          <w:szCs w:val="21"/>
        </w:rPr>
        <w:t>适用于本项目的所有采购程序和环节（法律、法规另有规定的，从其规定）。</w:t>
      </w:r>
    </w:p>
    <w:p w14:paraId="1E8FF27E">
      <w:pPr>
        <w:pStyle w:val="6"/>
        <w:keepNext w:val="0"/>
        <w:keepLines w:val="0"/>
        <w:spacing w:before="0" w:after="0" w:line="360" w:lineRule="auto"/>
        <w:ind w:left="420" w:leftChars="200"/>
        <w:rPr>
          <w:rFonts w:ascii="黑体" w:hAnsi="黑体" w:eastAsia="黑体"/>
          <w:sz w:val="24"/>
        </w:rPr>
      </w:pPr>
      <w:bookmarkStart w:id="76" w:name="_Toc254970669"/>
      <w:bookmarkStart w:id="77" w:name="_Toc254970528"/>
      <w:r>
        <w:rPr>
          <w:rFonts w:hint="eastAsia" w:ascii="黑体" w:hAnsi="黑体" w:eastAsia="黑体"/>
          <w:sz w:val="24"/>
        </w:rPr>
        <w:t>2.定义</w:t>
      </w:r>
      <w:bookmarkEnd w:id="76"/>
      <w:bookmarkEnd w:id="77"/>
    </w:p>
    <w:p w14:paraId="5D7DF3FE">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2.1“采购人”是指依法进行政府采购的国家机关、事业单位、团体组织。</w:t>
      </w:r>
    </w:p>
    <w:p w14:paraId="69921024">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2.2“采购代理机构”是指政府采购集中采购机构和集中采购机构以外的采购代理机构。</w:t>
      </w:r>
    </w:p>
    <w:p w14:paraId="4D81DFD7">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2.3“供应商”是指向采购人提供货物、工程或者服务的法人、其他组织或者自然人。</w:t>
      </w:r>
    </w:p>
    <w:p w14:paraId="30C7A513">
      <w:pPr>
        <w:pStyle w:val="7"/>
        <w:spacing w:line="360" w:lineRule="auto"/>
        <w:rPr>
          <w:rFonts w:ascii="宋体" w:hAnsi="宋体"/>
          <w:szCs w:val="21"/>
        </w:rPr>
      </w:pPr>
      <w:r>
        <w:rPr>
          <w:rFonts w:hint="eastAsia" w:ascii="宋体" w:hAnsi="宋体"/>
          <w:szCs w:val="21"/>
        </w:rPr>
        <w:t>2.4“投标人”是指响应招标、参加投标竞争的法人、其他组织或者自然人。</w:t>
      </w:r>
    </w:p>
    <w:p w14:paraId="56A7C5CD">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2.5“货物”是指各种形态和种类的物品，包括原材料、燃料、设备、产品等。</w:t>
      </w:r>
    </w:p>
    <w:p w14:paraId="42F03EEE">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2.6“售后服务” 是指商品出售以后所提供的各种服务，包含但不限于投标人须承担的备品备件、包装、运输、装卸、保险、货到就位以及安装、调试、培训、质保以及其他各种服务。</w:t>
      </w:r>
    </w:p>
    <w:p w14:paraId="7292F8E6">
      <w:pPr>
        <w:pStyle w:val="6"/>
        <w:keepNext w:val="0"/>
        <w:keepLines w:val="0"/>
        <w:spacing w:before="0" w:after="0" w:line="360" w:lineRule="auto"/>
        <w:rPr>
          <w:rFonts w:ascii="宋体" w:hAnsi="宋体"/>
          <w:b w:val="0"/>
          <w:sz w:val="21"/>
          <w:szCs w:val="21"/>
        </w:rPr>
      </w:pPr>
      <w:r>
        <w:rPr>
          <w:rFonts w:hint="eastAsia" w:ascii="宋体" w:hAnsi="宋体"/>
          <w:b w:val="0"/>
          <w:sz w:val="21"/>
          <w:szCs w:val="21"/>
        </w:rPr>
        <w:t xml:space="preserve">    2.7“书面形式”是指合同书、信件和数据电文（包括电报、电传、传真、电子数据交换和电子邮件）等可以有形地表现所载内容的形式。</w:t>
      </w:r>
    </w:p>
    <w:p w14:paraId="740A47AB">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2.8“实质性要求”是指招标文件中已经指明不满足则投标无效的条款，或者不能负偏离的条款，或者采购需求中带“▲”的条款。</w:t>
      </w:r>
    </w:p>
    <w:p w14:paraId="3582D7BA">
      <w:pPr>
        <w:snapToGrid w:val="0"/>
        <w:spacing w:line="360" w:lineRule="auto"/>
        <w:ind w:firstLine="420" w:firstLineChars="200"/>
        <w:jc w:val="left"/>
        <w:rPr>
          <w:rFonts w:ascii="宋体" w:hAnsi="宋体" w:cs="宋体"/>
          <w:szCs w:val="21"/>
        </w:rPr>
      </w:pPr>
      <w:r>
        <w:rPr>
          <w:rFonts w:hint="eastAsia" w:ascii="宋体" w:hAnsi="宋体"/>
          <w:szCs w:val="21"/>
        </w:rPr>
        <w:t xml:space="preserve">2.9 </w:t>
      </w:r>
      <w:r>
        <w:rPr>
          <w:rFonts w:hint="eastAsia" w:ascii="宋体" w:hAnsi="宋体" w:cs="宋体"/>
          <w:szCs w:val="21"/>
        </w:rPr>
        <w:t>“正偏离”，是指投标文件对招标文件“采购需求”中有关条款作出的响应优于条款要求并有利于采购人的情形。</w:t>
      </w:r>
    </w:p>
    <w:p w14:paraId="112FB06B">
      <w:pPr>
        <w:snapToGrid w:val="0"/>
        <w:spacing w:line="360" w:lineRule="auto"/>
        <w:ind w:firstLine="420" w:firstLineChars="200"/>
        <w:jc w:val="left"/>
        <w:rPr>
          <w:rFonts w:ascii="宋体" w:hAnsi="宋体" w:cs="宋体"/>
          <w:szCs w:val="21"/>
        </w:rPr>
      </w:pPr>
      <w:r>
        <w:rPr>
          <w:rFonts w:ascii="宋体" w:hAnsi="宋体" w:cs="宋体"/>
          <w:szCs w:val="21"/>
        </w:rPr>
        <w:t>2.10</w:t>
      </w:r>
      <w:r>
        <w:rPr>
          <w:rFonts w:hint="eastAsia" w:ascii="宋体" w:hAnsi="宋体" w:cs="宋体"/>
          <w:szCs w:val="21"/>
        </w:rPr>
        <w:t>“负偏离”，是指投标文件对招标文件“采购需求”中有关条款作出的响应不满足条款要求，导致采购人要求不能得到满足的情形。</w:t>
      </w:r>
    </w:p>
    <w:p w14:paraId="6E2D9BF4">
      <w:pPr>
        <w:snapToGrid w:val="0"/>
        <w:spacing w:line="360" w:lineRule="auto"/>
        <w:ind w:firstLine="420" w:firstLineChars="200"/>
        <w:jc w:val="left"/>
        <w:rPr>
          <w:rFonts w:ascii="宋体" w:hAnsi="宋体" w:cs="宋体"/>
          <w:szCs w:val="21"/>
        </w:rPr>
      </w:pPr>
      <w:r>
        <w:rPr>
          <w:rFonts w:hint="eastAsia" w:ascii="宋体" w:hAnsi="宋体"/>
          <w:szCs w:val="21"/>
        </w:rPr>
        <w:t>2.1</w:t>
      </w:r>
      <w:r>
        <w:rPr>
          <w:rFonts w:ascii="宋体" w:hAnsi="宋体"/>
          <w:szCs w:val="21"/>
        </w:rPr>
        <w:t>1</w:t>
      </w:r>
      <w:r>
        <w:rPr>
          <w:rFonts w:hint="eastAsia" w:ascii="宋体" w:hAnsi="宋体" w:cs="宋体"/>
          <w:szCs w:val="21"/>
        </w:rPr>
        <w:t>“允许负偏离的条款”是指采购需求中的不属于“实质性要求”的条款。</w:t>
      </w:r>
      <w:bookmarkStart w:id="78" w:name="_Toc254970529"/>
      <w:bookmarkStart w:id="79" w:name="_Toc254970670"/>
    </w:p>
    <w:p w14:paraId="1F5910BE">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3.</w:t>
      </w:r>
      <w:bookmarkEnd w:id="78"/>
      <w:bookmarkEnd w:id="79"/>
      <w:r>
        <w:rPr>
          <w:rFonts w:hint="eastAsia" w:ascii="黑体" w:hAnsi="黑体" w:eastAsia="黑体"/>
          <w:sz w:val="24"/>
        </w:rPr>
        <w:t>投标人的资格要求</w:t>
      </w:r>
    </w:p>
    <w:p w14:paraId="7D290F13">
      <w:pPr>
        <w:snapToGrid w:val="0"/>
        <w:spacing w:line="360" w:lineRule="auto"/>
        <w:ind w:firstLine="420" w:firstLineChars="200"/>
        <w:jc w:val="left"/>
        <w:rPr>
          <w:rFonts w:ascii="宋体" w:hAnsi="宋体"/>
          <w:szCs w:val="21"/>
        </w:rPr>
      </w:pPr>
      <w:r>
        <w:rPr>
          <w:rFonts w:hint="eastAsia" w:ascii="宋体" w:hAnsi="宋体"/>
          <w:szCs w:val="21"/>
        </w:rPr>
        <w:t>投标人的资格要求详见“投标人须知前附表”。</w:t>
      </w:r>
    </w:p>
    <w:p w14:paraId="0DB0C14C">
      <w:pPr>
        <w:pStyle w:val="6"/>
        <w:keepNext w:val="0"/>
        <w:keepLines w:val="0"/>
        <w:spacing w:before="0" w:after="0" w:line="360" w:lineRule="auto"/>
        <w:ind w:left="420" w:leftChars="200"/>
        <w:rPr>
          <w:rFonts w:ascii="黑体" w:hAnsi="黑体" w:eastAsia="黑体"/>
          <w:sz w:val="24"/>
        </w:rPr>
      </w:pPr>
      <w:bookmarkStart w:id="80" w:name="_Toc254970671"/>
      <w:bookmarkStart w:id="81" w:name="_Toc254970530"/>
      <w:r>
        <w:rPr>
          <w:rFonts w:hint="eastAsia" w:ascii="黑体" w:hAnsi="黑体" w:eastAsia="黑体"/>
          <w:sz w:val="24"/>
        </w:rPr>
        <w:t>4.投标委托</w:t>
      </w:r>
      <w:bookmarkEnd w:id="80"/>
      <w:bookmarkEnd w:id="81"/>
    </w:p>
    <w:p w14:paraId="01F883F3">
      <w:pPr>
        <w:snapToGrid w:val="0"/>
        <w:spacing w:line="360" w:lineRule="auto"/>
        <w:ind w:firstLine="420" w:firstLineChars="200"/>
        <w:jc w:val="left"/>
        <w:rPr>
          <w:rFonts w:ascii="宋体" w:hAnsi="宋体"/>
          <w:szCs w:val="21"/>
        </w:rPr>
      </w:pPr>
      <w:r>
        <w:rPr>
          <w:rFonts w:hint="eastAsia" w:ascii="宋体" w:hAnsi="宋体"/>
          <w:szCs w:val="21"/>
        </w:rPr>
        <w:t>投标人代表参加投标活动过程中必须携带个人有效身份证件。如投标人代表不是法定代表人，须持有授权委托书（按第六章要求格式填写）。</w:t>
      </w:r>
    </w:p>
    <w:p w14:paraId="66B38C48">
      <w:pPr>
        <w:pStyle w:val="6"/>
        <w:keepNext w:val="0"/>
        <w:keepLines w:val="0"/>
        <w:spacing w:before="0" w:after="0" w:line="360" w:lineRule="auto"/>
        <w:ind w:left="420" w:leftChars="200"/>
        <w:rPr>
          <w:rFonts w:ascii="黑体" w:hAnsi="黑体" w:eastAsia="黑体"/>
          <w:sz w:val="24"/>
        </w:rPr>
      </w:pPr>
      <w:bookmarkStart w:id="82" w:name="_5.投标费用"/>
      <w:bookmarkEnd w:id="82"/>
      <w:bookmarkStart w:id="83" w:name="_Toc254970672"/>
      <w:bookmarkStart w:id="84" w:name="_Toc254970531"/>
      <w:r>
        <w:rPr>
          <w:rFonts w:hint="eastAsia" w:ascii="黑体" w:hAnsi="黑体" w:eastAsia="黑体"/>
          <w:sz w:val="24"/>
        </w:rPr>
        <w:t>5.投标费用</w:t>
      </w:r>
      <w:bookmarkEnd w:id="83"/>
      <w:bookmarkEnd w:id="84"/>
    </w:p>
    <w:p w14:paraId="6A594BB1">
      <w:pPr>
        <w:snapToGrid w:val="0"/>
        <w:spacing w:line="360" w:lineRule="auto"/>
        <w:ind w:firstLine="420" w:firstLineChars="200"/>
        <w:jc w:val="left"/>
        <w:rPr>
          <w:rFonts w:ascii="宋体" w:hAnsi="宋体"/>
          <w:szCs w:val="21"/>
        </w:rPr>
      </w:pPr>
      <w:r>
        <w:rPr>
          <w:rFonts w:hint="eastAsia" w:ascii="宋体" w:hAnsi="宋体" w:cs="宋体"/>
          <w:szCs w:val="21"/>
        </w:rPr>
        <w:t>投标费用：投标人应承担参与本次采购活动有关的所有费用，包括但不限于获取招标文件、勘查现场、编制和提交投标文件、参加澄清说明、签订合同等，不论投标结果如何，均应自行承担。</w:t>
      </w:r>
    </w:p>
    <w:p w14:paraId="5F854E27">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6.联合体投标</w:t>
      </w:r>
    </w:p>
    <w:p w14:paraId="69F0C07E">
      <w:pPr>
        <w:snapToGrid w:val="0"/>
        <w:spacing w:line="360" w:lineRule="auto"/>
        <w:ind w:firstLine="420" w:firstLineChars="200"/>
        <w:jc w:val="left"/>
        <w:rPr>
          <w:rFonts w:ascii="宋体" w:hAnsi="宋体"/>
          <w:szCs w:val="21"/>
        </w:rPr>
      </w:pPr>
      <w:r>
        <w:rPr>
          <w:rFonts w:hint="eastAsia" w:ascii="宋体" w:hAnsi="宋体"/>
          <w:szCs w:val="21"/>
        </w:rPr>
        <w:t>6.1本项目是否接受联合体投标，详见“投标人须知前附表”。</w:t>
      </w:r>
    </w:p>
    <w:p w14:paraId="467A8C5C">
      <w:pPr>
        <w:snapToGrid w:val="0"/>
        <w:spacing w:line="360" w:lineRule="auto"/>
        <w:ind w:firstLine="420" w:firstLineChars="200"/>
        <w:jc w:val="left"/>
        <w:rPr>
          <w:rFonts w:ascii="宋体" w:hAnsi="宋体"/>
          <w:bCs/>
          <w:szCs w:val="21"/>
        </w:rPr>
      </w:pPr>
      <w:r>
        <w:rPr>
          <w:rFonts w:hint="eastAsia" w:ascii="宋体" w:hAnsi="宋体"/>
          <w:bCs/>
          <w:szCs w:val="21"/>
        </w:rPr>
        <w:t>6.2如接受联合体投标，联合体投标要求详见“投标人须知前附表”。</w:t>
      </w:r>
    </w:p>
    <w:p w14:paraId="27AEFEEF">
      <w:pPr>
        <w:pStyle w:val="6"/>
        <w:keepNext w:val="0"/>
        <w:keepLines w:val="0"/>
        <w:spacing w:before="0" w:after="0" w:line="360" w:lineRule="auto"/>
        <w:ind w:firstLine="424" w:firstLineChars="202"/>
        <w:rPr>
          <w:rFonts w:ascii="黑体" w:hAnsi="黑体" w:eastAsia="黑体"/>
          <w:sz w:val="24"/>
        </w:rPr>
      </w:pPr>
      <w:r>
        <w:rPr>
          <w:rFonts w:hint="eastAsia" w:ascii="宋体" w:hAnsi="宋体"/>
          <w:b w:val="0"/>
          <w:sz w:val="21"/>
          <w:szCs w:val="21"/>
        </w:rPr>
        <w:t>6.3根据《政府采购促进中小企业发展管理办法》（财库〔2020〕46号）及《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p>
    <w:p w14:paraId="7A1F22ED">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 xml:space="preserve">7.转包与分包             </w:t>
      </w:r>
    </w:p>
    <w:p w14:paraId="05A166DB">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7.1本项目不允许转包。</w:t>
      </w:r>
    </w:p>
    <w:p w14:paraId="17FDB4D4">
      <w:pPr>
        <w:pStyle w:val="6"/>
        <w:keepNext w:val="0"/>
        <w:keepLines w:val="0"/>
        <w:spacing w:before="0" w:after="0" w:line="360" w:lineRule="auto"/>
        <w:ind w:firstLine="315" w:firstLineChars="150"/>
        <w:rPr>
          <w:rFonts w:ascii="宋体" w:hAnsi="宋体"/>
          <w:b w:val="0"/>
          <w:sz w:val="21"/>
          <w:szCs w:val="21"/>
        </w:rPr>
      </w:pPr>
      <w:r>
        <w:rPr>
          <w:rFonts w:hint="eastAsia" w:ascii="宋体" w:hAnsi="宋体"/>
          <w:b w:val="0"/>
          <w:sz w:val="21"/>
          <w:szCs w:val="21"/>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51E181E7">
      <w:pPr>
        <w:pStyle w:val="6"/>
        <w:keepNext w:val="0"/>
        <w:keepLines w:val="0"/>
        <w:spacing w:before="0" w:after="0" w:line="360" w:lineRule="auto"/>
        <w:ind w:firstLine="315" w:firstLineChars="150"/>
        <w:rPr>
          <w:rFonts w:ascii="宋体" w:hAnsi="宋体"/>
          <w:b w:val="0"/>
          <w:sz w:val="21"/>
          <w:szCs w:val="21"/>
        </w:rPr>
      </w:pPr>
      <w:r>
        <w:rPr>
          <w:rFonts w:hint="eastAsia" w:ascii="宋体" w:hAnsi="宋体"/>
          <w:b w:val="0"/>
          <w:sz w:val="21"/>
          <w:szCs w:val="21"/>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4EF176DE">
      <w:pPr>
        <w:pStyle w:val="6"/>
        <w:keepNext w:val="0"/>
        <w:keepLines w:val="0"/>
        <w:spacing w:before="0" w:after="0" w:line="360" w:lineRule="auto"/>
        <w:ind w:left="420" w:leftChars="200"/>
        <w:rPr>
          <w:rFonts w:ascii="黑体" w:hAnsi="黑体" w:eastAsia="黑体"/>
          <w:sz w:val="24"/>
        </w:rPr>
      </w:pPr>
      <w:bookmarkStart w:id="85" w:name="_Toc254970673"/>
      <w:bookmarkStart w:id="86" w:name="_Toc254970532"/>
      <w:r>
        <w:rPr>
          <w:rFonts w:hint="eastAsia" w:ascii="黑体" w:hAnsi="黑体" w:eastAsia="黑体"/>
          <w:sz w:val="24"/>
        </w:rPr>
        <w:t>8.特别说明</w:t>
      </w:r>
      <w:bookmarkEnd w:id="85"/>
      <w:bookmarkEnd w:id="86"/>
    </w:p>
    <w:p w14:paraId="416E962D">
      <w:pPr>
        <w:pStyle w:val="6"/>
        <w:keepNext w:val="0"/>
        <w:keepLines w:val="0"/>
        <w:spacing w:before="0" w:after="0" w:line="360" w:lineRule="auto"/>
        <w:ind w:firstLine="420" w:firstLineChars="200"/>
        <w:rPr>
          <w:rFonts w:ascii="宋体" w:hAnsi="宋体"/>
          <w:b w:val="0"/>
          <w:sz w:val="21"/>
          <w:szCs w:val="21"/>
        </w:rPr>
      </w:pPr>
      <w:bookmarkStart w:id="87" w:name="_8.1提供相同品牌产品且通过资格审查、符合性审查的不同投标人参加同一合"/>
      <w:bookmarkEnd w:id="87"/>
      <w:r>
        <w:rPr>
          <w:rFonts w:ascii="宋体" w:hAnsi="宋体"/>
          <w:b w:val="0"/>
          <w:sz w:val="21"/>
          <w:szCs w:val="21"/>
        </w:rPr>
        <w:fldChar w:fldCharType="begin"/>
      </w:r>
      <w:r>
        <w:rPr>
          <w:rFonts w:ascii="宋体" w:hAnsi="宋体"/>
          <w:b w:val="0"/>
          <w:sz w:val="21"/>
          <w:szCs w:val="21"/>
        </w:rPr>
        <w:instrText xml:space="preserve"> HYPERLINK  \l "_8.1" </w:instrText>
      </w:r>
      <w:r>
        <w:rPr>
          <w:rFonts w:ascii="宋体" w:hAnsi="宋体"/>
          <w:b w:val="0"/>
          <w:sz w:val="21"/>
          <w:szCs w:val="21"/>
        </w:rPr>
        <w:fldChar w:fldCharType="separate"/>
      </w:r>
      <w:r>
        <w:rPr>
          <w:rFonts w:hint="eastAsia" w:ascii="宋体" w:hAnsi="宋体"/>
          <w:b w:val="0"/>
          <w:sz w:val="21"/>
          <w:szCs w:val="21"/>
        </w:rPr>
        <w:t>8.1</w:t>
      </w:r>
      <w:r>
        <w:rPr>
          <w:rFonts w:ascii="宋体" w:hAnsi="宋体"/>
          <w:b w:val="0"/>
          <w:sz w:val="21"/>
          <w:szCs w:val="21"/>
        </w:rPr>
        <w:fldChar w:fldCharType="end"/>
      </w:r>
      <w:r>
        <w:rPr>
          <w:rFonts w:hint="eastAsia" w:ascii="宋体" w:hAnsi="宋体"/>
          <w:b w:val="0"/>
          <w:sz w:val="21"/>
          <w:szCs w:val="21"/>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w:t>
      </w:r>
      <w:r>
        <w:rPr>
          <w:rFonts w:hint="eastAsia" w:ascii="宋体" w:hAnsi="宋体"/>
          <w:sz w:val="22"/>
          <w:szCs w:val="22"/>
        </w:rPr>
        <w:t>其他投标无效。</w:t>
      </w:r>
    </w:p>
    <w:p w14:paraId="7E0E446E">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14:paraId="0A302F88">
      <w:pPr>
        <w:pStyle w:val="16"/>
        <w:snapToGrid w:val="0"/>
        <w:spacing w:line="360" w:lineRule="auto"/>
        <w:ind w:left="2" w:leftChars="1" w:firstLine="420" w:firstLineChars="200"/>
        <w:rPr>
          <w:rFonts w:hAnsi="宋体"/>
          <w:kern w:val="2"/>
          <w:sz w:val="21"/>
        </w:rPr>
      </w:pPr>
      <w:r>
        <w:rPr>
          <w:rFonts w:hint="eastAsia" w:hAnsi="宋体"/>
          <w:kern w:val="2"/>
          <w:sz w:val="21"/>
        </w:rPr>
        <w:t>非单一产品采购项目，多家投标人提供的核心产品品牌相同的，</w:t>
      </w:r>
      <w:r>
        <w:rPr>
          <w:rFonts w:hint="eastAsia" w:hAnsi="宋体"/>
          <w:sz w:val="22"/>
          <w:szCs w:val="22"/>
        </w:rPr>
        <w:t>按前两款规定处理</w:t>
      </w:r>
      <w:r>
        <w:rPr>
          <w:rFonts w:hint="eastAsia" w:hAnsi="宋体"/>
          <w:kern w:val="2"/>
          <w:sz w:val="21"/>
        </w:rPr>
        <w:t>。</w:t>
      </w:r>
    </w:p>
    <w:p w14:paraId="50CB0579">
      <w:pPr>
        <w:pStyle w:val="6"/>
        <w:keepNext w:val="0"/>
        <w:keepLines w:val="0"/>
        <w:spacing w:before="0" w:after="0" w:line="360" w:lineRule="auto"/>
        <w:ind w:firstLine="367" w:firstLineChars="175"/>
        <w:rPr>
          <w:rFonts w:ascii="宋体" w:hAnsi="宋体"/>
          <w:b w:val="0"/>
          <w:sz w:val="21"/>
          <w:szCs w:val="21"/>
        </w:rPr>
      </w:pPr>
      <w:r>
        <w:rPr>
          <w:rFonts w:hint="eastAsia" w:ascii="宋体" w:hAnsi="宋体"/>
          <w:b w:val="0"/>
          <w:sz w:val="21"/>
          <w:szCs w:val="21"/>
        </w:rPr>
        <w:t xml:space="preserve"> 8.2如果本招标文件要求提供投标人或制造商的资格、信誉、荣誉、业绩与企业认证等材料的，资格、信誉、荣誉、业绩与企业认证等必须为投标人或者制造商所拥有或自身获得 。</w:t>
      </w:r>
    </w:p>
    <w:p w14:paraId="6258B262">
      <w:pPr>
        <w:pStyle w:val="6"/>
        <w:keepNext w:val="0"/>
        <w:keepLines w:val="0"/>
        <w:spacing w:before="0" w:after="0" w:line="360" w:lineRule="auto"/>
        <w:ind w:firstLine="367" w:firstLineChars="175"/>
        <w:rPr>
          <w:rFonts w:ascii="宋体" w:hAnsi="宋体"/>
          <w:b w:val="0"/>
          <w:sz w:val="21"/>
          <w:szCs w:val="21"/>
        </w:rPr>
      </w:pPr>
      <w:r>
        <w:rPr>
          <w:rFonts w:hint="eastAsia" w:ascii="宋体" w:hAnsi="宋体"/>
          <w:b w:val="0"/>
          <w:sz w:val="21"/>
          <w:szCs w:val="21"/>
        </w:rPr>
        <w:t xml:space="preserve"> 8.3投标人应仔细阅读招标文件的所有内容，按照招标文件的要求提交投标文件，并对所提供的全部资料的真实性承担法律责任。</w:t>
      </w:r>
    </w:p>
    <w:p w14:paraId="61828535">
      <w:pPr>
        <w:pStyle w:val="6"/>
        <w:keepNext w:val="0"/>
        <w:keepLines w:val="0"/>
        <w:spacing w:before="0" w:after="0" w:line="360" w:lineRule="auto"/>
        <w:ind w:firstLine="367" w:firstLineChars="175"/>
        <w:rPr>
          <w:rFonts w:ascii="宋体" w:hAnsi="宋体"/>
          <w:b w:val="0"/>
          <w:sz w:val="21"/>
          <w:szCs w:val="21"/>
        </w:rPr>
      </w:pPr>
      <w:r>
        <w:rPr>
          <w:rFonts w:hint="eastAsia" w:ascii="宋体" w:hAnsi="宋体"/>
          <w:b w:val="0"/>
          <w:sz w:val="21"/>
          <w:szCs w:val="21"/>
        </w:rPr>
        <w:t xml:space="preserve"> 8.4投标人在投标活动中提供任何虚假材料，将报监管部门查处；中标后发现的，中标人须依照《中华人民共和国消费者权益保护法》规定赔偿采购人，且民事赔偿并不免除违法投标人的行政与刑事责任。</w:t>
      </w:r>
    </w:p>
    <w:p w14:paraId="3CC35F95">
      <w:pPr>
        <w:pStyle w:val="6"/>
        <w:keepNext w:val="0"/>
        <w:keepLines w:val="0"/>
        <w:spacing w:before="0" w:after="0" w:line="360" w:lineRule="auto"/>
        <w:ind w:left="420" w:leftChars="200"/>
        <w:rPr>
          <w:rFonts w:ascii="黑体" w:hAnsi="黑体" w:eastAsia="黑体"/>
          <w:sz w:val="24"/>
        </w:rPr>
      </w:pPr>
      <w:r>
        <w:rPr>
          <w:rFonts w:ascii="黑体" w:hAnsi="黑体" w:eastAsia="黑体"/>
          <w:sz w:val="24"/>
        </w:rPr>
        <w:t>9.</w:t>
      </w:r>
      <w:r>
        <w:rPr>
          <w:rFonts w:hint="eastAsia" w:ascii="黑体" w:hAnsi="黑体" w:eastAsia="黑体"/>
          <w:sz w:val="24"/>
        </w:rPr>
        <w:t>回避与串通投标</w:t>
      </w:r>
    </w:p>
    <w:p w14:paraId="7DD569FA">
      <w:pPr>
        <w:pStyle w:val="6"/>
        <w:keepNext w:val="0"/>
        <w:keepLines w:val="0"/>
        <w:spacing w:before="0" w:after="0" w:line="360" w:lineRule="auto"/>
        <w:ind w:firstLine="367" w:firstLineChars="175"/>
        <w:rPr>
          <w:rFonts w:ascii="宋体" w:hAnsi="宋体"/>
          <w:b w:val="0"/>
          <w:sz w:val="21"/>
          <w:szCs w:val="21"/>
        </w:rPr>
      </w:pPr>
      <w:r>
        <w:rPr>
          <w:rFonts w:hint="eastAsia" w:ascii="宋体" w:hAnsi="宋体"/>
          <w:b w:val="0"/>
          <w:sz w:val="21"/>
          <w:szCs w:val="21"/>
        </w:rPr>
        <w:t>9</w:t>
      </w:r>
      <w:r>
        <w:rPr>
          <w:rFonts w:ascii="宋体" w:hAnsi="宋体"/>
          <w:b w:val="0"/>
          <w:sz w:val="21"/>
          <w:szCs w:val="21"/>
        </w:rPr>
        <w:t>.1在政府采购活动中，采购人员及相关人员与</w:t>
      </w:r>
      <w:r>
        <w:rPr>
          <w:rFonts w:hint="eastAsia" w:ascii="宋体" w:hAnsi="宋体"/>
          <w:b w:val="0"/>
          <w:sz w:val="21"/>
          <w:szCs w:val="21"/>
        </w:rPr>
        <w:t>供应商</w:t>
      </w:r>
      <w:r>
        <w:rPr>
          <w:rFonts w:ascii="宋体" w:hAnsi="宋体"/>
          <w:b w:val="0"/>
          <w:sz w:val="21"/>
          <w:szCs w:val="21"/>
        </w:rPr>
        <w:t>有下列利害关系之一的，应当回避：</w:t>
      </w:r>
    </w:p>
    <w:p w14:paraId="7923A4BA">
      <w:pPr>
        <w:pStyle w:val="16"/>
        <w:snapToGrid w:val="0"/>
        <w:spacing w:line="360" w:lineRule="auto"/>
        <w:ind w:left="2" w:leftChars="1" w:firstLine="420" w:firstLineChars="200"/>
        <w:rPr>
          <w:rFonts w:hAnsi="宋体"/>
          <w:kern w:val="2"/>
          <w:sz w:val="21"/>
        </w:rPr>
      </w:pPr>
      <w:r>
        <w:rPr>
          <w:rFonts w:hAnsi="宋体"/>
          <w:kern w:val="2"/>
          <w:sz w:val="21"/>
        </w:rPr>
        <w:t>（</w:t>
      </w:r>
      <w:r>
        <w:rPr>
          <w:rFonts w:hint="eastAsia" w:hAnsi="宋体"/>
          <w:kern w:val="2"/>
          <w:sz w:val="21"/>
        </w:rPr>
        <w:t>1</w:t>
      </w:r>
      <w:r>
        <w:rPr>
          <w:rFonts w:hAnsi="宋体"/>
          <w:kern w:val="2"/>
          <w:sz w:val="21"/>
        </w:rPr>
        <w:t>）参加采购活动前3年内与</w:t>
      </w:r>
      <w:r>
        <w:rPr>
          <w:rFonts w:hint="eastAsia" w:hAnsi="宋体"/>
          <w:kern w:val="2"/>
          <w:sz w:val="21"/>
        </w:rPr>
        <w:t>供应商</w:t>
      </w:r>
      <w:r>
        <w:rPr>
          <w:rFonts w:hAnsi="宋体"/>
          <w:kern w:val="2"/>
          <w:sz w:val="21"/>
        </w:rPr>
        <w:t>存在劳动关系；</w:t>
      </w:r>
    </w:p>
    <w:p w14:paraId="2988B9C6">
      <w:pPr>
        <w:pStyle w:val="16"/>
        <w:snapToGrid w:val="0"/>
        <w:spacing w:line="360" w:lineRule="auto"/>
        <w:ind w:left="2" w:leftChars="1" w:firstLine="420" w:firstLineChars="200"/>
        <w:rPr>
          <w:rFonts w:hAnsi="宋体"/>
          <w:kern w:val="2"/>
          <w:sz w:val="21"/>
        </w:rPr>
      </w:pPr>
      <w:r>
        <w:rPr>
          <w:rFonts w:hAnsi="宋体"/>
          <w:kern w:val="2"/>
          <w:sz w:val="21"/>
        </w:rPr>
        <w:t>（</w:t>
      </w:r>
      <w:r>
        <w:rPr>
          <w:rFonts w:hint="eastAsia" w:hAnsi="宋体"/>
          <w:kern w:val="2"/>
          <w:sz w:val="21"/>
        </w:rPr>
        <w:t>2</w:t>
      </w:r>
      <w:r>
        <w:rPr>
          <w:rFonts w:hAnsi="宋体"/>
          <w:kern w:val="2"/>
          <w:sz w:val="21"/>
        </w:rPr>
        <w:t>）参加采购活动前3年内担任</w:t>
      </w:r>
      <w:r>
        <w:rPr>
          <w:rFonts w:hint="eastAsia" w:hAnsi="宋体"/>
          <w:kern w:val="2"/>
          <w:sz w:val="21"/>
        </w:rPr>
        <w:t>供应商</w:t>
      </w:r>
      <w:r>
        <w:rPr>
          <w:rFonts w:hAnsi="宋体"/>
          <w:kern w:val="2"/>
          <w:sz w:val="21"/>
        </w:rPr>
        <w:t>的董事、监事；</w:t>
      </w:r>
    </w:p>
    <w:p w14:paraId="4A1ABC5D">
      <w:pPr>
        <w:pStyle w:val="16"/>
        <w:snapToGrid w:val="0"/>
        <w:spacing w:line="360" w:lineRule="auto"/>
        <w:ind w:left="2" w:leftChars="1" w:firstLine="420" w:firstLineChars="200"/>
        <w:rPr>
          <w:rFonts w:hAnsi="宋体"/>
          <w:kern w:val="2"/>
          <w:sz w:val="21"/>
        </w:rPr>
      </w:pPr>
      <w:r>
        <w:rPr>
          <w:rFonts w:hAnsi="宋体"/>
          <w:kern w:val="2"/>
          <w:sz w:val="21"/>
        </w:rPr>
        <w:t>（</w:t>
      </w:r>
      <w:r>
        <w:rPr>
          <w:rFonts w:hint="eastAsia" w:hAnsi="宋体"/>
          <w:kern w:val="2"/>
          <w:sz w:val="21"/>
        </w:rPr>
        <w:t>3</w:t>
      </w:r>
      <w:r>
        <w:rPr>
          <w:rFonts w:hAnsi="宋体"/>
          <w:kern w:val="2"/>
          <w:sz w:val="21"/>
        </w:rPr>
        <w:t>）参加采购活动前3年内是</w:t>
      </w:r>
      <w:r>
        <w:rPr>
          <w:rFonts w:hint="eastAsia" w:hAnsi="宋体"/>
          <w:kern w:val="2"/>
          <w:sz w:val="21"/>
        </w:rPr>
        <w:t>供应商</w:t>
      </w:r>
      <w:r>
        <w:rPr>
          <w:rFonts w:hAnsi="宋体"/>
          <w:kern w:val="2"/>
          <w:sz w:val="21"/>
        </w:rPr>
        <w:t>的控股股东或者实际控制人；</w:t>
      </w:r>
    </w:p>
    <w:p w14:paraId="739F0F81">
      <w:pPr>
        <w:pStyle w:val="16"/>
        <w:snapToGrid w:val="0"/>
        <w:spacing w:line="360" w:lineRule="auto"/>
        <w:ind w:left="2" w:leftChars="1" w:firstLine="420" w:firstLineChars="200"/>
        <w:rPr>
          <w:rFonts w:hAnsi="宋体"/>
          <w:kern w:val="2"/>
          <w:sz w:val="21"/>
        </w:rPr>
      </w:pPr>
      <w:r>
        <w:rPr>
          <w:rFonts w:hAnsi="宋体"/>
          <w:kern w:val="2"/>
          <w:sz w:val="21"/>
        </w:rPr>
        <w:t>（</w:t>
      </w:r>
      <w:r>
        <w:rPr>
          <w:rFonts w:hint="eastAsia" w:hAnsi="宋体"/>
          <w:kern w:val="2"/>
          <w:sz w:val="21"/>
        </w:rPr>
        <w:t>4</w:t>
      </w:r>
      <w:r>
        <w:rPr>
          <w:rFonts w:hAnsi="宋体"/>
          <w:kern w:val="2"/>
          <w:sz w:val="21"/>
        </w:rPr>
        <w:t>）与</w:t>
      </w:r>
      <w:r>
        <w:rPr>
          <w:rFonts w:hint="eastAsia" w:hAnsi="宋体"/>
          <w:kern w:val="2"/>
          <w:sz w:val="21"/>
        </w:rPr>
        <w:t>供应商</w:t>
      </w:r>
      <w:r>
        <w:rPr>
          <w:rFonts w:hAnsi="宋体"/>
          <w:kern w:val="2"/>
          <w:sz w:val="21"/>
        </w:rPr>
        <w:t>的法定代表人或者负责人有夫妻、直系血亲、三代以内旁系血亲或者近姻亲关系；</w:t>
      </w:r>
    </w:p>
    <w:p w14:paraId="3F392F5D">
      <w:pPr>
        <w:pStyle w:val="16"/>
        <w:snapToGrid w:val="0"/>
        <w:spacing w:line="360" w:lineRule="auto"/>
        <w:ind w:left="2" w:leftChars="1" w:firstLine="420" w:firstLineChars="200"/>
        <w:rPr>
          <w:rFonts w:hAnsi="宋体"/>
          <w:kern w:val="2"/>
          <w:sz w:val="21"/>
        </w:rPr>
      </w:pPr>
      <w:r>
        <w:rPr>
          <w:rFonts w:hAnsi="宋体"/>
          <w:kern w:val="2"/>
          <w:sz w:val="21"/>
        </w:rPr>
        <w:t>（</w:t>
      </w:r>
      <w:r>
        <w:rPr>
          <w:rFonts w:hint="eastAsia" w:hAnsi="宋体"/>
          <w:kern w:val="2"/>
          <w:sz w:val="21"/>
        </w:rPr>
        <w:t>5</w:t>
      </w:r>
      <w:r>
        <w:rPr>
          <w:rFonts w:hAnsi="宋体"/>
          <w:kern w:val="2"/>
          <w:sz w:val="21"/>
        </w:rPr>
        <w:t>）与</w:t>
      </w:r>
      <w:r>
        <w:rPr>
          <w:rFonts w:hint="eastAsia" w:hAnsi="宋体"/>
          <w:kern w:val="2"/>
          <w:sz w:val="21"/>
        </w:rPr>
        <w:t>供应商</w:t>
      </w:r>
      <w:r>
        <w:rPr>
          <w:rFonts w:hAnsi="宋体"/>
          <w:kern w:val="2"/>
          <w:sz w:val="21"/>
        </w:rPr>
        <w:t>有其他可能影响政府采购活动公平、公正进行的关系。</w:t>
      </w:r>
    </w:p>
    <w:p w14:paraId="79354063">
      <w:pPr>
        <w:pStyle w:val="16"/>
        <w:snapToGrid w:val="0"/>
        <w:spacing w:line="360" w:lineRule="auto"/>
        <w:ind w:left="2" w:leftChars="1" w:firstLine="420" w:firstLineChars="200"/>
        <w:rPr>
          <w:rFonts w:hAnsi="宋体"/>
          <w:kern w:val="2"/>
          <w:sz w:val="21"/>
        </w:rPr>
      </w:pPr>
      <w:r>
        <w:rPr>
          <w:rFonts w:hint="eastAsia" w:hAnsi="宋体"/>
          <w:kern w:val="2"/>
          <w:sz w:val="21"/>
        </w:rPr>
        <w:t>供应商</w:t>
      </w:r>
      <w:r>
        <w:rPr>
          <w:rFonts w:hAnsi="宋体"/>
          <w:kern w:val="2"/>
          <w:sz w:val="21"/>
        </w:rPr>
        <w:t>认为采购人员及相关人员与其他</w:t>
      </w:r>
      <w:r>
        <w:rPr>
          <w:rFonts w:hint="eastAsia" w:hAnsi="宋体"/>
          <w:kern w:val="2"/>
          <w:sz w:val="21"/>
        </w:rPr>
        <w:t>供应商</w:t>
      </w:r>
      <w:r>
        <w:rPr>
          <w:rFonts w:hAnsi="宋体"/>
          <w:kern w:val="2"/>
          <w:sz w:val="21"/>
        </w:rPr>
        <w:t>有利害关系的，可以向采购人或者采购代理机构书面提出回避申请，并说明理由。采购人或者采购代理机构应当及时询问被申请回避人员，有利害关系的被申请回避人员应当回避。</w:t>
      </w:r>
    </w:p>
    <w:p w14:paraId="26217E78">
      <w:pPr>
        <w:pStyle w:val="6"/>
        <w:keepNext w:val="0"/>
        <w:keepLines w:val="0"/>
        <w:spacing w:before="0" w:after="0" w:line="360" w:lineRule="auto"/>
        <w:ind w:left="420" w:leftChars="200"/>
        <w:rPr>
          <w:rFonts w:ascii="宋体" w:hAnsi="宋体"/>
          <w:sz w:val="21"/>
          <w:szCs w:val="21"/>
        </w:rPr>
      </w:pPr>
      <w:r>
        <w:rPr>
          <w:rFonts w:ascii="宋体" w:hAnsi="宋体"/>
          <w:sz w:val="21"/>
          <w:szCs w:val="21"/>
        </w:rPr>
        <w:t>9.2</w:t>
      </w:r>
      <w:r>
        <w:rPr>
          <w:rFonts w:hint="eastAsia" w:ascii="宋体" w:hAnsi="宋体"/>
          <w:sz w:val="21"/>
          <w:szCs w:val="21"/>
        </w:rPr>
        <w:t>有下列情形之一的视为投标人相互串通投标，投标文件将被视为无效：</w:t>
      </w:r>
    </w:p>
    <w:p w14:paraId="34E233FF">
      <w:pPr>
        <w:pStyle w:val="16"/>
        <w:snapToGrid w:val="0"/>
        <w:spacing w:line="360" w:lineRule="auto"/>
        <w:ind w:left="2" w:leftChars="1" w:firstLine="422" w:firstLineChars="200"/>
        <w:rPr>
          <w:rFonts w:hAnsi="宋体"/>
          <w:b/>
          <w:kern w:val="2"/>
          <w:sz w:val="21"/>
        </w:rPr>
      </w:pPr>
      <w:r>
        <w:rPr>
          <w:rFonts w:hint="eastAsia" w:hAnsi="宋体"/>
          <w:b/>
          <w:kern w:val="2"/>
          <w:sz w:val="21"/>
        </w:rPr>
        <w:t xml:space="preserve">（1）不同投标人的投标文件由同一单位或者个人编制；或者不同投标人报名的IP地址一致的；或者编制标书硬件设备CPU编号、硬盘编号、网卡地址一致的情况。 </w:t>
      </w:r>
    </w:p>
    <w:p w14:paraId="0999A8BF">
      <w:pPr>
        <w:pStyle w:val="16"/>
        <w:snapToGrid w:val="0"/>
        <w:spacing w:line="360" w:lineRule="auto"/>
        <w:ind w:left="2" w:leftChars="1" w:firstLine="422" w:firstLineChars="200"/>
        <w:rPr>
          <w:rFonts w:hAnsi="宋体"/>
          <w:b/>
          <w:kern w:val="2"/>
          <w:sz w:val="21"/>
        </w:rPr>
      </w:pPr>
      <w:r>
        <w:rPr>
          <w:rFonts w:hint="eastAsia" w:hAnsi="宋体"/>
          <w:b/>
          <w:kern w:val="2"/>
          <w:sz w:val="21"/>
        </w:rPr>
        <w:t>（2）不同投标人委托同一单位或者个人办理投标事宜；</w:t>
      </w:r>
    </w:p>
    <w:p w14:paraId="6A60D298">
      <w:pPr>
        <w:pStyle w:val="16"/>
        <w:snapToGrid w:val="0"/>
        <w:spacing w:line="360" w:lineRule="auto"/>
        <w:ind w:left="2" w:leftChars="1" w:firstLine="422" w:firstLineChars="200"/>
        <w:rPr>
          <w:rFonts w:hAnsi="宋体"/>
          <w:b/>
          <w:kern w:val="2"/>
          <w:sz w:val="21"/>
        </w:rPr>
      </w:pPr>
      <w:r>
        <w:rPr>
          <w:rFonts w:hint="eastAsia" w:hAnsi="宋体"/>
          <w:b/>
          <w:kern w:val="2"/>
          <w:sz w:val="21"/>
        </w:rPr>
        <w:t>（3）不同的投标人的投标文件载明的项目管理员为同一个人；</w:t>
      </w:r>
    </w:p>
    <w:p w14:paraId="6EE44342">
      <w:pPr>
        <w:spacing w:line="360" w:lineRule="auto"/>
        <w:ind w:firstLine="422" w:firstLineChars="200"/>
        <w:rPr>
          <w:rFonts w:hAnsi="宋体"/>
          <w:b/>
        </w:rPr>
      </w:pPr>
      <w:r>
        <w:rPr>
          <w:rFonts w:hint="eastAsia" w:hAnsi="宋体"/>
          <w:b/>
        </w:rPr>
        <w:t>（</w:t>
      </w:r>
      <w:r>
        <w:rPr>
          <w:rFonts w:hAnsi="宋体"/>
          <w:b/>
        </w:rPr>
        <w:t>4</w:t>
      </w:r>
      <w:r>
        <w:rPr>
          <w:rFonts w:hint="eastAsia" w:hAnsi="宋体"/>
          <w:b/>
        </w:rPr>
        <w:t>）不同投标人的电子或纸质投标文件异常一致或者投标报价呈规律性差异；</w:t>
      </w:r>
    </w:p>
    <w:p w14:paraId="4D6CA966">
      <w:pPr>
        <w:spacing w:line="360" w:lineRule="auto"/>
        <w:ind w:firstLine="422" w:firstLineChars="200"/>
        <w:rPr>
          <w:rFonts w:hAnsi="宋体"/>
          <w:b/>
        </w:rPr>
      </w:pPr>
      <w:r>
        <w:rPr>
          <w:rFonts w:hint="eastAsia" w:hAnsi="宋体"/>
          <w:b/>
        </w:rPr>
        <w:t>（</w:t>
      </w:r>
      <w:r>
        <w:rPr>
          <w:rFonts w:hAnsi="宋体"/>
          <w:b/>
        </w:rPr>
        <w:t>5</w:t>
      </w:r>
      <w:r>
        <w:rPr>
          <w:rFonts w:hint="eastAsia" w:hAnsi="宋体"/>
          <w:b/>
        </w:rPr>
        <w:t>）不同投标人的纸质投标文件相互混装；</w:t>
      </w:r>
    </w:p>
    <w:p w14:paraId="096A9C72">
      <w:pPr>
        <w:pStyle w:val="6"/>
        <w:keepNext w:val="0"/>
        <w:keepLines w:val="0"/>
        <w:spacing w:before="0" w:after="0" w:line="360" w:lineRule="auto"/>
        <w:ind w:left="420" w:leftChars="200"/>
        <w:rPr>
          <w:rFonts w:ascii="宋体" w:hAnsi="宋体"/>
          <w:b w:val="0"/>
          <w:sz w:val="21"/>
          <w:szCs w:val="21"/>
        </w:rPr>
      </w:pPr>
      <w:r>
        <w:rPr>
          <w:rFonts w:ascii="宋体" w:hAnsi="宋体"/>
          <w:b w:val="0"/>
          <w:sz w:val="21"/>
          <w:szCs w:val="21"/>
        </w:rPr>
        <w:t>9.3</w:t>
      </w:r>
      <w:r>
        <w:rPr>
          <w:rFonts w:hint="eastAsia" w:ascii="宋体" w:hAnsi="宋体"/>
          <w:b w:val="0"/>
          <w:sz w:val="21"/>
          <w:szCs w:val="21"/>
        </w:rPr>
        <w:t>供应商有下列情形之一的，属于恶意串通行为，将报同级监督管理部门：</w:t>
      </w:r>
    </w:p>
    <w:p w14:paraId="7D137827">
      <w:pPr>
        <w:pStyle w:val="16"/>
        <w:snapToGrid w:val="0"/>
        <w:spacing w:line="360" w:lineRule="auto"/>
        <w:ind w:left="2" w:leftChars="1" w:firstLine="420" w:firstLineChars="200"/>
        <w:rPr>
          <w:rFonts w:hAnsi="宋体"/>
          <w:kern w:val="2"/>
          <w:sz w:val="21"/>
        </w:rPr>
      </w:pPr>
      <w:r>
        <w:rPr>
          <w:rFonts w:hint="eastAsia" w:hAnsi="宋体"/>
          <w:kern w:val="2"/>
          <w:sz w:val="21"/>
        </w:rPr>
        <w:t>（1）供应商直接或者间接从采购人或者采购代理机构处获得其他供应商的相关信息并修改其投标文件或者响应文件；</w:t>
      </w:r>
    </w:p>
    <w:p w14:paraId="4DA5B7D1">
      <w:pPr>
        <w:pStyle w:val="16"/>
        <w:snapToGrid w:val="0"/>
        <w:spacing w:line="360" w:lineRule="auto"/>
        <w:ind w:left="2" w:leftChars="1" w:firstLine="420" w:firstLineChars="200"/>
        <w:rPr>
          <w:rFonts w:hAnsi="宋体"/>
          <w:kern w:val="2"/>
          <w:sz w:val="21"/>
        </w:rPr>
      </w:pPr>
      <w:r>
        <w:rPr>
          <w:rFonts w:hint="eastAsia" w:hAnsi="宋体"/>
          <w:kern w:val="2"/>
          <w:sz w:val="21"/>
        </w:rPr>
        <w:t>（2）供应商按照采购人或者采购代理机构的授意撤换、修改投标文件或者响应文件；</w:t>
      </w:r>
    </w:p>
    <w:p w14:paraId="7B9A56C9">
      <w:pPr>
        <w:pStyle w:val="16"/>
        <w:snapToGrid w:val="0"/>
        <w:spacing w:line="360" w:lineRule="auto"/>
        <w:ind w:left="2" w:leftChars="1" w:firstLine="420" w:firstLineChars="200"/>
        <w:rPr>
          <w:rFonts w:hAnsi="宋体"/>
          <w:kern w:val="2"/>
          <w:sz w:val="21"/>
        </w:rPr>
      </w:pPr>
      <w:r>
        <w:rPr>
          <w:rFonts w:hint="eastAsia" w:hAnsi="宋体"/>
          <w:kern w:val="2"/>
          <w:sz w:val="21"/>
        </w:rPr>
        <w:t>（3）供应商之间协商报价、技术方案等投标文件或者响应文件的实质性内容；</w:t>
      </w:r>
    </w:p>
    <w:p w14:paraId="40167AF8">
      <w:pPr>
        <w:pStyle w:val="16"/>
        <w:snapToGrid w:val="0"/>
        <w:spacing w:line="360" w:lineRule="auto"/>
        <w:ind w:left="2" w:leftChars="1" w:firstLine="420" w:firstLineChars="200"/>
        <w:rPr>
          <w:rFonts w:hAnsi="宋体"/>
          <w:kern w:val="2"/>
          <w:sz w:val="21"/>
        </w:rPr>
      </w:pPr>
      <w:r>
        <w:rPr>
          <w:rFonts w:hint="eastAsia" w:hAnsi="宋体"/>
          <w:kern w:val="2"/>
          <w:sz w:val="21"/>
        </w:rPr>
        <w:t>（4）属于同一集团、协会、商会等组织成员的供应商按照该组织要求协同参加政府采购活动；</w:t>
      </w:r>
    </w:p>
    <w:p w14:paraId="256653ED">
      <w:pPr>
        <w:pStyle w:val="16"/>
        <w:snapToGrid w:val="0"/>
        <w:spacing w:line="360" w:lineRule="auto"/>
        <w:ind w:left="2" w:leftChars="1" w:firstLine="420" w:firstLineChars="200"/>
        <w:rPr>
          <w:rFonts w:hAnsi="宋体"/>
          <w:kern w:val="2"/>
          <w:sz w:val="21"/>
        </w:rPr>
      </w:pPr>
      <w:r>
        <w:rPr>
          <w:rFonts w:hint="eastAsia" w:hAnsi="宋体"/>
          <w:kern w:val="2"/>
          <w:sz w:val="21"/>
        </w:rPr>
        <w:t>（5）供应商之间事先约定一致抬高或者压低投标报价，或者在招标项目中事先约定轮流以高价位或者低价位中标，或者事先约定由某一特定供应商中标，然后再参加投标；</w:t>
      </w:r>
    </w:p>
    <w:p w14:paraId="174F16B8">
      <w:pPr>
        <w:pStyle w:val="16"/>
        <w:snapToGrid w:val="0"/>
        <w:spacing w:line="360" w:lineRule="auto"/>
        <w:ind w:left="2" w:leftChars="1" w:firstLine="420" w:firstLineChars="200"/>
        <w:rPr>
          <w:rFonts w:hAnsi="宋体"/>
          <w:kern w:val="2"/>
          <w:sz w:val="21"/>
        </w:rPr>
      </w:pPr>
      <w:r>
        <w:rPr>
          <w:rFonts w:hint="eastAsia" w:hAnsi="宋体"/>
          <w:kern w:val="2"/>
          <w:sz w:val="21"/>
        </w:rPr>
        <w:t>（6）供应商之间商定部分供应商放弃参加政府采购活动或者放弃中标；</w:t>
      </w:r>
    </w:p>
    <w:p w14:paraId="1C4A5985">
      <w:pPr>
        <w:pStyle w:val="16"/>
        <w:snapToGrid w:val="0"/>
        <w:spacing w:line="360" w:lineRule="auto"/>
        <w:ind w:left="2" w:leftChars="1" w:firstLine="420" w:firstLineChars="200"/>
        <w:rPr>
          <w:rFonts w:hAnsi="宋体"/>
          <w:kern w:val="2"/>
          <w:sz w:val="21"/>
        </w:rPr>
      </w:pPr>
      <w:r>
        <w:rPr>
          <w:rFonts w:hint="eastAsia" w:hAnsi="宋体"/>
          <w:kern w:val="2"/>
          <w:sz w:val="21"/>
        </w:rPr>
        <w:t>（7）供应商与采购人或者采购代理机构之间、供应商相互之间，为谋求特定供应商中标或者排斥其他供应商的其他串通行为。</w:t>
      </w:r>
    </w:p>
    <w:p w14:paraId="6670C742">
      <w:pPr>
        <w:pStyle w:val="16"/>
        <w:snapToGrid w:val="0"/>
        <w:spacing w:line="360" w:lineRule="auto"/>
        <w:ind w:left="2" w:leftChars="1" w:firstLine="422" w:firstLineChars="200"/>
        <w:rPr>
          <w:rFonts w:hAnsi="宋体"/>
          <w:b/>
          <w:kern w:val="2"/>
          <w:sz w:val="21"/>
        </w:rPr>
      </w:pPr>
    </w:p>
    <w:p w14:paraId="5BBBE20B">
      <w:pPr>
        <w:pStyle w:val="4"/>
        <w:keepNext w:val="0"/>
        <w:keepLines w:val="0"/>
        <w:jc w:val="center"/>
      </w:pPr>
      <w:bookmarkStart w:id="88" w:name="_Toc29964"/>
      <w:bookmarkStart w:id="89" w:name="_Toc9181"/>
      <w:bookmarkStart w:id="90" w:name="_Toc254970534"/>
      <w:bookmarkStart w:id="91" w:name="_Toc254970675"/>
      <w:r>
        <w:rPr>
          <w:rFonts w:hint="eastAsia"/>
        </w:rPr>
        <w:t>二、招标文件</w:t>
      </w:r>
      <w:bookmarkEnd w:id="88"/>
      <w:bookmarkEnd w:id="89"/>
      <w:bookmarkEnd w:id="90"/>
      <w:bookmarkEnd w:id="91"/>
    </w:p>
    <w:p w14:paraId="6E69F8F4">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10.招标文件的组成</w:t>
      </w:r>
    </w:p>
    <w:p w14:paraId="311AB11D">
      <w:pPr>
        <w:snapToGrid w:val="0"/>
        <w:spacing w:line="360" w:lineRule="auto"/>
        <w:ind w:firstLine="420"/>
        <w:jc w:val="left"/>
        <w:rPr>
          <w:rFonts w:ascii="宋体" w:hAnsi="宋体"/>
          <w:szCs w:val="21"/>
        </w:rPr>
      </w:pPr>
      <w:r>
        <w:rPr>
          <w:rFonts w:hint="eastAsia" w:ascii="宋体" w:hAnsi="宋体"/>
          <w:szCs w:val="21"/>
        </w:rPr>
        <w:t>（1）招标公告；</w:t>
      </w:r>
    </w:p>
    <w:p w14:paraId="632DB3C0">
      <w:pPr>
        <w:snapToGrid w:val="0"/>
        <w:spacing w:line="360" w:lineRule="auto"/>
        <w:ind w:firstLine="420"/>
        <w:jc w:val="left"/>
        <w:rPr>
          <w:rFonts w:ascii="宋体" w:hAnsi="宋体"/>
          <w:szCs w:val="21"/>
        </w:rPr>
      </w:pPr>
      <w:r>
        <w:rPr>
          <w:rFonts w:hint="eastAsia" w:ascii="宋体" w:hAnsi="宋体"/>
          <w:szCs w:val="21"/>
        </w:rPr>
        <w:t xml:space="preserve">（2）采购需求； </w:t>
      </w:r>
    </w:p>
    <w:p w14:paraId="10F556A9">
      <w:pPr>
        <w:snapToGrid w:val="0"/>
        <w:spacing w:line="360" w:lineRule="auto"/>
        <w:ind w:firstLine="420"/>
        <w:jc w:val="left"/>
        <w:rPr>
          <w:rFonts w:ascii="宋体" w:hAnsi="宋体"/>
          <w:szCs w:val="21"/>
        </w:rPr>
      </w:pPr>
      <w:r>
        <w:rPr>
          <w:rFonts w:hint="eastAsia" w:ascii="宋体" w:hAnsi="宋体"/>
          <w:szCs w:val="21"/>
        </w:rPr>
        <w:t>（3）投标人须知；</w:t>
      </w:r>
    </w:p>
    <w:p w14:paraId="04627461">
      <w:pPr>
        <w:snapToGrid w:val="0"/>
        <w:spacing w:line="360" w:lineRule="auto"/>
        <w:ind w:firstLine="420"/>
        <w:jc w:val="left"/>
        <w:rPr>
          <w:rFonts w:ascii="宋体" w:hAnsi="宋体"/>
          <w:szCs w:val="21"/>
        </w:rPr>
      </w:pPr>
      <w:r>
        <w:rPr>
          <w:rFonts w:hint="eastAsia" w:ascii="宋体" w:hAnsi="宋体"/>
          <w:szCs w:val="21"/>
        </w:rPr>
        <w:t>（4）评标方法及评标标准；</w:t>
      </w:r>
    </w:p>
    <w:p w14:paraId="6DB69BD8">
      <w:pPr>
        <w:snapToGrid w:val="0"/>
        <w:spacing w:line="360" w:lineRule="auto"/>
        <w:ind w:firstLine="420"/>
        <w:jc w:val="left"/>
        <w:rPr>
          <w:rFonts w:ascii="宋体" w:hAnsi="宋体"/>
          <w:szCs w:val="21"/>
        </w:rPr>
      </w:pPr>
      <w:r>
        <w:rPr>
          <w:rFonts w:hint="eastAsia" w:ascii="宋体" w:hAnsi="宋体"/>
          <w:szCs w:val="21"/>
        </w:rPr>
        <w:t>（5）拟签订的合同文本；</w:t>
      </w:r>
    </w:p>
    <w:p w14:paraId="2A0D33D4">
      <w:pPr>
        <w:snapToGrid w:val="0"/>
        <w:spacing w:line="360" w:lineRule="auto"/>
        <w:ind w:firstLine="420"/>
        <w:jc w:val="left"/>
        <w:rPr>
          <w:rFonts w:ascii="宋体" w:hAnsi="宋体"/>
          <w:szCs w:val="21"/>
        </w:rPr>
      </w:pPr>
      <w:r>
        <w:rPr>
          <w:rFonts w:hint="eastAsia" w:ascii="宋体" w:hAnsi="宋体"/>
          <w:szCs w:val="21"/>
        </w:rPr>
        <w:t>（6）投标文件格式。</w:t>
      </w:r>
    </w:p>
    <w:p w14:paraId="3DD6C2C0">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11.招标文件的澄清、修改 、现场考察和答疑会</w:t>
      </w:r>
    </w:p>
    <w:p w14:paraId="722F70AA">
      <w:pPr>
        <w:pStyle w:val="6"/>
        <w:keepNext w:val="0"/>
        <w:keepLines w:val="0"/>
        <w:spacing w:before="0" w:after="0" w:line="360" w:lineRule="auto"/>
        <w:ind w:firstLine="315" w:firstLineChars="150"/>
        <w:rPr>
          <w:rFonts w:ascii="宋体" w:hAnsi="宋体"/>
          <w:b w:val="0"/>
          <w:sz w:val="21"/>
          <w:szCs w:val="21"/>
        </w:rPr>
      </w:pPr>
      <w:r>
        <w:rPr>
          <w:rFonts w:hint="eastAsia" w:ascii="宋体" w:hAnsi="宋体"/>
          <w:b w:val="0"/>
          <w:sz w:val="21"/>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3DAA8D53">
      <w:pPr>
        <w:pStyle w:val="16"/>
        <w:snapToGrid w:val="0"/>
        <w:spacing w:line="360" w:lineRule="auto"/>
        <w:ind w:firstLine="420" w:firstLineChars="200"/>
        <w:rPr>
          <w:rFonts w:hAnsi="宋体"/>
          <w:sz w:val="21"/>
        </w:rPr>
      </w:pPr>
      <w:r>
        <w:rPr>
          <w:rFonts w:hint="eastAsia" w:hAnsi="宋体"/>
          <w:sz w:val="21"/>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31FB0C7F">
      <w:pPr>
        <w:pStyle w:val="16"/>
        <w:snapToGrid w:val="0"/>
        <w:spacing w:line="360" w:lineRule="auto"/>
        <w:ind w:firstLine="420" w:firstLineChars="200"/>
        <w:rPr>
          <w:rFonts w:hAnsi="宋体"/>
          <w:sz w:val="21"/>
        </w:rPr>
      </w:pPr>
      <w:r>
        <w:rPr>
          <w:rFonts w:hint="eastAsia" w:hAnsi="宋体"/>
          <w:sz w:val="21"/>
        </w:rPr>
        <w:t>1</w:t>
      </w:r>
      <w:r>
        <w:rPr>
          <w:rFonts w:hAnsi="宋体"/>
          <w:sz w:val="21"/>
        </w:rPr>
        <w:t>1.2</w:t>
      </w:r>
      <w:bookmarkStart w:id="92" w:name="_Hlk53134511"/>
      <w:r>
        <w:rPr>
          <w:rFonts w:hint="eastAsia" w:hAnsi="宋体"/>
          <w:sz w:val="21"/>
        </w:rPr>
        <w:t>采购人或者采购代理机构可以在招标文件提供期限截止后，组织已获取招标文件的潜在投标人现场考察或者召开开标前答疑会，具体详见“投标人须知前附表”。</w:t>
      </w:r>
    </w:p>
    <w:bookmarkEnd w:id="92"/>
    <w:p w14:paraId="7A6BA3EA">
      <w:pPr>
        <w:pStyle w:val="4"/>
        <w:keepNext w:val="0"/>
        <w:keepLines w:val="0"/>
        <w:jc w:val="center"/>
      </w:pPr>
      <w:bookmarkStart w:id="93" w:name="_Toc7904"/>
      <w:bookmarkStart w:id="94" w:name="_Toc254970676"/>
      <w:bookmarkStart w:id="95" w:name="_Toc254970535"/>
      <w:bookmarkStart w:id="96" w:name="_Toc5074"/>
      <w:r>
        <w:rPr>
          <w:rFonts w:hint="eastAsia"/>
        </w:rPr>
        <w:t>三、投标文件的编制</w:t>
      </w:r>
      <w:bookmarkEnd w:id="93"/>
      <w:bookmarkEnd w:id="94"/>
      <w:bookmarkEnd w:id="95"/>
      <w:bookmarkEnd w:id="96"/>
    </w:p>
    <w:p w14:paraId="11186C0E">
      <w:pPr>
        <w:pStyle w:val="6"/>
        <w:keepNext w:val="0"/>
        <w:keepLines w:val="0"/>
        <w:spacing w:before="0" w:after="0" w:line="360" w:lineRule="auto"/>
        <w:ind w:left="420" w:leftChars="200"/>
        <w:rPr>
          <w:rFonts w:ascii="黑体" w:hAnsi="黑体" w:eastAsia="黑体"/>
          <w:sz w:val="24"/>
        </w:rPr>
      </w:pPr>
      <w:bookmarkStart w:id="97" w:name="_Toc254970536"/>
      <w:bookmarkStart w:id="98" w:name="_Toc254970677"/>
      <w:r>
        <w:rPr>
          <w:rFonts w:hint="eastAsia" w:ascii="黑体" w:hAnsi="黑体" w:eastAsia="黑体"/>
          <w:sz w:val="24"/>
        </w:rPr>
        <w:t>12.投标文件的编制原则</w:t>
      </w:r>
    </w:p>
    <w:p w14:paraId="1DBFE913">
      <w:pPr>
        <w:snapToGrid w:val="0"/>
        <w:spacing w:line="360" w:lineRule="auto"/>
        <w:ind w:firstLine="420"/>
        <w:jc w:val="left"/>
        <w:rPr>
          <w:rFonts w:ascii="宋体" w:hAnsi="宋体" w:cs="Courier New"/>
          <w:szCs w:val="21"/>
        </w:rPr>
      </w:pPr>
      <w:r>
        <w:rPr>
          <w:rFonts w:ascii="宋体" w:hAnsi="宋体"/>
          <w:szCs w:val="21"/>
        </w:rPr>
        <w:t>投标人必须按照招标文件的要求编制投标文件。投标文件必须对招标文件提出的要求和条件作出明确响应。</w:t>
      </w:r>
    </w:p>
    <w:p w14:paraId="59961881">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13.投标文件的组成</w:t>
      </w:r>
      <w:bookmarkEnd w:id="97"/>
      <w:bookmarkEnd w:id="98"/>
    </w:p>
    <w:p w14:paraId="62DA9A23">
      <w:pPr>
        <w:snapToGrid w:val="0"/>
        <w:spacing w:line="360" w:lineRule="auto"/>
        <w:ind w:firstLine="420" w:firstLineChars="200"/>
        <w:jc w:val="left"/>
        <w:rPr>
          <w:rFonts w:ascii="宋体" w:hAnsi="宋体"/>
          <w:szCs w:val="21"/>
        </w:rPr>
      </w:pPr>
      <w:r>
        <w:rPr>
          <w:rFonts w:hint="eastAsia" w:ascii="宋体" w:hAnsi="宋体"/>
          <w:szCs w:val="21"/>
        </w:rPr>
        <w:t>投标文件由报价文件、资格证明文件、商务及技术文件三部分组成。</w:t>
      </w:r>
    </w:p>
    <w:p w14:paraId="08213B66">
      <w:pPr>
        <w:pStyle w:val="6"/>
        <w:keepNext w:val="0"/>
        <w:keepLines w:val="0"/>
        <w:spacing w:before="0" w:after="0" w:line="360" w:lineRule="auto"/>
        <w:ind w:left="420" w:leftChars="200"/>
        <w:rPr>
          <w:rFonts w:ascii="宋体" w:hAnsi="宋体"/>
          <w:b w:val="0"/>
          <w:sz w:val="21"/>
          <w:szCs w:val="21"/>
        </w:rPr>
      </w:pPr>
      <w:bookmarkStart w:id="99" w:name="_13.1报价文件:_具体材料见“投标人须知前附表”。"/>
      <w:bookmarkEnd w:id="99"/>
      <w:r>
        <w:rPr>
          <w:rFonts w:hint="eastAsia" w:ascii="宋体" w:hAnsi="宋体"/>
          <w:b w:val="0"/>
          <w:sz w:val="21"/>
          <w:szCs w:val="21"/>
        </w:rPr>
        <w:t>（1）报价文件：</w:t>
      </w:r>
      <w:r>
        <w:rPr>
          <w:rFonts w:ascii="宋体" w:hAnsi="宋体"/>
          <w:b w:val="0"/>
          <w:sz w:val="21"/>
          <w:szCs w:val="21"/>
        </w:rPr>
        <w:t>具体材料见“投标人须知前附表”</w:t>
      </w:r>
      <w:r>
        <w:rPr>
          <w:rFonts w:hint="eastAsia" w:ascii="宋体" w:hAnsi="宋体"/>
          <w:b w:val="0"/>
          <w:sz w:val="21"/>
          <w:szCs w:val="21"/>
        </w:rPr>
        <w:t>。</w:t>
      </w:r>
    </w:p>
    <w:p w14:paraId="2B2CF5B4">
      <w:pPr>
        <w:pStyle w:val="6"/>
        <w:keepNext w:val="0"/>
        <w:keepLines w:val="0"/>
        <w:spacing w:before="0" w:after="0" w:line="360" w:lineRule="auto"/>
        <w:ind w:left="420" w:leftChars="200"/>
        <w:rPr>
          <w:rFonts w:ascii="宋体" w:hAnsi="宋体"/>
          <w:b w:val="0"/>
          <w:sz w:val="21"/>
          <w:szCs w:val="21"/>
        </w:rPr>
      </w:pPr>
      <w:bookmarkStart w:id="100" w:name="_13.2资格证明文件：具体材料见“投标人须知前附表”。"/>
      <w:bookmarkEnd w:id="100"/>
      <w:r>
        <w:rPr>
          <w:rFonts w:hint="eastAsia" w:ascii="宋体" w:hAnsi="宋体"/>
          <w:b w:val="0"/>
          <w:sz w:val="21"/>
          <w:szCs w:val="21"/>
        </w:rPr>
        <w:t>（</w:t>
      </w:r>
      <w:r>
        <w:rPr>
          <w:rFonts w:ascii="宋体" w:hAnsi="宋体"/>
          <w:b w:val="0"/>
          <w:sz w:val="21"/>
          <w:szCs w:val="21"/>
        </w:rPr>
        <w:t>2</w:t>
      </w:r>
      <w:r>
        <w:rPr>
          <w:rFonts w:hint="eastAsia" w:ascii="宋体" w:hAnsi="宋体"/>
          <w:b w:val="0"/>
          <w:sz w:val="21"/>
          <w:szCs w:val="21"/>
        </w:rPr>
        <w:t>）资格证明文件：</w:t>
      </w:r>
      <w:r>
        <w:rPr>
          <w:rFonts w:ascii="宋体" w:hAnsi="宋体"/>
          <w:b w:val="0"/>
          <w:sz w:val="21"/>
          <w:szCs w:val="21"/>
        </w:rPr>
        <w:t>具体材料见“投标人须知前附表”</w:t>
      </w:r>
      <w:r>
        <w:rPr>
          <w:rFonts w:hint="eastAsia" w:ascii="宋体" w:hAnsi="宋体"/>
          <w:b w:val="0"/>
          <w:sz w:val="21"/>
          <w:szCs w:val="21"/>
        </w:rPr>
        <w:t>。</w:t>
      </w:r>
    </w:p>
    <w:p w14:paraId="309D5748">
      <w:pPr>
        <w:pStyle w:val="6"/>
        <w:keepNext w:val="0"/>
        <w:keepLines w:val="0"/>
        <w:spacing w:before="0" w:after="0" w:line="360" w:lineRule="auto"/>
        <w:ind w:left="420" w:leftChars="200"/>
        <w:rPr>
          <w:rFonts w:ascii="宋体" w:hAnsi="宋体"/>
          <w:b w:val="0"/>
          <w:sz w:val="21"/>
          <w:szCs w:val="21"/>
        </w:rPr>
      </w:pPr>
      <w:bookmarkStart w:id="101" w:name="_13.3商务文件:_具体材料见“投标人须知前附表”。"/>
      <w:bookmarkEnd w:id="101"/>
      <w:r>
        <w:rPr>
          <w:rFonts w:hint="eastAsia" w:ascii="宋体" w:hAnsi="宋体"/>
          <w:b w:val="0"/>
          <w:sz w:val="21"/>
          <w:szCs w:val="21"/>
        </w:rPr>
        <w:t>（</w:t>
      </w:r>
      <w:r>
        <w:rPr>
          <w:rFonts w:ascii="宋体" w:hAnsi="宋体"/>
          <w:b w:val="0"/>
          <w:sz w:val="21"/>
          <w:szCs w:val="21"/>
        </w:rPr>
        <w:t>3</w:t>
      </w:r>
      <w:r>
        <w:rPr>
          <w:rFonts w:hint="eastAsia" w:ascii="宋体" w:hAnsi="宋体"/>
          <w:b w:val="0"/>
          <w:sz w:val="21"/>
          <w:szCs w:val="21"/>
        </w:rPr>
        <w:t>）商务及技术文件：</w:t>
      </w:r>
      <w:r>
        <w:rPr>
          <w:rFonts w:ascii="宋体" w:hAnsi="宋体"/>
          <w:b w:val="0"/>
          <w:sz w:val="21"/>
          <w:szCs w:val="21"/>
        </w:rPr>
        <w:t>具体材料见“投标人须知前附表”</w:t>
      </w:r>
      <w:r>
        <w:rPr>
          <w:rFonts w:hint="eastAsia" w:ascii="宋体" w:hAnsi="宋体"/>
          <w:b w:val="0"/>
          <w:sz w:val="21"/>
          <w:szCs w:val="21"/>
        </w:rPr>
        <w:t>。</w:t>
      </w:r>
    </w:p>
    <w:p w14:paraId="0F3D7BC1">
      <w:pPr>
        <w:pStyle w:val="6"/>
        <w:keepNext w:val="0"/>
        <w:keepLines w:val="0"/>
        <w:spacing w:before="0" w:after="0" w:line="360" w:lineRule="auto"/>
        <w:ind w:left="420" w:leftChars="200"/>
        <w:rPr>
          <w:rFonts w:ascii="黑体" w:hAnsi="黑体" w:eastAsia="黑体"/>
          <w:sz w:val="24"/>
        </w:rPr>
      </w:pPr>
      <w:bookmarkStart w:id="102" w:name="_13.4技术文件：具体材料见“投标人须知前附表”。"/>
      <w:bookmarkEnd w:id="102"/>
      <w:bookmarkStart w:id="103" w:name="_13.5投标文件电子版：具体材料见“投标人须知前附表”。"/>
      <w:bookmarkEnd w:id="103"/>
      <w:bookmarkStart w:id="104" w:name="_Toc254970537"/>
      <w:bookmarkStart w:id="105" w:name="_Toc254970678"/>
      <w:r>
        <w:rPr>
          <w:rFonts w:hint="eastAsia" w:ascii="黑体" w:hAnsi="黑体" w:eastAsia="黑体"/>
          <w:sz w:val="24"/>
        </w:rPr>
        <w:t>14.投标文件的语言及计量</w:t>
      </w:r>
      <w:bookmarkEnd w:id="104"/>
      <w:bookmarkEnd w:id="105"/>
    </w:p>
    <w:p w14:paraId="5952B16E">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14.1语言文字</w:t>
      </w:r>
    </w:p>
    <w:p w14:paraId="73697FF1">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07D5593D">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14.2投标计量单位</w:t>
      </w:r>
    </w:p>
    <w:p w14:paraId="7872311B">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招标文件已有明确规定的，使用招标文件规定的计量单位；招标文件没有规定的，应采用中华人民共和国法定计量单位，货币种类为人民币，</w:t>
      </w:r>
      <w:r>
        <w:rPr>
          <w:rFonts w:hint="eastAsia" w:ascii="宋体" w:hAnsi="宋体"/>
          <w:sz w:val="21"/>
          <w:szCs w:val="21"/>
        </w:rPr>
        <w:t>否则视同未响应。</w:t>
      </w:r>
    </w:p>
    <w:p w14:paraId="2E8EA767">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15.投标的风险</w:t>
      </w:r>
    </w:p>
    <w:p w14:paraId="637C360E">
      <w:pPr>
        <w:pStyle w:val="16"/>
        <w:snapToGrid w:val="0"/>
        <w:spacing w:line="360" w:lineRule="auto"/>
        <w:ind w:firstLine="420" w:firstLineChars="200"/>
        <w:jc w:val="left"/>
        <w:rPr>
          <w:rFonts w:hAnsi="宋体"/>
          <w:sz w:val="21"/>
        </w:rPr>
      </w:pPr>
      <w:r>
        <w:rPr>
          <w:rFonts w:hint="eastAsia" w:hAnsi="宋体"/>
          <w:sz w:val="21"/>
        </w:rPr>
        <w:t>投标人没有按照招标文件要求提供全部资料，或者投标人没有对招标文件作出实质性响应是投标人的风险，并可能导致其投标被拒绝。</w:t>
      </w:r>
    </w:p>
    <w:p w14:paraId="3268C550">
      <w:pPr>
        <w:pStyle w:val="6"/>
        <w:keepNext w:val="0"/>
        <w:keepLines w:val="0"/>
        <w:spacing w:before="0" w:after="0" w:line="360" w:lineRule="auto"/>
        <w:ind w:left="420" w:leftChars="200"/>
        <w:rPr>
          <w:rFonts w:ascii="黑体" w:hAnsi="黑体" w:eastAsia="黑体"/>
          <w:sz w:val="24"/>
        </w:rPr>
      </w:pPr>
      <w:bookmarkStart w:id="106" w:name="_Toc254970679"/>
      <w:bookmarkStart w:id="107" w:name="_Toc254970538"/>
      <w:r>
        <w:rPr>
          <w:rFonts w:hint="eastAsia" w:ascii="黑体" w:hAnsi="黑体" w:eastAsia="黑体"/>
          <w:sz w:val="24"/>
        </w:rPr>
        <w:t>16.投标报价</w:t>
      </w:r>
      <w:bookmarkEnd w:id="106"/>
      <w:bookmarkEnd w:id="107"/>
    </w:p>
    <w:p w14:paraId="63D4311C">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16.1投标报价应按“第六章　投标文件格式”中“开标一览表”格式填写。</w:t>
      </w:r>
    </w:p>
    <w:p w14:paraId="53DD56DE">
      <w:pPr>
        <w:pStyle w:val="6"/>
        <w:keepNext w:val="0"/>
        <w:keepLines w:val="0"/>
        <w:spacing w:before="0" w:after="0" w:line="360" w:lineRule="auto"/>
        <w:ind w:left="420" w:leftChars="200"/>
        <w:rPr>
          <w:rFonts w:ascii="宋体" w:hAnsi="宋体"/>
          <w:b w:val="0"/>
          <w:sz w:val="21"/>
          <w:szCs w:val="21"/>
        </w:rPr>
      </w:pPr>
      <w:bookmarkStart w:id="108" w:name="_16.2投标报价具体定义见投标人须知前附表。"/>
      <w:bookmarkEnd w:id="108"/>
      <w:r>
        <w:rPr>
          <w:rFonts w:hint="eastAsia" w:ascii="宋体" w:hAnsi="宋体"/>
          <w:b w:val="0"/>
          <w:sz w:val="21"/>
          <w:szCs w:val="21"/>
        </w:rPr>
        <w:t>16.2投标报价具体包括内容详见“投标人须知前附表”。</w:t>
      </w:r>
    </w:p>
    <w:p w14:paraId="15704025">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16.3投标人必须就所投项目全部内容分别作完整唯一总价报价，不得存在漏项报价。</w:t>
      </w:r>
    </w:p>
    <w:p w14:paraId="2E66B982">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17.投标有效期</w:t>
      </w:r>
    </w:p>
    <w:p w14:paraId="171BD64B">
      <w:pPr>
        <w:pStyle w:val="6"/>
        <w:keepNext w:val="0"/>
        <w:keepLines w:val="0"/>
        <w:spacing w:before="0" w:after="0" w:line="360" w:lineRule="auto"/>
        <w:ind w:firstLine="420" w:firstLineChars="200"/>
        <w:rPr>
          <w:rFonts w:ascii="宋体" w:hAnsi="宋体"/>
          <w:b w:val="0"/>
          <w:sz w:val="21"/>
          <w:szCs w:val="21"/>
        </w:rPr>
      </w:pPr>
      <w:bookmarkStart w:id="109" w:name="_17.1投标有效期应按“投标人须知中的前附表”规定的期限。"/>
      <w:bookmarkEnd w:id="109"/>
      <w:r>
        <w:rPr>
          <w:rFonts w:hint="eastAsia" w:ascii="宋体" w:hAnsi="宋体"/>
          <w:b w:val="0"/>
          <w:sz w:val="21"/>
          <w:szCs w:val="21"/>
        </w:rPr>
        <w:t>17.1投标有效期是指为保证采购人有足够的时间在开标后完成评标、定标、合同签订等工作而要求投标人提交的投标文件在一定时间内保持有效的期限。</w:t>
      </w:r>
    </w:p>
    <w:p w14:paraId="3F0B14C3">
      <w:pPr>
        <w:pStyle w:val="6"/>
        <w:keepNext w:val="0"/>
        <w:keepLines w:val="0"/>
        <w:spacing w:before="0" w:after="0" w:line="360" w:lineRule="auto"/>
        <w:ind w:firstLine="424" w:firstLineChars="202"/>
        <w:rPr>
          <w:rFonts w:ascii="宋体" w:hAnsi="宋体"/>
          <w:b w:val="0"/>
          <w:sz w:val="21"/>
          <w:szCs w:val="21"/>
        </w:rPr>
      </w:pPr>
      <w:r>
        <w:rPr>
          <w:rFonts w:hint="eastAsia" w:ascii="宋体" w:hAnsi="宋体"/>
          <w:b w:val="0"/>
          <w:sz w:val="21"/>
          <w:szCs w:val="21"/>
        </w:rPr>
        <w:t>17.2</w:t>
      </w:r>
      <w:bookmarkStart w:id="110" w:name="_Toc254970540"/>
      <w:bookmarkStart w:id="111" w:name="_Toc254970681"/>
      <w:r>
        <w:rPr>
          <w:rFonts w:hint="eastAsia" w:ascii="宋体" w:hAnsi="宋体"/>
          <w:b w:val="0"/>
          <w:sz w:val="21"/>
          <w:szCs w:val="21"/>
        </w:rPr>
        <w:t xml:space="preserve"> 投标有效期应按招标文件规定的期限作出承诺，具体详见“投标人须知前附表”。</w:t>
      </w:r>
      <w:r>
        <w:rPr>
          <w:rFonts w:hint="eastAsia" w:ascii="宋体" w:hAnsi="宋体"/>
          <w:sz w:val="21"/>
          <w:szCs w:val="21"/>
        </w:rPr>
        <w:t>承诺的投标有效期低于招标文件规定期限的，按无效投标处理</w:t>
      </w:r>
      <w:r>
        <w:rPr>
          <w:rFonts w:hint="eastAsia" w:ascii="宋体" w:hAnsi="宋体"/>
          <w:b w:val="0"/>
          <w:sz w:val="21"/>
          <w:szCs w:val="21"/>
        </w:rPr>
        <w:t>。</w:t>
      </w:r>
    </w:p>
    <w:p w14:paraId="0525D623">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17.3投标人的投标文件在投标有效期内均保持有效。</w:t>
      </w:r>
      <w:bookmarkEnd w:id="110"/>
      <w:bookmarkEnd w:id="111"/>
    </w:p>
    <w:p w14:paraId="54EE4C4D">
      <w:pPr>
        <w:pStyle w:val="6"/>
        <w:keepNext w:val="0"/>
        <w:keepLines w:val="0"/>
        <w:spacing w:before="0" w:after="0" w:line="360" w:lineRule="auto"/>
        <w:ind w:left="420" w:leftChars="200"/>
        <w:rPr>
          <w:rFonts w:ascii="黑体" w:hAnsi="黑体" w:eastAsia="黑体"/>
          <w:sz w:val="24"/>
        </w:rPr>
      </w:pPr>
      <w:bookmarkStart w:id="112" w:name="_18.投标保证金"/>
      <w:bookmarkEnd w:id="112"/>
      <w:bookmarkStart w:id="113" w:name="_Toc254970541"/>
      <w:bookmarkStart w:id="114" w:name="_Toc254970682"/>
      <w:r>
        <w:rPr>
          <w:rFonts w:hint="eastAsia" w:ascii="黑体" w:hAnsi="黑体" w:eastAsia="黑体"/>
          <w:sz w:val="24"/>
        </w:rPr>
        <w:t>18.投标保证金</w:t>
      </w:r>
      <w:bookmarkEnd w:id="113"/>
      <w:bookmarkEnd w:id="114"/>
    </w:p>
    <w:p w14:paraId="5DDCE1C0">
      <w:pPr>
        <w:spacing w:line="360" w:lineRule="auto"/>
        <w:ind w:firstLine="420" w:firstLineChars="200"/>
        <w:rPr>
          <w:rFonts w:ascii="黑体" w:hAnsi="黑体" w:eastAsia="黑体"/>
          <w:sz w:val="24"/>
        </w:rPr>
      </w:pPr>
      <w:bookmarkStart w:id="115" w:name="_Toc254970542"/>
      <w:bookmarkStart w:id="116" w:name="_Toc254970683"/>
      <w:r>
        <w:rPr>
          <w:rFonts w:hint="eastAsia" w:hAnsi="宋体"/>
          <w:szCs w:val="21"/>
        </w:rPr>
        <w:t>见“投标人须知前附表”。</w:t>
      </w:r>
    </w:p>
    <w:p w14:paraId="773E205B">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19.投标文件的</w:t>
      </w:r>
      <w:bookmarkEnd w:id="115"/>
      <w:bookmarkEnd w:id="116"/>
      <w:r>
        <w:rPr>
          <w:rFonts w:hint="eastAsia" w:ascii="黑体" w:hAnsi="黑体" w:eastAsia="黑体"/>
          <w:sz w:val="24"/>
        </w:rPr>
        <w:t>编制</w:t>
      </w:r>
    </w:p>
    <w:p w14:paraId="262D2AAF">
      <w:pPr>
        <w:pStyle w:val="6"/>
        <w:keepNext w:val="0"/>
        <w:keepLines w:val="0"/>
        <w:numPr>
          <w:ilvl w:val="4"/>
          <w:numId w:val="5"/>
        </w:numPr>
        <w:spacing w:before="0" w:after="0" w:line="360" w:lineRule="auto"/>
        <w:ind w:firstLine="315" w:firstLineChars="150"/>
        <w:rPr>
          <w:rFonts w:ascii="宋体" w:hAnsi="宋体"/>
          <w:b w:val="0"/>
          <w:sz w:val="21"/>
          <w:szCs w:val="21"/>
        </w:rPr>
      </w:pPr>
      <w:r>
        <w:rPr>
          <w:rFonts w:hint="eastAsia" w:ascii="宋体" w:hAnsi="宋体"/>
          <w:b w:val="0"/>
          <w:sz w:val="21"/>
          <w:szCs w:val="21"/>
        </w:rPr>
        <w:t xml:space="preserve"> </w:t>
      </w:r>
      <w:bookmarkStart w:id="117" w:name="_Toc254970685"/>
      <w:bookmarkStart w:id="118" w:name="_Toc254970544"/>
      <w:r>
        <w:rPr>
          <w:rFonts w:hint="eastAsia" w:ascii="宋体" w:hAnsi="宋体"/>
          <w:b w:val="0"/>
          <w:sz w:val="21"/>
          <w:szCs w:val="21"/>
        </w:rPr>
        <w:t xml:space="preserve"> 19.1投标人应按照本项目招标文件规定的格式和顺序和广西政府采购云平台的要求编制投标文件并加密。投标文件内容不完整、编排混乱导致投标文件被误读、漏读或者查找不到相关内容的，由此引发的后果由投标人承担。</w:t>
      </w:r>
    </w:p>
    <w:p w14:paraId="49A8B43D">
      <w:pPr>
        <w:pStyle w:val="6"/>
        <w:keepNext w:val="0"/>
        <w:keepLines w:val="0"/>
        <w:numPr>
          <w:ilvl w:val="4"/>
          <w:numId w:val="5"/>
        </w:numPr>
        <w:spacing w:before="0" w:after="0" w:line="360" w:lineRule="auto"/>
        <w:ind w:firstLine="315" w:firstLineChars="150"/>
        <w:rPr>
          <w:rFonts w:ascii="宋体" w:hAnsi="宋体"/>
          <w:b w:val="0"/>
          <w:sz w:val="21"/>
          <w:szCs w:val="21"/>
        </w:rPr>
      </w:pPr>
      <w:bookmarkStart w:id="119" w:name="_19.2投标文件应按报价文件、资格证明文件、商务文件、技术文件分别编制"/>
      <w:bookmarkEnd w:id="119"/>
      <w:r>
        <w:rPr>
          <w:rFonts w:hint="eastAsia" w:ascii="宋体" w:hAnsi="宋体"/>
          <w:b w:val="0"/>
          <w:sz w:val="21"/>
          <w:szCs w:val="21"/>
        </w:rPr>
        <w:t xml:space="preserve"> 19.2为确保网上操作合法、有效和安全，投标人应当在投标截止时间前完成在广西政府采购云平台的身份认证，确保在电子投标过程中能够对相关数据电文进行加密和使用电子签章。</w:t>
      </w:r>
    </w:p>
    <w:p w14:paraId="1FE50163">
      <w:pPr>
        <w:pStyle w:val="6"/>
        <w:keepNext w:val="0"/>
        <w:keepLines w:val="0"/>
        <w:numPr>
          <w:ilvl w:val="4"/>
          <w:numId w:val="5"/>
        </w:numPr>
        <w:spacing w:before="0" w:after="0" w:line="360" w:lineRule="auto"/>
        <w:rPr>
          <w:rFonts w:ascii="宋体" w:hAnsi="宋体"/>
          <w:b w:val="0"/>
          <w:sz w:val="21"/>
          <w:szCs w:val="21"/>
        </w:rPr>
      </w:pPr>
      <w:r>
        <w:rPr>
          <w:rFonts w:hint="eastAsia" w:ascii="宋体" w:hAnsi="宋体"/>
          <w:b w:val="0"/>
          <w:sz w:val="21"/>
          <w:szCs w:val="21"/>
        </w:rPr>
        <w:t xml:space="preserve">    19.3投标文件须由投标人在规定位置签字（或者电子签名）、盖章（具体以投标人须知前附表或投标文件格式规定为准），</w:t>
      </w:r>
      <w:r>
        <w:rPr>
          <w:rFonts w:hint="eastAsia" w:ascii="宋体" w:hAnsi="宋体"/>
          <w:sz w:val="21"/>
          <w:szCs w:val="21"/>
        </w:rPr>
        <w:t>否则按无效投标处理</w:t>
      </w:r>
      <w:r>
        <w:rPr>
          <w:rFonts w:hint="eastAsia" w:ascii="宋体" w:hAnsi="宋体"/>
          <w:b w:val="0"/>
          <w:sz w:val="21"/>
          <w:szCs w:val="21"/>
        </w:rPr>
        <w:t>。</w:t>
      </w:r>
    </w:p>
    <w:p w14:paraId="7586769C">
      <w:pPr>
        <w:pStyle w:val="6"/>
        <w:keepNext w:val="0"/>
        <w:keepLines w:val="0"/>
        <w:numPr>
          <w:ilvl w:val="4"/>
          <w:numId w:val="5"/>
        </w:numPr>
        <w:spacing w:before="0" w:after="0" w:line="360" w:lineRule="auto"/>
        <w:ind w:firstLine="315" w:firstLineChars="150"/>
        <w:rPr>
          <w:rFonts w:ascii="宋体" w:hAnsi="宋体"/>
          <w:b w:val="0"/>
          <w:sz w:val="21"/>
          <w:szCs w:val="21"/>
        </w:rPr>
      </w:pPr>
      <w:r>
        <w:rPr>
          <w:rFonts w:hint="eastAsia" w:ascii="宋体" w:hAnsi="宋体"/>
          <w:b w:val="0"/>
          <w:sz w:val="21"/>
          <w:szCs w:val="21"/>
        </w:rPr>
        <w:t xml:space="preserve"> 19.4投标文件中标注的投标人名称应与主体资格证明（如营业执照或者事业单位法人证书或者执业许可证或者登记证书等）及公章一致，并与广西政府采购云平台中获取招标文件的投标人名称一致，投标人为自然人的，标注的投标人名称应与身份证姓名及签名一致，</w:t>
      </w:r>
      <w:r>
        <w:rPr>
          <w:rFonts w:hint="eastAsia" w:ascii="宋体" w:hAnsi="宋体"/>
          <w:sz w:val="21"/>
          <w:szCs w:val="21"/>
        </w:rPr>
        <w:t>否则按无效投标处理</w:t>
      </w:r>
      <w:r>
        <w:rPr>
          <w:rFonts w:hint="eastAsia" w:ascii="宋体" w:hAnsi="宋体"/>
          <w:b w:val="0"/>
          <w:sz w:val="21"/>
          <w:szCs w:val="21"/>
        </w:rPr>
        <w:t>。</w:t>
      </w:r>
    </w:p>
    <w:p w14:paraId="74242F20">
      <w:pPr>
        <w:pStyle w:val="6"/>
        <w:keepNext w:val="0"/>
        <w:keepLines w:val="0"/>
        <w:numPr>
          <w:ilvl w:val="4"/>
          <w:numId w:val="5"/>
        </w:numPr>
        <w:spacing w:before="0" w:after="0" w:line="360" w:lineRule="auto"/>
        <w:ind w:firstLine="315" w:firstLineChars="150"/>
        <w:rPr>
          <w:rFonts w:ascii="宋体" w:hAnsi="宋体"/>
          <w:b w:val="0"/>
          <w:sz w:val="21"/>
          <w:szCs w:val="21"/>
        </w:rPr>
      </w:pPr>
      <w:r>
        <w:rPr>
          <w:rFonts w:hint="eastAsia" w:ascii="宋体" w:hAnsi="宋体"/>
          <w:b w:val="0"/>
          <w:sz w:val="21"/>
          <w:szCs w:val="21"/>
        </w:rPr>
        <w:t xml:space="preserve"> 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14:paraId="5D134E82">
      <w:pPr>
        <w:spacing w:line="360" w:lineRule="auto"/>
        <w:ind w:firstLine="480" w:firstLineChars="200"/>
        <w:rPr>
          <w:rFonts w:ascii="黑体" w:hAnsi="黑体" w:eastAsia="黑体"/>
          <w:sz w:val="24"/>
        </w:rPr>
      </w:pPr>
      <w:r>
        <w:rPr>
          <w:rFonts w:hint="eastAsia" w:ascii="黑体" w:hAnsi="黑体" w:eastAsia="黑体"/>
          <w:sz w:val="24"/>
        </w:rPr>
        <w:t>20.电子备份投标文件</w:t>
      </w:r>
    </w:p>
    <w:p w14:paraId="75249869">
      <w:pPr>
        <w:spacing w:line="360" w:lineRule="auto"/>
        <w:ind w:firstLine="420" w:firstLineChars="200"/>
        <w:rPr>
          <w:rFonts w:ascii="黑体" w:hAnsi="黑体" w:eastAsia="黑体"/>
          <w:sz w:val="24"/>
        </w:rPr>
      </w:pPr>
      <w:r>
        <w:rPr>
          <w:rFonts w:hint="eastAsia"/>
        </w:rPr>
        <w:t>电子备份投标文件是指通过在线编制生成且后缀名为“</w:t>
      </w:r>
      <w:r>
        <w:t>bfbs</w:t>
      </w:r>
      <w:r>
        <w:rPr>
          <w:rFonts w:hint="eastAsia"/>
        </w:rPr>
        <w:t>”的文件，是否接受电子备份投标文件</w:t>
      </w:r>
      <w:r>
        <w:rPr>
          <w:rFonts w:hint="eastAsia" w:hAnsi="宋体"/>
          <w:bCs/>
          <w:szCs w:val="21"/>
        </w:rPr>
        <w:t>详见在“投标人须知前附表”。</w:t>
      </w:r>
    </w:p>
    <w:p w14:paraId="0599A6FE">
      <w:pPr>
        <w:pStyle w:val="6"/>
        <w:keepNext w:val="0"/>
        <w:keepLines w:val="0"/>
        <w:numPr>
          <w:ilvl w:val="4"/>
          <w:numId w:val="5"/>
        </w:numPr>
        <w:spacing w:before="0" w:after="0" w:line="360" w:lineRule="auto"/>
        <w:ind w:left="420" w:leftChars="200"/>
        <w:rPr>
          <w:rFonts w:ascii="黑体" w:hAnsi="黑体" w:eastAsia="黑体"/>
          <w:sz w:val="24"/>
        </w:rPr>
      </w:pPr>
      <w:r>
        <w:rPr>
          <w:rFonts w:hint="eastAsia" w:ascii="黑体" w:hAnsi="黑体" w:eastAsia="黑体"/>
          <w:sz w:val="24"/>
        </w:rPr>
        <w:t>21.投标文件的提交</w:t>
      </w:r>
    </w:p>
    <w:p w14:paraId="0E00AE38">
      <w:pPr>
        <w:spacing w:line="360" w:lineRule="auto"/>
        <w:ind w:firstLine="420" w:firstLineChars="200"/>
        <w:rPr>
          <w:rFonts w:hAnsi="宋体"/>
          <w:b/>
        </w:rPr>
      </w:pPr>
      <w:bookmarkStart w:id="120" w:name="_21.1投标人必须在“投标人须知中的前附表”规定的投标文件接收时间和投"/>
      <w:bookmarkEnd w:id="120"/>
      <w:r>
        <w:rPr>
          <w:rFonts w:hAnsi="宋体"/>
          <w:bCs/>
          <w:szCs w:val="21"/>
        </w:rPr>
        <w:t>21.1</w:t>
      </w:r>
      <w:r>
        <w:rPr>
          <w:rFonts w:hint="eastAsia" w:hAnsi="宋体"/>
          <w:bCs/>
          <w:szCs w:val="21"/>
        </w:rPr>
        <w:t>投标人必须在“投标人须知前附表”规定的</w:t>
      </w:r>
      <w:r>
        <w:rPr>
          <w:rFonts w:hint="eastAsia" w:ascii="宋体" w:hAnsi="宋体"/>
          <w:szCs w:val="21"/>
        </w:rPr>
        <w:t>提交投标文件截止时间前将</w:t>
      </w:r>
      <w:r>
        <w:rPr>
          <w:rFonts w:hint="eastAsia" w:hAnsi="宋体"/>
          <w:bCs/>
          <w:szCs w:val="21"/>
        </w:rPr>
        <w:t>电子投标文件提交至投标地点。电子投标文件应在制作完成后，在投标截止时间前通过有效数字证书（</w:t>
      </w:r>
      <w:r>
        <w:rPr>
          <w:rFonts w:hAnsi="宋体"/>
          <w:bCs/>
          <w:szCs w:val="21"/>
        </w:rPr>
        <w:t>CA</w:t>
      </w:r>
      <w:r>
        <w:rPr>
          <w:rFonts w:hint="eastAsia" w:hAnsi="宋体"/>
          <w:bCs/>
          <w:szCs w:val="21"/>
        </w:rPr>
        <w:t>认证锁）进行电子签章、加密，然后通过网络将加密的电子投标文件递交至</w:t>
      </w:r>
      <w:r>
        <w:rPr>
          <w:rFonts w:hint="eastAsia" w:ascii="宋体" w:hAnsi="宋体"/>
          <w:b/>
          <w:szCs w:val="21"/>
        </w:rPr>
        <w:t>广西政府采购云平台</w:t>
      </w:r>
      <w:r>
        <w:rPr>
          <w:rFonts w:hint="eastAsia" w:hAnsi="宋体"/>
          <w:bCs/>
          <w:szCs w:val="21"/>
        </w:rPr>
        <w:t>。</w:t>
      </w:r>
      <w:r>
        <w:rPr>
          <w:rFonts w:hAnsi="宋体"/>
          <w:bCs/>
          <w:szCs w:val="21"/>
        </w:rPr>
        <w:t xml:space="preserve"> </w:t>
      </w:r>
      <w:r>
        <w:rPr>
          <w:rFonts w:hAnsi="宋体"/>
          <w:b/>
        </w:rPr>
        <w:t xml:space="preserve"> </w:t>
      </w:r>
    </w:p>
    <w:p w14:paraId="29471B80">
      <w:pPr>
        <w:spacing w:line="360" w:lineRule="auto"/>
        <w:ind w:firstLine="422" w:firstLineChars="200"/>
        <w:rPr>
          <w:rFonts w:ascii="宋体" w:hAnsi="宋体"/>
          <w:b/>
          <w:szCs w:val="20"/>
        </w:rPr>
      </w:pPr>
      <w:r>
        <w:rPr>
          <w:rFonts w:hint="eastAsia" w:ascii="宋体" w:hAnsi="宋体"/>
          <w:b/>
          <w:szCs w:val="21"/>
        </w:rPr>
        <w:t>21.2未在规定时间内提交或者未按照招标文件要求加密的电子投标文件，广西政府采购云平台将拒收。</w:t>
      </w:r>
    </w:p>
    <w:p w14:paraId="2D3A3828">
      <w:pPr>
        <w:pStyle w:val="6"/>
        <w:keepNext w:val="0"/>
        <w:keepLines w:val="0"/>
        <w:numPr>
          <w:ilvl w:val="4"/>
          <w:numId w:val="5"/>
        </w:numPr>
        <w:spacing w:before="0" w:after="0" w:line="360" w:lineRule="auto"/>
        <w:ind w:left="420" w:leftChars="200"/>
        <w:rPr>
          <w:rFonts w:ascii="黑体" w:hAnsi="黑体" w:eastAsia="黑体"/>
          <w:sz w:val="24"/>
        </w:rPr>
      </w:pPr>
      <w:r>
        <w:rPr>
          <w:rFonts w:hint="eastAsia" w:ascii="黑体" w:hAnsi="黑体" w:eastAsia="黑体"/>
          <w:sz w:val="24"/>
        </w:rPr>
        <w:t>22. 投标文件的补充、修改、撤回与退回</w:t>
      </w:r>
    </w:p>
    <w:p w14:paraId="1DDED8CC">
      <w:pPr>
        <w:snapToGrid w:val="0"/>
        <w:spacing w:line="360" w:lineRule="auto"/>
        <w:ind w:firstLine="420"/>
        <w:jc w:val="left"/>
        <w:rPr>
          <w:rFonts w:ascii="宋体" w:hAnsi="宋体"/>
          <w:szCs w:val="21"/>
        </w:rPr>
      </w:pPr>
      <w:bookmarkStart w:id="121" w:name="_Toc254970543"/>
      <w:bookmarkStart w:id="122" w:name="_Toc254970684"/>
      <w:r>
        <w:rPr>
          <w:rFonts w:hint="eastAsia" w:ascii="宋体" w:hAnsi="宋体" w:cs="宋体"/>
          <w:szCs w:val="21"/>
        </w:rPr>
        <w:t>22.1</w:t>
      </w:r>
      <w:r>
        <w:rPr>
          <w:rFonts w:hint="eastAsia" w:ascii="宋体" w:hAnsi="宋体"/>
          <w:bCs/>
          <w:szCs w:val="2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r>
        <w:rPr>
          <w:rFonts w:hint="eastAsia" w:ascii="宋体" w:hAnsi="宋体" w:cs="宋体"/>
          <w:szCs w:val="21"/>
        </w:rPr>
        <w:t>（补充、修改或者撤回方式可</w:t>
      </w:r>
      <w:r>
        <w:rPr>
          <w:rFonts w:hint="eastAsia" w:ascii="宋体" w:hAnsi="宋体"/>
          <w:szCs w:val="21"/>
        </w:rPr>
        <w:t>登录</w:t>
      </w:r>
      <w:r>
        <w:rPr>
          <w:rFonts w:hint="eastAsia" w:ascii="宋体" w:hAnsi="宋体" w:cs="宋体"/>
          <w:kern w:val="0"/>
          <w:szCs w:val="21"/>
        </w:rPr>
        <w:t>广西政府采购云平台，</w:t>
      </w:r>
      <w:r>
        <w:rPr>
          <w:rFonts w:hint="eastAsia" w:ascii="宋体" w:hAnsi="宋体"/>
          <w:szCs w:val="21"/>
        </w:rPr>
        <w:t>依次进入“服务中心”中查看</w:t>
      </w:r>
      <w:r>
        <w:rPr>
          <w:rFonts w:hint="eastAsia" w:ascii="宋体" w:hAnsi="宋体" w:cs="宋体"/>
          <w:szCs w:val="21"/>
        </w:rPr>
        <w:t xml:space="preserve"> “电子投标文件制作与投送教程”）</w:t>
      </w:r>
    </w:p>
    <w:bookmarkEnd w:id="121"/>
    <w:bookmarkEnd w:id="122"/>
    <w:p w14:paraId="16B630ED">
      <w:pPr>
        <w:pStyle w:val="41"/>
        <w:spacing w:before="0"/>
        <w:ind w:firstLine="420"/>
        <w:rPr>
          <w:rFonts w:ascii="宋体" w:hAnsi="宋体" w:cs="宋体"/>
          <w:sz w:val="21"/>
          <w:szCs w:val="21"/>
        </w:rPr>
      </w:pPr>
      <w:r>
        <w:rPr>
          <w:rFonts w:hint="eastAsia" w:ascii="宋体" w:hAnsi="宋体" w:cs="宋体"/>
          <w:sz w:val="21"/>
          <w:szCs w:val="21"/>
        </w:rPr>
        <w:t>22.2广西政府采购云平台收到投标文件后向供应商发出确认回执通知。在投标截止时间前，除供应商补充、修改或者撤回投标文件外，任何单位和个人不得解密或提取投标文件。</w:t>
      </w:r>
    </w:p>
    <w:p w14:paraId="35C4A2B9">
      <w:pPr>
        <w:spacing w:line="360" w:lineRule="auto"/>
        <w:ind w:firstLine="420" w:firstLineChars="200"/>
        <w:rPr>
          <w:rFonts w:ascii="宋体" w:hAnsi="宋体" w:cs="宋体"/>
          <w:szCs w:val="21"/>
        </w:rPr>
      </w:pPr>
      <w:r>
        <w:rPr>
          <w:rFonts w:hint="eastAsia" w:ascii="宋体" w:hAnsi="宋体" w:cs="宋体"/>
          <w:szCs w:val="21"/>
        </w:rPr>
        <w:t>22.3在投标截止时间后，采购人和采购代理机构对已提交的投标文件概不退回。</w:t>
      </w:r>
    </w:p>
    <w:p w14:paraId="7E8782B8">
      <w:pPr>
        <w:pStyle w:val="4"/>
        <w:keepNext w:val="0"/>
        <w:keepLines w:val="0"/>
        <w:jc w:val="center"/>
      </w:pPr>
      <w:bookmarkStart w:id="123" w:name="_Toc11819"/>
      <w:bookmarkStart w:id="124" w:name="_Toc28039"/>
      <w:r>
        <w:rPr>
          <w:rFonts w:hint="eastAsia"/>
        </w:rPr>
        <w:t>四、开    标</w:t>
      </w:r>
      <w:bookmarkEnd w:id="117"/>
      <w:bookmarkEnd w:id="118"/>
      <w:bookmarkEnd w:id="123"/>
      <w:bookmarkEnd w:id="124"/>
    </w:p>
    <w:p w14:paraId="2E4F8866">
      <w:pPr>
        <w:pStyle w:val="6"/>
        <w:keepNext w:val="0"/>
        <w:keepLines w:val="0"/>
        <w:spacing w:before="0" w:after="0" w:line="360" w:lineRule="auto"/>
        <w:ind w:left="420" w:leftChars="200"/>
        <w:rPr>
          <w:rFonts w:ascii="黑体" w:hAnsi="黑体" w:eastAsia="黑体"/>
          <w:sz w:val="24"/>
        </w:rPr>
      </w:pPr>
      <w:bookmarkStart w:id="125" w:name="_23.开标时间和地点"/>
      <w:bookmarkEnd w:id="125"/>
      <w:r>
        <w:rPr>
          <w:rFonts w:hint="eastAsia" w:ascii="黑体" w:hAnsi="黑体" w:eastAsia="黑体"/>
          <w:sz w:val="24"/>
        </w:rPr>
        <w:t>23.开标时间和地点</w:t>
      </w:r>
    </w:p>
    <w:p w14:paraId="460FF6E5">
      <w:pPr>
        <w:spacing w:line="360" w:lineRule="auto"/>
        <w:ind w:firstLine="420" w:firstLineChars="200"/>
        <w:rPr>
          <w:rFonts w:hAnsi="宋体"/>
          <w:bCs/>
        </w:rPr>
      </w:pPr>
      <w:r>
        <w:rPr>
          <w:rFonts w:hint="eastAsia" w:hAnsi="宋体"/>
          <w:bCs/>
        </w:rPr>
        <w:t>开标时间及地点详见“投标人须知前附表”</w:t>
      </w:r>
    </w:p>
    <w:p w14:paraId="13EC8130">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24.开标程序</w:t>
      </w:r>
    </w:p>
    <w:p w14:paraId="31E9A8D5">
      <w:pPr>
        <w:pStyle w:val="7"/>
        <w:spacing w:line="360" w:lineRule="auto"/>
      </w:pPr>
      <w:r>
        <w:t>24.1</w:t>
      </w:r>
      <w:r>
        <w:rPr>
          <w:rFonts w:hint="eastAsia"/>
        </w:rPr>
        <w:t>提交投标文件截止时间止，投标人不足</w:t>
      </w:r>
      <w:r>
        <w:t>3</w:t>
      </w:r>
      <w:r>
        <w:rPr>
          <w:rFonts w:hint="eastAsia"/>
        </w:rPr>
        <w:t>家的，不得开标。</w:t>
      </w:r>
    </w:p>
    <w:p w14:paraId="0EB64CFF">
      <w:pPr>
        <w:pStyle w:val="7"/>
        <w:spacing w:line="360" w:lineRule="auto"/>
      </w:pPr>
      <w:r>
        <w:t>24.2</w:t>
      </w:r>
      <w:r>
        <w:rPr>
          <w:rFonts w:hint="eastAsia"/>
        </w:rPr>
        <w:t>采购代理机构将按照招标文件规定的时间通过广西政府采购云平台组织线上开标活动，所有供应商均应当准时在线参加，投标人因未在线参加开标而导致投标文件无法按时解密等一切后果由投标人自己承担。</w:t>
      </w:r>
    </w:p>
    <w:p w14:paraId="387C339F">
      <w:pPr>
        <w:pStyle w:val="7"/>
        <w:spacing w:line="360" w:lineRule="auto"/>
      </w:pPr>
      <w:r>
        <w:t>24.3</w:t>
      </w:r>
      <w:r>
        <w:rPr>
          <w:rFonts w:hint="eastAsia"/>
        </w:rPr>
        <w:t>开标程序</w:t>
      </w:r>
    </w:p>
    <w:p w14:paraId="1DCB5A02">
      <w:pPr>
        <w:pStyle w:val="7"/>
        <w:spacing w:line="360" w:lineRule="auto"/>
      </w:pPr>
      <w:r>
        <w:rPr>
          <w:rFonts w:hint="eastAsia"/>
        </w:rPr>
        <w:t>（</w:t>
      </w:r>
      <w:r>
        <w:t>1</w:t>
      </w:r>
      <w:r>
        <w:rPr>
          <w:rFonts w:hint="eastAsia"/>
        </w:rPr>
        <w:t>）解密电子投标文件。广西政府采购云平台按开标时间自动提取所有投标文件。采购代理机构依托广西政府采购云平台向各投标人发出电子加密投标文件【开始解密】通知，由投标人按</w:t>
      </w:r>
      <w:r>
        <w:rPr>
          <w:rFonts w:hint="eastAsia" w:hAnsi="宋体"/>
          <w:bCs/>
          <w:szCs w:val="21"/>
        </w:rPr>
        <w:t>“投标人须知前附表”</w:t>
      </w:r>
      <w:r>
        <w:rPr>
          <w:rFonts w:hint="eastAsia"/>
        </w:rPr>
        <w:t>规定的时间内自行进行投标文件解密。投标人的法定代表人或其委托代理人须凭加密时所用的</w:t>
      </w:r>
      <w:r>
        <w:t>CA</w:t>
      </w:r>
      <w:r>
        <w:rPr>
          <w:rFonts w:hint="eastAsia"/>
        </w:rPr>
        <w:t>锁准时登录到广西政府采购云平台电子开标大厅签到并对电子投标文件解密。</w:t>
      </w:r>
      <w:r>
        <w:rPr>
          <w:rFonts w:hint="eastAsia"/>
          <w:b/>
        </w:rPr>
        <w:t>投标人未在规定的时间内解密投标文件或者解密失败的，</w:t>
      </w:r>
      <w:r>
        <w:rPr>
          <w:rFonts w:hint="eastAsia" w:ascii="宋体" w:hAnsi="宋体"/>
          <w:b/>
          <w:szCs w:val="21"/>
        </w:rPr>
        <w:t>投标人的投标文件作无效处理</w:t>
      </w:r>
      <w:r>
        <w:rPr>
          <w:rFonts w:hint="eastAsia"/>
          <w:b/>
        </w:rPr>
        <w:t>。</w:t>
      </w:r>
    </w:p>
    <w:p w14:paraId="00F1BDDF">
      <w:pPr>
        <w:pStyle w:val="7"/>
        <w:spacing w:line="360" w:lineRule="auto"/>
      </w:pPr>
      <w:r>
        <w:rPr>
          <w:rFonts w:hint="eastAsia"/>
        </w:rPr>
        <w:t>（</w:t>
      </w:r>
      <w:r>
        <w:t>2</w:t>
      </w:r>
      <w:r>
        <w:rPr>
          <w:rFonts w:hint="eastAsia"/>
        </w:rPr>
        <w:t>）电子唱标。投标文件解密结束，宣布的内容均在广西政府采购云平台远程开标大厅展示，具体详见</w:t>
      </w:r>
      <w:r>
        <w:rPr>
          <w:rFonts w:hint="eastAsia" w:hAnsi="宋体"/>
          <w:bCs/>
        </w:rPr>
        <w:t>“投标人须知前附表”</w:t>
      </w:r>
      <w:r>
        <w:rPr>
          <w:rFonts w:hint="eastAsia"/>
        </w:rPr>
        <w:t>；</w:t>
      </w:r>
    </w:p>
    <w:p w14:paraId="1602CCC5">
      <w:pPr>
        <w:pStyle w:val="7"/>
        <w:spacing w:line="360" w:lineRule="auto"/>
      </w:pPr>
      <w:r>
        <w:rPr>
          <w:rFonts w:hint="eastAsia"/>
        </w:rPr>
        <w:t>（</w:t>
      </w:r>
      <w:r>
        <w:t>3</w:t>
      </w:r>
      <w:r>
        <w:rPr>
          <w:rFonts w:hint="eastAsia"/>
        </w:rPr>
        <w:t>）开标过程由采购代理机构如实记录，并电子留痕，由参加电子开标的各投标人代表对电子开标记录在开标记录公布后</w:t>
      </w:r>
      <w:r>
        <w:t>15</w:t>
      </w:r>
      <w:r>
        <w:rPr>
          <w:rFonts w:hint="eastAsia"/>
        </w:rPr>
        <w:t>分钟内进行当场校核及勘误，并线上确认是否有异议，未确认的视同认可开标结果。</w:t>
      </w:r>
    </w:p>
    <w:p w14:paraId="0F299314">
      <w:pPr>
        <w:pStyle w:val="7"/>
        <w:spacing w:line="360" w:lineRule="auto"/>
      </w:pPr>
      <w:r>
        <w:rPr>
          <w:rFonts w:hint="eastAsia"/>
        </w:rPr>
        <w:t>（</w:t>
      </w:r>
      <w:r>
        <w:t>4</w:t>
      </w:r>
      <w:r>
        <w:rPr>
          <w:rFonts w:hint="eastAsia"/>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57FD7B41">
      <w:pPr>
        <w:pStyle w:val="7"/>
        <w:spacing w:line="360" w:lineRule="auto"/>
        <w:rPr>
          <w:szCs w:val="21"/>
        </w:rPr>
      </w:pPr>
      <w:r>
        <w:rPr>
          <w:rFonts w:hint="eastAsia"/>
          <w:szCs w:val="21"/>
        </w:rPr>
        <w:t>（</w:t>
      </w:r>
      <w:r>
        <w:rPr>
          <w:szCs w:val="21"/>
        </w:rPr>
        <w:t>5</w:t>
      </w:r>
      <w:r>
        <w:rPr>
          <w:rFonts w:hint="eastAsia"/>
          <w:szCs w:val="21"/>
        </w:rPr>
        <w:t>）开标结束。</w:t>
      </w:r>
    </w:p>
    <w:p w14:paraId="7C7FB5D7">
      <w:pPr>
        <w:pStyle w:val="16"/>
        <w:snapToGrid w:val="0"/>
        <w:spacing w:line="360" w:lineRule="auto"/>
        <w:ind w:firstLine="420" w:firstLineChars="200"/>
        <w:rPr>
          <w:rFonts w:hAnsi="宋体"/>
          <w:sz w:val="21"/>
        </w:rPr>
      </w:pPr>
      <w:r>
        <w:rPr>
          <w:rFonts w:hint="eastAsia"/>
          <w:sz w:val="21"/>
        </w:rPr>
        <w:t>特别说明：如遇广西政府采购云平台电子化开标或评审程序调整的，按调整后执行。</w:t>
      </w:r>
    </w:p>
    <w:p w14:paraId="2F9583E3">
      <w:pPr>
        <w:pStyle w:val="16"/>
        <w:snapToGrid w:val="0"/>
        <w:spacing w:line="360" w:lineRule="auto"/>
        <w:ind w:left="689" w:leftChars="228" w:hanging="210" w:hangingChars="100"/>
        <w:rPr>
          <w:rFonts w:hAnsi="宋体"/>
          <w:sz w:val="21"/>
        </w:rPr>
      </w:pPr>
    </w:p>
    <w:p w14:paraId="77361E14">
      <w:pPr>
        <w:pStyle w:val="4"/>
        <w:keepNext w:val="0"/>
        <w:keepLines w:val="0"/>
        <w:jc w:val="center"/>
      </w:pPr>
      <w:bookmarkStart w:id="126" w:name="_Toc27874"/>
      <w:bookmarkStart w:id="127" w:name="_Toc27932"/>
      <w:r>
        <w:rPr>
          <w:rFonts w:hint="eastAsia"/>
        </w:rPr>
        <w:t>五、资格审查</w:t>
      </w:r>
      <w:bookmarkEnd w:id="126"/>
      <w:bookmarkEnd w:id="127"/>
    </w:p>
    <w:p w14:paraId="42D08891">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25.资格审查</w:t>
      </w:r>
    </w:p>
    <w:p w14:paraId="0F8AADDE">
      <w:pPr>
        <w:pStyle w:val="6"/>
        <w:keepNext w:val="0"/>
        <w:keepLines w:val="0"/>
        <w:spacing w:before="0" w:after="0" w:line="360" w:lineRule="auto"/>
        <w:ind w:firstLine="315" w:firstLineChars="150"/>
        <w:rPr>
          <w:rFonts w:ascii="宋体" w:hAnsi="宋体"/>
          <w:b w:val="0"/>
          <w:sz w:val="21"/>
          <w:szCs w:val="21"/>
        </w:rPr>
      </w:pPr>
      <w:r>
        <w:rPr>
          <w:rFonts w:hint="eastAsia" w:ascii="宋体" w:hAnsi="宋体"/>
          <w:b w:val="0"/>
          <w:sz w:val="21"/>
          <w:szCs w:val="21"/>
        </w:rPr>
        <w:t xml:space="preserve"> 25.1</w:t>
      </w:r>
      <w:r>
        <w:rPr>
          <w:rFonts w:ascii="宋体" w:hAnsi="宋体"/>
          <w:b w:val="0"/>
          <w:sz w:val="21"/>
          <w:szCs w:val="21"/>
        </w:rPr>
        <w:t>开标结束后，</w:t>
      </w:r>
      <w:r>
        <w:rPr>
          <w:rFonts w:hint="eastAsia" w:ascii="宋体" w:hAnsi="宋体"/>
          <w:b w:val="0"/>
          <w:sz w:val="21"/>
          <w:szCs w:val="21"/>
        </w:rPr>
        <w:t>采购人或者采购代理机构通过电子开评标系统依据招标文件对电子投标文件进行线上资格审查</w:t>
      </w:r>
      <w:r>
        <w:rPr>
          <w:rFonts w:ascii="宋体" w:hAnsi="宋体"/>
          <w:b w:val="0"/>
          <w:sz w:val="21"/>
          <w:szCs w:val="21"/>
        </w:rPr>
        <w:t>。</w:t>
      </w:r>
    </w:p>
    <w:p w14:paraId="60471931">
      <w:pPr>
        <w:pStyle w:val="6"/>
        <w:keepNext w:val="0"/>
        <w:keepLines w:val="0"/>
        <w:spacing w:before="0" w:after="0" w:line="360" w:lineRule="auto"/>
        <w:ind w:firstLine="315" w:firstLineChars="150"/>
        <w:rPr>
          <w:rFonts w:ascii="宋体" w:hAnsi="宋体"/>
          <w:b w:val="0"/>
          <w:sz w:val="21"/>
          <w:szCs w:val="21"/>
        </w:rPr>
      </w:pPr>
      <w:r>
        <w:rPr>
          <w:rFonts w:hint="eastAsia" w:ascii="宋体" w:hAnsi="宋体"/>
          <w:b w:val="0"/>
          <w:sz w:val="21"/>
          <w:szCs w:val="21"/>
        </w:rPr>
        <w:t xml:space="preserve"> 25.2资格审查标准为本招标文件中载明对投标人资格要求的条件。本项目资格审查采用合格制，凡符合招标文件规定的投标人资格要求的投标人均通过资格审查。</w:t>
      </w:r>
    </w:p>
    <w:p w14:paraId="435D8A01">
      <w:pPr>
        <w:pStyle w:val="6"/>
        <w:keepNext w:val="0"/>
        <w:keepLines w:val="0"/>
        <w:spacing w:before="0" w:after="0" w:line="360" w:lineRule="auto"/>
        <w:ind w:firstLine="422" w:firstLineChars="200"/>
        <w:rPr>
          <w:rFonts w:ascii="宋体" w:hAnsi="宋体"/>
          <w:sz w:val="21"/>
          <w:szCs w:val="21"/>
        </w:rPr>
      </w:pPr>
      <w:bookmarkStart w:id="128" w:name="_25.3_投标人有下列情形之一的，资格审查不通过而导致其投标无效："/>
      <w:bookmarkEnd w:id="128"/>
      <w:r>
        <w:rPr>
          <w:rFonts w:hint="eastAsia" w:ascii="宋体" w:hAnsi="宋体"/>
          <w:sz w:val="21"/>
          <w:szCs w:val="21"/>
        </w:rPr>
        <w:t>25.3 投标人有下列情形之一的，资格审查不通过，作无效投标处理：</w:t>
      </w:r>
    </w:p>
    <w:p w14:paraId="3E00D881">
      <w:pPr>
        <w:pStyle w:val="16"/>
        <w:snapToGrid w:val="0"/>
        <w:spacing w:line="360" w:lineRule="auto"/>
        <w:ind w:firstLine="422" w:firstLineChars="200"/>
        <w:rPr>
          <w:rFonts w:hAnsi="宋体"/>
          <w:b/>
          <w:sz w:val="21"/>
        </w:rPr>
      </w:pPr>
      <w:r>
        <w:rPr>
          <w:rFonts w:hint="eastAsia" w:hAnsi="宋体"/>
          <w:b/>
          <w:sz w:val="21"/>
        </w:rPr>
        <w:t>（1）不具备招标文件中规定的资格要求的；</w:t>
      </w:r>
    </w:p>
    <w:p w14:paraId="67AA100E">
      <w:pPr>
        <w:pStyle w:val="16"/>
        <w:snapToGrid w:val="0"/>
        <w:spacing w:line="360" w:lineRule="auto"/>
        <w:ind w:firstLine="422" w:firstLineChars="200"/>
        <w:rPr>
          <w:rFonts w:hAnsi="宋体"/>
          <w:b/>
          <w:sz w:val="21"/>
        </w:rPr>
      </w:pPr>
      <w:r>
        <w:rPr>
          <w:rFonts w:hint="eastAsia" w:hAnsi="宋体"/>
          <w:b/>
          <w:sz w:val="21"/>
        </w:rPr>
        <w:t>（2）在“信用中国”网站（www.creditchina.gov.cn）、中国政府采购网（www.ccgp.gov.cn）被列入失信被执行人、重大税收违法失信主体、政府采购严重违法失信行为记录名单及其他不符合《中华人民共和国政府采购法》第二十二条规定条件的；（注：其中信用查询规则见“投标人须知前附表”）</w:t>
      </w:r>
    </w:p>
    <w:p w14:paraId="22241BD1">
      <w:pPr>
        <w:pStyle w:val="16"/>
        <w:snapToGrid w:val="0"/>
        <w:spacing w:line="360" w:lineRule="auto"/>
        <w:ind w:firstLine="422" w:firstLineChars="200"/>
        <w:rPr>
          <w:rFonts w:hAnsi="宋体"/>
          <w:b/>
          <w:sz w:val="21"/>
        </w:rPr>
      </w:pPr>
      <w:r>
        <w:rPr>
          <w:rFonts w:hint="eastAsia" w:hAnsi="宋体"/>
          <w:b/>
          <w:sz w:val="21"/>
        </w:rPr>
        <w:t>（3）同一合同项下的不同投标人，单位负责人为同一人或者存在直接控股、管理关系的；为本项目提供过整体设计、规范编制或者项目管理、监理、检测等服务的供应商，再参加该采购项目的其他采购活动的；</w:t>
      </w:r>
    </w:p>
    <w:p w14:paraId="110BB88A">
      <w:pPr>
        <w:pStyle w:val="16"/>
        <w:snapToGrid w:val="0"/>
        <w:spacing w:line="360" w:lineRule="auto"/>
        <w:ind w:firstLine="422" w:firstLineChars="200"/>
        <w:rPr>
          <w:rFonts w:hAnsi="宋体"/>
          <w:b/>
          <w:sz w:val="21"/>
        </w:rPr>
      </w:pPr>
      <w:r>
        <w:rPr>
          <w:rFonts w:hint="eastAsia" w:hAnsi="宋体"/>
          <w:b/>
          <w:sz w:val="21"/>
        </w:rPr>
        <w:t>（4）投标文件中的资格证明文件缺少任一项“投标人须知前附表”资格证明文件规定“必须提供”的文件资料的；</w:t>
      </w:r>
    </w:p>
    <w:p w14:paraId="29B4DD9D">
      <w:pPr>
        <w:pStyle w:val="16"/>
        <w:snapToGrid w:val="0"/>
        <w:spacing w:line="360" w:lineRule="auto"/>
        <w:ind w:firstLine="422" w:firstLineChars="200"/>
        <w:rPr>
          <w:rFonts w:hAnsi="宋体"/>
          <w:b/>
          <w:sz w:val="21"/>
        </w:rPr>
      </w:pPr>
      <w:r>
        <w:rPr>
          <w:rFonts w:hint="eastAsia" w:hAnsi="宋体"/>
          <w:b/>
          <w:sz w:val="21"/>
        </w:rPr>
        <w:t>（5）投标文件中的资格证明文件出现任一项不符合“投标人须知前附表”资格证明文件规定“必须提供”的文件资料要求或者无效的。</w:t>
      </w:r>
    </w:p>
    <w:p w14:paraId="1F3A8492">
      <w:pPr>
        <w:pStyle w:val="6"/>
        <w:keepNext w:val="0"/>
        <w:keepLines w:val="0"/>
        <w:spacing w:before="0" w:after="0" w:line="360" w:lineRule="auto"/>
        <w:ind w:left="420" w:leftChars="200"/>
        <w:rPr>
          <w:rFonts w:ascii="宋体" w:hAnsi="宋体"/>
          <w:b w:val="0"/>
          <w:sz w:val="21"/>
          <w:szCs w:val="21"/>
        </w:rPr>
      </w:pPr>
      <w:r>
        <w:rPr>
          <w:rFonts w:hint="eastAsia" w:ascii="宋体" w:hAnsi="宋体"/>
          <w:sz w:val="21"/>
          <w:szCs w:val="21"/>
        </w:rPr>
        <w:t>25.4</w:t>
      </w:r>
      <w:r>
        <w:rPr>
          <w:rFonts w:ascii="宋体" w:hAnsi="宋体"/>
          <w:sz w:val="21"/>
          <w:szCs w:val="21"/>
        </w:rPr>
        <w:t>合格投标人不足3家的，不得评标。</w:t>
      </w:r>
    </w:p>
    <w:p w14:paraId="00F2314E">
      <w:pPr>
        <w:pStyle w:val="16"/>
        <w:snapToGrid w:val="0"/>
        <w:spacing w:line="360" w:lineRule="auto"/>
        <w:ind w:left="689" w:leftChars="228" w:hanging="210" w:hangingChars="100"/>
        <w:rPr>
          <w:rFonts w:hAnsi="宋体"/>
          <w:sz w:val="21"/>
        </w:rPr>
      </w:pPr>
    </w:p>
    <w:p w14:paraId="75187CAD">
      <w:pPr>
        <w:pStyle w:val="4"/>
        <w:keepNext w:val="0"/>
        <w:keepLines w:val="0"/>
        <w:jc w:val="center"/>
      </w:pPr>
      <w:bookmarkStart w:id="129" w:name="_Toc27630"/>
      <w:bookmarkStart w:id="130" w:name="_Toc29223"/>
      <w:r>
        <w:rPr>
          <w:rFonts w:hint="eastAsia"/>
        </w:rPr>
        <w:t>六、评   标</w:t>
      </w:r>
      <w:bookmarkEnd w:id="129"/>
      <w:bookmarkEnd w:id="130"/>
    </w:p>
    <w:p w14:paraId="4DFAE3BF">
      <w:pPr>
        <w:pStyle w:val="6"/>
        <w:keepNext w:val="0"/>
        <w:keepLines w:val="0"/>
        <w:spacing w:before="0" w:after="0" w:line="360" w:lineRule="auto"/>
        <w:ind w:left="420" w:leftChars="200"/>
        <w:rPr>
          <w:rFonts w:ascii="黑体" w:hAnsi="黑体" w:eastAsia="黑体"/>
          <w:sz w:val="24"/>
        </w:rPr>
      </w:pPr>
      <w:bookmarkStart w:id="131" w:name="_26.组建评标委员会"/>
      <w:bookmarkEnd w:id="131"/>
      <w:r>
        <w:rPr>
          <w:rFonts w:hint="eastAsia" w:ascii="黑体" w:hAnsi="黑体" w:eastAsia="黑体"/>
          <w:sz w:val="24"/>
        </w:rPr>
        <w:t>26.组建评标委员会</w:t>
      </w:r>
    </w:p>
    <w:p w14:paraId="4B5841F0">
      <w:pPr>
        <w:pStyle w:val="16"/>
        <w:snapToGrid w:val="0"/>
        <w:spacing w:line="360" w:lineRule="auto"/>
        <w:ind w:firstLine="420" w:firstLineChars="200"/>
        <w:rPr>
          <w:rFonts w:hAnsi="宋体"/>
          <w:sz w:val="21"/>
        </w:rPr>
      </w:pPr>
      <w:r>
        <w:rPr>
          <w:rFonts w:hint="eastAsia" w:hAnsi="宋体"/>
          <w:sz w:val="21"/>
        </w:rPr>
        <w:t>26.1评标委员会由采购人代表和评审专家组成，具体人数详见“投标人须知前附表”，其中评审专家不得少于成员总数的三分之二。</w:t>
      </w:r>
    </w:p>
    <w:p w14:paraId="5F129A34">
      <w:pPr>
        <w:pStyle w:val="16"/>
        <w:snapToGrid w:val="0"/>
        <w:spacing w:line="360" w:lineRule="auto"/>
        <w:ind w:left="2" w:leftChars="1" w:firstLine="420" w:firstLineChars="200"/>
        <w:rPr>
          <w:rFonts w:hAnsi="宋体"/>
          <w:sz w:val="21"/>
        </w:rPr>
      </w:pPr>
      <w:r>
        <w:rPr>
          <w:rFonts w:hint="eastAsia" w:hAnsi="宋体"/>
          <w:sz w:val="21"/>
        </w:rPr>
        <w:t>26.2参加过采购项目前期咨询论证的专家，不得参加该采购项目的评审活动。</w:t>
      </w:r>
    </w:p>
    <w:p w14:paraId="08BEF5DA">
      <w:pPr>
        <w:pStyle w:val="16"/>
        <w:snapToGrid w:val="0"/>
        <w:spacing w:line="360" w:lineRule="auto"/>
        <w:ind w:left="2" w:leftChars="1" w:firstLine="420" w:firstLineChars="200"/>
        <w:rPr>
          <w:rFonts w:hAnsi="宋体"/>
          <w:sz w:val="21"/>
        </w:rPr>
      </w:pPr>
      <w:r>
        <w:rPr>
          <w:rFonts w:hint="eastAsia" w:hAnsi="宋体"/>
          <w:sz w:val="21"/>
        </w:rPr>
        <w:t>26.3</w:t>
      </w:r>
      <w:r>
        <w:rPr>
          <w:rFonts w:hint="eastAsia" w:hAnsi="宋体"/>
          <w:bCs/>
          <w:sz w:val="21"/>
        </w:rPr>
        <w:t>采购代理机构应当基于广西政府采购云平台抽（选）取评审专家。</w:t>
      </w:r>
    </w:p>
    <w:p w14:paraId="55F3FC3A">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27.评标的依据</w:t>
      </w:r>
    </w:p>
    <w:p w14:paraId="34B41962">
      <w:pPr>
        <w:pStyle w:val="16"/>
        <w:snapToGrid w:val="0"/>
        <w:spacing w:line="360" w:lineRule="auto"/>
        <w:ind w:firstLine="420" w:firstLineChars="200"/>
        <w:rPr>
          <w:rFonts w:hAnsi="宋体"/>
          <w:sz w:val="21"/>
        </w:rPr>
      </w:pPr>
      <w:r>
        <w:rPr>
          <w:rFonts w:hint="eastAsia" w:hAnsi="宋体"/>
          <w:sz w:val="21"/>
        </w:rPr>
        <w:t>评标委员会以</w:t>
      </w:r>
      <w:r>
        <w:rPr>
          <w:rFonts w:hint="eastAsia" w:hAnsi="宋体" w:cs="宋体"/>
          <w:sz w:val="21"/>
        </w:rPr>
        <w:t>“第四章 评标方法及评标标准”</w:t>
      </w:r>
      <w:r>
        <w:rPr>
          <w:rFonts w:hint="eastAsia" w:hAnsi="宋体"/>
          <w:sz w:val="21"/>
        </w:rPr>
        <w:t>为依据对投标文件进行评审，</w:t>
      </w:r>
      <w:r>
        <w:rPr>
          <w:rFonts w:hAnsi="宋体"/>
          <w:sz w:val="21"/>
        </w:rPr>
        <w:t>没有规定的方法、评审因素和标准，不作为评标依据。</w:t>
      </w:r>
    </w:p>
    <w:p w14:paraId="15B2BAB1">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28.评标原则</w:t>
      </w:r>
    </w:p>
    <w:p w14:paraId="15F72E37">
      <w:pPr>
        <w:pStyle w:val="16"/>
        <w:snapToGrid w:val="0"/>
        <w:spacing w:line="360" w:lineRule="auto"/>
        <w:ind w:firstLine="420" w:firstLineChars="200"/>
        <w:rPr>
          <w:rFonts w:hAnsi="宋体"/>
          <w:sz w:val="21"/>
        </w:rPr>
      </w:pPr>
      <w:r>
        <w:rPr>
          <w:rFonts w:hint="eastAsia" w:hAnsi="宋体"/>
          <w:sz w:val="21"/>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2A3FD260">
      <w:pPr>
        <w:pStyle w:val="16"/>
        <w:snapToGrid w:val="0"/>
        <w:spacing w:line="360" w:lineRule="auto"/>
        <w:ind w:firstLine="420" w:firstLineChars="200"/>
        <w:rPr>
          <w:rFonts w:hAnsi="宋体"/>
          <w:sz w:val="21"/>
        </w:rPr>
      </w:pPr>
      <w:r>
        <w:rPr>
          <w:rFonts w:hint="eastAsia" w:hAnsi="宋体"/>
          <w:sz w:val="21"/>
        </w:rPr>
        <w:t>28.2</w:t>
      </w:r>
      <w:bookmarkStart w:id="132" w:name="_28.3评标方法。本项目将按须知前附表规定的评标办法进行评标，具体评标"/>
      <w:bookmarkEnd w:id="132"/>
      <w:r>
        <w:rPr>
          <w:rFonts w:hint="eastAsia" w:hAnsi="宋体"/>
          <w:sz w:val="21"/>
        </w:rPr>
        <w:t>评委表决。评标委员会成员对需要共同认定的事项存在争议的，应当按照少数服从多数的原则作出结论。</w:t>
      </w:r>
    </w:p>
    <w:p w14:paraId="6CB00896">
      <w:pPr>
        <w:pStyle w:val="16"/>
        <w:snapToGrid w:val="0"/>
        <w:spacing w:line="360" w:lineRule="auto"/>
        <w:ind w:firstLine="420" w:firstLineChars="200"/>
        <w:rPr>
          <w:rFonts w:hAnsi="宋体"/>
          <w:sz w:val="21"/>
        </w:rPr>
      </w:pPr>
      <w:r>
        <w:rPr>
          <w:rFonts w:hint="eastAsia" w:hAnsi="宋体"/>
          <w:sz w:val="21"/>
        </w:rPr>
        <w:t>28.</w:t>
      </w:r>
      <w:r>
        <w:rPr>
          <w:rFonts w:hAnsi="宋体"/>
          <w:sz w:val="21"/>
        </w:rPr>
        <w:t>3</w:t>
      </w:r>
      <w:r>
        <w:rPr>
          <w:rFonts w:hint="eastAsia" w:hAnsi="宋体"/>
          <w:sz w:val="2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592365DB">
      <w:pPr>
        <w:pStyle w:val="16"/>
        <w:snapToGrid w:val="0"/>
        <w:spacing w:line="360" w:lineRule="auto"/>
        <w:ind w:firstLine="420" w:firstLineChars="200"/>
        <w:rPr>
          <w:rFonts w:hAnsi="宋体"/>
          <w:sz w:val="21"/>
        </w:rPr>
      </w:pPr>
      <w:r>
        <w:rPr>
          <w:rFonts w:hint="eastAsia" w:hAnsi="宋体"/>
          <w:sz w:val="21"/>
        </w:rPr>
        <w:t>2</w:t>
      </w:r>
      <w:r>
        <w:rPr>
          <w:rFonts w:hAnsi="宋体"/>
          <w:sz w:val="21"/>
        </w:rPr>
        <w:t>8.4</w:t>
      </w:r>
      <w:r>
        <w:rPr>
          <w:rFonts w:hint="eastAsia" w:hAnsi="宋体"/>
          <w:sz w:val="21"/>
        </w:rPr>
        <w:t>评标过程的监控。本项目电子评标过程实行网上留痕、全程录音、录像监控，</w:t>
      </w:r>
      <w:r>
        <w:rPr>
          <w:rFonts w:hint="eastAsia" w:hAnsi="宋体"/>
          <w:b/>
          <w:sz w:val="21"/>
        </w:rPr>
        <w:t>投标人在评标过程中所进行的试图影响评标结果的不公正活动，可能导致其投标按无效处理。</w:t>
      </w:r>
    </w:p>
    <w:p w14:paraId="47E2F5B2">
      <w:pPr>
        <w:pStyle w:val="6"/>
        <w:keepNext w:val="0"/>
        <w:keepLines w:val="0"/>
        <w:spacing w:before="0" w:after="0" w:line="360" w:lineRule="auto"/>
        <w:ind w:left="420" w:leftChars="200"/>
        <w:rPr>
          <w:rFonts w:ascii="黑体" w:hAnsi="黑体" w:eastAsia="黑体"/>
          <w:sz w:val="21"/>
          <w:szCs w:val="21"/>
        </w:rPr>
      </w:pPr>
      <w:r>
        <w:rPr>
          <w:rFonts w:hint="eastAsia" w:ascii="黑体" w:hAnsi="黑体" w:eastAsia="黑体"/>
          <w:sz w:val="21"/>
          <w:szCs w:val="21"/>
        </w:rPr>
        <w:t>29.评标方法及中标候选人推荐</w:t>
      </w:r>
    </w:p>
    <w:p w14:paraId="051FC332">
      <w:pPr>
        <w:pStyle w:val="16"/>
        <w:snapToGrid w:val="0"/>
        <w:spacing w:line="360" w:lineRule="auto"/>
        <w:ind w:firstLine="420" w:firstLineChars="200"/>
        <w:rPr>
          <w:rFonts w:hAnsi="宋体"/>
          <w:sz w:val="21"/>
        </w:rPr>
      </w:pPr>
      <w:r>
        <w:rPr>
          <w:rFonts w:hint="eastAsia" w:hAnsi="宋体"/>
          <w:sz w:val="21"/>
        </w:rPr>
        <w:t>2</w:t>
      </w:r>
      <w:r>
        <w:rPr>
          <w:rFonts w:hAnsi="宋体"/>
          <w:sz w:val="21"/>
        </w:rPr>
        <w:t>9.1</w:t>
      </w:r>
      <w:r>
        <w:rPr>
          <w:rFonts w:hint="eastAsia" w:hAnsi="宋体"/>
          <w:sz w:val="21"/>
        </w:rPr>
        <w:t>本项目的评标方法详见“投标人须知前附表”。</w:t>
      </w:r>
    </w:p>
    <w:p w14:paraId="7EAEEC6E">
      <w:pPr>
        <w:pStyle w:val="16"/>
        <w:snapToGrid w:val="0"/>
        <w:spacing w:line="360" w:lineRule="auto"/>
        <w:ind w:firstLine="420" w:firstLineChars="200"/>
        <w:rPr>
          <w:rFonts w:hAnsi="宋体"/>
          <w:sz w:val="21"/>
        </w:rPr>
      </w:pPr>
      <w:r>
        <w:rPr>
          <w:rFonts w:hint="eastAsia" w:hAnsi="宋体"/>
          <w:sz w:val="21"/>
        </w:rPr>
        <w:t>2</w:t>
      </w:r>
      <w:r>
        <w:rPr>
          <w:rFonts w:hAnsi="宋体"/>
          <w:sz w:val="21"/>
        </w:rPr>
        <w:t>9.2</w:t>
      </w:r>
      <w:r>
        <w:rPr>
          <w:rFonts w:hAnsi="宋体" w:cs="宋体"/>
          <w:sz w:val="21"/>
        </w:rPr>
        <w:t xml:space="preserve"> </w:t>
      </w:r>
      <w:r>
        <w:rPr>
          <w:rFonts w:hint="eastAsia" w:hAnsi="宋体" w:cs="宋体"/>
          <w:sz w:val="21"/>
        </w:rPr>
        <w:t>商务/技术要求</w:t>
      </w:r>
      <w:r>
        <w:rPr>
          <w:rFonts w:hint="eastAsia" w:hAnsi="宋体"/>
          <w:sz w:val="21"/>
        </w:rPr>
        <w:t>允许负偏离的条款数</w:t>
      </w:r>
      <w:r>
        <w:rPr>
          <w:rFonts w:hAnsi="宋体"/>
          <w:sz w:val="21"/>
        </w:rPr>
        <w:t>详见</w:t>
      </w:r>
      <w:r>
        <w:rPr>
          <w:rFonts w:hint="eastAsia" w:hAnsi="宋体"/>
          <w:sz w:val="21"/>
        </w:rPr>
        <w:t>“投标人须知前附表”。</w:t>
      </w:r>
    </w:p>
    <w:p w14:paraId="57F481E5">
      <w:pPr>
        <w:pStyle w:val="16"/>
        <w:snapToGrid w:val="0"/>
        <w:spacing w:line="360" w:lineRule="auto"/>
        <w:ind w:firstLine="420" w:firstLineChars="200"/>
        <w:rPr>
          <w:rFonts w:hAnsi="宋体" w:cs="宋体"/>
          <w:sz w:val="21"/>
        </w:rPr>
      </w:pPr>
      <w:r>
        <w:rPr>
          <w:rFonts w:hint="eastAsia" w:hAnsi="宋体"/>
          <w:sz w:val="21"/>
        </w:rPr>
        <w:t>2</w:t>
      </w:r>
      <w:r>
        <w:rPr>
          <w:rFonts w:hAnsi="宋体"/>
          <w:sz w:val="21"/>
        </w:rPr>
        <w:t>9.3</w:t>
      </w:r>
      <w:r>
        <w:rPr>
          <w:rFonts w:hAnsi="宋体" w:cs="宋体"/>
          <w:sz w:val="21"/>
        </w:rPr>
        <w:t xml:space="preserve"> </w:t>
      </w:r>
      <w:r>
        <w:rPr>
          <w:rFonts w:hAnsi="宋体"/>
          <w:sz w:val="21"/>
        </w:rPr>
        <w:t>中标候选人推荐数量详见</w:t>
      </w:r>
      <w:r>
        <w:rPr>
          <w:rFonts w:hint="eastAsia" w:hAnsi="宋体"/>
          <w:sz w:val="21"/>
        </w:rPr>
        <w:t>“投标人须知前附表”。</w:t>
      </w:r>
    </w:p>
    <w:p w14:paraId="5F307096">
      <w:pPr>
        <w:spacing w:line="360" w:lineRule="auto"/>
        <w:ind w:firstLine="420" w:firstLineChars="200"/>
        <w:rPr>
          <w:rFonts w:hAnsi="宋体"/>
          <w:szCs w:val="21"/>
        </w:rPr>
      </w:pPr>
      <w:r>
        <w:rPr>
          <w:rFonts w:hint="eastAsia" w:ascii="宋体" w:hAnsi="宋体"/>
          <w:kern w:val="0"/>
          <w:szCs w:val="21"/>
        </w:rPr>
        <w:t xml:space="preserve">29.4 </w:t>
      </w:r>
      <w:r>
        <w:rPr>
          <w:rFonts w:hint="eastAsia" w:hAnsi="宋体"/>
          <w:szCs w:val="21"/>
        </w:rPr>
        <w:t>电子交易活动的中止。采购过程中出现以下情形，导致电子交易平台无法正常运行，或者无法保证电子交易的公平、公正和安全时，采购代理机构可以中止电子交易活动：</w:t>
      </w:r>
    </w:p>
    <w:p w14:paraId="3423E9C6">
      <w:pPr>
        <w:spacing w:line="360" w:lineRule="auto"/>
        <w:ind w:firstLine="420" w:firstLineChars="200"/>
        <w:rPr>
          <w:rFonts w:hAnsi="宋体"/>
          <w:szCs w:val="21"/>
        </w:rPr>
      </w:pPr>
      <w:r>
        <w:rPr>
          <w:rFonts w:hint="eastAsia" w:hAnsi="宋体"/>
          <w:szCs w:val="21"/>
        </w:rPr>
        <w:t xml:space="preserve">（1）电子交易平台发生故障而无法登录访问的； </w:t>
      </w:r>
    </w:p>
    <w:p w14:paraId="21A34C2D">
      <w:pPr>
        <w:spacing w:line="360" w:lineRule="auto"/>
        <w:ind w:firstLine="420" w:firstLineChars="200"/>
        <w:rPr>
          <w:rFonts w:hAnsi="宋体"/>
          <w:szCs w:val="21"/>
        </w:rPr>
      </w:pPr>
      <w:r>
        <w:rPr>
          <w:rFonts w:hint="eastAsia" w:hAnsi="宋体"/>
          <w:szCs w:val="21"/>
        </w:rPr>
        <w:t>（2）电子交易平台应用或数据库出现错误，不能进行正常操作的；</w:t>
      </w:r>
    </w:p>
    <w:p w14:paraId="149DD0C6">
      <w:pPr>
        <w:spacing w:line="360" w:lineRule="auto"/>
        <w:ind w:firstLine="420" w:firstLineChars="200"/>
        <w:rPr>
          <w:rFonts w:hAnsi="宋体"/>
          <w:szCs w:val="21"/>
        </w:rPr>
      </w:pPr>
      <w:r>
        <w:rPr>
          <w:rFonts w:hint="eastAsia" w:hAnsi="宋体"/>
          <w:szCs w:val="21"/>
        </w:rPr>
        <w:t>（3）电子交易平台发现严重安全漏洞，有潜在泄密危险的；</w:t>
      </w:r>
    </w:p>
    <w:p w14:paraId="0392200B">
      <w:pPr>
        <w:spacing w:line="360" w:lineRule="auto"/>
        <w:ind w:firstLine="420" w:firstLineChars="200"/>
        <w:rPr>
          <w:rFonts w:hAnsi="宋体"/>
          <w:szCs w:val="21"/>
        </w:rPr>
      </w:pPr>
      <w:r>
        <w:rPr>
          <w:rFonts w:hint="eastAsia" w:hAnsi="宋体"/>
          <w:szCs w:val="21"/>
        </w:rPr>
        <w:t xml:space="preserve">（4）病毒发作导致不能进行正常操作的； </w:t>
      </w:r>
    </w:p>
    <w:p w14:paraId="1D08B692">
      <w:pPr>
        <w:spacing w:line="360" w:lineRule="auto"/>
        <w:ind w:firstLine="420" w:firstLineChars="200"/>
        <w:rPr>
          <w:rFonts w:hAnsi="宋体"/>
          <w:szCs w:val="21"/>
        </w:rPr>
      </w:pPr>
      <w:r>
        <w:rPr>
          <w:rFonts w:hint="eastAsia" w:hAnsi="宋体"/>
          <w:szCs w:val="21"/>
        </w:rPr>
        <w:t>（5）其他无法保证电子交易的公平、公正和安全的情况。</w:t>
      </w:r>
    </w:p>
    <w:p w14:paraId="11DBEC84">
      <w:pPr>
        <w:spacing w:line="360" w:lineRule="auto"/>
        <w:ind w:firstLine="420" w:firstLineChars="200"/>
        <w:rPr>
          <w:rFonts w:hAnsi="宋体"/>
          <w:szCs w:val="21"/>
        </w:rPr>
      </w:pPr>
      <w:r>
        <w:rPr>
          <w:rFonts w:hint="eastAsia" w:hAnsi="宋体"/>
          <w:szCs w:val="21"/>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6F7C45C3">
      <w:pPr>
        <w:snapToGrid w:val="0"/>
        <w:spacing w:line="360" w:lineRule="auto"/>
        <w:ind w:firstLine="420" w:firstLineChars="200"/>
        <w:rPr>
          <w:rFonts w:ascii="宋体" w:hAnsi="宋体"/>
          <w:szCs w:val="21"/>
        </w:rPr>
      </w:pPr>
      <w:r>
        <w:rPr>
          <w:rFonts w:hint="eastAsia" w:ascii="宋体" w:hAnsi="宋体"/>
          <w:szCs w:val="21"/>
        </w:rPr>
        <w:t>29.5出现下列情形之一的，应予废标：</w:t>
      </w:r>
    </w:p>
    <w:p w14:paraId="3B98B0C5">
      <w:pPr>
        <w:snapToGrid w:val="0"/>
        <w:spacing w:line="360" w:lineRule="auto"/>
        <w:ind w:firstLine="420" w:firstLineChars="200"/>
        <w:rPr>
          <w:rFonts w:ascii="宋体" w:hAnsi="宋体"/>
          <w:szCs w:val="21"/>
        </w:rPr>
      </w:pPr>
      <w:r>
        <w:rPr>
          <w:rFonts w:hint="eastAsia" w:ascii="宋体" w:hAnsi="宋体"/>
          <w:szCs w:val="21"/>
        </w:rPr>
        <w:t>（1）符合专业条件的供应商或者对招标文件作实质响应的供应商不足三家的；</w:t>
      </w:r>
    </w:p>
    <w:p w14:paraId="29F4DE84">
      <w:pPr>
        <w:snapToGrid w:val="0"/>
        <w:spacing w:line="360" w:lineRule="auto"/>
        <w:ind w:firstLine="420" w:firstLineChars="200"/>
        <w:rPr>
          <w:rFonts w:ascii="宋体" w:hAnsi="宋体"/>
          <w:szCs w:val="21"/>
        </w:rPr>
      </w:pPr>
      <w:r>
        <w:rPr>
          <w:rFonts w:hint="eastAsia" w:ascii="宋体" w:hAnsi="宋体"/>
          <w:szCs w:val="21"/>
        </w:rPr>
        <w:t>（2）出现影响采购公正的违法、违规行为的；</w:t>
      </w:r>
    </w:p>
    <w:p w14:paraId="6FFB03CD">
      <w:pPr>
        <w:snapToGrid w:val="0"/>
        <w:spacing w:line="360" w:lineRule="auto"/>
        <w:ind w:firstLine="420" w:firstLineChars="200"/>
        <w:rPr>
          <w:rFonts w:ascii="宋体" w:hAnsi="宋体"/>
          <w:szCs w:val="21"/>
        </w:rPr>
      </w:pPr>
      <w:r>
        <w:rPr>
          <w:rFonts w:hint="eastAsia" w:ascii="宋体" w:hAnsi="宋体"/>
          <w:szCs w:val="21"/>
        </w:rPr>
        <w:t>（3）投标人的报价均超过了采购预算，采购人不能支付的；</w:t>
      </w:r>
    </w:p>
    <w:p w14:paraId="5C24085F">
      <w:pPr>
        <w:snapToGrid w:val="0"/>
        <w:spacing w:line="360" w:lineRule="auto"/>
        <w:ind w:firstLine="420" w:firstLineChars="200"/>
        <w:rPr>
          <w:rFonts w:ascii="宋体" w:hAnsi="宋体"/>
          <w:szCs w:val="21"/>
        </w:rPr>
      </w:pPr>
      <w:r>
        <w:rPr>
          <w:rFonts w:hint="eastAsia" w:ascii="宋体" w:hAnsi="宋体"/>
          <w:szCs w:val="21"/>
        </w:rPr>
        <w:t>（4）因重大变故，采购任务取消的。</w:t>
      </w:r>
    </w:p>
    <w:p w14:paraId="634018AD">
      <w:pPr>
        <w:snapToGrid w:val="0"/>
        <w:spacing w:line="360" w:lineRule="auto"/>
        <w:ind w:firstLine="420" w:firstLineChars="200"/>
        <w:rPr>
          <w:rFonts w:ascii="宋体" w:hAnsi="宋体"/>
          <w:szCs w:val="21"/>
        </w:rPr>
      </w:pPr>
      <w:r>
        <w:rPr>
          <w:rFonts w:hint="eastAsia" w:ascii="宋体" w:hAnsi="宋体"/>
          <w:szCs w:val="21"/>
        </w:rPr>
        <w:t>废标后，采购人应当将废标理由通知所有投标人。</w:t>
      </w:r>
    </w:p>
    <w:p w14:paraId="4493F770">
      <w:pPr>
        <w:pStyle w:val="16"/>
        <w:snapToGrid w:val="0"/>
        <w:spacing w:line="360" w:lineRule="auto"/>
        <w:rPr>
          <w:rFonts w:hAnsi="宋体"/>
          <w:sz w:val="21"/>
        </w:rPr>
      </w:pPr>
    </w:p>
    <w:p w14:paraId="53543342">
      <w:pPr>
        <w:pStyle w:val="4"/>
        <w:keepNext w:val="0"/>
        <w:keepLines w:val="0"/>
        <w:jc w:val="center"/>
      </w:pPr>
      <w:bookmarkStart w:id="133" w:name="_Toc254970546"/>
      <w:bookmarkStart w:id="134" w:name="_Toc254970687"/>
      <w:bookmarkStart w:id="135" w:name="_Toc18575"/>
      <w:bookmarkStart w:id="136" w:name="_Toc19383"/>
      <w:r>
        <w:rPr>
          <w:rFonts w:hint="eastAsia"/>
        </w:rPr>
        <w:t>七、</w:t>
      </w:r>
      <w:bookmarkEnd w:id="133"/>
      <w:bookmarkEnd w:id="134"/>
      <w:r>
        <w:rPr>
          <w:rFonts w:hint="eastAsia"/>
        </w:rPr>
        <w:t>中标和合同</w:t>
      </w:r>
      <w:bookmarkEnd w:id="135"/>
      <w:bookmarkEnd w:id="136"/>
    </w:p>
    <w:p w14:paraId="62352E73">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30</w:t>
      </w:r>
      <w:r>
        <w:rPr>
          <w:rFonts w:ascii="黑体" w:hAnsi="黑体" w:eastAsia="黑体"/>
          <w:sz w:val="24"/>
        </w:rPr>
        <w:t xml:space="preserve"> </w:t>
      </w:r>
      <w:r>
        <w:rPr>
          <w:rFonts w:hint="eastAsia" w:ascii="黑体" w:hAnsi="黑体" w:eastAsia="黑体"/>
          <w:sz w:val="24"/>
        </w:rPr>
        <w:t>.确定中标人</w:t>
      </w:r>
    </w:p>
    <w:p w14:paraId="6C25B9A0">
      <w:pPr>
        <w:pStyle w:val="6"/>
        <w:keepNext w:val="0"/>
        <w:keepLines w:val="0"/>
        <w:spacing w:before="0" w:after="0" w:line="360" w:lineRule="auto"/>
        <w:ind w:firstLine="420" w:firstLineChars="200"/>
        <w:rPr>
          <w:rFonts w:ascii="宋体" w:hAnsi="宋体"/>
          <w:b w:val="0"/>
          <w:sz w:val="21"/>
          <w:szCs w:val="21"/>
        </w:rPr>
      </w:pPr>
      <w:r>
        <w:rPr>
          <w:rFonts w:ascii="宋体" w:hAnsi="宋体"/>
          <w:b w:val="0"/>
          <w:sz w:val="21"/>
          <w:szCs w:val="21"/>
        </w:rPr>
        <w:t>30.1</w:t>
      </w:r>
      <w:r>
        <w:rPr>
          <w:rFonts w:hint="eastAsia" w:ascii="宋体" w:hAnsi="宋体"/>
          <w:b w:val="0"/>
          <w:sz w:val="21"/>
          <w:szCs w:val="21"/>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7D9BF511">
      <w:pPr>
        <w:snapToGrid w:val="0"/>
        <w:spacing w:line="360" w:lineRule="auto"/>
        <w:ind w:firstLine="420" w:firstLineChars="200"/>
        <w:rPr>
          <w:rFonts w:ascii="宋体" w:hAnsi="宋体" w:cs="Courier New"/>
          <w:szCs w:val="21"/>
        </w:rPr>
      </w:pPr>
      <w:r>
        <w:rPr>
          <w:rFonts w:ascii="宋体" w:hAnsi="宋体" w:cs="Courier New"/>
          <w:szCs w:val="21"/>
        </w:rPr>
        <w:t>30.2</w:t>
      </w:r>
      <w:r>
        <w:rPr>
          <w:rFonts w:hint="eastAsia" w:ascii="宋体" w:hAnsi="宋体" w:cs="Courier New"/>
          <w:szCs w:val="21"/>
        </w:rPr>
        <w:t>采购人在收到评标报告5个工作日内未按评标报告推荐的中标候选人顺序确定中标人，又不能说明合法理由的，视同按评标报告推荐的顺序确定排名第一的中标候选人为中标人。</w:t>
      </w:r>
    </w:p>
    <w:p w14:paraId="2BF39890">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31. 结果公告</w:t>
      </w:r>
    </w:p>
    <w:p w14:paraId="26605E08">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3</w:t>
      </w:r>
      <w:r>
        <w:rPr>
          <w:rFonts w:ascii="宋体" w:hAnsi="宋体"/>
          <w:b w:val="0"/>
          <w:sz w:val="21"/>
          <w:szCs w:val="21"/>
        </w:rPr>
        <w:t>1.1</w:t>
      </w:r>
      <w:r>
        <w:rPr>
          <w:rFonts w:hint="eastAsia" w:ascii="宋体" w:hAnsi="宋体"/>
          <w:b w:val="0"/>
          <w:sz w:val="21"/>
          <w:szCs w:val="21"/>
        </w:rPr>
        <w:t>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14:paraId="161DD2EF">
      <w:pPr>
        <w:snapToGrid w:val="0"/>
        <w:spacing w:line="360" w:lineRule="auto"/>
        <w:ind w:firstLine="420" w:firstLineChars="200"/>
        <w:rPr>
          <w:rFonts w:ascii="宋体" w:hAnsi="宋体"/>
          <w:szCs w:val="21"/>
        </w:rPr>
      </w:pPr>
      <w:r>
        <w:rPr>
          <w:rFonts w:hint="eastAsia" w:ascii="宋体" w:hAnsi="宋体"/>
          <w:szCs w:val="21"/>
        </w:rPr>
        <w:t>以上信息查询记录及相关证据与招标文件一并保存。</w:t>
      </w:r>
    </w:p>
    <w:p w14:paraId="01B93D8B">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31.2中标供应商享受《政府采购促进中小企业发展管理办法》（财库〔2020〕46号）规定的中小企业扶持政策的，采购人、采购代理机构应当随中标结果公开中标供应商的《中小企业声明函》。</w:t>
      </w:r>
    </w:p>
    <w:p w14:paraId="26B16306">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32.发出中标通知书</w:t>
      </w:r>
    </w:p>
    <w:p w14:paraId="53E9032A">
      <w:pPr>
        <w:pStyle w:val="6"/>
        <w:keepNext w:val="0"/>
        <w:keepLines w:val="0"/>
        <w:spacing w:before="0" w:after="0" w:line="360" w:lineRule="auto"/>
        <w:rPr>
          <w:rFonts w:ascii="宋体" w:hAnsi="宋体"/>
          <w:b w:val="0"/>
          <w:sz w:val="21"/>
          <w:szCs w:val="21"/>
        </w:rPr>
      </w:pPr>
      <w:r>
        <w:rPr>
          <w:rFonts w:hint="eastAsia" w:ascii="宋体" w:hAnsi="宋体"/>
          <w:b w:val="0"/>
          <w:sz w:val="21"/>
          <w:szCs w:val="21"/>
        </w:rPr>
        <w:t xml:space="preserve"> </w:t>
      </w:r>
      <w:r>
        <w:rPr>
          <w:rFonts w:ascii="宋体" w:hAnsi="宋体"/>
          <w:b w:val="0"/>
          <w:sz w:val="21"/>
          <w:szCs w:val="21"/>
        </w:rPr>
        <w:t xml:space="preserve">   </w:t>
      </w:r>
      <w:r>
        <w:rPr>
          <w:rFonts w:hint="eastAsia" w:ascii="宋体" w:hAnsi="宋体"/>
          <w:b w:val="0"/>
          <w:sz w:val="21"/>
          <w:szCs w:val="21"/>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14:paraId="0F44592D">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33. 无义务解释未中标原因</w:t>
      </w:r>
    </w:p>
    <w:p w14:paraId="08C3A707">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采购代理机构无义务向未中标的投标人解释未中标原因。</w:t>
      </w:r>
    </w:p>
    <w:p w14:paraId="18BDC72D">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34.合同授予标准</w:t>
      </w:r>
    </w:p>
    <w:p w14:paraId="09E9F175">
      <w:pPr>
        <w:snapToGrid w:val="0"/>
        <w:spacing w:line="360" w:lineRule="auto"/>
        <w:ind w:firstLine="420" w:firstLineChars="200"/>
        <w:rPr>
          <w:rFonts w:ascii="宋体" w:hAnsi="宋体"/>
          <w:szCs w:val="21"/>
        </w:rPr>
      </w:pPr>
      <w:r>
        <w:rPr>
          <w:rFonts w:hint="eastAsia" w:ascii="宋体" w:hAnsi="宋体" w:cs="Courier New"/>
          <w:szCs w:val="21"/>
        </w:rPr>
        <w:t>合同将授予被确定实质上响应招标文件要求，具备履行合同能力的中标人。</w:t>
      </w:r>
    </w:p>
    <w:p w14:paraId="2B59A3FE">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35.履约保证金</w:t>
      </w:r>
    </w:p>
    <w:p w14:paraId="2B47178B">
      <w:pPr>
        <w:pStyle w:val="6"/>
        <w:keepNext w:val="0"/>
        <w:keepLines w:val="0"/>
        <w:spacing w:before="0" w:after="0" w:line="360" w:lineRule="auto"/>
        <w:ind w:firstLine="315" w:firstLineChars="150"/>
        <w:rPr>
          <w:rFonts w:ascii="宋体" w:hAnsi="宋体"/>
          <w:b w:val="0"/>
          <w:sz w:val="21"/>
          <w:szCs w:val="21"/>
        </w:rPr>
      </w:pPr>
      <w:bookmarkStart w:id="137" w:name="_39.1中标人须于签订合同前按本须知前附表规定的金额转账或电汇到指定账"/>
      <w:bookmarkEnd w:id="137"/>
      <w:r>
        <w:rPr>
          <w:rFonts w:ascii="宋体" w:hAnsi="宋体"/>
          <w:b w:val="0"/>
          <w:sz w:val="21"/>
          <w:szCs w:val="21"/>
        </w:rPr>
        <w:t xml:space="preserve"> </w:t>
      </w:r>
      <w:r>
        <w:rPr>
          <w:rFonts w:hint="eastAsia" w:ascii="宋体" w:hAnsi="宋体"/>
          <w:b w:val="0"/>
          <w:sz w:val="21"/>
          <w:szCs w:val="21"/>
        </w:rPr>
        <w:t>3</w:t>
      </w:r>
      <w:r>
        <w:rPr>
          <w:rFonts w:ascii="宋体" w:hAnsi="宋体"/>
          <w:b w:val="0"/>
          <w:sz w:val="21"/>
          <w:szCs w:val="21"/>
        </w:rPr>
        <w:t>5</w:t>
      </w:r>
      <w:r>
        <w:rPr>
          <w:rFonts w:hint="eastAsia" w:ascii="宋体" w:hAnsi="宋体"/>
          <w:b w:val="0"/>
          <w:sz w:val="21"/>
          <w:szCs w:val="21"/>
        </w:rPr>
        <w:t>.1 履约保证金的金额、提交方式、缴纳期限、退付的时间和条件详见 “投标人须知前附表”。中标人未按规定提交履约保证金的，视为拒绝与采购人签订合同。</w:t>
      </w:r>
    </w:p>
    <w:p w14:paraId="42F2D905">
      <w:pPr>
        <w:pStyle w:val="6"/>
        <w:keepNext w:val="0"/>
        <w:keepLines w:val="0"/>
        <w:spacing w:before="0" w:after="0" w:line="360" w:lineRule="auto"/>
        <w:ind w:firstLine="316" w:firstLineChars="150"/>
        <w:rPr>
          <w:rFonts w:ascii="宋体" w:hAnsi="宋体"/>
          <w:sz w:val="21"/>
          <w:szCs w:val="21"/>
        </w:rPr>
      </w:pPr>
      <w:r>
        <w:rPr>
          <w:rFonts w:hint="eastAsia" w:ascii="宋体" w:hAnsi="宋体"/>
          <w:sz w:val="21"/>
          <w:szCs w:val="21"/>
        </w:rPr>
        <w:t xml:space="preserve"> </w:t>
      </w:r>
      <w:r>
        <w:rPr>
          <w:rFonts w:hint="eastAsia" w:ascii="宋体" w:hAnsi="宋体"/>
          <w:b w:val="0"/>
          <w:sz w:val="21"/>
          <w:szCs w:val="21"/>
        </w:rPr>
        <w:t>35.2在履约保证金退还日期前，若中标人的开户名称、开户银行、账号有变动的，请以书面形式通知履约保证金收取单位，否则由此产生的后果由中标人自行承担。</w:t>
      </w:r>
    </w:p>
    <w:p w14:paraId="5105624E">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36.签订合同</w:t>
      </w:r>
    </w:p>
    <w:p w14:paraId="3C45FEE7">
      <w:pPr>
        <w:pStyle w:val="6"/>
        <w:keepNext w:val="0"/>
        <w:keepLines w:val="0"/>
        <w:spacing w:before="0" w:after="0" w:line="360" w:lineRule="auto"/>
        <w:ind w:firstLine="315" w:firstLineChars="150"/>
        <w:rPr>
          <w:rFonts w:ascii="宋体" w:hAnsi="宋体"/>
          <w:b w:val="0"/>
          <w:sz w:val="21"/>
          <w:szCs w:val="21"/>
        </w:rPr>
      </w:pPr>
      <w:bookmarkStart w:id="138" w:name="_40.1投标人接到中标通知书后，按须知前附表规定向采购人出示相关资格证"/>
      <w:bookmarkEnd w:id="138"/>
      <w:r>
        <w:rPr>
          <w:rFonts w:hint="eastAsia" w:ascii="宋体" w:hAnsi="宋体"/>
          <w:b w:val="0"/>
          <w:sz w:val="21"/>
          <w:szCs w:val="21"/>
        </w:rPr>
        <w:t xml:space="preserve"> </w:t>
      </w:r>
      <w:r>
        <w:rPr>
          <w:rFonts w:hint="eastAsia" w:ascii="宋体" w:hAnsi="宋体"/>
          <w:sz w:val="21"/>
          <w:szCs w:val="21"/>
        </w:rPr>
        <w:t>36.1签订电子采购合同：中标人领取电子中标通知书后，</w:t>
      </w:r>
      <w:r>
        <w:rPr>
          <w:rFonts w:hint="eastAsia" w:ascii="宋体" w:hAnsi="宋体"/>
          <w:kern w:val="0"/>
          <w:sz w:val="21"/>
          <w:szCs w:val="21"/>
        </w:rPr>
        <w:t>在</w:t>
      </w:r>
      <w:r>
        <w:rPr>
          <w:rFonts w:hint="eastAsia" w:ascii="宋体" w:hAnsi="宋体"/>
          <w:kern w:val="0"/>
          <w:sz w:val="21"/>
          <w:szCs w:val="21"/>
          <w:lang w:val="zh-CN"/>
        </w:rPr>
        <w:t>规定的日期、时间、地点，由法定代表人或其授权代表与采购人代表签订电子采购合同。如中标人为联合体的，由联合体成员各方法定代表人或其授权代表与采购人代表签订合同。</w:t>
      </w:r>
    </w:p>
    <w:p w14:paraId="4DD0827F">
      <w:pPr>
        <w:pStyle w:val="6"/>
        <w:keepNext w:val="0"/>
        <w:keepLines w:val="0"/>
        <w:spacing w:before="0" w:after="0" w:line="360" w:lineRule="auto"/>
        <w:ind w:firstLine="315" w:firstLineChars="150"/>
        <w:rPr>
          <w:rFonts w:ascii="宋体" w:hAnsi="宋体"/>
          <w:b w:val="0"/>
          <w:sz w:val="21"/>
          <w:szCs w:val="21"/>
        </w:rPr>
      </w:pPr>
      <w:r>
        <w:rPr>
          <w:rFonts w:hint="eastAsia" w:ascii="宋体" w:hAnsi="宋体"/>
          <w:b w:val="0"/>
          <w:sz w:val="21"/>
          <w:szCs w:val="21"/>
        </w:rPr>
        <w:t xml:space="preserve"> 线下签订纸质合同：投标人领取中标通知书后，按“投标人须知前附表”规定向采购人出示相关证明材料，经采购人核验合格后方可签订合同。</w:t>
      </w:r>
    </w:p>
    <w:p w14:paraId="71BB6D56">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36.2签订合同时间：按中标通知书规定的时间与采购人签订合同。</w:t>
      </w:r>
    </w:p>
    <w:p w14:paraId="640A7B71">
      <w:pPr>
        <w:pStyle w:val="6"/>
        <w:keepNext w:val="0"/>
        <w:keepLines w:val="0"/>
        <w:spacing w:before="0" w:after="0" w:line="360" w:lineRule="auto"/>
        <w:rPr>
          <w:rFonts w:ascii="宋体" w:hAnsi="宋体"/>
          <w:b w:val="0"/>
          <w:sz w:val="21"/>
          <w:szCs w:val="21"/>
        </w:rPr>
      </w:pPr>
      <w:r>
        <w:rPr>
          <w:rFonts w:hint="eastAsia" w:ascii="宋体" w:hAnsi="宋体"/>
          <w:b w:val="0"/>
          <w:sz w:val="21"/>
          <w:szCs w:val="21"/>
        </w:rPr>
        <w:t xml:space="preserve">    36.</w:t>
      </w:r>
      <w:r>
        <w:rPr>
          <w:rFonts w:ascii="宋体" w:hAnsi="宋体"/>
          <w:b w:val="0"/>
          <w:sz w:val="21"/>
          <w:szCs w:val="21"/>
        </w:rPr>
        <w:t>3</w:t>
      </w:r>
      <w:r>
        <w:rPr>
          <w:rFonts w:hint="eastAsia" w:ascii="宋体" w:hAnsi="宋体"/>
          <w:b w:val="0"/>
          <w:sz w:val="21"/>
          <w:szCs w:val="21"/>
        </w:rPr>
        <w:t>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14:paraId="1EEB9DB0">
      <w:pPr>
        <w:spacing w:line="360" w:lineRule="auto"/>
        <w:ind w:firstLine="420" w:firstLineChars="200"/>
        <w:rPr>
          <w:rFonts w:ascii="宋体" w:hAnsi="宋体"/>
          <w:szCs w:val="21"/>
        </w:rPr>
      </w:pPr>
      <w:r>
        <w:rPr>
          <w:rFonts w:hint="eastAsia" w:ascii="宋体" w:hAnsi="宋体"/>
          <w:szCs w:val="21"/>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6387E8BC">
      <w:pPr>
        <w:spacing w:line="360" w:lineRule="auto"/>
        <w:ind w:firstLine="420" w:firstLineChars="200"/>
        <w:rPr>
          <w:rFonts w:ascii="宋体" w:hAnsi="宋体"/>
          <w:szCs w:val="21"/>
        </w:rPr>
      </w:pPr>
      <w:r>
        <w:rPr>
          <w:rFonts w:hint="eastAsia" w:ascii="宋体" w:hAnsi="宋体"/>
          <w:szCs w:val="21"/>
        </w:rPr>
        <w:t>36.5采购人或中标供应商不得单方面向合同另一方提出任何招标文件没有约定的条件或不合理的要求，作为签订合同的条件；也不得协商另行订立背离招标文件和合同实质性内容的协议。</w:t>
      </w:r>
    </w:p>
    <w:p w14:paraId="34CD2394">
      <w:pPr>
        <w:spacing w:line="360" w:lineRule="auto"/>
        <w:ind w:firstLine="420" w:firstLineChars="200"/>
        <w:rPr>
          <w:rFonts w:ascii="宋体" w:hAnsi="宋体"/>
          <w:szCs w:val="21"/>
        </w:rPr>
      </w:pPr>
      <w:r>
        <w:rPr>
          <w:rFonts w:hint="eastAsia" w:ascii="宋体" w:hAnsi="宋体"/>
          <w:szCs w:val="21"/>
        </w:rPr>
        <w:t>36.6</w:t>
      </w:r>
      <w:r>
        <w:rPr>
          <w:rFonts w:hint="eastAsia" w:ascii="宋体" w:hAnsi="宋体" w:cs="仿宋_GB2312"/>
          <w:szCs w:val="21"/>
        </w:rPr>
        <w:t>如签订合同并生效后，供应商无故拒绝或延期，除按照合同条款处理外，将承担相应的法律责任。</w:t>
      </w:r>
    </w:p>
    <w:p w14:paraId="5215DC37">
      <w:pPr>
        <w:spacing w:line="360" w:lineRule="auto"/>
        <w:ind w:firstLine="420" w:firstLineChars="200"/>
        <w:rPr>
          <w:rFonts w:ascii="宋体" w:hAnsi="宋体"/>
          <w:szCs w:val="21"/>
        </w:rPr>
      </w:pPr>
      <w:r>
        <w:rPr>
          <w:rFonts w:hint="eastAsia" w:ascii="宋体" w:hAnsi="宋体"/>
          <w:szCs w:val="21"/>
        </w:rPr>
        <w:t>36.7</w:t>
      </w:r>
      <w:r>
        <w:rPr>
          <w:rFonts w:hint="eastAsia" w:ascii="宋体" w:hAnsi="宋体" w:cs="宋体"/>
          <w:szCs w:val="21"/>
        </w:rPr>
        <w:t>政府采购合同履行中，采购人需追加与合同标的相同的货物、工程或者服务的，在不改变合同其他条款的前提下，可以与供应商协商签订补充合同，但所有补充合同的采购金额不得超过原合同采购金额的10%。</w:t>
      </w:r>
    </w:p>
    <w:p w14:paraId="72B1CF3A">
      <w:pPr>
        <w:pStyle w:val="6"/>
        <w:keepNext w:val="0"/>
        <w:keepLines w:val="0"/>
        <w:spacing w:before="0" w:after="0" w:line="360" w:lineRule="auto"/>
        <w:ind w:left="420" w:leftChars="200"/>
        <w:rPr>
          <w:rFonts w:ascii="黑体" w:hAnsi="黑体" w:eastAsia="黑体"/>
          <w:sz w:val="24"/>
        </w:rPr>
      </w:pPr>
      <w:bookmarkStart w:id="139" w:name="_41.政府采购合同公告"/>
      <w:bookmarkEnd w:id="139"/>
      <w:r>
        <w:rPr>
          <w:rFonts w:hint="eastAsia" w:ascii="黑体" w:hAnsi="黑体" w:eastAsia="黑体"/>
          <w:sz w:val="24"/>
        </w:rPr>
        <w:t>37.政府采购合同公告</w:t>
      </w:r>
    </w:p>
    <w:p w14:paraId="52313EF3">
      <w:pPr>
        <w:pStyle w:val="16"/>
        <w:snapToGrid w:val="0"/>
        <w:spacing w:line="360" w:lineRule="auto"/>
        <w:ind w:firstLine="420" w:firstLineChars="200"/>
        <w:rPr>
          <w:rFonts w:hAnsi="宋体"/>
          <w:sz w:val="21"/>
        </w:rPr>
      </w:pPr>
      <w:r>
        <w:rPr>
          <w:rFonts w:hint="eastAsia" w:hAnsi="宋体"/>
          <w:sz w:val="21"/>
        </w:rPr>
        <w:t>采购人或者受托采购代理机构应当自政府采购合同签订之日起2个工作日内，将政府采购合同在省级以上人民政府财政部门指定的媒体上公告，</w:t>
      </w:r>
      <w:r>
        <w:rPr>
          <w:rFonts w:hAnsi="宋体"/>
          <w:sz w:val="21"/>
        </w:rPr>
        <w:t>但政府采购合同中涉及国家秘密、商业秘密的内容除外。</w:t>
      </w:r>
    </w:p>
    <w:p w14:paraId="0B31619B">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3</w:t>
      </w:r>
      <w:r>
        <w:rPr>
          <w:rFonts w:ascii="黑体" w:hAnsi="黑体" w:eastAsia="黑体"/>
          <w:sz w:val="24"/>
        </w:rPr>
        <w:t>8.</w:t>
      </w:r>
      <w:r>
        <w:rPr>
          <w:rFonts w:hint="eastAsia" w:ascii="黑体" w:hAnsi="黑体" w:eastAsia="黑体"/>
          <w:sz w:val="24"/>
        </w:rPr>
        <w:t xml:space="preserve"> 询问、质疑和投诉</w:t>
      </w:r>
    </w:p>
    <w:p w14:paraId="2A19C0A8">
      <w:pPr>
        <w:pStyle w:val="7"/>
        <w:spacing w:line="360" w:lineRule="auto"/>
        <w:rPr>
          <w:rFonts w:ascii="宋体" w:hAnsi="宋体"/>
          <w:szCs w:val="21"/>
        </w:rPr>
      </w:pPr>
      <w:r>
        <w:rPr>
          <w:rFonts w:ascii="宋体" w:hAnsi="宋体"/>
          <w:szCs w:val="21"/>
        </w:rPr>
        <w:t>38.1</w:t>
      </w:r>
      <w:r>
        <w:rPr>
          <w:rFonts w:hint="eastAsia" w:ascii="宋体" w:hAnsi="宋体"/>
          <w:szCs w:val="21"/>
        </w:rPr>
        <w:t>供应商对政府采购活动事项有疑问的，可以向采购人提出询问，采购人或者采购代理机构应当在3个工作日内对供应商依法提出的询问作出答复，但答复的内容不得涉及商业秘密。</w:t>
      </w:r>
    </w:p>
    <w:p w14:paraId="48378999">
      <w:pPr>
        <w:pStyle w:val="6"/>
        <w:keepNext w:val="0"/>
        <w:keepLines w:val="0"/>
        <w:spacing w:before="0" w:after="0" w:line="360" w:lineRule="auto"/>
        <w:ind w:firstLine="315" w:firstLineChars="150"/>
        <w:rPr>
          <w:rFonts w:ascii="宋体" w:hAnsi="宋体"/>
          <w:b w:val="0"/>
          <w:sz w:val="21"/>
          <w:szCs w:val="21"/>
        </w:rPr>
      </w:pPr>
      <w:r>
        <w:rPr>
          <w:rFonts w:hint="eastAsia" w:ascii="宋体" w:hAnsi="宋体"/>
          <w:b w:val="0"/>
          <w:sz w:val="21"/>
          <w:szCs w:val="21"/>
        </w:rPr>
        <w:t xml:space="preserve"> </w:t>
      </w:r>
      <w:r>
        <w:rPr>
          <w:rFonts w:ascii="宋体" w:hAnsi="宋体"/>
          <w:b w:val="0"/>
          <w:sz w:val="21"/>
          <w:szCs w:val="21"/>
        </w:rPr>
        <w:t>38</w:t>
      </w:r>
      <w:r>
        <w:rPr>
          <w:rFonts w:hint="eastAsia" w:ascii="宋体" w:hAnsi="宋体"/>
          <w:b w:val="0"/>
          <w:sz w:val="21"/>
          <w:szCs w:val="21"/>
        </w:rPr>
        <w:t>.</w:t>
      </w:r>
      <w:r>
        <w:rPr>
          <w:rFonts w:ascii="宋体" w:hAnsi="宋体"/>
          <w:b w:val="0"/>
          <w:sz w:val="21"/>
          <w:szCs w:val="21"/>
        </w:rPr>
        <w:t>2</w:t>
      </w:r>
      <w:r>
        <w:rPr>
          <w:rFonts w:hint="eastAsia" w:ascii="宋体" w:hAnsi="宋体"/>
          <w:b w:val="0"/>
          <w:sz w:val="21"/>
          <w:szCs w:val="21"/>
        </w:rPr>
        <w:t xml:space="preserve">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14:paraId="5D2A3405">
      <w:pPr>
        <w:pStyle w:val="16"/>
        <w:snapToGrid w:val="0"/>
        <w:spacing w:line="360" w:lineRule="auto"/>
        <w:ind w:firstLine="420" w:firstLineChars="200"/>
        <w:rPr>
          <w:rFonts w:hAnsi="宋体"/>
          <w:sz w:val="21"/>
        </w:rPr>
      </w:pPr>
      <w:r>
        <w:rPr>
          <w:rFonts w:hAnsi="宋体"/>
          <w:sz w:val="21"/>
        </w:rPr>
        <w:t>（</w:t>
      </w:r>
      <w:r>
        <w:rPr>
          <w:rFonts w:hint="eastAsia" w:hAnsi="宋体"/>
          <w:sz w:val="21"/>
        </w:rPr>
        <w:t>1</w:t>
      </w:r>
      <w:r>
        <w:rPr>
          <w:rFonts w:hAnsi="宋体"/>
          <w:sz w:val="21"/>
        </w:rPr>
        <w:t>）对可以质疑的</w:t>
      </w:r>
      <w:r>
        <w:rPr>
          <w:rFonts w:hint="eastAsia" w:hAnsi="宋体"/>
          <w:sz w:val="21"/>
        </w:rPr>
        <w:t>招标</w:t>
      </w:r>
      <w:r>
        <w:rPr>
          <w:rFonts w:hAnsi="宋体"/>
          <w:sz w:val="21"/>
        </w:rPr>
        <w:t>文件提出质疑的，为收到</w:t>
      </w:r>
      <w:r>
        <w:rPr>
          <w:rFonts w:hint="eastAsia" w:hAnsi="宋体"/>
          <w:sz w:val="21"/>
        </w:rPr>
        <w:t>招标</w:t>
      </w:r>
      <w:r>
        <w:rPr>
          <w:rFonts w:hAnsi="宋体"/>
          <w:sz w:val="21"/>
        </w:rPr>
        <w:t>文件之日</w:t>
      </w:r>
      <w:r>
        <w:rPr>
          <w:rFonts w:hint="eastAsia" w:hAnsi="宋体"/>
          <w:sz w:val="21"/>
        </w:rPr>
        <w:t>或者招标文件公告期限届满之日</w:t>
      </w:r>
      <w:r>
        <w:rPr>
          <w:rFonts w:hAnsi="宋体"/>
          <w:sz w:val="21"/>
        </w:rPr>
        <w:t>；</w:t>
      </w:r>
    </w:p>
    <w:p w14:paraId="72C16248">
      <w:pPr>
        <w:pStyle w:val="16"/>
        <w:snapToGrid w:val="0"/>
        <w:spacing w:line="360" w:lineRule="auto"/>
        <w:ind w:firstLine="420" w:firstLineChars="200"/>
        <w:rPr>
          <w:rFonts w:hAnsi="宋体"/>
          <w:sz w:val="21"/>
        </w:rPr>
      </w:pPr>
      <w:r>
        <w:rPr>
          <w:rFonts w:hAnsi="宋体"/>
          <w:sz w:val="21"/>
        </w:rPr>
        <w:t>（</w:t>
      </w:r>
      <w:r>
        <w:rPr>
          <w:rFonts w:hint="eastAsia" w:hAnsi="宋体"/>
          <w:sz w:val="21"/>
        </w:rPr>
        <w:t>2</w:t>
      </w:r>
      <w:r>
        <w:rPr>
          <w:rFonts w:hAnsi="宋体"/>
          <w:sz w:val="21"/>
        </w:rPr>
        <w:t>）对</w:t>
      </w:r>
      <w:r>
        <w:rPr>
          <w:rFonts w:hint="eastAsia" w:hAnsi="宋体"/>
          <w:sz w:val="21"/>
        </w:rPr>
        <w:t>采购</w:t>
      </w:r>
      <w:r>
        <w:rPr>
          <w:rFonts w:hAnsi="宋体"/>
          <w:sz w:val="21"/>
        </w:rPr>
        <w:t>过程提出质疑的，为各采购程序环节结束之日；</w:t>
      </w:r>
    </w:p>
    <w:p w14:paraId="04BB9F28">
      <w:pPr>
        <w:pStyle w:val="16"/>
        <w:snapToGrid w:val="0"/>
        <w:spacing w:line="360" w:lineRule="auto"/>
        <w:ind w:firstLine="420" w:firstLineChars="200"/>
        <w:rPr>
          <w:rFonts w:hAnsi="宋体"/>
          <w:bCs/>
          <w:sz w:val="21"/>
        </w:rPr>
      </w:pPr>
      <w:r>
        <w:rPr>
          <w:rFonts w:hAnsi="宋体"/>
          <w:sz w:val="21"/>
        </w:rPr>
        <w:t>（</w:t>
      </w:r>
      <w:r>
        <w:rPr>
          <w:rFonts w:hint="eastAsia" w:hAnsi="宋体"/>
          <w:sz w:val="21"/>
        </w:rPr>
        <w:t>3</w:t>
      </w:r>
      <w:r>
        <w:rPr>
          <w:rFonts w:hAnsi="宋体"/>
          <w:sz w:val="21"/>
        </w:rPr>
        <w:t>）对中标结果提出质疑的，为中标结果公告期限届满之日。</w:t>
      </w:r>
    </w:p>
    <w:p w14:paraId="1012403C">
      <w:pPr>
        <w:pStyle w:val="6"/>
        <w:keepNext w:val="0"/>
        <w:keepLines w:val="0"/>
        <w:spacing w:before="0" w:after="0" w:line="360" w:lineRule="auto"/>
        <w:ind w:firstLine="315" w:firstLineChars="150"/>
        <w:rPr>
          <w:rFonts w:ascii="宋体" w:hAnsi="宋体"/>
          <w:b w:val="0"/>
          <w:sz w:val="21"/>
          <w:szCs w:val="21"/>
        </w:rPr>
      </w:pPr>
      <w:r>
        <w:rPr>
          <w:rFonts w:ascii="宋体" w:hAnsi="宋体"/>
          <w:b w:val="0"/>
          <w:sz w:val="21"/>
          <w:szCs w:val="21"/>
        </w:rPr>
        <w:t>38</w:t>
      </w:r>
      <w:r>
        <w:rPr>
          <w:rFonts w:hint="eastAsia" w:ascii="宋体" w:hAnsi="宋体"/>
          <w:b w:val="0"/>
          <w:sz w:val="21"/>
          <w:szCs w:val="21"/>
        </w:rPr>
        <w:t>.</w:t>
      </w:r>
      <w:r>
        <w:rPr>
          <w:rFonts w:ascii="宋体" w:hAnsi="宋体"/>
          <w:b w:val="0"/>
          <w:sz w:val="21"/>
          <w:szCs w:val="21"/>
        </w:rPr>
        <w:t>3</w:t>
      </w:r>
      <w:r>
        <w:rPr>
          <w:rFonts w:hint="eastAsia" w:ascii="宋体" w:hAnsi="宋体"/>
          <w:b w:val="0"/>
          <w:sz w:val="21"/>
          <w:szCs w:val="21"/>
        </w:rPr>
        <w:t xml:space="preserve"> </w:t>
      </w:r>
      <w:r>
        <w:rPr>
          <w:rFonts w:hAnsi="宋体"/>
          <w:b w:val="0"/>
          <w:sz w:val="21"/>
        </w:rPr>
        <w:t>供应商提出质疑应当提交质疑函和必要的证明材料</w:t>
      </w:r>
      <w:r>
        <w:rPr>
          <w:rFonts w:hint="eastAsia" w:hAnsi="宋体"/>
          <w:b w:val="0"/>
          <w:sz w:val="21"/>
        </w:rPr>
        <w:t>，</w:t>
      </w:r>
      <w:r>
        <w:rPr>
          <w:rFonts w:hAnsi="宋体"/>
          <w:b w:val="0"/>
          <w:sz w:val="21"/>
        </w:rPr>
        <w:t>针对同一采购程序环节的质疑</w:t>
      </w:r>
      <w:r>
        <w:rPr>
          <w:rFonts w:hint="eastAsia" w:hAnsi="宋体"/>
          <w:b w:val="0"/>
          <w:sz w:val="21"/>
        </w:rPr>
        <w:t>必须</w:t>
      </w:r>
      <w:r>
        <w:rPr>
          <w:rFonts w:hAnsi="宋体"/>
          <w:b w:val="0"/>
          <w:sz w:val="21"/>
        </w:rPr>
        <w:t>在法定质疑期内一次性提出。质疑函应当包括下列内容</w:t>
      </w:r>
      <w:r>
        <w:rPr>
          <w:rFonts w:hint="eastAsia" w:hAnsi="宋体"/>
          <w:b w:val="0"/>
          <w:sz w:val="21"/>
        </w:rPr>
        <w:t>（质疑函格式后附）</w:t>
      </w:r>
      <w:r>
        <w:rPr>
          <w:rFonts w:hAnsi="宋体"/>
          <w:b w:val="0"/>
          <w:sz w:val="21"/>
        </w:rPr>
        <w:t>：</w:t>
      </w:r>
    </w:p>
    <w:p w14:paraId="040F52B8">
      <w:pPr>
        <w:pStyle w:val="16"/>
        <w:snapToGrid w:val="0"/>
        <w:spacing w:line="360" w:lineRule="auto"/>
        <w:ind w:firstLine="420" w:firstLineChars="200"/>
        <w:rPr>
          <w:rFonts w:hAnsi="宋体"/>
          <w:bCs/>
          <w:sz w:val="21"/>
        </w:rPr>
      </w:pPr>
      <w:r>
        <w:rPr>
          <w:rFonts w:hAnsi="宋体"/>
          <w:bCs/>
          <w:sz w:val="21"/>
        </w:rPr>
        <w:t>（</w:t>
      </w:r>
      <w:r>
        <w:rPr>
          <w:rFonts w:hint="eastAsia" w:hAnsi="宋体"/>
          <w:bCs/>
          <w:sz w:val="21"/>
        </w:rPr>
        <w:t>1</w:t>
      </w:r>
      <w:r>
        <w:rPr>
          <w:rFonts w:hAnsi="宋体"/>
          <w:bCs/>
          <w:sz w:val="21"/>
        </w:rPr>
        <w:t>）供应商的姓名或者名称、地址、邮编、联系人及联系电话；</w:t>
      </w:r>
    </w:p>
    <w:p w14:paraId="5F4647EE">
      <w:pPr>
        <w:pStyle w:val="16"/>
        <w:snapToGrid w:val="0"/>
        <w:spacing w:line="360" w:lineRule="auto"/>
        <w:ind w:firstLine="420" w:firstLineChars="200"/>
        <w:rPr>
          <w:rFonts w:hAnsi="宋体"/>
          <w:bCs/>
          <w:sz w:val="21"/>
        </w:rPr>
      </w:pPr>
      <w:r>
        <w:rPr>
          <w:rFonts w:hAnsi="宋体"/>
          <w:bCs/>
          <w:sz w:val="21"/>
        </w:rPr>
        <w:t>（</w:t>
      </w:r>
      <w:r>
        <w:rPr>
          <w:rFonts w:hint="eastAsia" w:hAnsi="宋体"/>
          <w:bCs/>
          <w:sz w:val="21"/>
        </w:rPr>
        <w:t>2</w:t>
      </w:r>
      <w:r>
        <w:rPr>
          <w:rFonts w:hAnsi="宋体"/>
          <w:bCs/>
          <w:sz w:val="21"/>
        </w:rPr>
        <w:t>）质疑项目的名称、编号；</w:t>
      </w:r>
    </w:p>
    <w:p w14:paraId="3326B8D7">
      <w:pPr>
        <w:pStyle w:val="16"/>
        <w:snapToGrid w:val="0"/>
        <w:spacing w:line="360" w:lineRule="auto"/>
        <w:ind w:firstLine="420" w:firstLineChars="200"/>
        <w:rPr>
          <w:rFonts w:hAnsi="宋体"/>
          <w:bCs/>
          <w:sz w:val="21"/>
        </w:rPr>
      </w:pPr>
      <w:r>
        <w:rPr>
          <w:rFonts w:hAnsi="宋体"/>
          <w:bCs/>
          <w:sz w:val="21"/>
        </w:rPr>
        <w:t>（</w:t>
      </w:r>
      <w:r>
        <w:rPr>
          <w:rFonts w:hint="eastAsia" w:hAnsi="宋体"/>
          <w:bCs/>
          <w:sz w:val="21"/>
        </w:rPr>
        <w:t>3</w:t>
      </w:r>
      <w:r>
        <w:rPr>
          <w:rFonts w:hAnsi="宋体"/>
          <w:bCs/>
          <w:sz w:val="21"/>
        </w:rPr>
        <w:t>）具体、明确的质疑事项和与质疑事项相关的请求；</w:t>
      </w:r>
    </w:p>
    <w:p w14:paraId="4CB28A93">
      <w:pPr>
        <w:pStyle w:val="16"/>
        <w:snapToGrid w:val="0"/>
        <w:spacing w:line="360" w:lineRule="auto"/>
        <w:ind w:firstLine="420" w:firstLineChars="200"/>
        <w:rPr>
          <w:rFonts w:hAnsi="宋体"/>
          <w:bCs/>
          <w:sz w:val="21"/>
        </w:rPr>
      </w:pPr>
      <w:r>
        <w:rPr>
          <w:rFonts w:hAnsi="宋体"/>
          <w:bCs/>
          <w:sz w:val="21"/>
        </w:rPr>
        <w:t>（</w:t>
      </w:r>
      <w:r>
        <w:rPr>
          <w:rFonts w:hint="eastAsia" w:hAnsi="宋体"/>
          <w:bCs/>
          <w:sz w:val="21"/>
        </w:rPr>
        <w:t>4</w:t>
      </w:r>
      <w:r>
        <w:rPr>
          <w:rFonts w:hAnsi="宋体"/>
          <w:bCs/>
          <w:sz w:val="21"/>
        </w:rPr>
        <w:t>）事实依据；</w:t>
      </w:r>
    </w:p>
    <w:p w14:paraId="4D1C3DAA">
      <w:pPr>
        <w:pStyle w:val="16"/>
        <w:snapToGrid w:val="0"/>
        <w:spacing w:line="360" w:lineRule="auto"/>
        <w:ind w:firstLine="420" w:firstLineChars="200"/>
        <w:rPr>
          <w:rFonts w:hAnsi="宋体"/>
          <w:bCs/>
          <w:sz w:val="21"/>
        </w:rPr>
      </w:pPr>
      <w:r>
        <w:rPr>
          <w:rFonts w:hAnsi="宋体"/>
          <w:bCs/>
          <w:sz w:val="21"/>
        </w:rPr>
        <w:t>（</w:t>
      </w:r>
      <w:r>
        <w:rPr>
          <w:rFonts w:hint="eastAsia" w:hAnsi="宋体"/>
          <w:bCs/>
          <w:sz w:val="21"/>
        </w:rPr>
        <w:t>5</w:t>
      </w:r>
      <w:r>
        <w:rPr>
          <w:rFonts w:hAnsi="宋体"/>
          <w:bCs/>
          <w:sz w:val="21"/>
        </w:rPr>
        <w:t>）必要的法律依据；</w:t>
      </w:r>
    </w:p>
    <w:p w14:paraId="78E168D1">
      <w:pPr>
        <w:pStyle w:val="16"/>
        <w:snapToGrid w:val="0"/>
        <w:spacing w:line="360" w:lineRule="auto"/>
        <w:ind w:firstLine="420" w:firstLineChars="200"/>
        <w:rPr>
          <w:rFonts w:hAnsi="宋体"/>
          <w:bCs/>
          <w:sz w:val="21"/>
        </w:rPr>
      </w:pPr>
      <w:r>
        <w:rPr>
          <w:rFonts w:hAnsi="宋体"/>
          <w:bCs/>
          <w:sz w:val="21"/>
        </w:rPr>
        <w:t>（</w:t>
      </w:r>
      <w:r>
        <w:rPr>
          <w:rFonts w:hint="eastAsia" w:hAnsi="宋体"/>
          <w:bCs/>
          <w:sz w:val="21"/>
        </w:rPr>
        <w:t>6</w:t>
      </w:r>
      <w:r>
        <w:rPr>
          <w:rFonts w:hAnsi="宋体"/>
          <w:bCs/>
          <w:sz w:val="21"/>
        </w:rPr>
        <w:t>）提出质疑的日期。</w:t>
      </w:r>
    </w:p>
    <w:p w14:paraId="0273B607">
      <w:pPr>
        <w:pStyle w:val="16"/>
        <w:snapToGrid w:val="0"/>
        <w:spacing w:line="360" w:lineRule="auto"/>
        <w:ind w:firstLine="420" w:firstLineChars="200"/>
        <w:rPr>
          <w:rFonts w:hAnsi="宋体"/>
          <w:bCs/>
          <w:sz w:val="21"/>
        </w:rPr>
      </w:pPr>
      <w:r>
        <w:rPr>
          <w:rFonts w:hAnsi="宋体"/>
          <w:bCs/>
          <w:sz w:val="21"/>
        </w:rPr>
        <w:t>供应商为自然人的，应当由本人签字；供应商为法人或者其他组织的，应当由法定代表人、主要负责人，或者其委托代理人签字或者盖章，并加盖公章</w:t>
      </w:r>
      <w:r>
        <w:rPr>
          <w:rFonts w:hint="eastAsia" w:hAnsi="宋体"/>
          <w:bCs/>
          <w:sz w:val="21"/>
        </w:rPr>
        <w:t>。</w:t>
      </w:r>
    </w:p>
    <w:p w14:paraId="4386EFC2">
      <w:pPr>
        <w:pStyle w:val="6"/>
        <w:keepNext w:val="0"/>
        <w:keepLines w:val="0"/>
        <w:snapToGrid w:val="0"/>
        <w:spacing w:before="0" w:after="0" w:line="360" w:lineRule="auto"/>
        <w:ind w:firstLine="420" w:firstLineChars="200"/>
        <w:rPr>
          <w:rFonts w:ascii="宋体" w:hAnsi="宋体"/>
          <w:b w:val="0"/>
          <w:sz w:val="21"/>
          <w:szCs w:val="21"/>
        </w:rPr>
      </w:pPr>
      <w:r>
        <w:rPr>
          <w:rFonts w:ascii="宋体" w:hAnsi="宋体"/>
          <w:b w:val="0"/>
          <w:sz w:val="21"/>
          <w:szCs w:val="21"/>
        </w:rPr>
        <w:t>38.4</w:t>
      </w:r>
      <w:r>
        <w:rPr>
          <w:rFonts w:hint="eastAsia" w:ascii="宋体" w:hAnsi="宋体"/>
          <w:b w:val="0"/>
          <w:sz w:val="21"/>
          <w:szCs w:val="21"/>
        </w:rPr>
        <w:t>采购人、采购代理机构认为供应商质疑不成立，或者成立但未对中标结果构成影响的，继续开展采购活动；认为供应商质疑成立且影响或者可能影响中标结果的，按照下列情况处理：</w:t>
      </w:r>
    </w:p>
    <w:p w14:paraId="064132F5">
      <w:pPr>
        <w:pStyle w:val="16"/>
        <w:snapToGrid w:val="0"/>
        <w:spacing w:line="360" w:lineRule="auto"/>
        <w:rPr>
          <w:rFonts w:hAnsi="宋体"/>
          <w:bCs/>
          <w:sz w:val="21"/>
        </w:rPr>
      </w:pPr>
      <w:r>
        <w:rPr>
          <w:rFonts w:hint="eastAsia" w:hAnsi="宋体"/>
          <w:bCs/>
          <w:sz w:val="21"/>
        </w:rPr>
        <w:t>　　（一）对招标文件提出的质疑，依法通过澄清或者修改可以继续开展采购活动的，澄清或者修改招标文件后继续开展采购活动；否则应当修改招标文件后重新开展采购活动。</w:t>
      </w:r>
    </w:p>
    <w:p w14:paraId="052FA684">
      <w:pPr>
        <w:pStyle w:val="16"/>
        <w:snapToGrid w:val="0"/>
        <w:spacing w:line="360" w:lineRule="auto"/>
        <w:rPr>
          <w:rFonts w:hAnsi="宋体"/>
          <w:bCs/>
          <w:sz w:val="21"/>
        </w:rPr>
      </w:pPr>
      <w:r>
        <w:rPr>
          <w:rFonts w:hint="eastAsia" w:hAnsi="宋体"/>
          <w:bCs/>
          <w:sz w:val="21"/>
        </w:rPr>
        <w:t>　　（二）对采购过程、中标结果提出的质疑，合格供应商符合法定数量时，可以从合格的中标候选人中另行确定中标供应商的，应当依法另行确定中标供应商；否则应当重新开展采购活动。</w:t>
      </w:r>
    </w:p>
    <w:p w14:paraId="612882B5">
      <w:pPr>
        <w:pStyle w:val="16"/>
        <w:snapToGrid w:val="0"/>
        <w:spacing w:line="360" w:lineRule="auto"/>
        <w:ind w:firstLine="420"/>
        <w:rPr>
          <w:rFonts w:hAnsi="宋体"/>
          <w:bCs/>
          <w:sz w:val="21"/>
        </w:rPr>
      </w:pPr>
      <w:r>
        <w:rPr>
          <w:rFonts w:hint="eastAsia" w:hAnsi="宋体"/>
          <w:bCs/>
          <w:sz w:val="21"/>
        </w:rPr>
        <w:t>质疑答复导致中标结果改变的，采购人或者采购代理机构应当将有关情况书面报告本级财政部门。</w:t>
      </w:r>
    </w:p>
    <w:p w14:paraId="6A6383A6">
      <w:pPr>
        <w:pStyle w:val="16"/>
        <w:snapToGrid w:val="0"/>
        <w:spacing w:line="360" w:lineRule="auto"/>
        <w:ind w:firstLine="420" w:firstLineChars="200"/>
        <w:rPr>
          <w:rFonts w:hAnsi="宋体"/>
          <w:sz w:val="21"/>
        </w:rPr>
      </w:pPr>
      <w:r>
        <w:rPr>
          <w:rFonts w:hAnsi="宋体"/>
          <w:sz w:val="21"/>
        </w:rPr>
        <w:t>38</w:t>
      </w:r>
      <w:r>
        <w:rPr>
          <w:rFonts w:hint="eastAsia" w:hAnsi="宋体"/>
          <w:sz w:val="21"/>
        </w:rPr>
        <w:t>.</w:t>
      </w:r>
      <w:r>
        <w:rPr>
          <w:rFonts w:hAnsi="宋体"/>
          <w:sz w:val="21"/>
        </w:rPr>
        <w:t>5</w:t>
      </w:r>
      <w:r>
        <w:rPr>
          <w:rFonts w:hint="eastAsia" w:hAnsi="宋体"/>
          <w:sz w:val="21"/>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4E83A84B">
      <w:pPr>
        <w:pStyle w:val="4"/>
        <w:keepNext w:val="0"/>
        <w:keepLines w:val="0"/>
        <w:jc w:val="center"/>
      </w:pPr>
      <w:bookmarkStart w:id="140" w:name="_Toc22737"/>
      <w:bookmarkStart w:id="141" w:name="_Toc21342"/>
      <w:r>
        <w:rPr>
          <w:rFonts w:hint="eastAsia"/>
        </w:rPr>
        <w:t>八、其他事项</w:t>
      </w:r>
      <w:bookmarkEnd w:id="140"/>
      <w:bookmarkEnd w:id="141"/>
    </w:p>
    <w:p w14:paraId="13EDAEF4">
      <w:pPr>
        <w:pStyle w:val="6"/>
        <w:keepNext w:val="0"/>
        <w:keepLines w:val="0"/>
        <w:spacing w:before="0" w:after="0" w:line="360" w:lineRule="auto"/>
        <w:ind w:left="420" w:leftChars="200"/>
        <w:rPr>
          <w:rFonts w:ascii="黑体" w:hAnsi="黑体" w:eastAsia="黑体"/>
          <w:sz w:val="24"/>
        </w:rPr>
      </w:pPr>
      <w:bookmarkStart w:id="142" w:name="_42.代理服务费"/>
      <w:bookmarkEnd w:id="142"/>
      <w:r>
        <w:rPr>
          <w:rFonts w:hint="eastAsia" w:ascii="黑体" w:hAnsi="黑体" w:eastAsia="黑体"/>
          <w:sz w:val="24"/>
        </w:rPr>
        <w:t>3</w:t>
      </w:r>
      <w:r>
        <w:rPr>
          <w:rFonts w:ascii="黑体" w:hAnsi="黑体" w:eastAsia="黑体"/>
          <w:sz w:val="24"/>
        </w:rPr>
        <w:t>9</w:t>
      </w:r>
      <w:r>
        <w:rPr>
          <w:rFonts w:hint="eastAsia" w:ascii="黑体" w:hAnsi="黑体" w:eastAsia="黑体"/>
          <w:sz w:val="24"/>
        </w:rPr>
        <w:t>.代理服务费</w:t>
      </w:r>
    </w:p>
    <w:p w14:paraId="400EA773">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3</w:t>
      </w:r>
      <w:r>
        <w:rPr>
          <w:rFonts w:ascii="宋体" w:hAnsi="宋体"/>
          <w:b w:val="0"/>
          <w:sz w:val="21"/>
          <w:szCs w:val="21"/>
        </w:rPr>
        <w:t>9</w:t>
      </w:r>
      <w:r>
        <w:rPr>
          <w:rFonts w:hint="eastAsia" w:ascii="宋体" w:hAnsi="宋体"/>
          <w:b w:val="0"/>
          <w:sz w:val="21"/>
          <w:szCs w:val="21"/>
        </w:rPr>
        <w:t>.1代理服务收取标准及缴费账户详见“投标人须知前附表”，投标人为联合体的，可以由联合体中的一方或者多方共同交纳代理服务费。</w:t>
      </w:r>
    </w:p>
    <w:p w14:paraId="05227BC7">
      <w:pPr>
        <w:pStyle w:val="6"/>
        <w:keepNext w:val="0"/>
        <w:keepLines w:val="0"/>
        <w:spacing w:before="0" w:after="0" w:line="360" w:lineRule="auto"/>
        <w:ind w:left="420" w:leftChars="200"/>
        <w:rPr>
          <w:rFonts w:ascii="宋体" w:hAnsi="宋体"/>
          <w:szCs w:val="21"/>
        </w:rPr>
      </w:pPr>
      <w:r>
        <w:rPr>
          <w:rFonts w:hint="eastAsia" w:ascii="宋体" w:hAnsi="宋体"/>
          <w:b w:val="0"/>
          <w:sz w:val="21"/>
          <w:szCs w:val="21"/>
        </w:rPr>
        <w:t>3</w:t>
      </w:r>
      <w:r>
        <w:rPr>
          <w:rFonts w:ascii="宋体" w:hAnsi="宋体"/>
          <w:b w:val="0"/>
          <w:sz w:val="21"/>
          <w:szCs w:val="21"/>
        </w:rPr>
        <w:t>9</w:t>
      </w:r>
      <w:r>
        <w:rPr>
          <w:rFonts w:hint="eastAsia" w:ascii="宋体" w:hAnsi="宋体"/>
          <w:b w:val="0"/>
          <w:sz w:val="21"/>
          <w:szCs w:val="21"/>
        </w:rPr>
        <w:t>.2代理服务收费标准：</w:t>
      </w:r>
    </w:p>
    <w:tbl>
      <w:tblPr>
        <w:tblStyle w:val="26"/>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62FAF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57EA8A28">
            <w:pPr>
              <w:spacing w:line="360" w:lineRule="auto"/>
              <w:rPr>
                <w:rFonts w:ascii="宋体" w:hAnsi="宋体"/>
                <w:szCs w:val="21"/>
              </w:rPr>
            </w:pPr>
            <w:r>
              <w:rPr>
                <w:rFonts w:hint="eastAsia" w:ascii="宋体" w:hAnsi="宋体"/>
                <w:szCs w:val="21"/>
              </w:rPr>
              <w:t xml:space="preserve">               费率</w:t>
            </w:r>
          </w:p>
          <w:p w14:paraId="1492AC6C">
            <w:pPr>
              <w:spacing w:line="360" w:lineRule="auto"/>
              <w:rPr>
                <w:rFonts w:ascii="宋体" w:hAnsi="宋体"/>
                <w:szCs w:val="21"/>
              </w:rPr>
            </w:pPr>
            <w:r>
              <w:rPr>
                <w:rFonts w:hint="eastAsia" w:ascii="宋体" w:hAnsi="宋体"/>
                <w:szCs w:val="21"/>
              </w:rPr>
              <w:t>中标金额</w:t>
            </w:r>
          </w:p>
        </w:tc>
        <w:tc>
          <w:tcPr>
            <w:tcW w:w="1659" w:type="dxa"/>
            <w:tcBorders>
              <w:top w:val="single" w:color="auto" w:sz="4" w:space="0"/>
              <w:left w:val="single" w:color="auto" w:sz="4" w:space="0"/>
              <w:bottom w:val="single" w:color="auto" w:sz="4" w:space="0"/>
              <w:right w:val="single" w:color="auto" w:sz="4" w:space="0"/>
            </w:tcBorders>
            <w:vAlign w:val="center"/>
          </w:tcPr>
          <w:p w14:paraId="35C4F195">
            <w:pPr>
              <w:spacing w:line="360" w:lineRule="auto"/>
              <w:ind w:firstLine="105" w:firstLineChars="50"/>
              <w:jc w:val="center"/>
              <w:rPr>
                <w:rFonts w:ascii="宋体" w:hAnsi="宋体"/>
                <w:szCs w:val="21"/>
              </w:rPr>
            </w:pPr>
            <w:r>
              <w:rPr>
                <w:rFonts w:hint="eastAsia" w:ascii="宋体" w:hAnsi="宋体"/>
                <w:szCs w:val="21"/>
              </w:rPr>
              <w:t>货物招标</w:t>
            </w:r>
          </w:p>
        </w:tc>
        <w:tc>
          <w:tcPr>
            <w:tcW w:w="1687" w:type="dxa"/>
            <w:tcBorders>
              <w:top w:val="single" w:color="auto" w:sz="4" w:space="0"/>
              <w:left w:val="single" w:color="auto" w:sz="4" w:space="0"/>
              <w:bottom w:val="single" w:color="auto" w:sz="4" w:space="0"/>
              <w:right w:val="single" w:color="auto" w:sz="4" w:space="0"/>
            </w:tcBorders>
            <w:vAlign w:val="center"/>
          </w:tcPr>
          <w:p w14:paraId="08A43A6B">
            <w:pPr>
              <w:spacing w:line="360" w:lineRule="auto"/>
              <w:jc w:val="center"/>
              <w:rPr>
                <w:rFonts w:ascii="宋体" w:hAnsi="宋体"/>
                <w:szCs w:val="21"/>
              </w:rPr>
            </w:pPr>
            <w:r>
              <w:rPr>
                <w:rFonts w:hint="eastAsia" w:ascii="宋体" w:hAnsi="宋体"/>
                <w:szCs w:val="21"/>
              </w:rPr>
              <w:t>服务招标</w:t>
            </w:r>
          </w:p>
        </w:tc>
        <w:tc>
          <w:tcPr>
            <w:tcW w:w="1659" w:type="dxa"/>
            <w:tcBorders>
              <w:top w:val="single" w:color="auto" w:sz="4" w:space="0"/>
              <w:left w:val="single" w:color="auto" w:sz="4" w:space="0"/>
              <w:bottom w:val="single" w:color="auto" w:sz="4" w:space="0"/>
              <w:right w:val="single" w:color="auto" w:sz="4" w:space="0"/>
            </w:tcBorders>
            <w:vAlign w:val="center"/>
          </w:tcPr>
          <w:p w14:paraId="23A97855">
            <w:pPr>
              <w:spacing w:line="360" w:lineRule="auto"/>
              <w:jc w:val="center"/>
              <w:rPr>
                <w:rFonts w:ascii="宋体" w:hAnsi="宋体"/>
                <w:szCs w:val="21"/>
              </w:rPr>
            </w:pPr>
            <w:r>
              <w:rPr>
                <w:rFonts w:hint="eastAsia" w:ascii="宋体" w:hAnsi="宋体"/>
                <w:szCs w:val="21"/>
              </w:rPr>
              <w:t>工程招标</w:t>
            </w:r>
          </w:p>
        </w:tc>
      </w:tr>
      <w:tr w14:paraId="35E1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034C309E">
            <w:pPr>
              <w:spacing w:line="360" w:lineRule="auto"/>
              <w:rPr>
                <w:rFonts w:ascii="宋体" w:hAnsi="宋体"/>
                <w:szCs w:val="21"/>
              </w:rPr>
            </w:pPr>
            <w:r>
              <w:rPr>
                <w:rFonts w:hint="eastAsia" w:ascii="宋体" w:hAnsi="宋体"/>
                <w:szCs w:val="21"/>
              </w:rPr>
              <w:t>100万元以下</w:t>
            </w:r>
          </w:p>
        </w:tc>
        <w:tc>
          <w:tcPr>
            <w:tcW w:w="1659" w:type="dxa"/>
            <w:tcBorders>
              <w:top w:val="single" w:color="auto" w:sz="4" w:space="0"/>
              <w:left w:val="single" w:color="auto" w:sz="4" w:space="0"/>
              <w:bottom w:val="single" w:color="auto" w:sz="4" w:space="0"/>
              <w:right w:val="single" w:color="auto" w:sz="4" w:space="0"/>
            </w:tcBorders>
          </w:tcPr>
          <w:p w14:paraId="34A23072">
            <w:pPr>
              <w:spacing w:line="360" w:lineRule="auto"/>
              <w:rPr>
                <w:rFonts w:ascii="宋体" w:hAnsi="宋体"/>
                <w:szCs w:val="21"/>
              </w:rPr>
            </w:pPr>
            <w:r>
              <w:rPr>
                <w:rFonts w:hint="eastAsia" w:ascii="宋体" w:hAnsi="宋体" w:cs="宋体"/>
                <w:kern w:val="0"/>
                <w:szCs w:val="21"/>
              </w:rPr>
              <w:t xml:space="preserve">  1.5%                </w:t>
            </w:r>
          </w:p>
        </w:tc>
        <w:tc>
          <w:tcPr>
            <w:tcW w:w="1687" w:type="dxa"/>
            <w:tcBorders>
              <w:top w:val="single" w:color="auto" w:sz="4" w:space="0"/>
              <w:left w:val="single" w:color="auto" w:sz="4" w:space="0"/>
              <w:bottom w:val="single" w:color="auto" w:sz="4" w:space="0"/>
              <w:right w:val="single" w:color="auto" w:sz="4" w:space="0"/>
            </w:tcBorders>
          </w:tcPr>
          <w:p w14:paraId="624C7C0D">
            <w:pPr>
              <w:spacing w:line="360" w:lineRule="auto"/>
              <w:ind w:firstLine="210" w:firstLineChars="100"/>
              <w:rPr>
                <w:rFonts w:ascii="宋体" w:hAnsi="宋体"/>
                <w:szCs w:val="21"/>
              </w:rPr>
            </w:pPr>
            <w:r>
              <w:rPr>
                <w:rFonts w:hint="eastAsia" w:ascii="宋体" w:hAnsi="宋体" w:cs="宋体"/>
                <w:kern w:val="0"/>
                <w:szCs w:val="21"/>
              </w:rPr>
              <w:t>1.5%</w:t>
            </w:r>
          </w:p>
        </w:tc>
        <w:tc>
          <w:tcPr>
            <w:tcW w:w="1659" w:type="dxa"/>
            <w:tcBorders>
              <w:top w:val="single" w:color="auto" w:sz="4" w:space="0"/>
              <w:left w:val="single" w:color="auto" w:sz="4" w:space="0"/>
              <w:bottom w:val="single" w:color="auto" w:sz="4" w:space="0"/>
              <w:right w:val="single" w:color="auto" w:sz="4" w:space="0"/>
            </w:tcBorders>
          </w:tcPr>
          <w:p w14:paraId="2EE06EDC">
            <w:pPr>
              <w:spacing w:line="360" w:lineRule="auto"/>
              <w:ind w:firstLine="210" w:firstLineChars="100"/>
              <w:rPr>
                <w:rFonts w:ascii="宋体" w:hAnsi="宋体"/>
                <w:szCs w:val="21"/>
              </w:rPr>
            </w:pPr>
            <w:r>
              <w:rPr>
                <w:rFonts w:hint="eastAsia" w:ascii="宋体" w:hAnsi="宋体" w:cs="宋体"/>
                <w:kern w:val="0"/>
                <w:szCs w:val="21"/>
              </w:rPr>
              <w:t xml:space="preserve">1.0% </w:t>
            </w:r>
          </w:p>
        </w:tc>
      </w:tr>
      <w:tr w14:paraId="7D34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61D1348A">
            <w:pPr>
              <w:spacing w:line="360" w:lineRule="auto"/>
              <w:rPr>
                <w:rFonts w:ascii="宋体" w:hAnsi="宋体"/>
                <w:szCs w:val="21"/>
              </w:rPr>
            </w:pPr>
            <w:r>
              <w:rPr>
                <w:rFonts w:hint="eastAsia" w:ascii="宋体" w:hAnsi="宋体"/>
                <w:szCs w:val="21"/>
              </w:rPr>
              <w:t>100万元～500万元</w:t>
            </w:r>
          </w:p>
        </w:tc>
        <w:tc>
          <w:tcPr>
            <w:tcW w:w="1659" w:type="dxa"/>
            <w:tcBorders>
              <w:top w:val="single" w:color="auto" w:sz="4" w:space="0"/>
              <w:left w:val="single" w:color="auto" w:sz="4" w:space="0"/>
              <w:bottom w:val="single" w:color="auto" w:sz="4" w:space="0"/>
              <w:right w:val="single" w:color="auto" w:sz="4" w:space="0"/>
            </w:tcBorders>
          </w:tcPr>
          <w:p w14:paraId="3E581D78">
            <w:pPr>
              <w:spacing w:line="360" w:lineRule="auto"/>
              <w:ind w:firstLine="210" w:firstLineChars="100"/>
              <w:rPr>
                <w:rFonts w:ascii="宋体" w:hAnsi="宋体"/>
                <w:szCs w:val="21"/>
              </w:rPr>
            </w:pPr>
            <w:r>
              <w:rPr>
                <w:rFonts w:hint="eastAsia" w:ascii="宋体" w:hAnsi="宋体" w:cs="宋体"/>
                <w:kern w:val="0"/>
                <w:szCs w:val="21"/>
              </w:rPr>
              <w:t xml:space="preserve">1.1%                 </w:t>
            </w:r>
          </w:p>
        </w:tc>
        <w:tc>
          <w:tcPr>
            <w:tcW w:w="1687" w:type="dxa"/>
            <w:tcBorders>
              <w:top w:val="single" w:color="auto" w:sz="4" w:space="0"/>
              <w:left w:val="single" w:color="auto" w:sz="4" w:space="0"/>
              <w:bottom w:val="single" w:color="auto" w:sz="4" w:space="0"/>
              <w:right w:val="single" w:color="auto" w:sz="4" w:space="0"/>
            </w:tcBorders>
          </w:tcPr>
          <w:p w14:paraId="68EF9390">
            <w:pPr>
              <w:spacing w:line="360" w:lineRule="auto"/>
              <w:ind w:firstLine="210" w:firstLineChars="100"/>
              <w:rPr>
                <w:rFonts w:ascii="宋体" w:hAnsi="宋体"/>
                <w:szCs w:val="21"/>
              </w:rPr>
            </w:pPr>
            <w:r>
              <w:rPr>
                <w:rFonts w:hint="eastAsia" w:ascii="宋体" w:hAnsi="宋体" w:cs="宋体"/>
                <w:kern w:val="0"/>
                <w:szCs w:val="21"/>
              </w:rPr>
              <w:t>0.8%</w:t>
            </w:r>
          </w:p>
        </w:tc>
        <w:tc>
          <w:tcPr>
            <w:tcW w:w="1659" w:type="dxa"/>
            <w:tcBorders>
              <w:top w:val="single" w:color="auto" w:sz="4" w:space="0"/>
              <w:left w:val="single" w:color="auto" w:sz="4" w:space="0"/>
              <w:bottom w:val="single" w:color="auto" w:sz="4" w:space="0"/>
              <w:right w:val="single" w:color="auto" w:sz="4" w:space="0"/>
            </w:tcBorders>
          </w:tcPr>
          <w:p w14:paraId="68F2F62B">
            <w:pPr>
              <w:spacing w:line="360" w:lineRule="auto"/>
              <w:ind w:firstLine="210" w:firstLineChars="100"/>
              <w:rPr>
                <w:rFonts w:ascii="宋体" w:hAnsi="宋体"/>
                <w:szCs w:val="21"/>
              </w:rPr>
            </w:pPr>
            <w:r>
              <w:rPr>
                <w:rFonts w:hint="eastAsia" w:ascii="宋体" w:hAnsi="宋体" w:cs="宋体"/>
                <w:kern w:val="0"/>
                <w:szCs w:val="21"/>
              </w:rPr>
              <w:t xml:space="preserve">0.7% </w:t>
            </w:r>
          </w:p>
        </w:tc>
      </w:tr>
      <w:tr w14:paraId="00C90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4233C8EC">
            <w:pPr>
              <w:spacing w:line="360" w:lineRule="auto"/>
              <w:rPr>
                <w:rFonts w:ascii="宋体" w:hAnsi="宋体"/>
                <w:szCs w:val="21"/>
              </w:rPr>
            </w:pPr>
            <w:r>
              <w:rPr>
                <w:rFonts w:hint="eastAsia" w:ascii="宋体" w:hAnsi="宋体"/>
                <w:szCs w:val="21"/>
              </w:rPr>
              <w:t>500万元～1000万元</w:t>
            </w:r>
          </w:p>
        </w:tc>
        <w:tc>
          <w:tcPr>
            <w:tcW w:w="1659" w:type="dxa"/>
            <w:tcBorders>
              <w:top w:val="single" w:color="auto" w:sz="4" w:space="0"/>
              <w:left w:val="single" w:color="auto" w:sz="4" w:space="0"/>
              <w:bottom w:val="single" w:color="auto" w:sz="4" w:space="0"/>
              <w:right w:val="single" w:color="auto" w:sz="4" w:space="0"/>
            </w:tcBorders>
          </w:tcPr>
          <w:p w14:paraId="4F6A7E2C">
            <w:pPr>
              <w:spacing w:line="360" w:lineRule="auto"/>
              <w:rPr>
                <w:rFonts w:ascii="宋体" w:hAnsi="宋体"/>
                <w:szCs w:val="21"/>
              </w:rPr>
            </w:pPr>
            <w:r>
              <w:rPr>
                <w:rFonts w:hint="eastAsia" w:ascii="宋体" w:hAnsi="宋体" w:cs="宋体"/>
                <w:kern w:val="0"/>
                <w:szCs w:val="21"/>
              </w:rPr>
              <w:t xml:space="preserve">  0.8%                </w:t>
            </w:r>
          </w:p>
        </w:tc>
        <w:tc>
          <w:tcPr>
            <w:tcW w:w="1687" w:type="dxa"/>
            <w:tcBorders>
              <w:top w:val="single" w:color="auto" w:sz="4" w:space="0"/>
              <w:left w:val="single" w:color="auto" w:sz="4" w:space="0"/>
              <w:bottom w:val="single" w:color="auto" w:sz="4" w:space="0"/>
              <w:right w:val="single" w:color="auto" w:sz="4" w:space="0"/>
            </w:tcBorders>
          </w:tcPr>
          <w:p w14:paraId="5F64A16D">
            <w:pPr>
              <w:spacing w:line="360" w:lineRule="auto"/>
              <w:ind w:firstLine="210" w:firstLineChars="100"/>
              <w:rPr>
                <w:rFonts w:ascii="宋体" w:hAnsi="宋体"/>
                <w:szCs w:val="21"/>
              </w:rPr>
            </w:pPr>
            <w:r>
              <w:rPr>
                <w:rFonts w:hint="eastAsia" w:ascii="宋体" w:hAnsi="宋体" w:cs="宋体"/>
                <w:kern w:val="0"/>
                <w:szCs w:val="21"/>
              </w:rPr>
              <w:t>0.45%</w:t>
            </w:r>
          </w:p>
        </w:tc>
        <w:tc>
          <w:tcPr>
            <w:tcW w:w="1659" w:type="dxa"/>
            <w:tcBorders>
              <w:top w:val="single" w:color="auto" w:sz="4" w:space="0"/>
              <w:left w:val="single" w:color="auto" w:sz="4" w:space="0"/>
              <w:bottom w:val="single" w:color="auto" w:sz="4" w:space="0"/>
              <w:right w:val="single" w:color="auto" w:sz="4" w:space="0"/>
            </w:tcBorders>
          </w:tcPr>
          <w:p w14:paraId="550236CF">
            <w:pPr>
              <w:spacing w:line="360" w:lineRule="auto"/>
              <w:ind w:firstLine="210" w:firstLineChars="100"/>
              <w:rPr>
                <w:rFonts w:ascii="宋体" w:hAnsi="宋体"/>
                <w:szCs w:val="21"/>
              </w:rPr>
            </w:pPr>
            <w:r>
              <w:rPr>
                <w:rFonts w:hint="eastAsia" w:ascii="宋体" w:hAnsi="宋体" w:cs="宋体"/>
                <w:kern w:val="0"/>
                <w:szCs w:val="21"/>
              </w:rPr>
              <w:t>0.55%</w:t>
            </w:r>
          </w:p>
        </w:tc>
      </w:tr>
      <w:tr w14:paraId="52D78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5F74661F">
            <w:pPr>
              <w:spacing w:line="360" w:lineRule="auto"/>
              <w:rPr>
                <w:rFonts w:ascii="宋体" w:hAnsi="宋体"/>
                <w:szCs w:val="21"/>
              </w:rPr>
            </w:pPr>
            <w:r>
              <w:rPr>
                <w:rFonts w:hint="eastAsia" w:ascii="宋体" w:hAnsi="宋体"/>
                <w:szCs w:val="21"/>
              </w:rPr>
              <w:t>1000万元～5000万元</w:t>
            </w:r>
          </w:p>
        </w:tc>
        <w:tc>
          <w:tcPr>
            <w:tcW w:w="1659" w:type="dxa"/>
            <w:tcBorders>
              <w:top w:val="single" w:color="auto" w:sz="4" w:space="0"/>
              <w:left w:val="single" w:color="auto" w:sz="4" w:space="0"/>
              <w:bottom w:val="single" w:color="auto" w:sz="4" w:space="0"/>
              <w:right w:val="single" w:color="auto" w:sz="4" w:space="0"/>
            </w:tcBorders>
          </w:tcPr>
          <w:p w14:paraId="76300947">
            <w:pPr>
              <w:spacing w:line="360" w:lineRule="auto"/>
              <w:ind w:firstLine="210" w:firstLineChars="100"/>
              <w:rPr>
                <w:rFonts w:ascii="宋体" w:hAnsi="宋体"/>
                <w:szCs w:val="21"/>
              </w:rPr>
            </w:pPr>
            <w:r>
              <w:rPr>
                <w:rFonts w:hint="eastAsia" w:ascii="宋体" w:hAnsi="宋体" w:cs="宋体"/>
                <w:kern w:val="0"/>
                <w:szCs w:val="21"/>
              </w:rPr>
              <w:t xml:space="preserve">0.5%                </w:t>
            </w:r>
          </w:p>
        </w:tc>
        <w:tc>
          <w:tcPr>
            <w:tcW w:w="1687" w:type="dxa"/>
            <w:tcBorders>
              <w:top w:val="single" w:color="auto" w:sz="4" w:space="0"/>
              <w:left w:val="single" w:color="auto" w:sz="4" w:space="0"/>
              <w:bottom w:val="single" w:color="auto" w:sz="4" w:space="0"/>
              <w:right w:val="single" w:color="auto" w:sz="4" w:space="0"/>
            </w:tcBorders>
          </w:tcPr>
          <w:p w14:paraId="2D7423F2">
            <w:pPr>
              <w:spacing w:line="360" w:lineRule="auto"/>
              <w:ind w:firstLine="210" w:firstLineChars="100"/>
              <w:rPr>
                <w:rFonts w:ascii="宋体" w:hAnsi="宋体"/>
                <w:szCs w:val="21"/>
              </w:rPr>
            </w:pPr>
            <w:r>
              <w:rPr>
                <w:rFonts w:hint="eastAsia" w:ascii="宋体" w:hAnsi="宋体" w:cs="宋体"/>
                <w:kern w:val="0"/>
                <w:szCs w:val="21"/>
              </w:rPr>
              <w:t>0.25%</w:t>
            </w:r>
          </w:p>
        </w:tc>
        <w:tc>
          <w:tcPr>
            <w:tcW w:w="1659" w:type="dxa"/>
            <w:tcBorders>
              <w:top w:val="single" w:color="auto" w:sz="4" w:space="0"/>
              <w:left w:val="single" w:color="auto" w:sz="4" w:space="0"/>
              <w:bottom w:val="single" w:color="auto" w:sz="4" w:space="0"/>
              <w:right w:val="single" w:color="auto" w:sz="4" w:space="0"/>
            </w:tcBorders>
          </w:tcPr>
          <w:p w14:paraId="214EB1A2">
            <w:pPr>
              <w:spacing w:line="360" w:lineRule="auto"/>
              <w:ind w:firstLine="210" w:firstLineChars="100"/>
              <w:rPr>
                <w:rFonts w:ascii="宋体" w:hAnsi="宋体"/>
                <w:szCs w:val="21"/>
              </w:rPr>
            </w:pPr>
            <w:r>
              <w:rPr>
                <w:rFonts w:hint="eastAsia" w:ascii="宋体" w:hAnsi="宋体" w:cs="宋体"/>
                <w:kern w:val="0"/>
                <w:szCs w:val="21"/>
              </w:rPr>
              <w:t xml:space="preserve">0.35% </w:t>
            </w:r>
          </w:p>
        </w:tc>
      </w:tr>
      <w:tr w14:paraId="68AF3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16A8F5A3">
            <w:pPr>
              <w:spacing w:line="360" w:lineRule="auto"/>
              <w:rPr>
                <w:rFonts w:ascii="宋体" w:hAnsi="宋体"/>
                <w:szCs w:val="21"/>
              </w:rPr>
            </w:pPr>
            <w:r>
              <w:rPr>
                <w:rFonts w:hint="eastAsia" w:ascii="宋体" w:hAnsi="宋体"/>
                <w:szCs w:val="21"/>
              </w:rPr>
              <w:t>5000万元～1亿元</w:t>
            </w:r>
          </w:p>
        </w:tc>
        <w:tc>
          <w:tcPr>
            <w:tcW w:w="1659" w:type="dxa"/>
            <w:tcBorders>
              <w:top w:val="single" w:color="auto" w:sz="4" w:space="0"/>
              <w:left w:val="single" w:color="auto" w:sz="4" w:space="0"/>
              <w:bottom w:val="single" w:color="auto" w:sz="4" w:space="0"/>
              <w:right w:val="single" w:color="auto" w:sz="4" w:space="0"/>
            </w:tcBorders>
          </w:tcPr>
          <w:p w14:paraId="64C338D7">
            <w:pPr>
              <w:spacing w:line="360" w:lineRule="auto"/>
              <w:ind w:firstLine="210" w:firstLineChars="100"/>
              <w:rPr>
                <w:rFonts w:ascii="宋体" w:hAnsi="宋体"/>
                <w:szCs w:val="21"/>
              </w:rPr>
            </w:pPr>
            <w:r>
              <w:rPr>
                <w:rFonts w:hint="eastAsia" w:ascii="宋体" w:hAnsi="宋体" w:cs="宋体"/>
                <w:kern w:val="0"/>
                <w:szCs w:val="21"/>
              </w:rPr>
              <w:t xml:space="preserve">0.25%                 </w:t>
            </w:r>
          </w:p>
        </w:tc>
        <w:tc>
          <w:tcPr>
            <w:tcW w:w="1687" w:type="dxa"/>
            <w:tcBorders>
              <w:top w:val="single" w:color="auto" w:sz="4" w:space="0"/>
              <w:left w:val="single" w:color="auto" w:sz="4" w:space="0"/>
              <w:bottom w:val="single" w:color="auto" w:sz="4" w:space="0"/>
              <w:right w:val="single" w:color="auto" w:sz="4" w:space="0"/>
            </w:tcBorders>
          </w:tcPr>
          <w:p w14:paraId="1785BF4C">
            <w:pPr>
              <w:spacing w:line="360" w:lineRule="auto"/>
              <w:ind w:firstLine="210" w:firstLineChars="100"/>
              <w:rPr>
                <w:rFonts w:ascii="宋体" w:hAnsi="宋体"/>
                <w:szCs w:val="21"/>
              </w:rPr>
            </w:pPr>
            <w:r>
              <w:rPr>
                <w:rFonts w:hint="eastAsia" w:ascii="宋体" w:hAnsi="宋体" w:cs="宋体"/>
                <w:kern w:val="0"/>
                <w:szCs w:val="21"/>
              </w:rPr>
              <w:t>0.1%</w:t>
            </w:r>
          </w:p>
        </w:tc>
        <w:tc>
          <w:tcPr>
            <w:tcW w:w="1659" w:type="dxa"/>
            <w:tcBorders>
              <w:top w:val="single" w:color="auto" w:sz="4" w:space="0"/>
              <w:left w:val="single" w:color="auto" w:sz="4" w:space="0"/>
              <w:bottom w:val="single" w:color="auto" w:sz="4" w:space="0"/>
              <w:right w:val="single" w:color="auto" w:sz="4" w:space="0"/>
            </w:tcBorders>
          </w:tcPr>
          <w:p w14:paraId="26C3F5CE">
            <w:pPr>
              <w:spacing w:line="360" w:lineRule="auto"/>
              <w:ind w:firstLine="210" w:firstLineChars="100"/>
              <w:rPr>
                <w:rFonts w:ascii="宋体" w:hAnsi="宋体"/>
                <w:szCs w:val="21"/>
              </w:rPr>
            </w:pPr>
            <w:r>
              <w:rPr>
                <w:rFonts w:hint="eastAsia" w:ascii="宋体" w:hAnsi="宋体" w:cs="宋体"/>
                <w:kern w:val="0"/>
                <w:szCs w:val="21"/>
              </w:rPr>
              <w:t>0.2%</w:t>
            </w:r>
          </w:p>
        </w:tc>
      </w:tr>
      <w:tr w14:paraId="3F97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5F2FD034">
            <w:pPr>
              <w:spacing w:line="360" w:lineRule="auto"/>
              <w:rPr>
                <w:rFonts w:ascii="宋体" w:hAnsi="宋体"/>
                <w:szCs w:val="21"/>
              </w:rPr>
            </w:pPr>
            <w:r>
              <w:rPr>
                <w:rFonts w:hint="eastAsia" w:ascii="宋体" w:hAnsi="宋体"/>
                <w:szCs w:val="21"/>
              </w:rPr>
              <w:t>1亿元～5亿元</w:t>
            </w:r>
          </w:p>
        </w:tc>
        <w:tc>
          <w:tcPr>
            <w:tcW w:w="1659" w:type="dxa"/>
            <w:tcBorders>
              <w:top w:val="single" w:color="auto" w:sz="4" w:space="0"/>
              <w:left w:val="single" w:color="auto" w:sz="4" w:space="0"/>
              <w:bottom w:val="single" w:color="auto" w:sz="4" w:space="0"/>
              <w:right w:val="single" w:color="auto" w:sz="4" w:space="0"/>
            </w:tcBorders>
          </w:tcPr>
          <w:p w14:paraId="06695B38">
            <w:pPr>
              <w:spacing w:line="360" w:lineRule="auto"/>
              <w:ind w:firstLine="210" w:firstLineChars="100"/>
              <w:rPr>
                <w:rFonts w:ascii="宋体" w:hAnsi="宋体"/>
                <w:szCs w:val="21"/>
              </w:rPr>
            </w:pPr>
            <w:r>
              <w:rPr>
                <w:rFonts w:hint="eastAsia" w:ascii="宋体" w:hAnsi="宋体"/>
                <w:szCs w:val="21"/>
              </w:rPr>
              <w:t>0.05%</w:t>
            </w:r>
          </w:p>
        </w:tc>
        <w:tc>
          <w:tcPr>
            <w:tcW w:w="1687" w:type="dxa"/>
            <w:tcBorders>
              <w:top w:val="single" w:color="auto" w:sz="4" w:space="0"/>
              <w:left w:val="single" w:color="auto" w:sz="4" w:space="0"/>
              <w:bottom w:val="single" w:color="auto" w:sz="4" w:space="0"/>
              <w:right w:val="single" w:color="auto" w:sz="4" w:space="0"/>
            </w:tcBorders>
          </w:tcPr>
          <w:p w14:paraId="7CEAC177">
            <w:pPr>
              <w:spacing w:line="360" w:lineRule="auto"/>
              <w:rPr>
                <w:rFonts w:ascii="宋体" w:hAnsi="宋体"/>
                <w:szCs w:val="21"/>
              </w:rPr>
            </w:pPr>
            <w:r>
              <w:rPr>
                <w:rFonts w:hint="eastAsia" w:ascii="宋体" w:hAnsi="宋体"/>
                <w:szCs w:val="21"/>
              </w:rPr>
              <w:t xml:space="preserve">  0.05%</w:t>
            </w:r>
          </w:p>
        </w:tc>
        <w:tc>
          <w:tcPr>
            <w:tcW w:w="1659" w:type="dxa"/>
            <w:tcBorders>
              <w:top w:val="single" w:color="auto" w:sz="4" w:space="0"/>
              <w:left w:val="single" w:color="auto" w:sz="4" w:space="0"/>
              <w:bottom w:val="single" w:color="auto" w:sz="4" w:space="0"/>
              <w:right w:val="single" w:color="auto" w:sz="4" w:space="0"/>
            </w:tcBorders>
          </w:tcPr>
          <w:p w14:paraId="2B8254AE">
            <w:pPr>
              <w:spacing w:line="360" w:lineRule="auto"/>
              <w:rPr>
                <w:rFonts w:ascii="宋体" w:hAnsi="宋体"/>
                <w:szCs w:val="21"/>
              </w:rPr>
            </w:pPr>
            <w:r>
              <w:rPr>
                <w:rFonts w:hint="eastAsia" w:ascii="宋体" w:hAnsi="宋体"/>
                <w:szCs w:val="21"/>
              </w:rPr>
              <w:t xml:space="preserve">  0.05%</w:t>
            </w:r>
          </w:p>
        </w:tc>
      </w:tr>
      <w:tr w14:paraId="69A7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684820B1">
            <w:pPr>
              <w:spacing w:line="360" w:lineRule="auto"/>
              <w:rPr>
                <w:rFonts w:ascii="宋体" w:hAnsi="宋体"/>
                <w:szCs w:val="21"/>
              </w:rPr>
            </w:pPr>
            <w:r>
              <w:rPr>
                <w:rFonts w:hint="eastAsia" w:ascii="宋体" w:hAnsi="宋体"/>
                <w:szCs w:val="21"/>
              </w:rPr>
              <w:t>5亿元～10亿元</w:t>
            </w:r>
          </w:p>
        </w:tc>
        <w:tc>
          <w:tcPr>
            <w:tcW w:w="1659" w:type="dxa"/>
            <w:tcBorders>
              <w:top w:val="single" w:color="auto" w:sz="4" w:space="0"/>
              <w:left w:val="single" w:color="auto" w:sz="4" w:space="0"/>
              <w:bottom w:val="single" w:color="auto" w:sz="4" w:space="0"/>
              <w:right w:val="single" w:color="auto" w:sz="4" w:space="0"/>
            </w:tcBorders>
          </w:tcPr>
          <w:p w14:paraId="75F4255D">
            <w:pPr>
              <w:spacing w:line="360" w:lineRule="auto"/>
              <w:ind w:firstLine="105" w:firstLineChars="50"/>
              <w:rPr>
                <w:rFonts w:ascii="宋体" w:hAnsi="宋体"/>
                <w:szCs w:val="21"/>
              </w:rPr>
            </w:pPr>
            <w:r>
              <w:rPr>
                <w:rFonts w:hint="eastAsia" w:ascii="宋体" w:hAnsi="宋体"/>
                <w:szCs w:val="21"/>
              </w:rPr>
              <w:t>0.035%</w:t>
            </w:r>
          </w:p>
        </w:tc>
        <w:tc>
          <w:tcPr>
            <w:tcW w:w="1687" w:type="dxa"/>
            <w:tcBorders>
              <w:top w:val="single" w:color="auto" w:sz="4" w:space="0"/>
              <w:left w:val="single" w:color="auto" w:sz="4" w:space="0"/>
              <w:bottom w:val="single" w:color="auto" w:sz="4" w:space="0"/>
              <w:right w:val="single" w:color="auto" w:sz="4" w:space="0"/>
            </w:tcBorders>
          </w:tcPr>
          <w:p w14:paraId="50EE86EB">
            <w:pPr>
              <w:spacing w:line="360" w:lineRule="auto"/>
              <w:rPr>
                <w:rFonts w:ascii="宋体" w:hAnsi="宋体"/>
                <w:szCs w:val="21"/>
              </w:rPr>
            </w:pPr>
            <w:r>
              <w:rPr>
                <w:rFonts w:hint="eastAsia" w:ascii="宋体" w:hAnsi="宋体"/>
                <w:szCs w:val="21"/>
              </w:rPr>
              <w:t xml:space="preserve">  0.035%</w:t>
            </w:r>
          </w:p>
        </w:tc>
        <w:tc>
          <w:tcPr>
            <w:tcW w:w="1659" w:type="dxa"/>
            <w:tcBorders>
              <w:top w:val="single" w:color="auto" w:sz="4" w:space="0"/>
              <w:left w:val="single" w:color="auto" w:sz="4" w:space="0"/>
              <w:bottom w:val="single" w:color="auto" w:sz="4" w:space="0"/>
              <w:right w:val="single" w:color="auto" w:sz="4" w:space="0"/>
            </w:tcBorders>
          </w:tcPr>
          <w:p w14:paraId="5AB6D449">
            <w:pPr>
              <w:spacing w:line="360" w:lineRule="auto"/>
              <w:ind w:firstLine="105" w:firstLineChars="50"/>
              <w:rPr>
                <w:rFonts w:ascii="宋体" w:hAnsi="宋体"/>
                <w:szCs w:val="21"/>
              </w:rPr>
            </w:pPr>
            <w:r>
              <w:rPr>
                <w:rFonts w:hint="eastAsia" w:ascii="宋体" w:hAnsi="宋体"/>
                <w:szCs w:val="21"/>
              </w:rPr>
              <w:t>0.035%</w:t>
            </w:r>
          </w:p>
        </w:tc>
      </w:tr>
      <w:tr w14:paraId="1D6B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5FE99E9B">
            <w:pPr>
              <w:spacing w:line="360" w:lineRule="auto"/>
              <w:rPr>
                <w:rFonts w:ascii="宋体" w:hAnsi="宋体"/>
                <w:szCs w:val="21"/>
              </w:rPr>
            </w:pPr>
            <w:r>
              <w:rPr>
                <w:rFonts w:hint="eastAsia" w:ascii="宋体" w:hAnsi="宋体"/>
                <w:szCs w:val="21"/>
              </w:rPr>
              <w:t>10亿元～50亿元</w:t>
            </w:r>
          </w:p>
        </w:tc>
        <w:tc>
          <w:tcPr>
            <w:tcW w:w="1659" w:type="dxa"/>
            <w:tcBorders>
              <w:top w:val="single" w:color="auto" w:sz="4" w:space="0"/>
              <w:left w:val="single" w:color="auto" w:sz="4" w:space="0"/>
              <w:bottom w:val="single" w:color="auto" w:sz="4" w:space="0"/>
              <w:right w:val="single" w:color="auto" w:sz="4" w:space="0"/>
            </w:tcBorders>
          </w:tcPr>
          <w:p w14:paraId="3F8807A1">
            <w:pPr>
              <w:spacing w:line="360" w:lineRule="auto"/>
              <w:ind w:firstLine="105" w:firstLineChars="50"/>
              <w:rPr>
                <w:rFonts w:ascii="宋体" w:hAnsi="宋体"/>
                <w:szCs w:val="21"/>
              </w:rPr>
            </w:pPr>
            <w:r>
              <w:rPr>
                <w:rFonts w:hint="eastAsia" w:ascii="宋体" w:hAnsi="宋体"/>
                <w:szCs w:val="21"/>
              </w:rPr>
              <w:t>0.008%</w:t>
            </w:r>
          </w:p>
        </w:tc>
        <w:tc>
          <w:tcPr>
            <w:tcW w:w="1687" w:type="dxa"/>
            <w:tcBorders>
              <w:top w:val="single" w:color="auto" w:sz="4" w:space="0"/>
              <w:left w:val="single" w:color="auto" w:sz="4" w:space="0"/>
              <w:bottom w:val="single" w:color="auto" w:sz="4" w:space="0"/>
              <w:right w:val="single" w:color="auto" w:sz="4" w:space="0"/>
            </w:tcBorders>
          </w:tcPr>
          <w:p w14:paraId="6EC08A98">
            <w:pPr>
              <w:spacing w:line="360" w:lineRule="auto"/>
              <w:ind w:firstLine="210" w:firstLineChars="100"/>
              <w:rPr>
                <w:rFonts w:ascii="宋体" w:hAnsi="宋体"/>
                <w:szCs w:val="21"/>
              </w:rPr>
            </w:pPr>
            <w:r>
              <w:rPr>
                <w:rFonts w:hint="eastAsia" w:ascii="宋体" w:hAnsi="宋体"/>
                <w:szCs w:val="21"/>
              </w:rPr>
              <w:t>0.008%</w:t>
            </w:r>
          </w:p>
        </w:tc>
        <w:tc>
          <w:tcPr>
            <w:tcW w:w="1659" w:type="dxa"/>
            <w:tcBorders>
              <w:top w:val="single" w:color="auto" w:sz="4" w:space="0"/>
              <w:left w:val="single" w:color="auto" w:sz="4" w:space="0"/>
              <w:bottom w:val="single" w:color="auto" w:sz="4" w:space="0"/>
              <w:right w:val="single" w:color="auto" w:sz="4" w:space="0"/>
            </w:tcBorders>
          </w:tcPr>
          <w:p w14:paraId="30CC1F3A">
            <w:pPr>
              <w:spacing w:line="360" w:lineRule="auto"/>
              <w:ind w:firstLine="105" w:firstLineChars="50"/>
              <w:rPr>
                <w:rFonts w:ascii="宋体" w:hAnsi="宋体"/>
                <w:szCs w:val="21"/>
              </w:rPr>
            </w:pPr>
            <w:r>
              <w:rPr>
                <w:rFonts w:hint="eastAsia" w:ascii="宋体" w:hAnsi="宋体"/>
                <w:szCs w:val="21"/>
              </w:rPr>
              <w:t>0.008%</w:t>
            </w:r>
          </w:p>
        </w:tc>
      </w:tr>
      <w:tr w14:paraId="25714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21CC7BA3">
            <w:pPr>
              <w:spacing w:line="360" w:lineRule="auto"/>
              <w:rPr>
                <w:rFonts w:ascii="宋体" w:hAnsi="宋体"/>
                <w:szCs w:val="21"/>
              </w:rPr>
            </w:pPr>
            <w:r>
              <w:rPr>
                <w:rFonts w:hint="eastAsia" w:ascii="宋体" w:hAnsi="宋体"/>
                <w:szCs w:val="21"/>
              </w:rPr>
              <w:t>50亿元～100亿元</w:t>
            </w:r>
          </w:p>
        </w:tc>
        <w:tc>
          <w:tcPr>
            <w:tcW w:w="1659" w:type="dxa"/>
            <w:tcBorders>
              <w:top w:val="single" w:color="auto" w:sz="4" w:space="0"/>
              <w:left w:val="single" w:color="auto" w:sz="4" w:space="0"/>
              <w:bottom w:val="single" w:color="auto" w:sz="4" w:space="0"/>
              <w:right w:val="single" w:color="auto" w:sz="4" w:space="0"/>
            </w:tcBorders>
          </w:tcPr>
          <w:p w14:paraId="7BE68E6F">
            <w:pPr>
              <w:spacing w:line="360" w:lineRule="auto"/>
              <w:rPr>
                <w:rFonts w:ascii="宋体" w:hAnsi="宋体"/>
                <w:szCs w:val="21"/>
              </w:rPr>
            </w:pPr>
            <w:r>
              <w:rPr>
                <w:rFonts w:hint="eastAsia" w:ascii="宋体" w:hAnsi="宋体"/>
                <w:szCs w:val="21"/>
              </w:rPr>
              <w:t xml:space="preserve"> 0.006%</w:t>
            </w:r>
          </w:p>
        </w:tc>
        <w:tc>
          <w:tcPr>
            <w:tcW w:w="1687" w:type="dxa"/>
            <w:tcBorders>
              <w:top w:val="single" w:color="auto" w:sz="4" w:space="0"/>
              <w:left w:val="single" w:color="auto" w:sz="4" w:space="0"/>
              <w:bottom w:val="single" w:color="auto" w:sz="4" w:space="0"/>
              <w:right w:val="single" w:color="auto" w:sz="4" w:space="0"/>
            </w:tcBorders>
          </w:tcPr>
          <w:p w14:paraId="74D3E9CF">
            <w:pPr>
              <w:spacing w:line="360" w:lineRule="auto"/>
              <w:ind w:firstLine="210" w:firstLineChars="100"/>
              <w:rPr>
                <w:rFonts w:ascii="宋体" w:hAnsi="宋体"/>
                <w:szCs w:val="21"/>
              </w:rPr>
            </w:pPr>
            <w:r>
              <w:rPr>
                <w:rFonts w:hint="eastAsia" w:ascii="宋体" w:hAnsi="宋体"/>
                <w:szCs w:val="21"/>
              </w:rPr>
              <w:t>0.006%</w:t>
            </w:r>
          </w:p>
        </w:tc>
        <w:tc>
          <w:tcPr>
            <w:tcW w:w="1659" w:type="dxa"/>
            <w:tcBorders>
              <w:top w:val="single" w:color="auto" w:sz="4" w:space="0"/>
              <w:left w:val="single" w:color="auto" w:sz="4" w:space="0"/>
              <w:bottom w:val="single" w:color="auto" w:sz="4" w:space="0"/>
              <w:right w:val="single" w:color="auto" w:sz="4" w:space="0"/>
            </w:tcBorders>
          </w:tcPr>
          <w:p w14:paraId="5057DD87">
            <w:pPr>
              <w:spacing w:line="360" w:lineRule="auto"/>
              <w:ind w:firstLine="105" w:firstLineChars="50"/>
              <w:rPr>
                <w:rFonts w:ascii="宋体" w:hAnsi="宋体"/>
                <w:szCs w:val="21"/>
              </w:rPr>
            </w:pPr>
            <w:r>
              <w:rPr>
                <w:rFonts w:hint="eastAsia" w:ascii="宋体" w:hAnsi="宋体"/>
                <w:szCs w:val="21"/>
              </w:rPr>
              <w:t>0.006%</w:t>
            </w:r>
          </w:p>
        </w:tc>
      </w:tr>
      <w:tr w14:paraId="1BE9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14558C58">
            <w:pPr>
              <w:spacing w:line="360" w:lineRule="auto"/>
              <w:rPr>
                <w:rFonts w:ascii="宋体" w:hAnsi="宋体"/>
                <w:szCs w:val="21"/>
              </w:rPr>
            </w:pPr>
            <w:r>
              <w:rPr>
                <w:rFonts w:hint="eastAsia" w:ascii="宋体" w:hAnsi="宋体"/>
                <w:szCs w:val="21"/>
              </w:rPr>
              <w:t>100亿以上</w:t>
            </w:r>
          </w:p>
        </w:tc>
        <w:tc>
          <w:tcPr>
            <w:tcW w:w="1659" w:type="dxa"/>
            <w:tcBorders>
              <w:top w:val="single" w:color="auto" w:sz="4" w:space="0"/>
              <w:left w:val="single" w:color="auto" w:sz="4" w:space="0"/>
              <w:bottom w:val="single" w:color="auto" w:sz="4" w:space="0"/>
              <w:right w:val="single" w:color="auto" w:sz="4" w:space="0"/>
            </w:tcBorders>
          </w:tcPr>
          <w:p w14:paraId="08CA391D">
            <w:pPr>
              <w:spacing w:line="360" w:lineRule="auto"/>
              <w:rPr>
                <w:rFonts w:ascii="宋体" w:hAnsi="宋体"/>
                <w:szCs w:val="21"/>
              </w:rPr>
            </w:pPr>
            <w:r>
              <w:rPr>
                <w:rFonts w:hint="eastAsia" w:ascii="宋体" w:hAnsi="宋体"/>
                <w:szCs w:val="21"/>
              </w:rPr>
              <w:t xml:space="preserve"> 0.004%</w:t>
            </w:r>
          </w:p>
        </w:tc>
        <w:tc>
          <w:tcPr>
            <w:tcW w:w="1687" w:type="dxa"/>
            <w:tcBorders>
              <w:top w:val="single" w:color="auto" w:sz="4" w:space="0"/>
              <w:left w:val="single" w:color="auto" w:sz="4" w:space="0"/>
              <w:bottom w:val="single" w:color="auto" w:sz="4" w:space="0"/>
              <w:right w:val="single" w:color="auto" w:sz="4" w:space="0"/>
            </w:tcBorders>
          </w:tcPr>
          <w:p w14:paraId="1A34FE87">
            <w:pPr>
              <w:spacing w:line="360" w:lineRule="auto"/>
              <w:ind w:firstLine="210" w:firstLineChars="100"/>
              <w:rPr>
                <w:rFonts w:ascii="宋体" w:hAnsi="宋体"/>
                <w:szCs w:val="21"/>
              </w:rPr>
            </w:pPr>
            <w:r>
              <w:rPr>
                <w:rFonts w:hint="eastAsia" w:ascii="宋体" w:hAnsi="宋体"/>
                <w:szCs w:val="21"/>
              </w:rPr>
              <w:t>0.004%</w:t>
            </w:r>
          </w:p>
        </w:tc>
        <w:tc>
          <w:tcPr>
            <w:tcW w:w="1659" w:type="dxa"/>
            <w:tcBorders>
              <w:top w:val="single" w:color="auto" w:sz="4" w:space="0"/>
              <w:left w:val="single" w:color="auto" w:sz="4" w:space="0"/>
              <w:bottom w:val="single" w:color="auto" w:sz="4" w:space="0"/>
              <w:right w:val="single" w:color="auto" w:sz="4" w:space="0"/>
            </w:tcBorders>
          </w:tcPr>
          <w:p w14:paraId="6BB16E83">
            <w:pPr>
              <w:spacing w:line="360" w:lineRule="auto"/>
              <w:ind w:firstLine="105" w:firstLineChars="50"/>
              <w:rPr>
                <w:rFonts w:ascii="宋体" w:hAnsi="宋体"/>
                <w:szCs w:val="21"/>
              </w:rPr>
            </w:pPr>
            <w:r>
              <w:rPr>
                <w:rFonts w:hint="eastAsia" w:ascii="宋体" w:hAnsi="宋体"/>
                <w:szCs w:val="21"/>
              </w:rPr>
              <w:t>0.004%</w:t>
            </w:r>
          </w:p>
        </w:tc>
      </w:tr>
    </w:tbl>
    <w:p w14:paraId="6C685467">
      <w:pPr>
        <w:spacing w:line="360" w:lineRule="auto"/>
        <w:ind w:firstLine="420" w:firstLineChars="200"/>
        <w:rPr>
          <w:rFonts w:ascii="宋体" w:hAnsi="宋体" w:cs="宋体"/>
          <w:szCs w:val="21"/>
        </w:rPr>
      </w:pPr>
      <w:r>
        <w:rPr>
          <w:rFonts w:hint="eastAsia" w:ascii="宋体" w:hAnsi="宋体"/>
          <w:szCs w:val="21"/>
        </w:rPr>
        <w:t>注：</w:t>
      </w:r>
      <w:r>
        <w:rPr>
          <w:rFonts w:ascii="宋体" w:hAnsi="宋体" w:cs="宋体"/>
          <w:szCs w:val="21"/>
        </w:rPr>
        <w:t xml:space="preserve"> </w:t>
      </w:r>
    </w:p>
    <w:p w14:paraId="3117A83F">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按本表费率计算的收费为</w:t>
      </w:r>
      <w:r>
        <w:rPr>
          <w:rFonts w:hint="eastAsia" w:ascii="宋体" w:hAnsi="宋体" w:cs="宋体"/>
          <w:szCs w:val="21"/>
        </w:rPr>
        <w:t>采购</w:t>
      </w:r>
      <w:r>
        <w:rPr>
          <w:rFonts w:ascii="宋体" w:hAnsi="宋体" w:cs="宋体"/>
          <w:szCs w:val="21"/>
        </w:rPr>
        <w:t>代理的收费基准价格</w:t>
      </w:r>
      <w:r>
        <w:rPr>
          <w:rFonts w:hint="eastAsia" w:ascii="宋体" w:hAnsi="宋体" w:cs="宋体"/>
          <w:szCs w:val="21"/>
        </w:rPr>
        <w:t>；</w:t>
      </w:r>
    </w:p>
    <w:p w14:paraId="1A980C15">
      <w:pPr>
        <w:spacing w:line="360" w:lineRule="auto"/>
        <w:ind w:firstLine="420" w:firstLineChars="200"/>
        <w:rPr>
          <w:rFonts w:ascii="宋体" w:hAnsi="宋体" w:cs="宋体"/>
          <w:szCs w:val="21"/>
        </w:rPr>
      </w:pPr>
      <w:r>
        <w:rPr>
          <w:rFonts w:hint="eastAsia" w:ascii="宋体" w:hAnsi="宋体" w:cs="宋体"/>
          <w:szCs w:val="21"/>
        </w:rPr>
        <w:t>（2）采购</w:t>
      </w:r>
      <w:r>
        <w:rPr>
          <w:rFonts w:ascii="宋体" w:hAnsi="宋体" w:cs="宋体"/>
          <w:szCs w:val="21"/>
        </w:rPr>
        <w:t>代理收费按差额定率累进法计算。</w:t>
      </w:r>
    </w:p>
    <w:p w14:paraId="027C2578">
      <w:pPr>
        <w:spacing w:line="360" w:lineRule="auto"/>
        <w:ind w:firstLine="420" w:firstLineChars="200"/>
        <w:rPr>
          <w:rFonts w:ascii="宋体" w:hAnsi="宋体" w:cs="宋体"/>
          <w:szCs w:val="21"/>
        </w:rPr>
      </w:pPr>
      <w:r>
        <w:rPr>
          <w:rFonts w:ascii="宋体" w:hAnsi="宋体" w:cs="宋体"/>
          <w:szCs w:val="21"/>
        </w:rPr>
        <w:t>例如：某</w:t>
      </w:r>
      <w:r>
        <w:rPr>
          <w:rFonts w:hint="eastAsia" w:ascii="宋体" w:hAnsi="宋体" w:cs="宋体"/>
          <w:szCs w:val="21"/>
        </w:rPr>
        <w:t>货物采购</w:t>
      </w:r>
      <w:r>
        <w:rPr>
          <w:rFonts w:ascii="宋体" w:hAnsi="宋体" w:cs="宋体"/>
          <w:szCs w:val="21"/>
        </w:rPr>
        <w:t>代理业务</w:t>
      </w:r>
      <w:r>
        <w:rPr>
          <w:rFonts w:hint="eastAsia" w:ascii="宋体" w:hAnsi="宋体" w:cs="宋体"/>
          <w:szCs w:val="21"/>
        </w:rPr>
        <w:t>中标</w:t>
      </w:r>
      <w:r>
        <w:rPr>
          <w:rFonts w:ascii="宋体" w:hAnsi="宋体" w:cs="宋体"/>
          <w:szCs w:val="21"/>
        </w:rPr>
        <w:t>金额</w:t>
      </w:r>
      <w:r>
        <w:rPr>
          <w:rFonts w:hint="eastAsia" w:ascii="宋体" w:hAnsi="宋体" w:cs="宋体"/>
          <w:szCs w:val="21"/>
        </w:rPr>
        <w:t>或者暂定价</w:t>
      </w:r>
      <w:r>
        <w:rPr>
          <w:rFonts w:ascii="宋体" w:hAnsi="宋体" w:cs="宋体"/>
          <w:szCs w:val="21"/>
        </w:rPr>
        <w:t>为200万元，计算</w:t>
      </w:r>
      <w:r>
        <w:rPr>
          <w:rFonts w:hint="eastAsia" w:ascii="宋体" w:hAnsi="宋体" w:cs="宋体"/>
          <w:szCs w:val="21"/>
        </w:rPr>
        <w:t>采购</w:t>
      </w:r>
      <w:r>
        <w:rPr>
          <w:rFonts w:ascii="宋体" w:hAnsi="宋体" w:cs="宋体"/>
          <w:szCs w:val="21"/>
        </w:rPr>
        <w:t>代理收费额如下：</w:t>
      </w:r>
    </w:p>
    <w:p w14:paraId="0955A0D4">
      <w:pPr>
        <w:spacing w:line="360" w:lineRule="auto"/>
        <w:ind w:firstLine="420" w:firstLineChars="200"/>
        <w:rPr>
          <w:rFonts w:ascii="宋体" w:hAnsi="宋体" w:cs="宋体"/>
          <w:szCs w:val="21"/>
        </w:rPr>
      </w:pPr>
      <w:r>
        <w:rPr>
          <w:rFonts w:ascii="宋体" w:hAnsi="宋体" w:cs="宋体"/>
          <w:szCs w:val="21"/>
        </w:rPr>
        <w:t>100 万元×l.5 ％＝ 1.5 万元</w:t>
      </w:r>
    </w:p>
    <w:p w14:paraId="7F64E89C">
      <w:pPr>
        <w:spacing w:line="360" w:lineRule="auto"/>
        <w:ind w:firstLine="420" w:firstLineChars="200"/>
        <w:rPr>
          <w:rFonts w:ascii="宋体" w:hAnsi="宋体" w:cs="宋体"/>
          <w:szCs w:val="21"/>
        </w:rPr>
      </w:pPr>
      <w:r>
        <w:rPr>
          <w:rFonts w:ascii="宋体" w:hAnsi="宋体" w:cs="宋体"/>
          <w:szCs w:val="21"/>
        </w:rPr>
        <w:t>（ 200 － 100 ）万元 ×1.1％＝1.1万元</w:t>
      </w:r>
    </w:p>
    <w:p w14:paraId="343EF835">
      <w:pPr>
        <w:pStyle w:val="16"/>
        <w:snapToGrid w:val="0"/>
        <w:spacing w:line="360" w:lineRule="auto"/>
        <w:ind w:firstLine="420" w:firstLineChars="200"/>
        <w:rPr>
          <w:rFonts w:hAnsi="宋体" w:cs="宋体"/>
          <w:sz w:val="21"/>
        </w:rPr>
      </w:pPr>
      <w:r>
        <w:rPr>
          <w:rFonts w:hAnsi="宋体" w:cs="宋体"/>
          <w:sz w:val="21"/>
        </w:rPr>
        <w:t>合计收费＝ 1.5</w:t>
      </w:r>
      <w:r>
        <w:rPr>
          <w:rFonts w:hint="eastAsia" w:hAnsi="宋体" w:cs="宋体"/>
          <w:sz w:val="21"/>
        </w:rPr>
        <w:t>+</w:t>
      </w:r>
      <w:r>
        <w:rPr>
          <w:rFonts w:hAnsi="宋体" w:cs="宋体"/>
          <w:sz w:val="21"/>
        </w:rPr>
        <w:t>1.1＝ 2.6 （万元）</w:t>
      </w:r>
    </w:p>
    <w:p w14:paraId="389CD3FA">
      <w:pPr>
        <w:pStyle w:val="6"/>
        <w:keepNext w:val="0"/>
        <w:keepLines w:val="0"/>
        <w:spacing w:before="0" w:after="0" w:line="360" w:lineRule="auto"/>
        <w:rPr>
          <w:rFonts w:ascii="黑体" w:hAnsi="黑体" w:eastAsia="黑体"/>
          <w:sz w:val="24"/>
        </w:rPr>
      </w:pPr>
      <w:r>
        <w:rPr>
          <w:rFonts w:ascii="黑体" w:hAnsi="黑体" w:eastAsia="黑体"/>
          <w:sz w:val="24"/>
        </w:rPr>
        <w:t>40. 需要补充的其他内容</w:t>
      </w:r>
    </w:p>
    <w:p w14:paraId="7E539956">
      <w:pPr>
        <w:pStyle w:val="16"/>
        <w:spacing w:line="360" w:lineRule="auto"/>
        <w:ind w:firstLine="420" w:firstLineChars="200"/>
        <w:contextualSpacing/>
        <w:rPr>
          <w:rFonts w:hAnsi="宋体" w:cs="宋体"/>
          <w:sz w:val="21"/>
        </w:rPr>
      </w:pPr>
      <w:r>
        <w:rPr>
          <w:rFonts w:hint="eastAsia" w:hAnsi="宋体" w:cs="宋体"/>
          <w:sz w:val="21"/>
        </w:rPr>
        <w:t>40.1本招标文件解释规则详见“投标人须知前附表”。</w:t>
      </w:r>
    </w:p>
    <w:p w14:paraId="2EB469ED">
      <w:pPr>
        <w:pStyle w:val="16"/>
        <w:spacing w:line="360" w:lineRule="auto"/>
        <w:ind w:firstLine="420" w:firstLineChars="200"/>
        <w:contextualSpacing/>
        <w:rPr>
          <w:rFonts w:hAnsi="宋体" w:cs="宋体"/>
          <w:sz w:val="21"/>
        </w:rPr>
      </w:pPr>
      <w:r>
        <w:rPr>
          <w:rFonts w:hint="eastAsia" w:hAnsi="宋体" w:cs="宋体"/>
          <w:sz w:val="21"/>
        </w:rPr>
        <w:t>40.2 其他事项详见“投标人须知前附表”。</w:t>
      </w:r>
    </w:p>
    <w:p w14:paraId="3AB9F8FB">
      <w:pPr>
        <w:pStyle w:val="16"/>
        <w:spacing w:line="360" w:lineRule="auto"/>
        <w:ind w:firstLine="420" w:firstLineChars="200"/>
        <w:contextualSpacing/>
        <w:rPr>
          <w:rFonts w:hAnsi="宋体" w:cs="宋体"/>
          <w:sz w:val="21"/>
        </w:rPr>
      </w:pPr>
      <w:r>
        <w:rPr>
          <w:rFonts w:hint="eastAsia" w:hAnsi="宋体" w:cs="宋体"/>
          <w:sz w:val="21"/>
        </w:rPr>
        <w:t>40.3</w:t>
      </w:r>
      <w:bookmarkStart w:id="143" w:name="_Hlk65857140"/>
      <w:r>
        <w:rPr>
          <w:rFonts w:hint="eastAsia" w:hAnsi="宋体" w:cs="宋体"/>
          <w:sz w:val="21"/>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40BFCB89">
      <w:pPr>
        <w:pStyle w:val="16"/>
        <w:spacing w:line="360" w:lineRule="auto"/>
        <w:ind w:firstLine="420" w:firstLineChars="200"/>
        <w:contextualSpacing/>
        <w:rPr>
          <w:rFonts w:hAnsi="宋体" w:cs="宋体"/>
          <w:sz w:val="21"/>
        </w:rPr>
      </w:pPr>
      <w:r>
        <w:rPr>
          <w:rFonts w:hint="eastAsia" w:hAnsi="宋体" w:cs="宋体"/>
          <w:sz w:val="21"/>
        </w:rPr>
        <w:t>（1）在货物采购项目中，货物由中小企业制造，即货物由中小企业生产且使用该中小企业商号或者注册商标，不对其中涉及的工程承建商和服务的承接商作出要求；</w:t>
      </w:r>
    </w:p>
    <w:p w14:paraId="0A071FB8">
      <w:pPr>
        <w:pStyle w:val="16"/>
        <w:spacing w:line="360" w:lineRule="auto"/>
        <w:ind w:firstLine="420" w:firstLineChars="200"/>
        <w:contextualSpacing/>
        <w:rPr>
          <w:rFonts w:hAnsi="宋体" w:cs="宋体"/>
          <w:sz w:val="21"/>
        </w:rPr>
      </w:pPr>
      <w:r>
        <w:rPr>
          <w:rFonts w:hint="eastAsia" w:hAnsi="宋体" w:cs="宋体"/>
          <w:sz w:val="21"/>
        </w:rPr>
        <w:t>（2）在工程采购项目中，工程由中小企业承建，即工程施工单位为中小企业，不对其中涉及的货物的制造商和服务的承接商作出要求；</w:t>
      </w:r>
    </w:p>
    <w:p w14:paraId="54A6BAF2">
      <w:pPr>
        <w:pStyle w:val="16"/>
        <w:spacing w:line="360" w:lineRule="auto"/>
        <w:ind w:firstLine="420" w:firstLineChars="200"/>
        <w:contextualSpacing/>
        <w:rPr>
          <w:rFonts w:hAnsi="宋体" w:cs="宋体"/>
          <w:sz w:val="21"/>
        </w:rPr>
      </w:pPr>
      <w:r>
        <w:rPr>
          <w:rFonts w:hint="eastAsia" w:hAnsi="宋体" w:cs="宋体"/>
          <w:sz w:val="21"/>
        </w:rPr>
        <w:t>（3）在服务采购项目中，服务由中小企业承接，即提供服务的人员为中小企业依照《中华人民共和国劳动合同法》订立劳动合同的从业人员，不对其中涉及的货物的制造商和工程承建商作出要求。</w:t>
      </w:r>
    </w:p>
    <w:p w14:paraId="12C4D7C9">
      <w:pPr>
        <w:pStyle w:val="16"/>
        <w:spacing w:line="360" w:lineRule="auto"/>
        <w:ind w:firstLine="420" w:firstLineChars="200"/>
        <w:contextualSpacing/>
        <w:rPr>
          <w:rFonts w:hAnsi="宋体" w:cs="宋体"/>
          <w:sz w:val="21"/>
        </w:rPr>
      </w:pPr>
      <w:r>
        <w:rPr>
          <w:rFonts w:hint="eastAsia" w:hAnsi="宋体" w:cs="宋体"/>
          <w:sz w:val="21"/>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139EB64F">
      <w:pPr>
        <w:pStyle w:val="16"/>
        <w:spacing w:line="360" w:lineRule="auto"/>
        <w:ind w:firstLine="420" w:firstLineChars="200"/>
        <w:contextualSpacing/>
        <w:rPr>
          <w:rFonts w:hAnsi="宋体" w:cs="宋体"/>
          <w:sz w:val="21"/>
        </w:rPr>
      </w:pPr>
      <w:r>
        <w:rPr>
          <w:rFonts w:hint="eastAsia" w:hAnsi="宋体" w:cs="宋体"/>
          <w:sz w:val="21"/>
        </w:rPr>
        <w:t>依据本招标文件规定享受扶持政策获得政府采购合同的，小微企业不得将合同分包给大中型企业，中型企业不得将合同分包给大型企业。</w:t>
      </w:r>
      <w:bookmarkEnd w:id="143"/>
    </w:p>
    <w:p w14:paraId="312B4EA5">
      <w:pPr>
        <w:pStyle w:val="11"/>
        <w:ind w:left="479" w:leftChars="114" w:hanging="240" w:hangingChars="100"/>
        <w:rPr>
          <w:rFonts w:hAnsi="宋体"/>
        </w:rPr>
      </w:pPr>
    </w:p>
    <w:p w14:paraId="25113291">
      <w:pPr>
        <w:pStyle w:val="16"/>
        <w:snapToGrid w:val="0"/>
        <w:spacing w:before="120" w:after="120"/>
        <w:rPr>
          <w:rFonts w:hAnsi="宋体"/>
        </w:rPr>
      </w:pPr>
    </w:p>
    <w:p w14:paraId="6DB83BC7">
      <w:pPr>
        <w:pStyle w:val="16"/>
        <w:snapToGrid w:val="0"/>
        <w:spacing w:before="120" w:after="120"/>
        <w:rPr>
          <w:rFonts w:hAnsi="宋体"/>
        </w:rPr>
      </w:pPr>
    </w:p>
    <w:p w14:paraId="3D86D099">
      <w:pPr>
        <w:pStyle w:val="16"/>
        <w:snapToGrid w:val="0"/>
        <w:spacing w:before="120" w:after="120"/>
        <w:rPr>
          <w:rFonts w:hAnsi="宋体"/>
        </w:rPr>
      </w:pPr>
    </w:p>
    <w:p w14:paraId="21F3EA0A">
      <w:pPr>
        <w:pStyle w:val="16"/>
        <w:snapToGrid w:val="0"/>
        <w:spacing w:before="120" w:after="120"/>
        <w:rPr>
          <w:rFonts w:hAnsi="宋体"/>
        </w:rPr>
      </w:pPr>
    </w:p>
    <w:p w14:paraId="0F426DC7">
      <w:pPr>
        <w:pStyle w:val="16"/>
        <w:snapToGrid w:val="0"/>
        <w:spacing w:before="120" w:after="120"/>
        <w:rPr>
          <w:rFonts w:hAnsi="宋体"/>
        </w:rPr>
      </w:pPr>
    </w:p>
    <w:p w14:paraId="6D22FCC8">
      <w:pPr>
        <w:pStyle w:val="16"/>
        <w:snapToGrid w:val="0"/>
        <w:spacing w:before="120" w:after="120"/>
        <w:rPr>
          <w:rFonts w:hAnsi="宋体"/>
        </w:rPr>
      </w:pPr>
    </w:p>
    <w:p w14:paraId="302D7E24">
      <w:pPr>
        <w:pStyle w:val="16"/>
        <w:snapToGrid w:val="0"/>
        <w:spacing w:before="120" w:after="120"/>
        <w:rPr>
          <w:rFonts w:hAnsi="宋体"/>
        </w:rPr>
      </w:pPr>
    </w:p>
    <w:p w14:paraId="4E317F90">
      <w:pPr>
        <w:pStyle w:val="16"/>
        <w:snapToGrid w:val="0"/>
        <w:spacing w:before="120" w:after="120"/>
        <w:rPr>
          <w:rFonts w:hAnsi="宋体"/>
        </w:rPr>
      </w:pPr>
    </w:p>
    <w:p w14:paraId="75F6C4EE">
      <w:pPr>
        <w:pStyle w:val="16"/>
        <w:snapToGrid w:val="0"/>
        <w:spacing w:before="120" w:after="120"/>
        <w:rPr>
          <w:rFonts w:hAnsi="宋体"/>
        </w:rPr>
      </w:pPr>
    </w:p>
    <w:p w14:paraId="11F20B0E">
      <w:pPr>
        <w:pStyle w:val="16"/>
        <w:snapToGrid w:val="0"/>
        <w:spacing w:before="120" w:after="120"/>
        <w:rPr>
          <w:rFonts w:hAnsi="宋体"/>
        </w:rPr>
      </w:pPr>
    </w:p>
    <w:p w14:paraId="1FE37F42">
      <w:pPr>
        <w:pStyle w:val="16"/>
        <w:snapToGrid w:val="0"/>
        <w:spacing w:before="120" w:after="120"/>
        <w:rPr>
          <w:rFonts w:hAnsi="宋体"/>
        </w:rPr>
      </w:pPr>
    </w:p>
    <w:p w14:paraId="50BA338C">
      <w:pPr>
        <w:pStyle w:val="16"/>
        <w:snapToGrid w:val="0"/>
        <w:spacing w:line="360" w:lineRule="auto"/>
        <w:ind w:left="840" w:hanging="420"/>
        <w:rPr>
          <w:rFonts w:hint="eastAsia" w:hAnsi="宋体"/>
          <w:color w:val="000000"/>
        </w:rPr>
      </w:pPr>
      <w:r>
        <w:rPr>
          <w:rFonts w:hint="eastAsia" w:ascii="黑体" w:hAnsi="黑体" w:eastAsia="黑体" w:cs="黑体"/>
          <w:bCs/>
          <w:color w:val="000000"/>
          <w:sz w:val="32"/>
          <w:szCs w:val="32"/>
        </w:rPr>
        <w:t>附件1：</w:t>
      </w:r>
    </w:p>
    <w:p w14:paraId="010A2132">
      <w:pPr>
        <w:widowControl/>
        <w:shd w:val="clear" w:color="auto" w:fill="FFFFFF"/>
        <w:spacing w:line="480" w:lineRule="atLeast"/>
        <w:jc w:val="center"/>
        <w:rPr>
          <w:rFonts w:hint="eastAsia" w:ascii="仿宋" w:hAnsi="仿宋" w:eastAsia="仿宋" w:cs="宋体"/>
          <w:color w:val="000000"/>
          <w:kern w:val="0"/>
          <w:sz w:val="32"/>
          <w:szCs w:val="32"/>
        </w:rPr>
      </w:pPr>
      <w:r>
        <w:rPr>
          <w:rFonts w:hint="eastAsia" w:ascii="宋体" w:hAnsi="宋体" w:cs="宋体"/>
          <w:b/>
          <w:bCs/>
          <w:color w:val="000000"/>
          <w:kern w:val="0"/>
          <w:sz w:val="32"/>
          <w:szCs w:val="32"/>
        </w:rPr>
        <w:t>广西壮族自治区政府采购项目合同验收书（格式参考）</w:t>
      </w:r>
    </w:p>
    <w:p w14:paraId="4787512B">
      <w:pPr>
        <w:widowControl/>
        <w:shd w:val="clear" w:color="auto" w:fill="FFFFFF"/>
        <w:snapToGrid w:val="0"/>
        <w:spacing w:line="320" w:lineRule="atLeast"/>
        <w:ind w:firstLine="480"/>
        <w:jc w:val="left"/>
        <w:rPr>
          <w:rFonts w:ascii="宋体" w:hAnsi="宋体" w:cs="宋体"/>
          <w:color w:val="000000"/>
          <w:kern w:val="0"/>
          <w:szCs w:val="21"/>
        </w:rPr>
      </w:pPr>
    </w:p>
    <w:p w14:paraId="4C7E7FDD">
      <w:pPr>
        <w:widowControl/>
        <w:shd w:val="clear" w:color="auto" w:fill="FFFFFF"/>
        <w:snapToGrid w:val="0"/>
        <w:spacing w:line="320" w:lineRule="atLeast"/>
        <w:ind w:firstLine="480"/>
        <w:jc w:val="left"/>
        <w:rPr>
          <w:rFonts w:hint="eastAsia" w:ascii="宋体" w:hAnsi="宋体" w:cs="宋体"/>
          <w:color w:val="000000"/>
          <w:kern w:val="0"/>
          <w:szCs w:val="21"/>
        </w:rPr>
      </w:pPr>
      <w:r>
        <w:rPr>
          <w:rFonts w:hint="eastAsia" w:ascii="宋体" w:hAnsi="宋体" w:cs="宋体"/>
          <w:color w:val="000000"/>
          <w:kern w:val="0"/>
          <w:szCs w:val="21"/>
        </w:rPr>
        <w:t>根据政府采购项目（</w:t>
      </w:r>
      <w:r>
        <w:rPr>
          <w:rFonts w:hint="eastAsia" w:ascii="宋体" w:hAnsi="宋体" w:cs="宋体"/>
          <w:color w:val="000000"/>
          <w:kern w:val="0"/>
          <w:szCs w:val="21"/>
          <w:u w:val="single"/>
        </w:rPr>
        <w:t>采购合同编号：</w:t>
      </w:r>
      <w:r>
        <w:rPr>
          <w:rFonts w:hint="eastAsia" w:ascii="宋体" w:hAnsi="宋体" w:cs="宋体"/>
          <w:color w:val="000000"/>
          <w:kern w:val="0"/>
          <w:szCs w:val="21"/>
          <w:u w:val="single"/>
        </w:rPr>
        <w:softHyphen/>
      </w:r>
      <w:r>
        <w:rPr>
          <w:rFonts w:hint="eastAsia" w:ascii="宋体" w:hAnsi="宋体" w:cs="宋体"/>
          <w:color w:val="000000"/>
          <w:kern w:val="0"/>
          <w:szCs w:val="21"/>
          <w:u w:val="single"/>
        </w:rPr>
        <w:t xml:space="preserve"> </w:t>
      </w:r>
      <w:r>
        <w:rPr>
          <w:rFonts w:hint="eastAsia" w:ascii="宋体" w:hAnsi="宋体" w:cs="宋体"/>
          <w:color w:val="000000"/>
          <w:kern w:val="0"/>
          <w:szCs w:val="21"/>
        </w:rPr>
        <w:t>）的约定，我单位对（</w:t>
      </w:r>
      <w:r>
        <w:rPr>
          <w:rFonts w:hint="eastAsia" w:ascii="宋体" w:hAnsi="宋体" w:cs="宋体"/>
          <w:color w:val="000000"/>
          <w:kern w:val="0"/>
          <w:szCs w:val="21"/>
          <w:u w:val="single"/>
        </w:rPr>
        <w:t xml:space="preserve"> 项目名称 </w:t>
      </w:r>
      <w:r>
        <w:rPr>
          <w:rFonts w:hint="eastAsia" w:ascii="宋体" w:hAnsi="宋体" w:cs="宋体"/>
          <w:color w:val="000000"/>
          <w:kern w:val="0"/>
          <w:szCs w:val="21"/>
        </w:rPr>
        <w:t>） 政府采购项目成交供应商（</w:t>
      </w:r>
      <w:r>
        <w:rPr>
          <w:rFonts w:hint="eastAsia" w:ascii="宋体" w:hAnsi="宋体" w:cs="宋体"/>
          <w:color w:val="000000"/>
          <w:kern w:val="0"/>
          <w:szCs w:val="21"/>
          <w:u w:val="single"/>
        </w:rPr>
        <w:t xml:space="preserve"> 公司名称 </w:t>
      </w:r>
      <w:r>
        <w:rPr>
          <w:rFonts w:hint="eastAsia" w:ascii="宋体" w:hAnsi="宋体" w:cs="宋体"/>
          <w:color w:val="000000"/>
          <w:kern w:val="0"/>
          <w:szCs w:val="21"/>
        </w:rPr>
        <w:t>） 提供的货物（或者工程、服务）进行了验收，验收情况如下：</w:t>
      </w:r>
    </w:p>
    <w:tbl>
      <w:tblPr>
        <w:tblStyle w:val="26"/>
        <w:tblW w:w="5000" w:type="pct"/>
        <w:jc w:val="center"/>
        <w:tblLayout w:type="autofit"/>
        <w:tblCellMar>
          <w:top w:w="0" w:type="dxa"/>
          <w:left w:w="0" w:type="dxa"/>
          <w:bottom w:w="0" w:type="dxa"/>
          <w:right w:w="0" w:type="dxa"/>
        </w:tblCellMar>
      </w:tblPr>
      <w:tblGrid>
        <w:gridCol w:w="930"/>
        <w:gridCol w:w="953"/>
        <w:gridCol w:w="1877"/>
        <w:gridCol w:w="922"/>
        <w:gridCol w:w="119"/>
        <w:gridCol w:w="2316"/>
        <w:gridCol w:w="203"/>
        <w:gridCol w:w="795"/>
        <w:gridCol w:w="1651"/>
      </w:tblGrid>
      <w:tr w14:paraId="3014646A">
        <w:tblPrEx>
          <w:tblCellMar>
            <w:top w:w="0" w:type="dxa"/>
            <w:left w:w="0" w:type="dxa"/>
            <w:bottom w:w="0" w:type="dxa"/>
            <w:right w:w="0" w:type="dxa"/>
          </w:tblCellMar>
        </w:tblPrEx>
        <w:trPr>
          <w:trHeight w:val="497" w:hRule="atLeast"/>
          <w:jc w:val="center"/>
        </w:trPr>
        <w:tc>
          <w:tcPr>
            <w:tcW w:w="1925" w:type="pct"/>
            <w:gridSpan w:val="3"/>
            <w:tcBorders>
              <w:top w:val="single" w:color="auto" w:sz="8" w:space="0"/>
              <w:left w:val="single" w:color="auto" w:sz="8" w:space="0"/>
              <w:bottom w:val="single" w:color="auto" w:sz="8" w:space="0"/>
              <w:right w:val="single" w:color="auto" w:sz="8" w:space="0"/>
            </w:tcBorders>
            <w:noWrap w:val="0"/>
            <w:vAlign w:val="center"/>
          </w:tcPr>
          <w:p w14:paraId="3AF0A5EE">
            <w:pPr>
              <w:widowControl/>
              <w:snapToGrid w:val="0"/>
              <w:spacing w:before="100" w:beforeAutospacing="1" w:after="100" w:afterAutospacing="1" w:line="320" w:lineRule="atLeast"/>
              <w:ind w:firstLine="5"/>
              <w:jc w:val="center"/>
              <w:rPr>
                <w:rFonts w:ascii="宋体" w:hAnsi="宋体" w:cs="宋体"/>
                <w:color w:val="000000"/>
                <w:kern w:val="0"/>
                <w:szCs w:val="21"/>
              </w:rPr>
            </w:pPr>
            <w:r>
              <w:rPr>
                <w:rFonts w:ascii="宋体" w:hAnsi="宋体" w:cs="宋体"/>
                <w:color w:val="000000"/>
                <w:kern w:val="0"/>
                <w:szCs w:val="21"/>
              </w:rPr>
              <w:t>验收方式：</w:t>
            </w:r>
          </w:p>
        </w:tc>
        <w:tc>
          <w:tcPr>
            <w:tcW w:w="3075" w:type="pct"/>
            <w:gridSpan w:val="6"/>
            <w:tcBorders>
              <w:top w:val="single" w:color="auto" w:sz="8" w:space="0"/>
              <w:left w:val="nil"/>
              <w:bottom w:val="single" w:color="auto" w:sz="8" w:space="0"/>
              <w:right w:val="single" w:color="auto" w:sz="8" w:space="0"/>
            </w:tcBorders>
            <w:noWrap w:val="0"/>
            <w:vAlign w:val="center"/>
          </w:tcPr>
          <w:p w14:paraId="6257F0BA">
            <w:pPr>
              <w:widowControl/>
              <w:snapToGrid w:val="0"/>
              <w:spacing w:before="100" w:beforeAutospacing="1" w:after="100" w:afterAutospacing="1" w:line="320" w:lineRule="atLeast"/>
              <w:jc w:val="center"/>
              <w:rPr>
                <w:rFonts w:ascii="宋体" w:hAnsi="宋体" w:cs="宋体"/>
                <w:color w:val="000000"/>
                <w:kern w:val="0"/>
                <w:szCs w:val="21"/>
              </w:rPr>
            </w:pPr>
            <w:r>
              <w:rPr>
                <w:rFonts w:ascii="宋体" w:hAnsi="宋体" w:cs="宋体"/>
                <w:color w:val="000000"/>
                <w:kern w:val="0"/>
                <w:szCs w:val="21"/>
              </w:rPr>
              <w:t>□自行验收 □委托验收</w:t>
            </w:r>
          </w:p>
        </w:tc>
      </w:tr>
      <w:tr w14:paraId="6C4EFDEE">
        <w:tblPrEx>
          <w:tblCellMar>
            <w:top w:w="0" w:type="dxa"/>
            <w:left w:w="0" w:type="dxa"/>
            <w:bottom w:w="0" w:type="dxa"/>
            <w:right w:w="0" w:type="dxa"/>
          </w:tblCellMar>
        </w:tblPrEx>
        <w:trPr>
          <w:trHeight w:val="622" w:hRule="atLeast"/>
          <w:jc w:val="center"/>
        </w:trPr>
        <w:tc>
          <w:tcPr>
            <w:tcW w:w="476" w:type="pct"/>
            <w:tcBorders>
              <w:top w:val="nil"/>
              <w:left w:val="single" w:color="auto" w:sz="8" w:space="0"/>
              <w:bottom w:val="single" w:color="auto" w:sz="8" w:space="0"/>
              <w:right w:val="single" w:color="auto" w:sz="8" w:space="0"/>
            </w:tcBorders>
            <w:noWrap w:val="0"/>
            <w:vAlign w:val="center"/>
          </w:tcPr>
          <w:p w14:paraId="5124957A">
            <w:pPr>
              <w:widowControl/>
              <w:snapToGrid w:val="0"/>
              <w:spacing w:before="100" w:beforeAutospacing="1" w:after="100" w:afterAutospacing="1" w:line="320" w:lineRule="atLeast"/>
              <w:ind w:firstLine="2"/>
              <w:jc w:val="center"/>
              <w:rPr>
                <w:rFonts w:ascii="宋体" w:hAnsi="宋体" w:cs="宋体"/>
                <w:color w:val="000000"/>
                <w:kern w:val="0"/>
                <w:szCs w:val="21"/>
              </w:rPr>
            </w:pPr>
            <w:r>
              <w:rPr>
                <w:rFonts w:ascii="宋体" w:hAnsi="宋体" w:cs="宋体"/>
                <w:color w:val="000000"/>
                <w:kern w:val="0"/>
                <w:szCs w:val="21"/>
              </w:rPr>
              <w:t>序号</w:t>
            </w:r>
          </w:p>
        </w:tc>
        <w:tc>
          <w:tcPr>
            <w:tcW w:w="1449" w:type="pct"/>
            <w:gridSpan w:val="2"/>
            <w:tcBorders>
              <w:top w:val="nil"/>
              <w:left w:val="nil"/>
              <w:bottom w:val="single" w:color="auto" w:sz="8" w:space="0"/>
              <w:right w:val="single" w:color="auto" w:sz="8" w:space="0"/>
            </w:tcBorders>
            <w:noWrap w:val="0"/>
            <w:vAlign w:val="center"/>
          </w:tcPr>
          <w:p w14:paraId="74FB7F5D">
            <w:pPr>
              <w:widowControl/>
              <w:snapToGrid w:val="0"/>
              <w:spacing w:before="100" w:beforeAutospacing="1" w:after="100" w:afterAutospacing="1" w:line="320" w:lineRule="atLeast"/>
              <w:ind w:firstLine="2"/>
              <w:jc w:val="center"/>
              <w:rPr>
                <w:rFonts w:ascii="宋体" w:hAnsi="宋体" w:cs="宋体"/>
                <w:color w:val="000000"/>
                <w:kern w:val="0"/>
                <w:szCs w:val="21"/>
              </w:rPr>
            </w:pPr>
            <w:r>
              <w:rPr>
                <w:rFonts w:ascii="宋体" w:hAnsi="宋体" w:cs="宋体"/>
                <w:color w:val="000000"/>
                <w:kern w:val="0"/>
                <w:szCs w:val="21"/>
              </w:rPr>
              <w:t>名称</w:t>
            </w:r>
          </w:p>
        </w:tc>
        <w:tc>
          <w:tcPr>
            <w:tcW w:w="1718" w:type="pct"/>
            <w:gridSpan w:val="3"/>
            <w:tcBorders>
              <w:top w:val="nil"/>
              <w:left w:val="nil"/>
              <w:bottom w:val="single" w:color="auto" w:sz="8" w:space="0"/>
              <w:right w:val="single" w:color="auto" w:sz="8" w:space="0"/>
            </w:tcBorders>
            <w:noWrap w:val="0"/>
            <w:vAlign w:val="center"/>
          </w:tcPr>
          <w:p w14:paraId="50D7AA4E">
            <w:pPr>
              <w:widowControl/>
              <w:snapToGrid w:val="0"/>
              <w:spacing w:before="100" w:beforeAutospacing="1" w:after="100" w:afterAutospacing="1" w:line="320" w:lineRule="atLeast"/>
              <w:ind w:firstLine="2"/>
              <w:jc w:val="center"/>
              <w:rPr>
                <w:rFonts w:ascii="宋体" w:hAnsi="宋体" w:cs="宋体"/>
                <w:color w:val="000000"/>
                <w:kern w:val="0"/>
                <w:szCs w:val="21"/>
              </w:rPr>
            </w:pPr>
            <w:r>
              <w:rPr>
                <w:rFonts w:ascii="宋体" w:hAnsi="宋体" w:cs="宋体"/>
                <w:color w:val="000000"/>
                <w:kern w:val="0"/>
                <w:szCs w:val="21"/>
              </w:rPr>
              <w:t>货物型号规格、标准及配置等（或者服务内容、标准）</w:t>
            </w:r>
          </w:p>
        </w:tc>
        <w:tc>
          <w:tcPr>
            <w:tcW w:w="511" w:type="pct"/>
            <w:gridSpan w:val="2"/>
            <w:tcBorders>
              <w:top w:val="nil"/>
              <w:left w:val="nil"/>
              <w:bottom w:val="single" w:color="auto" w:sz="8" w:space="0"/>
              <w:right w:val="single" w:color="auto" w:sz="8" w:space="0"/>
            </w:tcBorders>
            <w:noWrap w:val="0"/>
            <w:vAlign w:val="center"/>
          </w:tcPr>
          <w:p w14:paraId="25F810E1">
            <w:pPr>
              <w:widowControl/>
              <w:snapToGrid w:val="0"/>
              <w:spacing w:before="100" w:beforeAutospacing="1" w:after="100" w:afterAutospacing="1" w:line="320" w:lineRule="atLeast"/>
              <w:jc w:val="center"/>
              <w:rPr>
                <w:rFonts w:ascii="宋体" w:hAnsi="宋体" w:cs="宋体"/>
                <w:color w:val="000000"/>
                <w:kern w:val="0"/>
                <w:szCs w:val="21"/>
              </w:rPr>
            </w:pPr>
            <w:r>
              <w:rPr>
                <w:rFonts w:ascii="宋体" w:hAnsi="宋体" w:cs="宋体"/>
                <w:color w:val="000000"/>
                <w:kern w:val="0"/>
                <w:szCs w:val="21"/>
              </w:rPr>
              <w:t>数量</w:t>
            </w:r>
          </w:p>
        </w:tc>
        <w:tc>
          <w:tcPr>
            <w:tcW w:w="845" w:type="pct"/>
            <w:tcBorders>
              <w:top w:val="nil"/>
              <w:left w:val="nil"/>
              <w:bottom w:val="single" w:color="auto" w:sz="8" w:space="0"/>
              <w:right w:val="single" w:color="auto" w:sz="8" w:space="0"/>
            </w:tcBorders>
            <w:noWrap w:val="0"/>
            <w:vAlign w:val="center"/>
          </w:tcPr>
          <w:p w14:paraId="1EE81C94">
            <w:pPr>
              <w:widowControl/>
              <w:snapToGrid w:val="0"/>
              <w:spacing w:before="100" w:beforeAutospacing="1" w:after="100" w:afterAutospacing="1" w:line="320" w:lineRule="atLeast"/>
              <w:ind w:firstLine="2"/>
              <w:jc w:val="center"/>
              <w:rPr>
                <w:rFonts w:ascii="宋体" w:hAnsi="宋体" w:cs="宋体"/>
                <w:color w:val="000000"/>
                <w:kern w:val="0"/>
                <w:szCs w:val="21"/>
              </w:rPr>
            </w:pPr>
            <w:r>
              <w:rPr>
                <w:rFonts w:ascii="宋体" w:hAnsi="宋体" w:cs="宋体"/>
                <w:color w:val="000000"/>
                <w:kern w:val="0"/>
                <w:szCs w:val="21"/>
              </w:rPr>
              <w:t>金额</w:t>
            </w:r>
          </w:p>
        </w:tc>
      </w:tr>
      <w:tr w14:paraId="34EEACCF">
        <w:tblPrEx>
          <w:tblCellMar>
            <w:top w:w="0" w:type="dxa"/>
            <w:left w:w="0" w:type="dxa"/>
            <w:bottom w:w="0" w:type="dxa"/>
            <w:right w:w="0" w:type="dxa"/>
          </w:tblCellMar>
        </w:tblPrEx>
        <w:trPr>
          <w:trHeight w:val="487" w:hRule="atLeast"/>
          <w:jc w:val="center"/>
        </w:trPr>
        <w:tc>
          <w:tcPr>
            <w:tcW w:w="476" w:type="pct"/>
            <w:tcBorders>
              <w:top w:val="nil"/>
              <w:left w:val="single" w:color="auto" w:sz="8" w:space="0"/>
              <w:bottom w:val="single" w:color="auto" w:sz="8" w:space="0"/>
              <w:right w:val="single" w:color="auto" w:sz="8" w:space="0"/>
            </w:tcBorders>
            <w:noWrap w:val="0"/>
            <w:vAlign w:val="center"/>
          </w:tcPr>
          <w:p w14:paraId="784540C6">
            <w:pPr>
              <w:widowControl/>
              <w:spacing w:before="100" w:beforeAutospacing="1" w:after="100" w:afterAutospacing="1" w:line="240" w:lineRule="atLeast"/>
              <w:jc w:val="center"/>
              <w:rPr>
                <w:rFonts w:ascii="宋体" w:hAnsi="宋体" w:cs="宋体"/>
                <w:color w:val="000000"/>
                <w:kern w:val="0"/>
                <w:szCs w:val="21"/>
              </w:rPr>
            </w:pPr>
          </w:p>
        </w:tc>
        <w:tc>
          <w:tcPr>
            <w:tcW w:w="1449" w:type="pct"/>
            <w:gridSpan w:val="2"/>
            <w:tcBorders>
              <w:top w:val="nil"/>
              <w:left w:val="nil"/>
              <w:bottom w:val="single" w:color="auto" w:sz="8" w:space="0"/>
              <w:right w:val="single" w:color="auto" w:sz="8" w:space="0"/>
            </w:tcBorders>
            <w:noWrap w:val="0"/>
            <w:vAlign w:val="center"/>
          </w:tcPr>
          <w:p w14:paraId="3D1A2FE2">
            <w:pPr>
              <w:widowControl/>
              <w:spacing w:before="100" w:beforeAutospacing="1" w:after="100" w:afterAutospacing="1" w:line="240" w:lineRule="atLeast"/>
              <w:jc w:val="center"/>
              <w:rPr>
                <w:rFonts w:ascii="宋体" w:hAnsi="宋体" w:cs="宋体"/>
                <w:color w:val="000000"/>
                <w:kern w:val="0"/>
                <w:szCs w:val="21"/>
              </w:rPr>
            </w:pPr>
          </w:p>
        </w:tc>
        <w:tc>
          <w:tcPr>
            <w:tcW w:w="1718" w:type="pct"/>
            <w:gridSpan w:val="3"/>
            <w:tcBorders>
              <w:top w:val="nil"/>
              <w:left w:val="nil"/>
              <w:bottom w:val="single" w:color="auto" w:sz="8" w:space="0"/>
              <w:right w:val="single" w:color="auto" w:sz="8" w:space="0"/>
            </w:tcBorders>
            <w:noWrap w:val="0"/>
            <w:vAlign w:val="center"/>
          </w:tcPr>
          <w:p w14:paraId="221EB3A3">
            <w:pPr>
              <w:widowControl/>
              <w:spacing w:before="100" w:beforeAutospacing="1" w:after="100" w:afterAutospacing="1" w:line="240" w:lineRule="atLeast"/>
              <w:jc w:val="center"/>
              <w:rPr>
                <w:rFonts w:ascii="宋体" w:hAnsi="宋体" w:cs="宋体"/>
                <w:color w:val="000000"/>
                <w:kern w:val="0"/>
                <w:szCs w:val="21"/>
              </w:rPr>
            </w:pPr>
          </w:p>
        </w:tc>
        <w:tc>
          <w:tcPr>
            <w:tcW w:w="511" w:type="pct"/>
            <w:gridSpan w:val="2"/>
            <w:tcBorders>
              <w:top w:val="nil"/>
              <w:left w:val="nil"/>
              <w:bottom w:val="single" w:color="auto" w:sz="8" w:space="0"/>
              <w:right w:val="single" w:color="auto" w:sz="8" w:space="0"/>
            </w:tcBorders>
            <w:noWrap w:val="0"/>
            <w:vAlign w:val="center"/>
          </w:tcPr>
          <w:p w14:paraId="48A03EFA">
            <w:pPr>
              <w:widowControl/>
              <w:spacing w:before="100" w:beforeAutospacing="1" w:after="100" w:afterAutospacing="1" w:line="240" w:lineRule="atLeast"/>
              <w:jc w:val="center"/>
              <w:rPr>
                <w:rFonts w:ascii="宋体" w:hAnsi="宋体" w:cs="宋体"/>
                <w:color w:val="000000"/>
                <w:kern w:val="0"/>
                <w:szCs w:val="21"/>
              </w:rPr>
            </w:pPr>
          </w:p>
        </w:tc>
        <w:tc>
          <w:tcPr>
            <w:tcW w:w="845" w:type="pct"/>
            <w:tcBorders>
              <w:top w:val="nil"/>
              <w:left w:val="nil"/>
              <w:bottom w:val="single" w:color="auto" w:sz="8" w:space="0"/>
              <w:right w:val="single" w:color="auto" w:sz="8" w:space="0"/>
            </w:tcBorders>
            <w:noWrap w:val="0"/>
            <w:vAlign w:val="center"/>
          </w:tcPr>
          <w:p w14:paraId="66DB8C84">
            <w:pPr>
              <w:widowControl/>
              <w:spacing w:before="100" w:beforeAutospacing="1" w:after="100" w:afterAutospacing="1" w:line="240" w:lineRule="atLeast"/>
              <w:jc w:val="center"/>
              <w:rPr>
                <w:rFonts w:ascii="宋体" w:hAnsi="宋体" w:cs="宋体"/>
                <w:color w:val="000000"/>
                <w:kern w:val="0"/>
                <w:szCs w:val="21"/>
              </w:rPr>
            </w:pPr>
          </w:p>
        </w:tc>
      </w:tr>
      <w:tr w14:paraId="50746B60">
        <w:tblPrEx>
          <w:tblCellMar>
            <w:top w:w="0" w:type="dxa"/>
            <w:left w:w="0" w:type="dxa"/>
            <w:bottom w:w="0" w:type="dxa"/>
            <w:right w:w="0" w:type="dxa"/>
          </w:tblCellMar>
        </w:tblPrEx>
        <w:trPr>
          <w:trHeight w:val="487" w:hRule="atLeast"/>
          <w:jc w:val="center"/>
        </w:trPr>
        <w:tc>
          <w:tcPr>
            <w:tcW w:w="476" w:type="pct"/>
            <w:tcBorders>
              <w:top w:val="nil"/>
              <w:left w:val="single" w:color="auto" w:sz="8" w:space="0"/>
              <w:bottom w:val="single" w:color="auto" w:sz="8" w:space="0"/>
              <w:right w:val="single" w:color="auto" w:sz="8" w:space="0"/>
            </w:tcBorders>
            <w:noWrap w:val="0"/>
            <w:vAlign w:val="center"/>
          </w:tcPr>
          <w:p w14:paraId="75EA1EAC">
            <w:pPr>
              <w:widowControl/>
              <w:spacing w:before="100" w:beforeAutospacing="1" w:after="100" w:afterAutospacing="1" w:line="240" w:lineRule="atLeast"/>
              <w:jc w:val="center"/>
              <w:rPr>
                <w:rFonts w:ascii="宋体" w:hAnsi="宋体" w:cs="宋体"/>
                <w:color w:val="000000"/>
                <w:kern w:val="0"/>
                <w:szCs w:val="21"/>
              </w:rPr>
            </w:pPr>
          </w:p>
        </w:tc>
        <w:tc>
          <w:tcPr>
            <w:tcW w:w="1449" w:type="pct"/>
            <w:gridSpan w:val="2"/>
            <w:tcBorders>
              <w:top w:val="nil"/>
              <w:left w:val="nil"/>
              <w:bottom w:val="single" w:color="auto" w:sz="8" w:space="0"/>
              <w:right w:val="single" w:color="auto" w:sz="8" w:space="0"/>
            </w:tcBorders>
            <w:noWrap w:val="0"/>
            <w:vAlign w:val="center"/>
          </w:tcPr>
          <w:p w14:paraId="55955579">
            <w:pPr>
              <w:widowControl/>
              <w:spacing w:before="100" w:beforeAutospacing="1" w:after="100" w:afterAutospacing="1" w:line="240" w:lineRule="atLeast"/>
              <w:jc w:val="center"/>
              <w:rPr>
                <w:rFonts w:ascii="宋体" w:hAnsi="宋体" w:cs="宋体"/>
                <w:color w:val="000000"/>
                <w:kern w:val="0"/>
                <w:szCs w:val="21"/>
              </w:rPr>
            </w:pPr>
          </w:p>
        </w:tc>
        <w:tc>
          <w:tcPr>
            <w:tcW w:w="1718" w:type="pct"/>
            <w:gridSpan w:val="3"/>
            <w:tcBorders>
              <w:top w:val="nil"/>
              <w:left w:val="nil"/>
              <w:bottom w:val="single" w:color="auto" w:sz="8" w:space="0"/>
              <w:right w:val="single" w:color="auto" w:sz="8" w:space="0"/>
            </w:tcBorders>
            <w:noWrap w:val="0"/>
            <w:vAlign w:val="center"/>
          </w:tcPr>
          <w:p w14:paraId="2FB17F5B">
            <w:pPr>
              <w:widowControl/>
              <w:spacing w:before="100" w:beforeAutospacing="1" w:after="100" w:afterAutospacing="1" w:line="240" w:lineRule="atLeast"/>
              <w:jc w:val="center"/>
              <w:rPr>
                <w:rFonts w:ascii="宋体" w:hAnsi="宋体" w:cs="宋体"/>
                <w:color w:val="000000"/>
                <w:kern w:val="0"/>
                <w:szCs w:val="21"/>
              </w:rPr>
            </w:pPr>
          </w:p>
        </w:tc>
        <w:tc>
          <w:tcPr>
            <w:tcW w:w="511" w:type="pct"/>
            <w:gridSpan w:val="2"/>
            <w:tcBorders>
              <w:top w:val="nil"/>
              <w:left w:val="nil"/>
              <w:bottom w:val="single" w:color="auto" w:sz="8" w:space="0"/>
              <w:right w:val="single" w:color="auto" w:sz="8" w:space="0"/>
            </w:tcBorders>
            <w:noWrap w:val="0"/>
            <w:vAlign w:val="center"/>
          </w:tcPr>
          <w:p w14:paraId="799108BE">
            <w:pPr>
              <w:widowControl/>
              <w:spacing w:before="100" w:beforeAutospacing="1" w:after="100" w:afterAutospacing="1" w:line="240" w:lineRule="atLeast"/>
              <w:jc w:val="center"/>
              <w:rPr>
                <w:rFonts w:ascii="宋体" w:hAnsi="宋体" w:cs="宋体"/>
                <w:color w:val="000000"/>
                <w:kern w:val="0"/>
                <w:szCs w:val="21"/>
              </w:rPr>
            </w:pPr>
          </w:p>
        </w:tc>
        <w:tc>
          <w:tcPr>
            <w:tcW w:w="845" w:type="pct"/>
            <w:tcBorders>
              <w:top w:val="nil"/>
              <w:left w:val="nil"/>
              <w:bottom w:val="single" w:color="auto" w:sz="8" w:space="0"/>
              <w:right w:val="single" w:color="auto" w:sz="8" w:space="0"/>
            </w:tcBorders>
            <w:noWrap w:val="0"/>
            <w:vAlign w:val="center"/>
          </w:tcPr>
          <w:p w14:paraId="49CA1DC2">
            <w:pPr>
              <w:widowControl/>
              <w:spacing w:before="100" w:beforeAutospacing="1" w:after="100" w:afterAutospacing="1" w:line="240" w:lineRule="atLeast"/>
              <w:jc w:val="center"/>
              <w:rPr>
                <w:rFonts w:ascii="宋体" w:hAnsi="宋体" w:cs="宋体"/>
                <w:color w:val="000000"/>
                <w:kern w:val="0"/>
                <w:szCs w:val="21"/>
              </w:rPr>
            </w:pPr>
          </w:p>
        </w:tc>
      </w:tr>
      <w:tr w14:paraId="27D48A4C">
        <w:tblPrEx>
          <w:tblCellMar>
            <w:top w:w="0" w:type="dxa"/>
            <w:left w:w="0" w:type="dxa"/>
            <w:bottom w:w="0" w:type="dxa"/>
            <w:right w:w="0" w:type="dxa"/>
          </w:tblCellMar>
        </w:tblPrEx>
        <w:trPr>
          <w:trHeight w:val="487" w:hRule="atLeast"/>
          <w:jc w:val="center"/>
        </w:trPr>
        <w:tc>
          <w:tcPr>
            <w:tcW w:w="476" w:type="pct"/>
            <w:tcBorders>
              <w:top w:val="nil"/>
              <w:left w:val="single" w:color="auto" w:sz="8" w:space="0"/>
              <w:bottom w:val="single" w:color="auto" w:sz="8" w:space="0"/>
              <w:right w:val="single" w:color="auto" w:sz="8" w:space="0"/>
            </w:tcBorders>
            <w:noWrap w:val="0"/>
            <w:vAlign w:val="center"/>
          </w:tcPr>
          <w:p w14:paraId="46858BE6">
            <w:pPr>
              <w:widowControl/>
              <w:spacing w:before="100" w:beforeAutospacing="1" w:after="100" w:afterAutospacing="1" w:line="240" w:lineRule="atLeast"/>
              <w:jc w:val="center"/>
              <w:rPr>
                <w:rFonts w:ascii="宋体" w:hAnsi="宋体" w:cs="宋体"/>
                <w:color w:val="000000"/>
                <w:kern w:val="0"/>
                <w:szCs w:val="21"/>
              </w:rPr>
            </w:pPr>
          </w:p>
        </w:tc>
        <w:tc>
          <w:tcPr>
            <w:tcW w:w="1449" w:type="pct"/>
            <w:gridSpan w:val="2"/>
            <w:tcBorders>
              <w:top w:val="nil"/>
              <w:left w:val="nil"/>
              <w:bottom w:val="single" w:color="auto" w:sz="8" w:space="0"/>
              <w:right w:val="single" w:color="auto" w:sz="8" w:space="0"/>
            </w:tcBorders>
            <w:noWrap w:val="0"/>
            <w:vAlign w:val="center"/>
          </w:tcPr>
          <w:p w14:paraId="7467969F">
            <w:pPr>
              <w:widowControl/>
              <w:spacing w:before="100" w:beforeAutospacing="1" w:after="100" w:afterAutospacing="1" w:line="240" w:lineRule="atLeast"/>
              <w:jc w:val="center"/>
              <w:rPr>
                <w:rFonts w:ascii="宋体" w:hAnsi="宋体" w:cs="宋体"/>
                <w:color w:val="000000"/>
                <w:kern w:val="0"/>
                <w:szCs w:val="21"/>
              </w:rPr>
            </w:pPr>
          </w:p>
        </w:tc>
        <w:tc>
          <w:tcPr>
            <w:tcW w:w="1718" w:type="pct"/>
            <w:gridSpan w:val="3"/>
            <w:tcBorders>
              <w:top w:val="nil"/>
              <w:left w:val="nil"/>
              <w:bottom w:val="single" w:color="auto" w:sz="8" w:space="0"/>
              <w:right w:val="single" w:color="auto" w:sz="8" w:space="0"/>
            </w:tcBorders>
            <w:noWrap w:val="0"/>
            <w:vAlign w:val="center"/>
          </w:tcPr>
          <w:p w14:paraId="3D9E2821">
            <w:pPr>
              <w:widowControl/>
              <w:spacing w:before="100" w:beforeAutospacing="1" w:after="100" w:afterAutospacing="1" w:line="240" w:lineRule="atLeast"/>
              <w:jc w:val="center"/>
              <w:rPr>
                <w:rFonts w:ascii="宋体" w:hAnsi="宋体" w:cs="宋体"/>
                <w:color w:val="000000"/>
                <w:kern w:val="0"/>
                <w:szCs w:val="21"/>
              </w:rPr>
            </w:pPr>
          </w:p>
        </w:tc>
        <w:tc>
          <w:tcPr>
            <w:tcW w:w="511" w:type="pct"/>
            <w:gridSpan w:val="2"/>
            <w:tcBorders>
              <w:top w:val="nil"/>
              <w:left w:val="nil"/>
              <w:bottom w:val="single" w:color="auto" w:sz="8" w:space="0"/>
              <w:right w:val="single" w:color="auto" w:sz="8" w:space="0"/>
            </w:tcBorders>
            <w:noWrap w:val="0"/>
            <w:vAlign w:val="center"/>
          </w:tcPr>
          <w:p w14:paraId="1717FBA5">
            <w:pPr>
              <w:widowControl/>
              <w:spacing w:before="100" w:beforeAutospacing="1" w:after="100" w:afterAutospacing="1" w:line="240" w:lineRule="atLeast"/>
              <w:jc w:val="center"/>
              <w:rPr>
                <w:rFonts w:ascii="宋体" w:hAnsi="宋体" w:cs="宋体"/>
                <w:color w:val="000000"/>
                <w:kern w:val="0"/>
                <w:szCs w:val="21"/>
              </w:rPr>
            </w:pPr>
          </w:p>
        </w:tc>
        <w:tc>
          <w:tcPr>
            <w:tcW w:w="845" w:type="pct"/>
            <w:tcBorders>
              <w:top w:val="nil"/>
              <w:left w:val="nil"/>
              <w:bottom w:val="single" w:color="auto" w:sz="8" w:space="0"/>
              <w:right w:val="single" w:color="auto" w:sz="8" w:space="0"/>
            </w:tcBorders>
            <w:noWrap w:val="0"/>
            <w:vAlign w:val="center"/>
          </w:tcPr>
          <w:p w14:paraId="29BB99E5">
            <w:pPr>
              <w:widowControl/>
              <w:spacing w:before="100" w:beforeAutospacing="1" w:after="100" w:afterAutospacing="1" w:line="240" w:lineRule="atLeast"/>
              <w:jc w:val="center"/>
              <w:rPr>
                <w:rFonts w:ascii="宋体" w:hAnsi="宋体" w:cs="宋体"/>
                <w:color w:val="000000"/>
                <w:kern w:val="0"/>
                <w:szCs w:val="21"/>
              </w:rPr>
            </w:pPr>
          </w:p>
        </w:tc>
      </w:tr>
      <w:tr w14:paraId="2C4D59F9">
        <w:tblPrEx>
          <w:tblCellMar>
            <w:top w:w="0" w:type="dxa"/>
            <w:left w:w="0" w:type="dxa"/>
            <w:bottom w:w="0" w:type="dxa"/>
            <w:right w:w="0" w:type="dxa"/>
          </w:tblCellMar>
        </w:tblPrEx>
        <w:trPr>
          <w:trHeight w:val="487" w:hRule="atLeast"/>
          <w:jc w:val="center"/>
        </w:trPr>
        <w:tc>
          <w:tcPr>
            <w:tcW w:w="3644" w:type="pct"/>
            <w:gridSpan w:val="6"/>
            <w:tcBorders>
              <w:top w:val="nil"/>
              <w:left w:val="single" w:color="auto" w:sz="8" w:space="0"/>
              <w:bottom w:val="single" w:color="auto" w:sz="8" w:space="0"/>
              <w:right w:val="single" w:color="auto" w:sz="8" w:space="0"/>
            </w:tcBorders>
            <w:noWrap w:val="0"/>
            <w:vAlign w:val="center"/>
          </w:tcPr>
          <w:p w14:paraId="40FFB310">
            <w:pPr>
              <w:widowControl/>
              <w:snapToGrid w:val="0"/>
              <w:spacing w:before="100" w:beforeAutospacing="1" w:after="100" w:afterAutospacing="1" w:line="320" w:lineRule="atLeast"/>
              <w:ind w:firstLine="5"/>
              <w:jc w:val="center"/>
              <w:rPr>
                <w:rFonts w:ascii="宋体" w:hAnsi="宋体" w:cs="宋体"/>
                <w:color w:val="000000"/>
                <w:kern w:val="0"/>
                <w:szCs w:val="21"/>
              </w:rPr>
            </w:pPr>
            <w:r>
              <w:rPr>
                <w:rFonts w:ascii="宋体" w:hAnsi="宋体" w:cs="宋体"/>
                <w:color w:val="000000"/>
                <w:kern w:val="0"/>
                <w:szCs w:val="21"/>
              </w:rPr>
              <w:t>合 计</w:t>
            </w:r>
          </w:p>
        </w:tc>
        <w:tc>
          <w:tcPr>
            <w:tcW w:w="511" w:type="pct"/>
            <w:gridSpan w:val="2"/>
            <w:tcBorders>
              <w:top w:val="nil"/>
              <w:left w:val="nil"/>
              <w:bottom w:val="single" w:color="auto" w:sz="8" w:space="0"/>
              <w:right w:val="single" w:color="auto" w:sz="8" w:space="0"/>
            </w:tcBorders>
            <w:noWrap w:val="0"/>
            <w:vAlign w:val="center"/>
          </w:tcPr>
          <w:p w14:paraId="48083605">
            <w:pPr>
              <w:widowControl/>
              <w:spacing w:before="100" w:beforeAutospacing="1" w:after="100" w:afterAutospacing="1" w:line="240" w:lineRule="atLeast"/>
              <w:jc w:val="center"/>
              <w:rPr>
                <w:rFonts w:ascii="宋体" w:hAnsi="宋体" w:cs="宋体"/>
                <w:color w:val="000000"/>
                <w:kern w:val="0"/>
                <w:szCs w:val="21"/>
              </w:rPr>
            </w:pPr>
          </w:p>
        </w:tc>
        <w:tc>
          <w:tcPr>
            <w:tcW w:w="845" w:type="pct"/>
            <w:tcBorders>
              <w:top w:val="nil"/>
              <w:left w:val="nil"/>
              <w:bottom w:val="single" w:color="auto" w:sz="8" w:space="0"/>
              <w:right w:val="single" w:color="auto" w:sz="8" w:space="0"/>
            </w:tcBorders>
            <w:noWrap w:val="0"/>
            <w:vAlign w:val="center"/>
          </w:tcPr>
          <w:p w14:paraId="667A7159">
            <w:pPr>
              <w:widowControl/>
              <w:spacing w:before="100" w:beforeAutospacing="1" w:after="100" w:afterAutospacing="1" w:line="240" w:lineRule="atLeast"/>
              <w:jc w:val="center"/>
              <w:rPr>
                <w:rFonts w:ascii="宋体" w:hAnsi="宋体" w:cs="宋体"/>
                <w:color w:val="000000"/>
                <w:kern w:val="0"/>
                <w:szCs w:val="21"/>
              </w:rPr>
            </w:pPr>
          </w:p>
        </w:tc>
      </w:tr>
      <w:tr w14:paraId="54399C15">
        <w:tblPrEx>
          <w:tblCellMar>
            <w:top w:w="0" w:type="dxa"/>
            <w:left w:w="0" w:type="dxa"/>
            <w:bottom w:w="0" w:type="dxa"/>
            <w:right w:w="0" w:type="dxa"/>
          </w:tblCellMar>
        </w:tblPrEx>
        <w:trPr>
          <w:trHeight w:val="641" w:hRule="atLeast"/>
          <w:jc w:val="center"/>
        </w:trPr>
        <w:tc>
          <w:tcPr>
            <w:tcW w:w="5000" w:type="pct"/>
            <w:gridSpan w:val="9"/>
            <w:tcBorders>
              <w:top w:val="nil"/>
              <w:left w:val="single" w:color="auto" w:sz="8" w:space="0"/>
              <w:bottom w:val="single" w:color="auto" w:sz="8" w:space="0"/>
              <w:right w:val="single" w:color="auto" w:sz="8" w:space="0"/>
            </w:tcBorders>
            <w:noWrap w:val="0"/>
            <w:vAlign w:val="center"/>
          </w:tcPr>
          <w:p w14:paraId="73DE5CAA">
            <w:pPr>
              <w:widowControl/>
              <w:snapToGrid w:val="0"/>
              <w:spacing w:before="100" w:beforeAutospacing="1" w:after="100" w:afterAutospacing="1" w:line="320" w:lineRule="atLeast"/>
              <w:ind w:firstLine="210" w:firstLineChars="100"/>
              <w:jc w:val="left"/>
              <w:rPr>
                <w:rFonts w:ascii="宋体" w:hAnsi="宋体" w:cs="宋体"/>
                <w:color w:val="000000"/>
                <w:kern w:val="0"/>
                <w:szCs w:val="21"/>
              </w:rPr>
            </w:pPr>
            <w:r>
              <w:rPr>
                <w:rFonts w:ascii="宋体" w:hAnsi="宋体" w:cs="宋体"/>
                <w:color w:val="000000"/>
                <w:kern w:val="0"/>
                <w:szCs w:val="21"/>
              </w:rPr>
              <w:t xml:space="preserve">合计大写金额： </w:t>
            </w:r>
            <w:r>
              <w:rPr>
                <w:rFonts w:hint="eastAsia" w:ascii="宋体" w:hAnsi="宋体" w:cs="宋体"/>
                <w:color w:val="000000"/>
                <w:kern w:val="0"/>
                <w:szCs w:val="21"/>
              </w:rPr>
              <w:t xml:space="preserve"> </w:t>
            </w:r>
            <w:r>
              <w:rPr>
                <w:rFonts w:ascii="宋体" w:hAnsi="宋体" w:cs="宋体"/>
                <w:color w:val="000000"/>
                <w:kern w:val="0"/>
                <w:szCs w:val="21"/>
              </w:rPr>
              <w:t xml:space="preserve">仟 </w:t>
            </w:r>
            <w:r>
              <w:rPr>
                <w:rFonts w:hint="eastAsia" w:ascii="宋体" w:hAnsi="宋体" w:cs="宋体"/>
                <w:color w:val="000000"/>
                <w:kern w:val="0"/>
                <w:szCs w:val="21"/>
              </w:rPr>
              <w:t xml:space="preserve"> </w:t>
            </w:r>
            <w:r>
              <w:rPr>
                <w:rFonts w:ascii="宋体" w:hAnsi="宋体" w:cs="宋体"/>
                <w:color w:val="000000"/>
                <w:kern w:val="0"/>
                <w:szCs w:val="21"/>
              </w:rPr>
              <w:t xml:space="preserve">佰 </w:t>
            </w:r>
            <w:r>
              <w:rPr>
                <w:rFonts w:hint="eastAsia" w:ascii="宋体" w:hAnsi="宋体" w:cs="宋体"/>
                <w:color w:val="000000"/>
                <w:kern w:val="0"/>
                <w:szCs w:val="21"/>
              </w:rPr>
              <w:t xml:space="preserve"> </w:t>
            </w:r>
            <w:r>
              <w:rPr>
                <w:rFonts w:ascii="宋体" w:hAnsi="宋体" w:cs="宋体"/>
                <w:color w:val="000000"/>
                <w:kern w:val="0"/>
                <w:szCs w:val="21"/>
              </w:rPr>
              <w:t xml:space="preserve">拾 </w:t>
            </w:r>
            <w:r>
              <w:rPr>
                <w:rFonts w:hint="eastAsia" w:ascii="宋体" w:hAnsi="宋体" w:cs="宋体"/>
                <w:color w:val="000000"/>
                <w:kern w:val="0"/>
                <w:szCs w:val="21"/>
              </w:rPr>
              <w:t xml:space="preserve"> </w:t>
            </w:r>
            <w:r>
              <w:rPr>
                <w:rFonts w:ascii="宋体" w:hAnsi="宋体" w:cs="宋体"/>
                <w:color w:val="000000"/>
                <w:kern w:val="0"/>
                <w:szCs w:val="21"/>
              </w:rPr>
              <w:t xml:space="preserve">万 </w:t>
            </w:r>
            <w:r>
              <w:rPr>
                <w:rFonts w:hint="eastAsia" w:ascii="宋体" w:hAnsi="宋体" w:cs="宋体"/>
                <w:color w:val="000000"/>
                <w:kern w:val="0"/>
                <w:szCs w:val="21"/>
              </w:rPr>
              <w:t xml:space="preserve"> </w:t>
            </w:r>
            <w:r>
              <w:rPr>
                <w:rFonts w:ascii="宋体" w:hAnsi="宋体" w:cs="宋体"/>
                <w:color w:val="000000"/>
                <w:kern w:val="0"/>
                <w:szCs w:val="21"/>
              </w:rPr>
              <w:t xml:space="preserve">仟 </w:t>
            </w:r>
            <w:r>
              <w:rPr>
                <w:rFonts w:hint="eastAsia" w:ascii="宋体" w:hAnsi="宋体" w:cs="宋体"/>
                <w:color w:val="000000"/>
                <w:kern w:val="0"/>
                <w:szCs w:val="21"/>
              </w:rPr>
              <w:t xml:space="preserve"> </w:t>
            </w:r>
            <w:r>
              <w:rPr>
                <w:rFonts w:ascii="宋体" w:hAnsi="宋体" w:cs="宋体"/>
                <w:color w:val="000000"/>
                <w:kern w:val="0"/>
                <w:szCs w:val="21"/>
              </w:rPr>
              <w:t xml:space="preserve">佰 </w:t>
            </w:r>
            <w:r>
              <w:rPr>
                <w:rFonts w:hint="eastAsia" w:ascii="宋体" w:hAnsi="宋体" w:cs="宋体"/>
                <w:color w:val="000000"/>
                <w:kern w:val="0"/>
                <w:szCs w:val="21"/>
              </w:rPr>
              <w:t xml:space="preserve"> </w:t>
            </w:r>
            <w:r>
              <w:rPr>
                <w:rFonts w:ascii="宋体" w:hAnsi="宋体" w:cs="宋体"/>
                <w:color w:val="000000"/>
                <w:kern w:val="0"/>
                <w:szCs w:val="21"/>
              </w:rPr>
              <w:t xml:space="preserve">拾 </w:t>
            </w:r>
            <w:r>
              <w:rPr>
                <w:rFonts w:hint="eastAsia" w:ascii="宋体" w:hAnsi="宋体" w:cs="宋体"/>
                <w:color w:val="000000"/>
                <w:kern w:val="0"/>
                <w:szCs w:val="21"/>
              </w:rPr>
              <w:t xml:space="preserve"> </w:t>
            </w:r>
            <w:r>
              <w:rPr>
                <w:rFonts w:ascii="宋体" w:hAnsi="宋体" w:cs="宋体"/>
                <w:color w:val="000000"/>
                <w:kern w:val="0"/>
                <w:szCs w:val="21"/>
              </w:rPr>
              <w:t>元</w:t>
            </w:r>
          </w:p>
        </w:tc>
      </w:tr>
      <w:tr w14:paraId="42C259E6">
        <w:tblPrEx>
          <w:tblCellMar>
            <w:top w:w="0" w:type="dxa"/>
            <w:left w:w="0" w:type="dxa"/>
            <w:bottom w:w="0" w:type="dxa"/>
            <w:right w:w="0" w:type="dxa"/>
          </w:tblCellMar>
        </w:tblPrEx>
        <w:trPr>
          <w:trHeight w:val="641" w:hRule="atLeast"/>
          <w:jc w:val="center"/>
        </w:trPr>
        <w:tc>
          <w:tcPr>
            <w:tcW w:w="964" w:type="pct"/>
            <w:gridSpan w:val="2"/>
            <w:tcBorders>
              <w:top w:val="nil"/>
              <w:left w:val="single" w:color="auto" w:sz="8" w:space="0"/>
              <w:bottom w:val="single" w:color="auto" w:sz="8" w:space="0"/>
              <w:right w:val="single" w:color="auto" w:sz="8" w:space="0"/>
            </w:tcBorders>
            <w:noWrap w:val="0"/>
            <w:vAlign w:val="center"/>
          </w:tcPr>
          <w:p w14:paraId="26E70136">
            <w:pPr>
              <w:widowControl/>
              <w:snapToGrid w:val="0"/>
              <w:spacing w:before="100" w:beforeAutospacing="1" w:after="100" w:afterAutospacing="1" w:line="320" w:lineRule="atLeast"/>
              <w:ind w:firstLine="2"/>
              <w:jc w:val="center"/>
              <w:rPr>
                <w:rFonts w:ascii="宋体" w:hAnsi="宋体" w:cs="宋体"/>
                <w:color w:val="000000"/>
                <w:kern w:val="0"/>
                <w:szCs w:val="21"/>
              </w:rPr>
            </w:pPr>
            <w:r>
              <w:rPr>
                <w:rFonts w:ascii="宋体" w:hAnsi="宋体" w:cs="宋体"/>
                <w:color w:val="000000"/>
                <w:kern w:val="0"/>
                <w:szCs w:val="21"/>
              </w:rPr>
              <w:t>实际供货日期</w:t>
            </w:r>
          </w:p>
        </w:tc>
        <w:tc>
          <w:tcPr>
            <w:tcW w:w="1433" w:type="pct"/>
            <w:gridSpan w:val="2"/>
            <w:tcBorders>
              <w:top w:val="nil"/>
              <w:left w:val="nil"/>
              <w:bottom w:val="single" w:color="auto" w:sz="8" w:space="0"/>
              <w:right w:val="single" w:color="auto" w:sz="8" w:space="0"/>
            </w:tcBorders>
            <w:noWrap w:val="0"/>
            <w:vAlign w:val="center"/>
          </w:tcPr>
          <w:p w14:paraId="715236E3">
            <w:pPr>
              <w:widowControl/>
              <w:spacing w:before="100" w:beforeAutospacing="1" w:after="100" w:afterAutospacing="1" w:line="240" w:lineRule="atLeast"/>
              <w:jc w:val="center"/>
              <w:rPr>
                <w:rFonts w:ascii="宋体" w:hAnsi="宋体" w:cs="宋体"/>
                <w:color w:val="000000"/>
                <w:kern w:val="0"/>
                <w:szCs w:val="21"/>
              </w:rPr>
            </w:pPr>
          </w:p>
        </w:tc>
        <w:tc>
          <w:tcPr>
            <w:tcW w:w="1351" w:type="pct"/>
            <w:gridSpan w:val="3"/>
            <w:tcBorders>
              <w:top w:val="nil"/>
              <w:left w:val="nil"/>
              <w:bottom w:val="single" w:color="auto" w:sz="8" w:space="0"/>
              <w:right w:val="single" w:color="auto" w:sz="8" w:space="0"/>
            </w:tcBorders>
            <w:noWrap w:val="0"/>
            <w:vAlign w:val="center"/>
          </w:tcPr>
          <w:p w14:paraId="0ACC6E44">
            <w:pPr>
              <w:widowControl/>
              <w:snapToGrid w:val="0"/>
              <w:spacing w:before="100" w:beforeAutospacing="1" w:after="100" w:afterAutospacing="1" w:line="320" w:lineRule="atLeast"/>
              <w:ind w:firstLine="46"/>
              <w:jc w:val="center"/>
              <w:rPr>
                <w:rFonts w:ascii="宋体" w:hAnsi="宋体" w:cs="宋体"/>
                <w:color w:val="000000"/>
                <w:kern w:val="0"/>
                <w:szCs w:val="21"/>
              </w:rPr>
            </w:pPr>
            <w:r>
              <w:rPr>
                <w:rFonts w:ascii="宋体" w:hAnsi="宋体" w:cs="宋体"/>
                <w:color w:val="000000"/>
                <w:kern w:val="0"/>
                <w:szCs w:val="21"/>
              </w:rPr>
              <w:t>合同交货验收日期</w:t>
            </w:r>
          </w:p>
        </w:tc>
        <w:tc>
          <w:tcPr>
            <w:tcW w:w="1251" w:type="pct"/>
            <w:gridSpan w:val="2"/>
            <w:tcBorders>
              <w:top w:val="nil"/>
              <w:left w:val="nil"/>
              <w:bottom w:val="single" w:color="auto" w:sz="8" w:space="0"/>
              <w:right w:val="single" w:color="auto" w:sz="8" w:space="0"/>
            </w:tcBorders>
            <w:noWrap w:val="0"/>
            <w:vAlign w:val="center"/>
          </w:tcPr>
          <w:p w14:paraId="4ED62764">
            <w:pPr>
              <w:widowControl/>
              <w:spacing w:before="100" w:beforeAutospacing="1" w:after="100" w:afterAutospacing="1" w:line="240" w:lineRule="atLeast"/>
              <w:jc w:val="center"/>
              <w:rPr>
                <w:rFonts w:ascii="宋体" w:hAnsi="宋体" w:cs="宋体"/>
                <w:color w:val="000000"/>
                <w:kern w:val="0"/>
                <w:szCs w:val="21"/>
              </w:rPr>
            </w:pPr>
          </w:p>
        </w:tc>
      </w:tr>
      <w:tr w14:paraId="506FBF86">
        <w:tblPrEx>
          <w:tblCellMar>
            <w:top w:w="0" w:type="dxa"/>
            <w:left w:w="0" w:type="dxa"/>
            <w:bottom w:w="0" w:type="dxa"/>
            <w:right w:w="0" w:type="dxa"/>
          </w:tblCellMar>
        </w:tblPrEx>
        <w:trPr>
          <w:trHeight w:val="394" w:hRule="atLeast"/>
          <w:jc w:val="center"/>
        </w:trPr>
        <w:tc>
          <w:tcPr>
            <w:tcW w:w="964" w:type="pct"/>
            <w:gridSpan w:val="2"/>
            <w:tcBorders>
              <w:top w:val="nil"/>
              <w:left w:val="single" w:color="auto" w:sz="8" w:space="0"/>
              <w:bottom w:val="single" w:color="auto" w:sz="8" w:space="0"/>
              <w:right w:val="single" w:color="auto" w:sz="8" w:space="0"/>
            </w:tcBorders>
            <w:noWrap w:val="0"/>
            <w:vAlign w:val="center"/>
          </w:tcPr>
          <w:p w14:paraId="4BB9B5AD">
            <w:pPr>
              <w:widowControl/>
              <w:spacing w:before="100" w:beforeAutospacing="1" w:after="100" w:afterAutospacing="1" w:line="240" w:lineRule="atLeast"/>
              <w:jc w:val="center"/>
              <w:rPr>
                <w:rFonts w:ascii="宋体" w:hAnsi="宋体" w:cs="宋体"/>
                <w:color w:val="000000"/>
                <w:kern w:val="0"/>
                <w:szCs w:val="21"/>
              </w:rPr>
            </w:pPr>
          </w:p>
        </w:tc>
        <w:tc>
          <w:tcPr>
            <w:tcW w:w="1433" w:type="pct"/>
            <w:gridSpan w:val="2"/>
            <w:tcBorders>
              <w:top w:val="nil"/>
              <w:left w:val="nil"/>
              <w:bottom w:val="single" w:color="auto" w:sz="8" w:space="0"/>
              <w:right w:val="single" w:color="auto" w:sz="8" w:space="0"/>
            </w:tcBorders>
            <w:noWrap w:val="0"/>
            <w:vAlign w:val="center"/>
          </w:tcPr>
          <w:p w14:paraId="26EDFC91">
            <w:pPr>
              <w:widowControl/>
              <w:spacing w:before="100" w:beforeAutospacing="1" w:after="100" w:afterAutospacing="1" w:line="240" w:lineRule="atLeast"/>
              <w:jc w:val="center"/>
              <w:rPr>
                <w:rFonts w:ascii="宋体" w:hAnsi="宋体" w:cs="宋体"/>
                <w:color w:val="000000"/>
                <w:kern w:val="0"/>
                <w:szCs w:val="21"/>
              </w:rPr>
            </w:pPr>
          </w:p>
        </w:tc>
        <w:tc>
          <w:tcPr>
            <w:tcW w:w="1351" w:type="pct"/>
            <w:gridSpan w:val="3"/>
            <w:tcBorders>
              <w:top w:val="nil"/>
              <w:left w:val="nil"/>
              <w:bottom w:val="single" w:color="auto" w:sz="8" w:space="0"/>
              <w:right w:val="single" w:color="auto" w:sz="8" w:space="0"/>
            </w:tcBorders>
            <w:noWrap w:val="0"/>
            <w:vAlign w:val="center"/>
          </w:tcPr>
          <w:p w14:paraId="189259E7">
            <w:pPr>
              <w:widowControl/>
              <w:spacing w:before="100" w:beforeAutospacing="1" w:after="100" w:afterAutospacing="1" w:line="240" w:lineRule="atLeast"/>
              <w:jc w:val="center"/>
              <w:rPr>
                <w:rFonts w:ascii="宋体" w:hAnsi="宋体" w:cs="宋体"/>
                <w:color w:val="000000"/>
                <w:kern w:val="0"/>
                <w:szCs w:val="21"/>
              </w:rPr>
            </w:pPr>
          </w:p>
        </w:tc>
        <w:tc>
          <w:tcPr>
            <w:tcW w:w="1251" w:type="pct"/>
            <w:gridSpan w:val="2"/>
            <w:tcBorders>
              <w:top w:val="nil"/>
              <w:left w:val="nil"/>
              <w:bottom w:val="single" w:color="auto" w:sz="8" w:space="0"/>
              <w:right w:val="single" w:color="auto" w:sz="8" w:space="0"/>
            </w:tcBorders>
            <w:noWrap w:val="0"/>
            <w:vAlign w:val="center"/>
          </w:tcPr>
          <w:p w14:paraId="6EE633EE">
            <w:pPr>
              <w:widowControl/>
              <w:spacing w:before="100" w:beforeAutospacing="1" w:after="100" w:afterAutospacing="1" w:line="240" w:lineRule="atLeast"/>
              <w:jc w:val="center"/>
              <w:rPr>
                <w:rFonts w:ascii="宋体" w:hAnsi="宋体" w:cs="宋体"/>
                <w:color w:val="000000"/>
                <w:kern w:val="0"/>
                <w:szCs w:val="21"/>
              </w:rPr>
            </w:pPr>
          </w:p>
        </w:tc>
      </w:tr>
      <w:tr w14:paraId="3776CDAB">
        <w:tblPrEx>
          <w:tblCellMar>
            <w:top w:w="0" w:type="dxa"/>
            <w:left w:w="0" w:type="dxa"/>
            <w:bottom w:w="0" w:type="dxa"/>
            <w:right w:w="0" w:type="dxa"/>
          </w:tblCellMar>
        </w:tblPrEx>
        <w:trPr>
          <w:trHeight w:val="693" w:hRule="atLeast"/>
          <w:jc w:val="center"/>
        </w:trPr>
        <w:tc>
          <w:tcPr>
            <w:tcW w:w="964" w:type="pct"/>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17AB9EE2">
            <w:pPr>
              <w:widowControl/>
              <w:snapToGrid w:val="0"/>
              <w:spacing w:before="100" w:beforeAutospacing="1" w:after="100" w:afterAutospacing="1" w:line="320" w:lineRule="atLeast"/>
              <w:jc w:val="left"/>
              <w:rPr>
                <w:rFonts w:ascii="宋体" w:hAnsi="宋体" w:cs="宋体"/>
                <w:color w:val="000000"/>
                <w:kern w:val="0"/>
                <w:szCs w:val="21"/>
              </w:rPr>
            </w:pPr>
            <w:r>
              <w:rPr>
                <w:rFonts w:ascii="宋体" w:hAnsi="宋体" w:cs="宋体"/>
                <w:color w:val="000000"/>
                <w:kern w:val="0"/>
                <w:szCs w:val="21"/>
              </w:rPr>
              <w:t>验收具体内容</w:t>
            </w:r>
          </w:p>
        </w:tc>
        <w:tc>
          <w:tcPr>
            <w:tcW w:w="4036" w:type="pct"/>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5CD509F7">
            <w:pPr>
              <w:widowControl/>
              <w:snapToGrid w:val="0"/>
              <w:spacing w:before="100" w:beforeAutospacing="1" w:after="100" w:afterAutospacing="1" w:line="320" w:lineRule="atLeast"/>
              <w:jc w:val="left"/>
              <w:rPr>
                <w:rFonts w:ascii="宋体" w:hAnsi="宋体" w:cs="宋体"/>
                <w:color w:val="000000"/>
                <w:kern w:val="0"/>
                <w:szCs w:val="21"/>
              </w:rPr>
            </w:pPr>
            <w:r>
              <w:rPr>
                <w:rFonts w:ascii="宋体" w:hAnsi="宋体" w:cs="宋体"/>
                <w:color w:val="000000"/>
                <w:kern w:val="0"/>
                <w:szCs w:val="21"/>
              </w:rPr>
              <w:t>（应按采购合同、采购文件、响应文件及验收方案等进行验收；并核对成交供应商在安装调试等方面是否违反合同约定或者服务规范要求、提供的质量保证证明材料是否齐全、应有的配件及附件是否达到合同约定等。可附件)</w:t>
            </w:r>
          </w:p>
        </w:tc>
      </w:tr>
      <w:tr w14:paraId="5F4EE264">
        <w:tblPrEx>
          <w:tblCellMar>
            <w:top w:w="0" w:type="dxa"/>
            <w:left w:w="0" w:type="dxa"/>
            <w:bottom w:w="0" w:type="dxa"/>
            <w:right w:w="0" w:type="dxa"/>
          </w:tblCellMar>
        </w:tblPrEx>
        <w:trPr>
          <w:trHeight w:val="870" w:hRule="atLeast"/>
          <w:jc w:val="center"/>
        </w:trPr>
        <w:tc>
          <w:tcPr>
            <w:tcW w:w="964" w:type="pct"/>
            <w:gridSpan w:val="2"/>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6AD61D16">
            <w:pPr>
              <w:widowControl/>
              <w:spacing w:before="100" w:beforeAutospacing="1" w:after="100" w:afterAutospacing="1" w:line="320" w:lineRule="atLeast"/>
              <w:jc w:val="left"/>
              <w:rPr>
                <w:rFonts w:ascii="宋体" w:hAnsi="宋体" w:cs="宋体"/>
                <w:color w:val="000000"/>
                <w:kern w:val="0"/>
                <w:szCs w:val="21"/>
              </w:rPr>
            </w:pPr>
            <w:r>
              <w:rPr>
                <w:rFonts w:ascii="宋体" w:hAnsi="宋体" w:cs="宋体"/>
                <w:color w:val="000000"/>
                <w:kern w:val="0"/>
                <w:szCs w:val="21"/>
              </w:rPr>
              <w:t>验收小组意见</w:t>
            </w:r>
          </w:p>
        </w:tc>
        <w:tc>
          <w:tcPr>
            <w:tcW w:w="4036" w:type="pct"/>
            <w:gridSpan w:val="7"/>
            <w:tcBorders>
              <w:top w:val="nil"/>
              <w:left w:val="nil"/>
              <w:bottom w:val="single" w:color="auto" w:sz="8" w:space="0"/>
              <w:right w:val="single" w:color="auto" w:sz="8" w:space="0"/>
            </w:tcBorders>
            <w:noWrap w:val="0"/>
            <w:vAlign w:val="center"/>
          </w:tcPr>
          <w:p w14:paraId="3EB1AC72">
            <w:pPr>
              <w:widowControl/>
              <w:spacing w:before="100" w:beforeAutospacing="1" w:after="100" w:afterAutospacing="1" w:line="320" w:lineRule="atLeast"/>
              <w:ind w:firstLine="210" w:firstLineChars="100"/>
              <w:jc w:val="left"/>
              <w:rPr>
                <w:rFonts w:ascii="宋体" w:hAnsi="宋体" w:cs="宋体"/>
                <w:color w:val="000000"/>
                <w:kern w:val="0"/>
                <w:szCs w:val="21"/>
              </w:rPr>
            </w:pPr>
            <w:r>
              <w:rPr>
                <w:rFonts w:ascii="宋体" w:hAnsi="宋体" w:cs="宋体"/>
                <w:color w:val="000000"/>
                <w:kern w:val="0"/>
                <w:szCs w:val="21"/>
              </w:rPr>
              <w:t>验收结论性意见：</w:t>
            </w:r>
          </w:p>
        </w:tc>
      </w:tr>
      <w:tr w14:paraId="47A5D6DF">
        <w:tblPrEx>
          <w:tblCellMar>
            <w:top w:w="0" w:type="dxa"/>
            <w:left w:w="0" w:type="dxa"/>
            <w:bottom w:w="0" w:type="dxa"/>
            <w:right w:w="0" w:type="dxa"/>
          </w:tblCellMar>
        </w:tblPrEx>
        <w:trPr>
          <w:trHeight w:val="607" w:hRule="atLeast"/>
          <w:jc w:val="center"/>
        </w:trPr>
        <w:tc>
          <w:tcPr>
            <w:tcW w:w="964" w:type="pct"/>
            <w:gridSpan w:val="2"/>
            <w:vMerge w:val="continue"/>
            <w:tcBorders>
              <w:top w:val="nil"/>
              <w:left w:val="single" w:color="auto" w:sz="8" w:space="0"/>
              <w:bottom w:val="single" w:color="auto" w:sz="8" w:space="0"/>
              <w:right w:val="single" w:color="auto" w:sz="8" w:space="0"/>
            </w:tcBorders>
            <w:noWrap w:val="0"/>
            <w:vAlign w:val="center"/>
          </w:tcPr>
          <w:p w14:paraId="52560DB6">
            <w:pPr>
              <w:widowControl/>
              <w:jc w:val="left"/>
              <w:rPr>
                <w:rFonts w:ascii="宋体" w:hAnsi="宋体" w:cs="宋体"/>
                <w:color w:val="000000"/>
                <w:kern w:val="0"/>
                <w:szCs w:val="21"/>
              </w:rPr>
            </w:pPr>
          </w:p>
        </w:tc>
        <w:tc>
          <w:tcPr>
            <w:tcW w:w="4036" w:type="pct"/>
            <w:gridSpan w:val="7"/>
            <w:tcBorders>
              <w:top w:val="nil"/>
              <w:left w:val="nil"/>
              <w:bottom w:val="single" w:color="auto" w:sz="8" w:space="0"/>
              <w:right w:val="single" w:color="auto" w:sz="8" w:space="0"/>
            </w:tcBorders>
            <w:noWrap w:val="0"/>
            <w:vAlign w:val="center"/>
          </w:tcPr>
          <w:p w14:paraId="6AC6BEB7">
            <w:pPr>
              <w:widowControl/>
              <w:spacing w:before="100" w:beforeAutospacing="1" w:after="100" w:afterAutospacing="1" w:line="320" w:lineRule="atLeast"/>
              <w:ind w:firstLine="210" w:firstLineChars="100"/>
              <w:jc w:val="left"/>
              <w:rPr>
                <w:rFonts w:ascii="宋体" w:hAnsi="宋体" w:cs="宋体"/>
                <w:color w:val="000000"/>
                <w:kern w:val="0"/>
                <w:szCs w:val="21"/>
              </w:rPr>
            </w:pPr>
            <w:r>
              <w:rPr>
                <w:rFonts w:ascii="宋体" w:hAnsi="宋体" w:cs="宋体"/>
                <w:color w:val="000000"/>
                <w:kern w:val="0"/>
                <w:szCs w:val="21"/>
              </w:rPr>
              <w:t>有异议的意见和说明理由：</w:t>
            </w:r>
          </w:p>
          <w:p w14:paraId="49FAB25E">
            <w:pPr>
              <w:widowControl/>
              <w:spacing w:before="100" w:beforeAutospacing="1" w:after="100" w:afterAutospacing="1" w:line="320" w:lineRule="atLeast"/>
              <w:ind w:firstLine="210" w:firstLineChars="100"/>
              <w:jc w:val="left"/>
              <w:rPr>
                <w:rFonts w:ascii="宋体" w:hAnsi="宋体" w:cs="宋体"/>
                <w:color w:val="000000"/>
                <w:kern w:val="0"/>
                <w:szCs w:val="21"/>
              </w:rPr>
            </w:pPr>
            <w:r>
              <w:rPr>
                <w:rFonts w:ascii="宋体" w:hAnsi="宋体" w:cs="宋体"/>
                <w:color w:val="000000"/>
                <w:kern w:val="0"/>
                <w:szCs w:val="21"/>
              </w:rPr>
              <w:t>签字：</w:t>
            </w:r>
          </w:p>
        </w:tc>
      </w:tr>
      <w:tr w14:paraId="7B469291">
        <w:tblPrEx>
          <w:tblCellMar>
            <w:top w:w="0" w:type="dxa"/>
            <w:left w:w="0" w:type="dxa"/>
            <w:bottom w:w="0" w:type="dxa"/>
            <w:right w:w="0" w:type="dxa"/>
          </w:tblCellMar>
        </w:tblPrEx>
        <w:trPr>
          <w:trHeight w:val="507" w:hRule="atLeast"/>
          <w:jc w:val="center"/>
        </w:trPr>
        <w:tc>
          <w:tcPr>
            <w:tcW w:w="5000" w:type="pct"/>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1202957A">
            <w:pPr>
              <w:widowControl/>
              <w:spacing w:before="100" w:beforeAutospacing="1" w:after="100" w:afterAutospacing="1" w:line="320" w:lineRule="atLeast"/>
              <w:jc w:val="left"/>
              <w:rPr>
                <w:rFonts w:ascii="宋体" w:hAnsi="宋体" w:cs="宋体"/>
                <w:color w:val="000000"/>
                <w:kern w:val="0"/>
                <w:szCs w:val="21"/>
              </w:rPr>
            </w:pPr>
            <w:r>
              <w:rPr>
                <w:rFonts w:ascii="宋体" w:hAnsi="宋体" w:cs="宋体"/>
                <w:color w:val="000000"/>
                <w:kern w:val="0"/>
                <w:szCs w:val="21"/>
              </w:rPr>
              <w:t>验收小组成员签字：</w:t>
            </w:r>
          </w:p>
        </w:tc>
      </w:tr>
      <w:tr w14:paraId="79F95192">
        <w:tblPrEx>
          <w:tblCellMar>
            <w:top w:w="0" w:type="dxa"/>
            <w:left w:w="0" w:type="dxa"/>
            <w:bottom w:w="0" w:type="dxa"/>
            <w:right w:w="0" w:type="dxa"/>
          </w:tblCellMar>
        </w:tblPrEx>
        <w:trPr>
          <w:trHeight w:val="736" w:hRule="atLeast"/>
          <w:jc w:val="center"/>
        </w:trPr>
        <w:tc>
          <w:tcPr>
            <w:tcW w:w="5000" w:type="pct"/>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3A203BBE">
            <w:pPr>
              <w:widowControl/>
              <w:spacing w:before="100" w:beforeAutospacing="1" w:after="100" w:afterAutospacing="1" w:line="320" w:lineRule="atLeast"/>
              <w:jc w:val="left"/>
              <w:rPr>
                <w:rFonts w:ascii="宋体" w:hAnsi="宋体" w:cs="宋体"/>
                <w:color w:val="000000"/>
                <w:kern w:val="0"/>
                <w:szCs w:val="21"/>
              </w:rPr>
            </w:pPr>
            <w:r>
              <w:rPr>
                <w:rFonts w:ascii="宋体" w:hAnsi="宋体" w:cs="宋体"/>
                <w:color w:val="000000"/>
                <w:kern w:val="0"/>
                <w:szCs w:val="21"/>
              </w:rPr>
              <w:t>监督人员或者其他相关人员签字：</w:t>
            </w:r>
          </w:p>
          <w:p w14:paraId="454B2EAD">
            <w:pPr>
              <w:widowControl/>
              <w:spacing w:before="100" w:beforeAutospacing="1" w:after="100" w:afterAutospacing="1" w:line="320" w:lineRule="atLeast"/>
              <w:ind w:firstLine="74"/>
              <w:jc w:val="left"/>
              <w:rPr>
                <w:rFonts w:ascii="宋体" w:hAnsi="宋体" w:cs="宋体"/>
                <w:color w:val="000000"/>
                <w:kern w:val="0"/>
                <w:szCs w:val="21"/>
              </w:rPr>
            </w:pPr>
            <w:r>
              <w:rPr>
                <w:rFonts w:ascii="宋体" w:hAnsi="宋体" w:cs="宋体"/>
                <w:color w:val="000000"/>
                <w:kern w:val="0"/>
                <w:szCs w:val="21"/>
              </w:rPr>
              <w:t>或者受邀机构的意见（盖章）：</w:t>
            </w:r>
          </w:p>
        </w:tc>
      </w:tr>
      <w:tr w14:paraId="2584DC9A">
        <w:tblPrEx>
          <w:tblCellMar>
            <w:top w:w="0" w:type="dxa"/>
            <w:left w:w="0" w:type="dxa"/>
            <w:bottom w:w="0" w:type="dxa"/>
            <w:right w:w="0" w:type="dxa"/>
          </w:tblCellMar>
        </w:tblPrEx>
        <w:trPr>
          <w:trHeight w:val="264" w:hRule="atLeast"/>
          <w:jc w:val="center"/>
        </w:trPr>
        <w:tc>
          <w:tcPr>
            <w:tcW w:w="2458" w:type="pct"/>
            <w:gridSpan w:val="5"/>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7C75CECA">
            <w:pPr>
              <w:widowControl/>
              <w:spacing w:before="100" w:beforeAutospacing="1" w:after="100" w:afterAutospacing="1" w:line="320" w:lineRule="atLeast"/>
              <w:jc w:val="left"/>
              <w:rPr>
                <w:rFonts w:ascii="宋体" w:hAnsi="宋体" w:cs="宋体"/>
                <w:color w:val="000000"/>
                <w:kern w:val="0"/>
                <w:szCs w:val="21"/>
              </w:rPr>
            </w:pPr>
            <w:r>
              <w:rPr>
                <w:rFonts w:ascii="宋体" w:hAnsi="宋体" w:cs="宋体"/>
                <w:color w:val="000000"/>
                <w:kern w:val="0"/>
                <w:szCs w:val="21"/>
              </w:rPr>
              <w:t>成交供应商负责人签字或者盖章：</w:t>
            </w:r>
          </w:p>
          <w:p w14:paraId="0204C9E9">
            <w:pPr>
              <w:widowControl/>
              <w:spacing w:before="100" w:beforeAutospacing="1" w:after="100" w:afterAutospacing="1" w:line="320" w:lineRule="atLeast"/>
              <w:jc w:val="left"/>
              <w:rPr>
                <w:rFonts w:ascii="宋体" w:hAnsi="宋体" w:cs="宋体"/>
                <w:color w:val="000000"/>
                <w:kern w:val="0"/>
                <w:szCs w:val="21"/>
              </w:rPr>
            </w:pPr>
          </w:p>
          <w:p w14:paraId="60970DEB">
            <w:pPr>
              <w:widowControl/>
              <w:spacing w:before="100" w:beforeAutospacing="1" w:after="100" w:afterAutospacing="1" w:line="320" w:lineRule="atLeast"/>
              <w:jc w:val="left"/>
              <w:rPr>
                <w:rFonts w:ascii="宋体" w:hAnsi="宋体" w:cs="宋体"/>
                <w:color w:val="000000"/>
                <w:kern w:val="0"/>
                <w:szCs w:val="21"/>
              </w:rPr>
            </w:pPr>
            <w:r>
              <w:rPr>
                <w:rFonts w:ascii="宋体" w:hAnsi="宋体" w:cs="宋体"/>
                <w:color w:val="000000"/>
                <w:kern w:val="0"/>
                <w:szCs w:val="21"/>
              </w:rPr>
              <w:t>联系电话：</w:t>
            </w:r>
            <w:r>
              <w:rPr>
                <w:rFonts w:hint="eastAsia" w:ascii="宋体" w:hAnsi="宋体" w:cs="宋体"/>
                <w:color w:val="000000"/>
                <w:kern w:val="0"/>
                <w:szCs w:val="21"/>
              </w:rPr>
              <w:t xml:space="preserve">               </w:t>
            </w:r>
            <w:r>
              <w:rPr>
                <w:rFonts w:ascii="宋体" w:hAnsi="宋体" w:cs="宋体"/>
                <w:color w:val="000000"/>
                <w:kern w:val="0"/>
                <w:szCs w:val="21"/>
              </w:rPr>
              <w:t xml:space="preserve"> 年</w:t>
            </w:r>
            <w:r>
              <w:rPr>
                <w:rFonts w:hint="eastAsia" w:ascii="宋体" w:hAnsi="宋体" w:cs="宋体"/>
                <w:color w:val="000000"/>
                <w:kern w:val="0"/>
                <w:szCs w:val="21"/>
              </w:rPr>
              <w:t xml:space="preserve"> </w:t>
            </w:r>
            <w:r>
              <w:rPr>
                <w:rFonts w:ascii="宋体" w:hAnsi="宋体" w:cs="宋体"/>
                <w:color w:val="000000"/>
                <w:kern w:val="0"/>
                <w:szCs w:val="21"/>
              </w:rPr>
              <w:t xml:space="preserve"> 月 </w:t>
            </w:r>
            <w:r>
              <w:rPr>
                <w:rFonts w:hint="eastAsia" w:ascii="宋体" w:hAnsi="宋体" w:cs="宋体"/>
                <w:color w:val="000000"/>
                <w:kern w:val="0"/>
                <w:szCs w:val="21"/>
              </w:rPr>
              <w:t xml:space="preserve"> </w:t>
            </w:r>
            <w:r>
              <w:rPr>
                <w:rFonts w:ascii="宋体" w:hAnsi="宋体" w:cs="宋体"/>
                <w:color w:val="000000"/>
                <w:kern w:val="0"/>
                <w:szCs w:val="21"/>
              </w:rPr>
              <w:t>日</w:t>
            </w:r>
          </w:p>
        </w:tc>
        <w:tc>
          <w:tcPr>
            <w:tcW w:w="2542" w:type="pct"/>
            <w:gridSpan w:val="4"/>
            <w:tcBorders>
              <w:top w:val="nil"/>
              <w:left w:val="nil"/>
              <w:bottom w:val="single" w:color="auto" w:sz="8" w:space="0"/>
              <w:right w:val="single" w:color="auto" w:sz="8" w:space="0"/>
            </w:tcBorders>
            <w:noWrap w:val="0"/>
            <w:vAlign w:val="center"/>
          </w:tcPr>
          <w:p w14:paraId="3597E9A7">
            <w:pPr>
              <w:widowControl/>
              <w:spacing w:before="100" w:beforeAutospacing="1" w:after="100" w:afterAutospacing="1" w:line="320" w:lineRule="atLeast"/>
              <w:ind w:firstLine="210" w:firstLineChars="100"/>
              <w:jc w:val="left"/>
              <w:rPr>
                <w:rFonts w:ascii="宋体" w:hAnsi="宋体" w:cs="宋体"/>
                <w:color w:val="000000"/>
                <w:kern w:val="0"/>
                <w:szCs w:val="21"/>
              </w:rPr>
            </w:pPr>
            <w:r>
              <w:rPr>
                <w:rFonts w:ascii="宋体" w:hAnsi="宋体" w:cs="宋体"/>
                <w:color w:val="000000"/>
                <w:kern w:val="0"/>
                <w:szCs w:val="21"/>
              </w:rPr>
              <w:t>采购人或者受托机构的意见（盖章）：</w:t>
            </w:r>
          </w:p>
          <w:p w14:paraId="55D75EEB">
            <w:pPr>
              <w:widowControl/>
              <w:spacing w:before="100" w:beforeAutospacing="1" w:after="100" w:afterAutospacing="1" w:line="320" w:lineRule="atLeast"/>
              <w:ind w:firstLine="210" w:firstLineChars="100"/>
              <w:jc w:val="left"/>
              <w:rPr>
                <w:rFonts w:ascii="宋体" w:hAnsi="宋体" w:cs="宋体"/>
                <w:color w:val="000000"/>
                <w:kern w:val="0"/>
                <w:szCs w:val="21"/>
              </w:rPr>
            </w:pPr>
          </w:p>
          <w:p w14:paraId="17D6C8F1">
            <w:pPr>
              <w:widowControl/>
              <w:spacing w:before="100" w:beforeAutospacing="1" w:after="100" w:afterAutospacing="1" w:line="320" w:lineRule="atLeast"/>
              <w:ind w:firstLine="210" w:firstLineChars="100"/>
              <w:jc w:val="left"/>
              <w:rPr>
                <w:rFonts w:ascii="宋体" w:hAnsi="宋体" w:cs="宋体"/>
                <w:color w:val="000000"/>
                <w:kern w:val="0"/>
                <w:szCs w:val="21"/>
              </w:rPr>
            </w:pPr>
            <w:r>
              <w:rPr>
                <w:rFonts w:ascii="宋体" w:hAnsi="宋体" w:cs="宋体"/>
                <w:color w:val="000000"/>
                <w:kern w:val="0"/>
                <w:szCs w:val="21"/>
              </w:rPr>
              <w:t>联系电话：</w:t>
            </w:r>
            <w:r>
              <w:rPr>
                <w:rFonts w:hint="eastAsia" w:ascii="宋体" w:hAnsi="宋体" w:cs="宋体"/>
                <w:color w:val="000000"/>
                <w:kern w:val="0"/>
                <w:szCs w:val="21"/>
              </w:rPr>
              <w:t xml:space="preserve">                  </w:t>
            </w:r>
            <w:r>
              <w:rPr>
                <w:rFonts w:ascii="宋体" w:hAnsi="宋体" w:cs="宋体"/>
                <w:color w:val="000000"/>
                <w:kern w:val="0"/>
                <w:szCs w:val="21"/>
              </w:rPr>
              <w:t>年</w:t>
            </w:r>
            <w:r>
              <w:rPr>
                <w:rFonts w:hint="eastAsia" w:ascii="宋体" w:hAnsi="宋体" w:cs="宋体"/>
                <w:color w:val="000000"/>
                <w:kern w:val="0"/>
                <w:szCs w:val="21"/>
              </w:rPr>
              <w:t xml:space="preserve"> </w:t>
            </w:r>
            <w:r>
              <w:rPr>
                <w:rFonts w:ascii="宋体" w:hAnsi="宋体" w:cs="宋体"/>
                <w:color w:val="000000"/>
                <w:kern w:val="0"/>
                <w:szCs w:val="21"/>
              </w:rPr>
              <w:t xml:space="preserve"> 月</w:t>
            </w:r>
            <w:r>
              <w:rPr>
                <w:rFonts w:hint="eastAsia" w:ascii="宋体" w:hAnsi="宋体" w:cs="宋体"/>
                <w:color w:val="000000"/>
                <w:kern w:val="0"/>
                <w:szCs w:val="21"/>
              </w:rPr>
              <w:t xml:space="preserve"> </w:t>
            </w:r>
            <w:r>
              <w:rPr>
                <w:rFonts w:ascii="宋体" w:hAnsi="宋体" w:cs="宋体"/>
                <w:color w:val="000000"/>
                <w:kern w:val="0"/>
                <w:szCs w:val="21"/>
              </w:rPr>
              <w:t xml:space="preserve"> 日</w:t>
            </w:r>
          </w:p>
        </w:tc>
      </w:tr>
    </w:tbl>
    <w:p w14:paraId="03F5F8B0">
      <w:pPr>
        <w:pStyle w:val="16"/>
        <w:snapToGrid w:val="0"/>
        <w:ind w:left="840" w:hanging="420"/>
        <w:rPr>
          <w:rFonts w:hint="eastAsia" w:ascii="黑体" w:hAnsi="黑体" w:eastAsia="黑体" w:cs="黑体"/>
          <w:color w:val="000000"/>
          <w:sz w:val="32"/>
          <w:szCs w:val="32"/>
        </w:rPr>
      </w:pPr>
      <w:r>
        <w:rPr>
          <w:rFonts w:hAnsi="宋体"/>
          <w:color w:val="000000"/>
        </w:rPr>
        <w:br w:type="page"/>
      </w:r>
      <w:r>
        <w:rPr>
          <w:rFonts w:hint="eastAsia" w:ascii="黑体" w:hAnsi="黑体" w:eastAsia="黑体" w:cs="黑体"/>
          <w:color w:val="000000"/>
          <w:sz w:val="32"/>
          <w:szCs w:val="32"/>
        </w:rPr>
        <w:t>附件2：</w:t>
      </w:r>
    </w:p>
    <w:p w14:paraId="7F3F999C">
      <w:pPr>
        <w:jc w:val="center"/>
        <w:rPr>
          <w:rFonts w:hint="eastAsia" w:ascii="宋体" w:hAnsi="宋体" w:cs="宋体"/>
          <w:b/>
          <w:bCs/>
          <w:color w:val="000000"/>
          <w:sz w:val="32"/>
          <w:szCs w:val="32"/>
        </w:rPr>
      </w:pPr>
      <w:r>
        <w:rPr>
          <w:rFonts w:hint="eastAsia" w:ascii="宋体" w:hAnsi="宋体" w:cs="宋体"/>
          <w:b/>
          <w:bCs/>
          <w:color w:val="000000"/>
          <w:sz w:val="32"/>
          <w:szCs w:val="32"/>
        </w:rPr>
        <w:t>政府采购项目履约保证金退付意见书</w:t>
      </w:r>
    </w:p>
    <w:p w14:paraId="16627463">
      <w:pPr>
        <w:jc w:val="center"/>
        <w:rPr>
          <w:rFonts w:hint="eastAsia" w:ascii="黑体" w:hAnsi="黑体" w:eastAsia="黑体"/>
          <w:color w:val="000000"/>
          <w:sz w:val="36"/>
          <w:szCs w:val="36"/>
        </w:rPr>
      </w:pPr>
      <w:r>
        <w:rPr>
          <w:rFonts w:hint="eastAsia" w:ascii="宋体" w:hAnsi="宋体" w:cs="宋体"/>
          <w:b/>
          <w:bCs/>
          <w:color w:val="000000"/>
          <w:kern w:val="0"/>
          <w:sz w:val="18"/>
          <w:szCs w:val="18"/>
        </w:rPr>
        <w:t>（本项目如有，可以参考使用）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14:paraId="6CE89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17" w:type="dxa"/>
            <w:vMerge w:val="restart"/>
            <w:noWrap w:val="0"/>
            <w:vAlign w:val="center"/>
          </w:tcPr>
          <w:p w14:paraId="05730B4A">
            <w:pPr>
              <w:spacing w:line="360" w:lineRule="exact"/>
              <w:jc w:val="center"/>
              <w:rPr>
                <w:rFonts w:hint="eastAsia"/>
                <w:color w:val="000000"/>
                <w:sz w:val="21"/>
                <w:szCs w:val="21"/>
              </w:rPr>
            </w:pPr>
            <w:r>
              <w:rPr>
                <w:rFonts w:hint="eastAsia"/>
                <w:color w:val="000000"/>
                <w:sz w:val="21"/>
                <w:szCs w:val="21"/>
              </w:rPr>
              <w:t>供</w:t>
            </w:r>
          </w:p>
          <w:p w14:paraId="6C220613">
            <w:pPr>
              <w:spacing w:line="360" w:lineRule="exact"/>
              <w:jc w:val="center"/>
              <w:rPr>
                <w:rFonts w:hint="eastAsia"/>
                <w:color w:val="000000"/>
                <w:sz w:val="21"/>
                <w:szCs w:val="21"/>
              </w:rPr>
            </w:pPr>
            <w:r>
              <w:rPr>
                <w:rFonts w:hint="eastAsia"/>
                <w:color w:val="000000"/>
                <w:sz w:val="21"/>
                <w:szCs w:val="21"/>
              </w:rPr>
              <w:t>应</w:t>
            </w:r>
          </w:p>
          <w:p w14:paraId="7CA11C6D">
            <w:pPr>
              <w:spacing w:line="360" w:lineRule="exact"/>
              <w:jc w:val="center"/>
              <w:rPr>
                <w:rFonts w:hint="eastAsia"/>
                <w:color w:val="000000"/>
                <w:sz w:val="21"/>
                <w:szCs w:val="21"/>
              </w:rPr>
            </w:pPr>
            <w:r>
              <w:rPr>
                <w:rFonts w:hint="eastAsia"/>
                <w:color w:val="000000"/>
                <w:sz w:val="21"/>
                <w:szCs w:val="21"/>
              </w:rPr>
              <w:t>商</w:t>
            </w:r>
          </w:p>
          <w:p w14:paraId="6E661A16">
            <w:pPr>
              <w:spacing w:line="360" w:lineRule="exact"/>
              <w:jc w:val="center"/>
              <w:rPr>
                <w:rFonts w:hint="eastAsia"/>
                <w:color w:val="000000"/>
                <w:sz w:val="21"/>
                <w:szCs w:val="21"/>
              </w:rPr>
            </w:pPr>
            <w:r>
              <w:rPr>
                <w:rFonts w:hint="eastAsia"/>
                <w:color w:val="000000"/>
                <w:sz w:val="21"/>
                <w:szCs w:val="21"/>
              </w:rPr>
              <w:t>申</w:t>
            </w:r>
          </w:p>
          <w:p w14:paraId="0E3F8D68">
            <w:pPr>
              <w:spacing w:line="360" w:lineRule="exact"/>
              <w:jc w:val="center"/>
              <w:rPr>
                <w:rFonts w:hint="eastAsia"/>
                <w:color w:val="000000"/>
                <w:sz w:val="21"/>
                <w:szCs w:val="21"/>
              </w:rPr>
            </w:pPr>
            <w:r>
              <w:rPr>
                <w:rFonts w:hint="eastAsia"/>
                <w:color w:val="000000"/>
                <w:sz w:val="21"/>
                <w:szCs w:val="21"/>
              </w:rPr>
              <w:t>请</w:t>
            </w:r>
          </w:p>
        </w:tc>
        <w:tc>
          <w:tcPr>
            <w:tcW w:w="8009" w:type="dxa"/>
            <w:noWrap w:val="0"/>
            <w:vAlign w:val="center"/>
          </w:tcPr>
          <w:p w14:paraId="5A7A26AE">
            <w:pPr>
              <w:spacing w:line="360" w:lineRule="exact"/>
              <w:rPr>
                <w:rFonts w:hint="eastAsia"/>
                <w:color w:val="000000"/>
                <w:sz w:val="21"/>
                <w:szCs w:val="21"/>
              </w:rPr>
            </w:pPr>
            <w:r>
              <w:rPr>
                <w:rFonts w:hint="eastAsia"/>
                <w:color w:val="000000"/>
                <w:sz w:val="21"/>
                <w:szCs w:val="21"/>
              </w:rPr>
              <w:t>项目编号：</w:t>
            </w:r>
          </w:p>
        </w:tc>
      </w:tr>
      <w:tr w14:paraId="368C5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noWrap w:val="0"/>
            <w:vAlign w:val="center"/>
          </w:tcPr>
          <w:p w14:paraId="7A77561F">
            <w:pPr>
              <w:spacing w:line="360" w:lineRule="exact"/>
              <w:rPr>
                <w:rFonts w:hint="eastAsia"/>
                <w:color w:val="000000"/>
                <w:sz w:val="21"/>
                <w:szCs w:val="21"/>
              </w:rPr>
            </w:pPr>
          </w:p>
        </w:tc>
        <w:tc>
          <w:tcPr>
            <w:tcW w:w="8009" w:type="dxa"/>
            <w:noWrap w:val="0"/>
            <w:vAlign w:val="center"/>
          </w:tcPr>
          <w:p w14:paraId="27DBDC7D">
            <w:pPr>
              <w:spacing w:line="360" w:lineRule="exact"/>
              <w:rPr>
                <w:rFonts w:hint="eastAsia"/>
                <w:color w:val="000000"/>
                <w:sz w:val="21"/>
                <w:szCs w:val="21"/>
              </w:rPr>
            </w:pPr>
            <w:r>
              <w:rPr>
                <w:rFonts w:hint="eastAsia"/>
                <w:color w:val="000000"/>
                <w:sz w:val="21"/>
                <w:szCs w:val="21"/>
              </w:rPr>
              <w:t>项目名称：</w:t>
            </w:r>
          </w:p>
        </w:tc>
      </w:tr>
      <w:tr w14:paraId="2B39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7" w:type="dxa"/>
            <w:vMerge w:val="continue"/>
            <w:noWrap w:val="0"/>
            <w:vAlign w:val="top"/>
          </w:tcPr>
          <w:p w14:paraId="70BDC533">
            <w:pPr>
              <w:spacing w:line="360" w:lineRule="exact"/>
              <w:rPr>
                <w:rFonts w:hint="eastAsia"/>
                <w:color w:val="000000"/>
                <w:sz w:val="21"/>
                <w:szCs w:val="21"/>
              </w:rPr>
            </w:pPr>
          </w:p>
        </w:tc>
        <w:tc>
          <w:tcPr>
            <w:tcW w:w="8009" w:type="dxa"/>
            <w:noWrap w:val="0"/>
            <w:vAlign w:val="top"/>
          </w:tcPr>
          <w:p w14:paraId="1A0A3326">
            <w:pPr>
              <w:spacing w:line="360" w:lineRule="exact"/>
              <w:rPr>
                <w:rFonts w:hint="eastAsia"/>
                <w:color w:val="000000"/>
                <w:sz w:val="21"/>
                <w:szCs w:val="21"/>
              </w:rPr>
            </w:pPr>
            <w:r>
              <w:rPr>
                <w:rFonts w:hint="eastAsia"/>
                <w:color w:val="000000"/>
                <w:sz w:val="21"/>
                <w:szCs w:val="21"/>
              </w:rPr>
              <w:t xml:space="preserve">  </w:t>
            </w:r>
          </w:p>
          <w:p w14:paraId="046F26BC">
            <w:pPr>
              <w:spacing w:line="360" w:lineRule="exact"/>
              <w:ind w:firstLine="420" w:firstLineChars="200"/>
              <w:rPr>
                <w:rFonts w:hint="eastAsia"/>
                <w:color w:val="000000"/>
                <w:sz w:val="21"/>
                <w:szCs w:val="21"/>
              </w:rPr>
            </w:pPr>
            <w:r>
              <w:rPr>
                <w:rFonts w:hint="eastAsia"/>
                <w:color w:val="000000"/>
                <w:sz w:val="21"/>
                <w:szCs w:val="21"/>
              </w:rPr>
              <w:t>该项目已于</w:t>
            </w:r>
            <w:r>
              <w:rPr>
                <w:rFonts w:hint="eastAsia"/>
                <w:color w:val="000000"/>
                <w:sz w:val="21"/>
                <w:szCs w:val="21"/>
                <w:u w:val="single"/>
              </w:rPr>
              <w:t xml:space="preserve">       </w:t>
            </w:r>
            <w:r>
              <w:rPr>
                <w:rFonts w:hint="eastAsia"/>
                <w:color w:val="000000"/>
                <w:sz w:val="21"/>
                <w:szCs w:val="21"/>
              </w:rPr>
              <w:t>年</w:t>
            </w:r>
            <w:r>
              <w:rPr>
                <w:rFonts w:hint="eastAsia"/>
                <w:color w:val="000000"/>
                <w:sz w:val="21"/>
                <w:szCs w:val="21"/>
                <w:u w:val="single"/>
              </w:rPr>
              <w:t xml:space="preserve">     </w:t>
            </w:r>
            <w:r>
              <w:rPr>
                <w:rFonts w:hint="eastAsia"/>
                <w:color w:val="000000"/>
                <w:sz w:val="21"/>
                <w:szCs w:val="21"/>
              </w:rPr>
              <w:t>月</w:t>
            </w:r>
            <w:r>
              <w:rPr>
                <w:rFonts w:hint="eastAsia"/>
                <w:color w:val="000000"/>
                <w:sz w:val="21"/>
                <w:szCs w:val="21"/>
                <w:u w:val="single"/>
              </w:rPr>
              <w:t xml:space="preserve">     </w:t>
            </w:r>
            <w:r>
              <w:rPr>
                <w:rFonts w:hint="eastAsia"/>
                <w:color w:val="000000"/>
                <w:sz w:val="21"/>
                <w:szCs w:val="21"/>
              </w:rPr>
              <w:t>日验收并交付。根据合同规定，该项目的履约保证金期限于</w:t>
            </w:r>
            <w:r>
              <w:rPr>
                <w:rFonts w:hint="eastAsia"/>
                <w:color w:val="000000"/>
                <w:sz w:val="21"/>
                <w:szCs w:val="21"/>
                <w:u w:val="single"/>
              </w:rPr>
              <w:t xml:space="preserve">         </w:t>
            </w:r>
            <w:r>
              <w:rPr>
                <w:rFonts w:hint="eastAsia"/>
                <w:color w:val="000000"/>
                <w:sz w:val="21"/>
                <w:szCs w:val="21"/>
              </w:rPr>
              <w:t>年</w:t>
            </w:r>
            <w:r>
              <w:rPr>
                <w:rFonts w:hint="eastAsia"/>
                <w:color w:val="000000"/>
                <w:sz w:val="21"/>
                <w:szCs w:val="21"/>
                <w:u w:val="single"/>
              </w:rPr>
              <w:t xml:space="preserve">        </w:t>
            </w:r>
            <w:r>
              <w:rPr>
                <w:rFonts w:hint="eastAsia"/>
                <w:color w:val="000000"/>
                <w:sz w:val="21"/>
                <w:szCs w:val="21"/>
              </w:rPr>
              <w:t>月</w:t>
            </w:r>
            <w:r>
              <w:rPr>
                <w:rFonts w:hint="eastAsia"/>
                <w:color w:val="000000"/>
                <w:sz w:val="21"/>
                <w:szCs w:val="21"/>
                <w:u w:val="single"/>
              </w:rPr>
              <w:t xml:space="preserve">        </w:t>
            </w:r>
            <w:r>
              <w:rPr>
                <w:rFonts w:hint="eastAsia"/>
                <w:color w:val="000000"/>
                <w:sz w:val="21"/>
                <w:szCs w:val="21"/>
              </w:rPr>
              <w:t>日已满，请将履约保证金</w:t>
            </w:r>
          </w:p>
          <w:p w14:paraId="420E0F0B">
            <w:pPr>
              <w:spacing w:line="360" w:lineRule="exact"/>
              <w:rPr>
                <w:rFonts w:hint="eastAsia"/>
                <w:color w:val="000000"/>
                <w:sz w:val="21"/>
                <w:szCs w:val="21"/>
              </w:rPr>
            </w:pPr>
            <w:r>
              <w:rPr>
                <w:rFonts w:hint="eastAsia"/>
                <w:color w:val="000000"/>
                <w:sz w:val="21"/>
                <w:szCs w:val="21"/>
                <w:u w:val="single"/>
              </w:rPr>
              <w:t xml:space="preserve">                                      </w:t>
            </w:r>
            <w:r>
              <w:rPr>
                <w:rFonts w:hint="eastAsia"/>
                <w:color w:val="000000"/>
                <w:sz w:val="21"/>
                <w:szCs w:val="21"/>
              </w:rPr>
              <w:t>（大写）¥</w:t>
            </w:r>
            <w:r>
              <w:rPr>
                <w:rFonts w:hint="eastAsia"/>
                <w:color w:val="000000"/>
                <w:sz w:val="21"/>
                <w:szCs w:val="21"/>
                <w:u w:val="single"/>
              </w:rPr>
              <w:t xml:space="preserve">          </w:t>
            </w:r>
            <w:r>
              <w:rPr>
                <w:rFonts w:hint="eastAsia"/>
                <w:color w:val="000000"/>
                <w:sz w:val="21"/>
                <w:szCs w:val="21"/>
              </w:rPr>
              <w:t>（小写）退付到达以下账户。</w:t>
            </w:r>
          </w:p>
          <w:p w14:paraId="3529EB07">
            <w:pPr>
              <w:spacing w:line="360" w:lineRule="exact"/>
              <w:rPr>
                <w:rFonts w:hint="eastAsia"/>
                <w:color w:val="000000"/>
                <w:sz w:val="21"/>
                <w:szCs w:val="21"/>
              </w:rPr>
            </w:pPr>
            <w:r>
              <w:rPr>
                <w:rFonts w:hint="eastAsia"/>
                <w:color w:val="000000"/>
                <w:sz w:val="21"/>
                <w:szCs w:val="21"/>
              </w:rPr>
              <w:t>单位名称：</w:t>
            </w:r>
          </w:p>
          <w:p w14:paraId="632196E1">
            <w:pPr>
              <w:spacing w:line="360" w:lineRule="exact"/>
              <w:rPr>
                <w:rFonts w:hint="eastAsia"/>
                <w:color w:val="000000"/>
                <w:sz w:val="21"/>
                <w:szCs w:val="21"/>
              </w:rPr>
            </w:pPr>
            <w:r>
              <w:rPr>
                <w:rFonts w:hint="eastAsia"/>
                <w:color w:val="000000"/>
                <w:sz w:val="21"/>
                <w:szCs w:val="21"/>
              </w:rPr>
              <w:t>开户银行：</w:t>
            </w:r>
          </w:p>
          <w:p w14:paraId="165E5BBA">
            <w:pPr>
              <w:spacing w:line="360" w:lineRule="exact"/>
              <w:rPr>
                <w:rFonts w:hint="eastAsia"/>
                <w:color w:val="000000"/>
                <w:sz w:val="21"/>
                <w:szCs w:val="21"/>
              </w:rPr>
            </w:pPr>
            <w:r>
              <w:rPr>
                <w:rFonts w:hint="eastAsia"/>
                <w:color w:val="000000"/>
                <w:sz w:val="21"/>
                <w:szCs w:val="21"/>
              </w:rPr>
              <w:t>账    号：</w:t>
            </w:r>
          </w:p>
          <w:p w14:paraId="56E1FFB9">
            <w:pPr>
              <w:spacing w:line="360" w:lineRule="exact"/>
              <w:rPr>
                <w:rFonts w:hint="eastAsia"/>
                <w:color w:val="000000"/>
                <w:sz w:val="21"/>
                <w:szCs w:val="21"/>
              </w:rPr>
            </w:pPr>
            <w:r>
              <w:rPr>
                <w:rFonts w:hint="eastAsia"/>
                <w:color w:val="000000"/>
                <w:sz w:val="21"/>
                <w:szCs w:val="21"/>
              </w:rPr>
              <w:t>联系人及电话：</w:t>
            </w:r>
          </w:p>
          <w:p w14:paraId="330EE1FE">
            <w:pPr>
              <w:spacing w:line="360" w:lineRule="exact"/>
              <w:rPr>
                <w:rFonts w:hint="eastAsia"/>
                <w:color w:val="000000"/>
                <w:sz w:val="21"/>
                <w:szCs w:val="21"/>
              </w:rPr>
            </w:pPr>
          </w:p>
          <w:p w14:paraId="559DD620">
            <w:pPr>
              <w:spacing w:line="360" w:lineRule="exact"/>
              <w:jc w:val="center"/>
              <w:rPr>
                <w:rFonts w:hint="eastAsia"/>
                <w:color w:val="000000"/>
                <w:sz w:val="21"/>
                <w:szCs w:val="21"/>
              </w:rPr>
            </w:pPr>
            <w:r>
              <w:rPr>
                <w:rFonts w:hint="eastAsia"/>
                <w:color w:val="000000"/>
                <w:sz w:val="21"/>
                <w:szCs w:val="21"/>
              </w:rPr>
              <w:t xml:space="preserve">                           供应商公章：</w:t>
            </w:r>
          </w:p>
          <w:p w14:paraId="3CD3FE22">
            <w:pPr>
              <w:spacing w:line="360" w:lineRule="exact"/>
              <w:jc w:val="center"/>
              <w:rPr>
                <w:rFonts w:hint="eastAsia"/>
                <w:color w:val="000000"/>
                <w:sz w:val="21"/>
                <w:szCs w:val="21"/>
              </w:rPr>
            </w:pPr>
            <w:r>
              <w:rPr>
                <w:rFonts w:hint="eastAsia"/>
                <w:color w:val="000000"/>
                <w:sz w:val="21"/>
                <w:szCs w:val="21"/>
              </w:rPr>
              <w:t xml:space="preserve">                                                年    月    日</w:t>
            </w:r>
          </w:p>
        </w:tc>
      </w:tr>
      <w:tr w14:paraId="5716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noWrap w:val="0"/>
            <w:vAlign w:val="center"/>
          </w:tcPr>
          <w:p w14:paraId="6761CE9B">
            <w:pPr>
              <w:spacing w:line="360" w:lineRule="exact"/>
              <w:jc w:val="center"/>
              <w:rPr>
                <w:rFonts w:hint="eastAsia"/>
                <w:color w:val="000000"/>
                <w:sz w:val="21"/>
                <w:szCs w:val="21"/>
              </w:rPr>
            </w:pPr>
            <w:r>
              <w:rPr>
                <w:rFonts w:hint="eastAsia"/>
                <w:color w:val="000000"/>
                <w:sz w:val="21"/>
                <w:szCs w:val="21"/>
              </w:rPr>
              <w:t>采</w:t>
            </w:r>
          </w:p>
          <w:p w14:paraId="4037355D">
            <w:pPr>
              <w:spacing w:line="360" w:lineRule="exact"/>
              <w:jc w:val="center"/>
              <w:rPr>
                <w:rFonts w:hint="eastAsia"/>
                <w:color w:val="000000"/>
                <w:sz w:val="21"/>
                <w:szCs w:val="21"/>
              </w:rPr>
            </w:pPr>
            <w:r>
              <w:rPr>
                <w:rFonts w:hint="eastAsia"/>
                <w:color w:val="000000"/>
                <w:sz w:val="21"/>
                <w:szCs w:val="21"/>
              </w:rPr>
              <w:t>购</w:t>
            </w:r>
          </w:p>
          <w:p w14:paraId="5F2BCC13">
            <w:pPr>
              <w:spacing w:line="360" w:lineRule="exact"/>
              <w:jc w:val="center"/>
              <w:rPr>
                <w:rFonts w:hint="eastAsia"/>
                <w:color w:val="000000"/>
                <w:sz w:val="21"/>
                <w:szCs w:val="21"/>
              </w:rPr>
            </w:pPr>
            <w:r>
              <w:rPr>
                <w:rFonts w:hint="eastAsia"/>
                <w:color w:val="000000"/>
                <w:sz w:val="21"/>
                <w:szCs w:val="21"/>
              </w:rPr>
              <w:t>单</w:t>
            </w:r>
          </w:p>
          <w:p w14:paraId="12189CF9">
            <w:pPr>
              <w:spacing w:line="360" w:lineRule="exact"/>
              <w:jc w:val="center"/>
              <w:rPr>
                <w:rFonts w:hint="eastAsia"/>
                <w:color w:val="000000"/>
                <w:sz w:val="21"/>
                <w:szCs w:val="21"/>
              </w:rPr>
            </w:pPr>
            <w:r>
              <w:rPr>
                <w:rFonts w:hint="eastAsia"/>
                <w:color w:val="000000"/>
                <w:sz w:val="21"/>
                <w:szCs w:val="21"/>
              </w:rPr>
              <w:t>位</w:t>
            </w:r>
          </w:p>
          <w:p w14:paraId="04982F89">
            <w:pPr>
              <w:spacing w:line="360" w:lineRule="exact"/>
              <w:jc w:val="center"/>
              <w:rPr>
                <w:rFonts w:hint="eastAsia"/>
                <w:color w:val="000000"/>
                <w:sz w:val="21"/>
                <w:szCs w:val="21"/>
              </w:rPr>
            </w:pPr>
            <w:r>
              <w:rPr>
                <w:rFonts w:hint="eastAsia"/>
                <w:color w:val="000000"/>
                <w:sz w:val="21"/>
                <w:szCs w:val="21"/>
              </w:rPr>
              <w:t>意</w:t>
            </w:r>
          </w:p>
          <w:p w14:paraId="219BD132">
            <w:pPr>
              <w:spacing w:line="360" w:lineRule="exact"/>
              <w:jc w:val="center"/>
              <w:rPr>
                <w:rFonts w:hint="eastAsia"/>
                <w:color w:val="000000"/>
                <w:sz w:val="21"/>
                <w:szCs w:val="21"/>
              </w:rPr>
            </w:pPr>
            <w:r>
              <w:rPr>
                <w:rFonts w:hint="eastAsia"/>
                <w:color w:val="000000"/>
                <w:sz w:val="21"/>
                <w:szCs w:val="21"/>
              </w:rPr>
              <w:t>见</w:t>
            </w:r>
          </w:p>
        </w:tc>
        <w:tc>
          <w:tcPr>
            <w:tcW w:w="8009" w:type="dxa"/>
            <w:noWrap w:val="0"/>
            <w:vAlign w:val="top"/>
          </w:tcPr>
          <w:p w14:paraId="73FA9910">
            <w:pPr>
              <w:spacing w:line="360" w:lineRule="exact"/>
              <w:rPr>
                <w:rFonts w:hint="eastAsia"/>
                <w:color w:val="000000"/>
                <w:sz w:val="21"/>
                <w:szCs w:val="21"/>
              </w:rPr>
            </w:pPr>
          </w:p>
          <w:p w14:paraId="05F41D53">
            <w:pPr>
              <w:spacing w:line="360" w:lineRule="exact"/>
              <w:rPr>
                <w:rFonts w:hint="eastAsia"/>
                <w:color w:val="000000"/>
                <w:sz w:val="21"/>
                <w:szCs w:val="21"/>
              </w:rPr>
            </w:pPr>
            <w:r>
              <w:rPr>
                <w:rFonts w:hint="eastAsia"/>
                <w:color w:val="000000"/>
                <w:sz w:val="21"/>
                <w:szCs w:val="21"/>
              </w:rPr>
              <w:t>退付意见：是否同意退付履约保证金及退付金额：</w:t>
            </w:r>
          </w:p>
          <w:p w14:paraId="2D59F01A">
            <w:pPr>
              <w:spacing w:line="360" w:lineRule="exact"/>
              <w:rPr>
                <w:rFonts w:hint="eastAsia"/>
                <w:color w:val="000000"/>
                <w:sz w:val="21"/>
                <w:szCs w:val="21"/>
              </w:rPr>
            </w:pPr>
          </w:p>
          <w:p w14:paraId="023ADE0D">
            <w:pPr>
              <w:spacing w:line="360" w:lineRule="exact"/>
              <w:rPr>
                <w:rFonts w:hint="eastAsia"/>
                <w:color w:val="000000"/>
                <w:sz w:val="21"/>
                <w:szCs w:val="21"/>
              </w:rPr>
            </w:pPr>
          </w:p>
          <w:p w14:paraId="3FFDAFBC">
            <w:pPr>
              <w:spacing w:line="360" w:lineRule="exact"/>
              <w:rPr>
                <w:rFonts w:hint="eastAsia"/>
                <w:color w:val="000000"/>
                <w:sz w:val="21"/>
                <w:szCs w:val="21"/>
              </w:rPr>
            </w:pPr>
            <w:r>
              <w:rPr>
                <w:rFonts w:hint="eastAsia"/>
                <w:color w:val="000000"/>
                <w:sz w:val="21"/>
                <w:szCs w:val="21"/>
              </w:rPr>
              <w:t xml:space="preserve">联系人及电话：                                </w:t>
            </w:r>
          </w:p>
          <w:p w14:paraId="4FBF5EA4">
            <w:pPr>
              <w:spacing w:line="360" w:lineRule="exact"/>
              <w:rPr>
                <w:rFonts w:hint="eastAsia"/>
                <w:color w:val="000000"/>
                <w:sz w:val="21"/>
                <w:szCs w:val="21"/>
              </w:rPr>
            </w:pPr>
          </w:p>
          <w:p w14:paraId="745428B9">
            <w:pPr>
              <w:spacing w:line="360" w:lineRule="exact"/>
              <w:ind w:firstLine="3990" w:firstLineChars="1900"/>
              <w:rPr>
                <w:rFonts w:hint="eastAsia"/>
                <w:color w:val="000000"/>
                <w:sz w:val="21"/>
                <w:szCs w:val="21"/>
              </w:rPr>
            </w:pPr>
            <w:r>
              <w:rPr>
                <w:rFonts w:hint="eastAsia"/>
                <w:color w:val="000000"/>
                <w:sz w:val="21"/>
                <w:szCs w:val="21"/>
              </w:rPr>
              <w:t xml:space="preserve"> 采购单位公章：</w:t>
            </w:r>
          </w:p>
          <w:p w14:paraId="146C9951">
            <w:pPr>
              <w:spacing w:line="360" w:lineRule="exact"/>
              <w:jc w:val="center"/>
              <w:rPr>
                <w:rFonts w:hint="eastAsia"/>
                <w:color w:val="000000"/>
                <w:sz w:val="21"/>
                <w:szCs w:val="21"/>
              </w:rPr>
            </w:pPr>
            <w:r>
              <w:rPr>
                <w:rFonts w:hint="eastAsia"/>
                <w:color w:val="000000"/>
                <w:sz w:val="21"/>
                <w:szCs w:val="21"/>
              </w:rPr>
              <w:t xml:space="preserve">                                                年    月    日</w:t>
            </w:r>
          </w:p>
        </w:tc>
      </w:tr>
      <w:tr w14:paraId="69D5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17" w:type="dxa"/>
            <w:noWrap w:val="0"/>
            <w:vAlign w:val="center"/>
          </w:tcPr>
          <w:p w14:paraId="11AA3B8A">
            <w:pPr>
              <w:spacing w:line="360" w:lineRule="exact"/>
              <w:jc w:val="center"/>
              <w:rPr>
                <w:rFonts w:hint="eastAsia"/>
                <w:color w:val="000000"/>
                <w:sz w:val="21"/>
                <w:szCs w:val="21"/>
              </w:rPr>
            </w:pPr>
            <w:r>
              <w:rPr>
                <w:rFonts w:hint="eastAsia"/>
                <w:color w:val="000000"/>
                <w:sz w:val="21"/>
                <w:szCs w:val="21"/>
              </w:rPr>
              <w:t>财</w:t>
            </w:r>
          </w:p>
          <w:p w14:paraId="03713780">
            <w:pPr>
              <w:spacing w:line="360" w:lineRule="exact"/>
              <w:jc w:val="center"/>
              <w:rPr>
                <w:rFonts w:hint="eastAsia"/>
                <w:color w:val="000000"/>
                <w:sz w:val="21"/>
                <w:szCs w:val="21"/>
              </w:rPr>
            </w:pPr>
            <w:r>
              <w:rPr>
                <w:rFonts w:hint="eastAsia"/>
                <w:color w:val="000000"/>
                <w:sz w:val="21"/>
                <w:szCs w:val="21"/>
              </w:rPr>
              <w:t>务</w:t>
            </w:r>
          </w:p>
          <w:p w14:paraId="142E3A14">
            <w:pPr>
              <w:spacing w:line="360" w:lineRule="exact"/>
              <w:jc w:val="center"/>
              <w:rPr>
                <w:rFonts w:hint="eastAsia"/>
                <w:color w:val="000000"/>
                <w:sz w:val="21"/>
                <w:szCs w:val="21"/>
              </w:rPr>
            </w:pPr>
            <w:r>
              <w:rPr>
                <w:rFonts w:hint="eastAsia"/>
                <w:color w:val="000000"/>
                <w:sz w:val="21"/>
                <w:szCs w:val="21"/>
              </w:rPr>
              <w:t>部</w:t>
            </w:r>
          </w:p>
          <w:p w14:paraId="3770F3E6">
            <w:pPr>
              <w:spacing w:line="360" w:lineRule="exact"/>
              <w:jc w:val="center"/>
              <w:rPr>
                <w:rFonts w:hint="eastAsia"/>
                <w:color w:val="000000"/>
                <w:sz w:val="21"/>
                <w:szCs w:val="21"/>
              </w:rPr>
            </w:pPr>
            <w:r>
              <w:rPr>
                <w:rFonts w:hint="eastAsia"/>
                <w:color w:val="000000"/>
                <w:sz w:val="21"/>
                <w:szCs w:val="21"/>
              </w:rPr>
              <w:t>门</w:t>
            </w:r>
          </w:p>
          <w:p w14:paraId="159164A9">
            <w:pPr>
              <w:spacing w:line="360" w:lineRule="exact"/>
              <w:jc w:val="center"/>
              <w:rPr>
                <w:rFonts w:hint="eastAsia"/>
                <w:color w:val="000000"/>
                <w:sz w:val="21"/>
                <w:szCs w:val="21"/>
              </w:rPr>
            </w:pPr>
            <w:r>
              <w:rPr>
                <w:rFonts w:hint="eastAsia"/>
                <w:color w:val="000000"/>
                <w:sz w:val="21"/>
                <w:szCs w:val="21"/>
              </w:rPr>
              <w:t>意</w:t>
            </w:r>
          </w:p>
          <w:p w14:paraId="639387B2">
            <w:pPr>
              <w:spacing w:line="360" w:lineRule="exact"/>
              <w:jc w:val="center"/>
              <w:rPr>
                <w:rFonts w:hint="eastAsia"/>
                <w:color w:val="000000"/>
                <w:sz w:val="21"/>
                <w:szCs w:val="21"/>
              </w:rPr>
            </w:pPr>
            <w:r>
              <w:rPr>
                <w:rFonts w:hint="eastAsia"/>
                <w:color w:val="000000"/>
                <w:sz w:val="21"/>
                <w:szCs w:val="21"/>
              </w:rPr>
              <w:t>见</w:t>
            </w:r>
          </w:p>
        </w:tc>
        <w:tc>
          <w:tcPr>
            <w:tcW w:w="8009" w:type="dxa"/>
            <w:noWrap w:val="0"/>
            <w:vAlign w:val="top"/>
          </w:tcPr>
          <w:p w14:paraId="3E3BEC77">
            <w:pPr>
              <w:spacing w:line="360" w:lineRule="exact"/>
              <w:rPr>
                <w:rFonts w:hint="eastAsia"/>
                <w:color w:val="000000"/>
                <w:sz w:val="21"/>
                <w:szCs w:val="21"/>
              </w:rPr>
            </w:pPr>
            <w:r>
              <w:rPr>
                <w:rFonts w:hint="eastAsia"/>
                <w:color w:val="000000"/>
                <w:sz w:val="21"/>
                <w:szCs w:val="21"/>
              </w:rPr>
              <w:t>此表于</w:t>
            </w:r>
            <w:r>
              <w:rPr>
                <w:rFonts w:hint="eastAsia"/>
                <w:color w:val="000000"/>
                <w:sz w:val="21"/>
                <w:szCs w:val="21"/>
                <w:u w:val="single"/>
              </w:rPr>
              <w:t xml:space="preserve">     </w:t>
            </w:r>
            <w:r>
              <w:rPr>
                <w:rFonts w:hint="eastAsia"/>
                <w:color w:val="000000"/>
                <w:sz w:val="21"/>
                <w:szCs w:val="21"/>
              </w:rPr>
              <w:t>年</w:t>
            </w:r>
            <w:r>
              <w:rPr>
                <w:rFonts w:hint="eastAsia"/>
                <w:color w:val="000000"/>
                <w:sz w:val="21"/>
                <w:szCs w:val="21"/>
                <w:u w:val="single"/>
              </w:rPr>
              <w:t xml:space="preserve">     </w:t>
            </w:r>
            <w:r>
              <w:rPr>
                <w:rFonts w:hint="eastAsia"/>
                <w:color w:val="000000"/>
                <w:sz w:val="21"/>
                <w:szCs w:val="21"/>
              </w:rPr>
              <w:t>月</w:t>
            </w:r>
            <w:r>
              <w:rPr>
                <w:rFonts w:hint="eastAsia"/>
                <w:color w:val="000000"/>
                <w:sz w:val="21"/>
                <w:szCs w:val="21"/>
                <w:u w:val="single"/>
              </w:rPr>
              <w:t xml:space="preserve">      </w:t>
            </w:r>
            <w:r>
              <w:rPr>
                <w:rFonts w:hint="eastAsia"/>
                <w:color w:val="000000"/>
                <w:sz w:val="21"/>
                <w:szCs w:val="21"/>
              </w:rPr>
              <w:t>日收到。</w:t>
            </w:r>
          </w:p>
          <w:p w14:paraId="505EDF13">
            <w:pPr>
              <w:spacing w:line="360" w:lineRule="exact"/>
              <w:rPr>
                <w:rFonts w:hint="eastAsia"/>
                <w:color w:val="000000"/>
                <w:sz w:val="21"/>
                <w:szCs w:val="21"/>
              </w:rPr>
            </w:pPr>
          </w:p>
          <w:p w14:paraId="63F27FE6">
            <w:pPr>
              <w:spacing w:line="360" w:lineRule="exact"/>
              <w:rPr>
                <w:rFonts w:hint="eastAsia"/>
                <w:color w:val="000000"/>
                <w:sz w:val="21"/>
                <w:szCs w:val="21"/>
              </w:rPr>
            </w:pPr>
            <w:r>
              <w:rPr>
                <w:rFonts w:hint="eastAsia"/>
                <w:color w:val="000000"/>
                <w:sz w:val="21"/>
                <w:szCs w:val="21"/>
              </w:rPr>
              <w:t>会计审核：</w:t>
            </w:r>
          </w:p>
          <w:p w14:paraId="6E9EDB67">
            <w:pPr>
              <w:spacing w:line="360" w:lineRule="exact"/>
              <w:rPr>
                <w:rFonts w:hint="eastAsia"/>
                <w:color w:val="000000"/>
                <w:sz w:val="21"/>
                <w:szCs w:val="21"/>
              </w:rPr>
            </w:pPr>
          </w:p>
          <w:p w14:paraId="5541D08B">
            <w:pPr>
              <w:spacing w:line="360" w:lineRule="exact"/>
              <w:rPr>
                <w:rFonts w:hint="eastAsia"/>
                <w:color w:val="000000"/>
                <w:sz w:val="21"/>
                <w:szCs w:val="21"/>
              </w:rPr>
            </w:pPr>
            <w:r>
              <w:rPr>
                <w:rFonts w:hint="eastAsia"/>
                <w:color w:val="000000"/>
                <w:sz w:val="21"/>
                <w:szCs w:val="21"/>
              </w:rPr>
              <w:t>财务负责人审核：</w:t>
            </w:r>
          </w:p>
          <w:p w14:paraId="2EE66A58">
            <w:pPr>
              <w:spacing w:line="360" w:lineRule="exact"/>
              <w:rPr>
                <w:rFonts w:hint="eastAsia"/>
                <w:color w:val="000000"/>
                <w:sz w:val="21"/>
                <w:szCs w:val="21"/>
              </w:rPr>
            </w:pPr>
          </w:p>
          <w:p w14:paraId="22D7DF07">
            <w:pPr>
              <w:spacing w:line="360" w:lineRule="exact"/>
              <w:rPr>
                <w:rFonts w:hint="eastAsia"/>
                <w:color w:val="000000"/>
                <w:sz w:val="21"/>
                <w:szCs w:val="21"/>
              </w:rPr>
            </w:pPr>
            <w:r>
              <w:rPr>
                <w:rFonts w:hint="eastAsia"/>
                <w:color w:val="000000"/>
                <w:sz w:val="21"/>
                <w:szCs w:val="21"/>
              </w:rPr>
              <w:t>单位负责人签字：</w:t>
            </w:r>
          </w:p>
          <w:p w14:paraId="2A0ECE0C">
            <w:pPr>
              <w:spacing w:line="360" w:lineRule="exact"/>
              <w:rPr>
                <w:rFonts w:hint="eastAsia"/>
                <w:color w:val="000000"/>
                <w:sz w:val="21"/>
                <w:szCs w:val="21"/>
              </w:rPr>
            </w:pPr>
          </w:p>
          <w:p w14:paraId="31176AA3">
            <w:pPr>
              <w:spacing w:line="360" w:lineRule="exact"/>
              <w:rPr>
                <w:rFonts w:hint="eastAsia"/>
                <w:color w:val="000000"/>
                <w:sz w:val="21"/>
                <w:szCs w:val="21"/>
              </w:rPr>
            </w:pPr>
            <w:r>
              <w:rPr>
                <w:rFonts w:hint="eastAsia"/>
                <w:color w:val="000000"/>
                <w:sz w:val="21"/>
                <w:szCs w:val="21"/>
              </w:rPr>
              <w:t>出纳办理转账日期：</w:t>
            </w:r>
          </w:p>
        </w:tc>
      </w:tr>
    </w:tbl>
    <w:p w14:paraId="387B0239">
      <w:pPr>
        <w:pStyle w:val="11"/>
        <w:ind w:left="1" w:firstLine="2" w:firstLineChars="1"/>
        <w:rPr>
          <w:rFonts w:hint="eastAsia" w:ascii="宋体"/>
          <w:b/>
          <w:bCs/>
          <w:color w:val="000000"/>
          <w:sz w:val="18"/>
          <w:szCs w:val="18"/>
        </w:rPr>
      </w:pPr>
    </w:p>
    <w:p w14:paraId="579D21D8">
      <w:pPr>
        <w:pStyle w:val="16"/>
        <w:snapToGrid w:val="0"/>
        <w:spacing w:before="120" w:after="120"/>
        <w:rPr>
          <w:rFonts w:hAnsi="宋体"/>
        </w:rPr>
      </w:pPr>
    </w:p>
    <w:p w14:paraId="4F713F85">
      <w:pPr>
        <w:pStyle w:val="16"/>
        <w:snapToGrid w:val="0"/>
        <w:spacing w:before="120" w:after="120"/>
        <w:rPr>
          <w:rFonts w:hAnsi="宋体"/>
        </w:rPr>
      </w:pPr>
    </w:p>
    <w:p w14:paraId="57C9DBA9">
      <w:pPr>
        <w:pStyle w:val="16"/>
        <w:snapToGrid w:val="0"/>
        <w:spacing w:before="120" w:after="120"/>
        <w:rPr>
          <w:rFonts w:hAnsi="宋体"/>
        </w:rPr>
      </w:pPr>
    </w:p>
    <w:p w14:paraId="162FD837">
      <w:pPr>
        <w:pStyle w:val="16"/>
        <w:snapToGrid w:val="0"/>
        <w:spacing w:before="120" w:after="120"/>
        <w:rPr>
          <w:rFonts w:hAnsi="宋体"/>
        </w:rPr>
      </w:pPr>
    </w:p>
    <w:p w14:paraId="3E213FA2">
      <w:pPr>
        <w:pStyle w:val="16"/>
        <w:snapToGrid w:val="0"/>
        <w:spacing w:before="120" w:after="120"/>
        <w:rPr>
          <w:rFonts w:hAnsi="宋体"/>
        </w:rPr>
      </w:pPr>
    </w:p>
    <w:p w14:paraId="6C46B15A">
      <w:pPr>
        <w:pStyle w:val="16"/>
        <w:snapToGrid w:val="0"/>
        <w:spacing w:before="120" w:after="120"/>
        <w:rPr>
          <w:rFonts w:hAnsi="宋体"/>
        </w:rPr>
      </w:pPr>
    </w:p>
    <w:p w14:paraId="6B03A0A5">
      <w:pPr>
        <w:pStyle w:val="16"/>
        <w:snapToGrid w:val="0"/>
        <w:spacing w:before="120" w:after="120"/>
        <w:rPr>
          <w:rFonts w:hAnsi="宋体"/>
        </w:rPr>
      </w:pPr>
    </w:p>
    <w:p w14:paraId="4DBDA0B4">
      <w:pPr>
        <w:pStyle w:val="16"/>
        <w:snapToGrid w:val="0"/>
        <w:spacing w:before="120" w:after="120"/>
        <w:rPr>
          <w:rFonts w:hAnsi="宋体"/>
        </w:rPr>
      </w:pPr>
    </w:p>
    <w:p w14:paraId="4E1075AE">
      <w:pPr>
        <w:pStyle w:val="16"/>
        <w:snapToGrid w:val="0"/>
        <w:spacing w:before="120" w:after="120"/>
        <w:rPr>
          <w:rFonts w:hAnsi="宋体"/>
        </w:rPr>
      </w:pPr>
    </w:p>
    <w:p w14:paraId="3CD3A7CA">
      <w:pPr>
        <w:pStyle w:val="16"/>
        <w:snapToGrid w:val="0"/>
        <w:spacing w:before="120" w:after="120"/>
        <w:rPr>
          <w:rFonts w:hAnsi="宋体"/>
        </w:rPr>
      </w:pPr>
    </w:p>
    <w:p w14:paraId="3C325D31">
      <w:pPr>
        <w:pStyle w:val="16"/>
        <w:snapToGrid w:val="0"/>
        <w:spacing w:before="120" w:after="120"/>
        <w:rPr>
          <w:rFonts w:hAnsi="宋体"/>
        </w:rPr>
      </w:pPr>
    </w:p>
    <w:p w14:paraId="1BE4C6EA">
      <w:pPr>
        <w:pStyle w:val="16"/>
        <w:snapToGrid w:val="0"/>
        <w:spacing w:before="120" w:after="120"/>
        <w:rPr>
          <w:rFonts w:hAnsi="宋体"/>
        </w:rPr>
      </w:pPr>
    </w:p>
    <w:p w14:paraId="6E689E2C">
      <w:pPr>
        <w:pStyle w:val="2"/>
        <w:jc w:val="center"/>
      </w:pPr>
      <w:bookmarkStart w:id="144" w:name="_Toc1741"/>
      <w:bookmarkStart w:id="145" w:name="_Toc330456896"/>
      <w:bookmarkStart w:id="146" w:name="_Toc10388"/>
      <w:bookmarkStart w:id="147" w:name="_Toc74320803"/>
      <w:bookmarkStart w:id="148" w:name="_Toc254970548"/>
      <w:bookmarkStart w:id="149" w:name="_Toc254970689"/>
      <w:r>
        <w:rPr>
          <w:rFonts w:hint="eastAsia"/>
        </w:rPr>
        <w:t>第四章  评标方法及评标标准</w:t>
      </w:r>
      <w:bookmarkEnd w:id="144"/>
      <w:bookmarkEnd w:id="145"/>
      <w:bookmarkEnd w:id="146"/>
      <w:bookmarkEnd w:id="147"/>
      <w:bookmarkEnd w:id="148"/>
      <w:bookmarkEnd w:id="149"/>
    </w:p>
    <w:p w14:paraId="24D8609B">
      <w:pPr>
        <w:pStyle w:val="16"/>
        <w:spacing w:before="120" w:after="120"/>
        <w:outlineLvl w:val="0"/>
        <w:rPr>
          <w:rFonts w:hAnsi="宋体"/>
          <w:b/>
        </w:rPr>
      </w:pPr>
      <w:bookmarkStart w:id="150" w:name="_Toc254970549"/>
      <w:bookmarkStart w:id="151" w:name="_Toc254970690"/>
    </w:p>
    <w:bookmarkEnd w:id="150"/>
    <w:bookmarkEnd w:id="151"/>
    <w:p w14:paraId="79C631F1">
      <w:pPr>
        <w:pStyle w:val="16"/>
        <w:spacing w:before="120" w:after="120"/>
        <w:outlineLvl w:val="0"/>
        <w:rPr>
          <w:rFonts w:hAnsi="宋体"/>
          <w:bCs/>
          <w:sz w:val="32"/>
          <w:szCs w:val="32"/>
        </w:rPr>
      </w:pPr>
    </w:p>
    <w:p w14:paraId="0009F8C8">
      <w:pPr>
        <w:pStyle w:val="16"/>
        <w:spacing w:before="120" w:after="120"/>
        <w:outlineLvl w:val="0"/>
        <w:rPr>
          <w:rFonts w:hAnsi="宋体"/>
          <w:bCs/>
          <w:sz w:val="32"/>
          <w:szCs w:val="32"/>
        </w:rPr>
      </w:pPr>
    </w:p>
    <w:p w14:paraId="6794A53F">
      <w:pPr>
        <w:pStyle w:val="16"/>
        <w:spacing w:before="120" w:after="120"/>
        <w:outlineLvl w:val="0"/>
        <w:rPr>
          <w:rFonts w:hAnsi="宋体"/>
          <w:bCs/>
          <w:sz w:val="32"/>
          <w:szCs w:val="32"/>
        </w:rPr>
      </w:pPr>
    </w:p>
    <w:p w14:paraId="4A95FD94">
      <w:pPr>
        <w:spacing w:before="120" w:beforeLines="50" w:after="120" w:afterLines="50" w:line="400" w:lineRule="exact"/>
        <w:rPr>
          <w:rFonts w:ascii="宋体" w:hAnsi="宋体"/>
          <w:b/>
          <w:sz w:val="24"/>
        </w:rPr>
      </w:pPr>
    </w:p>
    <w:p w14:paraId="366E5836">
      <w:pPr>
        <w:spacing w:before="120" w:beforeLines="50" w:after="120" w:afterLines="50" w:line="400" w:lineRule="exact"/>
        <w:rPr>
          <w:rFonts w:ascii="宋体" w:hAnsi="宋体"/>
          <w:b/>
          <w:sz w:val="24"/>
        </w:rPr>
      </w:pPr>
    </w:p>
    <w:p w14:paraId="167A4485">
      <w:pPr>
        <w:spacing w:before="120" w:beforeLines="50" w:after="120" w:afterLines="50" w:line="400" w:lineRule="exact"/>
        <w:rPr>
          <w:rFonts w:ascii="宋体" w:hAnsi="宋体"/>
          <w:b/>
          <w:sz w:val="24"/>
        </w:rPr>
      </w:pPr>
    </w:p>
    <w:p w14:paraId="22B2E4CC">
      <w:pPr>
        <w:spacing w:before="120" w:beforeLines="50" w:after="120" w:afterLines="50" w:line="400" w:lineRule="exact"/>
        <w:rPr>
          <w:rFonts w:ascii="宋体" w:hAnsi="宋体"/>
          <w:b/>
          <w:sz w:val="24"/>
        </w:rPr>
      </w:pPr>
    </w:p>
    <w:p w14:paraId="7F04857A">
      <w:pPr>
        <w:spacing w:before="120" w:beforeLines="50" w:after="120" w:afterLines="50" w:line="400" w:lineRule="exact"/>
        <w:rPr>
          <w:rFonts w:ascii="宋体" w:hAnsi="宋体"/>
          <w:b/>
          <w:sz w:val="24"/>
        </w:rPr>
      </w:pPr>
    </w:p>
    <w:p w14:paraId="02DB768A">
      <w:pPr>
        <w:spacing w:before="120" w:beforeLines="50" w:after="120" w:afterLines="50" w:line="400" w:lineRule="exact"/>
        <w:rPr>
          <w:rFonts w:ascii="宋体" w:hAnsi="宋体"/>
          <w:b/>
          <w:sz w:val="24"/>
        </w:rPr>
      </w:pPr>
    </w:p>
    <w:p w14:paraId="65A64E04">
      <w:pPr>
        <w:spacing w:before="120" w:beforeLines="50" w:after="120" w:afterLines="50" w:line="400" w:lineRule="exact"/>
        <w:rPr>
          <w:rFonts w:ascii="宋体" w:hAnsi="宋体"/>
          <w:b/>
          <w:sz w:val="24"/>
        </w:rPr>
      </w:pPr>
    </w:p>
    <w:p w14:paraId="301F99C7">
      <w:pPr>
        <w:pStyle w:val="16"/>
        <w:spacing w:line="360" w:lineRule="exact"/>
        <w:rPr>
          <w:rFonts w:hAnsi="宋体"/>
          <w:b/>
          <w:sz w:val="24"/>
        </w:rPr>
      </w:pPr>
      <w:r>
        <w:rPr>
          <w:rFonts w:hAnsi="宋体"/>
          <w:b/>
          <w:sz w:val="24"/>
        </w:rPr>
        <w:br w:type="page"/>
      </w:r>
    </w:p>
    <w:p w14:paraId="7E92F42E">
      <w:pPr>
        <w:pStyle w:val="4"/>
        <w:keepNext w:val="0"/>
        <w:keepLines w:val="0"/>
        <w:spacing w:line="360" w:lineRule="auto"/>
        <w:ind w:firstLine="602"/>
        <w:jc w:val="center"/>
        <w:rPr>
          <w:sz w:val="30"/>
          <w:szCs w:val="30"/>
        </w:rPr>
      </w:pPr>
      <w:bookmarkStart w:id="152" w:name="_Toc7876"/>
      <w:bookmarkStart w:id="153" w:name="_Toc14108"/>
      <w:r>
        <w:rPr>
          <w:rFonts w:hint="eastAsia"/>
          <w:sz w:val="30"/>
          <w:szCs w:val="30"/>
        </w:rPr>
        <w:t>一、评标方法</w:t>
      </w:r>
      <w:bookmarkEnd w:id="152"/>
      <w:bookmarkEnd w:id="153"/>
    </w:p>
    <w:p w14:paraId="522E0E49">
      <w:pPr>
        <w:pStyle w:val="16"/>
        <w:spacing w:line="360" w:lineRule="auto"/>
        <w:ind w:firstLine="420"/>
        <w:rPr>
          <w:rFonts w:hAnsi="宋体"/>
          <w:sz w:val="21"/>
        </w:rPr>
      </w:pPr>
      <w:r>
        <w:rPr>
          <w:rFonts w:hint="eastAsia" w:hAnsi="宋体"/>
          <w:sz w:val="21"/>
        </w:rPr>
        <w:t>综合评分法，是指投标文件满足招标文件全部实质性要求，且按照评审因素的量化指标评审得分最高的投标人为中标候选人的评标方法。</w:t>
      </w:r>
    </w:p>
    <w:p w14:paraId="3F7739AA">
      <w:pPr>
        <w:pStyle w:val="4"/>
        <w:keepNext w:val="0"/>
        <w:keepLines w:val="0"/>
        <w:ind w:firstLine="602"/>
        <w:jc w:val="center"/>
        <w:rPr>
          <w:sz w:val="30"/>
          <w:szCs w:val="30"/>
        </w:rPr>
      </w:pPr>
      <w:bookmarkStart w:id="154" w:name="_Toc27580"/>
      <w:bookmarkStart w:id="155" w:name="_Toc13259"/>
      <w:r>
        <w:rPr>
          <w:rFonts w:hint="eastAsia"/>
          <w:sz w:val="30"/>
          <w:szCs w:val="30"/>
        </w:rPr>
        <w:t>二、评标程序</w:t>
      </w:r>
      <w:bookmarkEnd w:id="154"/>
      <w:bookmarkEnd w:id="155"/>
    </w:p>
    <w:p w14:paraId="79DD03ED">
      <w:pPr>
        <w:pStyle w:val="6"/>
        <w:keepNext w:val="0"/>
        <w:keepLines w:val="0"/>
        <w:spacing w:before="0" w:after="0" w:line="360" w:lineRule="auto"/>
        <w:ind w:left="420" w:leftChars="200"/>
        <w:rPr>
          <w:rFonts w:ascii="宋体" w:hAnsi="宋体"/>
          <w:sz w:val="21"/>
          <w:szCs w:val="21"/>
        </w:rPr>
      </w:pPr>
      <w:r>
        <w:rPr>
          <w:rFonts w:hint="eastAsia" w:ascii="宋体" w:hAnsi="宋体"/>
          <w:sz w:val="21"/>
          <w:szCs w:val="21"/>
        </w:rPr>
        <w:t>1.符合性审查</w:t>
      </w:r>
    </w:p>
    <w:p w14:paraId="61F89AD7">
      <w:pPr>
        <w:pStyle w:val="16"/>
        <w:snapToGrid w:val="0"/>
        <w:spacing w:line="360" w:lineRule="auto"/>
        <w:ind w:left="1" w:firstLine="420"/>
        <w:rPr>
          <w:rFonts w:hAnsi="宋体"/>
          <w:b/>
          <w:kern w:val="2"/>
          <w:sz w:val="21"/>
        </w:rPr>
      </w:pPr>
      <w:r>
        <w:rPr>
          <w:rFonts w:hint="eastAsia" w:hAnsi="宋体"/>
          <w:b/>
          <w:kern w:val="2"/>
          <w:sz w:val="21"/>
        </w:rPr>
        <w:t>评标委员会应当对符合资格的投标人的投标文件进行投标报价、商务、技术等实质性内容符合性审查，以确定其是否满足招标文件的实质性要求。</w:t>
      </w:r>
    </w:p>
    <w:p w14:paraId="046B4E2C">
      <w:pPr>
        <w:pStyle w:val="6"/>
        <w:keepNext w:val="0"/>
        <w:keepLines w:val="0"/>
        <w:spacing w:before="0" w:after="0" w:line="360" w:lineRule="auto"/>
        <w:ind w:left="420" w:leftChars="200"/>
        <w:rPr>
          <w:rFonts w:ascii="宋体" w:hAnsi="宋体"/>
          <w:sz w:val="21"/>
          <w:szCs w:val="21"/>
        </w:rPr>
      </w:pPr>
      <w:r>
        <w:rPr>
          <w:rFonts w:hint="eastAsia" w:ascii="宋体" w:hAnsi="宋体"/>
          <w:sz w:val="21"/>
          <w:szCs w:val="21"/>
        </w:rPr>
        <w:t>2</w:t>
      </w:r>
      <w:r>
        <w:rPr>
          <w:rFonts w:ascii="宋体" w:hAnsi="宋体"/>
          <w:sz w:val="21"/>
          <w:szCs w:val="21"/>
        </w:rPr>
        <w:t>.</w:t>
      </w:r>
      <w:r>
        <w:rPr>
          <w:rFonts w:hint="eastAsia" w:ascii="宋体" w:hAnsi="宋体"/>
          <w:sz w:val="21"/>
          <w:szCs w:val="21"/>
        </w:rPr>
        <w:t>符合性审查不通过而导致投标无效的情形</w:t>
      </w:r>
    </w:p>
    <w:p w14:paraId="78D881F1">
      <w:pPr>
        <w:snapToGrid w:val="0"/>
        <w:spacing w:line="360" w:lineRule="auto"/>
        <w:ind w:firstLine="422" w:firstLineChars="200"/>
        <w:rPr>
          <w:rFonts w:ascii="宋体" w:hAnsi="宋体"/>
          <w:b/>
          <w:szCs w:val="21"/>
        </w:rPr>
      </w:pPr>
      <w:r>
        <w:rPr>
          <w:rFonts w:hint="eastAsia" w:ascii="宋体" w:hAnsi="宋体"/>
          <w:b/>
          <w:szCs w:val="21"/>
        </w:rPr>
        <w:t>投标人的投标文件中存在对招标文件的任何实质性要求和条件的负偏离，将被视为投标无效。</w:t>
      </w:r>
    </w:p>
    <w:p w14:paraId="799821ED">
      <w:pPr>
        <w:pStyle w:val="6"/>
        <w:keepNext w:val="0"/>
        <w:keepLines w:val="0"/>
        <w:spacing w:before="0" w:after="0" w:line="360" w:lineRule="auto"/>
        <w:ind w:left="420" w:leftChars="200"/>
        <w:rPr>
          <w:rFonts w:ascii="宋体" w:hAnsi="宋体"/>
          <w:sz w:val="21"/>
          <w:szCs w:val="21"/>
        </w:rPr>
      </w:pPr>
      <w:r>
        <w:rPr>
          <w:rFonts w:hint="eastAsia" w:ascii="宋体" w:hAnsi="宋体"/>
          <w:sz w:val="21"/>
          <w:szCs w:val="21"/>
        </w:rPr>
        <w:t>2.1在报价评审时，如发现下列情形之一的，将被视为投标无效：</w:t>
      </w:r>
    </w:p>
    <w:p w14:paraId="3D08200E">
      <w:pPr>
        <w:pStyle w:val="7"/>
        <w:numPr>
          <w:ilvl w:val="0"/>
          <w:numId w:val="6"/>
        </w:numPr>
        <w:spacing w:line="360" w:lineRule="auto"/>
        <w:ind w:firstLine="422"/>
        <w:rPr>
          <w:rFonts w:ascii="宋体" w:hAnsi="宋体"/>
          <w:b/>
          <w:szCs w:val="21"/>
        </w:rPr>
      </w:pPr>
      <w:r>
        <w:rPr>
          <w:rFonts w:hint="eastAsia" w:ascii="宋体" w:hAnsi="宋体"/>
          <w:b/>
          <w:spacing w:val="-6"/>
          <w:szCs w:val="21"/>
        </w:rPr>
        <w:t>报价文件</w:t>
      </w:r>
      <w:r>
        <w:rPr>
          <w:rFonts w:hint="eastAsia" w:ascii="宋体" w:hAnsi="宋体"/>
          <w:b/>
          <w:szCs w:val="21"/>
        </w:rPr>
        <w:t>未提供“投标人须知前附表”第13条“报价文件”规定中“必须提供”的文件资料的；</w:t>
      </w:r>
    </w:p>
    <w:p w14:paraId="46DD03C0">
      <w:pPr>
        <w:pStyle w:val="7"/>
        <w:numPr>
          <w:ilvl w:val="0"/>
          <w:numId w:val="6"/>
        </w:numPr>
        <w:spacing w:line="360" w:lineRule="auto"/>
        <w:ind w:firstLine="422"/>
        <w:rPr>
          <w:rFonts w:ascii="宋体" w:hAnsi="宋体"/>
          <w:b/>
          <w:szCs w:val="21"/>
        </w:rPr>
      </w:pPr>
      <w:r>
        <w:rPr>
          <w:rFonts w:hint="eastAsia" w:ascii="宋体" w:hAnsi="宋体"/>
          <w:b/>
          <w:szCs w:val="21"/>
        </w:rPr>
        <w:t>未采用人民币报价或者未按照招标文件标明的币种报价的；</w:t>
      </w:r>
    </w:p>
    <w:p w14:paraId="4350CBC4">
      <w:pPr>
        <w:pStyle w:val="7"/>
        <w:numPr>
          <w:ilvl w:val="0"/>
          <w:numId w:val="6"/>
        </w:numPr>
        <w:spacing w:line="360" w:lineRule="auto"/>
        <w:ind w:firstLine="422"/>
        <w:rPr>
          <w:rFonts w:ascii="宋体" w:hAnsi="宋体"/>
          <w:b/>
          <w:szCs w:val="21"/>
        </w:rPr>
      </w:pPr>
      <w:r>
        <w:rPr>
          <w:rFonts w:hint="eastAsia" w:ascii="宋体" w:hAnsi="宋体"/>
          <w:b/>
          <w:szCs w:val="21"/>
        </w:rPr>
        <w:t>各分标报价超出招标文件相应分标规定最高限价，或者超出相应分标采购预算金额的；</w:t>
      </w:r>
    </w:p>
    <w:p w14:paraId="652BFDA4">
      <w:pPr>
        <w:pStyle w:val="7"/>
        <w:numPr>
          <w:ilvl w:val="0"/>
          <w:numId w:val="6"/>
        </w:numPr>
        <w:spacing w:line="360" w:lineRule="auto"/>
        <w:ind w:firstLine="422"/>
        <w:rPr>
          <w:rFonts w:ascii="宋体" w:hAnsi="宋体"/>
          <w:b/>
          <w:szCs w:val="21"/>
        </w:rPr>
      </w:pPr>
      <w:r>
        <w:rPr>
          <w:rFonts w:hint="eastAsia" w:ascii="宋体" w:hAnsi="宋体"/>
          <w:b/>
          <w:szCs w:val="21"/>
        </w:rPr>
        <w:t>投标人未就所投项目进行报价或者存在漏项报价；投标人未就所投项目的单项内容作唯一报价；投标人未就所投项目的全部内容作完整唯一总价报价；存在有选择、有条件报价的（招标文件允许有备选方案或者其他约定的除外）；</w:t>
      </w:r>
    </w:p>
    <w:p w14:paraId="7A07FE51">
      <w:pPr>
        <w:pStyle w:val="7"/>
        <w:numPr>
          <w:ilvl w:val="0"/>
          <w:numId w:val="6"/>
        </w:numPr>
        <w:spacing w:line="360" w:lineRule="auto"/>
        <w:ind w:firstLine="422"/>
        <w:rPr>
          <w:rFonts w:ascii="宋体" w:hAnsi="宋体"/>
          <w:b/>
          <w:szCs w:val="21"/>
        </w:rPr>
      </w:pPr>
      <w:r>
        <w:rPr>
          <w:rFonts w:hint="eastAsia" w:ascii="宋体" w:hAnsi="宋体"/>
          <w:b/>
          <w:szCs w:val="21"/>
        </w:rPr>
        <w:t>修正后的报价，投标人不确认的；</w:t>
      </w:r>
    </w:p>
    <w:p w14:paraId="09041C9F">
      <w:pPr>
        <w:pStyle w:val="7"/>
        <w:numPr>
          <w:ilvl w:val="0"/>
          <w:numId w:val="6"/>
        </w:numPr>
        <w:spacing w:line="360" w:lineRule="auto"/>
        <w:ind w:firstLine="422"/>
        <w:rPr>
          <w:rFonts w:ascii="宋体" w:hAnsi="宋体"/>
          <w:b/>
          <w:szCs w:val="21"/>
        </w:rPr>
      </w:pPr>
      <w:r>
        <w:rPr>
          <w:rFonts w:hint="eastAsia" w:ascii="宋体" w:hAnsi="宋体"/>
          <w:b/>
          <w:szCs w:val="21"/>
        </w:rPr>
        <w:t>投标人属于本章第</w:t>
      </w:r>
      <w:r>
        <w:rPr>
          <w:rFonts w:ascii="宋体" w:hAnsi="宋体"/>
          <w:b/>
          <w:szCs w:val="21"/>
        </w:rPr>
        <w:t>5.1</w:t>
      </w:r>
      <w:r>
        <w:rPr>
          <w:rFonts w:hint="eastAsia" w:ascii="宋体" w:hAnsi="宋体"/>
          <w:b/>
          <w:szCs w:val="21"/>
        </w:rPr>
        <w:t>条（2）或者第5</w:t>
      </w:r>
      <w:r>
        <w:rPr>
          <w:rFonts w:ascii="宋体" w:hAnsi="宋体"/>
          <w:b/>
          <w:szCs w:val="21"/>
        </w:rPr>
        <w:t>.2条</w:t>
      </w:r>
      <w:r>
        <w:rPr>
          <w:rFonts w:hint="eastAsia" w:ascii="宋体" w:hAnsi="宋体"/>
          <w:b/>
          <w:szCs w:val="21"/>
        </w:rPr>
        <w:t>（2）项情形的；</w:t>
      </w:r>
    </w:p>
    <w:p w14:paraId="04A82723">
      <w:pPr>
        <w:pStyle w:val="7"/>
        <w:numPr>
          <w:ilvl w:val="0"/>
          <w:numId w:val="6"/>
        </w:numPr>
        <w:spacing w:line="360" w:lineRule="auto"/>
        <w:ind w:firstLine="422"/>
        <w:rPr>
          <w:rFonts w:ascii="宋体" w:hAnsi="宋体"/>
          <w:b/>
          <w:szCs w:val="21"/>
        </w:rPr>
      </w:pPr>
      <w:r>
        <w:rPr>
          <w:rFonts w:hint="eastAsia" w:ascii="宋体" w:hAnsi="宋体"/>
          <w:b/>
          <w:spacing w:val="-6"/>
          <w:szCs w:val="21"/>
        </w:rPr>
        <w:t>报价文件</w:t>
      </w:r>
      <w:r>
        <w:rPr>
          <w:rFonts w:hint="eastAsia" w:ascii="宋体" w:hAnsi="宋体"/>
          <w:b/>
          <w:szCs w:val="21"/>
        </w:rPr>
        <w:t>响应的标的数量及单位与招标文件要求实质性不一致的。</w:t>
      </w:r>
    </w:p>
    <w:p w14:paraId="2421BA81">
      <w:pPr>
        <w:pStyle w:val="6"/>
        <w:keepNext w:val="0"/>
        <w:keepLines w:val="0"/>
        <w:spacing w:before="0" w:after="0" w:line="360" w:lineRule="auto"/>
        <w:ind w:left="420" w:leftChars="200"/>
        <w:rPr>
          <w:rFonts w:ascii="宋体" w:hAnsi="宋体"/>
          <w:sz w:val="21"/>
          <w:szCs w:val="21"/>
        </w:rPr>
      </w:pPr>
      <w:r>
        <w:rPr>
          <w:rFonts w:hint="eastAsia" w:ascii="宋体" w:hAnsi="宋体"/>
          <w:sz w:val="21"/>
          <w:szCs w:val="21"/>
        </w:rPr>
        <w:t>2.2在商务及技术评审时，如发现下列情形之一的，将被视为投标无效：</w:t>
      </w:r>
    </w:p>
    <w:p w14:paraId="76D954D5">
      <w:pPr>
        <w:numPr>
          <w:ilvl w:val="0"/>
          <w:numId w:val="7"/>
        </w:numPr>
        <w:snapToGrid w:val="0"/>
        <w:spacing w:line="360" w:lineRule="auto"/>
        <w:ind w:firstLine="422" w:firstLineChars="200"/>
        <w:rPr>
          <w:rFonts w:ascii="宋体" w:hAnsi="宋体"/>
          <w:b/>
          <w:szCs w:val="21"/>
        </w:rPr>
      </w:pPr>
      <w:r>
        <w:rPr>
          <w:rFonts w:hint="eastAsia" w:ascii="宋体" w:hAnsi="宋体"/>
          <w:b/>
          <w:szCs w:val="21"/>
        </w:rPr>
        <w:t>投标文件未按招标文件要求签署、盖章的；</w:t>
      </w:r>
    </w:p>
    <w:p w14:paraId="717D39CF">
      <w:pPr>
        <w:numPr>
          <w:ilvl w:val="0"/>
          <w:numId w:val="7"/>
        </w:numPr>
        <w:snapToGrid w:val="0"/>
        <w:spacing w:line="360" w:lineRule="auto"/>
        <w:ind w:firstLine="422" w:firstLineChars="200"/>
        <w:rPr>
          <w:rFonts w:ascii="宋体" w:hAnsi="宋体"/>
          <w:b/>
          <w:szCs w:val="21"/>
        </w:rPr>
      </w:pPr>
      <w:r>
        <w:rPr>
          <w:rFonts w:hint="eastAsia" w:ascii="宋体" w:hAnsi="宋体"/>
          <w:b/>
          <w:szCs w:val="21"/>
        </w:rPr>
        <w:t>委托代理人未能出具有效身份证或者出具的身份证与授权委托书中的信息不符的；</w:t>
      </w:r>
    </w:p>
    <w:p w14:paraId="084C9E40">
      <w:pPr>
        <w:numPr>
          <w:ilvl w:val="0"/>
          <w:numId w:val="7"/>
        </w:numPr>
        <w:snapToGrid w:val="0"/>
        <w:spacing w:line="360" w:lineRule="auto"/>
        <w:ind w:firstLine="422" w:firstLineChars="200"/>
        <w:rPr>
          <w:rFonts w:ascii="宋体" w:hAnsi="宋体"/>
          <w:b/>
          <w:szCs w:val="21"/>
        </w:rPr>
      </w:pPr>
      <w:r>
        <w:rPr>
          <w:rFonts w:hint="eastAsia" w:ascii="宋体" w:hAnsi="宋体"/>
          <w:b/>
          <w:szCs w:val="21"/>
        </w:rPr>
        <w:t>为无效投标保证金的或者未按照招标文件的规定提交投标保证金的；</w:t>
      </w:r>
    </w:p>
    <w:p w14:paraId="748CA1E8">
      <w:pPr>
        <w:numPr>
          <w:ilvl w:val="0"/>
          <w:numId w:val="7"/>
        </w:numPr>
        <w:snapToGrid w:val="0"/>
        <w:spacing w:line="360" w:lineRule="auto"/>
        <w:ind w:firstLine="422" w:firstLineChars="200"/>
        <w:rPr>
          <w:rFonts w:ascii="宋体" w:hAnsi="宋体"/>
          <w:b/>
          <w:szCs w:val="21"/>
        </w:rPr>
      </w:pPr>
      <w:r>
        <w:rPr>
          <w:rFonts w:hint="eastAsia" w:ascii="宋体" w:hAnsi="宋体"/>
          <w:b/>
          <w:szCs w:val="21"/>
        </w:rPr>
        <w:t>投标文件未提供“投标人须知前附表”第13条“商务及技术文件”规定中“必须提供”或者“委托时必须提供”的文件资料的；</w:t>
      </w:r>
    </w:p>
    <w:p w14:paraId="7DD89539">
      <w:pPr>
        <w:numPr>
          <w:ilvl w:val="0"/>
          <w:numId w:val="7"/>
        </w:numPr>
        <w:snapToGrid w:val="0"/>
        <w:spacing w:line="360" w:lineRule="auto"/>
        <w:ind w:firstLine="422" w:firstLineChars="200"/>
        <w:rPr>
          <w:rFonts w:ascii="宋体" w:hAnsi="宋体"/>
          <w:b/>
          <w:szCs w:val="21"/>
        </w:rPr>
      </w:pPr>
      <w:r>
        <w:rPr>
          <w:rFonts w:hint="eastAsia" w:ascii="宋体" w:hAnsi="宋体"/>
          <w:b/>
          <w:szCs w:val="21"/>
        </w:rPr>
        <w:t>允许负偏离的条款数超过“投标人须知前附表”规定项数的；</w:t>
      </w:r>
    </w:p>
    <w:p w14:paraId="03A6A73A">
      <w:pPr>
        <w:numPr>
          <w:ilvl w:val="0"/>
          <w:numId w:val="7"/>
        </w:numPr>
        <w:snapToGrid w:val="0"/>
        <w:spacing w:line="360" w:lineRule="auto"/>
        <w:ind w:firstLine="422" w:firstLineChars="200"/>
        <w:rPr>
          <w:rFonts w:ascii="宋体" w:hAnsi="宋体"/>
          <w:b/>
          <w:szCs w:val="21"/>
        </w:rPr>
      </w:pPr>
      <w:r>
        <w:rPr>
          <w:rFonts w:hint="eastAsia" w:ascii="宋体" w:hAnsi="宋体"/>
          <w:b/>
          <w:szCs w:val="21"/>
        </w:rPr>
        <w:t>投标文件的实质性内容未使用中文表述、使用计量单位不符合招标文件要求的；</w:t>
      </w:r>
    </w:p>
    <w:p w14:paraId="7E80E555">
      <w:pPr>
        <w:numPr>
          <w:ilvl w:val="0"/>
          <w:numId w:val="7"/>
        </w:numPr>
        <w:snapToGrid w:val="0"/>
        <w:spacing w:line="360" w:lineRule="auto"/>
        <w:ind w:firstLine="422" w:firstLineChars="200"/>
        <w:rPr>
          <w:rFonts w:ascii="宋体" w:hAnsi="宋体"/>
          <w:b/>
          <w:szCs w:val="21"/>
        </w:rPr>
      </w:pPr>
      <w:r>
        <w:rPr>
          <w:rFonts w:hint="eastAsia" w:ascii="宋体" w:hAnsi="宋体"/>
          <w:b/>
          <w:szCs w:val="21"/>
        </w:rPr>
        <w:t>投标文件中的文件资料因填写不齐全或者内容虚假或者出现其他情形而导致被评标委员会认定无效的；</w:t>
      </w:r>
    </w:p>
    <w:p w14:paraId="29B4E82F">
      <w:pPr>
        <w:numPr>
          <w:ilvl w:val="0"/>
          <w:numId w:val="7"/>
        </w:numPr>
        <w:snapToGrid w:val="0"/>
        <w:spacing w:line="360" w:lineRule="auto"/>
        <w:ind w:firstLine="422" w:firstLineChars="200"/>
        <w:rPr>
          <w:rFonts w:ascii="宋体" w:hAnsi="宋体"/>
          <w:b/>
          <w:szCs w:val="21"/>
        </w:rPr>
      </w:pPr>
      <w:r>
        <w:rPr>
          <w:rFonts w:hint="eastAsia" w:ascii="宋体" w:hAnsi="宋体"/>
          <w:b/>
          <w:szCs w:val="21"/>
        </w:rPr>
        <w:t>投标文件含有采购人不能接受的附加条件的；</w:t>
      </w:r>
    </w:p>
    <w:p w14:paraId="73DBE484">
      <w:pPr>
        <w:numPr>
          <w:ilvl w:val="0"/>
          <w:numId w:val="7"/>
        </w:numPr>
        <w:snapToGrid w:val="0"/>
        <w:spacing w:line="360" w:lineRule="auto"/>
        <w:ind w:firstLine="422" w:firstLineChars="200"/>
        <w:rPr>
          <w:rFonts w:ascii="宋体" w:hAnsi="宋体"/>
          <w:b/>
          <w:szCs w:val="21"/>
        </w:rPr>
      </w:pPr>
      <w:r>
        <w:rPr>
          <w:rFonts w:hint="eastAsia" w:ascii="宋体" w:hAnsi="宋体"/>
          <w:b/>
          <w:szCs w:val="21"/>
        </w:rPr>
        <w:t>属于投标人须知正文第</w:t>
      </w:r>
      <w:r>
        <w:rPr>
          <w:rFonts w:ascii="宋体" w:hAnsi="宋体"/>
          <w:b/>
          <w:szCs w:val="21"/>
        </w:rPr>
        <w:t>9.2</w:t>
      </w:r>
      <w:r>
        <w:rPr>
          <w:rFonts w:hint="eastAsia" w:ascii="宋体" w:hAnsi="宋体"/>
          <w:b/>
          <w:szCs w:val="21"/>
        </w:rPr>
        <w:t>条情形的；</w:t>
      </w:r>
    </w:p>
    <w:p w14:paraId="46D100F1">
      <w:pPr>
        <w:numPr>
          <w:ilvl w:val="0"/>
          <w:numId w:val="7"/>
        </w:numPr>
        <w:snapToGrid w:val="0"/>
        <w:spacing w:line="360" w:lineRule="auto"/>
        <w:ind w:firstLine="422" w:firstLineChars="200"/>
        <w:rPr>
          <w:rFonts w:ascii="宋体" w:hAnsi="宋体"/>
          <w:b/>
          <w:szCs w:val="21"/>
        </w:rPr>
      </w:pPr>
      <w:r>
        <w:rPr>
          <w:rFonts w:hint="eastAsia" w:ascii="宋体" w:hAnsi="宋体"/>
          <w:b/>
          <w:szCs w:val="21"/>
        </w:rPr>
        <w:t>投标文件标注的项目名称或者项目编号与招标文件标注的项目名称或者项目编号不一致的；</w:t>
      </w:r>
    </w:p>
    <w:p w14:paraId="697445A5">
      <w:pPr>
        <w:numPr>
          <w:ilvl w:val="0"/>
          <w:numId w:val="7"/>
        </w:numPr>
        <w:snapToGrid w:val="0"/>
        <w:spacing w:line="360" w:lineRule="auto"/>
        <w:ind w:firstLine="422" w:firstLineChars="200"/>
        <w:rPr>
          <w:rFonts w:ascii="宋体" w:hAnsi="宋体"/>
          <w:b/>
          <w:szCs w:val="21"/>
        </w:rPr>
      </w:pPr>
      <w:r>
        <w:rPr>
          <w:rFonts w:hint="eastAsia" w:ascii="宋体" w:hAnsi="宋体"/>
          <w:b/>
          <w:szCs w:val="21"/>
        </w:rPr>
        <w:t>投标文件中承诺的投标有效期低于招标文件要求的期限的；</w:t>
      </w:r>
    </w:p>
    <w:p w14:paraId="5299BBFA">
      <w:pPr>
        <w:numPr>
          <w:ilvl w:val="0"/>
          <w:numId w:val="7"/>
        </w:numPr>
        <w:snapToGrid w:val="0"/>
        <w:spacing w:line="360" w:lineRule="auto"/>
        <w:ind w:firstLine="422" w:firstLineChars="200"/>
        <w:rPr>
          <w:rFonts w:ascii="宋体" w:hAnsi="宋体"/>
          <w:b/>
          <w:szCs w:val="21"/>
        </w:rPr>
      </w:pPr>
      <w:r>
        <w:rPr>
          <w:rFonts w:hint="eastAsia" w:ascii="宋体" w:hAnsi="宋体"/>
          <w:b/>
          <w:szCs w:val="21"/>
        </w:rPr>
        <w:t>招标文件明确不允许分包，投标文件拟分包的；</w:t>
      </w:r>
    </w:p>
    <w:p w14:paraId="2D754C45">
      <w:pPr>
        <w:pStyle w:val="13"/>
        <w:numPr>
          <w:ilvl w:val="0"/>
          <w:numId w:val="7"/>
        </w:numPr>
        <w:snapToGrid w:val="0"/>
        <w:spacing w:line="360" w:lineRule="auto"/>
        <w:ind w:firstLine="413"/>
        <w:rPr>
          <w:rFonts w:hAnsi="宋体"/>
          <w:b/>
          <w:sz w:val="21"/>
          <w:szCs w:val="21"/>
        </w:rPr>
      </w:pPr>
      <w:r>
        <w:rPr>
          <w:rFonts w:hint="eastAsia" w:hAnsi="宋体"/>
          <w:b/>
          <w:sz w:val="21"/>
          <w:szCs w:val="21"/>
        </w:rPr>
        <w:t>虚假投标，或者出现其他情形而导致被评标委员会认定无效的；</w:t>
      </w:r>
    </w:p>
    <w:p w14:paraId="6D1776DA">
      <w:pPr>
        <w:pStyle w:val="13"/>
        <w:numPr>
          <w:ilvl w:val="0"/>
          <w:numId w:val="7"/>
        </w:numPr>
        <w:snapToGrid w:val="0"/>
        <w:spacing w:line="360" w:lineRule="auto"/>
        <w:ind w:firstLine="413"/>
        <w:rPr>
          <w:rFonts w:hAnsi="宋体"/>
          <w:b/>
          <w:sz w:val="21"/>
          <w:szCs w:val="21"/>
        </w:rPr>
      </w:pPr>
      <w:r>
        <w:rPr>
          <w:rFonts w:hint="eastAsia" w:hAnsi="宋体"/>
          <w:b/>
          <w:sz w:val="21"/>
          <w:szCs w:val="21"/>
        </w:rPr>
        <w:t>招标文件未载明允许提供备选（替代）投标方案或明确不允许提供备选（替代）投标方案时，投标人提供了备选（替代）投标方案的；</w:t>
      </w:r>
    </w:p>
    <w:p w14:paraId="2358DF8B">
      <w:pPr>
        <w:pStyle w:val="13"/>
        <w:numPr>
          <w:ilvl w:val="0"/>
          <w:numId w:val="7"/>
        </w:numPr>
        <w:snapToGrid w:val="0"/>
        <w:spacing w:line="360" w:lineRule="auto"/>
        <w:ind w:firstLine="413"/>
        <w:rPr>
          <w:rFonts w:hAnsi="宋体"/>
          <w:b/>
          <w:sz w:val="21"/>
          <w:szCs w:val="21"/>
        </w:rPr>
      </w:pPr>
      <w:r>
        <w:rPr>
          <w:rFonts w:hint="eastAsia" w:hAnsi="宋体"/>
          <w:b/>
          <w:sz w:val="21"/>
          <w:szCs w:val="21"/>
        </w:rPr>
        <w:t>未响应招标文件实质性要求的。</w:t>
      </w:r>
    </w:p>
    <w:p w14:paraId="51476722">
      <w:pPr>
        <w:numPr>
          <w:ilvl w:val="0"/>
          <w:numId w:val="7"/>
        </w:numPr>
        <w:snapToGrid w:val="0"/>
        <w:spacing w:line="360" w:lineRule="auto"/>
        <w:ind w:firstLine="422" w:firstLineChars="200"/>
        <w:rPr>
          <w:rFonts w:ascii="宋体" w:hAnsi="宋体"/>
          <w:b/>
          <w:szCs w:val="21"/>
        </w:rPr>
      </w:pPr>
      <w:r>
        <w:rPr>
          <w:rFonts w:hint="eastAsia" w:ascii="宋体" w:hAnsi="宋体"/>
          <w:b/>
          <w:szCs w:val="21"/>
        </w:rPr>
        <w:t>法律、法规和招标文件规定的其他无效情形。</w:t>
      </w:r>
    </w:p>
    <w:p w14:paraId="746547FD">
      <w:pPr>
        <w:pStyle w:val="6"/>
        <w:keepNext w:val="0"/>
        <w:keepLines w:val="0"/>
        <w:spacing w:before="0" w:after="0" w:line="360" w:lineRule="auto"/>
        <w:ind w:left="420" w:leftChars="200"/>
        <w:rPr>
          <w:rFonts w:ascii="宋体" w:hAnsi="宋体"/>
          <w:sz w:val="21"/>
          <w:szCs w:val="21"/>
        </w:rPr>
      </w:pPr>
      <w:r>
        <w:rPr>
          <w:rFonts w:hint="eastAsia" w:ascii="宋体" w:hAnsi="宋体"/>
          <w:sz w:val="21"/>
          <w:szCs w:val="21"/>
        </w:rPr>
        <w:t>3</w:t>
      </w:r>
      <w:r>
        <w:rPr>
          <w:rFonts w:ascii="宋体" w:hAnsi="宋体"/>
          <w:sz w:val="21"/>
          <w:szCs w:val="21"/>
        </w:rPr>
        <w:t>.</w:t>
      </w:r>
      <w:r>
        <w:rPr>
          <w:rFonts w:hint="eastAsia" w:ascii="宋体" w:hAnsi="宋体"/>
          <w:sz w:val="21"/>
          <w:szCs w:val="21"/>
        </w:rPr>
        <w:t>澄清补正</w:t>
      </w:r>
    </w:p>
    <w:p w14:paraId="7E39F154">
      <w:pPr>
        <w:spacing w:line="360" w:lineRule="auto"/>
        <w:ind w:firstLine="420" w:firstLineChars="200"/>
        <w:rPr>
          <w:rFonts w:ascii="宋体" w:hAnsi="宋体" w:cs="Courier New"/>
          <w:b/>
          <w:szCs w:val="21"/>
        </w:rPr>
      </w:pPr>
      <w:r>
        <w:rPr>
          <w:rFonts w:hint="eastAsia" w:ascii="宋体" w:hAnsi="宋体" w:cs="Courier New"/>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投标人电子签章后在线上传至评标委员会。投标人的澄清、说明或者补正不得超出投标文件的范围或者改变投标文件的实质性内容。</w:t>
      </w:r>
    </w:p>
    <w:p w14:paraId="52953251">
      <w:pPr>
        <w:spacing w:line="360" w:lineRule="auto"/>
        <w:ind w:firstLine="420" w:firstLineChars="200"/>
        <w:rPr>
          <w:rFonts w:ascii="宋体" w:hAnsi="宋体" w:cs="Courier New"/>
          <w:szCs w:val="21"/>
        </w:rPr>
      </w:pPr>
      <w:r>
        <w:rPr>
          <w:rFonts w:hint="eastAsia" w:ascii="宋体" w:hAnsi="宋体" w:cs="Courier New"/>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301A1E9C">
      <w:pPr>
        <w:spacing w:line="360" w:lineRule="auto"/>
        <w:ind w:firstLine="420" w:firstLineChars="200"/>
        <w:rPr>
          <w:rFonts w:ascii="宋体" w:hAnsi="宋体" w:cs="Courier New"/>
          <w:szCs w:val="21"/>
        </w:rPr>
      </w:pPr>
      <w:r>
        <w:rPr>
          <w:rFonts w:hint="eastAsia" w:ascii="宋体" w:hAnsi="宋体" w:cs="Courier New"/>
          <w:szCs w:val="21"/>
        </w:rPr>
        <w:t>未按评标委员会的要求作出明确澄清、说明或者更正的投标人的投标文件将按照有利于采购人的原则由评标委员会进行判定。</w:t>
      </w:r>
    </w:p>
    <w:p w14:paraId="5A59768E">
      <w:pPr>
        <w:pStyle w:val="6"/>
        <w:keepNext w:val="0"/>
        <w:keepLines w:val="0"/>
        <w:spacing w:before="0" w:after="0" w:line="360" w:lineRule="auto"/>
        <w:ind w:left="420" w:leftChars="200"/>
        <w:rPr>
          <w:rFonts w:ascii="宋体" w:hAnsi="宋体"/>
          <w:sz w:val="21"/>
          <w:szCs w:val="21"/>
        </w:rPr>
      </w:pPr>
      <w:r>
        <w:rPr>
          <w:rFonts w:ascii="宋体" w:hAnsi="宋体"/>
          <w:sz w:val="21"/>
          <w:szCs w:val="21"/>
        </w:rPr>
        <w:t>4.</w:t>
      </w:r>
      <w:r>
        <w:rPr>
          <w:rFonts w:hint="eastAsia" w:ascii="宋体" w:hAnsi="宋体"/>
          <w:sz w:val="21"/>
          <w:szCs w:val="21"/>
        </w:rPr>
        <w:t>投标文件修正</w:t>
      </w:r>
    </w:p>
    <w:p w14:paraId="457348A2">
      <w:pPr>
        <w:pStyle w:val="6"/>
        <w:keepNext w:val="0"/>
        <w:keepLines w:val="0"/>
        <w:spacing w:before="0" w:after="0" w:line="360" w:lineRule="auto"/>
        <w:ind w:left="420" w:leftChars="200"/>
        <w:rPr>
          <w:rFonts w:ascii="宋体" w:hAnsi="宋体"/>
          <w:b w:val="0"/>
          <w:sz w:val="21"/>
          <w:szCs w:val="21"/>
        </w:rPr>
      </w:pPr>
      <w:r>
        <w:rPr>
          <w:rFonts w:ascii="宋体" w:hAnsi="宋体"/>
          <w:b w:val="0"/>
          <w:sz w:val="21"/>
          <w:szCs w:val="21"/>
        </w:rPr>
        <w:t>4</w:t>
      </w:r>
      <w:r>
        <w:rPr>
          <w:rFonts w:hint="eastAsia" w:ascii="宋体" w:hAnsi="宋体"/>
          <w:b w:val="0"/>
          <w:sz w:val="21"/>
          <w:szCs w:val="21"/>
        </w:rPr>
        <w:t xml:space="preserve">.1投标文件报价出现前后不一致的，按照下列规定修正： </w:t>
      </w:r>
    </w:p>
    <w:p w14:paraId="7C67F86A">
      <w:pPr>
        <w:pStyle w:val="16"/>
        <w:snapToGrid w:val="0"/>
        <w:spacing w:line="360" w:lineRule="auto"/>
        <w:ind w:firstLine="420" w:firstLineChars="200"/>
        <w:rPr>
          <w:rFonts w:hAnsi="宋体"/>
          <w:sz w:val="21"/>
        </w:rPr>
      </w:pPr>
      <w:r>
        <w:rPr>
          <w:rFonts w:hint="eastAsia" w:hAnsi="宋体"/>
          <w:sz w:val="21"/>
        </w:rPr>
        <w:t>（1）投标文件中开标一览表（报价表）内容与投标文件中相应内容不一致的，以开标一览表（报价表）为准；</w:t>
      </w:r>
    </w:p>
    <w:p w14:paraId="50BD4EF5">
      <w:pPr>
        <w:pStyle w:val="16"/>
        <w:snapToGrid w:val="0"/>
        <w:spacing w:line="360" w:lineRule="auto"/>
        <w:ind w:firstLine="420" w:firstLineChars="200"/>
        <w:rPr>
          <w:rFonts w:hAnsi="宋体"/>
          <w:sz w:val="21"/>
        </w:rPr>
      </w:pPr>
      <w:r>
        <w:rPr>
          <w:rFonts w:hint="eastAsia" w:hAnsi="宋体"/>
          <w:sz w:val="21"/>
        </w:rPr>
        <w:t>（2）大写金额和小写金额不一致的，以大写金额为准；</w:t>
      </w:r>
    </w:p>
    <w:p w14:paraId="1C98ECC1">
      <w:pPr>
        <w:pStyle w:val="16"/>
        <w:snapToGrid w:val="0"/>
        <w:spacing w:line="360" w:lineRule="auto"/>
        <w:ind w:firstLine="420" w:firstLineChars="200"/>
        <w:rPr>
          <w:rFonts w:hAnsi="宋体"/>
          <w:sz w:val="21"/>
        </w:rPr>
      </w:pPr>
      <w:r>
        <w:rPr>
          <w:rFonts w:hint="eastAsia" w:hAnsi="宋体"/>
          <w:sz w:val="21"/>
        </w:rPr>
        <w:t>（3）单价金额小数点或者百分比有明显错位的，以开标一览表的总价为准，并修改单价；</w:t>
      </w:r>
    </w:p>
    <w:p w14:paraId="34BF3577">
      <w:pPr>
        <w:pStyle w:val="16"/>
        <w:snapToGrid w:val="0"/>
        <w:spacing w:line="360" w:lineRule="auto"/>
        <w:ind w:firstLine="420" w:firstLineChars="200"/>
        <w:rPr>
          <w:rFonts w:hAnsi="宋体"/>
          <w:sz w:val="21"/>
        </w:rPr>
      </w:pPr>
      <w:r>
        <w:rPr>
          <w:rFonts w:hint="eastAsia" w:hAnsi="宋体"/>
          <w:sz w:val="21"/>
        </w:rPr>
        <w:t>（4）总价金额与按单价汇总金额不一致的，以单价金额计算结果为准。</w:t>
      </w:r>
    </w:p>
    <w:p w14:paraId="0C5D79D1">
      <w:pPr>
        <w:pStyle w:val="16"/>
        <w:snapToGrid w:val="0"/>
        <w:spacing w:line="360" w:lineRule="auto"/>
        <w:ind w:firstLine="420" w:firstLineChars="200"/>
        <w:rPr>
          <w:rFonts w:hAnsi="宋体"/>
          <w:sz w:val="21"/>
        </w:rPr>
      </w:pPr>
      <w:r>
        <w:rPr>
          <w:rFonts w:hint="eastAsia" w:hAnsi="宋体"/>
          <w:sz w:val="21"/>
        </w:rPr>
        <w:t>同时出现两种以上不一致的，按照以上（1）-（4）规定的顺序修正。修正后的报价经投标人确认后产生约束力，投标人不确认的，</w:t>
      </w:r>
      <w:r>
        <w:rPr>
          <w:rFonts w:hint="eastAsia" w:hAnsi="宋体"/>
          <w:b/>
          <w:kern w:val="2"/>
          <w:sz w:val="21"/>
        </w:rPr>
        <w:t>其投标无效</w:t>
      </w:r>
      <w:r>
        <w:rPr>
          <w:rFonts w:hint="eastAsia" w:hAnsi="宋体"/>
          <w:sz w:val="21"/>
        </w:rPr>
        <w:t>。</w:t>
      </w:r>
    </w:p>
    <w:p w14:paraId="535F6B52">
      <w:pPr>
        <w:pStyle w:val="6"/>
        <w:keepNext w:val="0"/>
        <w:keepLines w:val="0"/>
        <w:spacing w:before="0" w:after="0" w:line="360" w:lineRule="auto"/>
        <w:rPr>
          <w:rFonts w:ascii="宋体" w:hAnsi="宋体"/>
          <w:b w:val="0"/>
          <w:sz w:val="21"/>
          <w:szCs w:val="21"/>
        </w:rPr>
      </w:pPr>
      <w:r>
        <w:rPr>
          <w:rFonts w:ascii="宋体" w:hAnsi="宋体"/>
          <w:b w:val="0"/>
          <w:sz w:val="21"/>
          <w:szCs w:val="21"/>
        </w:rPr>
        <w:t xml:space="preserve">    4</w:t>
      </w:r>
      <w:r>
        <w:rPr>
          <w:rFonts w:hint="eastAsia" w:ascii="宋体" w:hAnsi="宋体"/>
          <w:b w:val="0"/>
          <w:sz w:val="21"/>
          <w:szCs w:val="21"/>
        </w:rPr>
        <w:t>.2经投标人确认修正后的报价若超过采购预算金额或者最高限价，</w:t>
      </w:r>
      <w:r>
        <w:rPr>
          <w:rFonts w:hint="eastAsia" w:ascii="宋体" w:hAnsi="宋体"/>
          <w:sz w:val="21"/>
          <w:szCs w:val="21"/>
        </w:rPr>
        <w:t>投标人的投标文件作无效投标处理</w:t>
      </w:r>
      <w:r>
        <w:rPr>
          <w:rFonts w:hint="eastAsia" w:ascii="宋体" w:hAnsi="宋体"/>
          <w:b w:val="0"/>
          <w:sz w:val="21"/>
          <w:szCs w:val="21"/>
        </w:rPr>
        <w:t>。</w:t>
      </w:r>
    </w:p>
    <w:p w14:paraId="11BF231E">
      <w:pPr>
        <w:snapToGrid w:val="0"/>
        <w:spacing w:line="360" w:lineRule="auto"/>
        <w:ind w:firstLine="420" w:firstLineChars="200"/>
        <w:rPr>
          <w:rFonts w:ascii="宋体" w:hAnsi="宋体"/>
          <w:szCs w:val="21"/>
        </w:rPr>
      </w:pPr>
      <w:r>
        <w:rPr>
          <w:rFonts w:ascii="宋体" w:hAnsi="宋体"/>
          <w:szCs w:val="21"/>
        </w:rPr>
        <w:t>4</w:t>
      </w:r>
      <w:r>
        <w:rPr>
          <w:rFonts w:hint="eastAsia" w:ascii="宋体" w:hAnsi="宋体"/>
          <w:szCs w:val="21"/>
        </w:rPr>
        <w:t>.3经投标人确认修正后的报价作为签订合同的依据，并以此报价计算价格分。</w:t>
      </w:r>
    </w:p>
    <w:p w14:paraId="79BE1A9C">
      <w:pPr>
        <w:pStyle w:val="6"/>
        <w:keepNext w:val="0"/>
        <w:keepLines w:val="0"/>
        <w:spacing w:before="0" w:after="0" w:line="360" w:lineRule="auto"/>
        <w:ind w:left="420" w:leftChars="200"/>
        <w:rPr>
          <w:rFonts w:ascii="宋体" w:hAnsi="宋体"/>
          <w:sz w:val="21"/>
          <w:szCs w:val="21"/>
        </w:rPr>
      </w:pPr>
      <w:r>
        <w:rPr>
          <w:rFonts w:ascii="宋体" w:hAnsi="宋体"/>
          <w:sz w:val="21"/>
          <w:szCs w:val="21"/>
        </w:rPr>
        <w:t>5.</w:t>
      </w:r>
      <w:r>
        <w:rPr>
          <w:rFonts w:hint="eastAsia" w:ascii="宋体" w:hAnsi="宋体"/>
          <w:sz w:val="21"/>
          <w:szCs w:val="21"/>
        </w:rPr>
        <w:t>比较与评价</w:t>
      </w:r>
    </w:p>
    <w:p w14:paraId="2EE57623">
      <w:pPr>
        <w:snapToGrid w:val="0"/>
        <w:spacing w:line="360" w:lineRule="auto"/>
        <w:ind w:firstLine="420" w:firstLineChars="200"/>
        <w:rPr>
          <w:rFonts w:ascii="宋体" w:hAnsi="宋体"/>
          <w:szCs w:val="21"/>
        </w:rPr>
      </w:pPr>
      <w:r>
        <w:rPr>
          <w:rFonts w:hint="eastAsia" w:ascii="宋体" w:hAnsi="宋体"/>
          <w:szCs w:val="21"/>
        </w:rPr>
        <w:t>5.1采用综合评分法的</w:t>
      </w:r>
    </w:p>
    <w:p w14:paraId="449BF688">
      <w:pPr>
        <w:snapToGrid w:val="0"/>
        <w:spacing w:line="360" w:lineRule="auto"/>
        <w:ind w:firstLine="420" w:firstLineChars="200"/>
        <w:rPr>
          <w:rFonts w:ascii="宋体" w:hAnsi="宋体"/>
          <w:szCs w:val="21"/>
        </w:rPr>
      </w:pPr>
      <w:r>
        <w:rPr>
          <w:rFonts w:hint="eastAsia" w:ascii="宋体" w:hAnsi="宋体"/>
          <w:szCs w:val="21"/>
        </w:rPr>
        <w:t>（1）评标委员会按照招标文件中规定的评标方法及评标标准，对符合性审查合格的投标文件进行商务和技术评估，综合比较与评价。</w:t>
      </w:r>
    </w:p>
    <w:p w14:paraId="7E7F4F26">
      <w:pPr>
        <w:snapToGrid w:val="0"/>
        <w:spacing w:line="360" w:lineRule="auto"/>
        <w:ind w:firstLine="420" w:firstLineChars="200"/>
        <w:rPr>
          <w:rFonts w:ascii="宋体" w:hAnsi="宋体"/>
          <w:szCs w:val="21"/>
        </w:rPr>
      </w:pPr>
      <w:r>
        <w:rPr>
          <w:rFonts w:hint="eastAsia" w:ascii="宋体" w:hAnsi="宋体"/>
          <w:szCs w:val="21"/>
        </w:rPr>
        <w:t>（2）评标委员会独立对每个投标人的投标文件进行评价，并汇总每个投标人的得分。</w:t>
      </w:r>
    </w:p>
    <w:p w14:paraId="2A5DA393">
      <w:pPr>
        <w:snapToGrid w:val="0"/>
        <w:spacing w:line="360" w:lineRule="auto"/>
        <w:ind w:firstLine="420" w:firstLineChars="200"/>
        <w:rPr>
          <w:rFonts w:ascii="宋体" w:hAnsi="宋体"/>
          <w:szCs w:val="21"/>
        </w:rPr>
      </w:pPr>
      <w:r>
        <w:rPr>
          <w:rFonts w:hint="eastAsia" w:ascii="宋体" w:hAnsi="宋体"/>
          <w:szCs w:val="21"/>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b/>
          <w:szCs w:val="21"/>
        </w:rPr>
        <w:t>投标人不能证明其报价合理性的，评标委员会将其作为无效投标处理</w:t>
      </w:r>
      <w:r>
        <w:rPr>
          <w:rFonts w:hint="eastAsia" w:ascii="宋体" w:hAnsi="宋体"/>
          <w:szCs w:val="21"/>
        </w:rPr>
        <w:t>。</w:t>
      </w:r>
    </w:p>
    <w:p w14:paraId="4F5F4ADC">
      <w:pPr>
        <w:snapToGrid w:val="0"/>
        <w:spacing w:line="360" w:lineRule="auto"/>
        <w:ind w:firstLine="420" w:firstLineChars="200"/>
        <w:rPr>
          <w:rFonts w:ascii="宋体" w:hAnsi="宋体"/>
          <w:szCs w:val="21"/>
        </w:rPr>
      </w:pPr>
      <w:r>
        <w:rPr>
          <w:rFonts w:hint="eastAsia" w:ascii="宋体" w:hAnsi="宋体"/>
          <w:szCs w:val="21"/>
        </w:rPr>
        <w:t>（3）评标委员会按照招标文件中规定的评标方法和标准计算各投标人的报价得分。在计算过程中，不得去掉最高报价或者最低报价。</w:t>
      </w:r>
    </w:p>
    <w:p w14:paraId="42E7C96E">
      <w:pPr>
        <w:snapToGrid w:val="0"/>
        <w:spacing w:line="360" w:lineRule="auto"/>
        <w:ind w:firstLine="420" w:firstLineChars="200"/>
        <w:rPr>
          <w:rFonts w:ascii="宋体" w:hAnsi="宋体"/>
          <w:szCs w:val="21"/>
        </w:rPr>
      </w:pPr>
      <w:r>
        <w:rPr>
          <w:rFonts w:hint="eastAsia" w:ascii="宋体" w:hAnsi="宋体"/>
          <w:szCs w:val="21"/>
        </w:rPr>
        <w:t>（4）各投标人的得分为所有评委的有效评分的算术平均数。</w:t>
      </w:r>
    </w:p>
    <w:p w14:paraId="3A303F71">
      <w:pPr>
        <w:snapToGrid w:val="0"/>
        <w:spacing w:line="360" w:lineRule="auto"/>
        <w:ind w:firstLine="420" w:firstLineChars="200"/>
        <w:rPr>
          <w:rFonts w:ascii="宋体" w:hAnsi="宋体"/>
          <w:szCs w:val="21"/>
        </w:rPr>
      </w:pPr>
      <w:r>
        <w:rPr>
          <w:rFonts w:hint="eastAsia" w:ascii="宋体" w:hAnsi="宋体"/>
          <w:szCs w:val="21"/>
        </w:rPr>
        <w:t>（5）评标委员会按照招标文件中的规定推荐中标候选人。</w:t>
      </w:r>
    </w:p>
    <w:p w14:paraId="0FCD87E8">
      <w:pPr>
        <w:snapToGrid w:val="0"/>
        <w:spacing w:line="360" w:lineRule="auto"/>
        <w:ind w:firstLine="420" w:firstLineChars="200"/>
        <w:rPr>
          <w:rFonts w:ascii="宋体" w:hAnsi="宋体"/>
          <w:szCs w:val="21"/>
        </w:rPr>
      </w:pPr>
      <w:r>
        <w:rPr>
          <w:rFonts w:hint="eastAsia" w:ascii="宋体" w:hAnsi="宋体"/>
          <w:szCs w:val="21"/>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1954A165">
      <w:pPr>
        <w:snapToGrid w:val="0"/>
        <w:spacing w:line="360" w:lineRule="auto"/>
        <w:ind w:firstLine="420" w:firstLineChars="200"/>
        <w:rPr>
          <w:rFonts w:ascii="宋体" w:hAnsi="宋体"/>
          <w:szCs w:val="21"/>
        </w:rPr>
      </w:pPr>
      <w:r>
        <w:rPr>
          <w:rFonts w:hint="eastAsia" w:ascii="宋体" w:hAnsi="宋体"/>
          <w:szCs w:val="21"/>
        </w:rPr>
        <w:t>5.2采用</w:t>
      </w:r>
      <w:r>
        <w:rPr>
          <w:rFonts w:hint="eastAsia" w:hAnsi="宋体"/>
        </w:rPr>
        <w:t>最低评标价法</w:t>
      </w:r>
      <w:r>
        <w:rPr>
          <w:rFonts w:hint="eastAsia" w:ascii="宋体" w:hAnsi="宋体"/>
          <w:szCs w:val="21"/>
        </w:rPr>
        <w:t>的</w:t>
      </w:r>
    </w:p>
    <w:p w14:paraId="7967E081">
      <w:pPr>
        <w:snapToGrid w:val="0"/>
        <w:spacing w:line="360" w:lineRule="auto"/>
        <w:ind w:firstLine="424" w:firstLineChars="202"/>
        <w:jc w:val="left"/>
        <w:rPr>
          <w:rFonts w:ascii="宋体" w:hAnsi="宋体"/>
          <w:szCs w:val="21"/>
        </w:rPr>
      </w:pPr>
      <w:r>
        <w:rPr>
          <w:rFonts w:hint="eastAsia" w:ascii="宋体" w:hAnsi="宋体"/>
          <w:szCs w:val="21"/>
        </w:rPr>
        <w:t>（1）评标委员会按照招标文件中规定的评标方法及评标标准，对符合性审查合格的投标文件报价进行比较。</w:t>
      </w:r>
    </w:p>
    <w:p w14:paraId="57DE2D27">
      <w:pPr>
        <w:snapToGrid w:val="0"/>
        <w:spacing w:line="360" w:lineRule="auto"/>
        <w:ind w:firstLine="399" w:firstLineChars="202"/>
        <w:jc w:val="left"/>
        <w:rPr>
          <w:rFonts w:ascii="宋体" w:hAnsi="宋体"/>
          <w:spacing w:val="-6"/>
          <w:szCs w:val="21"/>
        </w:rPr>
      </w:pPr>
      <w:r>
        <w:rPr>
          <w:rFonts w:hint="eastAsia" w:ascii="宋体" w:hAnsi="宋体"/>
          <w:spacing w:val="-6"/>
          <w:szCs w:val="21"/>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b/>
          <w:spacing w:val="-6"/>
          <w:szCs w:val="21"/>
        </w:rPr>
        <w:t>投标人不能证明其报价合理性的，评标委员会应当将其作为无效投标处理。</w:t>
      </w:r>
    </w:p>
    <w:p w14:paraId="3A113B20">
      <w:pPr>
        <w:snapToGrid w:val="0"/>
        <w:spacing w:line="360" w:lineRule="auto"/>
        <w:ind w:firstLine="424" w:firstLineChars="202"/>
        <w:jc w:val="left"/>
        <w:rPr>
          <w:rFonts w:ascii="宋体" w:hAnsi="宋体"/>
          <w:szCs w:val="21"/>
        </w:rPr>
      </w:pPr>
      <w:r>
        <w:rPr>
          <w:rFonts w:hint="eastAsia" w:ascii="宋体" w:hAnsi="宋体"/>
          <w:szCs w:val="21"/>
        </w:rPr>
        <w:t>（3）评标委员会按照招标文件中的规定推荐中标候选人。</w:t>
      </w:r>
    </w:p>
    <w:p w14:paraId="24B61A59">
      <w:pPr>
        <w:snapToGrid w:val="0"/>
        <w:spacing w:line="360" w:lineRule="auto"/>
        <w:ind w:firstLine="424" w:firstLineChars="202"/>
        <w:jc w:val="left"/>
        <w:rPr>
          <w:rFonts w:ascii="宋体" w:hAnsi="宋体"/>
          <w:szCs w:val="21"/>
        </w:rPr>
      </w:pPr>
      <w:r>
        <w:rPr>
          <w:rFonts w:hint="eastAsia" w:ascii="宋体" w:hAnsi="宋体"/>
          <w:szCs w:val="21"/>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591C7AD2">
      <w:pPr>
        <w:snapToGrid w:val="0"/>
        <w:spacing w:line="360" w:lineRule="auto"/>
        <w:ind w:firstLine="424" w:firstLineChars="202"/>
        <w:jc w:val="center"/>
      </w:pPr>
      <w:r>
        <w:br w:type="page"/>
      </w:r>
      <w:bookmarkStart w:id="156" w:name="_Toc3231"/>
      <w:bookmarkStart w:id="157" w:name="_Toc5734"/>
      <w:r>
        <w:rPr>
          <w:rStyle w:val="54"/>
        </w:rPr>
        <w:t>三</w:t>
      </w:r>
      <w:r>
        <w:rPr>
          <w:rStyle w:val="54"/>
          <w:rFonts w:hint="eastAsia"/>
        </w:rPr>
        <w:t>、评标标准</w:t>
      </w:r>
      <w:bookmarkEnd w:id="156"/>
      <w:bookmarkEnd w:id="157"/>
    </w:p>
    <w:p w14:paraId="6C7E876D">
      <w:pPr>
        <w:pStyle w:val="4"/>
        <w:keepNext w:val="0"/>
        <w:keepLines w:val="0"/>
        <w:jc w:val="center"/>
      </w:pPr>
      <w:bookmarkStart w:id="158" w:name="_Toc16676"/>
      <w:bookmarkStart w:id="159" w:name="_Toc28269"/>
      <w:r>
        <w:rPr>
          <w:rFonts w:hint="eastAsia"/>
        </w:rPr>
        <w:t>综合评分法</w:t>
      </w:r>
      <w:bookmarkEnd w:id="158"/>
      <w:bookmarkEnd w:id="159"/>
    </w:p>
    <w:tbl>
      <w:tblPr>
        <w:tblStyle w:val="26"/>
        <w:tblW w:w="48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1390"/>
        <w:gridCol w:w="1657"/>
        <w:gridCol w:w="6081"/>
      </w:tblGrid>
      <w:tr w14:paraId="412D2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gridSpan w:val="2"/>
            <w:vAlign w:val="center"/>
          </w:tcPr>
          <w:p w14:paraId="1661E11C">
            <w:pPr>
              <w:adjustRightInd w:val="0"/>
              <w:spacing w:line="410" w:lineRule="exact"/>
              <w:jc w:val="center"/>
              <w:textAlignment w:val="baseline"/>
              <w:rPr>
                <w:rFonts w:ascii="宋体" w:hAnsi="宋体"/>
                <w:b/>
                <w:szCs w:val="21"/>
              </w:rPr>
            </w:pPr>
            <w:r>
              <w:rPr>
                <w:rFonts w:hint="eastAsia" w:ascii="宋体" w:hAnsi="宋体"/>
                <w:b/>
                <w:szCs w:val="21"/>
              </w:rPr>
              <w:t>序号</w:t>
            </w:r>
          </w:p>
        </w:tc>
        <w:tc>
          <w:tcPr>
            <w:tcW w:w="857" w:type="pct"/>
            <w:vAlign w:val="center"/>
          </w:tcPr>
          <w:p w14:paraId="38F35B3E">
            <w:pPr>
              <w:adjustRightInd w:val="0"/>
              <w:spacing w:line="410" w:lineRule="exact"/>
              <w:jc w:val="center"/>
              <w:textAlignment w:val="baseline"/>
              <w:rPr>
                <w:rFonts w:ascii="宋体" w:hAnsi="宋体"/>
                <w:szCs w:val="21"/>
              </w:rPr>
            </w:pPr>
            <w:r>
              <w:rPr>
                <w:rFonts w:hint="eastAsia" w:ascii="宋体" w:hAnsi="宋体"/>
                <w:b/>
                <w:szCs w:val="21"/>
              </w:rPr>
              <w:t>评审因素</w:t>
            </w:r>
          </w:p>
        </w:tc>
        <w:tc>
          <w:tcPr>
            <w:tcW w:w="3142" w:type="pct"/>
            <w:vAlign w:val="center"/>
          </w:tcPr>
          <w:p w14:paraId="472BAB2D">
            <w:pPr>
              <w:adjustRightInd w:val="0"/>
              <w:spacing w:line="410" w:lineRule="exact"/>
              <w:jc w:val="center"/>
              <w:textAlignment w:val="baseline"/>
              <w:rPr>
                <w:rFonts w:ascii="宋体" w:hAnsi="宋体"/>
                <w:b/>
                <w:szCs w:val="21"/>
              </w:rPr>
            </w:pPr>
            <w:r>
              <w:rPr>
                <w:rFonts w:hint="eastAsia" w:ascii="宋体" w:hAnsi="宋体"/>
                <w:b/>
                <w:szCs w:val="21"/>
              </w:rPr>
              <w:t>评标标准</w:t>
            </w:r>
          </w:p>
        </w:tc>
      </w:tr>
      <w:tr w14:paraId="0646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vAlign w:val="center"/>
          </w:tcPr>
          <w:p w14:paraId="2518741E">
            <w:pPr>
              <w:keepNext w:val="0"/>
              <w:keepLines w:val="0"/>
              <w:pageBreakBefore w:val="0"/>
              <w:widowControl w:val="0"/>
              <w:kinsoku/>
              <w:wordWrap/>
              <w:overflowPunct/>
              <w:topLinePunct w:val="0"/>
              <w:autoSpaceDE/>
              <w:autoSpaceDN/>
              <w:bidi w:val="0"/>
              <w:adjustRightInd w:val="0"/>
              <w:spacing w:line="356" w:lineRule="auto"/>
              <w:jc w:val="center"/>
              <w:textAlignment w:val="baseline"/>
              <w:rPr>
                <w:rFonts w:ascii="宋体" w:hAnsi="宋体"/>
                <w:b/>
                <w:szCs w:val="21"/>
              </w:rPr>
            </w:pPr>
            <w:r>
              <w:rPr>
                <w:rFonts w:hint="eastAsia" w:ascii="宋体" w:hAnsi="宋体"/>
                <w:b/>
                <w:szCs w:val="21"/>
              </w:rPr>
              <w:t>1</w:t>
            </w:r>
          </w:p>
        </w:tc>
        <w:tc>
          <w:tcPr>
            <w:tcW w:w="719" w:type="pct"/>
            <w:vAlign w:val="center"/>
          </w:tcPr>
          <w:p w14:paraId="75CDDE52">
            <w:pPr>
              <w:keepNext w:val="0"/>
              <w:keepLines w:val="0"/>
              <w:pageBreakBefore w:val="0"/>
              <w:widowControl w:val="0"/>
              <w:kinsoku/>
              <w:wordWrap/>
              <w:overflowPunct/>
              <w:topLinePunct w:val="0"/>
              <w:autoSpaceDE/>
              <w:autoSpaceDN/>
              <w:bidi w:val="0"/>
              <w:adjustRightInd w:val="0"/>
              <w:spacing w:line="356" w:lineRule="auto"/>
              <w:jc w:val="center"/>
              <w:textAlignment w:val="baseline"/>
              <w:rPr>
                <w:rFonts w:ascii="宋体" w:hAnsi="宋体"/>
                <w:b/>
                <w:szCs w:val="21"/>
              </w:rPr>
            </w:pPr>
            <w:r>
              <w:rPr>
                <w:rFonts w:hint="eastAsia" w:ascii="宋体" w:hAnsi="宋体"/>
                <w:b/>
                <w:szCs w:val="21"/>
              </w:rPr>
              <w:t>价格分</w:t>
            </w:r>
          </w:p>
          <w:p w14:paraId="0D5A8CC6">
            <w:pPr>
              <w:keepNext w:val="0"/>
              <w:keepLines w:val="0"/>
              <w:pageBreakBefore w:val="0"/>
              <w:widowControl w:val="0"/>
              <w:kinsoku/>
              <w:wordWrap/>
              <w:overflowPunct/>
              <w:topLinePunct w:val="0"/>
              <w:autoSpaceDE/>
              <w:autoSpaceDN/>
              <w:bidi w:val="0"/>
              <w:adjustRightInd w:val="0"/>
              <w:spacing w:line="356" w:lineRule="auto"/>
              <w:jc w:val="center"/>
              <w:textAlignment w:val="baseline"/>
              <w:rPr>
                <w:rFonts w:ascii="宋体" w:hAnsi="宋体"/>
                <w:szCs w:val="21"/>
              </w:rPr>
            </w:pPr>
            <w:r>
              <w:rPr>
                <w:rFonts w:hint="eastAsia" w:ascii="宋体" w:hAnsi="宋体"/>
                <w:szCs w:val="21"/>
              </w:rPr>
              <w:t>（满分</w:t>
            </w:r>
            <w:r>
              <w:rPr>
                <w:rFonts w:hint="eastAsia" w:ascii="宋体" w:hAnsi="宋体"/>
                <w:szCs w:val="21"/>
                <w:u w:val="single"/>
              </w:rPr>
              <w:t>30</w:t>
            </w:r>
            <w:r>
              <w:rPr>
                <w:rFonts w:hint="eastAsia" w:ascii="宋体" w:hAnsi="宋体"/>
                <w:szCs w:val="21"/>
              </w:rPr>
              <w:t>分）</w:t>
            </w:r>
          </w:p>
        </w:tc>
        <w:tc>
          <w:tcPr>
            <w:tcW w:w="857" w:type="pct"/>
            <w:vAlign w:val="center"/>
          </w:tcPr>
          <w:p w14:paraId="34F4FBD8">
            <w:pPr>
              <w:keepNext w:val="0"/>
              <w:keepLines w:val="0"/>
              <w:pageBreakBefore w:val="0"/>
              <w:widowControl w:val="0"/>
              <w:kinsoku/>
              <w:wordWrap/>
              <w:overflowPunct/>
              <w:topLinePunct w:val="0"/>
              <w:autoSpaceDE/>
              <w:autoSpaceDN/>
              <w:bidi w:val="0"/>
              <w:adjustRightInd w:val="0"/>
              <w:spacing w:line="356" w:lineRule="auto"/>
              <w:jc w:val="center"/>
              <w:textAlignment w:val="baseline"/>
              <w:rPr>
                <w:rFonts w:ascii="宋体" w:hAnsi="宋体"/>
                <w:b/>
                <w:szCs w:val="21"/>
              </w:rPr>
            </w:pPr>
            <w:r>
              <w:rPr>
                <w:rFonts w:hint="eastAsia" w:ascii="宋体" w:hAnsi="宋体"/>
                <w:b w:val="0"/>
                <w:bCs/>
                <w:szCs w:val="21"/>
              </w:rPr>
              <w:t>投标报价</w:t>
            </w:r>
          </w:p>
        </w:tc>
        <w:tc>
          <w:tcPr>
            <w:tcW w:w="3142" w:type="pct"/>
            <w:vAlign w:val="center"/>
          </w:tcPr>
          <w:p w14:paraId="654969DD">
            <w:pPr>
              <w:keepNext w:val="0"/>
              <w:keepLines w:val="0"/>
              <w:pageBreakBefore w:val="0"/>
              <w:widowControl w:val="0"/>
              <w:kinsoku/>
              <w:wordWrap/>
              <w:overflowPunct/>
              <w:topLinePunct w:val="0"/>
              <w:autoSpaceDE/>
              <w:autoSpaceDN/>
              <w:bidi w:val="0"/>
              <w:snapToGrid w:val="0"/>
              <w:spacing w:line="356" w:lineRule="auto"/>
              <w:ind w:firstLine="233" w:firstLineChars="111"/>
              <w:rPr>
                <w:rFonts w:ascii="宋体" w:hAnsi="宋体"/>
                <w:bCs/>
                <w:szCs w:val="21"/>
              </w:rPr>
            </w:pPr>
            <w:r>
              <w:rPr>
                <w:rFonts w:hint="eastAsia" w:ascii="宋体" w:hAnsi="宋体"/>
                <w:bCs/>
                <w:szCs w:val="21"/>
              </w:rPr>
              <w:t>（1）评标报价为投标人的投标报价进行政策性扣除后的价格，评标报价只是作为评标时使用。最终中标人的中标金额等于投标报价。</w:t>
            </w:r>
          </w:p>
          <w:p w14:paraId="33D5557D">
            <w:pPr>
              <w:keepNext w:val="0"/>
              <w:keepLines w:val="0"/>
              <w:pageBreakBefore w:val="0"/>
              <w:widowControl w:val="0"/>
              <w:kinsoku/>
              <w:wordWrap/>
              <w:overflowPunct/>
              <w:topLinePunct w:val="0"/>
              <w:autoSpaceDE/>
              <w:autoSpaceDN/>
              <w:bidi w:val="0"/>
              <w:snapToGrid w:val="0"/>
              <w:spacing w:line="356" w:lineRule="auto"/>
              <w:ind w:firstLine="233" w:firstLineChars="111"/>
              <w:rPr>
                <w:rFonts w:ascii="宋体" w:hAnsi="宋体"/>
                <w:bCs/>
                <w:szCs w:val="21"/>
                <w:highlight w:val="none"/>
              </w:rPr>
            </w:pPr>
            <w:r>
              <w:rPr>
                <w:rFonts w:hint="eastAsia" w:ascii="宋体" w:hAnsi="宋体"/>
                <w:bCs/>
                <w:szCs w:val="21"/>
              </w:rPr>
              <w:t>（</w:t>
            </w:r>
            <w:r>
              <w:rPr>
                <w:rFonts w:ascii="宋体" w:hAnsi="宋体"/>
                <w:bCs/>
                <w:szCs w:val="21"/>
                <w:highlight w:val="none"/>
              </w:rPr>
              <w:t>2</w:t>
            </w:r>
            <w:r>
              <w:rPr>
                <w:rFonts w:hint="eastAsia" w:ascii="宋体" w:hAnsi="宋体"/>
                <w:bCs/>
                <w:szCs w:val="21"/>
                <w:highlight w:val="none"/>
              </w:rPr>
              <w:t>）政策性扣除计算方法。</w:t>
            </w:r>
          </w:p>
          <w:p w14:paraId="61254649">
            <w:pPr>
              <w:keepNext w:val="0"/>
              <w:keepLines w:val="0"/>
              <w:pageBreakBefore w:val="0"/>
              <w:widowControl w:val="0"/>
              <w:kinsoku/>
              <w:wordWrap/>
              <w:overflowPunct/>
              <w:topLinePunct w:val="0"/>
              <w:autoSpaceDE/>
              <w:autoSpaceDN/>
              <w:bidi w:val="0"/>
              <w:snapToGrid w:val="0"/>
              <w:spacing w:line="356" w:lineRule="auto"/>
              <w:ind w:firstLine="420" w:firstLineChars="200"/>
              <w:rPr>
                <w:rFonts w:ascii="宋体" w:hAnsi="宋体"/>
                <w:szCs w:val="21"/>
              </w:rPr>
            </w:pPr>
            <w:bookmarkStart w:id="160" w:name="_Hlk65858438"/>
            <w:r>
              <w:rPr>
                <w:rFonts w:hint="eastAsia" w:ascii="宋体" w:hAnsi="宋体"/>
                <w:bCs/>
                <w:szCs w:val="21"/>
                <w:highlight w:val="none"/>
                <w:lang w:val="en-US" w:eastAsia="zh-CN"/>
              </w:rPr>
              <w:t>根据《政府采购促进中小企业发展管理办法》（财库〔2020〕46 号）及《广西壮族自治区财政厅关于贯彻落实政府采购支持中小企业发展政策》《桂财采〔2022〕31 号》、《广西壮族自治区财政厅关于持续优化政府采购营商环境推动高质量发展的通知》《桂财采〔2024〕55 号》的要求，投标人在其投标文件中提供《中小企业声明函》，且其投标全部货物由小微企业制造的，对其投标报价给予 10%的扣除</w:t>
            </w:r>
            <w:r>
              <w:rPr>
                <w:rFonts w:hint="eastAsia" w:ascii="宋体" w:hAnsi="宋体"/>
                <w:bCs/>
                <w:szCs w:val="21"/>
                <w:highlight w:val="none"/>
              </w:rPr>
              <w:t>，扣除后的价格为评标报价，即评标报价=投标报价×（1-</w:t>
            </w:r>
            <w:r>
              <w:rPr>
                <w:rFonts w:ascii="宋体" w:hAnsi="宋体"/>
                <w:bCs/>
                <w:szCs w:val="21"/>
                <w:highlight w:val="none"/>
              </w:rPr>
              <w:t>10</w:t>
            </w:r>
            <w:r>
              <w:rPr>
                <w:rFonts w:hint="eastAsia" w:ascii="宋体" w:hAnsi="宋体"/>
                <w:bCs/>
                <w:szCs w:val="21"/>
                <w:highlight w:val="none"/>
              </w:rPr>
              <w:t>%）。接受</w:t>
            </w:r>
            <w:r>
              <w:rPr>
                <w:rFonts w:hint="eastAsia" w:ascii="宋体" w:hAnsi="宋体"/>
                <w:bCs/>
                <w:szCs w:val="21"/>
              </w:rPr>
              <w:t>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szCs w:val="21"/>
                <w:u w:val="single"/>
                <w:lang w:val="en-US" w:eastAsia="zh-CN"/>
              </w:rPr>
              <w:t>4</w:t>
            </w:r>
            <w:r>
              <w:rPr>
                <w:rFonts w:hint="eastAsia" w:ascii="宋体" w:hAnsi="宋体"/>
                <w:bCs/>
                <w:szCs w:val="21"/>
                <w:u w:val="single"/>
              </w:rPr>
              <w:t>%</w:t>
            </w:r>
            <w:r>
              <w:rPr>
                <w:rFonts w:hint="eastAsia" w:ascii="宋体" w:hAnsi="宋体"/>
                <w:bCs/>
                <w:szCs w:val="21"/>
              </w:rPr>
              <w:t>的扣除，用扣除后的价格参加评审，扣除后的价格为评标报价，即评标报价=投标报价×（1-</w:t>
            </w:r>
            <w:r>
              <w:rPr>
                <w:rFonts w:hint="eastAsia" w:ascii="宋体" w:hAnsi="宋体"/>
                <w:bCs/>
                <w:szCs w:val="21"/>
                <w:u w:val="single"/>
                <w:lang w:val="en-US" w:eastAsia="zh-CN"/>
              </w:rPr>
              <w:t>4</w:t>
            </w:r>
            <w:r>
              <w:rPr>
                <w:rFonts w:hint="eastAsia" w:ascii="宋体" w:hAnsi="宋体"/>
                <w:bCs/>
                <w:szCs w:val="21"/>
              </w:rPr>
              <w:t>%）。除上述情况外，评标报价=投标报价。</w:t>
            </w:r>
            <w:bookmarkEnd w:id="160"/>
          </w:p>
          <w:p w14:paraId="0C238657">
            <w:pPr>
              <w:keepNext w:val="0"/>
              <w:keepLines w:val="0"/>
              <w:pageBreakBefore w:val="0"/>
              <w:widowControl w:val="0"/>
              <w:kinsoku/>
              <w:wordWrap/>
              <w:overflowPunct/>
              <w:topLinePunct w:val="0"/>
              <w:autoSpaceDE/>
              <w:autoSpaceDN/>
              <w:bidi w:val="0"/>
              <w:snapToGrid w:val="0"/>
              <w:spacing w:line="356" w:lineRule="auto"/>
              <w:ind w:firstLine="233" w:firstLineChars="111"/>
              <w:rPr>
                <w:rFonts w:ascii="宋体" w:hAnsi="宋体"/>
                <w:bCs/>
                <w:szCs w:val="21"/>
              </w:rPr>
            </w:pPr>
            <w:r>
              <w:rPr>
                <w:rFonts w:hint="eastAsia" w:ascii="宋体" w:hAnsi="宋体"/>
                <w:bCs/>
                <w:szCs w:val="21"/>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szCs w:val="21"/>
              </w:rPr>
              <w:t>监狱企业参加政府采购活动时，应当提供由省级以上监狱管理局、戒毒管理局(含新疆生产建设兵团)出具的属于监狱企业的证明文件。</w:t>
            </w:r>
            <w:r>
              <w:rPr>
                <w:rFonts w:hint="eastAsia" w:ascii="宋体" w:hAnsi="宋体"/>
                <w:bCs/>
                <w:szCs w:val="21"/>
              </w:rPr>
              <w:t>不重复享受政策。</w:t>
            </w:r>
          </w:p>
          <w:p w14:paraId="7E8CD3BD">
            <w:pPr>
              <w:keepNext w:val="0"/>
              <w:keepLines w:val="0"/>
              <w:pageBreakBefore w:val="0"/>
              <w:widowControl w:val="0"/>
              <w:kinsoku/>
              <w:wordWrap/>
              <w:overflowPunct/>
              <w:topLinePunct w:val="0"/>
              <w:autoSpaceDE/>
              <w:autoSpaceDN/>
              <w:bidi w:val="0"/>
              <w:snapToGrid w:val="0"/>
              <w:spacing w:line="356" w:lineRule="auto"/>
              <w:ind w:firstLine="233" w:firstLineChars="111"/>
              <w:rPr>
                <w:rFonts w:ascii="宋体" w:hAnsi="宋体"/>
                <w:bCs/>
                <w:szCs w:val="21"/>
              </w:rPr>
            </w:pPr>
            <w:r>
              <w:rPr>
                <w:rFonts w:hint="eastAsia" w:ascii="宋体" w:hAnsi="宋体"/>
                <w:szCs w:val="21"/>
              </w:rPr>
              <w:t>（4）按照</w:t>
            </w:r>
            <w:r>
              <w:rPr>
                <w:rFonts w:hint="eastAsia" w:ascii="宋体" w:hAnsi="宋体"/>
                <w:bCs/>
                <w:szCs w:val="21"/>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szCs w:val="21"/>
              </w:rPr>
              <w:t>残疾人福利性单位参加政府采购活动时，应当提供该通知规定的《残疾人福利性单位声明函》，并对声明的真实性负责。</w:t>
            </w:r>
            <w:r>
              <w:rPr>
                <w:rFonts w:hint="eastAsia" w:ascii="宋体" w:hAnsi="宋体"/>
                <w:bCs/>
                <w:szCs w:val="21"/>
              </w:rPr>
              <w:t>残疾人福利性单位属于小型、微型企业的，不重复享受政策。</w:t>
            </w:r>
          </w:p>
          <w:p w14:paraId="41071668">
            <w:pPr>
              <w:keepNext w:val="0"/>
              <w:keepLines w:val="0"/>
              <w:pageBreakBefore w:val="0"/>
              <w:widowControl w:val="0"/>
              <w:kinsoku/>
              <w:wordWrap/>
              <w:overflowPunct/>
              <w:topLinePunct w:val="0"/>
              <w:autoSpaceDE/>
              <w:autoSpaceDN/>
              <w:bidi w:val="0"/>
              <w:snapToGrid w:val="0"/>
              <w:spacing w:line="356" w:lineRule="auto"/>
              <w:ind w:firstLine="233" w:firstLineChars="111"/>
              <w:rPr>
                <w:rFonts w:ascii="宋体" w:hAnsi="宋体"/>
                <w:bCs/>
                <w:szCs w:val="21"/>
              </w:rPr>
            </w:pPr>
            <w:r>
              <w:rPr>
                <w:rFonts w:hint="eastAsia" w:ascii="宋体" w:hAnsi="宋体"/>
                <w:bCs/>
                <w:szCs w:val="21"/>
              </w:rPr>
              <w:t>（</w:t>
            </w:r>
            <w:r>
              <w:rPr>
                <w:rFonts w:ascii="宋体" w:hAnsi="宋体"/>
                <w:bCs/>
                <w:szCs w:val="21"/>
              </w:rPr>
              <w:t>5</w:t>
            </w:r>
            <w:r>
              <w:rPr>
                <w:rFonts w:hint="eastAsia" w:ascii="宋体" w:hAnsi="宋体"/>
                <w:bCs/>
                <w:szCs w:val="21"/>
              </w:rPr>
              <w:t>）满足招标文件要求且评标报价最低的评标报价为评标基准价，其价格分为满分。</w:t>
            </w:r>
          </w:p>
          <w:p w14:paraId="4273CE81">
            <w:pPr>
              <w:keepNext w:val="0"/>
              <w:keepLines w:val="0"/>
              <w:pageBreakBefore w:val="0"/>
              <w:widowControl w:val="0"/>
              <w:kinsoku/>
              <w:wordWrap/>
              <w:overflowPunct/>
              <w:topLinePunct w:val="0"/>
              <w:autoSpaceDE/>
              <w:autoSpaceDN/>
              <w:bidi w:val="0"/>
              <w:spacing w:line="356" w:lineRule="auto"/>
              <w:ind w:firstLine="233" w:firstLineChars="111"/>
              <w:rPr>
                <w:rFonts w:ascii="宋体" w:hAnsi="宋体"/>
                <w:bCs/>
                <w:szCs w:val="21"/>
              </w:rPr>
            </w:pPr>
            <w:r>
              <w:rPr>
                <w:rFonts w:hint="eastAsia" w:ascii="宋体" w:hAnsi="宋体"/>
                <w:bCs/>
                <w:szCs w:val="21"/>
              </w:rPr>
              <w:t>（</w:t>
            </w:r>
            <w:r>
              <w:rPr>
                <w:rFonts w:ascii="宋体" w:hAnsi="宋体"/>
                <w:bCs/>
                <w:szCs w:val="21"/>
              </w:rPr>
              <w:t>6</w:t>
            </w:r>
            <w:r>
              <w:rPr>
                <w:rFonts w:hint="eastAsia" w:ascii="宋体" w:hAnsi="宋体"/>
                <w:bCs/>
                <w:szCs w:val="21"/>
              </w:rPr>
              <w:t xml:space="preserve">）价格分计算公式：        </w:t>
            </w:r>
          </w:p>
          <w:p w14:paraId="35D70FD6">
            <w:pPr>
              <w:pStyle w:val="16"/>
              <w:keepNext w:val="0"/>
              <w:keepLines w:val="0"/>
              <w:pageBreakBefore w:val="0"/>
              <w:widowControl w:val="0"/>
              <w:kinsoku/>
              <w:wordWrap/>
              <w:overflowPunct/>
              <w:topLinePunct w:val="0"/>
              <w:autoSpaceDE/>
              <w:autoSpaceDN/>
              <w:bidi w:val="0"/>
              <w:spacing w:line="356" w:lineRule="auto"/>
              <w:ind w:firstLine="233" w:firstLineChars="111"/>
              <w:rPr>
                <w:rFonts w:hAnsi="宋体" w:cs="Courier New"/>
                <w:bCs/>
                <w:kern w:val="2"/>
                <w:sz w:val="21"/>
              </w:rPr>
            </w:pPr>
            <w:r>
              <w:rPr>
                <w:rFonts w:hint="eastAsia" w:hAnsi="宋体"/>
                <w:bCs/>
                <w:sz w:val="21"/>
              </w:rPr>
              <w:t>价格分</w:t>
            </w:r>
            <w:r>
              <w:rPr>
                <w:rFonts w:hint="eastAsia" w:hAnsi="宋体" w:cs="Courier New"/>
                <w:bCs/>
                <w:kern w:val="2"/>
                <w:sz w:val="21"/>
              </w:rPr>
              <w:t>=(评标基准价</w:t>
            </w:r>
            <w:r>
              <w:rPr>
                <w:rFonts w:hint="eastAsia" w:hAnsi="宋体" w:cs="Courier New"/>
                <w:bCs/>
                <w:kern w:val="2"/>
                <w:sz w:val="21"/>
                <w:lang w:val="en-US" w:eastAsia="zh-CN"/>
              </w:rPr>
              <w:t>/</w:t>
            </w:r>
            <w:r>
              <w:rPr>
                <w:rFonts w:hint="eastAsia" w:hAnsi="宋体" w:cs="Courier New"/>
                <w:bCs/>
                <w:kern w:val="2"/>
                <w:sz w:val="21"/>
              </w:rPr>
              <w:t>评标报价)×</w:t>
            </w:r>
            <w:r>
              <w:rPr>
                <w:rFonts w:hint="eastAsia" w:hAnsi="宋体"/>
                <w:bCs/>
                <w:sz w:val="21"/>
                <w:u w:val="single"/>
              </w:rPr>
              <w:t>30</w:t>
            </w:r>
            <w:r>
              <w:rPr>
                <w:rFonts w:hint="eastAsia" w:hAnsi="宋体" w:cs="Courier New"/>
                <w:bCs/>
                <w:kern w:val="2"/>
                <w:sz w:val="21"/>
              </w:rPr>
              <w:t>分</w:t>
            </w:r>
          </w:p>
        </w:tc>
      </w:tr>
      <w:tr w14:paraId="6AB8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80" w:type="pct"/>
            <w:vAlign w:val="center"/>
          </w:tcPr>
          <w:p w14:paraId="706FBE25">
            <w:pPr>
              <w:keepNext w:val="0"/>
              <w:keepLines w:val="0"/>
              <w:pageBreakBefore w:val="0"/>
              <w:widowControl w:val="0"/>
              <w:kinsoku/>
              <w:wordWrap/>
              <w:overflowPunct/>
              <w:topLinePunct w:val="0"/>
              <w:autoSpaceDE/>
              <w:autoSpaceDN/>
              <w:bidi w:val="0"/>
              <w:adjustRightInd w:val="0"/>
              <w:spacing w:line="356" w:lineRule="auto"/>
              <w:jc w:val="center"/>
              <w:textAlignment w:val="baseline"/>
              <w:rPr>
                <w:rFonts w:ascii="宋体" w:hAnsi="宋体"/>
                <w:b/>
                <w:szCs w:val="21"/>
              </w:rPr>
            </w:pPr>
            <w:r>
              <w:rPr>
                <w:rFonts w:hint="eastAsia" w:ascii="宋体" w:hAnsi="宋体"/>
                <w:b/>
                <w:szCs w:val="21"/>
              </w:rPr>
              <w:t>2</w:t>
            </w:r>
          </w:p>
        </w:tc>
        <w:tc>
          <w:tcPr>
            <w:tcW w:w="719" w:type="pct"/>
            <w:vAlign w:val="center"/>
          </w:tcPr>
          <w:p w14:paraId="442A7930">
            <w:pPr>
              <w:keepNext w:val="0"/>
              <w:keepLines w:val="0"/>
              <w:pageBreakBefore w:val="0"/>
              <w:widowControl w:val="0"/>
              <w:kinsoku/>
              <w:wordWrap/>
              <w:overflowPunct/>
              <w:topLinePunct w:val="0"/>
              <w:autoSpaceDE/>
              <w:autoSpaceDN/>
              <w:bidi w:val="0"/>
              <w:adjustRightInd w:val="0"/>
              <w:spacing w:line="356" w:lineRule="auto"/>
              <w:ind w:left="-105" w:leftChars="-50" w:right="-105" w:rightChars="-50"/>
              <w:jc w:val="center"/>
              <w:textAlignment w:val="baseline"/>
              <w:rPr>
                <w:rFonts w:ascii="宋体" w:hAnsi="宋体"/>
                <w:b/>
                <w:bCs/>
                <w:szCs w:val="21"/>
              </w:rPr>
            </w:pPr>
            <w:r>
              <w:rPr>
                <w:rFonts w:hint="eastAsia" w:ascii="宋体" w:hAnsi="宋体"/>
                <w:b/>
                <w:bCs/>
                <w:szCs w:val="21"/>
              </w:rPr>
              <w:t>技术分</w:t>
            </w:r>
          </w:p>
          <w:p w14:paraId="02CC3DA5">
            <w:pPr>
              <w:keepNext w:val="0"/>
              <w:keepLines w:val="0"/>
              <w:pageBreakBefore w:val="0"/>
              <w:widowControl w:val="0"/>
              <w:kinsoku/>
              <w:wordWrap/>
              <w:overflowPunct/>
              <w:topLinePunct w:val="0"/>
              <w:autoSpaceDE/>
              <w:autoSpaceDN/>
              <w:bidi w:val="0"/>
              <w:adjustRightInd w:val="0"/>
              <w:spacing w:line="356" w:lineRule="auto"/>
              <w:ind w:left="-105" w:leftChars="-50" w:right="-105" w:rightChars="-50"/>
              <w:jc w:val="center"/>
              <w:textAlignment w:val="baseline"/>
              <w:rPr>
                <w:rFonts w:ascii="宋体" w:hAnsi="宋体"/>
                <w:spacing w:val="-18"/>
                <w:szCs w:val="21"/>
              </w:rPr>
            </w:pPr>
            <w:r>
              <w:rPr>
                <w:rFonts w:hint="eastAsia" w:ascii="宋体" w:hAnsi="宋体"/>
                <w:bCs/>
                <w:szCs w:val="21"/>
              </w:rPr>
              <w:t>（</w:t>
            </w:r>
            <w:r>
              <w:rPr>
                <w:rFonts w:hint="eastAsia" w:ascii="宋体" w:hAnsi="宋体"/>
                <w:szCs w:val="21"/>
              </w:rPr>
              <w:t>满分</w:t>
            </w:r>
            <w:r>
              <w:rPr>
                <w:rFonts w:hint="eastAsia" w:ascii="宋体" w:hAnsi="宋体"/>
                <w:szCs w:val="21"/>
                <w:u w:val="single"/>
              </w:rPr>
              <w:t>10</w:t>
            </w:r>
            <w:r>
              <w:rPr>
                <w:rFonts w:hint="eastAsia" w:ascii="宋体" w:hAnsi="宋体"/>
                <w:bCs/>
                <w:szCs w:val="21"/>
              </w:rPr>
              <w:t>分）</w:t>
            </w:r>
          </w:p>
        </w:tc>
        <w:tc>
          <w:tcPr>
            <w:tcW w:w="857" w:type="pct"/>
            <w:vAlign w:val="center"/>
          </w:tcPr>
          <w:p w14:paraId="34460E22">
            <w:pPr>
              <w:keepNext w:val="0"/>
              <w:keepLines w:val="0"/>
              <w:pageBreakBefore w:val="0"/>
              <w:widowControl w:val="0"/>
              <w:kinsoku/>
              <w:wordWrap/>
              <w:overflowPunct/>
              <w:topLinePunct w:val="0"/>
              <w:autoSpaceDE/>
              <w:autoSpaceDN/>
              <w:bidi w:val="0"/>
              <w:adjustRightInd w:val="0"/>
              <w:spacing w:line="356" w:lineRule="auto"/>
              <w:jc w:val="center"/>
              <w:textAlignment w:val="baseline"/>
              <w:rPr>
                <w:rFonts w:ascii="宋体" w:hAnsi="宋体"/>
                <w:szCs w:val="21"/>
                <w:u w:val="single"/>
              </w:rPr>
            </w:pPr>
            <w:r>
              <w:rPr>
                <w:rFonts w:hint="eastAsia" w:ascii="宋体" w:hAnsi="宋体"/>
                <w:szCs w:val="21"/>
                <w:u w:val="none"/>
              </w:rPr>
              <w:t>基本分</w:t>
            </w:r>
          </w:p>
        </w:tc>
        <w:tc>
          <w:tcPr>
            <w:tcW w:w="3142" w:type="pct"/>
            <w:vAlign w:val="center"/>
          </w:tcPr>
          <w:p w14:paraId="7C3998D2">
            <w:pPr>
              <w:pStyle w:val="55"/>
              <w:keepNext w:val="0"/>
              <w:keepLines w:val="0"/>
              <w:pageBreakBefore w:val="0"/>
              <w:widowControl w:val="0"/>
              <w:kinsoku/>
              <w:wordWrap/>
              <w:overflowPunct/>
              <w:topLinePunct w:val="0"/>
              <w:autoSpaceDE/>
              <w:autoSpaceDN/>
              <w:bidi w:val="0"/>
              <w:spacing w:before="174" w:line="356" w:lineRule="auto"/>
              <w:rPr>
                <w:lang w:eastAsia="zh-CN"/>
              </w:rPr>
            </w:pPr>
            <w:r>
              <w:rPr>
                <w:spacing w:val="-3"/>
                <w:lang w:eastAsia="zh-CN"/>
              </w:rPr>
              <w:t>1.投标文件的技术需求中无负偏离的得</w:t>
            </w:r>
            <w:r>
              <w:rPr>
                <w:spacing w:val="-29"/>
                <w:lang w:eastAsia="zh-CN"/>
              </w:rPr>
              <w:t xml:space="preserve"> </w:t>
            </w:r>
            <w:r>
              <w:rPr>
                <w:spacing w:val="-3"/>
                <w:lang w:eastAsia="zh-CN"/>
              </w:rPr>
              <w:t>10</w:t>
            </w:r>
            <w:r>
              <w:rPr>
                <w:spacing w:val="-42"/>
                <w:lang w:eastAsia="zh-CN"/>
              </w:rPr>
              <w:t xml:space="preserve"> </w:t>
            </w:r>
            <w:r>
              <w:rPr>
                <w:spacing w:val="-3"/>
                <w:lang w:eastAsia="zh-CN"/>
              </w:rPr>
              <w:t>分。</w:t>
            </w:r>
          </w:p>
          <w:p w14:paraId="2D79050C">
            <w:pPr>
              <w:pStyle w:val="16"/>
              <w:keepNext w:val="0"/>
              <w:keepLines w:val="0"/>
              <w:pageBreakBefore w:val="0"/>
              <w:widowControl w:val="0"/>
              <w:kinsoku/>
              <w:wordWrap/>
              <w:overflowPunct/>
              <w:topLinePunct w:val="0"/>
              <w:autoSpaceDE/>
              <w:autoSpaceDN/>
              <w:bidi w:val="0"/>
              <w:spacing w:line="356" w:lineRule="auto"/>
              <w:rPr>
                <w:rFonts w:hAnsi="宋体" w:cs="Courier New"/>
                <w:b/>
                <w:kern w:val="2"/>
                <w:sz w:val="21"/>
              </w:rPr>
            </w:pPr>
            <w:r>
              <w:rPr>
                <w:spacing w:val="2"/>
                <w:sz w:val="21"/>
              </w:rPr>
              <w:t>技术需求有负偏离的，得分=该项满分分值-累计扣分分值（有一项</w:t>
            </w:r>
            <w:r>
              <w:rPr>
                <w:spacing w:val="-3"/>
                <w:sz w:val="21"/>
              </w:rPr>
              <w:t>非实质性要求的技术需求负偏离的扣</w:t>
            </w:r>
            <w:r>
              <w:rPr>
                <w:rFonts w:hint="eastAsia"/>
                <w:spacing w:val="-41"/>
                <w:sz w:val="21"/>
                <w:lang w:val="en-US" w:eastAsia="zh-CN"/>
              </w:rPr>
              <w:t>5</w:t>
            </w:r>
            <w:r>
              <w:rPr>
                <w:spacing w:val="-3"/>
                <w:sz w:val="21"/>
              </w:rPr>
              <w:t>分，扣分</w:t>
            </w:r>
            <w:r>
              <w:rPr>
                <w:spacing w:val="-4"/>
                <w:sz w:val="21"/>
              </w:rPr>
              <w:t>不能超过满分分值，</w:t>
            </w:r>
            <w:r>
              <w:rPr>
                <w:sz w:val="21"/>
              </w:rPr>
              <w:t xml:space="preserve"> </w:t>
            </w:r>
            <w:r>
              <w:rPr>
                <w:spacing w:val="-1"/>
                <w:sz w:val="21"/>
              </w:rPr>
              <w:t>允许偏离的项目数不超过招标文件允许偏离的项目</w:t>
            </w:r>
            <w:r>
              <w:rPr>
                <w:spacing w:val="-2"/>
                <w:sz w:val="21"/>
              </w:rPr>
              <w:t>数）。</w:t>
            </w:r>
          </w:p>
        </w:tc>
      </w:tr>
      <w:tr w14:paraId="3ED88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9" w:hRule="atLeast"/>
          <w:jc w:val="center"/>
        </w:trPr>
        <w:tc>
          <w:tcPr>
            <w:tcW w:w="280" w:type="pct"/>
            <w:vAlign w:val="center"/>
          </w:tcPr>
          <w:p w14:paraId="034DEB55">
            <w:pPr>
              <w:keepNext w:val="0"/>
              <w:keepLines w:val="0"/>
              <w:pageBreakBefore w:val="0"/>
              <w:widowControl w:val="0"/>
              <w:kinsoku/>
              <w:wordWrap/>
              <w:overflowPunct/>
              <w:topLinePunct w:val="0"/>
              <w:autoSpaceDE/>
              <w:autoSpaceDN/>
              <w:bidi w:val="0"/>
              <w:adjustRightInd w:val="0"/>
              <w:spacing w:line="356" w:lineRule="auto"/>
              <w:jc w:val="center"/>
              <w:textAlignment w:val="baseline"/>
              <w:rPr>
                <w:rFonts w:ascii="宋体" w:hAnsi="宋体"/>
                <w:b/>
                <w:szCs w:val="21"/>
              </w:rPr>
            </w:pPr>
            <w:r>
              <w:rPr>
                <w:rFonts w:hint="eastAsia" w:ascii="宋体" w:hAnsi="宋体"/>
                <w:b/>
                <w:szCs w:val="21"/>
              </w:rPr>
              <w:t>3</w:t>
            </w:r>
          </w:p>
        </w:tc>
        <w:tc>
          <w:tcPr>
            <w:tcW w:w="719" w:type="pct"/>
            <w:vAlign w:val="center"/>
          </w:tcPr>
          <w:p w14:paraId="6D7E3714">
            <w:pPr>
              <w:keepNext w:val="0"/>
              <w:keepLines w:val="0"/>
              <w:pageBreakBefore w:val="0"/>
              <w:widowControl w:val="0"/>
              <w:kinsoku/>
              <w:wordWrap/>
              <w:overflowPunct/>
              <w:topLinePunct w:val="0"/>
              <w:autoSpaceDE/>
              <w:autoSpaceDN/>
              <w:bidi w:val="0"/>
              <w:adjustRightInd w:val="0"/>
              <w:spacing w:line="356" w:lineRule="auto"/>
              <w:ind w:left="-105" w:leftChars="-50" w:right="-105" w:rightChars="-50"/>
              <w:jc w:val="center"/>
              <w:textAlignment w:val="baseline"/>
              <w:rPr>
                <w:rFonts w:ascii="宋体" w:hAnsi="宋体"/>
                <w:szCs w:val="21"/>
              </w:rPr>
            </w:pPr>
            <w:r>
              <w:rPr>
                <w:rFonts w:hint="eastAsia" w:ascii="宋体" w:hAnsi="宋体"/>
                <w:b/>
                <w:bCs/>
                <w:szCs w:val="21"/>
              </w:rPr>
              <w:t>项目实施方案分</w:t>
            </w:r>
            <w:r>
              <w:rPr>
                <w:rFonts w:hint="eastAsia" w:ascii="宋体" w:hAnsi="宋体"/>
                <w:bCs/>
                <w:szCs w:val="21"/>
              </w:rPr>
              <w:t>（</w:t>
            </w:r>
            <w:r>
              <w:rPr>
                <w:rFonts w:hint="eastAsia" w:ascii="宋体" w:hAnsi="宋体"/>
                <w:szCs w:val="21"/>
              </w:rPr>
              <w:t>满分</w:t>
            </w:r>
            <w:r>
              <w:rPr>
                <w:rFonts w:hint="eastAsia" w:ascii="宋体" w:hAnsi="宋体"/>
                <w:szCs w:val="21"/>
                <w:u w:val="single"/>
              </w:rPr>
              <w:t>28</w:t>
            </w:r>
            <w:r>
              <w:rPr>
                <w:rFonts w:hint="eastAsia" w:ascii="宋体" w:hAnsi="宋体"/>
                <w:bCs/>
                <w:szCs w:val="21"/>
              </w:rPr>
              <w:t>分）</w:t>
            </w:r>
          </w:p>
        </w:tc>
        <w:tc>
          <w:tcPr>
            <w:tcW w:w="857" w:type="pct"/>
            <w:tcMar>
              <w:left w:w="57" w:type="dxa"/>
              <w:right w:w="57" w:type="dxa"/>
            </w:tcMar>
            <w:vAlign w:val="center"/>
          </w:tcPr>
          <w:p w14:paraId="591E1E57">
            <w:pPr>
              <w:keepNext w:val="0"/>
              <w:keepLines w:val="0"/>
              <w:pageBreakBefore w:val="0"/>
              <w:widowControl w:val="0"/>
              <w:kinsoku/>
              <w:wordWrap/>
              <w:overflowPunct/>
              <w:topLinePunct w:val="0"/>
              <w:autoSpaceDE/>
              <w:autoSpaceDN/>
              <w:bidi w:val="0"/>
              <w:spacing w:line="356" w:lineRule="auto"/>
              <w:jc w:val="center"/>
              <w:rPr>
                <w:rFonts w:ascii="宋体" w:hAnsi="宋体"/>
                <w:bCs/>
                <w:szCs w:val="21"/>
              </w:rPr>
            </w:pPr>
            <w:r>
              <w:rPr>
                <w:rFonts w:hint="eastAsia" w:ascii="宋体" w:hAnsi="宋体"/>
                <w:bCs/>
                <w:szCs w:val="21"/>
              </w:rPr>
              <w:t>项目实施方案分</w:t>
            </w:r>
          </w:p>
        </w:tc>
        <w:tc>
          <w:tcPr>
            <w:tcW w:w="3142" w:type="pct"/>
          </w:tcPr>
          <w:p w14:paraId="4EF4C6B7">
            <w:pPr>
              <w:keepNext w:val="0"/>
              <w:keepLines w:val="0"/>
              <w:pageBreakBefore w:val="0"/>
              <w:widowControl w:val="0"/>
              <w:kinsoku/>
              <w:wordWrap/>
              <w:overflowPunct/>
              <w:topLinePunct w:val="0"/>
              <w:autoSpaceDE/>
              <w:autoSpaceDN/>
              <w:bidi w:val="0"/>
              <w:spacing w:line="356" w:lineRule="auto"/>
              <w:jc w:val="left"/>
              <w:rPr>
                <w:rFonts w:ascii="宋体" w:hAnsi="宋体"/>
                <w:bCs/>
                <w:szCs w:val="21"/>
              </w:rPr>
            </w:pPr>
            <w:r>
              <w:rPr>
                <w:rFonts w:hint="eastAsia" w:ascii="宋体" w:hAnsi="宋体"/>
                <w:bCs/>
                <w:szCs w:val="21"/>
              </w:rPr>
              <w:t>根据投标人所提供的项目实施方案，包括①技术实施方案、②实施进度计划、③实施人员安排、④到货检验措施、⑤实施过程风险和难点分析控制措施、⑥质量保障措施、⑦安装测试和试运行方案、⑧培训方案、验收方案、资料移交方案的完整性、可行性等方面情况后综合评定独立打分。</w:t>
            </w:r>
          </w:p>
          <w:p w14:paraId="229AB60D">
            <w:pPr>
              <w:pStyle w:val="55"/>
              <w:keepNext w:val="0"/>
              <w:keepLines w:val="0"/>
              <w:pageBreakBefore w:val="0"/>
              <w:widowControl w:val="0"/>
              <w:kinsoku/>
              <w:wordWrap/>
              <w:overflowPunct/>
              <w:topLinePunct w:val="0"/>
              <w:autoSpaceDE/>
              <w:autoSpaceDN/>
              <w:bidi w:val="0"/>
              <w:spacing w:before="172" w:line="356" w:lineRule="auto"/>
              <w:ind w:left="118"/>
              <w:rPr>
                <w:lang w:eastAsia="zh-CN"/>
              </w:rPr>
            </w:pPr>
            <w:r>
              <w:rPr>
                <w:b/>
                <w:bCs/>
                <w:spacing w:val="-5"/>
                <w:lang w:eastAsia="zh-CN"/>
              </w:rPr>
              <w:t>（1）进度计划方案（满分</w:t>
            </w:r>
            <w:r>
              <w:rPr>
                <w:spacing w:val="-22"/>
                <w:lang w:eastAsia="zh-CN"/>
              </w:rPr>
              <w:t xml:space="preserve"> </w:t>
            </w:r>
            <w:r>
              <w:rPr>
                <w:b/>
                <w:bCs/>
                <w:spacing w:val="-5"/>
                <w:lang w:eastAsia="zh-CN"/>
              </w:rPr>
              <w:t>13</w:t>
            </w:r>
            <w:r>
              <w:rPr>
                <w:spacing w:val="-41"/>
                <w:lang w:eastAsia="zh-CN"/>
              </w:rPr>
              <w:t xml:space="preserve"> </w:t>
            </w:r>
            <w:r>
              <w:rPr>
                <w:b/>
                <w:bCs/>
                <w:spacing w:val="-5"/>
                <w:lang w:eastAsia="zh-CN"/>
              </w:rPr>
              <w:t>分）</w:t>
            </w:r>
          </w:p>
          <w:p w14:paraId="439F8833">
            <w:pPr>
              <w:pStyle w:val="55"/>
              <w:keepNext w:val="0"/>
              <w:keepLines w:val="0"/>
              <w:pageBreakBefore w:val="0"/>
              <w:widowControl w:val="0"/>
              <w:kinsoku/>
              <w:wordWrap/>
              <w:overflowPunct/>
              <w:topLinePunct w:val="0"/>
              <w:autoSpaceDE/>
              <w:autoSpaceDN/>
              <w:bidi w:val="0"/>
              <w:spacing w:before="189" w:line="356" w:lineRule="auto"/>
              <w:ind w:right="102"/>
              <w:rPr>
                <w:lang w:eastAsia="zh-CN"/>
              </w:rPr>
            </w:pPr>
            <w:r>
              <w:rPr>
                <w:spacing w:val="-2"/>
                <w:lang w:eastAsia="zh-CN"/>
              </w:rPr>
              <w:t>一档（1分</w:t>
            </w:r>
            <w:r>
              <w:rPr>
                <w:spacing w:val="14"/>
                <w:lang w:eastAsia="zh-CN"/>
              </w:rPr>
              <w:t>）：</w:t>
            </w:r>
            <w:r>
              <w:rPr>
                <w:spacing w:val="-2"/>
                <w:lang w:eastAsia="zh-CN"/>
              </w:rPr>
              <w:t>提供有进度计划方案，但方案不切实际或不符合采购</w:t>
            </w:r>
            <w:r>
              <w:rPr>
                <w:spacing w:val="-13"/>
                <w:lang w:eastAsia="zh-CN"/>
              </w:rPr>
              <w:t>要求；</w:t>
            </w:r>
          </w:p>
          <w:p w14:paraId="5A9218F2">
            <w:pPr>
              <w:pStyle w:val="55"/>
              <w:keepNext w:val="0"/>
              <w:keepLines w:val="0"/>
              <w:pageBreakBefore w:val="0"/>
              <w:widowControl w:val="0"/>
              <w:kinsoku/>
              <w:wordWrap/>
              <w:overflowPunct/>
              <w:topLinePunct w:val="0"/>
              <w:autoSpaceDE/>
              <w:autoSpaceDN/>
              <w:bidi w:val="0"/>
              <w:spacing w:before="27" w:line="356" w:lineRule="auto"/>
              <w:ind w:left="111" w:right="102" w:firstLine="4"/>
              <w:rPr>
                <w:lang w:eastAsia="zh-CN"/>
              </w:rPr>
            </w:pPr>
            <w:r>
              <w:rPr>
                <w:spacing w:val="-2"/>
                <w:lang w:eastAsia="zh-CN"/>
              </w:rPr>
              <w:t>二档（3</w:t>
            </w:r>
            <w:r>
              <w:rPr>
                <w:spacing w:val="-42"/>
                <w:lang w:eastAsia="zh-CN"/>
              </w:rPr>
              <w:t xml:space="preserve"> </w:t>
            </w:r>
            <w:r>
              <w:rPr>
                <w:spacing w:val="-2"/>
                <w:lang w:eastAsia="zh-CN"/>
              </w:rPr>
              <w:t>分</w:t>
            </w:r>
            <w:r>
              <w:rPr>
                <w:spacing w:val="-17"/>
                <w:lang w:eastAsia="zh-CN"/>
              </w:rPr>
              <w:t>）：</w:t>
            </w:r>
            <w:r>
              <w:rPr>
                <w:spacing w:val="-2"/>
                <w:lang w:eastAsia="zh-CN"/>
              </w:rPr>
              <w:t>提供有针对本项目的进度计划方案，有简单的实施日</w:t>
            </w:r>
            <w:r>
              <w:rPr>
                <w:spacing w:val="-1"/>
                <w:lang w:eastAsia="zh-CN"/>
              </w:rPr>
              <w:t>程表和人员安排，实施步骤和要求，但阐述较简单的。</w:t>
            </w:r>
          </w:p>
          <w:p w14:paraId="1BA89AC0">
            <w:pPr>
              <w:pStyle w:val="55"/>
              <w:keepNext w:val="0"/>
              <w:keepLines w:val="0"/>
              <w:pageBreakBefore w:val="0"/>
              <w:widowControl w:val="0"/>
              <w:kinsoku/>
              <w:wordWrap/>
              <w:overflowPunct/>
              <w:topLinePunct w:val="0"/>
              <w:autoSpaceDE/>
              <w:autoSpaceDN/>
              <w:bidi w:val="0"/>
              <w:spacing w:before="34" w:line="356" w:lineRule="auto"/>
              <w:ind w:left="112" w:right="28"/>
              <w:rPr>
                <w:spacing w:val="5"/>
                <w:lang w:eastAsia="zh-CN"/>
              </w:rPr>
            </w:pPr>
            <w:r>
              <w:rPr>
                <w:spacing w:val="-2"/>
                <w:lang w:eastAsia="zh-CN"/>
              </w:rPr>
              <w:t>三档（8</w:t>
            </w:r>
            <w:r>
              <w:rPr>
                <w:spacing w:val="-43"/>
                <w:lang w:eastAsia="zh-CN"/>
              </w:rPr>
              <w:t xml:space="preserve"> </w:t>
            </w:r>
            <w:r>
              <w:rPr>
                <w:spacing w:val="-2"/>
                <w:lang w:eastAsia="zh-CN"/>
              </w:rPr>
              <w:t>分</w:t>
            </w:r>
            <w:r>
              <w:rPr>
                <w:spacing w:val="-15"/>
                <w:lang w:eastAsia="zh-CN"/>
              </w:rPr>
              <w:t>）：</w:t>
            </w:r>
            <w:r>
              <w:rPr>
                <w:spacing w:val="-2"/>
                <w:lang w:eastAsia="zh-CN"/>
              </w:rPr>
              <w:t>提供有针对本项目的进度计划方案，有较详细的实施日程表和人员安排，安排合理，有实施步骤和要求，阐述较详细的。</w:t>
            </w:r>
            <w:r>
              <w:rPr>
                <w:spacing w:val="5"/>
                <w:lang w:eastAsia="zh-CN"/>
              </w:rPr>
              <w:t xml:space="preserve"> </w:t>
            </w:r>
          </w:p>
          <w:p w14:paraId="0C7851E8">
            <w:pPr>
              <w:pStyle w:val="55"/>
              <w:keepNext w:val="0"/>
              <w:keepLines w:val="0"/>
              <w:pageBreakBefore w:val="0"/>
              <w:widowControl w:val="0"/>
              <w:kinsoku/>
              <w:wordWrap/>
              <w:overflowPunct/>
              <w:topLinePunct w:val="0"/>
              <w:autoSpaceDE/>
              <w:autoSpaceDN/>
              <w:bidi w:val="0"/>
              <w:spacing w:before="34" w:line="356" w:lineRule="auto"/>
              <w:ind w:left="112" w:right="28"/>
              <w:rPr>
                <w:lang w:eastAsia="zh-CN"/>
              </w:rPr>
            </w:pPr>
            <w:r>
              <w:rPr>
                <w:lang w:eastAsia="zh-CN"/>
              </w:rPr>
              <w:t>四档（13</w:t>
            </w:r>
            <w:r>
              <w:rPr>
                <w:spacing w:val="-42"/>
                <w:lang w:eastAsia="zh-CN"/>
              </w:rPr>
              <w:t xml:space="preserve"> </w:t>
            </w:r>
            <w:r>
              <w:rPr>
                <w:lang w:eastAsia="zh-CN"/>
              </w:rPr>
              <w:t>分</w:t>
            </w:r>
            <w:r>
              <w:rPr>
                <w:spacing w:val="-5"/>
                <w:lang w:eastAsia="zh-CN"/>
              </w:rPr>
              <w:t>）：</w:t>
            </w:r>
            <w:r>
              <w:rPr>
                <w:lang w:eastAsia="zh-CN"/>
              </w:rPr>
              <w:t>提供有针对本项目的进度计划方案，</w:t>
            </w:r>
            <w:r>
              <w:rPr>
                <w:spacing w:val="-1"/>
                <w:lang w:eastAsia="zh-CN"/>
              </w:rPr>
              <w:t>有详细的实施</w:t>
            </w:r>
            <w:r>
              <w:rPr>
                <w:lang w:eastAsia="zh-CN"/>
              </w:rPr>
              <w:t>日程表和人员安排，安排科学合理，有详细的实施进度计</w:t>
            </w:r>
            <w:r>
              <w:rPr>
                <w:spacing w:val="-1"/>
                <w:lang w:eastAsia="zh-CN"/>
              </w:rPr>
              <w:t>划，步骤和要求，阐述详细、科学合理且可实施性强。</w:t>
            </w:r>
          </w:p>
          <w:p w14:paraId="5951E8AF">
            <w:pPr>
              <w:pStyle w:val="55"/>
              <w:keepNext w:val="0"/>
              <w:keepLines w:val="0"/>
              <w:pageBreakBefore w:val="0"/>
              <w:widowControl w:val="0"/>
              <w:kinsoku/>
              <w:wordWrap/>
              <w:overflowPunct/>
              <w:topLinePunct w:val="0"/>
              <w:autoSpaceDE/>
              <w:autoSpaceDN/>
              <w:bidi w:val="0"/>
              <w:spacing w:before="30" w:line="356" w:lineRule="auto"/>
              <w:ind w:left="118"/>
              <w:rPr>
                <w:lang w:eastAsia="zh-CN"/>
              </w:rPr>
            </w:pPr>
            <w:r>
              <w:rPr>
                <w:b/>
                <w:bCs/>
                <w:spacing w:val="-7"/>
                <w:lang w:eastAsia="zh-CN"/>
              </w:rPr>
              <w:t>（2）安装方案（满分</w:t>
            </w:r>
            <w:r>
              <w:rPr>
                <w:spacing w:val="-7"/>
                <w:lang w:eastAsia="zh-CN"/>
              </w:rPr>
              <w:t xml:space="preserve"> </w:t>
            </w:r>
            <w:r>
              <w:rPr>
                <w:b/>
                <w:bCs/>
                <w:spacing w:val="-7"/>
                <w:lang w:eastAsia="zh-CN"/>
              </w:rPr>
              <w:t>15</w:t>
            </w:r>
            <w:r>
              <w:rPr>
                <w:spacing w:val="-36"/>
                <w:lang w:eastAsia="zh-CN"/>
              </w:rPr>
              <w:t xml:space="preserve"> </w:t>
            </w:r>
            <w:r>
              <w:rPr>
                <w:b/>
                <w:bCs/>
                <w:spacing w:val="-7"/>
                <w:lang w:eastAsia="zh-CN"/>
              </w:rPr>
              <w:t>分）</w:t>
            </w:r>
          </w:p>
          <w:p w14:paraId="282964E4">
            <w:pPr>
              <w:pStyle w:val="55"/>
              <w:keepNext w:val="0"/>
              <w:keepLines w:val="0"/>
              <w:pageBreakBefore w:val="0"/>
              <w:widowControl w:val="0"/>
              <w:kinsoku/>
              <w:wordWrap/>
              <w:overflowPunct/>
              <w:topLinePunct w:val="0"/>
              <w:autoSpaceDE/>
              <w:autoSpaceDN/>
              <w:bidi w:val="0"/>
              <w:spacing w:before="190" w:line="356" w:lineRule="auto"/>
              <w:ind w:left="113" w:right="49" w:firstLine="2"/>
              <w:rPr>
                <w:lang w:eastAsia="zh-CN"/>
              </w:rPr>
            </w:pPr>
            <w:r>
              <w:rPr>
                <w:spacing w:val="-4"/>
                <w:lang w:eastAsia="zh-CN"/>
              </w:rPr>
              <w:t>一档（1分</w:t>
            </w:r>
            <w:r>
              <w:rPr>
                <w:spacing w:val="-34"/>
                <w:lang w:eastAsia="zh-CN"/>
              </w:rPr>
              <w:t>）：</w:t>
            </w:r>
            <w:r>
              <w:rPr>
                <w:spacing w:val="-4"/>
                <w:lang w:eastAsia="zh-CN"/>
              </w:rPr>
              <w:t>提供有安装方案，但方案不切实际或不符合采购要求；</w:t>
            </w:r>
            <w:r>
              <w:rPr>
                <w:lang w:eastAsia="zh-CN"/>
              </w:rPr>
              <w:t xml:space="preserve"> </w:t>
            </w:r>
          </w:p>
          <w:p w14:paraId="53AD8B0E">
            <w:pPr>
              <w:pStyle w:val="55"/>
              <w:keepNext w:val="0"/>
              <w:keepLines w:val="0"/>
              <w:pageBreakBefore w:val="0"/>
              <w:widowControl w:val="0"/>
              <w:kinsoku/>
              <w:wordWrap/>
              <w:overflowPunct/>
              <w:topLinePunct w:val="0"/>
              <w:autoSpaceDE/>
              <w:autoSpaceDN/>
              <w:bidi w:val="0"/>
              <w:spacing w:before="190" w:line="356" w:lineRule="auto"/>
              <w:ind w:left="113" w:right="49" w:firstLine="2"/>
              <w:rPr>
                <w:lang w:eastAsia="zh-CN"/>
              </w:rPr>
            </w:pPr>
            <w:r>
              <w:rPr>
                <w:spacing w:val="-2"/>
                <w:lang w:eastAsia="zh-CN"/>
              </w:rPr>
              <w:t>二档（3</w:t>
            </w:r>
            <w:r>
              <w:rPr>
                <w:spacing w:val="-44"/>
                <w:lang w:eastAsia="zh-CN"/>
              </w:rPr>
              <w:t xml:space="preserve"> </w:t>
            </w:r>
            <w:r>
              <w:rPr>
                <w:spacing w:val="-2"/>
                <w:lang w:eastAsia="zh-CN"/>
              </w:rPr>
              <w:t>分</w:t>
            </w:r>
            <w:r>
              <w:rPr>
                <w:spacing w:val="-15"/>
                <w:lang w:eastAsia="zh-CN"/>
              </w:rPr>
              <w:t>）：</w:t>
            </w:r>
            <w:r>
              <w:rPr>
                <w:spacing w:val="-2"/>
                <w:lang w:eastAsia="zh-CN"/>
              </w:rPr>
              <w:t>提供有安装方案和对接方案，提供有保证项目实施的技术力量和人力资源，安排基本满足要求的；</w:t>
            </w:r>
          </w:p>
          <w:p w14:paraId="3407DB98">
            <w:pPr>
              <w:pStyle w:val="55"/>
              <w:keepNext w:val="0"/>
              <w:keepLines w:val="0"/>
              <w:pageBreakBefore w:val="0"/>
              <w:widowControl w:val="0"/>
              <w:kinsoku/>
              <w:wordWrap/>
              <w:overflowPunct/>
              <w:topLinePunct w:val="0"/>
              <w:autoSpaceDE/>
              <w:autoSpaceDN/>
              <w:bidi w:val="0"/>
              <w:spacing w:before="34" w:line="356" w:lineRule="auto"/>
              <w:ind w:left="113" w:right="102" w:hanging="1"/>
              <w:rPr>
                <w:lang w:eastAsia="zh-CN"/>
              </w:rPr>
            </w:pPr>
            <w:r>
              <w:rPr>
                <w:spacing w:val="-2"/>
                <w:lang w:eastAsia="zh-CN"/>
              </w:rPr>
              <w:t>三档（7</w:t>
            </w:r>
            <w:r>
              <w:rPr>
                <w:spacing w:val="-43"/>
                <w:lang w:eastAsia="zh-CN"/>
              </w:rPr>
              <w:t xml:space="preserve"> </w:t>
            </w:r>
            <w:r>
              <w:rPr>
                <w:spacing w:val="-2"/>
                <w:lang w:eastAsia="zh-CN"/>
              </w:rPr>
              <w:t>分</w:t>
            </w:r>
            <w:r>
              <w:rPr>
                <w:spacing w:val="-15"/>
                <w:lang w:eastAsia="zh-CN"/>
              </w:rPr>
              <w:t>）：</w:t>
            </w:r>
            <w:r>
              <w:rPr>
                <w:spacing w:val="-2"/>
                <w:lang w:eastAsia="zh-CN"/>
              </w:rPr>
              <w:t>提供的安装方案和对接方案阐述较简单，提供有保证</w:t>
            </w:r>
            <w:r>
              <w:rPr>
                <w:lang w:eastAsia="zh-CN"/>
              </w:rPr>
              <w:t>项目实施的技术力量和人力资源，安排基本满足项目要</w:t>
            </w:r>
            <w:r>
              <w:rPr>
                <w:spacing w:val="-1"/>
                <w:lang w:eastAsia="zh-CN"/>
              </w:rPr>
              <w:t>求，技术服务、配送服务内容和措施简单的；</w:t>
            </w:r>
          </w:p>
          <w:p w14:paraId="75B573E2">
            <w:pPr>
              <w:pStyle w:val="55"/>
              <w:keepNext w:val="0"/>
              <w:keepLines w:val="0"/>
              <w:pageBreakBefore w:val="0"/>
              <w:widowControl w:val="0"/>
              <w:kinsoku/>
              <w:wordWrap/>
              <w:overflowPunct/>
              <w:topLinePunct w:val="0"/>
              <w:autoSpaceDE/>
              <w:autoSpaceDN/>
              <w:bidi w:val="0"/>
              <w:spacing w:before="34" w:line="356" w:lineRule="auto"/>
              <w:ind w:left="113" w:right="102" w:hanging="1"/>
              <w:rPr>
                <w:spacing w:val="-2"/>
                <w:lang w:eastAsia="zh-CN"/>
              </w:rPr>
            </w:pPr>
            <w:r>
              <w:rPr>
                <w:spacing w:val="-2"/>
                <w:lang w:eastAsia="zh-CN"/>
              </w:rPr>
              <w:t>四档（11分）</w:t>
            </w:r>
            <w:r>
              <w:rPr>
                <w:rFonts w:hint="eastAsia"/>
                <w:spacing w:val="-2"/>
                <w:lang w:eastAsia="zh-CN"/>
              </w:rPr>
              <w:t>：</w:t>
            </w:r>
            <w:r>
              <w:rPr>
                <w:spacing w:val="-2"/>
                <w:lang w:eastAsia="zh-CN"/>
              </w:rPr>
              <w:t>提供的安装方案和对接方案较详细，有保证项目实施的技术力量和人力资源，安排满足项目实施要求，技术服务、</w:t>
            </w:r>
            <w:r>
              <w:rPr>
                <w:rFonts w:hint="eastAsia"/>
                <w:bCs/>
                <w:lang w:eastAsia="zh-CN"/>
              </w:rPr>
              <w:t>安装测试和试运行、</w:t>
            </w:r>
            <w:r>
              <w:rPr>
                <w:spacing w:val="-2"/>
                <w:lang w:eastAsia="zh-CN"/>
              </w:rPr>
              <w:t>配送服务内容和措施完善，表述较清晰、完整，措施具体有效的；</w:t>
            </w:r>
          </w:p>
          <w:p w14:paraId="57C452B5">
            <w:pPr>
              <w:pStyle w:val="55"/>
              <w:keepNext w:val="0"/>
              <w:keepLines w:val="0"/>
              <w:pageBreakBefore w:val="0"/>
              <w:widowControl w:val="0"/>
              <w:kinsoku/>
              <w:wordWrap/>
              <w:overflowPunct/>
              <w:topLinePunct w:val="0"/>
              <w:autoSpaceDE/>
              <w:autoSpaceDN/>
              <w:bidi w:val="0"/>
              <w:spacing w:before="34" w:line="356" w:lineRule="auto"/>
              <w:ind w:left="113" w:right="102" w:hanging="1"/>
              <w:rPr>
                <w:bCs/>
                <w:lang w:eastAsia="zh-CN"/>
              </w:rPr>
            </w:pPr>
            <w:r>
              <w:rPr>
                <w:spacing w:val="-2"/>
                <w:lang w:eastAsia="zh-CN"/>
              </w:rPr>
              <w:t>五档（15 分）</w:t>
            </w:r>
            <w:r>
              <w:rPr>
                <w:rFonts w:hint="eastAsia"/>
                <w:spacing w:val="-2"/>
                <w:lang w:eastAsia="zh-CN"/>
              </w:rPr>
              <w:t>：</w:t>
            </w:r>
            <w:r>
              <w:rPr>
                <w:spacing w:val="-2"/>
                <w:lang w:eastAsia="zh-CN"/>
              </w:rPr>
              <w:t>提供的安装方案和对接方案详实，能契合本项目实际提供对接方案，方案能够清楚的表明对本项目的熟悉程度，技术路线清晰可信；保证项目实施的技术力量和人力资源安排充足，技术服务、配送服务内容和措施十分完善，建议的安装、调试、验收方法</w:t>
            </w:r>
            <w:r>
              <w:rPr>
                <w:rFonts w:hint="eastAsia"/>
                <w:spacing w:val="-2"/>
                <w:lang w:eastAsia="zh-CN"/>
              </w:rPr>
              <w:t>、</w:t>
            </w:r>
            <w:r>
              <w:rPr>
                <w:rFonts w:hint="eastAsia"/>
                <w:bCs/>
                <w:lang w:eastAsia="zh-CN"/>
              </w:rPr>
              <w:t>资料移交</w:t>
            </w:r>
            <w:r>
              <w:rPr>
                <w:rFonts w:hint="eastAsia"/>
                <w:spacing w:val="-2"/>
                <w:lang w:eastAsia="zh-CN"/>
              </w:rPr>
              <w:t>等方案</w:t>
            </w:r>
            <w:r>
              <w:rPr>
                <w:spacing w:val="-2"/>
                <w:lang w:eastAsia="zh-CN"/>
              </w:rPr>
              <w:t>同比更完善有效、更优化、切实可行的，表述较清晰、完整、严谨、合理、措施先进的。</w:t>
            </w:r>
          </w:p>
        </w:tc>
      </w:tr>
      <w:tr w14:paraId="3144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vAlign w:val="center"/>
          </w:tcPr>
          <w:p w14:paraId="6EE6E604">
            <w:pPr>
              <w:keepNext w:val="0"/>
              <w:keepLines w:val="0"/>
              <w:pageBreakBefore w:val="0"/>
              <w:widowControl w:val="0"/>
              <w:kinsoku/>
              <w:wordWrap/>
              <w:overflowPunct/>
              <w:topLinePunct w:val="0"/>
              <w:autoSpaceDE/>
              <w:autoSpaceDN/>
              <w:bidi w:val="0"/>
              <w:adjustRightInd w:val="0"/>
              <w:spacing w:line="356" w:lineRule="auto"/>
              <w:jc w:val="center"/>
              <w:textAlignment w:val="baseline"/>
              <w:rPr>
                <w:rFonts w:ascii="宋体" w:hAnsi="宋体"/>
                <w:b/>
                <w:szCs w:val="21"/>
              </w:rPr>
            </w:pPr>
            <w:r>
              <w:rPr>
                <w:rFonts w:hint="eastAsia" w:ascii="宋体" w:hAnsi="宋体"/>
                <w:b/>
                <w:szCs w:val="21"/>
              </w:rPr>
              <w:t>4</w:t>
            </w:r>
          </w:p>
        </w:tc>
        <w:tc>
          <w:tcPr>
            <w:tcW w:w="719" w:type="pct"/>
            <w:vAlign w:val="center"/>
          </w:tcPr>
          <w:p w14:paraId="421CA306">
            <w:pPr>
              <w:keepNext w:val="0"/>
              <w:keepLines w:val="0"/>
              <w:pageBreakBefore w:val="0"/>
              <w:widowControl w:val="0"/>
              <w:kinsoku/>
              <w:wordWrap/>
              <w:overflowPunct/>
              <w:topLinePunct w:val="0"/>
              <w:autoSpaceDE/>
              <w:autoSpaceDN/>
              <w:bidi w:val="0"/>
              <w:adjustRightInd w:val="0"/>
              <w:spacing w:line="356" w:lineRule="auto"/>
              <w:ind w:left="-105" w:leftChars="-50" w:right="-105" w:rightChars="-50"/>
              <w:jc w:val="center"/>
              <w:textAlignment w:val="baseline"/>
              <w:rPr>
                <w:rFonts w:ascii="宋体" w:hAnsi="宋体"/>
                <w:szCs w:val="21"/>
              </w:rPr>
            </w:pPr>
            <w:r>
              <w:rPr>
                <w:rFonts w:hint="eastAsia" w:ascii="宋体" w:hAnsi="宋体"/>
                <w:b/>
                <w:bCs/>
                <w:szCs w:val="21"/>
              </w:rPr>
              <w:t>售后服务</w:t>
            </w:r>
            <w:r>
              <w:rPr>
                <w:rFonts w:hint="eastAsia" w:ascii="宋体" w:hAnsi="宋体"/>
                <w:bCs/>
                <w:szCs w:val="21"/>
              </w:rPr>
              <w:t>（</w:t>
            </w:r>
            <w:r>
              <w:rPr>
                <w:rFonts w:hint="eastAsia" w:ascii="宋体" w:hAnsi="宋体"/>
                <w:szCs w:val="21"/>
              </w:rPr>
              <w:t>满分</w:t>
            </w:r>
            <w:r>
              <w:rPr>
                <w:rFonts w:hint="eastAsia" w:ascii="宋体" w:hAnsi="宋体"/>
                <w:szCs w:val="21"/>
                <w:u w:val="single"/>
              </w:rPr>
              <w:t>20</w:t>
            </w:r>
            <w:r>
              <w:rPr>
                <w:rFonts w:hint="eastAsia" w:ascii="宋体" w:hAnsi="宋体"/>
                <w:bCs/>
                <w:szCs w:val="21"/>
              </w:rPr>
              <w:t>分）</w:t>
            </w:r>
          </w:p>
        </w:tc>
        <w:tc>
          <w:tcPr>
            <w:tcW w:w="857" w:type="pct"/>
            <w:tcMar>
              <w:left w:w="57" w:type="dxa"/>
              <w:right w:w="57" w:type="dxa"/>
            </w:tcMar>
            <w:vAlign w:val="center"/>
          </w:tcPr>
          <w:p w14:paraId="3546962A">
            <w:pPr>
              <w:keepNext w:val="0"/>
              <w:keepLines w:val="0"/>
              <w:pageBreakBefore w:val="0"/>
              <w:widowControl w:val="0"/>
              <w:kinsoku/>
              <w:wordWrap/>
              <w:overflowPunct/>
              <w:topLinePunct w:val="0"/>
              <w:autoSpaceDE/>
              <w:autoSpaceDN/>
              <w:bidi w:val="0"/>
              <w:spacing w:line="356" w:lineRule="auto"/>
              <w:jc w:val="center"/>
              <w:rPr>
                <w:rFonts w:ascii="宋体" w:hAnsi="宋体"/>
                <w:bCs/>
                <w:szCs w:val="21"/>
              </w:rPr>
            </w:pPr>
            <w:r>
              <w:rPr>
                <w:rFonts w:hint="eastAsia" w:ascii="宋体" w:hAnsi="宋体"/>
                <w:bCs/>
                <w:szCs w:val="21"/>
              </w:rPr>
              <w:t>售后服务方案</w:t>
            </w:r>
          </w:p>
        </w:tc>
        <w:tc>
          <w:tcPr>
            <w:tcW w:w="3142" w:type="pct"/>
          </w:tcPr>
          <w:p w14:paraId="74123822">
            <w:pPr>
              <w:keepNext w:val="0"/>
              <w:keepLines w:val="0"/>
              <w:pageBreakBefore w:val="0"/>
              <w:widowControl w:val="0"/>
              <w:kinsoku/>
              <w:wordWrap/>
              <w:overflowPunct/>
              <w:topLinePunct w:val="0"/>
              <w:autoSpaceDE/>
              <w:autoSpaceDN/>
              <w:bidi w:val="0"/>
              <w:spacing w:line="356"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根据投标人提供的售后服务方案的内容(包含但不限于：①质保期、②到达故障现场时间、③故障出现解决方案、④定期维护(注明时间)、⑤技术培训方案、⑥质保期外维修方案、⑦本地化售后服务措施、⑧其它优惠方案等方面)由评委在相应的档次内独立打分。</w:t>
            </w:r>
          </w:p>
          <w:p w14:paraId="47558A4D">
            <w:pPr>
              <w:pStyle w:val="55"/>
              <w:keepNext w:val="0"/>
              <w:keepLines w:val="0"/>
              <w:pageBreakBefore w:val="0"/>
              <w:widowControl w:val="0"/>
              <w:kinsoku/>
              <w:wordWrap/>
              <w:overflowPunct/>
              <w:topLinePunct w:val="0"/>
              <w:autoSpaceDE/>
              <w:autoSpaceDN/>
              <w:bidi w:val="0"/>
              <w:spacing w:before="68" w:line="356" w:lineRule="auto"/>
              <w:ind w:left="154"/>
              <w:rPr>
                <w:bCs/>
                <w:color w:val="auto"/>
                <w:highlight w:val="none"/>
                <w:lang w:eastAsia="zh-CN"/>
              </w:rPr>
            </w:pPr>
            <w:r>
              <w:rPr>
                <w:rFonts w:hint="eastAsia"/>
                <w:b/>
                <w:bCs/>
                <w:color w:val="auto"/>
                <w:spacing w:val="-4"/>
                <w:highlight w:val="none"/>
                <w:lang w:eastAsia="zh-CN"/>
              </w:rPr>
              <w:t>（1）</w:t>
            </w:r>
            <w:r>
              <w:rPr>
                <w:b/>
                <w:bCs/>
                <w:color w:val="auto"/>
                <w:spacing w:val="-4"/>
                <w:highlight w:val="none"/>
                <w:lang w:eastAsia="zh-CN"/>
              </w:rPr>
              <w:t>故障</w:t>
            </w:r>
            <w:r>
              <w:rPr>
                <w:b/>
                <w:bCs/>
                <w:color w:val="auto"/>
                <w:spacing w:val="-3"/>
                <w:highlight w:val="none"/>
                <w:lang w:eastAsia="zh-CN"/>
              </w:rPr>
              <w:t>解决及维修保养服</w:t>
            </w:r>
            <w:r>
              <w:rPr>
                <w:b/>
                <w:bCs/>
                <w:color w:val="auto"/>
                <w:spacing w:val="-4"/>
                <w:highlight w:val="none"/>
                <w:lang w:eastAsia="zh-CN"/>
              </w:rPr>
              <w:t>务方案</w:t>
            </w:r>
            <w:r>
              <w:rPr>
                <w:b/>
                <w:bCs/>
                <w:color w:val="auto"/>
                <w:spacing w:val="-11"/>
                <w:highlight w:val="none"/>
                <w:lang w:eastAsia="zh-CN"/>
              </w:rPr>
              <w:t>（</w:t>
            </w:r>
            <w:r>
              <w:rPr>
                <w:color w:val="auto"/>
                <w:spacing w:val="-19"/>
                <w:highlight w:val="none"/>
                <w:lang w:eastAsia="zh-CN"/>
              </w:rPr>
              <w:t xml:space="preserve"> </w:t>
            </w:r>
            <w:r>
              <w:rPr>
                <w:b/>
                <w:bCs/>
                <w:color w:val="auto"/>
                <w:spacing w:val="-11"/>
                <w:highlight w:val="none"/>
                <w:lang w:eastAsia="zh-CN"/>
              </w:rPr>
              <w:t>10</w:t>
            </w:r>
            <w:r>
              <w:rPr>
                <w:color w:val="auto"/>
                <w:highlight w:val="none"/>
                <w:lang w:eastAsia="zh-CN"/>
              </w:rPr>
              <w:t xml:space="preserve"> </w:t>
            </w:r>
            <w:r>
              <w:rPr>
                <w:b/>
                <w:bCs/>
                <w:color w:val="auto"/>
                <w:spacing w:val="-8"/>
                <w:highlight w:val="none"/>
                <w:lang w:eastAsia="zh-CN"/>
              </w:rPr>
              <w:t>分）</w:t>
            </w:r>
          </w:p>
          <w:p w14:paraId="3FB0EDD3">
            <w:pPr>
              <w:pStyle w:val="55"/>
              <w:keepNext w:val="0"/>
              <w:keepLines w:val="0"/>
              <w:pageBreakBefore w:val="0"/>
              <w:widowControl w:val="0"/>
              <w:kinsoku/>
              <w:wordWrap/>
              <w:overflowPunct/>
              <w:topLinePunct w:val="0"/>
              <w:autoSpaceDE/>
              <w:autoSpaceDN/>
              <w:bidi w:val="0"/>
              <w:spacing w:before="173" w:line="356" w:lineRule="auto"/>
              <w:ind w:left="112" w:right="102" w:firstLine="4"/>
              <w:rPr>
                <w:color w:val="auto"/>
                <w:highlight w:val="none"/>
                <w:lang w:eastAsia="zh-CN"/>
              </w:rPr>
            </w:pPr>
            <w:r>
              <w:rPr>
                <w:color w:val="auto"/>
                <w:spacing w:val="-3"/>
                <w:highlight w:val="none"/>
                <w:lang w:eastAsia="zh-CN"/>
              </w:rPr>
              <w:t>一档（1</w:t>
            </w:r>
            <w:r>
              <w:rPr>
                <w:color w:val="auto"/>
                <w:spacing w:val="-40"/>
                <w:highlight w:val="none"/>
                <w:lang w:eastAsia="zh-CN"/>
              </w:rPr>
              <w:t xml:space="preserve"> </w:t>
            </w:r>
            <w:r>
              <w:rPr>
                <w:color w:val="auto"/>
                <w:spacing w:val="-3"/>
                <w:highlight w:val="none"/>
                <w:lang w:eastAsia="zh-CN"/>
              </w:rPr>
              <w:t>分</w:t>
            </w:r>
            <w:r>
              <w:rPr>
                <w:color w:val="auto"/>
                <w:spacing w:val="-4"/>
                <w:highlight w:val="none"/>
                <w:lang w:eastAsia="zh-CN"/>
              </w:rPr>
              <w:t>）：</w:t>
            </w:r>
            <w:r>
              <w:rPr>
                <w:color w:val="auto"/>
                <w:spacing w:val="-3"/>
                <w:highlight w:val="none"/>
                <w:lang w:eastAsia="zh-CN"/>
              </w:rPr>
              <w:t>提供有故障出现解决、维修保养服务方案，但方案不</w:t>
            </w:r>
            <w:r>
              <w:rPr>
                <w:color w:val="auto"/>
                <w:spacing w:val="-1"/>
                <w:highlight w:val="none"/>
                <w:lang w:eastAsia="zh-CN"/>
              </w:rPr>
              <w:t>切实际或不符合采购要求。</w:t>
            </w:r>
          </w:p>
          <w:p w14:paraId="52B51BFA">
            <w:pPr>
              <w:pStyle w:val="55"/>
              <w:keepNext w:val="0"/>
              <w:keepLines w:val="0"/>
              <w:pageBreakBefore w:val="0"/>
              <w:widowControl w:val="0"/>
              <w:kinsoku/>
              <w:wordWrap/>
              <w:overflowPunct/>
              <w:topLinePunct w:val="0"/>
              <w:autoSpaceDE/>
              <w:autoSpaceDN/>
              <w:bidi w:val="0"/>
              <w:spacing w:before="30" w:line="356" w:lineRule="auto"/>
              <w:ind w:left="117" w:right="103"/>
              <w:rPr>
                <w:color w:val="auto"/>
                <w:highlight w:val="none"/>
                <w:lang w:eastAsia="zh-CN"/>
              </w:rPr>
            </w:pPr>
            <w:r>
              <w:rPr>
                <w:color w:val="auto"/>
                <w:spacing w:val="-3"/>
                <w:highlight w:val="none"/>
                <w:lang w:eastAsia="zh-CN"/>
              </w:rPr>
              <w:t>二档（3</w:t>
            </w:r>
            <w:r>
              <w:rPr>
                <w:color w:val="auto"/>
                <w:spacing w:val="-41"/>
                <w:highlight w:val="none"/>
                <w:lang w:eastAsia="zh-CN"/>
              </w:rPr>
              <w:t xml:space="preserve"> </w:t>
            </w:r>
            <w:r>
              <w:rPr>
                <w:color w:val="auto"/>
                <w:spacing w:val="-3"/>
                <w:highlight w:val="none"/>
                <w:lang w:eastAsia="zh-CN"/>
              </w:rPr>
              <w:t>分</w:t>
            </w:r>
            <w:r>
              <w:rPr>
                <w:color w:val="auto"/>
                <w:spacing w:val="-4"/>
                <w:highlight w:val="none"/>
                <w:lang w:eastAsia="zh-CN"/>
              </w:rPr>
              <w:t>）：</w:t>
            </w:r>
            <w:r>
              <w:rPr>
                <w:color w:val="auto"/>
                <w:spacing w:val="-3"/>
                <w:highlight w:val="none"/>
                <w:lang w:eastAsia="zh-CN"/>
              </w:rPr>
              <w:t>故障出现解决、维修保养服务方案较为简单，基本满</w:t>
            </w:r>
            <w:r>
              <w:rPr>
                <w:color w:val="auto"/>
                <w:spacing w:val="-1"/>
                <w:highlight w:val="none"/>
                <w:lang w:eastAsia="zh-CN"/>
              </w:rPr>
              <w:t>足采购文件要求。</w:t>
            </w:r>
          </w:p>
          <w:p w14:paraId="7674FDFA">
            <w:pPr>
              <w:pStyle w:val="55"/>
              <w:keepNext w:val="0"/>
              <w:keepLines w:val="0"/>
              <w:pageBreakBefore w:val="0"/>
              <w:widowControl w:val="0"/>
              <w:kinsoku/>
              <w:wordWrap/>
              <w:overflowPunct/>
              <w:topLinePunct w:val="0"/>
              <w:autoSpaceDE/>
              <w:autoSpaceDN/>
              <w:bidi w:val="0"/>
              <w:spacing w:before="34" w:line="356" w:lineRule="auto"/>
              <w:ind w:left="113" w:right="103"/>
              <w:rPr>
                <w:rFonts w:hint="eastAsia" w:ascii="宋体" w:hAnsi="宋体" w:eastAsia="宋体" w:cs="宋体"/>
                <w:color w:val="auto"/>
                <w:highlight w:val="none"/>
                <w:lang w:eastAsia="zh-CN"/>
              </w:rPr>
            </w:pPr>
            <w:r>
              <w:rPr>
                <w:color w:val="auto"/>
                <w:spacing w:val="-3"/>
                <w:highlight w:val="none"/>
                <w:lang w:eastAsia="zh-CN"/>
              </w:rPr>
              <w:t>三档（7</w:t>
            </w:r>
            <w:r>
              <w:rPr>
                <w:color w:val="auto"/>
                <w:spacing w:val="-41"/>
                <w:highlight w:val="none"/>
                <w:lang w:eastAsia="zh-CN"/>
              </w:rPr>
              <w:t xml:space="preserve"> </w:t>
            </w:r>
            <w:r>
              <w:rPr>
                <w:color w:val="auto"/>
                <w:spacing w:val="-3"/>
                <w:highlight w:val="none"/>
                <w:lang w:eastAsia="zh-CN"/>
              </w:rPr>
              <w:t>分</w:t>
            </w:r>
            <w:r>
              <w:rPr>
                <w:color w:val="auto"/>
                <w:spacing w:val="-2"/>
                <w:highlight w:val="none"/>
                <w:lang w:eastAsia="zh-CN"/>
              </w:rPr>
              <w:t>）：</w:t>
            </w:r>
            <w:r>
              <w:rPr>
                <w:color w:val="auto"/>
                <w:spacing w:val="-3"/>
                <w:highlight w:val="none"/>
                <w:lang w:eastAsia="zh-CN"/>
              </w:rPr>
              <w:t>故障出现解决、维修保养服务方案较为具体，比较符</w:t>
            </w:r>
            <w:r>
              <w:rPr>
                <w:color w:val="auto"/>
                <w:highlight w:val="none"/>
                <w:lang w:eastAsia="zh-CN"/>
              </w:rPr>
              <w:t>合采购文件的要求；提供故障处理流程、维护保障流程，</w:t>
            </w:r>
            <w:r>
              <w:rPr>
                <w:color w:val="auto"/>
                <w:spacing w:val="-1"/>
                <w:highlight w:val="none"/>
                <w:lang w:eastAsia="zh-CN"/>
              </w:rPr>
              <w:t>并</w:t>
            </w:r>
            <w:r>
              <w:rPr>
                <w:rFonts w:hint="eastAsia" w:ascii="宋体" w:hAnsi="宋体" w:eastAsia="宋体" w:cs="宋体"/>
                <w:color w:val="auto"/>
                <w:spacing w:val="-1"/>
                <w:highlight w:val="none"/>
                <w:lang w:eastAsia="zh-CN"/>
              </w:rPr>
              <w:t>提供服</w:t>
            </w:r>
            <w:r>
              <w:rPr>
                <w:rFonts w:hint="eastAsia" w:ascii="宋体" w:hAnsi="宋体" w:eastAsia="宋体" w:cs="宋体"/>
                <w:color w:val="auto"/>
                <w:spacing w:val="-2"/>
                <w:highlight w:val="none"/>
                <w:lang w:eastAsia="zh-CN"/>
              </w:rPr>
              <w:t>务电话和相应的售后服务的。</w:t>
            </w:r>
          </w:p>
          <w:p w14:paraId="619F92AE">
            <w:pPr>
              <w:keepNext w:val="0"/>
              <w:keepLines w:val="0"/>
              <w:pageBreakBefore w:val="0"/>
              <w:widowControl w:val="0"/>
              <w:kinsoku/>
              <w:wordWrap/>
              <w:overflowPunct/>
              <w:topLinePunct w:val="0"/>
              <w:autoSpaceDE/>
              <w:autoSpaceDN/>
              <w:bidi w:val="0"/>
              <w:spacing w:line="356" w:lineRule="auto"/>
              <w:ind w:firstLine="208" w:firstLineChars="100"/>
              <w:jc w:val="left"/>
              <w:rPr>
                <w:rFonts w:ascii="宋体" w:hAnsi="宋体"/>
                <w:bCs/>
                <w:color w:val="auto"/>
                <w:szCs w:val="21"/>
                <w:highlight w:val="none"/>
              </w:rPr>
            </w:pPr>
            <w:r>
              <w:rPr>
                <w:rFonts w:hint="eastAsia" w:ascii="宋体" w:hAnsi="宋体" w:eastAsia="宋体" w:cs="宋体"/>
                <w:color w:val="auto"/>
                <w:spacing w:val="-1"/>
                <w:highlight w:val="none"/>
              </w:rPr>
              <w:t>四档（10</w:t>
            </w:r>
            <w:r>
              <w:rPr>
                <w:rFonts w:hint="eastAsia" w:ascii="宋体" w:hAnsi="宋体" w:eastAsia="宋体" w:cs="宋体"/>
                <w:color w:val="auto"/>
                <w:spacing w:val="-43"/>
                <w:highlight w:val="none"/>
              </w:rPr>
              <w:t xml:space="preserve"> </w:t>
            </w:r>
            <w:r>
              <w:rPr>
                <w:rFonts w:hint="eastAsia" w:ascii="宋体" w:hAnsi="宋体" w:eastAsia="宋体" w:cs="宋体"/>
                <w:color w:val="auto"/>
                <w:spacing w:val="-1"/>
                <w:highlight w:val="none"/>
              </w:rPr>
              <w:t>分</w:t>
            </w:r>
            <w:r>
              <w:rPr>
                <w:rFonts w:hint="eastAsia" w:ascii="宋体" w:hAnsi="宋体" w:eastAsia="宋体" w:cs="宋体"/>
                <w:color w:val="auto"/>
                <w:spacing w:val="-3"/>
                <w:highlight w:val="none"/>
              </w:rPr>
              <w:t>）：</w:t>
            </w:r>
            <w:r>
              <w:rPr>
                <w:rFonts w:hint="eastAsia" w:ascii="宋体" w:hAnsi="宋体" w:eastAsia="宋体" w:cs="宋体"/>
                <w:color w:val="auto"/>
                <w:spacing w:val="-1"/>
                <w:highlight w:val="none"/>
              </w:rPr>
              <w:t>故障出现解决、维修保养服务方案非常具体，完全</w:t>
            </w:r>
            <w:r>
              <w:rPr>
                <w:rFonts w:hint="eastAsia" w:ascii="宋体" w:hAnsi="宋体" w:eastAsia="宋体" w:cs="宋体"/>
                <w:color w:val="auto"/>
                <w:highlight w:val="none"/>
              </w:rPr>
              <w:t>符合采购文件的要求，</w:t>
            </w:r>
            <w:r>
              <w:rPr>
                <w:color w:val="auto"/>
                <w:highlight w:val="none"/>
              </w:rPr>
              <w:t>在维护、响应时间提供更优惠的</w:t>
            </w:r>
            <w:r>
              <w:rPr>
                <w:color w:val="auto"/>
                <w:spacing w:val="-1"/>
                <w:highlight w:val="none"/>
              </w:rPr>
              <w:t>条件；提供</w:t>
            </w:r>
            <w:r>
              <w:rPr>
                <w:color w:val="auto"/>
                <w:highlight w:val="none"/>
              </w:rPr>
              <w:t>故障处理流程、维护保障流程，并提供</w:t>
            </w:r>
            <w:r>
              <w:rPr>
                <w:rFonts w:hint="eastAsia"/>
                <w:color w:val="auto"/>
                <w:highlight w:val="none"/>
              </w:rPr>
              <w:t>本地化服务及</w:t>
            </w:r>
            <w:r>
              <w:rPr>
                <w:color w:val="auto"/>
                <w:highlight w:val="none"/>
              </w:rPr>
              <w:t>维护技术人员的</w:t>
            </w:r>
            <w:r>
              <w:rPr>
                <w:color w:val="auto"/>
                <w:spacing w:val="-1"/>
                <w:highlight w:val="none"/>
              </w:rPr>
              <w:t>电话和相应</w:t>
            </w:r>
            <w:r>
              <w:rPr>
                <w:rFonts w:hint="eastAsia"/>
                <w:color w:val="auto"/>
                <w:spacing w:val="-1"/>
                <w:highlight w:val="none"/>
              </w:rPr>
              <w:t>保外其它优惠措施</w:t>
            </w:r>
            <w:r>
              <w:rPr>
                <w:color w:val="auto"/>
                <w:spacing w:val="-2"/>
                <w:highlight w:val="none"/>
              </w:rPr>
              <w:t>售后服务的，有完善的售后服务承诺</w:t>
            </w:r>
            <w:r>
              <w:rPr>
                <w:rFonts w:hint="eastAsia"/>
                <w:color w:val="auto"/>
                <w:spacing w:val="-2"/>
                <w:highlight w:val="none"/>
                <w:lang w:val="en-US" w:eastAsia="zh-CN"/>
              </w:rPr>
              <w:t>；</w:t>
            </w:r>
            <w:r>
              <w:rPr>
                <w:rFonts w:hint="eastAsia"/>
                <w:snapToGrid w:val="0"/>
                <w:color w:val="auto"/>
                <w:kern w:val="0"/>
                <w:highlight w:val="none"/>
              </w:rPr>
              <w:t>投标人或所投</w:t>
            </w:r>
            <w:r>
              <w:rPr>
                <w:rFonts w:hint="eastAsia"/>
                <w:snapToGrid w:val="0"/>
                <w:color w:val="auto"/>
                <w:kern w:val="0"/>
                <w:szCs w:val="21"/>
                <w:highlight w:val="none"/>
                <w:lang w:val="en-US" w:eastAsia="zh-CN"/>
              </w:rPr>
              <w:t>核心产品</w:t>
            </w:r>
            <w:r>
              <w:rPr>
                <w:rFonts w:hint="eastAsia"/>
                <w:snapToGrid w:val="0"/>
                <w:color w:val="auto"/>
                <w:kern w:val="0"/>
                <w:highlight w:val="none"/>
              </w:rPr>
              <w:t>通过GB/T27922售后服务认证</w:t>
            </w:r>
            <w:r>
              <w:rPr>
                <w:rFonts w:hint="eastAsia"/>
                <w:snapToGrid w:val="0"/>
                <w:color w:val="auto"/>
                <w:kern w:val="0"/>
                <w:highlight w:val="none"/>
                <w:lang w:eastAsia="zh-CN"/>
              </w:rPr>
              <w:t>，</w:t>
            </w:r>
            <w:r>
              <w:rPr>
                <w:rFonts w:hint="eastAsia"/>
                <w:snapToGrid w:val="0"/>
                <w:color w:val="auto"/>
                <w:kern w:val="0"/>
                <w:highlight w:val="none"/>
              </w:rPr>
              <w:t>服务体系等级不低于十星级（须提供认证证书</w:t>
            </w:r>
            <w:r>
              <w:rPr>
                <w:rFonts w:hint="eastAsia"/>
                <w:snapToGrid w:val="0"/>
                <w:color w:val="auto"/>
                <w:kern w:val="0"/>
                <w:highlight w:val="none"/>
                <w:lang w:val="en-US" w:eastAsia="zh-CN"/>
              </w:rPr>
              <w:t>扫描件</w:t>
            </w:r>
            <w:r>
              <w:rPr>
                <w:rFonts w:hint="eastAsia"/>
                <w:snapToGrid w:val="0"/>
                <w:color w:val="auto"/>
                <w:kern w:val="0"/>
                <w:highlight w:val="none"/>
              </w:rPr>
              <w:t>及官网截图）</w:t>
            </w:r>
            <w:r>
              <w:rPr>
                <w:rFonts w:hint="eastAsia" w:ascii="宋体" w:hAnsi="宋体"/>
                <w:bCs/>
                <w:color w:val="auto"/>
                <w:szCs w:val="21"/>
                <w:highlight w:val="none"/>
              </w:rPr>
              <w:t>。</w:t>
            </w:r>
          </w:p>
          <w:p w14:paraId="6D8365A2">
            <w:pPr>
              <w:pStyle w:val="55"/>
              <w:keepNext w:val="0"/>
              <w:keepLines w:val="0"/>
              <w:pageBreakBefore w:val="0"/>
              <w:widowControl w:val="0"/>
              <w:numPr>
                <w:ilvl w:val="0"/>
                <w:numId w:val="0"/>
              </w:numPr>
              <w:kinsoku/>
              <w:wordWrap/>
              <w:overflowPunct/>
              <w:topLinePunct w:val="0"/>
              <w:autoSpaceDE/>
              <w:autoSpaceDN/>
              <w:bidi w:val="0"/>
              <w:spacing w:before="68" w:line="356" w:lineRule="auto"/>
              <w:ind w:left="210" w:leftChars="0" w:right="146" w:rightChars="0"/>
              <w:rPr>
                <w:b/>
                <w:bCs/>
                <w:color w:val="auto"/>
                <w:spacing w:val="-8"/>
                <w:highlight w:val="none"/>
              </w:rPr>
            </w:pPr>
            <w:r>
              <w:rPr>
                <w:rFonts w:hint="eastAsia"/>
                <w:b/>
                <w:bCs/>
                <w:color w:val="auto"/>
                <w:spacing w:val="-4"/>
                <w:highlight w:val="none"/>
                <w:lang w:eastAsia="zh-CN"/>
              </w:rPr>
              <w:t>（</w:t>
            </w:r>
            <w:r>
              <w:rPr>
                <w:rFonts w:hint="eastAsia"/>
                <w:b/>
                <w:bCs/>
                <w:color w:val="auto"/>
                <w:spacing w:val="-4"/>
                <w:highlight w:val="none"/>
                <w:lang w:val="en-US" w:eastAsia="zh-CN"/>
              </w:rPr>
              <w:t>2</w:t>
            </w:r>
            <w:r>
              <w:rPr>
                <w:rFonts w:hint="eastAsia"/>
                <w:b/>
                <w:bCs/>
                <w:color w:val="auto"/>
                <w:spacing w:val="-4"/>
                <w:highlight w:val="none"/>
                <w:lang w:eastAsia="zh-CN"/>
              </w:rPr>
              <w:t>）</w:t>
            </w:r>
            <w:r>
              <w:rPr>
                <w:b/>
                <w:bCs/>
                <w:color w:val="auto"/>
                <w:spacing w:val="-4"/>
                <w:highlight w:val="none"/>
              </w:rPr>
              <w:t>技术培训方案</w:t>
            </w:r>
            <w:r>
              <w:rPr>
                <w:b/>
                <w:bCs/>
                <w:color w:val="auto"/>
                <w:spacing w:val="-11"/>
                <w:highlight w:val="none"/>
              </w:rPr>
              <w:t>（10</w:t>
            </w:r>
            <w:r>
              <w:rPr>
                <w:color w:val="auto"/>
                <w:highlight w:val="none"/>
              </w:rPr>
              <w:t xml:space="preserve"> </w:t>
            </w:r>
            <w:r>
              <w:rPr>
                <w:b/>
                <w:bCs/>
                <w:color w:val="auto"/>
                <w:spacing w:val="-8"/>
                <w:highlight w:val="none"/>
              </w:rPr>
              <w:t>分）</w:t>
            </w:r>
          </w:p>
          <w:p w14:paraId="1D7E39A2">
            <w:pPr>
              <w:pStyle w:val="55"/>
              <w:keepNext w:val="0"/>
              <w:keepLines w:val="0"/>
              <w:pageBreakBefore w:val="0"/>
              <w:widowControl w:val="0"/>
              <w:kinsoku/>
              <w:wordWrap/>
              <w:overflowPunct/>
              <w:topLinePunct w:val="0"/>
              <w:autoSpaceDE/>
              <w:autoSpaceDN/>
              <w:bidi w:val="0"/>
              <w:spacing w:before="27" w:line="356" w:lineRule="auto"/>
              <w:ind w:left="115" w:right="102" w:hanging="2"/>
              <w:rPr>
                <w:color w:val="auto"/>
                <w:spacing w:val="-2"/>
                <w:highlight w:val="none"/>
                <w:lang w:eastAsia="zh-CN"/>
              </w:rPr>
            </w:pPr>
            <w:r>
              <w:rPr>
                <w:color w:val="auto"/>
                <w:spacing w:val="-2"/>
                <w:highlight w:val="none"/>
                <w:lang w:eastAsia="zh-CN"/>
              </w:rPr>
              <w:t xml:space="preserve">一档（2 分）：提供有技术培训方案，但方案不切合实际，不合理。 </w:t>
            </w:r>
          </w:p>
          <w:p w14:paraId="71262DC4">
            <w:pPr>
              <w:pStyle w:val="55"/>
              <w:keepNext w:val="0"/>
              <w:keepLines w:val="0"/>
              <w:pageBreakBefore w:val="0"/>
              <w:widowControl w:val="0"/>
              <w:kinsoku/>
              <w:wordWrap/>
              <w:overflowPunct/>
              <w:topLinePunct w:val="0"/>
              <w:autoSpaceDE/>
              <w:autoSpaceDN/>
              <w:bidi w:val="0"/>
              <w:spacing w:before="27" w:line="356" w:lineRule="auto"/>
              <w:ind w:left="115" w:right="102" w:hanging="2"/>
              <w:rPr>
                <w:color w:val="auto"/>
                <w:spacing w:val="-2"/>
                <w:highlight w:val="none"/>
                <w:lang w:eastAsia="zh-CN"/>
              </w:rPr>
            </w:pPr>
            <w:r>
              <w:rPr>
                <w:color w:val="auto"/>
                <w:spacing w:val="-2"/>
                <w:highlight w:val="none"/>
                <w:lang w:eastAsia="zh-CN"/>
              </w:rPr>
              <w:t>二档（5 分）：技术培训方案较完整较周全。</w:t>
            </w:r>
          </w:p>
          <w:p w14:paraId="6E101FD0">
            <w:pPr>
              <w:pStyle w:val="55"/>
              <w:keepNext w:val="0"/>
              <w:keepLines w:val="0"/>
              <w:pageBreakBefore w:val="0"/>
              <w:widowControl w:val="0"/>
              <w:kinsoku/>
              <w:wordWrap/>
              <w:overflowPunct/>
              <w:topLinePunct w:val="0"/>
              <w:autoSpaceDE/>
              <w:autoSpaceDN/>
              <w:bidi w:val="0"/>
              <w:spacing w:before="27" w:line="356" w:lineRule="auto"/>
              <w:ind w:left="115" w:right="102" w:hanging="2"/>
              <w:rPr>
                <w:color w:val="auto"/>
                <w:spacing w:val="-1"/>
                <w:highlight w:val="none"/>
                <w:lang w:eastAsia="zh-CN"/>
              </w:rPr>
            </w:pPr>
            <w:r>
              <w:rPr>
                <w:color w:val="auto"/>
                <w:spacing w:val="-2"/>
                <w:highlight w:val="none"/>
                <w:lang w:eastAsia="zh-CN"/>
              </w:rPr>
              <w:t>三档（8</w:t>
            </w:r>
            <w:r>
              <w:rPr>
                <w:color w:val="auto"/>
                <w:spacing w:val="-41"/>
                <w:highlight w:val="none"/>
                <w:lang w:eastAsia="zh-CN"/>
              </w:rPr>
              <w:t xml:space="preserve"> </w:t>
            </w:r>
            <w:r>
              <w:rPr>
                <w:color w:val="auto"/>
                <w:spacing w:val="-2"/>
                <w:highlight w:val="none"/>
                <w:lang w:eastAsia="zh-CN"/>
              </w:rPr>
              <w:t>分</w:t>
            </w:r>
            <w:r>
              <w:rPr>
                <w:color w:val="auto"/>
                <w:spacing w:val="-15"/>
                <w:highlight w:val="none"/>
                <w:lang w:eastAsia="zh-CN"/>
              </w:rPr>
              <w:t>）：</w:t>
            </w:r>
            <w:r>
              <w:rPr>
                <w:color w:val="auto"/>
                <w:spacing w:val="-2"/>
                <w:highlight w:val="none"/>
                <w:lang w:eastAsia="zh-CN"/>
              </w:rPr>
              <w:t>有突出重点、难点且作出分析，完整较周全，主</w:t>
            </w:r>
            <w:r>
              <w:rPr>
                <w:color w:val="auto"/>
                <w:spacing w:val="-3"/>
                <w:highlight w:val="none"/>
                <w:lang w:eastAsia="zh-CN"/>
              </w:rPr>
              <w:t>要内</w:t>
            </w:r>
            <w:r>
              <w:rPr>
                <w:color w:val="auto"/>
                <w:spacing w:val="-1"/>
                <w:highlight w:val="none"/>
                <w:lang w:eastAsia="zh-CN"/>
              </w:rPr>
              <w:t>容的编制思路合理，技术培训方案符合项目实际。</w:t>
            </w:r>
          </w:p>
          <w:p w14:paraId="7AE1AD47">
            <w:pPr>
              <w:pStyle w:val="55"/>
              <w:keepNext w:val="0"/>
              <w:keepLines w:val="0"/>
              <w:pageBreakBefore w:val="0"/>
              <w:widowControl w:val="0"/>
              <w:kinsoku/>
              <w:wordWrap/>
              <w:overflowPunct/>
              <w:topLinePunct w:val="0"/>
              <w:autoSpaceDE/>
              <w:autoSpaceDN/>
              <w:bidi w:val="0"/>
              <w:spacing w:before="27" w:line="356" w:lineRule="auto"/>
              <w:ind w:left="115" w:right="102" w:hanging="2"/>
              <w:rPr>
                <w:b/>
                <w:bCs/>
                <w:color w:val="auto"/>
                <w:spacing w:val="-8"/>
                <w:highlight w:val="none"/>
                <w:lang w:eastAsia="zh-CN"/>
              </w:rPr>
            </w:pPr>
            <w:r>
              <w:rPr>
                <w:color w:val="auto"/>
                <w:spacing w:val="-2"/>
                <w:highlight w:val="none"/>
                <w:lang w:eastAsia="zh-CN"/>
              </w:rPr>
              <w:t>四档（10 分</w:t>
            </w:r>
            <w:r>
              <w:rPr>
                <w:color w:val="auto"/>
                <w:spacing w:val="7"/>
                <w:highlight w:val="none"/>
                <w:lang w:eastAsia="zh-CN"/>
              </w:rPr>
              <w:t>）：</w:t>
            </w:r>
            <w:r>
              <w:rPr>
                <w:color w:val="auto"/>
                <w:spacing w:val="-2"/>
                <w:highlight w:val="none"/>
                <w:lang w:eastAsia="zh-CN"/>
              </w:rPr>
              <w:t>方案突出重点、难点且作出深入分析，技术培训方</w:t>
            </w:r>
            <w:r>
              <w:rPr>
                <w:color w:val="auto"/>
                <w:spacing w:val="-1"/>
                <w:highlight w:val="none"/>
                <w:lang w:eastAsia="zh-CN"/>
              </w:rPr>
              <w:t>案完整且考虑周全，主要内容的编制思路明晰利于项目实际实施。</w:t>
            </w:r>
          </w:p>
        </w:tc>
      </w:tr>
      <w:tr w14:paraId="7D6D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80" w:type="pct"/>
            <w:vAlign w:val="center"/>
          </w:tcPr>
          <w:p w14:paraId="7C4E1561">
            <w:pPr>
              <w:keepNext w:val="0"/>
              <w:keepLines w:val="0"/>
              <w:pageBreakBefore w:val="0"/>
              <w:widowControl w:val="0"/>
              <w:kinsoku/>
              <w:wordWrap/>
              <w:overflowPunct/>
              <w:topLinePunct w:val="0"/>
              <w:autoSpaceDE/>
              <w:autoSpaceDN/>
              <w:bidi w:val="0"/>
              <w:spacing w:line="356" w:lineRule="auto"/>
              <w:jc w:val="center"/>
              <w:rPr>
                <w:rFonts w:ascii="宋体" w:hAnsi="宋体"/>
                <w:b/>
                <w:szCs w:val="21"/>
              </w:rPr>
            </w:pPr>
            <w:r>
              <w:rPr>
                <w:rFonts w:hint="eastAsia" w:ascii="宋体" w:hAnsi="宋体"/>
                <w:b/>
                <w:szCs w:val="21"/>
              </w:rPr>
              <w:t>5</w:t>
            </w:r>
          </w:p>
        </w:tc>
        <w:tc>
          <w:tcPr>
            <w:tcW w:w="719" w:type="pct"/>
            <w:vAlign w:val="center"/>
          </w:tcPr>
          <w:p w14:paraId="55DABE70">
            <w:pPr>
              <w:keepNext w:val="0"/>
              <w:keepLines w:val="0"/>
              <w:pageBreakBefore w:val="0"/>
              <w:widowControl w:val="0"/>
              <w:kinsoku/>
              <w:wordWrap/>
              <w:overflowPunct/>
              <w:topLinePunct w:val="0"/>
              <w:autoSpaceDE/>
              <w:autoSpaceDN/>
              <w:bidi w:val="0"/>
              <w:adjustRightInd w:val="0"/>
              <w:spacing w:line="356" w:lineRule="auto"/>
              <w:ind w:left="-105" w:leftChars="-50" w:right="-105" w:rightChars="-50"/>
              <w:jc w:val="center"/>
              <w:textAlignment w:val="baseline"/>
              <w:rPr>
                <w:rFonts w:ascii="宋体" w:hAnsi="宋体"/>
                <w:szCs w:val="21"/>
              </w:rPr>
            </w:pPr>
            <w:r>
              <w:rPr>
                <w:rFonts w:hint="eastAsia" w:ascii="宋体" w:hAnsi="宋体"/>
                <w:b/>
                <w:bCs/>
                <w:szCs w:val="21"/>
              </w:rPr>
              <w:t>商务分</w:t>
            </w:r>
            <w:r>
              <w:rPr>
                <w:rFonts w:hint="eastAsia" w:ascii="宋体" w:hAnsi="宋体"/>
                <w:bCs/>
                <w:szCs w:val="21"/>
              </w:rPr>
              <w:t>（</w:t>
            </w:r>
            <w:r>
              <w:rPr>
                <w:rFonts w:hint="eastAsia" w:ascii="宋体" w:hAnsi="宋体"/>
                <w:szCs w:val="21"/>
              </w:rPr>
              <w:t>满分</w:t>
            </w:r>
            <w:r>
              <w:rPr>
                <w:rFonts w:hint="eastAsia" w:ascii="宋体" w:hAnsi="宋体"/>
                <w:szCs w:val="21"/>
                <w:u w:val="single"/>
              </w:rPr>
              <w:t>10</w:t>
            </w:r>
            <w:r>
              <w:rPr>
                <w:rFonts w:hint="eastAsia" w:ascii="宋体" w:hAnsi="宋体"/>
                <w:bCs/>
                <w:szCs w:val="21"/>
              </w:rPr>
              <w:t>分）</w:t>
            </w:r>
          </w:p>
        </w:tc>
        <w:tc>
          <w:tcPr>
            <w:tcW w:w="857" w:type="pct"/>
            <w:tcMar>
              <w:left w:w="57" w:type="dxa"/>
              <w:right w:w="57" w:type="dxa"/>
            </w:tcMar>
            <w:vAlign w:val="center"/>
          </w:tcPr>
          <w:p w14:paraId="638CC2E5">
            <w:pPr>
              <w:keepNext w:val="0"/>
              <w:keepLines w:val="0"/>
              <w:pageBreakBefore w:val="0"/>
              <w:widowControl w:val="0"/>
              <w:kinsoku/>
              <w:wordWrap/>
              <w:overflowPunct/>
              <w:topLinePunct w:val="0"/>
              <w:autoSpaceDE/>
              <w:autoSpaceDN/>
              <w:bidi w:val="0"/>
              <w:spacing w:line="356" w:lineRule="auto"/>
              <w:jc w:val="center"/>
              <w:rPr>
                <w:rFonts w:hint="eastAsia" w:ascii="宋体" w:hAnsi="宋体" w:eastAsia="宋体" w:cs="宋体"/>
                <w:b/>
                <w:szCs w:val="21"/>
              </w:rPr>
            </w:pPr>
            <w:r>
              <w:rPr>
                <w:rFonts w:hint="eastAsia" w:ascii="宋体" w:hAnsi="宋体" w:eastAsia="宋体" w:cs="宋体"/>
                <w:bCs/>
                <w:szCs w:val="21"/>
              </w:rPr>
              <w:t>信誉业绩</w:t>
            </w:r>
          </w:p>
        </w:tc>
        <w:tc>
          <w:tcPr>
            <w:tcW w:w="3142" w:type="pct"/>
            <w:vAlign w:val="center"/>
          </w:tcPr>
          <w:p w14:paraId="3BAFBD54">
            <w:pPr>
              <w:keepNext w:val="0"/>
              <w:keepLines w:val="0"/>
              <w:pageBreakBefore w:val="0"/>
              <w:widowControl w:val="0"/>
              <w:kinsoku/>
              <w:wordWrap/>
              <w:overflowPunct/>
              <w:topLinePunct w:val="0"/>
              <w:autoSpaceDE/>
              <w:autoSpaceDN/>
              <w:bidi w:val="0"/>
              <w:spacing w:line="356"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eastAsia="宋体" w:cs="宋体"/>
                <w:color w:val="auto"/>
                <w:spacing w:val="3"/>
                <w:highlight w:val="none"/>
              </w:rPr>
              <w:t>投标人或</w:t>
            </w:r>
            <w:r>
              <w:rPr>
                <w:rFonts w:hint="eastAsia" w:ascii="宋体" w:hAnsi="宋体" w:eastAsia="宋体" w:cs="宋体"/>
                <w:color w:val="auto"/>
                <w:spacing w:val="3"/>
                <w:highlight w:val="none"/>
                <w:lang w:val="en-US" w:eastAsia="zh-CN"/>
              </w:rPr>
              <w:t>核心</w:t>
            </w:r>
            <w:r>
              <w:rPr>
                <w:rFonts w:hint="eastAsia" w:ascii="宋体" w:hAnsi="宋体" w:eastAsia="宋体" w:cs="宋体"/>
                <w:color w:val="auto"/>
                <w:spacing w:val="3"/>
                <w:highlight w:val="none"/>
              </w:rPr>
              <w:t>产品生产厂家获得质量体系认证或环境</w:t>
            </w:r>
            <w:r>
              <w:rPr>
                <w:rFonts w:hint="eastAsia" w:ascii="宋体" w:hAnsi="宋体" w:eastAsia="宋体" w:cs="宋体"/>
                <w:color w:val="auto"/>
                <w:spacing w:val="2"/>
                <w:highlight w:val="none"/>
              </w:rPr>
              <w:t>管理体系</w:t>
            </w:r>
            <w:r>
              <w:rPr>
                <w:rFonts w:hint="eastAsia" w:ascii="宋体" w:hAnsi="宋体" w:eastAsia="宋体" w:cs="宋体"/>
                <w:color w:val="auto"/>
                <w:spacing w:val="10"/>
                <w:highlight w:val="none"/>
              </w:rPr>
              <w:t>认证或职业健康安全管理体系认证或信息技术服务管理体系认证</w:t>
            </w:r>
            <w:r>
              <w:rPr>
                <w:rFonts w:hint="eastAsia" w:ascii="宋体" w:hAnsi="宋体" w:eastAsia="宋体" w:cs="宋体"/>
                <w:color w:val="auto"/>
                <w:spacing w:val="-5"/>
                <w:highlight w:val="none"/>
              </w:rPr>
              <w:t>的，每提供有</w:t>
            </w:r>
            <w:r>
              <w:rPr>
                <w:rFonts w:hint="eastAsia" w:ascii="宋体" w:hAnsi="宋体" w:eastAsia="宋体" w:cs="宋体"/>
                <w:color w:val="auto"/>
                <w:spacing w:val="-23"/>
                <w:highlight w:val="none"/>
              </w:rPr>
              <w:t xml:space="preserve"> </w:t>
            </w:r>
            <w:r>
              <w:rPr>
                <w:rFonts w:hint="eastAsia" w:ascii="宋体" w:hAnsi="宋体" w:eastAsia="宋体" w:cs="宋体"/>
                <w:color w:val="auto"/>
                <w:spacing w:val="-5"/>
                <w:highlight w:val="none"/>
              </w:rPr>
              <w:t>1</w:t>
            </w:r>
            <w:r>
              <w:rPr>
                <w:rFonts w:hint="eastAsia" w:ascii="宋体" w:hAnsi="宋体" w:eastAsia="宋体" w:cs="宋体"/>
                <w:color w:val="auto"/>
                <w:spacing w:val="-43"/>
                <w:highlight w:val="none"/>
              </w:rPr>
              <w:t xml:space="preserve"> </w:t>
            </w:r>
            <w:r>
              <w:rPr>
                <w:rFonts w:hint="eastAsia" w:ascii="宋体" w:hAnsi="宋体" w:eastAsia="宋体" w:cs="宋体"/>
                <w:color w:val="auto"/>
                <w:spacing w:val="-5"/>
                <w:highlight w:val="none"/>
              </w:rPr>
              <w:t>项证书得</w:t>
            </w:r>
            <w:r>
              <w:rPr>
                <w:rFonts w:hint="eastAsia" w:ascii="宋体" w:hAnsi="宋体" w:eastAsia="宋体" w:cs="宋体"/>
                <w:color w:val="auto"/>
                <w:spacing w:val="-44"/>
                <w:highlight w:val="none"/>
              </w:rPr>
              <w:t xml:space="preserve"> </w:t>
            </w:r>
            <w:r>
              <w:rPr>
                <w:rFonts w:hint="eastAsia" w:ascii="宋体" w:hAnsi="宋体" w:eastAsia="宋体" w:cs="宋体"/>
                <w:color w:val="auto"/>
                <w:spacing w:val="-5"/>
                <w:highlight w:val="none"/>
                <w:lang w:val="en-US" w:eastAsia="zh-CN"/>
              </w:rPr>
              <w:t>1</w:t>
            </w:r>
            <w:r>
              <w:rPr>
                <w:rFonts w:hint="eastAsia" w:ascii="宋体" w:hAnsi="宋体" w:eastAsia="宋体" w:cs="宋体"/>
                <w:color w:val="auto"/>
                <w:spacing w:val="-5"/>
                <w:highlight w:val="none"/>
              </w:rPr>
              <w:t>分，满分</w:t>
            </w:r>
            <w:r>
              <w:rPr>
                <w:rFonts w:hint="eastAsia" w:ascii="宋体" w:hAnsi="宋体" w:eastAsia="宋体" w:cs="宋体"/>
                <w:color w:val="auto"/>
                <w:spacing w:val="-46"/>
                <w:highlight w:val="none"/>
                <w:lang w:val="en-US" w:eastAsia="zh-CN"/>
              </w:rPr>
              <w:t>4</w:t>
            </w:r>
            <w:r>
              <w:rPr>
                <w:rFonts w:hint="eastAsia" w:ascii="宋体" w:hAnsi="宋体" w:eastAsia="宋体" w:cs="宋体"/>
                <w:color w:val="auto"/>
                <w:spacing w:val="-5"/>
                <w:highlight w:val="none"/>
              </w:rPr>
              <w:t>分</w:t>
            </w:r>
            <w:r>
              <w:rPr>
                <w:rFonts w:hint="eastAsia" w:ascii="宋体" w:hAnsi="宋体" w:cs="宋体"/>
                <w:color w:val="auto"/>
                <w:spacing w:val="-5"/>
                <w:highlight w:val="none"/>
                <w:lang w:eastAsia="zh-CN"/>
              </w:rPr>
              <w:t>。</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提供证书扫描件，不提供或提供不全不得分。</w:t>
            </w:r>
            <w:r>
              <w:rPr>
                <w:rFonts w:hint="eastAsia" w:ascii="宋体" w:hAnsi="宋体" w:eastAsia="宋体" w:cs="宋体"/>
                <w:color w:val="auto"/>
                <w:szCs w:val="21"/>
                <w:highlight w:val="none"/>
              </w:rPr>
              <w:t>）</w:t>
            </w:r>
          </w:p>
          <w:p w14:paraId="3B2CCF26">
            <w:pPr>
              <w:keepNext w:val="0"/>
              <w:keepLines w:val="0"/>
              <w:pageBreakBefore w:val="0"/>
              <w:widowControl w:val="0"/>
              <w:kinsoku/>
              <w:wordWrap/>
              <w:overflowPunct/>
              <w:topLinePunct w:val="0"/>
              <w:autoSpaceDE/>
              <w:autoSpaceDN/>
              <w:bidi w:val="0"/>
              <w:spacing w:line="356"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w:t>
            </w:r>
            <w:r>
              <w:rPr>
                <w:rFonts w:hint="eastAsia" w:ascii="宋体" w:hAnsi="宋体" w:eastAsia="宋体" w:cs="宋体"/>
                <w:color w:val="auto"/>
                <w:szCs w:val="20"/>
                <w:highlight w:val="none"/>
              </w:rPr>
              <w:t>为确保此次采购的核心产品后续的升级开发以及避免知识产权纠纷影响学校使用，投标人或</w:t>
            </w:r>
            <w:r>
              <w:rPr>
                <w:rFonts w:hint="eastAsia" w:ascii="宋体" w:hAnsi="宋体" w:eastAsia="宋体" w:cs="宋体"/>
                <w:color w:val="auto"/>
                <w:spacing w:val="3"/>
                <w:highlight w:val="none"/>
                <w:lang w:val="en-US" w:eastAsia="zh-CN"/>
              </w:rPr>
              <w:t>核心</w:t>
            </w:r>
            <w:r>
              <w:rPr>
                <w:rFonts w:hint="eastAsia" w:ascii="宋体" w:hAnsi="宋体" w:eastAsia="宋体" w:cs="宋体"/>
                <w:color w:val="auto"/>
                <w:spacing w:val="3"/>
                <w:highlight w:val="none"/>
              </w:rPr>
              <w:t>产品生产厂家</w:t>
            </w:r>
            <w:r>
              <w:rPr>
                <w:rFonts w:hint="eastAsia" w:ascii="宋体" w:hAnsi="宋体" w:cs="宋体"/>
                <w:color w:val="auto"/>
                <w:spacing w:val="3"/>
                <w:highlight w:val="none"/>
                <w:lang w:val="en-US" w:eastAsia="zh-CN"/>
              </w:rPr>
              <w:t>须提供</w:t>
            </w:r>
            <w:r>
              <w:rPr>
                <w:rFonts w:hint="eastAsia" w:ascii="宋体" w:hAnsi="宋体" w:eastAsia="宋体" w:cs="宋体"/>
                <w:color w:val="auto"/>
                <w:szCs w:val="20"/>
                <w:highlight w:val="none"/>
              </w:rPr>
              <w:t>通过GB/T29490的知识产权管理体系认证，提供证书</w:t>
            </w:r>
            <w:r>
              <w:rPr>
                <w:rFonts w:hint="eastAsia" w:ascii="宋体" w:hAnsi="宋体" w:cs="宋体"/>
                <w:color w:val="auto"/>
                <w:szCs w:val="20"/>
                <w:highlight w:val="none"/>
                <w:lang w:val="en-US" w:eastAsia="zh-CN"/>
              </w:rPr>
              <w:t>扫描件</w:t>
            </w:r>
            <w:r>
              <w:rPr>
                <w:rFonts w:hint="eastAsia" w:ascii="宋体" w:hAnsi="宋体" w:eastAsia="宋体" w:cs="宋体"/>
                <w:color w:val="auto"/>
                <w:szCs w:val="20"/>
                <w:highlight w:val="none"/>
              </w:rPr>
              <w:t>及官网截图得2分，不提供或提供不全不得分</w:t>
            </w:r>
            <w:r>
              <w:rPr>
                <w:rFonts w:hint="eastAsia" w:ascii="宋体" w:hAnsi="宋体" w:eastAsia="宋体" w:cs="宋体"/>
                <w:color w:val="auto"/>
                <w:szCs w:val="21"/>
                <w:highlight w:val="none"/>
              </w:rPr>
              <w:t>。</w:t>
            </w:r>
          </w:p>
          <w:p w14:paraId="151A67D7">
            <w:pPr>
              <w:keepNext w:val="0"/>
              <w:keepLines w:val="0"/>
              <w:pageBreakBefore w:val="0"/>
              <w:widowControl w:val="0"/>
              <w:kinsoku/>
              <w:wordWrap/>
              <w:overflowPunct/>
              <w:topLinePunct w:val="0"/>
              <w:autoSpaceDE/>
              <w:autoSpaceDN/>
              <w:bidi w:val="0"/>
              <w:spacing w:line="356"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w:t>
            </w:r>
            <w:r>
              <w:rPr>
                <w:rFonts w:hint="eastAsia" w:ascii="宋体" w:hAnsi="宋体" w:eastAsia="宋体" w:cs="宋体"/>
                <w:color w:val="auto"/>
                <w:szCs w:val="20"/>
                <w:highlight w:val="none"/>
              </w:rPr>
              <w:t>为响应国家节能减排政策号召，投标人或</w:t>
            </w:r>
            <w:r>
              <w:rPr>
                <w:rFonts w:hint="eastAsia" w:ascii="宋体" w:hAnsi="宋体" w:eastAsia="宋体" w:cs="宋体"/>
                <w:color w:val="auto"/>
                <w:spacing w:val="3"/>
                <w:highlight w:val="none"/>
                <w:lang w:val="en-US" w:eastAsia="zh-CN"/>
              </w:rPr>
              <w:t>核心</w:t>
            </w:r>
            <w:r>
              <w:rPr>
                <w:rFonts w:hint="eastAsia" w:ascii="宋体" w:hAnsi="宋体" w:eastAsia="宋体" w:cs="宋体"/>
                <w:color w:val="auto"/>
                <w:spacing w:val="3"/>
                <w:highlight w:val="none"/>
              </w:rPr>
              <w:t>产品生产厂家</w:t>
            </w:r>
            <w:r>
              <w:rPr>
                <w:rFonts w:hint="eastAsia" w:ascii="宋体" w:hAnsi="宋体" w:cs="宋体"/>
                <w:color w:val="auto"/>
                <w:spacing w:val="3"/>
                <w:highlight w:val="none"/>
                <w:lang w:val="en-US" w:eastAsia="zh-CN"/>
              </w:rPr>
              <w:t>须提供</w:t>
            </w:r>
            <w:r>
              <w:rPr>
                <w:rFonts w:hint="eastAsia" w:ascii="宋体" w:hAnsi="宋体" w:eastAsia="宋体" w:cs="宋体"/>
                <w:color w:val="auto"/>
                <w:szCs w:val="20"/>
                <w:highlight w:val="none"/>
              </w:rPr>
              <w:t>通过ISO14064核准认证证书</w:t>
            </w:r>
            <w:r>
              <w:rPr>
                <w:rFonts w:hint="eastAsia" w:ascii="宋体" w:hAnsi="宋体" w:cs="宋体"/>
                <w:color w:val="auto"/>
                <w:szCs w:val="20"/>
                <w:highlight w:val="none"/>
                <w:lang w:val="en-US" w:eastAsia="zh-CN"/>
              </w:rPr>
              <w:t>扫描</w:t>
            </w:r>
            <w:r>
              <w:rPr>
                <w:rFonts w:hint="eastAsia" w:ascii="宋体" w:hAnsi="宋体" w:eastAsia="宋体" w:cs="宋体"/>
                <w:color w:val="auto"/>
                <w:szCs w:val="20"/>
                <w:highlight w:val="none"/>
              </w:rPr>
              <w:t>件，提供得2分</w:t>
            </w:r>
            <w:r>
              <w:rPr>
                <w:rFonts w:hint="eastAsia" w:ascii="宋体" w:hAnsi="宋体" w:cs="宋体"/>
                <w:color w:val="auto"/>
                <w:szCs w:val="21"/>
                <w:highlight w:val="none"/>
                <w:lang w:eastAsia="zh-CN"/>
              </w:rPr>
              <w:t>，</w:t>
            </w:r>
            <w:r>
              <w:rPr>
                <w:rFonts w:hint="eastAsia" w:ascii="宋体" w:hAnsi="宋体" w:eastAsia="宋体" w:cs="宋体"/>
                <w:color w:val="auto"/>
                <w:szCs w:val="20"/>
                <w:highlight w:val="none"/>
              </w:rPr>
              <w:t>不提供或提供不全不得分</w:t>
            </w:r>
            <w:r>
              <w:rPr>
                <w:rFonts w:hint="eastAsia" w:ascii="宋体" w:hAnsi="宋体" w:eastAsia="宋体" w:cs="宋体"/>
                <w:color w:val="auto"/>
                <w:szCs w:val="21"/>
                <w:highlight w:val="none"/>
              </w:rPr>
              <w:t>。</w:t>
            </w:r>
          </w:p>
          <w:p w14:paraId="54619F86">
            <w:pPr>
              <w:keepNext w:val="0"/>
              <w:keepLines w:val="0"/>
              <w:pageBreakBefore w:val="0"/>
              <w:widowControl w:val="0"/>
              <w:kinsoku/>
              <w:wordWrap/>
              <w:overflowPunct/>
              <w:topLinePunct w:val="0"/>
              <w:autoSpaceDE/>
              <w:autoSpaceDN/>
              <w:bidi w:val="0"/>
              <w:spacing w:line="356"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w:t>
            </w:r>
            <w:r>
              <w:rPr>
                <w:rFonts w:hint="eastAsia" w:ascii="宋体" w:hAnsi="宋体" w:eastAsia="宋体" w:cs="宋体"/>
                <w:color w:val="auto"/>
                <w:spacing w:val="-3"/>
                <w:highlight w:val="none"/>
              </w:rPr>
              <w:t>投标人或投标产品生产厂家自</w:t>
            </w:r>
            <w:r>
              <w:rPr>
                <w:rFonts w:hint="eastAsia" w:ascii="宋体" w:hAnsi="宋体" w:eastAsia="宋体" w:cs="宋体"/>
                <w:color w:val="auto"/>
                <w:spacing w:val="-41"/>
                <w:highlight w:val="none"/>
              </w:rPr>
              <w:t xml:space="preserve"> </w:t>
            </w:r>
            <w:r>
              <w:rPr>
                <w:rFonts w:hint="eastAsia" w:ascii="宋体" w:hAnsi="宋体" w:eastAsia="宋体" w:cs="宋体"/>
                <w:color w:val="auto"/>
                <w:spacing w:val="-3"/>
                <w:highlight w:val="none"/>
              </w:rPr>
              <w:t>202</w:t>
            </w:r>
            <w:r>
              <w:rPr>
                <w:rFonts w:hint="eastAsia" w:ascii="宋体" w:hAnsi="宋体" w:eastAsia="宋体" w:cs="宋体"/>
                <w:color w:val="auto"/>
                <w:spacing w:val="-3"/>
                <w:highlight w:val="none"/>
                <w:lang w:val="en-US" w:eastAsia="zh-CN"/>
              </w:rPr>
              <w:t>2</w:t>
            </w:r>
            <w:r>
              <w:rPr>
                <w:rFonts w:hint="eastAsia" w:ascii="宋体" w:hAnsi="宋体" w:eastAsia="宋体" w:cs="宋体"/>
                <w:color w:val="auto"/>
                <w:spacing w:val="-46"/>
                <w:highlight w:val="none"/>
              </w:rPr>
              <w:t xml:space="preserve"> </w:t>
            </w:r>
            <w:r>
              <w:rPr>
                <w:rFonts w:hint="eastAsia" w:ascii="宋体" w:hAnsi="宋体" w:eastAsia="宋体" w:cs="宋体"/>
                <w:color w:val="auto"/>
                <w:spacing w:val="-3"/>
                <w:highlight w:val="none"/>
              </w:rPr>
              <w:t>年</w:t>
            </w:r>
            <w:r>
              <w:rPr>
                <w:rFonts w:hint="eastAsia" w:ascii="宋体" w:hAnsi="宋体" w:eastAsia="宋体" w:cs="宋体"/>
                <w:color w:val="auto"/>
                <w:spacing w:val="-28"/>
                <w:highlight w:val="none"/>
              </w:rPr>
              <w:t xml:space="preserve"> </w:t>
            </w:r>
            <w:r>
              <w:rPr>
                <w:rFonts w:hint="eastAsia" w:ascii="宋体" w:hAnsi="宋体" w:eastAsia="宋体" w:cs="宋体"/>
                <w:color w:val="auto"/>
                <w:spacing w:val="-3"/>
                <w:highlight w:val="none"/>
              </w:rPr>
              <w:t>1</w:t>
            </w:r>
            <w:r>
              <w:rPr>
                <w:rFonts w:hint="eastAsia" w:ascii="宋体" w:hAnsi="宋体" w:eastAsia="宋体" w:cs="宋体"/>
                <w:color w:val="auto"/>
                <w:spacing w:val="-41"/>
                <w:highlight w:val="none"/>
              </w:rPr>
              <w:t xml:space="preserve"> </w:t>
            </w:r>
            <w:r>
              <w:rPr>
                <w:rFonts w:hint="eastAsia" w:ascii="宋体" w:hAnsi="宋体" w:eastAsia="宋体" w:cs="宋体"/>
                <w:color w:val="auto"/>
                <w:spacing w:val="-3"/>
                <w:highlight w:val="none"/>
              </w:rPr>
              <w:t>月以来有同类项目（</w:t>
            </w:r>
            <w:r>
              <w:rPr>
                <w:rFonts w:hint="eastAsia" w:ascii="宋体" w:hAnsi="宋体" w:eastAsia="宋体" w:cs="宋体"/>
                <w:b/>
                <w:bCs/>
                <w:color w:val="auto"/>
                <w:spacing w:val="-3"/>
                <w:highlight w:val="none"/>
              </w:rPr>
              <w:t>至</w:t>
            </w:r>
            <w:r>
              <w:rPr>
                <w:rFonts w:hint="eastAsia" w:ascii="宋体" w:hAnsi="宋体" w:eastAsia="宋体" w:cs="宋体"/>
                <w:b/>
                <w:bCs/>
                <w:color w:val="auto"/>
                <w:spacing w:val="-4"/>
                <w:highlight w:val="none"/>
              </w:rPr>
              <w:t>少包含核心产品</w:t>
            </w:r>
            <w:r>
              <w:rPr>
                <w:rFonts w:hint="eastAsia" w:ascii="宋体" w:hAnsi="宋体" w:eastAsia="宋体" w:cs="宋体"/>
                <w:color w:val="auto"/>
                <w:spacing w:val="-4"/>
                <w:highlight w:val="none"/>
              </w:rPr>
              <w:t>）业绩的，每提供有</w:t>
            </w:r>
            <w:r>
              <w:rPr>
                <w:rFonts w:hint="eastAsia" w:ascii="宋体" w:hAnsi="宋体" w:eastAsia="宋体" w:cs="宋体"/>
                <w:color w:val="auto"/>
                <w:spacing w:val="-27"/>
                <w:highlight w:val="none"/>
              </w:rPr>
              <w:t xml:space="preserve"> </w:t>
            </w:r>
            <w:r>
              <w:rPr>
                <w:rFonts w:hint="eastAsia" w:ascii="宋体" w:hAnsi="宋体" w:eastAsia="宋体" w:cs="宋体"/>
                <w:color w:val="auto"/>
                <w:spacing w:val="-4"/>
                <w:highlight w:val="none"/>
              </w:rPr>
              <w:t>1</w:t>
            </w:r>
            <w:r>
              <w:rPr>
                <w:rFonts w:hint="eastAsia" w:ascii="宋体" w:hAnsi="宋体" w:eastAsia="宋体" w:cs="宋体"/>
                <w:color w:val="auto"/>
                <w:spacing w:val="-41"/>
                <w:highlight w:val="none"/>
              </w:rPr>
              <w:t xml:space="preserve"> </w:t>
            </w:r>
            <w:r>
              <w:rPr>
                <w:rFonts w:hint="eastAsia" w:ascii="宋体" w:hAnsi="宋体" w:eastAsia="宋体" w:cs="宋体"/>
                <w:color w:val="auto"/>
                <w:spacing w:val="-4"/>
                <w:highlight w:val="none"/>
              </w:rPr>
              <w:t>项得</w:t>
            </w:r>
            <w:r>
              <w:rPr>
                <w:rFonts w:hint="eastAsia" w:ascii="宋体" w:hAnsi="宋体" w:eastAsia="宋体" w:cs="宋体"/>
                <w:color w:val="auto"/>
                <w:spacing w:val="-28"/>
                <w:highlight w:val="none"/>
              </w:rPr>
              <w:t xml:space="preserve"> </w:t>
            </w:r>
            <w:r>
              <w:rPr>
                <w:rFonts w:hint="eastAsia" w:ascii="宋体" w:hAnsi="宋体" w:eastAsia="宋体" w:cs="宋体"/>
                <w:color w:val="auto"/>
                <w:spacing w:val="-4"/>
                <w:highlight w:val="none"/>
              </w:rPr>
              <w:t>1</w:t>
            </w:r>
            <w:r>
              <w:rPr>
                <w:rFonts w:hint="eastAsia" w:ascii="宋体" w:hAnsi="宋体" w:eastAsia="宋体" w:cs="宋体"/>
                <w:color w:val="auto"/>
                <w:spacing w:val="-44"/>
                <w:highlight w:val="none"/>
              </w:rPr>
              <w:t xml:space="preserve"> </w:t>
            </w:r>
            <w:r>
              <w:rPr>
                <w:rFonts w:hint="eastAsia" w:ascii="宋体" w:hAnsi="宋体" w:eastAsia="宋体" w:cs="宋体"/>
                <w:color w:val="auto"/>
                <w:spacing w:val="-4"/>
                <w:highlight w:val="none"/>
              </w:rPr>
              <w:t>分，本项满分</w:t>
            </w:r>
            <w:r>
              <w:rPr>
                <w:rFonts w:hint="eastAsia" w:ascii="宋体" w:hAnsi="宋体" w:eastAsia="宋体" w:cs="宋体"/>
                <w:color w:val="auto"/>
                <w:spacing w:val="-41"/>
                <w:highlight w:val="none"/>
              </w:rPr>
              <w:t xml:space="preserve"> </w:t>
            </w:r>
            <w:r>
              <w:rPr>
                <w:rFonts w:hint="eastAsia" w:ascii="宋体" w:hAnsi="宋体" w:eastAsia="宋体" w:cs="宋体"/>
                <w:color w:val="auto"/>
                <w:spacing w:val="-4"/>
                <w:highlight w:val="none"/>
              </w:rPr>
              <w:t>2</w:t>
            </w:r>
            <w:r>
              <w:rPr>
                <w:rFonts w:hint="eastAsia" w:ascii="宋体" w:hAnsi="宋体" w:eastAsia="宋体" w:cs="宋体"/>
                <w:color w:val="auto"/>
                <w:spacing w:val="-44"/>
                <w:highlight w:val="none"/>
              </w:rPr>
              <w:t xml:space="preserve"> </w:t>
            </w:r>
            <w:r>
              <w:rPr>
                <w:rFonts w:hint="eastAsia" w:ascii="宋体" w:hAnsi="宋体" w:eastAsia="宋体" w:cs="宋体"/>
                <w:color w:val="auto"/>
                <w:spacing w:val="-4"/>
                <w:highlight w:val="none"/>
              </w:rPr>
              <w:t>分</w:t>
            </w:r>
            <w:r>
              <w:rPr>
                <w:rFonts w:hint="eastAsia" w:ascii="宋体" w:hAnsi="宋体" w:eastAsia="宋体" w:cs="宋体"/>
                <w:color w:val="auto"/>
                <w:szCs w:val="21"/>
                <w:highlight w:val="none"/>
              </w:rPr>
              <w:t>。（以采购合同</w:t>
            </w:r>
            <w:r>
              <w:rPr>
                <w:rFonts w:hint="eastAsia" w:ascii="宋体" w:hAnsi="宋体" w:cs="宋体"/>
                <w:color w:val="auto"/>
                <w:szCs w:val="20"/>
                <w:highlight w:val="none"/>
                <w:lang w:val="en-US" w:eastAsia="zh-CN"/>
              </w:rPr>
              <w:t>扫描</w:t>
            </w:r>
            <w:r>
              <w:rPr>
                <w:rFonts w:hint="eastAsia" w:ascii="宋体" w:hAnsi="宋体" w:eastAsia="宋体" w:cs="宋体"/>
                <w:color w:val="auto"/>
                <w:szCs w:val="20"/>
                <w:highlight w:val="none"/>
              </w:rPr>
              <w:t>件</w:t>
            </w:r>
            <w:r>
              <w:rPr>
                <w:rFonts w:hint="eastAsia" w:ascii="宋体" w:hAnsi="宋体" w:eastAsia="宋体" w:cs="宋体"/>
                <w:color w:val="auto"/>
                <w:szCs w:val="21"/>
                <w:highlight w:val="none"/>
              </w:rPr>
              <w:t>为加分依据）</w:t>
            </w:r>
          </w:p>
        </w:tc>
      </w:tr>
      <w:tr w14:paraId="72C4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8" w:hRule="atLeast"/>
          <w:jc w:val="center"/>
        </w:trPr>
        <w:tc>
          <w:tcPr>
            <w:tcW w:w="280" w:type="pct"/>
            <w:vAlign w:val="center"/>
          </w:tcPr>
          <w:p w14:paraId="34A49023">
            <w:pPr>
              <w:keepNext w:val="0"/>
              <w:keepLines w:val="0"/>
              <w:pageBreakBefore w:val="0"/>
              <w:widowControl w:val="0"/>
              <w:kinsoku/>
              <w:wordWrap/>
              <w:overflowPunct/>
              <w:topLinePunct w:val="0"/>
              <w:autoSpaceDE/>
              <w:autoSpaceDN/>
              <w:bidi w:val="0"/>
              <w:spacing w:line="356" w:lineRule="auto"/>
              <w:jc w:val="center"/>
              <w:rPr>
                <w:rFonts w:ascii="宋体" w:hAnsi="宋体"/>
                <w:b/>
                <w:szCs w:val="21"/>
              </w:rPr>
            </w:pPr>
            <w:r>
              <w:rPr>
                <w:rFonts w:hint="eastAsia" w:ascii="宋体" w:hAnsi="宋体"/>
                <w:b/>
                <w:szCs w:val="21"/>
              </w:rPr>
              <w:t>6</w:t>
            </w:r>
          </w:p>
        </w:tc>
        <w:tc>
          <w:tcPr>
            <w:tcW w:w="719" w:type="pct"/>
            <w:vAlign w:val="center"/>
          </w:tcPr>
          <w:p w14:paraId="1D24FDA0">
            <w:pPr>
              <w:keepNext w:val="0"/>
              <w:keepLines w:val="0"/>
              <w:pageBreakBefore w:val="0"/>
              <w:widowControl w:val="0"/>
              <w:kinsoku/>
              <w:wordWrap/>
              <w:overflowPunct/>
              <w:topLinePunct w:val="0"/>
              <w:autoSpaceDE/>
              <w:autoSpaceDN/>
              <w:bidi w:val="0"/>
              <w:adjustRightInd w:val="0"/>
              <w:spacing w:line="356" w:lineRule="auto"/>
              <w:ind w:left="-105" w:leftChars="-50" w:right="-105" w:rightChars="-50"/>
              <w:jc w:val="center"/>
              <w:textAlignment w:val="baseline"/>
              <w:rPr>
                <w:rFonts w:ascii="宋体" w:hAnsi="宋体"/>
                <w:szCs w:val="21"/>
              </w:rPr>
            </w:pPr>
            <w:r>
              <w:rPr>
                <w:rFonts w:hint="eastAsia" w:ascii="宋体" w:hAnsi="宋体"/>
                <w:b/>
                <w:bCs/>
                <w:szCs w:val="21"/>
              </w:rPr>
              <w:t>政策功能分</w:t>
            </w:r>
            <w:r>
              <w:rPr>
                <w:rFonts w:hint="eastAsia" w:ascii="宋体" w:hAnsi="宋体"/>
                <w:bCs/>
                <w:szCs w:val="21"/>
              </w:rPr>
              <w:t>（</w:t>
            </w:r>
            <w:r>
              <w:rPr>
                <w:rFonts w:hint="eastAsia" w:ascii="宋体" w:hAnsi="宋体"/>
                <w:szCs w:val="21"/>
              </w:rPr>
              <w:t>满分</w:t>
            </w:r>
            <w:r>
              <w:rPr>
                <w:rFonts w:hint="eastAsia" w:ascii="宋体" w:hAnsi="宋体"/>
                <w:szCs w:val="21"/>
                <w:u w:val="single"/>
              </w:rPr>
              <w:t>2</w:t>
            </w:r>
            <w:r>
              <w:rPr>
                <w:rFonts w:hint="eastAsia" w:ascii="宋体" w:hAnsi="宋体"/>
                <w:bCs/>
                <w:szCs w:val="21"/>
              </w:rPr>
              <w:t>分）</w:t>
            </w:r>
          </w:p>
        </w:tc>
        <w:tc>
          <w:tcPr>
            <w:tcW w:w="857" w:type="pct"/>
            <w:tcMar>
              <w:left w:w="57" w:type="dxa"/>
              <w:right w:w="57" w:type="dxa"/>
            </w:tcMar>
            <w:vAlign w:val="center"/>
          </w:tcPr>
          <w:p w14:paraId="21DBAC35">
            <w:pPr>
              <w:pStyle w:val="16"/>
              <w:keepNext w:val="0"/>
              <w:keepLines w:val="0"/>
              <w:pageBreakBefore w:val="0"/>
              <w:widowControl w:val="0"/>
              <w:kinsoku/>
              <w:wordWrap/>
              <w:overflowPunct/>
              <w:topLinePunct w:val="0"/>
              <w:autoSpaceDE/>
              <w:autoSpaceDN/>
              <w:bidi w:val="0"/>
              <w:spacing w:line="356" w:lineRule="auto"/>
              <w:jc w:val="center"/>
              <w:rPr>
                <w:rFonts w:hAnsi="宋体" w:cs="Courier New"/>
                <w:bCs/>
                <w:kern w:val="2"/>
                <w:sz w:val="21"/>
              </w:rPr>
            </w:pPr>
            <w:r>
              <w:rPr>
                <w:rFonts w:hint="eastAsia" w:hAnsi="宋体" w:cs="Courier New"/>
                <w:bCs/>
                <w:kern w:val="2"/>
                <w:sz w:val="21"/>
              </w:rPr>
              <w:t>政策功能分</w:t>
            </w:r>
          </w:p>
        </w:tc>
        <w:tc>
          <w:tcPr>
            <w:tcW w:w="3142" w:type="pct"/>
            <w:vAlign w:val="center"/>
          </w:tcPr>
          <w:p w14:paraId="5C3CBA78">
            <w:pPr>
              <w:keepNext w:val="0"/>
              <w:keepLines w:val="0"/>
              <w:pageBreakBefore w:val="0"/>
              <w:widowControl w:val="0"/>
              <w:kinsoku/>
              <w:wordWrap/>
              <w:overflowPunct/>
              <w:topLinePunct w:val="0"/>
              <w:autoSpaceDE/>
              <w:autoSpaceDN/>
              <w:bidi w:val="0"/>
              <w:spacing w:line="356" w:lineRule="auto"/>
              <w:rPr>
                <w:rFonts w:ascii="宋体" w:hAnsi="宋体" w:cs="Courier New"/>
                <w:color w:val="auto"/>
                <w:szCs w:val="21"/>
              </w:rPr>
            </w:pPr>
            <w:r>
              <w:rPr>
                <w:rFonts w:hint="eastAsia" w:ascii="宋体" w:hAnsi="宋体" w:cs="Courier New"/>
                <w:color w:val="auto"/>
                <w:szCs w:val="21"/>
              </w:rPr>
              <w:t>（1）属于财政部《节能产品政府采购品目清单》内优先采购（清单内未标注“★”的品目）的产品[投标文件中提供有效的认证证书复印件及品目清单（标注出投标产品在品目清单中所属的品目），并加盖投标人电子公章]，每有一项产品得0.5分，满分1分。</w:t>
            </w:r>
          </w:p>
          <w:p w14:paraId="53307B92">
            <w:pPr>
              <w:keepNext w:val="0"/>
              <w:keepLines w:val="0"/>
              <w:pageBreakBefore w:val="0"/>
              <w:widowControl w:val="0"/>
              <w:kinsoku/>
              <w:wordWrap/>
              <w:overflowPunct/>
              <w:topLinePunct w:val="0"/>
              <w:autoSpaceDE/>
              <w:autoSpaceDN/>
              <w:bidi w:val="0"/>
              <w:spacing w:line="356" w:lineRule="auto"/>
              <w:rPr>
                <w:rFonts w:hAnsi="宋体" w:cs="Courier New"/>
                <w:bCs/>
                <w:color w:val="auto"/>
              </w:rPr>
            </w:pPr>
            <w:r>
              <w:rPr>
                <w:rFonts w:hint="eastAsia" w:ascii="宋体" w:hAnsi="宋体" w:cs="Courier New"/>
                <w:color w:val="auto"/>
                <w:szCs w:val="21"/>
              </w:rPr>
              <w:t>（2）属于财政部《环境标志产品政府采购品目清单》内的产品[投标文件中提供有效的认证证书复印件及品目清单（标注出投标产品在品目清单中所属的品目），并加盖投标人电子公章]，每有一项产品得0.5分，满分1分。</w:t>
            </w:r>
          </w:p>
        </w:tc>
      </w:tr>
      <w:tr w14:paraId="1602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14:paraId="65EBCFFA">
            <w:pPr>
              <w:pStyle w:val="16"/>
              <w:keepNext w:val="0"/>
              <w:keepLines w:val="0"/>
              <w:pageBreakBefore w:val="0"/>
              <w:widowControl w:val="0"/>
              <w:kinsoku/>
              <w:wordWrap/>
              <w:overflowPunct/>
              <w:topLinePunct w:val="0"/>
              <w:autoSpaceDE/>
              <w:autoSpaceDN/>
              <w:bidi w:val="0"/>
              <w:spacing w:line="356" w:lineRule="auto"/>
              <w:ind w:firstLine="420"/>
              <w:rPr>
                <w:rFonts w:hAnsi="宋体" w:cs="Courier New"/>
                <w:bCs/>
                <w:kern w:val="2"/>
                <w:sz w:val="21"/>
              </w:rPr>
            </w:pPr>
            <w:r>
              <w:rPr>
                <w:rFonts w:hint="eastAsia" w:hAnsi="宋体" w:cs="Courier New"/>
                <w:b/>
                <w:bCs/>
                <w:kern w:val="2"/>
                <w:sz w:val="21"/>
              </w:rPr>
              <w:t>总得分=1+2+3+4+5+6。</w:t>
            </w:r>
          </w:p>
        </w:tc>
      </w:tr>
    </w:tbl>
    <w:p w14:paraId="772E39D3">
      <w:pPr>
        <w:pStyle w:val="16"/>
        <w:spacing w:line="360" w:lineRule="auto"/>
        <w:ind w:firstLine="420"/>
        <w:rPr>
          <w:rFonts w:hAnsi="宋体"/>
          <w:bCs/>
          <w:sz w:val="21"/>
        </w:rPr>
      </w:pPr>
      <w:r>
        <w:rPr>
          <w:rFonts w:hint="eastAsia" w:hAnsi="宋体"/>
          <w:bCs/>
          <w:sz w:val="21"/>
        </w:rPr>
        <w:t>注：计分方法按四舍五入取至百分位</w:t>
      </w:r>
    </w:p>
    <w:p w14:paraId="7B07AE5E">
      <w:pPr>
        <w:spacing w:line="360" w:lineRule="auto"/>
        <w:jc w:val="center"/>
        <w:rPr>
          <w:sz w:val="30"/>
          <w:szCs w:val="30"/>
        </w:rPr>
      </w:pPr>
      <w:bookmarkStart w:id="161" w:name="_Toc14673"/>
      <w:bookmarkStart w:id="162" w:name="_Toc25189"/>
      <w:r>
        <w:rPr>
          <w:rFonts w:hint="eastAsia"/>
          <w:b/>
          <w:bCs/>
          <w:sz w:val="30"/>
          <w:szCs w:val="30"/>
        </w:rPr>
        <w:t>四、中标候选人推荐</w:t>
      </w:r>
      <w:bookmarkEnd w:id="161"/>
      <w:bookmarkEnd w:id="162"/>
    </w:p>
    <w:p w14:paraId="53C63CE0">
      <w:pPr>
        <w:pStyle w:val="16"/>
        <w:spacing w:line="360" w:lineRule="auto"/>
        <w:contextualSpacing/>
        <w:rPr>
          <w:rFonts w:hAnsi="宋体"/>
          <w:b/>
          <w:bCs/>
          <w:sz w:val="24"/>
          <w:szCs w:val="24"/>
        </w:rPr>
      </w:pPr>
      <w:r>
        <w:rPr>
          <w:rFonts w:hint="eastAsia" w:hAnsi="宋体"/>
          <w:b/>
          <w:bCs/>
          <w:sz w:val="24"/>
          <w:szCs w:val="24"/>
        </w:rPr>
        <w:t>（一）综合评分法</w:t>
      </w:r>
    </w:p>
    <w:p w14:paraId="559E435E">
      <w:pPr>
        <w:pStyle w:val="16"/>
        <w:spacing w:line="360" w:lineRule="auto"/>
        <w:ind w:firstLine="420" w:firstLineChars="200"/>
        <w:contextualSpacing/>
        <w:rPr>
          <w:rFonts w:hAnsi="宋体"/>
          <w:sz w:val="21"/>
        </w:rPr>
      </w:pPr>
      <w:r>
        <w:rPr>
          <w:rFonts w:hint="eastAsia" w:hAnsi="宋体"/>
          <w:sz w:val="21"/>
        </w:rPr>
        <w:t>1</w:t>
      </w:r>
      <w:r>
        <w:rPr>
          <w:rFonts w:hAnsi="宋体"/>
          <w:sz w:val="21"/>
        </w:rPr>
        <w:t>.</w:t>
      </w:r>
      <w:r>
        <w:rPr>
          <w:rFonts w:hint="eastAsia" w:hAnsi="宋体"/>
          <w:sz w:val="21"/>
        </w:rPr>
        <w:t>评标委员会根据原始评标记录和评标结果编写评标报告，并通过电子交易平台向采购人、采购代理机构提交。</w:t>
      </w:r>
    </w:p>
    <w:p w14:paraId="73463A91">
      <w:pPr>
        <w:pStyle w:val="16"/>
        <w:spacing w:line="360" w:lineRule="auto"/>
        <w:ind w:firstLine="420" w:firstLineChars="200"/>
        <w:contextualSpacing/>
        <w:rPr>
          <w:rFonts w:hAnsi="宋体"/>
          <w:sz w:val="21"/>
        </w:rPr>
      </w:pPr>
      <w:r>
        <w:rPr>
          <w:rFonts w:hint="eastAsia" w:hAnsi="宋体"/>
          <w:sz w:val="21"/>
        </w:rPr>
        <w:t>2</w:t>
      </w:r>
      <w:r>
        <w:rPr>
          <w:rFonts w:hAnsi="宋体"/>
          <w:sz w:val="21"/>
        </w:rPr>
        <w:t>.</w:t>
      </w:r>
      <w:r>
        <w:rPr>
          <w:rFonts w:hint="eastAsia" w:hAnsi="宋体"/>
          <w:sz w:val="21"/>
        </w:rPr>
        <w:t>评标委员会将根据总得分由高到低排列次序并推荐中标候选人。得分相同的，按投标报价由低到高顺序排列。得分相同且投标报价相同的并列。投标文件满足招标文件全部实质性要求，且按照评审因素的量化指标评审得分最高的投标人为排名第一的中标候选人。</w:t>
      </w:r>
    </w:p>
    <w:p w14:paraId="0E303626">
      <w:pPr>
        <w:pStyle w:val="16"/>
        <w:spacing w:line="360" w:lineRule="auto"/>
        <w:contextualSpacing/>
        <w:rPr>
          <w:rFonts w:hAnsi="宋体"/>
          <w:b/>
          <w:bCs/>
          <w:sz w:val="24"/>
          <w:szCs w:val="24"/>
        </w:rPr>
      </w:pPr>
      <w:r>
        <w:rPr>
          <w:rFonts w:hint="eastAsia" w:hAnsi="宋体"/>
          <w:b/>
          <w:bCs/>
          <w:sz w:val="24"/>
          <w:szCs w:val="24"/>
        </w:rPr>
        <w:t>（二）最低评标价法</w:t>
      </w:r>
    </w:p>
    <w:p w14:paraId="0CF219C8">
      <w:pPr>
        <w:pStyle w:val="16"/>
        <w:spacing w:line="360" w:lineRule="auto"/>
        <w:ind w:firstLine="420" w:firstLineChars="200"/>
        <w:contextualSpacing/>
        <w:rPr>
          <w:rFonts w:hAnsi="宋体"/>
          <w:sz w:val="21"/>
        </w:rPr>
      </w:pPr>
      <w:r>
        <w:rPr>
          <w:rFonts w:hint="eastAsia" w:hAnsi="宋体"/>
          <w:sz w:val="21"/>
        </w:rPr>
        <w:t>1</w:t>
      </w:r>
      <w:r>
        <w:rPr>
          <w:rFonts w:hAnsi="宋体"/>
          <w:sz w:val="21"/>
        </w:rPr>
        <w:t>.</w:t>
      </w:r>
      <w:r>
        <w:rPr>
          <w:rFonts w:hint="eastAsia" w:hAnsi="宋体"/>
          <w:sz w:val="21"/>
        </w:rPr>
        <w:t>评标委员会根据原始评标记录和评标结果编写评标报告，并通过电子交易平台向采购人、采购代理机构提交。</w:t>
      </w:r>
    </w:p>
    <w:p w14:paraId="5B2E33DE">
      <w:pPr>
        <w:pStyle w:val="16"/>
        <w:spacing w:line="360" w:lineRule="auto"/>
        <w:ind w:firstLine="420" w:firstLineChars="200"/>
        <w:contextualSpacing/>
        <w:rPr>
          <w:rFonts w:hAnsi="宋体"/>
          <w:sz w:val="21"/>
        </w:rPr>
      </w:pPr>
      <w:r>
        <w:rPr>
          <w:rFonts w:hint="eastAsia" w:hAnsi="宋体"/>
          <w:sz w:val="21"/>
        </w:rPr>
        <w:t>2</w:t>
      </w:r>
      <w:r>
        <w:rPr>
          <w:rFonts w:hAnsi="宋体"/>
          <w:sz w:val="21"/>
        </w:rPr>
        <w:t>.</w:t>
      </w:r>
      <w:r>
        <w:rPr>
          <w:rFonts w:hint="eastAsia" w:hAnsi="宋体"/>
          <w:sz w:val="21"/>
        </w:rPr>
        <w:t>评标委员会按照评标报价从低到高排序并推荐中标候选人。评标</w:t>
      </w:r>
      <w:r>
        <w:rPr>
          <w:rFonts w:hAnsi="宋体"/>
          <w:sz w:val="21"/>
        </w:rPr>
        <w:t>报价相同的并列。投标文件满足招标文件全部实质性要求且</w:t>
      </w:r>
      <w:r>
        <w:rPr>
          <w:rFonts w:hint="eastAsia" w:hAnsi="宋体"/>
          <w:sz w:val="21"/>
        </w:rPr>
        <w:t>评标</w:t>
      </w:r>
      <w:r>
        <w:rPr>
          <w:rFonts w:hAnsi="宋体"/>
          <w:sz w:val="21"/>
        </w:rPr>
        <w:t>报价最低的投标人为排名第一的中标候选人。</w:t>
      </w:r>
    </w:p>
    <w:p w14:paraId="46BD2669">
      <w:pPr>
        <w:spacing w:before="120" w:beforeLines="50" w:after="120" w:afterLines="50" w:line="400" w:lineRule="exact"/>
        <w:rPr>
          <w:rFonts w:ascii="宋体" w:hAnsi="宋体"/>
          <w:b/>
          <w:sz w:val="24"/>
        </w:rPr>
      </w:pPr>
    </w:p>
    <w:p w14:paraId="4637A7A5">
      <w:pPr>
        <w:spacing w:before="120" w:beforeLines="50" w:after="120" w:afterLines="50" w:line="400" w:lineRule="exact"/>
        <w:rPr>
          <w:rFonts w:ascii="宋体" w:hAnsi="宋体"/>
          <w:b/>
          <w:sz w:val="24"/>
        </w:rPr>
      </w:pPr>
    </w:p>
    <w:p w14:paraId="67F2AF63">
      <w:pPr>
        <w:spacing w:before="120" w:beforeLines="50" w:after="120" w:afterLines="50" w:line="400" w:lineRule="exact"/>
        <w:rPr>
          <w:rFonts w:ascii="宋体" w:hAnsi="宋体"/>
          <w:b/>
          <w:sz w:val="24"/>
        </w:rPr>
      </w:pPr>
    </w:p>
    <w:p w14:paraId="49E0EEBF">
      <w:pPr>
        <w:spacing w:before="120" w:beforeLines="50" w:after="120" w:afterLines="50" w:line="400" w:lineRule="exact"/>
        <w:rPr>
          <w:rFonts w:ascii="宋体" w:hAnsi="宋体"/>
          <w:b/>
          <w:sz w:val="24"/>
        </w:rPr>
      </w:pPr>
    </w:p>
    <w:p w14:paraId="4A63ECF0">
      <w:pPr>
        <w:spacing w:before="120" w:beforeLines="50" w:after="120" w:afterLines="50" w:line="400" w:lineRule="exact"/>
        <w:rPr>
          <w:rFonts w:ascii="宋体" w:hAnsi="宋体"/>
          <w:b/>
          <w:sz w:val="24"/>
        </w:rPr>
      </w:pPr>
    </w:p>
    <w:p w14:paraId="38063FCF">
      <w:pPr>
        <w:spacing w:before="120" w:beforeLines="50" w:after="120" w:afterLines="50" w:line="400" w:lineRule="exact"/>
        <w:rPr>
          <w:rFonts w:ascii="宋体" w:hAnsi="宋体"/>
          <w:b/>
          <w:sz w:val="24"/>
        </w:rPr>
      </w:pPr>
    </w:p>
    <w:p w14:paraId="7937A481">
      <w:pPr>
        <w:spacing w:before="120" w:beforeLines="50" w:after="120" w:afterLines="50" w:line="400" w:lineRule="exact"/>
        <w:rPr>
          <w:rFonts w:ascii="宋体" w:hAnsi="宋体"/>
          <w:b/>
          <w:sz w:val="24"/>
        </w:rPr>
      </w:pPr>
    </w:p>
    <w:p w14:paraId="74C8034F">
      <w:pPr>
        <w:spacing w:before="120" w:beforeLines="50" w:after="120" w:afterLines="50" w:line="400" w:lineRule="exact"/>
        <w:rPr>
          <w:rFonts w:ascii="宋体" w:hAnsi="宋体"/>
          <w:b/>
          <w:sz w:val="24"/>
        </w:rPr>
      </w:pPr>
    </w:p>
    <w:p w14:paraId="071BB3C2">
      <w:pPr>
        <w:spacing w:before="120" w:beforeLines="50" w:after="120" w:afterLines="50" w:line="400" w:lineRule="exact"/>
        <w:rPr>
          <w:rFonts w:ascii="宋体" w:hAnsi="宋体"/>
          <w:b/>
          <w:sz w:val="24"/>
        </w:rPr>
      </w:pPr>
    </w:p>
    <w:p w14:paraId="68DB4614">
      <w:pPr>
        <w:spacing w:before="120" w:beforeLines="50" w:after="120" w:afterLines="50" w:line="400" w:lineRule="exact"/>
        <w:rPr>
          <w:rFonts w:ascii="宋体" w:hAnsi="宋体"/>
          <w:b/>
          <w:sz w:val="24"/>
        </w:rPr>
      </w:pPr>
    </w:p>
    <w:p w14:paraId="7704FDE5">
      <w:pPr>
        <w:pStyle w:val="3"/>
        <w:keepNext w:val="0"/>
        <w:keepLines w:val="0"/>
        <w:jc w:val="center"/>
      </w:pPr>
      <w:r>
        <w:br w:type="page"/>
      </w:r>
    </w:p>
    <w:p w14:paraId="64D9F56B">
      <w:pPr>
        <w:pStyle w:val="3"/>
        <w:keepNext w:val="0"/>
        <w:keepLines w:val="0"/>
        <w:jc w:val="center"/>
      </w:pPr>
    </w:p>
    <w:p w14:paraId="791DC8FD">
      <w:pPr>
        <w:pStyle w:val="3"/>
        <w:keepNext w:val="0"/>
        <w:keepLines w:val="0"/>
        <w:jc w:val="center"/>
      </w:pPr>
    </w:p>
    <w:p w14:paraId="06358D64">
      <w:pPr>
        <w:pStyle w:val="3"/>
        <w:keepNext w:val="0"/>
        <w:keepLines w:val="0"/>
        <w:jc w:val="center"/>
      </w:pPr>
    </w:p>
    <w:p w14:paraId="7394C3D0">
      <w:pPr>
        <w:pStyle w:val="3"/>
        <w:keepNext w:val="0"/>
        <w:keepLines w:val="0"/>
        <w:jc w:val="center"/>
      </w:pPr>
    </w:p>
    <w:p w14:paraId="0D6F6480">
      <w:pPr>
        <w:pStyle w:val="3"/>
        <w:keepNext w:val="0"/>
        <w:keepLines w:val="0"/>
        <w:jc w:val="center"/>
      </w:pPr>
    </w:p>
    <w:p w14:paraId="3BCAD8B8">
      <w:pPr>
        <w:pStyle w:val="3"/>
        <w:keepNext w:val="0"/>
        <w:keepLines w:val="0"/>
        <w:jc w:val="center"/>
      </w:pPr>
    </w:p>
    <w:p w14:paraId="0D4B2F10">
      <w:pPr>
        <w:pStyle w:val="2"/>
        <w:jc w:val="center"/>
      </w:pPr>
      <w:bookmarkStart w:id="163" w:name="_Toc74320804"/>
      <w:bookmarkStart w:id="164" w:name="_Toc10284"/>
      <w:bookmarkStart w:id="165" w:name="_Toc29989"/>
      <w:r>
        <w:rPr>
          <w:rFonts w:hint="eastAsia"/>
        </w:rPr>
        <w:t>第五章  拟签订的合同文本</w:t>
      </w:r>
      <w:bookmarkEnd w:id="163"/>
      <w:bookmarkEnd w:id="164"/>
      <w:bookmarkEnd w:id="165"/>
    </w:p>
    <w:p w14:paraId="4E9CDB77">
      <w:pPr>
        <w:snapToGrid w:val="0"/>
        <w:jc w:val="center"/>
        <w:rPr>
          <w:rFonts w:ascii="宋体" w:hAnsi="宋体"/>
          <w:bCs/>
          <w:sz w:val="32"/>
          <w:szCs w:val="32"/>
        </w:rPr>
      </w:pPr>
    </w:p>
    <w:p w14:paraId="03684C52">
      <w:pPr>
        <w:snapToGrid w:val="0"/>
        <w:jc w:val="center"/>
        <w:rPr>
          <w:rFonts w:ascii="宋体" w:hAnsi="宋体"/>
          <w:bCs/>
          <w:sz w:val="32"/>
          <w:szCs w:val="32"/>
        </w:rPr>
      </w:pPr>
    </w:p>
    <w:p w14:paraId="1F4535DA">
      <w:pPr>
        <w:snapToGrid w:val="0"/>
        <w:jc w:val="center"/>
        <w:rPr>
          <w:rFonts w:ascii="宋体" w:hAnsi="宋体"/>
          <w:bCs/>
          <w:sz w:val="32"/>
          <w:szCs w:val="32"/>
        </w:rPr>
      </w:pPr>
    </w:p>
    <w:p w14:paraId="4499929D">
      <w:pPr>
        <w:snapToGrid w:val="0"/>
        <w:jc w:val="center"/>
        <w:rPr>
          <w:rFonts w:ascii="宋体" w:hAnsi="宋体"/>
          <w:bCs/>
          <w:sz w:val="32"/>
          <w:szCs w:val="32"/>
        </w:rPr>
      </w:pPr>
    </w:p>
    <w:p w14:paraId="65DFB769">
      <w:pPr>
        <w:snapToGrid w:val="0"/>
        <w:jc w:val="center"/>
        <w:rPr>
          <w:rFonts w:ascii="宋体" w:hAnsi="宋体"/>
          <w:bCs/>
          <w:sz w:val="32"/>
          <w:szCs w:val="32"/>
        </w:rPr>
      </w:pPr>
    </w:p>
    <w:p w14:paraId="142A69FD">
      <w:pPr>
        <w:snapToGrid w:val="0"/>
        <w:jc w:val="center"/>
        <w:rPr>
          <w:rFonts w:ascii="宋体" w:hAnsi="宋体"/>
          <w:bCs/>
          <w:sz w:val="32"/>
          <w:szCs w:val="32"/>
        </w:rPr>
      </w:pPr>
    </w:p>
    <w:p w14:paraId="59272572">
      <w:pPr>
        <w:snapToGrid w:val="0"/>
        <w:jc w:val="center"/>
        <w:rPr>
          <w:rFonts w:ascii="宋体" w:hAnsi="宋体"/>
          <w:bCs/>
          <w:sz w:val="32"/>
          <w:szCs w:val="32"/>
        </w:rPr>
      </w:pPr>
    </w:p>
    <w:p w14:paraId="5FBFAE43">
      <w:pPr>
        <w:snapToGrid w:val="0"/>
        <w:jc w:val="center"/>
        <w:rPr>
          <w:rFonts w:ascii="宋体" w:hAnsi="宋体"/>
          <w:bCs/>
          <w:sz w:val="32"/>
          <w:szCs w:val="32"/>
        </w:rPr>
      </w:pPr>
    </w:p>
    <w:p w14:paraId="4FB94648">
      <w:pPr>
        <w:snapToGrid w:val="0"/>
        <w:jc w:val="center"/>
        <w:rPr>
          <w:rFonts w:ascii="宋体" w:hAnsi="宋体"/>
          <w:bCs/>
          <w:sz w:val="32"/>
          <w:szCs w:val="32"/>
        </w:rPr>
      </w:pPr>
    </w:p>
    <w:p w14:paraId="55447185">
      <w:pPr>
        <w:snapToGrid w:val="0"/>
        <w:jc w:val="center"/>
        <w:rPr>
          <w:rFonts w:ascii="宋体" w:hAnsi="宋体"/>
          <w:bCs/>
          <w:sz w:val="32"/>
          <w:szCs w:val="32"/>
        </w:rPr>
      </w:pPr>
    </w:p>
    <w:p w14:paraId="40F0FB6D">
      <w:pPr>
        <w:snapToGrid w:val="0"/>
        <w:jc w:val="center"/>
        <w:rPr>
          <w:rFonts w:ascii="宋体" w:hAnsi="宋体"/>
          <w:bCs/>
          <w:sz w:val="32"/>
          <w:szCs w:val="32"/>
        </w:rPr>
      </w:pPr>
    </w:p>
    <w:p w14:paraId="69A08200">
      <w:pPr>
        <w:snapToGrid w:val="0"/>
        <w:rPr>
          <w:rFonts w:ascii="宋体" w:hAnsi="宋体"/>
          <w:bCs/>
          <w:sz w:val="32"/>
          <w:szCs w:val="32"/>
        </w:rPr>
      </w:pPr>
      <w:bookmarkStart w:id="166" w:name="_Hlk55381736"/>
      <w:r>
        <w:rPr>
          <w:rFonts w:ascii="宋体" w:hAnsi="宋体"/>
          <w:bCs/>
          <w:sz w:val="32"/>
          <w:szCs w:val="32"/>
        </w:rPr>
        <w:t xml:space="preserve"> </w:t>
      </w:r>
    </w:p>
    <w:p w14:paraId="323C528A">
      <w:pPr>
        <w:snapToGrid w:val="0"/>
        <w:spacing w:line="360" w:lineRule="auto"/>
        <w:rPr>
          <w:rFonts w:ascii="宋体" w:hAnsi="宋体"/>
          <w:b/>
          <w:bCs/>
          <w:sz w:val="32"/>
          <w:szCs w:val="32"/>
        </w:rPr>
      </w:pPr>
      <w:r>
        <w:rPr>
          <w:rFonts w:ascii="宋体" w:hAnsi="宋体"/>
          <w:bCs/>
          <w:sz w:val="32"/>
          <w:szCs w:val="32"/>
        </w:rPr>
        <w:br w:type="page"/>
      </w:r>
    </w:p>
    <w:p w14:paraId="6D7871DC">
      <w:pPr>
        <w:snapToGrid w:val="0"/>
        <w:spacing w:line="400" w:lineRule="exact"/>
        <w:jc w:val="center"/>
        <w:rPr>
          <w:rFonts w:ascii="宋体" w:hAnsi="宋体"/>
          <w:b/>
          <w:bCs/>
          <w:color w:val="000000"/>
          <w:sz w:val="32"/>
          <w:szCs w:val="32"/>
        </w:rPr>
      </w:pPr>
      <w:r>
        <w:rPr>
          <w:rFonts w:hint="eastAsia" w:ascii="宋体" w:hAnsi="宋体"/>
          <w:b/>
          <w:bCs/>
          <w:color w:val="000000"/>
          <w:sz w:val="32"/>
          <w:szCs w:val="32"/>
        </w:rPr>
        <w:t>《广西壮族自治区政府采购合同》</w:t>
      </w:r>
    </w:p>
    <w:p w14:paraId="69AABEB5">
      <w:pPr>
        <w:snapToGrid w:val="0"/>
        <w:spacing w:line="400" w:lineRule="exact"/>
        <w:jc w:val="center"/>
        <w:rPr>
          <w:rFonts w:ascii="宋体" w:hAnsi="宋体"/>
          <w:b/>
          <w:bCs/>
          <w:color w:val="000000"/>
          <w:sz w:val="32"/>
          <w:szCs w:val="32"/>
        </w:rPr>
      </w:pPr>
      <w:r>
        <w:rPr>
          <w:rFonts w:hint="eastAsia" w:ascii="宋体" w:hAnsi="宋体"/>
          <w:b/>
          <w:color w:val="000000"/>
          <w:sz w:val="32"/>
          <w:szCs w:val="32"/>
        </w:rPr>
        <w:t>文本</w:t>
      </w:r>
    </w:p>
    <w:p w14:paraId="3A3F79C6">
      <w:pPr>
        <w:snapToGrid w:val="0"/>
        <w:spacing w:line="400" w:lineRule="exact"/>
        <w:ind w:right="480" w:firstLine="5250" w:firstLineChars="2500"/>
        <w:rPr>
          <w:rFonts w:hint="eastAsia" w:ascii="宋体" w:hAnsi="宋体"/>
          <w:bCs/>
          <w:color w:val="000000"/>
          <w:szCs w:val="21"/>
        </w:rPr>
      </w:pPr>
    </w:p>
    <w:p w14:paraId="4335A63F">
      <w:pPr>
        <w:snapToGrid w:val="0"/>
        <w:spacing w:line="400" w:lineRule="exact"/>
        <w:ind w:right="480" w:firstLine="5880" w:firstLineChars="2800"/>
        <w:rPr>
          <w:rFonts w:ascii="宋体" w:hAnsi="宋体"/>
          <w:bCs/>
          <w:color w:val="000000"/>
          <w:szCs w:val="21"/>
          <w:u w:val="single"/>
        </w:rPr>
      </w:pPr>
      <w:r>
        <w:rPr>
          <w:rFonts w:hint="eastAsia" w:ascii="宋体" w:hAnsi="宋体"/>
          <w:bCs/>
          <w:color w:val="000000"/>
          <w:szCs w:val="21"/>
        </w:rPr>
        <w:t>合同编号：</w:t>
      </w:r>
    </w:p>
    <w:p w14:paraId="3315C6CA">
      <w:pPr>
        <w:snapToGrid w:val="0"/>
        <w:spacing w:line="360" w:lineRule="exact"/>
        <w:rPr>
          <w:rFonts w:ascii="宋体" w:hAnsi="宋体"/>
          <w:color w:val="000000"/>
          <w:szCs w:val="21"/>
        </w:rPr>
      </w:pPr>
    </w:p>
    <w:p w14:paraId="4280CD7F">
      <w:pPr>
        <w:snapToGrid w:val="0"/>
        <w:spacing w:line="360" w:lineRule="auto"/>
        <w:rPr>
          <w:rFonts w:ascii="宋体" w:hAnsi="宋体"/>
          <w:color w:val="000000"/>
          <w:szCs w:val="21"/>
          <w:u w:val="single"/>
        </w:rPr>
      </w:pPr>
      <w:r>
        <w:rPr>
          <w:rFonts w:hint="eastAsia" w:ascii="宋体" w:hAnsi="宋体"/>
          <w:color w:val="000000"/>
          <w:szCs w:val="21"/>
        </w:rPr>
        <w:t>采购人（甲方）</w:t>
      </w:r>
      <w:r>
        <w:rPr>
          <w:rFonts w:hint="eastAsia" w:ascii="宋体" w:hAnsi="宋体"/>
          <w:color w:val="000000"/>
          <w:szCs w:val="21"/>
          <w:u w:val="single"/>
        </w:rPr>
        <w:t xml:space="preserve">                          </w:t>
      </w:r>
      <w:r>
        <w:rPr>
          <w:rFonts w:hint="eastAsia" w:ascii="宋体" w:hAnsi="宋体"/>
          <w:color w:val="000000"/>
          <w:szCs w:val="21"/>
        </w:rPr>
        <w:t xml:space="preserve">   </w:t>
      </w:r>
      <w:r>
        <w:rPr>
          <w:rFonts w:hint="eastAsia" w:ascii="宋体" w:hAnsi="宋体"/>
          <w:color w:val="000000"/>
          <w:spacing w:val="-20"/>
          <w:szCs w:val="21"/>
        </w:rPr>
        <w:t>采 购 计 划 号</w:t>
      </w:r>
      <w:r>
        <w:rPr>
          <w:rFonts w:hint="eastAsia" w:ascii="宋体" w:hAnsi="宋体"/>
          <w:color w:val="000000"/>
          <w:szCs w:val="21"/>
          <w:u w:val="single"/>
        </w:rPr>
        <w:t xml:space="preserve">             </w:t>
      </w:r>
    </w:p>
    <w:p w14:paraId="700A9C4A">
      <w:pPr>
        <w:snapToGrid w:val="0"/>
        <w:spacing w:line="360" w:lineRule="auto"/>
        <w:rPr>
          <w:rFonts w:ascii="宋体" w:hAnsi="宋体"/>
          <w:color w:val="000000"/>
          <w:szCs w:val="21"/>
          <w:u w:val="single"/>
        </w:rPr>
      </w:pPr>
      <w:r>
        <w:rPr>
          <w:rFonts w:hint="eastAsia" w:ascii="宋体" w:hAnsi="宋体"/>
          <w:color w:val="000000"/>
          <w:szCs w:val="21"/>
        </w:rPr>
        <w:t>供 应 商（乙方）</w:t>
      </w:r>
      <w:r>
        <w:rPr>
          <w:rFonts w:hint="eastAsia" w:ascii="宋体" w:hAnsi="宋体"/>
          <w:color w:val="000000"/>
          <w:szCs w:val="21"/>
          <w:u w:val="single"/>
        </w:rPr>
        <w:t xml:space="preserve">                          </w:t>
      </w:r>
      <w:r>
        <w:rPr>
          <w:rFonts w:hint="eastAsia" w:ascii="宋体" w:hAnsi="宋体"/>
          <w:color w:val="000000"/>
          <w:szCs w:val="21"/>
        </w:rPr>
        <w:t xml:space="preserve">  </w:t>
      </w:r>
      <w:r>
        <w:rPr>
          <w:rFonts w:hint="eastAsia" w:ascii="宋体" w:hAnsi="宋体"/>
          <w:color w:val="000000"/>
          <w:spacing w:val="-20"/>
          <w:szCs w:val="21"/>
        </w:rPr>
        <w:t>招  标  编  号</w:t>
      </w:r>
      <w:r>
        <w:rPr>
          <w:rFonts w:hint="eastAsia" w:ascii="宋体" w:hAnsi="宋体"/>
          <w:color w:val="000000"/>
          <w:szCs w:val="21"/>
          <w:u w:val="single"/>
        </w:rPr>
        <w:t xml:space="preserve">             </w:t>
      </w:r>
    </w:p>
    <w:p w14:paraId="10315B53">
      <w:pPr>
        <w:snapToGrid w:val="0"/>
        <w:spacing w:line="360" w:lineRule="auto"/>
        <w:rPr>
          <w:rFonts w:ascii="宋体" w:hAnsi="宋体"/>
          <w:color w:val="000000"/>
          <w:szCs w:val="21"/>
          <w:u w:val="single"/>
        </w:rPr>
      </w:pPr>
      <w:r>
        <w:rPr>
          <w:rFonts w:hint="eastAsia" w:ascii="宋体" w:hAnsi="宋体"/>
          <w:color w:val="000000"/>
          <w:szCs w:val="21"/>
        </w:rPr>
        <w:t xml:space="preserve">签  订  地  点  </w:t>
      </w:r>
      <w:r>
        <w:rPr>
          <w:rFonts w:hint="eastAsia" w:ascii="宋体" w:hAnsi="宋体"/>
          <w:color w:val="000000"/>
          <w:szCs w:val="21"/>
          <w:u w:val="single"/>
        </w:rPr>
        <w:t xml:space="preserve">                          </w:t>
      </w:r>
      <w:r>
        <w:rPr>
          <w:rFonts w:hint="eastAsia" w:ascii="宋体" w:hAnsi="宋体"/>
          <w:color w:val="000000"/>
          <w:szCs w:val="21"/>
        </w:rPr>
        <w:t xml:space="preserve">  签 订 时 间</w:t>
      </w:r>
      <w:r>
        <w:rPr>
          <w:rFonts w:hint="eastAsia" w:ascii="宋体" w:hAnsi="宋体"/>
          <w:color w:val="000000"/>
          <w:szCs w:val="21"/>
          <w:u w:val="single"/>
        </w:rPr>
        <w:t xml:space="preserve">             </w:t>
      </w:r>
    </w:p>
    <w:p w14:paraId="6E765B51">
      <w:pPr>
        <w:spacing w:line="360" w:lineRule="auto"/>
        <w:rPr>
          <w:rFonts w:ascii="宋体" w:hAnsi="宋体" w:cs="宋体"/>
          <w:color w:val="000000"/>
          <w:szCs w:val="21"/>
        </w:rPr>
      </w:pPr>
      <w:r>
        <w:rPr>
          <w:rFonts w:hint="eastAsia" w:ascii="宋体" w:hAnsi="宋体" w:cs="宋体"/>
          <w:color w:val="000000"/>
          <w:szCs w:val="21"/>
        </w:rPr>
        <w:t>本合同为中小企业预留合同：</w:t>
      </w:r>
      <w:r>
        <w:rPr>
          <w:rFonts w:hint="eastAsia" w:ascii="宋体" w:hAnsi="宋体" w:cs="宋体"/>
          <w:color w:val="000000"/>
          <w:szCs w:val="21"/>
          <w:u w:val="single"/>
        </w:rPr>
        <w:t>（是/否）</w:t>
      </w:r>
      <w:r>
        <w:rPr>
          <w:rFonts w:hint="eastAsia" w:ascii="宋体" w:hAnsi="宋体" w:cs="宋体"/>
          <w:color w:val="000000"/>
          <w:szCs w:val="21"/>
        </w:rPr>
        <w:t>。</w:t>
      </w:r>
    </w:p>
    <w:p w14:paraId="094DC9F4">
      <w:pPr>
        <w:snapToGrid w:val="0"/>
        <w:spacing w:line="360" w:lineRule="auto"/>
        <w:ind w:firstLine="420" w:firstLineChars="200"/>
        <w:rPr>
          <w:rFonts w:ascii="宋体" w:hAnsi="宋体"/>
          <w:color w:val="000000"/>
          <w:szCs w:val="21"/>
        </w:rPr>
      </w:pPr>
      <w:r>
        <w:rPr>
          <w:rFonts w:hint="eastAsia" w:ascii="宋体" w:hAnsi="宋体"/>
          <w:color w:val="000000"/>
          <w:szCs w:val="21"/>
        </w:rPr>
        <w:t>根据《中华人民共和国政府采购法》、《中华人民共和国民法典》等法律、法规规定，按照招标文件（采购文件）规定条款和中标（成交）供应商承诺，甲乙双方签订本合同。</w:t>
      </w:r>
    </w:p>
    <w:p w14:paraId="7EAE4908">
      <w:pPr>
        <w:snapToGrid w:val="0"/>
        <w:spacing w:line="360" w:lineRule="auto"/>
        <w:ind w:firstLine="422" w:firstLineChars="200"/>
        <w:rPr>
          <w:rFonts w:ascii="宋体" w:hAnsi="宋体"/>
          <w:b/>
          <w:color w:val="000000"/>
          <w:szCs w:val="21"/>
        </w:rPr>
      </w:pPr>
      <w:r>
        <w:rPr>
          <w:rFonts w:hint="eastAsia" w:ascii="宋体" w:hAnsi="宋体"/>
          <w:b/>
          <w:color w:val="000000"/>
          <w:szCs w:val="21"/>
        </w:rPr>
        <w:t>第一条　合同标的</w:t>
      </w:r>
    </w:p>
    <w:p w14:paraId="58897227">
      <w:pPr>
        <w:snapToGrid w:val="0"/>
        <w:spacing w:line="360" w:lineRule="auto"/>
        <w:ind w:firstLine="420" w:firstLineChars="200"/>
        <w:rPr>
          <w:rFonts w:ascii="宋体" w:hAnsi="宋体"/>
          <w:color w:val="000000"/>
          <w:szCs w:val="21"/>
        </w:rPr>
      </w:pPr>
      <w:r>
        <w:rPr>
          <w:rFonts w:hint="eastAsia" w:ascii="宋体" w:hAnsi="宋体"/>
          <w:color w:val="000000"/>
          <w:szCs w:val="21"/>
        </w:rPr>
        <w:t>1.供货一览表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33"/>
        <w:gridCol w:w="1059"/>
        <w:gridCol w:w="1233"/>
        <w:gridCol w:w="1210"/>
        <w:gridCol w:w="908"/>
        <w:gridCol w:w="668"/>
        <w:gridCol w:w="947"/>
        <w:gridCol w:w="1189"/>
      </w:tblGrid>
      <w:tr w14:paraId="79E55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709" w:type="dxa"/>
            <w:vAlign w:val="center"/>
          </w:tcPr>
          <w:p w14:paraId="70FBAFB2">
            <w:pPr>
              <w:snapToGrid w:val="0"/>
              <w:spacing w:line="360" w:lineRule="auto"/>
              <w:jc w:val="center"/>
              <w:rPr>
                <w:rFonts w:ascii="宋体" w:hAnsi="宋体"/>
                <w:color w:val="000000"/>
                <w:szCs w:val="21"/>
              </w:rPr>
            </w:pPr>
            <w:r>
              <w:rPr>
                <w:rFonts w:hint="eastAsia" w:ascii="宋体" w:hAnsi="宋体"/>
                <w:color w:val="000000"/>
                <w:szCs w:val="21"/>
              </w:rPr>
              <w:t>序号</w:t>
            </w:r>
          </w:p>
        </w:tc>
        <w:tc>
          <w:tcPr>
            <w:tcW w:w="1233" w:type="dxa"/>
            <w:vAlign w:val="center"/>
          </w:tcPr>
          <w:p w14:paraId="3195FE99">
            <w:pPr>
              <w:snapToGrid w:val="0"/>
              <w:spacing w:line="360" w:lineRule="auto"/>
              <w:jc w:val="center"/>
              <w:rPr>
                <w:rFonts w:ascii="宋体" w:hAnsi="宋体"/>
                <w:color w:val="000000"/>
                <w:szCs w:val="21"/>
              </w:rPr>
            </w:pPr>
            <w:r>
              <w:rPr>
                <w:rFonts w:hint="eastAsia" w:ascii="宋体" w:hAnsi="宋体"/>
                <w:color w:val="000000"/>
                <w:szCs w:val="21"/>
              </w:rPr>
              <w:t>产品名称</w:t>
            </w:r>
          </w:p>
        </w:tc>
        <w:tc>
          <w:tcPr>
            <w:tcW w:w="1059" w:type="dxa"/>
            <w:vAlign w:val="center"/>
          </w:tcPr>
          <w:p w14:paraId="570DAF7E">
            <w:pPr>
              <w:snapToGrid w:val="0"/>
              <w:spacing w:line="360" w:lineRule="auto"/>
              <w:jc w:val="center"/>
              <w:rPr>
                <w:rFonts w:ascii="宋体" w:hAnsi="宋体"/>
                <w:color w:val="000000"/>
                <w:szCs w:val="21"/>
              </w:rPr>
            </w:pPr>
            <w:r>
              <w:rPr>
                <w:rFonts w:hint="eastAsia" w:ascii="宋体" w:hAnsi="宋体"/>
                <w:color w:val="000000"/>
                <w:szCs w:val="21"/>
              </w:rPr>
              <w:t>商标品牌</w:t>
            </w:r>
          </w:p>
        </w:tc>
        <w:tc>
          <w:tcPr>
            <w:tcW w:w="1233" w:type="dxa"/>
            <w:vAlign w:val="center"/>
          </w:tcPr>
          <w:p w14:paraId="2FE14C90">
            <w:pPr>
              <w:snapToGrid w:val="0"/>
              <w:spacing w:line="360" w:lineRule="auto"/>
              <w:jc w:val="center"/>
              <w:rPr>
                <w:rFonts w:ascii="宋体" w:hAnsi="宋体"/>
                <w:color w:val="000000"/>
                <w:szCs w:val="21"/>
              </w:rPr>
            </w:pPr>
            <w:r>
              <w:rPr>
                <w:rFonts w:hint="eastAsia" w:ascii="宋体" w:hAnsi="宋体"/>
                <w:color w:val="000000"/>
                <w:szCs w:val="21"/>
              </w:rPr>
              <w:t>规格型号</w:t>
            </w:r>
          </w:p>
        </w:tc>
        <w:tc>
          <w:tcPr>
            <w:tcW w:w="1210" w:type="dxa"/>
            <w:vAlign w:val="center"/>
          </w:tcPr>
          <w:p w14:paraId="34872062">
            <w:pPr>
              <w:snapToGrid w:val="0"/>
              <w:spacing w:line="360" w:lineRule="auto"/>
              <w:jc w:val="center"/>
              <w:rPr>
                <w:rFonts w:ascii="宋体" w:hAnsi="宋体"/>
                <w:color w:val="000000"/>
                <w:szCs w:val="21"/>
              </w:rPr>
            </w:pPr>
            <w:r>
              <w:rPr>
                <w:rFonts w:hint="eastAsia" w:ascii="宋体" w:hAnsi="宋体"/>
                <w:color w:val="000000"/>
                <w:szCs w:val="21"/>
              </w:rPr>
              <w:t>生产厂家</w:t>
            </w:r>
          </w:p>
        </w:tc>
        <w:tc>
          <w:tcPr>
            <w:tcW w:w="908" w:type="dxa"/>
            <w:vAlign w:val="center"/>
          </w:tcPr>
          <w:p w14:paraId="268033C5">
            <w:pPr>
              <w:snapToGrid w:val="0"/>
              <w:spacing w:line="360" w:lineRule="auto"/>
              <w:jc w:val="center"/>
              <w:rPr>
                <w:rFonts w:ascii="宋体" w:hAnsi="宋体"/>
                <w:color w:val="000000"/>
                <w:szCs w:val="21"/>
              </w:rPr>
            </w:pPr>
            <w:r>
              <w:rPr>
                <w:rFonts w:hint="eastAsia" w:ascii="宋体" w:hAnsi="宋体"/>
                <w:color w:val="000000"/>
                <w:szCs w:val="21"/>
              </w:rPr>
              <w:t>数  量</w:t>
            </w:r>
          </w:p>
        </w:tc>
        <w:tc>
          <w:tcPr>
            <w:tcW w:w="668" w:type="dxa"/>
            <w:vAlign w:val="center"/>
          </w:tcPr>
          <w:p w14:paraId="7F133808">
            <w:pPr>
              <w:snapToGrid w:val="0"/>
              <w:spacing w:line="360" w:lineRule="auto"/>
              <w:jc w:val="center"/>
              <w:rPr>
                <w:rFonts w:ascii="宋体" w:hAnsi="宋体"/>
                <w:color w:val="000000"/>
                <w:szCs w:val="21"/>
              </w:rPr>
            </w:pPr>
            <w:r>
              <w:rPr>
                <w:rFonts w:hint="eastAsia" w:ascii="宋体" w:hAnsi="宋体"/>
                <w:color w:val="000000"/>
                <w:szCs w:val="21"/>
              </w:rPr>
              <w:t>单位</w:t>
            </w:r>
          </w:p>
        </w:tc>
        <w:tc>
          <w:tcPr>
            <w:tcW w:w="947" w:type="dxa"/>
            <w:vAlign w:val="center"/>
          </w:tcPr>
          <w:p w14:paraId="33954A6E">
            <w:pPr>
              <w:snapToGrid w:val="0"/>
              <w:spacing w:line="360" w:lineRule="auto"/>
              <w:jc w:val="center"/>
              <w:rPr>
                <w:rFonts w:ascii="宋体" w:hAnsi="宋体"/>
                <w:color w:val="000000"/>
                <w:szCs w:val="21"/>
              </w:rPr>
            </w:pPr>
            <w:r>
              <w:rPr>
                <w:rFonts w:hint="eastAsia" w:ascii="宋体" w:hAnsi="宋体"/>
                <w:color w:val="000000"/>
                <w:szCs w:val="21"/>
              </w:rPr>
              <w:t>单  价</w:t>
            </w:r>
          </w:p>
          <w:p w14:paraId="421EC427">
            <w:pPr>
              <w:snapToGrid w:val="0"/>
              <w:spacing w:line="360" w:lineRule="auto"/>
              <w:jc w:val="center"/>
              <w:rPr>
                <w:rFonts w:ascii="宋体" w:hAnsi="宋体"/>
                <w:color w:val="000000"/>
                <w:szCs w:val="21"/>
              </w:rPr>
            </w:pPr>
            <w:r>
              <w:rPr>
                <w:rFonts w:hint="eastAsia" w:ascii="宋体" w:hAnsi="宋体"/>
                <w:color w:val="000000"/>
                <w:szCs w:val="21"/>
              </w:rPr>
              <w:t>（元）</w:t>
            </w:r>
          </w:p>
        </w:tc>
        <w:tc>
          <w:tcPr>
            <w:tcW w:w="1189" w:type="dxa"/>
            <w:vAlign w:val="center"/>
          </w:tcPr>
          <w:p w14:paraId="16648B45">
            <w:pPr>
              <w:snapToGrid w:val="0"/>
              <w:spacing w:line="360" w:lineRule="auto"/>
              <w:jc w:val="center"/>
              <w:rPr>
                <w:rFonts w:ascii="宋体" w:hAnsi="宋体"/>
                <w:color w:val="000000"/>
                <w:szCs w:val="21"/>
              </w:rPr>
            </w:pPr>
            <w:r>
              <w:rPr>
                <w:rFonts w:hint="eastAsia" w:ascii="宋体" w:hAnsi="宋体"/>
                <w:color w:val="000000"/>
                <w:szCs w:val="21"/>
              </w:rPr>
              <w:t>金  额</w:t>
            </w:r>
          </w:p>
          <w:p w14:paraId="586ADFA9">
            <w:pPr>
              <w:snapToGrid w:val="0"/>
              <w:spacing w:line="360" w:lineRule="auto"/>
              <w:jc w:val="center"/>
              <w:rPr>
                <w:rFonts w:ascii="宋体" w:hAnsi="宋体"/>
                <w:color w:val="000000"/>
                <w:szCs w:val="21"/>
              </w:rPr>
            </w:pPr>
            <w:r>
              <w:rPr>
                <w:rFonts w:hint="eastAsia" w:ascii="宋体" w:hAnsi="宋体"/>
                <w:color w:val="000000"/>
                <w:szCs w:val="21"/>
              </w:rPr>
              <w:t>（元）</w:t>
            </w:r>
          </w:p>
        </w:tc>
      </w:tr>
      <w:tr w14:paraId="0484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09" w:type="dxa"/>
            <w:vAlign w:val="center"/>
          </w:tcPr>
          <w:p w14:paraId="2EC58CA6">
            <w:pPr>
              <w:snapToGrid w:val="0"/>
              <w:spacing w:line="360" w:lineRule="auto"/>
              <w:jc w:val="center"/>
              <w:rPr>
                <w:rFonts w:ascii="宋体" w:hAnsi="宋体"/>
                <w:color w:val="000000"/>
                <w:szCs w:val="21"/>
              </w:rPr>
            </w:pPr>
            <w:r>
              <w:rPr>
                <w:rFonts w:hint="eastAsia" w:ascii="宋体" w:hAnsi="宋体"/>
                <w:color w:val="000000"/>
                <w:szCs w:val="21"/>
              </w:rPr>
              <w:t>1</w:t>
            </w:r>
          </w:p>
        </w:tc>
        <w:tc>
          <w:tcPr>
            <w:tcW w:w="1233" w:type="dxa"/>
            <w:vAlign w:val="center"/>
          </w:tcPr>
          <w:p w14:paraId="67FE15D3">
            <w:pPr>
              <w:snapToGrid w:val="0"/>
              <w:spacing w:line="360" w:lineRule="auto"/>
              <w:jc w:val="center"/>
              <w:rPr>
                <w:rFonts w:ascii="宋体" w:hAnsi="宋体"/>
                <w:color w:val="000000"/>
                <w:szCs w:val="21"/>
              </w:rPr>
            </w:pPr>
          </w:p>
        </w:tc>
        <w:tc>
          <w:tcPr>
            <w:tcW w:w="1059" w:type="dxa"/>
            <w:vAlign w:val="center"/>
          </w:tcPr>
          <w:p w14:paraId="04688BBD">
            <w:pPr>
              <w:snapToGrid w:val="0"/>
              <w:spacing w:line="360" w:lineRule="auto"/>
              <w:jc w:val="center"/>
              <w:rPr>
                <w:rFonts w:ascii="宋体" w:hAnsi="宋体"/>
                <w:color w:val="000000"/>
                <w:szCs w:val="21"/>
              </w:rPr>
            </w:pPr>
          </w:p>
        </w:tc>
        <w:tc>
          <w:tcPr>
            <w:tcW w:w="1233" w:type="dxa"/>
            <w:vAlign w:val="center"/>
          </w:tcPr>
          <w:p w14:paraId="0407F069">
            <w:pPr>
              <w:snapToGrid w:val="0"/>
              <w:spacing w:line="360" w:lineRule="auto"/>
              <w:jc w:val="center"/>
              <w:rPr>
                <w:rFonts w:ascii="宋体" w:hAnsi="宋体"/>
                <w:color w:val="000000"/>
                <w:szCs w:val="21"/>
              </w:rPr>
            </w:pPr>
          </w:p>
        </w:tc>
        <w:tc>
          <w:tcPr>
            <w:tcW w:w="1210" w:type="dxa"/>
          </w:tcPr>
          <w:p w14:paraId="4132E9E9">
            <w:pPr>
              <w:snapToGrid w:val="0"/>
              <w:spacing w:line="360" w:lineRule="auto"/>
              <w:jc w:val="center"/>
              <w:rPr>
                <w:rFonts w:ascii="宋体" w:hAnsi="宋体"/>
                <w:color w:val="000000"/>
                <w:szCs w:val="21"/>
              </w:rPr>
            </w:pPr>
          </w:p>
        </w:tc>
        <w:tc>
          <w:tcPr>
            <w:tcW w:w="908" w:type="dxa"/>
          </w:tcPr>
          <w:p w14:paraId="651E008A">
            <w:pPr>
              <w:snapToGrid w:val="0"/>
              <w:spacing w:line="360" w:lineRule="auto"/>
              <w:jc w:val="center"/>
              <w:rPr>
                <w:rFonts w:ascii="宋体" w:hAnsi="宋体"/>
                <w:color w:val="000000"/>
                <w:szCs w:val="21"/>
              </w:rPr>
            </w:pPr>
          </w:p>
        </w:tc>
        <w:tc>
          <w:tcPr>
            <w:tcW w:w="668" w:type="dxa"/>
          </w:tcPr>
          <w:p w14:paraId="3EE243D2">
            <w:pPr>
              <w:snapToGrid w:val="0"/>
              <w:spacing w:line="360" w:lineRule="auto"/>
              <w:jc w:val="center"/>
              <w:rPr>
                <w:rFonts w:ascii="宋体" w:hAnsi="宋体"/>
                <w:color w:val="000000"/>
                <w:szCs w:val="21"/>
              </w:rPr>
            </w:pPr>
          </w:p>
        </w:tc>
        <w:tc>
          <w:tcPr>
            <w:tcW w:w="947" w:type="dxa"/>
            <w:vAlign w:val="center"/>
          </w:tcPr>
          <w:p w14:paraId="326DB0F9">
            <w:pPr>
              <w:snapToGrid w:val="0"/>
              <w:spacing w:line="360" w:lineRule="auto"/>
              <w:jc w:val="center"/>
              <w:rPr>
                <w:rFonts w:ascii="宋体" w:hAnsi="宋体"/>
                <w:color w:val="000000"/>
                <w:szCs w:val="21"/>
              </w:rPr>
            </w:pPr>
          </w:p>
        </w:tc>
        <w:tc>
          <w:tcPr>
            <w:tcW w:w="1189" w:type="dxa"/>
            <w:vAlign w:val="center"/>
          </w:tcPr>
          <w:p w14:paraId="5800967E">
            <w:pPr>
              <w:snapToGrid w:val="0"/>
              <w:spacing w:line="360" w:lineRule="auto"/>
              <w:jc w:val="center"/>
              <w:rPr>
                <w:rFonts w:ascii="宋体" w:hAnsi="宋体"/>
                <w:color w:val="000000"/>
                <w:szCs w:val="21"/>
              </w:rPr>
            </w:pPr>
          </w:p>
        </w:tc>
      </w:tr>
      <w:tr w14:paraId="2EC2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09" w:type="dxa"/>
            <w:vAlign w:val="center"/>
          </w:tcPr>
          <w:p w14:paraId="7C1F7759">
            <w:pPr>
              <w:snapToGrid w:val="0"/>
              <w:spacing w:line="360" w:lineRule="auto"/>
              <w:jc w:val="center"/>
              <w:rPr>
                <w:rFonts w:ascii="宋体" w:hAnsi="宋体"/>
                <w:color w:val="000000"/>
                <w:szCs w:val="21"/>
              </w:rPr>
            </w:pPr>
            <w:r>
              <w:rPr>
                <w:rFonts w:hint="eastAsia" w:ascii="宋体" w:hAnsi="宋体"/>
                <w:color w:val="000000"/>
                <w:szCs w:val="21"/>
              </w:rPr>
              <w:t>2</w:t>
            </w:r>
          </w:p>
        </w:tc>
        <w:tc>
          <w:tcPr>
            <w:tcW w:w="1233" w:type="dxa"/>
            <w:vAlign w:val="center"/>
          </w:tcPr>
          <w:p w14:paraId="20BB5268">
            <w:pPr>
              <w:snapToGrid w:val="0"/>
              <w:spacing w:line="360" w:lineRule="auto"/>
              <w:jc w:val="center"/>
              <w:rPr>
                <w:rFonts w:ascii="宋体" w:hAnsi="宋体"/>
                <w:color w:val="000000"/>
                <w:szCs w:val="21"/>
              </w:rPr>
            </w:pPr>
          </w:p>
        </w:tc>
        <w:tc>
          <w:tcPr>
            <w:tcW w:w="1059" w:type="dxa"/>
            <w:vAlign w:val="center"/>
          </w:tcPr>
          <w:p w14:paraId="3C5E4027">
            <w:pPr>
              <w:snapToGrid w:val="0"/>
              <w:spacing w:line="360" w:lineRule="auto"/>
              <w:jc w:val="center"/>
              <w:rPr>
                <w:rFonts w:ascii="宋体" w:hAnsi="宋体"/>
                <w:color w:val="000000"/>
                <w:szCs w:val="21"/>
              </w:rPr>
            </w:pPr>
          </w:p>
        </w:tc>
        <w:tc>
          <w:tcPr>
            <w:tcW w:w="1233" w:type="dxa"/>
            <w:vAlign w:val="center"/>
          </w:tcPr>
          <w:p w14:paraId="0695FC5B">
            <w:pPr>
              <w:snapToGrid w:val="0"/>
              <w:spacing w:line="360" w:lineRule="auto"/>
              <w:jc w:val="center"/>
              <w:rPr>
                <w:rFonts w:ascii="宋体" w:hAnsi="宋体"/>
                <w:color w:val="000000"/>
                <w:szCs w:val="21"/>
              </w:rPr>
            </w:pPr>
          </w:p>
        </w:tc>
        <w:tc>
          <w:tcPr>
            <w:tcW w:w="1210" w:type="dxa"/>
          </w:tcPr>
          <w:p w14:paraId="16767A67">
            <w:pPr>
              <w:snapToGrid w:val="0"/>
              <w:spacing w:line="360" w:lineRule="auto"/>
              <w:jc w:val="center"/>
              <w:rPr>
                <w:rFonts w:ascii="宋体" w:hAnsi="宋体"/>
                <w:color w:val="000000"/>
                <w:szCs w:val="21"/>
              </w:rPr>
            </w:pPr>
          </w:p>
        </w:tc>
        <w:tc>
          <w:tcPr>
            <w:tcW w:w="908" w:type="dxa"/>
          </w:tcPr>
          <w:p w14:paraId="737B8C3A">
            <w:pPr>
              <w:snapToGrid w:val="0"/>
              <w:spacing w:line="360" w:lineRule="auto"/>
              <w:jc w:val="center"/>
              <w:rPr>
                <w:rFonts w:ascii="宋体" w:hAnsi="宋体"/>
                <w:color w:val="000000"/>
                <w:szCs w:val="21"/>
              </w:rPr>
            </w:pPr>
          </w:p>
        </w:tc>
        <w:tc>
          <w:tcPr>
            <w:tcW w:w="668" w:type="dxa"/>
          </w:tcPr>
          <w:p w14:paraId="0F80A85D">
            <w:pPr>
              <w:snapToGrid w:val="0"/>
              <w:spacing w:line="360" w:lineRule="auto"/>
              <w:jc w:val="center"/>
              <w:rPr>
                <w:rFonts w:ascii="宋体" w:hAnsi="宋体"/>
                <w:color w:val="000000"/>
                <w:szCs w:val="21"/>
              </w:rPr>
            </w:pPr>
          </w:p>
        </w:tc>
        <w:tc>
          <w:tcPr>
            <w:tcW w:w="947" w:type="dxa"/>
            <w:vAlign w:val="center"/>
          </w:tcPr>
          <w:p w14:paraId="6A1BE060">
            <w:pPr>
              <w:snapToGrid w:val="0"/>
              <w:spacing w:line="360" w:lineRule="auto"/>
              <w:jc w:val="center"/>
              <w:rPr>
                <w:rFonts w:ascii="宋体" w:hAnsi="宋体"/>
                <w:color w:val="000000"/>
                <w:szCs w:val="21"/>
              </w:rPr>
            </w:pPr>
          </w:p>
        </w:tc>
        <w:tc>
          <w:tcPr>
            <w:tcW w:w="1189" w:type="dxa"/>
            <w:vAlign w:val="center"/>
          </w:tcPr>
          <w:p w14:paraId="28DB9059">
            <w:pPr>
              <w:snapToGrid w:val="0"/>
              <w:spacing w:line="360" w:lineRule="auto"/>
              <w:jc w:val="center"/>
              <w:rPr>
                <w:rFonts w:ascii="宋体" w:hAnsi="宋体"/>
                <w:color w:val="000000"/>
                <w:szCs w:val="21"/>
              </w:rPr>
            </w:pPr>
          </w:p>
        </w:tc>
      </w:tr>
      <w:tr w14:paraId="2DCF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09" w:type="dxa"/>
            <w:vAlign w:val="center"/>
          </w:tcPr>
          <w:p w14:paraId="6560D074">
            <w:pPr>
              <w:snapToGrid w:val="0"/>
              <w:spacing w:line="360" w:lineRule="auto"/>
              <w:jc w:val="center"/>
              <w:rPr>
                <w:rFonts w:ascii="宋体" w:hAnsi="宋体"/>
                <w:color w:val="000000"/>
                <w:szCs w:val="21"/>
              </w:rPr>
            </w:pPr>
            <w:r>
              <w:rPr>
                <w:rFonts w:hint="eastAsia" w:ascii="宋体" w:hAnsi="宋体"/>
                <w:color w:val="000000"/>
                <w:szCs w:val="21"/>
              </w:rPr>
              <w:t>3</w:t>
            </w:r>
          </w:p>
        </w:tc>
        <w:tc>
          <w:tcPr>
            <w:tcW w:w="1233" w:type="dxa"/>
            <w:vAlign w:val="center"/>
          </w:tcPr>
          <w:p w14:paraId="30035D61">
            <w:pPr>
              <w:snapToGrid w:val="0"/>
              <w:spacing w:line="360" w:lineRule="auto"/>
              <w:jc w:val="center"/>
              <w:rPr>
                <w:rFonts w:ascii="宋体" w:hAnsi="宋体"/>
                <w:color w:val="000000"/>
                <w:szCs w:val="21"/>
              </w:rPr>
            </w:pPr>
          </w:p>
        </w:tc>
        <w:tc>
          <w:tcPr>
            <w:tcW w:w="1059" w:type="dxa"/>
            <w:vAlign w:val="center"/>
          </w:tcPr>
          <w:p w14:paraId="79B582A2">
            <w:pPr>
              <w:snapToGrid w:val="0"/>
              <w:spacing w:line="360" w:lineRule="auto"/>
              <w:jc w:val="center"/>
              <w:rPr>
                <w:rFonts w:ascii="宋体" w:hAnsi="宋体"/>
                <w:color w:val="000000"/>
                <w:szCs w:val="21"/>
              </w:rPr>
            </w:pPr>
          </w:p>
        </w:tc>
        <w:tc>
          <w:tcPr>
            <w:tcW w:w="1233" w:type="dxa"/>
            <w:vAlign w:val="center"/>
          </w:tcPr>
          <w:p w14:paraId="712D6066">
            <w:pPr>
              <w:snapToGrid w:val="0"/>
              <w:spacing w:line="360" w:lineRule="auto"/>
              <w:jc w:val="center"/>
              <w:rPr>
                <w:rFonts w:ascii="宋体" w:hAnsi="宋体"/>
                <w:color w:val="000000"/>
                <w:szCs w:val="21"/>
              </w:rPr>
            </w:pPr>
          </w:p>
        </w:tc>
        <w:tc>
          <w:tcPr>
            <w:tcW w:w="1210" w:type="dxa"/>
          </w:tcPr>
          <w:p w14:paraId="23F4D5C4">
            <w:pPr>
              <w:snapToGrid w:val="0"/>
              <w:spacing w:line="360" w:lineRule="auto"/>
              <w:jc w:val="center"/>
              <w:rPr>
                <w:rFonts w:ascii="宋体" w:hAnsi="宋体"/>
                <w:color w:val="000000"/>
                <w:szCs w:val="21"/>
              </w:rPr>
            </w:pPr>
          </w:p>
        </w:tc>
        <w:tc>
          <w:tcPr>
            <w:tcW w:w="908" w:type="dxa"/>
          </w:tcPr>
          <w:p w14:paraId="3D89952D">
            <w:pPr>
              <w:snapToGrid w:val="0"/>
              <w:spacing w:line="360" w:lineRule="auto"/>
              <w:jc w:val="center"/>
              <w:rPr>
                <w:rFonts w:ascii="宋体" w:hAnsi="宋体"/>
                <w:color w:val="000000"/>
                <w:szCs w:val="21"/>
              </w:rPr>
            </w:pPr>
          </w:p>
        </w:tc>
        <w:tc>
          <w:tcPr>
            <w:tcW w:w="668" w:type="dxa"/>
          </w:tcPr>
          <w:p w14:paraId="728A1B82">
            <w:pPr>
              <w:snapToGrid w:val="0"/>
              <w:spacing w:line="360" w:lineRule="auto"/>
              <w:jc w:val="center"/>
              <w:rPr>
                <w:rFonts w:ascii="宋体" w:hAnsi="宋体"/>
                <w:color w:val="000000"/>
                <w:szCs w:val="21"/>
              </w:rPr>
            </w:pPr>
          </w:p>
        </w:tc>
        <w:tc>
          <w:tcPr>
            <w:tcW w:w="947" w:type="dxa"/>
            <w:vAlign w:val="center"/>
          </w:tcPr>
          <w:p w14:paraId="1689F825">
            <w:pPr>
              <w:snapToGrid w:val="0"/>
              <w:spacing w:line="360" w:lineRule="auto"/>
              <w:jc w:val="center"/>
              <w:rPr>
                <w:rFonts w:ascii="宋体" w:hAnsi="宋体"/>
                <w:color w:val="000000"/>
                <w:szCs w:val="21"/>
              </w:rPr>
            </w:pPr>
          </w:p>
        </w:tc>
        <w:tc>
          <w:tcPr>
            <w:tcW w:w="1189" w:type="dxa"/>
            <w:vAlign w:val="center"/>
          </w:tcPr>
          <w:p w14:paraId="4C6773E4">
            <w:pPr>
              <w:snapToGrid w:val="0"/>
              <w:spacing w:line="360" w:lineRule="auto"/>
              <w:jc w:val="center"/>
              <w:rPr>
                <w:rFonts w:ascii="宋体" w:hAnsi="宋体"/>
                <w:color w:val="000000"/>
                <w:szCs w:val="21"/>
              </w:rPr>
            </w:pPr>
          </w:p>
        </w:tc>
      </w:tr>
      <w:tr w14:paraId="208D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9156" w:type="dxa"/>
            <w:gridSpan w:val="9"/>
            <w:vAlign w:val="center"/>
          </w:tcPr>
          <w:p w14:paraId="01001BDF">
            <w:pPr>
              <w:snapToGrid w:val="0"/>
              <w:spacing w:line="360" w:lineRule="auto"/>
              <w:rPr>
                <w:rFonts w:ascii="宋体" w:hAnsi="宋体"/>
                <w:color w:val="000000"/>
                <w:szCs w:val="21"/>
              </w:rPr>
            </w:pPr>
            <w:r>
              <w:rPr>
                <w:rFonts w:hint="eastAsia" w:ascii="宋体" w:hAnsi="宋体"/>
                <w:color w:val="000000"/>
                <w:szCs w:val="21"/>
              </w:rPr>
              <w:t xml:space="preserve">人民币合计金额（大写）                          （小写）                 </w:t>
            </w:r>
          </w:p>
        </w:tc>
      </w:tr>
    </w:tbl>
    <w:p w14:paraId="60796006">
      <w:pPr>
        <w:snapToGrid w:val="0"/>
        <w:spacing w:line="360" w:lineRule="auto"/>
        <w:ind w:right="420" w:firstLine="420" w:firstLineChars="200"/>
        <w:rPr>
          <w:rFonts w:ascii="宋体" w:hAnsi="宋体"/>
          <w:color w:val="000000"/>
          <w:szCs w:val="21"/>
        </w:rPr>
      </w:pPr>
      <w:r>
        <w:rPr>
          <w:rFonts w:hint="eastAsia" w:ascii="宋体" w:hAnsi="宋体"/>
          <w:color w:val="000000"/>
          <w:szCs w:val="21"/>
        </w:rPr>
        <w:t>2.合同合计金额包括货物价款，备件、专用工具、安装、调试、检验、技术培训及技术资料和包装、运输等全部费用。</w:t>
      </w:r>
    </w:p>
    <w:p w14:paraId="72CACD19">
      <w:pPr>
        <w:snapToGrid w:val="0"/>
        <w:spacing w:line="360" w:lineRule="auto"/>
        <w:ind w:firstLine="422" w:firstLineChars="200"/>
        <w:rPr>
          <w:rFonts w:ascii="宋体" w:hAnsi="宋体"/>
          <w:color w:val="000000"/>
          <w:szCs w:val="21"/>
        </w:rPr>
      </w:pPr>
      <w:r>
        <w:rPr>
          <w:rFonts w:hint="eastAsia" w:ascii="宋体" w:hAnsi="宋体"/>
          <w:b/>
          <w:color w:val="000000"/>
          <w:szCs w:val="21"/>
        </w:rPr>
        <w:t>第二条　质量要求</w:t>
      </w:r>
    </w:p>
    <w:p w14:paraId="127CEE9D">
      <w:pPr>
        <w:snapToGrid w:val="0"/>
        <w:spacing w:line="360" w:lineRule="auto"/>
        <w:ind w:firstLine="420" w:firstLineChars="200"/>
        <w:rPr>
          <w:rFonts w:ascii="宋体" w:hAnsi="宋体"/>
          <w:color w:val="000000"/>
          <w:szCs w:val="21"/>
        </w:rPr>
      </w:pPr>
      <w:r>
        <w:rPr>
          <w:rFonts w:hint="eastAsia" w:ascii="宋体" w:hAnsi="宋体"/>
          <w:color w:val="000000"/>
          <w:szCs w:val="21"/>
        </w:rPr>
        <w:t>1.乙方所提供的产品名称、商标品牌、生产厂家、规格型号、技术参数等质量必须与招标文件规定及投标文件承诺相一致。乙方提供的节能和环保产品必须是列入政府采购品目清单的产品。</w:t>
      </w:r>
    </w:p>
    <w:p w14:paraId="07BE0543">
      <w:pPr>
        <w:snapToGrid w:val="0"/>
        <w:spacing w:line="360" w:lineRule="auto"/>
        <w:ind w:firstLine="420" w:firstLineChars="200"/>
        <w:rPr>
          <w:rFonts w:ascii="宋体" w:hAnsi="宋体"/>
          <w:color w:val="000000"/>
          <w:szCs w:val="21"/>
          <w:u w:val="single"/>
        </w:rPr>
      </w:pPr>
      <w:r>
        <w:rPr>
          <w:rFonts w:hint="eastAsia" w:ascii="宋体" w:hAnsi="宋体"/>
          <w:color w:val="000000"/>
          <w:szCs w:val="21"/>
        </w:rPr>
        <w:t>2.乙方所提供的货物必须是全新、未使用的原装产品，且在正常安装、使用和保养条件下，其使用寿命期内各项指标均达到招标文件规定或者投标文件承诺的质量要求。</w:t>
      </w:r>
    </w:p>
    <w:p w14:paraId="28FDCFE8">
      <w:pPr>
        <w:snapToGrid w:val="0"/>
        <w:spacing w:line="360" w:lineRule="auto"/>
        <w:ind w:firstLine="422" w:firstLineChars="200"/>
        <w:rPr>
          <w:rFonts w:ascii="宋体" w:hAnsi="宋体"/>
          <w:color w:val="000000"/>
          <w:szCs w:val="21"/>
        </w:rPr>
      </w:pPr>
      <w:r>
        <w:rPr>
          <w:rFonts w:hint="eastAsia" w:ascii="宋体" w:hAnsi="宋体"/>
          <w:b/>
          <w:color w:val="000000"/>
          <w:szCs w:val="21"/>
        </w:rPr>
        <w:t>第三条　权利保证</w:t>
      </w:r>
    </w:p>
    <w:p w14:paraId="19ED775F">
      <w:pPr>
        <w:snapToGrid w:val="0"/>
        <w:spacing w:line="360" w:lineRule="auto"/>
        <w:ind w:firstLine="420" w:firstLineChars="200"/>
        <w:rPr>
          <w:rFonts w:ascii="宋体" w:hAnsi="宋体"/>
          <w:color w:val="000000"/>
          <w:szCs w:val="21"/>
        </w:rPr>
      </w:pPr>
      <w:r>
        <w:rPr>
          <w:rFonts w:hint="eastAsia" w:ascii="宋体" w:hAnsi="宋体"/>
          <w:color w:val="000000"/>
          <w:szCs w:val="21"/>
        </w:rPr>
        <w:t>1.乙方应保证所提供货物在使用时不会侵犯任何第三方的专利权、商标权、工业设计权或者其他权利。</w:t>
      </w:r>
    </w:p>
    <w:p w14:paraId="1ABA0037">
      <w:pPr>
        <w:snapToGrid w:val="0"/>
        <w:spacing w:line="360" w:lineRule="auto"/>
        <w:ind w:firstLine="420" w:firstLineChars="200"/>
        <w:rPr>
          <w:rFonts w:ascii="宋体" w:hAnsi="宋体"/>
          <w:color w:val="000000"/>
          <w:szCs w:val="21"/>
        </w:rPr>
      </w:pPr>
      <w:r>
        <w:rPr>
          <w:rFonts w:hint="eastAsia" w:ascii="宋体" w:hAnsi="宋体"/>
          <w:color w:val="000000"/>
          <w:szCs w:val="21"/>
        </w:rPr>
        <w:t>2.乙方应按招标文件规定或者投标文件承诺的时间向甲方提供使用货物的有关技术资料。</w:t>
      </w:r>
    </w:p>
    <w:p w14:paraId="51779813">
      <w:pPr>
        <w:snapToGrid w:val="0"/>
        <w:spacing w:line="360" w:lineRule="auto"/>
        <w:ind w:firstLine="420" w:firstLineChars="200"/>
        <w:rPr>
          <w:rFonts w:ascii="宋体" w:hAnsi="宋体"/>
          <w:color w:val="000000"/>
          <w:szCs w:val="21"/>
        </w:rPr>
      </w:pPr>
      <w:r>
        <w:rPr>
          <w:rFonts w:hint="eastAsia" w:ascii="宋体" w:hAnsi="宋体"/>
          <w:color w:val="000000"/>
          <w:szCs w:val="21"/>
        </w:rPr>
        <w:t>3.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w:t>
      </w:r>
    </w:p>
    <w:p w14:paraId="0BE9E702">
      <w:pPr>
        <w:snapToGrid w:val="0"/>
        <w:spacing w:line="360" w:lineRule="auto"/>
        <w:ind w:firstLine="420" w:firstLineChars="200"/>
        <w:rPr>
          <w:rFonts w:ascii="宋体" w:hAnsi="宋体"/>
          <w:color w:val="000000"/>
          <w:szCs w:val="21"/>
        </w:rPr>
      </w:pPr>
      <w:r>
        <w:rPr>
          <w:rFonts w:hint="eastAsia" w:ascii="宋体" w:hAnsi="宋体"/>
          <w:color w:val="000000"/>
          <w:szCs w:val="21"/>
        </w:rPr>
        <w:t>4.乙方保证将要交付的货物的所有权完全属于乙方且无任何抵押、质押、查封等产权瑕疵。</w:t>
      </w:r>
    </w:p>
    <w:p w14:paraId="5CF29D16">
      <w:pPr>
        <w:snapToGrid w:val="0"/>
        <w:spacing w:line="360" w:lineRule="auto"/>
        <w:ind w:firstLine="422" w:firstLineChars="200"/>
        <w:rPr>
          <w:rFonts w:ascii="宋体" w:hAnsi="宋体"/>
          <w:b/>
          <w:color w:val="000000"/>
          <w:szCs w:val="21"/>
        </w:rPr>
      </w:pPr>
      <w:r>
        <w:rPr>
          <w:rFonts w:hint="eastAsia" w:ascii="宋体" w:hAnsi="宋体"/>
          <w:b/>
          <w:color w:val="000000"/>
          <w:szCs w:val="21"/>
        </w:rPr>
        <w:t>第四条　包装和运输</w:t>
      </w:r>
    </w:p>
    <w:p w14:paraId="29E9F966">
      <w:pPr>
        <w:snapToGrid w:val="0"/>
        <w:spacing w:line="360" w:lineRule="auto"/>
        <w:ind w:firstLine="420" w:firstLineChars="200"/>
        <w:rPr>
          <w:rFonts w:ascii="宋体" w:hAnsi="宋体"/>
          <w:color w:val="000000"/>
          <w:szCs w:val="21"/>
        </w:rPr>
      </w:pPr>
      <w:r>
        <w:rPr>
          <w:rFonts w:hint="eastAsia" w:ascii="宋体" w:hAnsi="宋体"/>
          <w:color w:val="000000"/>
          <w:szCs w:val="21"/>
        </w:rPr>
        <w:t>1.乙方提供的货物均应按招标文件规定或者投标文件承诺的要求的包装材料、包装标准、包装方式进行包装，每一包装单元内应附详细的装箱单和质量合格证。</w:t>
      </w:r>
    </w:p>
    <w:p w14:paraId="6A7769AD">
      <w:pPr>
        <w:snapToGrid w:val="0"/>
        <w:spacing w:line="360" w:lineRule="auto"/>
        <w:ind w:firstLine="420" w:firstLineChars="200"/>
        <w:rPr>
          <w:rFonts w:ascii="宋体" w:hAnsi="宋体"/>
          <w:color w:val="000000"/>
          <w:szCs w:val="21"/>
        </w:rPr>
      </w:pPr>
      <w:r>
        <w:rPr>
          <w:rFonts w:hint="eastAsia" w:ascii="宋体" w:hAnsi="宋体"/>
          <w:color w:val="000000"/>
          <w:szCs w:val="21"/>
        </w:rPr>
        <w:t>2.货物的运输方式：</w:t>
      </w:r>
      <w:r>
        <w:rPr>
          <w:rFonts w:hint="eastAsia" w:ascii="宋体" w:hAnsi="宋体"/>
          <w:color w:val="000000"/>
          <w:szCs w:val="21"/>
          <w:u w:val="single"/>
        </w:rPr>
        <w:t xml:space="preserve">             。</w:t>
      </w:r>
    </w:p>
    <w:p w14:paraId="599FF828">
      <w:pPr>
        <w:snapToGrid w:val="0"/>
        <w:spacing w:line="360" w:lineRule="auto"/>
        <w:ind w:firstLine="420" w:firstLineChars="200"/>
        <w:rPr>
          <w:rFonts w:ascii="宋体" w:hAnsi="宋体"/>
          <w:color w:val="000000"/>
          <w:szCs w:val="21"/>
          <w:u w:val="single"/>
        </w:rPr>
      </w:pPr>
      <w:r>
        <w:rPr>
          <w:rFonts w:hint="eastAsia" w:ascii="宋体" w:hAnsi="宋体"/>
          <w:color w:val="000000"/>
          <w:szCs w:val="21"/>
        </w:rPr>
        <w:t>3.乙方负责货物运输，货物运输合理损耗及计算方法：</w:t>
      </w:r>
      <w:r>
        <w:rPr>
          <w:rFonts w:hint="eastAsia" w:ascii="宋体" w:hAnsi="宋体"/>
          <w:color w:val="000000"/>
          <w:szCs w:val="21"/>
          <w:u w:val="single"/>
        </w:rPr>
        <w:t xml:space="preserve">                 。</w:t>
      </w:r>
    </w:p>
    <w:p w14:paraId="5DC21419">
      <w:pPr>
        <w:snapToGrid w:val="0"/>
        <w:spacing w:line="360" w:lineRule="auto"/>
        <w:ind w:firstLine="422" w:firstLineChars="200"/>
        <w:rPr>
          <w:rFonts w:ascii="宋体" w:hAnsi="宋体"/>
          <w:color w:val="000000"/>
          <w:szCs w:val="21"/>
        </w:rPr>
      </w:pPr>
      <w:r>
        <w:rPr>
          <w:rFonts w:hint="eastAsia" w:ascii="宋体" w:hAnsi="宋体"/>
          <w:b/>
          <w:color w:val="000000"/>
          <w:szCs w:val="21"/>
        </w:rPr>
        <w:t>第五条　交付和验收</w:t>
      </w:r>
    </w:p>
    <w:p w14:paraId="615819F1">
      <w:pPr>
        <w:snapToGrid w:val="0"/>
        <w:spacing w:line="360" w:lineRule="auto"/>
        <w:ind w:firstLine="420" w:firstLineChars="200"/>
        <w:rPr>
          <w:rFonts w:ascii="宋体" w:hAnsi="宋体"/>
          <w:color w:val="000000"/>
          <w:szCs w:val="21"/>
        </w:rPr>
      </w:pPr>
      <w:r>
        <w:rPr>
          <w:rFonts w:hint="eastAsia" w:ascii="宋体" w:hAnsi="宋体"/>
          <w:color w:val="000000"/>
          <w:szCs w:val="21"/>
        </w:rPr>
        <w:t>1.交付时间：</w:t>
      </w:r>
      <w:r>
        <w:rPr>
          <w:rFonts w:hint="eastAsia" w:ascii="宋体" w:hAnsi="宋体"/>
          <w:color w:val="000000"/>
          <w:szCs w:val="21"/>
          <w:u w:val="single"/>
        </w:rPr>
        <w:t xml:space="preserve">                 </w:t>
      </w:r>
      <w:r>
        <w:rPr>
          <w:rFonts w:hint="eastAsia" w:ascii="宋体" w:hAnsi="宋体"/>
          <w:color w:val="000000"/>
          <w:szCs w:val="21"/>
        </w:rPr>
        <w:t>；交付地点：</w:t>
      </w:r>
      <w:r>
        <w:rPr>
          <w:rFonts w:hint="eastAsia" w:ascii="宋体" w:hAnsi="宋体"/>
          <w:color w:val="000000"/>
          <w:szCs w:val="21"/>
          <w:u w:val="single"/>
        </w:rPr>
        <w:t xml:space="preserve">                          </w:t>
      </w:r>
      <w:r>
        <w:rPr>
          <w:rFonts w:hint="eastAsia" w:ascii="宋体" w:hAnsi="宋体"/>
          <w:color w:val="000000"/>
          <w:szCs w:val="21"/>
        </w:rPr>
        <w:t>。</w:t>
      </w:r>
    </w:p>
    <w:p w14:paraId="7B196568">
      <w:pPr>
        <w:snapToGrid w:val="0"/>
        <w:spacing w:line="360" w:lineRule="auto"/>
        <w:ind w:firstLine="420" w:firstLineChars="200"/>
        <w:rPr>
          <w:rFonts w:ascii="宋体" w:hAnsi="宋体"/>
          <w:color w:val="000000"/>
          <w:szCs w:val="21"/>
        </w:rPr>
      </w:pPr>
      <w:r>
        <w:rPr>
          <w:rFonts w:hint="eastAsia" w:ascii="宋体" w:hAnsi="宋体"/>
          <w:color w:val="000000"/>
          <w:szCs w:val="21"/>
        </w:rPr>
        <w:t>2.乙方提供不符合招标文件规定或者投标文件承诺的和本合同规定的货物，甲方有权拒绝接受。</w:t>
      </w:r>
    </w:p>
    <w:p w14:paraId="64FA297E">
      <w:pPr>
        <w:snapToGrid w:val="0"/>
        <w:spacing w:line="360" w:lineRule="auto"/>
        <w:ind w:firstLine="420" w:firstLineChars="200"/>
        <w:rPr>
          <w:rFonts w:ascii="宋体" w:hAnsi="宋体"/>
          <w:color w:val="000000"/>
          <w:szCs w:val="21"/>
        </w:rPr>
      </w:pPr>
      <w:r>
        <w:rPr>
          <w:rFonts w:hint="eastAsia" w:ascii="宋体" w:hAnsi="宋体"/>
          <w:color w:val="000000"/>
          <w:szCs w:val="21"/>
        </w:rPr>
        <w:t>3.乙方应将所提供货物的装箱清单、用户手册、原厂保修卡、随机资料、工具和备品、备件等交付给甲方，货物属于进口产品的，供货时应同时附上中文使用说明书，如有缺失应在合理的规定时间内补齐，否则视为逾期交货。</w:t>
      </w:r>
    </w:p>
    <w:p w14:paraId="5C342975">
      <w:pPr>
        <w:snapToGrid w:val="0"/>
        <w:spacing w:line="360" w:lineRule="auto"/>
        <w:ind w:firstLine="420" w:firstLineChars="200"/>
        <w:rPr>
          <w:rFonts w:ascii="宋体" w:hAnsi="宋体"/>
          <w:color w:val="000000"/>
          <w:szCs w:val="21"/>
        </w:rPr>
      </w:pPr>
      <w:r>
        <w:rPr>
          <w:rFonts w:hint="eastAsia" w:ascii="宋体" w:hAnsi="宋体"/>
          <w:color w:val="000000"/>
          <w:szCs w:val="21"/>
        </w:rPr>
        <w:t>4.甲方应当在到货（安装、调试完）后七个工作日内进行验收，逾期不验收的，乙方可视同验收合格。验收合格后由甲乙双方签署货物验收单并加盖采购人公章，甲乙双方各执一份。</w:t>
      </w:r>
    </w:p>
    <w:p w14:paraId="52E7B61F">
      <w:pPr>
        <w:snapToGrid w:val="0"/>
        <w:spacing w:line="360" w:lineRule="auto"/>
        <w:ind w:firstLine="420" w:firstLineChars="200"/>
        <w:rPr>
          <w:rFonts w:ascii="宋体" w:hAnsi="宋体"/>
          <w:color w:val="000000"/>
          <w:szCs w:val="21"/>
        </w:rPr>
      </w:pPr>
      <w:r>
        <w:rPr>
          <w:rFonts w:hint="eastAsia" w:ascii="宋体" w:hAnsi="宋体"/>
          <w:color w:val="000000"/>
          <w:szCs w:val="21"/>
        </w:rPr>
        <w:t>5.甲方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25981B81">
      <w:pPr>
        <w:snapToGrid w:val="0"/>
        <w:spacing w:line="360" w:lineRule="auto"/>
        <w:ind w:firstLine="420" w:firstLineChars="200"/>
        <w:rPr>
          <w:rFonts w:ascii="宋体" w:hAnsi="宋体"/>
          <w:color w:val="000000"/>
          <w:szCs w:val="21"/>
        </w:rPr>
      </w:pPr>
      <w:r>
        <w:rPr>
          <w:rFonts w:hint="eastAsia" w:ascii="宋体" w:hAnsi="宋体"/>
          <w:color w:val="000000"/>
          <w:szCs w:val="21"/>
        </w:rPr>
        <w:t>6.甲方对验收有异议的，在验收后五个工作日内以书面形式向乙方提出，乙方应自收到甲方书面异议后</w:t>
      </w:r>
      <w:r>
        <w:rPr>
          <w:rFonts w:hint="eastAsia" w:ascii="宋体" w:hAnsi="宋体"/>
          <w:color w:val="000000"/>
          <w:szCs w:val="21"/>
          <w:u w:val="single"/>
        </w:rPr>
        <w:t xml:space="preserve">    </w:t>
      </w:r>
      <w:r>
        <w:rPr>
          <w:rFonts w:hint="eastAsia" w:ascii="宋体" w:hAnsi="宋体"/>
          <w:color w:val="000000"/>
          <w:szCs w:val="21"/>
        </w:rPr>
        <w:t>日内及时予以解决。</w:t>
      </w:r>
    </w:p>
    <w:p w14:paraId="7B77B3CA">
      <w:pPr>
        <w:snapToGrid w:val="0"/>
        <w:spacing w:line="360" w:lineRule="auto"/>
        <w:ind w:firstLine="422" w:firstLineChars="200"/>
        <w:rPr>
          <w:rFonts w:ascii="宋体" w:hAnsi="宋体"/>
          <w:b/>
          <w:color w:val="000000"/>
          <w:szCs w:val="21"/>
        </w:rPr>
      </w:pPr>
      <w:r>
        <w:rPr>
          <w:rFonts w:hint="eastAsia" w:ascii="宋体" w:hAnsi="宋体"/>
          <w:b/>
          <w:color w:val="000000"/>
          <w:szCs w:val="21"/>
        </w:rPr>
        <w:t>第六条　安装和培训</w:t>
      </w:r>
    </w:p>
    <w:p w14:paraId="5FEEE552">
      <w:pPr>
        <w:snapToGrid w:val="0"/>
        <w:spacing w:line="360" w:lineRule="auto"/>
        <w:ind w:firstLine="420" w:firstLineChars="200"/>
        <w:rPr>
          <w:rFonts w:ascii="宋体" w:hAnsi="宋体"/>
          <w:color w:val="000000"/>
          <w:szCs w:val="21"/>
        </w:rPr>
      </w:pPr>
      <w:r>
        <w:rPr>
          <w:rFonts w:hint="eastAsia" w:ascii="宋体" w:hAnsi="宋体"/>
          <w:color w:val="000000"/>
          <w:szCs w:val="21"/>
        </w:rPr>
        <w:t>1.甲方应提供必要安装条件（如场地、电源、水源等）。</w:t>
      </w:r>
    </w:p>
    <w:p w14:paraId="709049DB">
      <w:pPr>
        <w:snapToGrid w:val="0"/>
        <w:spacing w:line="360" w:lineRule="auto"/>
        <w:ind w:firstLine="420" w:firstLineChars="200"/>
        <w:rPr>
          <w:rFonts w:ascii="宋体" w:hAnsi="宋体"/>
          <w:color w:val="000000"/>
          <w:szCs w:val="21"/>
          <w:u w:val="single"/>
        </w:rPr>
      </w:pPr>
      <w:r>
        <w:rPr>
          <w:rFonts w:hint="eastAsia" w:ascii="宋体" w:hAnsi="宋体"/>
          <w:color w:val="000000"/>
          <w:szCs w:val="21"/>
        </w:rPr>
        <w:t>2.乙方投标文件承诺负责甲方有关人员的培训。培训时间、地点：</w:t>
      </w:r>
      <w:r>
        <w:rPr>
          <w:rFonts w:hint="eastAsia" w:ascii="宋体" w:hAnsi="宋体"/>
          <w:color w:val="000000"/>
          <w:szCs w:val="21"/>
          <w:u w:val="single"/>
        </w:rPr>
        <w:t xml:space="preserve">                   。</w:t>
      </w:r>
    </w:p>
    <w:p w14:paraId="77587169">
      <w:pPr>
        <w:snapToGrid w:val="0"/>
        <w:spacing w:line="360" w:lineRule="auto"/>
        <w:ind w:firstLine="422" w:firstLineChars="200"/>
        <w:rPr>
          <w:rFonts w:ascii="宋体" w:hAnsi="宋体"/>
          <w:b/>
          <w:color w:val="000000"/>
          <w:szCs w:val="21"/>
        </w:rPr>
      </w:pPr>
      <w:r>
        <w:rPr>
          <w:rFonts w:hint="eastAsia" w:ascii="宋体" w:hAnsi="宋体"/>
          <w:b/>
          <w:color w:val="000000"/>
          <w:szCs w:val="21"/>
        </w:rPr>
        <w:t>第七条  售后服务、保修期</w:t>
      </w:r>
    </w:p>
    <w:p w14:paraId="74DC9410">
      <w:pPr>
        <w:snapToGrid w:val="0"/>
        <w:spacing w:line="360" w:lineRule="auto"/>
        <w:ind w:firstLine="420" w:firstLineChars="200"/>
        <w:rPr>
          <w:rFonts w:ascii="宋体" w:hAnsi="宋体"/>
          <w:color w:val="000000"/>
          <w:szCs w:val="21"/>
        </w:rPr>
      </w:pPr>
      <w:r>
        <w:rPr>
          <w:rFonts w:hint="eastAsia" w:ascii="宋体" w:hAnsi="宋体"/>
          <w:color w:val="000000"/>
          <w:szCs w:val="21"/>
        </w:rPr>
        <w:t>1.乙方应按照国家有关法律法规和“三包”规定以及本合同所附的《服务承诺》，为甲方提供售后服务。</w:t>
      </w:r>
    </w:p>
    <w:p w14:paraId="10A69D9F">
      <w:pPr>
        <w:snapToGrid w:val="0"/>
        <w:spacing w:line="360" w:lineRule="auto"/>
        <w:ind w:firstLine="420" w:firstLineChars="200"/>
        <w:rPr>
          <w:rFonts w:ascii="宋体" w:hAnsi="宋体"/>
          <w:color w:val="000000"/>
          <w:szCs w:val="21"/>
          <w:u w:val="single"/>
        </w:rPr>
      </w:pPr>
      <w:r>
        <w:rPr>
          <w:rFonts w:hint="eastAsia" w:ascii="宋体" w:hAnsi="宋体"/>
          <w:color w:val="000000"/>
          <w:szCs w:val="21"/>
        </w:rPr>
        <w:t>2.货物保修期：</w:t>
      </w:r>
      <w:r>
        <w:rPr>
          <w:rFonts w:hint="eastAsia" w:ascii="宋体" w:hAnsi="宋体"/>
          <w:color w:val="000000"/>
          <w:szCs w:val="21"/>
          <w:u w:val="single"/>
        </w:rPr>
        <w:t xml:space="preserve">                                          。</w:t>
      </w:r>
    </w:p>
    <w:p w14:paraId="4C3BCFDE">
      <w:pPr>
        <w:snapToGrid w:val="0"/>
        <w:spacing w:line="360" w:lineRule="auto"/>
        <w:ind w:firstLine="420" w:firstLineChars="200"/>
        <w:rPr>
          <w:rFonts w:ascii="宋体" w:hAnsi="宋体"/>
          <w:color w:val="000000"/>
          <w:szCs w:val="21"/>
          <w:u w:val="single"/>
        </w:rPr>
      </w:pPr>
      <w:r>
        <w:rPr>
          <w:rFonts w:hint="eastAsia" w:ascii="宋体" w:hAnsi="宋体"/>
          <w:color w:val="000000"/>
          <w:szCs w:val="21"/>
        </w:rPr>
        <w:t>3.乙方提供的服务承诺和售后服务及保修期责任等其它具体约定事项。（见合同附件）</w:t>
      </w:r>
    </w:p>
    <w:p w14:paraId="074E4626">
      <w:pPr>
        <w:snapToGrid w:val="0"/>
        <w:spacing w:line="360" w:lineRule="auto"/>
        <w:ind w:firstLine="422" w:firstLineChars="200"/>
        <w:rPr>
          <w:rFonts w:ascii="宋体" w:hAnsi="宋体"/>
          <w:color w:val="000000"/>
          <w:szCs w:val="21"/>
          <w:highlight w:val="none"/>
        </w:rPr>
      </w:pPr>
      <w:r>
        <w:rPr>
          <w:rFonts w:hint="eastAsia" w:ascii="宋体" w:hAnsi="宋体"/>
          <w:b/>
          <w:color w:val="000000"/>
          <w:szCs w:val="21"/>
          <w:highlight w:val="none"/>
        </w:rPr>
        <w:t>第八条　付款方式</w:t>
      </w:r>
    </w:p>
    <w:p w14:paraId="339D2850">
      <w:pPr>
        <w:snapToGrid w:val="0"/>
        <w:spacing w:line="360" w:lineRule="auto"/>
        <w:ind w:left="-61" w:leftChars="-29" w:firstLine="514" w:firstLineChars="245"/>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val="en-US" w:eastAsia="zh-CN" w:bidi="ar"/>
        </w:rPr>
        <w:t>签订合同后15日内支付合同价款的30%作为</w:t>
      </w:r>
      <w:r>
        <w:rPr>
          <w:rFonts w:hint="eastAsia" w:ascii="宋体" w:hAnsi="宋体" w:cs="宋体"/>
          <w:color w:val="auto"/>
          <w:kern w:val="0"/>
          <w:sz w:val="21"/>
          <w:szCs w:val="21"/>
          <w:highlight w:val="none"/>
          <w:lang w:bidi="ar"/>
        </w:rPr>
        <w:t>预付款。中标供应商交货安装</w:t>
      </w:r>
      <w:r>
        <w:rPr>
          <w:rFonts w:hint="eastAsia" w:ascii="宋体" w:hAnsi="宋体" w:cs="宋体"/>
          <w:color w:val="auto"/>
          <w:kern w:val="0"/>
          <w:sz w:val="21"/>
          <w:szCs w:val="21"/>
          <w:highlight w:val="none"/>
          <w:lang w:val="en-US" w:eastAsia="zh-CN" w:bidi="ar"/>
        </w:rPr>
        <w:t>并调试完毕</w:t>
      </w:r>
      <w:r>
        <w:rPr>
          <w:rFonts w:hint="eastAsia" w:ascii="宋体" w:hAnsi="宋体" w:cs="宋体"/>
          <w:color w:val="auto"/>
          <w:kern w:val="0"/>
          <w:sz w:val="21"/>
          <w:szCs w:val="21"/>
          <w:highlight w:val="none"/>
          <w:lang w:bidi="ar"/>
        </w:rPr>
        <w:t>后，经采购人书面验收合格，并按采购人要求提交项目请款有关资料，在财政部门审批同意用款计划后30日内，支付</w:t>
      </w:r>
      <w:r>
        <w:rPr>
          <w:rFonts w:hint="eastAsia" w:ascii="宋体" w:hAnsi="宋体" w:cs="宋体"/>
          <w:color w:val="auto"/>
          <w:kern w:val="0"/>
          <w:sz w:val="21"/>
          <w:szCs w:val="21"/>
          <w:highlight w:val="none"/>
          <w:lang w:val="en-US" w:eastAsia="zh-CN" w:bidi="ar"/>
        </w:rPr>
        <w:t>余下70%</w:t>
      </w:r>
      <w:r>
        <w:rPr>
          <w:rFonts w:hint="eastAsia" w:ascii="宋体" w:hAnsi="宋体" w:cs="宋体"/>
          <w:color w:val="auto"/>
          <w:kern w:val="0"/>
          <w:sz w:val="21"/>
          <w:szCs w:val="21"/>
          <w:highlight w:val="none"/>
          <w:lang w:bidi="ar"/>
        </w:rPr>
        <w:t>合同</w:t>
      </w:r>
      <w:r>
        <w:rPr>
          <w:rFonts w:hint="eastAsia" w:ascii="宋体" w:hAnsi="宋体" w:cs="宋体"/>
          <w:color w:val="auto"/>
          <w:kern w:val="0"/>
          <w:sz w:val="21"/>
          <w:szCs w:val="21"/>
          <w:highlight w:val="none"/>
          <w:lang w:val="en-US" w:eastAsia="zh-CN" w:bidi="ar"/>
        </w:rPr>
        <w:t>价</w:t>
      </w:r>
      <w:r>
        <w:rPr>
          <w:rFonts w:hint="eastAsia" w:ascii="宋体" w:hAnsi="宋体" w:cs="宋体"/>
          <w:color w:val="auto"/>
          <w:kern w:val="0"/>
          <w:sz w:val="21"/>
          <w:szCs w:val="21"/>
          <w:highlight w:val="none"/>
          <w:lang w:bidi="ar"/>
        </w:rPr>
        <w:t>款。</w:t>
      </w:r>
    </w:p>
    <w:p w14:paraId="2064AE86">
      <w:pPr>
        <w:pageBreakBefore w:val="0"/>
        <w:widowControl w:val="0"/>
        <w:kinsoku/>
        <w:wordWrap/>
        <w:overflowPunct/>
        <w:topLinePunct w:val="0"/>
        <w:bidi w:val="0"/>
        <w:adjustRightInd/>
        <w:snapToGrid w:val="0"/>
        <w:spacing w:line="360" w:lineRule="auto"/>
        <w:ind w:firstLine="422" w:firstLineChars="200"/>
        <w:rPr>
          <w:rFonts w:hint="eastAsia" w:ascii="宋体" w:hAnsi="宋体"/>
          <w:color w:val="auto"/>
          <w:szCs w:val="21"/>
          <w:highlight w:val="none"/>
        </w:rPr>
      </w:pPr>
      <w:r>
        <w:rPr>
          <w:rFonts w:hint="eastAsia" w:ascii="宋体" w:hAnsi="宋体"/>
          <w:b/>
          <w:color w:val="000000"/>
          <w:szCs w:val="21"/>
          <w:highlight w:val="none"/>
        </w:rPr>
        <w:t>第九条　履约保证金：</w:t>
      </w:r>
      <w:r>
        <w:rPr>
          <w:rFonts w:hint="eastAsia" w:ascii="宋体" w:hAnsi="宋体"/>
          <w:color w:val="auto"/>
          <w:szCs w:val="21"/>
          <w:highlight w:val="none"/>
        </w:rPr>
        <w:t>本项目收取履约保证金，具体规定如下：</w:t>
      </w:r>
    </w:p>
    <w:p w14:paraId="27130EF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1.履约保证金金额：按中标金额的2%收取，双方签订合同后5个工作日内，中标供应商缴纳至采购人指定账户。</w:t>
      </w:r>
    </w:p>
    <w:p w14:paraId="6383D25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2.履约保证金递交方式：银行、保险机构出具的保函等非现金方式。</w:t>
      </w:r>
    </w:p>
    <w:p w14:paraId="3DC3ED4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3.履约保证金退付的方式、时间及条件：中标供应商按承诺履约，产品安装验收合格，中标人向采购人提供《广西壮族自治区政府采购项目合同验收书》（详见桂财采〔2015〕22号），采购人在收到合格材料后5个工作日内办理退还手续（不计利息）（如有涉及违约行为的，扣除违约金后退还）。</w:t>
      </w:r>
    </w:p>
    <w:p w14:paraId="295197E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4.不予退还的情形：签订合同后，如中标人不按双方签订的合同规定履约，则其全部履约保证金不予退还。</w:t>
      </w:r>
    </w:p>
    <w:p w14:paraId="0EC8EF8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备注：</w:t>
      </w:r>
    </w:p>
    <w:p w14:paraId="2C11493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1.根据《广西壮族自治区财政厅关于持续优化政府采购营商环境推动高质量发展的通知》（桂财采〔2024〕55号）规定，对中小企业收取的履约保证金数额不得超过政府采购合同金额的2%。</w:t>
      </w:r>
    </w:p>
    <w:p w14:paraId="0972A85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2.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29E371FF">
      <w:pPr>
        <w:keepNext w:val="0"/>
        <w:keepLines w:val="0"/>
        <w:pageBreakBefore w:val="0"/>
        <w:widowControl w:val="0"/>
        <w:kinsoku/>
        <w:wordWrap/>
        <w:overflowPunct/>
        <w:topLinePunct w:val="0"/>
        <w:autoSpaceDE/>
        <w:autoSpaceDN/>
        <w:bidi w:val="0"/>
        <w:adjustRightInd/>
        <w:snapToGrid w:val="0"/>
        <w:spacing w:line="360" w:lineRule="auto"/>
        <w:ind w:left="-61" w:leftChars="-29" w:firstLine="420" w:firstLineChars="200"/>
        <w:textAlignment w:val="auto"/>
        <w:rPr>
          <w:rFonts w:ascii="宋体" w:hAnsi="宋体" w:cs="宋体"/>
          <w:color w:val="000000"/>
          <w:szCs w:val="21"/>
          <w:highlight w:val="none"/>
        </w:rPr>
      </w:pPr>
      <w:r>
        <w:rPr>
          <w:rFonts w:hint="eastAsia" w:ascii="宋体" w:hAnsi="宋体"/>
          <w:color w:val="auto"/>
          <w:szCs w:val="21"/>
          <w:highlight w:val="none"/>
        </w:rPr>
        <w:t>3.采用银行、保险机构出具的保函的，必须为无条件保函，否则不予签订合同。</w:t>
      </w:r>
    </w:p>
    <w:p w14:paraId="282A06A9">
      <w:pPr>
        <w:snapToGrid w:val="0"/>
        <w:spacing w:line="360" w:lineRule="auto"/>
        <w:ind w:left="-61" w:firstLine="514"/>
        <w:rPr>
          <w:rFonts w:ascii="宋体" w:hAnsi="宋体"/>
          <w:b/>
          <w:color w:val="000000"/>
          <w:szCs w:val="21"/>
        </w:rPr>
      </w:pPr>
      <w:r>
        <w:rPr>
          <w:rFonts w:hint="eastAsia" w:ascii="宋体" w:hAnsi="宋体"/>
          <w:b/>
          <w:color w:val="000000"/>
          <w:szCs w:val="21"/>
        </w:rPr>
        <w:t>第十条  税费</w:t>
      </w:r>
    </w:p>
    <w:p w14:paraId="106129D4">
      <w:pPr>
        <w:snapToGrid w:val="0"/>
        <w:spacing w:line="360" w:lineRule="auto"/>
        <w:ind w:left="-61" w:firstLine="514"/>
        <w:rPr>
          <w:rFonts w:ascii="宋体" w:hAnsi="宋体"/>
          <w:color w:val="000000"/>
          <w:szCs w:val="21"/>
        </w:rPr>
      </w:pPr>
      <w:r>
        <w:rPr>
          <w:rFonts w:hint="eastAsia" w:ascii="宋体" w:hAnsi="宋体"/>
          <w:color w:val="000000"/>
          <w:szCs w:val="21"/>
        </w:rPr>
        <w:t>本合同执行中相关的一切税费均由乙方负担，合同另有约定的除外。</w:t>
      </w:r>
    </w:p>
    <w:p w14:paraId="1A4F337C">
      <w:pPr>
        <w:snapToGrid w:val="0"/>
        <w:spacing w:line="360" w:lineRule="auto"/>
        <w:ind w:left="-61" w:firstLine="514"/>
        <w:rPr>
          <w:rFonts w:ascii="宋体" w:hAnsi="宋体"/>
          <w:color w:val="000000"/>
          <w:szCs w:val="21"/>
        </w:rPr>
      </w:pPr>
      <w:r>
        <w:rPr>
          <w:rFonts w:hint="eastAsia" w:ascii="宋体" w:hAnsi="宋体"/>
          <w:b/>
          <w:color w:val="000000"/>
          <w:szCs w:val="21"/>
        </w:rPr>
        <w:t>第十一条  质量保证及售后服务</w:t>
      </w:r>
    </w:p>
    <w:p w14:paraId="7B061F3C">
      <w:pPr>
        <w:pStyle w:val="16"/>
        <w:snapToGrid w:val="0"/>
        <w:spacing w:line="360" w:lineRule="auto"/>
        <w:ind w:firstLine="420" w:firstLineChars="200"/>
        <w:rPr>
          <w:rFonts w:hAnsi="宋体"/>
          <w:color w:val="000000"/>
          <w:sz w:val="21"/>
        </w:rPr>
      </w:pPr>
      <w:r>
        <w:rPr>
          <w:rFonts w:hint="eastAsia" w:hAnsi="宋体"/>
          <w:bCs/>
          <w:color w:val="000000"/>
          <w:sz w:val="21"/>
        </w:rPr>
        <w:t>1.</w:t>
      </w:r>
      <w:r>
        <w:rPr>
          <w:rFonts w:hint="eastAsia" w:hAnsi="宋体"/>
          <w:color w:val="000000"/>
          <w:sz w:val="21"/>
        </w:rPr>
        <w:t>乙方应按招标文件规定的产品名称、商标品牌、生产厂家、规格型号、技术参数、质量标准向甲方提供未经使用的全新产品。不符合要求的，根据实际情况，经双方协商，可按以下办法处理：</w:t>
      </w:r>
    </w:p>
    <w:p w14:paraId="0438BD84">
      <w:pPr>
        <w:pStyle w:val="16"/>
        <w:snapToGrid w:val="0"/>
        <w:spacing w:line="360" w:lineRule="auto"/>
        <w:ind w:firstLine="420" w:firstLineChars="200"/>
        <w:rPr>
          <w:rFonts w:hAnsi="宋体"/>
          <w:color w:val="000000"/>
          <w:sz w:val="21"/>
        </w:rPr>
      </w:pPr>
      <w:r>
        <w:rPr>
          <w:rFonts w:hint="eastAsia" w:hAnsi="宋体"/>
          <w:color w:val="000000"/>
          <w:sz w:val="21"/>
        </w:rPr>
        <w:t>（1）更换：由乙方承担所发生的全部费用。</w:t>
      </w:r>
    </w:p>
    <w:p w14:paraId="2BFB6430">
      <w:pPr>
        <w:pStyle w:val="16"/>
        <w:snapToGrid w:val="0"/>
        <w:spacing w:line="360" w:lineRule="auto"/>
        <w:ind w:firstLine="420"/>
        <w:rPr>
          <w:rFonts w:hAnsi="宋体"/>
          <w:color w:val="000000"/>
          <w:sz w:val="21"/>
        </w:rPr>
      </w:pPr>
      <w:r>
        <w:rPr>
          <w:rFonts w:hint="eastAsia" w:hAnsi="宋体"/>
          <w:color w:val="000000"/>
          <w:sz w:val="21"/>
        </w:rPr>
        <w:t>（2）贬值处理：由甲乙双方合议定价。</w:t>
      </w:r>
    </w:p>
    <w:p w14:paraId="69F12957">
      <w:pPr>
        <w:pStyle w:val="16"/>
        <w:snapToGrid w:val="0"/>
        <w:spacing w:line="360" w:lineRule="auto"/>
        <w:ind w:firstLine="420"/>
        <w:rPr>
          <w:rFonts w:hAnsi="宋体"/>
          <w:color w:val="000000"/>
          <w:sz w:val="21"/>
        </w:rPr>
      </w:pPr>
      <w:r>
        <w:rPr>
          <w:rFonts w:hint="eastAsia" w:hAnsi="宋体"/>
          <w:color w:val="000000"/>
          <w:sz w:val="21"/>
        </w:rPr>
        <w:t>（3）退货处理：乙方应退还甲方支付的合同款，同时应承担该货物的直接费用（运输、保险、检验、货款利息及银行手续费等）。</w:t>
      </w:r>
    </w:p>
    <w:p w14:paraId="25316A37">
      <w:pPr>
        <w:pStyle w:val="16"/>
        <w:snapToGrid w:val="0"/>
        <w:spacing w:line="360" w:lineRule="auto"/>
        <w:ind w:firstLine="420" w:firstLineChars="200"/>
        <w:rPr>
          <w:rFonts w:hAnsi="宋体"/>
          <w:color w:val="000000"/>
          <w:sz w:val="21"/>
        </w:rPr>
      </w:pPr>
      <w:r>
        <w:rPr>
          <w:rFonts w:hint="eastAsia" w:hAnsi="宋体"/>
          <w:color w:val="000000"/>
          <w:sz w:val="21"/>
        </w:rPr>
        <w:t>2.如在使用过程中发生质量问题，乙方在接到甲方通知后到达甲方现场处理的时间（</w:t>
      </w:r>
      <w:r>
        <w:rPr>
          <w:rFonts w:hint="eastAsia" w:hAnsi="宋体"/>
          <w:color w:val="000000"/>
          <w:sz w:val="21"/>
          <w:u w:val="single"/>
        </w:rPr>
        <w:t>按投标文件承诺的数据填写</w:t>
      </w:r>
      <w:r>
        <w:rPr>
          <w:rFonts w:hint="eastAsia" w:hAnsi="宋体"/>
          <w:color w:val="000000"/>
          <w:sz w:val="21"/>
        </w:rPr>
        <w:t>）小时内。</w:t>
      </w:r>
    </w:p>
    <w:p w14:paraId="3FA558FF">
      <w:pPr>
        <w:pStyle w:val="16"/>
        <w:snapToGrid w:val="0"/>
        <w:spacing w:line="360" w:lineRule="auto"/>
        <w:ind w:firstLine="420" w:firstLineChars="200"/>
        <w:rPr>
          <w:rFonts w:hAnsi="宋体"/>
          <w:color w:val="000000"/>
          <w:sz w:val="21"/>
        </w:rPr>
      </w:pPr>
      <w:r>
        <w:rPr>
          <w:rFonts w:hint="eastAsia" w:hAnsi="宋体"/>
          <w:color w:val="000000"/>
          <w:sz w:val="21"/>
        </w:rPr>
        <w:t>3.在保修期内，乙方应对货物出现的质量及安全问题负责处理解决并承担一切费用。</w:t>
      </w:r>
    </w:p>
    <w:p w14:paraId="233B8F6E">
      <w:pPr>
        <w:snapToGrid w:val="0"/>
        <w:spacing w:line="360" w:lineRule="auto"/>
        <w:ind w:firstLine="420" w:firstLineChars="200"/>
        <w:rPr>
          <w:rFonts w:ascii="宋体" w:hAnsi="宋体"/>
          <w:color w:val="000000"/>
          <w:szCs w:val="21"/>
        </w:rPr>
      </w:pPr>
      <w:r>
        <w:rPr>
          <w:rFonts w:hint="eastAsia" w:ascii="宋体" w:hAnsi="宋体"/>
          <w:color w:val="000000"/>
          <w:szCs w:val="21"/>
        </w:rPr>
        <w:t>4.上述的货物保修期为</w:t>
      </w:r>
      <w:r>
        <w:rPr>
          <w:rFonts w:hint="eastAsia" w:ascii="宋体" w:hAnsi="宋体"/>
          <w:color w:val="000000"/>
          <w:szCs w:val="21"/>
          <w:u w:val="single"/>
        </w:rPr>
        <w:t xml:space="preserve">     </w:t>
      </w:r>
      <w:r>
        <w:rPr>
          <w:rFonts w:hint="eastAsia" w:ascii="宋体" w:hAnsi="宋体"/>
          <w:color w:val="000000"/>
          <w:szCs w:val="21"/>
        </w:rPr>
        <w:t>年，因人为因素出现的故障不在免费保修范围内。超过保修期的机器设备，终生维修，维修时只收部件成本费。</w:t>
      </w:r>
    </w:p>
    <w:p w14:paraId="46BF28CF">
      <w:pPr>
        <w:snapToGrid w:val="0"/>
        <w:spacing w:line="360" w:lineRule="auto"/>
        <w:ind w:left="-61" w:firstLine="514"/>
        <w:rPr>
          <w:rFonts w:ascii="宋体" w:hAnsi="宋体"/>
          <w:color w:val="000000"/>
          <w:szCs w:val="21"/>
        </w:rPr>
      </w:pPr>
      <w:r>
        <w:rPr>
          <w:rFonts w:hint="eastAsia" w:ascii="宋体" w:hAnsi="宋体"/>
          <w:b/>
          <w:color w:val="000000"/>
          <w:szCs w:val="21"/>
        </w:rPr>
        <w:t>第十二条  调试和验收</w:t>
      </w:r>
    </w:p>
    <w:p w14:paraId="55246082">
      <w:pPr>
        <w:pStyle w:val="16"/>
        <w:snapToGrid w:val="0"/>
        <w:spacing w:line="360" w:lineRule="auto"/>
        <w:ind w:firstLine="420" w:firstLineChars="200"/>
        <w:jc w:val="left"/>
        <w:rPr>
          <w:rFonts w:hAnsi="宋体"/>
          <w:color w:val="000000"/>
          <w:sz w:val="21"/>
        </w:rPr>
      </w:pPr>
      <w:r>
        <w:rPr>
          <w:rFonts w:hint="eastAsia" w:hAnsi="宋体"/>
          <w:color w:val="000000"/>
          <w:sz w:val="21"/>
        </w:rPr>
        <w:t>1.甲方对乙方提交的货物依据招标文件上的技术规格要求和国家有关质量标准进行现场初步验收，外观、说明书符合招标文件技术要求的，给予签收，初步验收不合格的不予签收。货到后，甲方应当在到货（安装、调试完）后七个工作日内进行验收。</w:t>
      </w:r>
    </w:p>
    <w:p w14:paraId="206D811A">
      <w:pPr>
        <w:pStyle w:val="16"/>
        <w:snapToGrid w:val="0"/>
        <w:spacing w:line="360" w:lineRule="auto"/>
        <w:ind w:firstLine="420" w:firstLineChars="200"/>
        <w:rPr>
          <w:rFonts w:hAnsi="宋体"/>
          <w:color w:val="000000"/>
          <w:sz w:val="21"/>
        </w:rPr>
      </w:pPr>
      <w:r>
        <w:rPr>
          <w:rFonts w:hint="eastAsia" w:hAnsi="宋体"/>
          <w:color w:val="000000"/>
          <w:sz w:val="21"/>
        </w:rPr>
        <w:t>2.乙方交货前应对产品作出全面检查和对验收文件进行整理，并列出清单，作为甲方收货验收和使用的技术条件依据，检验的结果应随货物交甲方。</w:t>
      </w:r>
    </w:p>
    <w:p w14:paraId="2962354B">
      <w:pPr>
        <w:pStyle w:val="16"/>
        <w:snapToGrid w:val="0"/>
        <w:spacing w:line="360" w:lineRule="auto"/>
        <w:ind w:firstLine="420" w:firstLineChars="200"/>
        <w:rPr>
          <w:rFonts w:hAnsi="宋体"/>
          <w:color w:val="000000"/>
          <w:sz w:val="21"/>
        </w:rPr>
      </w:pPr>
      <w:r>
        <w:rPr>
          <w:rFonts w:hint="eastAsia" w:hAnsi="宋体"/>
          <w:color w:val="000000"/>
          <w:sz w:val="21"/>
        </w:rPr>
        <w:t>3.甲方对乙方提供的货物在使用前进行调试时，乙方需负责安装并培训甲方的使用操作人员，并协助甲方一起调试，直到符合技术要求，甲方才做最终验收。</w:t>
      </w:r>
    </w:p>
    <w:p w14:paraId="11DB27BD">
      <w:pPr>
        <w:pStyle w:val="16"/>
        <w:snapToGrid w:val="0"/>
        <w:spacing w:line="360" w:lineRule="auto"/>
        <w:ind w:firstLine="420" w:firstLineChars="200"/>
        <w:rPr>
          <w:rFonts w:hAnsi="宋体"/>
          <w:color w:val="000000"/>
          <w:sz w:val="21"/>
        </w:rPr>
      </w:pPr>
      <w:r>
        <w:rPr>
          <w:rFonts w:hint="eastAsia" w:hAnsi="宋体"/>
          <w:color w:val="000000"/>
          <w:sz w:val="21"/>
        </w:rPr>
        <w:t>4.对技术复杂的货物，甲方应请国家认可的专业检测机构参与初步验收及最终验收，并由其出具质量检测报告。</w:t>
      </w:r>
    </w:p>
    <w:p w14:paraId="5807443C">
      <w:pPr>
        <w:snapToGrid w:val="0"/>
        <w:spacing w:line="360" w:lineRule="auto"/>
        <w:ind w:left="-61" w:firstLine="514"/>
        <w:rPr>
          <w:rFonts w:ascii="宋体" w:hAnsi="宋体"/>
          <w:color w:val="000000"/>
          <w:szCs w:val="21"/>
        </w:rPr>
      </w:pPr>
      <w:r>
        <w:rPr>
          <w:rFonts w:hint="eastAsia" w:ascii="宋体" w:hAnsi="宋体"/>
          <w:color w:val="000000"/>
          <w:szCs w:val="21"/>
        </w:rPr>
        <w:t>5. 验收时乙方必须在现场，验收完毕后作出验收结果报告；验收费用由乙方负责。</w:t>
      </w:r>
    </w:p>
    <w:p w14:paraId="288B3A50">
      <w:pPr>
        <w:pStyle w:val="16"/>
        <w:snapToGrid w:val="0"/>
        <w:spacing w:line="360" w:lineRule="auto"/>
        <w:ind w:firstLine="413" w:firstLineChars="196"/>
        <w:rPr>
          <w:rFonts w:hAnsi="宋体"/>
          <w:b/>
          <w:color w:val="000000"/>
          <w:sz w:val="21"/>
        </w:rPr>
      </w:pPr>
      <w:r>
        <w:rPr>
          <w:rFonts w:hint="eastAsia" w:hAnsi="宋体"/>
          <w:b/>
          <w:color w:val="000000"/>
          <w:sz w:val="21"/>
        </w:rPr>
        <w:t>第十三条  货物包装、发运及运输</w:t>
      </w:r>
    </w:p>
    <w:p w14:paraId="6E6CA077">
      <w:pPr>
        <w:pStyle w:val="16"/>
        <w:snapToGrid w:val="0"/>
        <w:spacing w:line="360" w:lineRule="auto"/>
        <w:ind w:firstLine="420" w:firstLineChars="200"/>
        <w:rPr>
          <w:rFonts w:hAnsi="宋体"/>
          <w:color w:val="000000"/>
          <w:sz w:val="21"/>
        </w:rPr>
      </w:pPr>
      <w:r>
        <w:rPr>
          <w:rFonts w:hint="eastAsia" w:hAnsi="宋体"/>
          <w:color w:val="000000"/>
          <w:sz w:val="21"/>
        </w:rPr>
        <w:t>1.乙方应在货物发运前对其进行满足运输距离、防潮、防震、防锈和防破损装卸等要求包装，以保证货物安全运达甲方指定地点。</w:t>
      </w:r>
    </w:p>
    <w:p w14:paraId="7E889D50">
      <w:pPr>
        <w:pStyle w:val="16"/>
        <w:snapToGrid w:val="0"/>
        <w:spacing w:line="360" w:lineRule="auto"/>
        <w:ind w:firstLine="420" w:firstLineChars="200"/>
        <w:rPr>
          <w:rFonts w:hAnsi="宋体"/>
          <w:color w:val="000000"/>
          <w:sz w:val="21"/>
        </w:rPr>
      </w:pPr>
      <w:r>
        <w:rPr>
          <w:rFonts w:hint="eastAsia" w:hAnsi="宋体"/>
          <w:color w:val="000000"/>
          <w:sz w:val="21"/>
        </w:rPr>
        <w:t>2. 使用说明书（货物属于进口产品的，供货时应同时附上中文使用说明书）、质量检验证明书、随配附件和工具以及清单一并附于货物内。</w:t>
      </w:r>
    </w:p>
    <w:p w14:paraId="200BBC6E">
      <w:pPr>
        <w:pStyle w:val="16"/>
        <w:snapToGrid w:val="0"/>
        <w:spacing w:line="360" w:lineRule="auto"/>
        <w:ind w:firstLine="420" w:firstLineChars="200"/>
        <w:rPr>
          <w:rFonts w:hAnsi="宋体"/>
          <w:color w:val="000000"/>
          <w:sz w:val="21"/>
        </w:rPr>
      </w:pPr>
      <w:r>
        <w:rPr>
          <w:rFonts w:hint="eastAsia" w:hAnsi="宋体"/>
          <w:color w:val="000000"/>
          <w:sz w:val="21"/>
        </w:rPr>
        <w:t>3.乙方在货物发运手续办理完毕后二十四小时内或者货到甲方四十八小时前通知甲方，以准备接货。</w:t>
      </w:r>
    </w:p>
    <w:p w14:paraId="5101CDF2">
      <w:pPr>
        <w:pStyle w:val="16"/>
        <w:snapToGrid w:val="0"/>
        <w:spacing w:line="360" w:lineRule="auto"/>
        <w:ind w:firstLine="420" w:firstLineChars="200"/>
        <w:rPr>
          <w:rFonts w:hAnsi="宋体"/>
          <w:color w:val="000000"/>
          <w:sz w:val="21"/>
        </w:rPr>
      </w:pPr>
      <w:r>
        <w:rPr>
          <w:rFonts w:hint="eastAsia" w:hAnsi="宋体"/>
          <w:color w:val="000000"/>
          <w:sz w:val="21"/>
        </w:rPr>
        <w:t>4.货物在交付甲方前发生的风险均由乙方负责。</w:t>
      </w:r>
    </w:p>
    <w:p w14:paraId="3342D1B2">
      <w:pPr>
        <w:pStyle w:val="16"/>
        <w:snapToGrid w:val="0"/>
        <w:spacing w:line="360" w:lineRule="auto"/>
        <w:ind w:firstLine="420" w:firstLineChars="200"/>
        <w:rPr>
          <w:rFonts w:hAnsi="宋体"/>
          <w:color w:val="000000"/>
          <w:sz w:val="21"/>
        </w:rPr>
      </w:pPr>
      <w:r>
        <w:rPr>
          <w:rFonts w:hint="eastAsia" w:hAnsi="宋体"/>
          <w:color w:val="000000"/>
          <w:sz w:val="21"/>
        </w:rPr>
        <w:t>5.货物在规</w:t>
      </w:r>
      <w:r>
        <w:rPr>
          <w:rFonts w:hint="eastAsia" w:hAnsi="宋体"/>
          <w:color w:val="000000"/>
          <w:spacing w:val="-8"/>
          <w:sz w:val="21"/>
        </w:rPr>
        <w:t>定的交付期限内由乙方送达甲方指定的地点视为交付，乙方同时需通知甲方货物已送达。</w:t>
      </w:r>
    </w:p>
    <w:p w14:paraId="7D999C94">
      <w:pPr>
        <w:snapToGrid w:val="0"/>
        <w:spacing w:line="360" w:lineRule="auto"/>
        <w:ind w:firstLine="422" w:firstLineChars="200"/>
        <w:rPr>
          <w:rFonts w:ascii="宋体" w:hAnsi="宋体"/>
          <w:b/>
          <w:color w:val="000000"/>
          <w:szCs w:val="21"/>
        </w:rPr>
      </w:pPr>
      <w:r>
        <w:rPr>
          <w:rFonts w:hint="eastAsia" w:ascii="宋体" w:hAnsi="宋体"/>
          <w:b/>
          <w:color w:val="000000"/>
          <w:szCs w:val="21"/>
        </w:rPr>
        <w:t>第十四条　违约责任</w:t>
      </w:r>
    </w:p>
    <w:p w14:paraId="396A1778">
      <w:pPr>
        <w:pStyle w:val="16"/>
        <w:snapToGrid w:val="0"/>
        <w:spacing w:line="360" w:lineRule="auto"/>
        <w:ind w:firstLine="420" w:firstLineChars="200"/>
        <w:rPr>
          <w:rFonts w:hAnsi="宋体"/>
          <w:color w:val="000000"/>
          <w:sz w:val="21"/>
        </w:rPr>
      </w:pPr>
      <w:r>
        <w:rPr>
          <w:rFonts w:hint="eastAsia" w:hAnsi="宋体"/>
          <w:color w:val="000000"/>
          <w:sz w:val="21"/>
        </w:rPr>
        <w:t xml:space="preserve">1.乙方所提供的产品名称、商标品牌、生产厂家、规格型号、技术参数等质量不合格的，应及时更换，更换不及时的按逾期交货处罚；因质量问题甲方不同意接收的或者特殊情况甲方同意接收的，乙方应向甲方支付违约货款额 5%违约金并赔偿甲方经济损失。                                       </w:t>
      </w:r>
    </w:p>
    <w:p w14:paraId="718771FD">
      <w:pPr>
        <w:pStyle w:val="16"/>
        <w:snapToGrid w:val="0"/>
        <w:spacing w:line="360" w:lineRule="auto"/>
        <w:ind w:firstLine="420" w:firstLineChars="200"/>
        <w:rPr>
          <w:rFonts w:hAnsi="宋体"/>
          <w:color w:val="000000"/>
          <w:sz w:val="21"/>
        </w:rPr>
      </w:pPr>
      <w:r>
        <w:rPr>
          <w:rFonts w:hint="eastAsia" w:hAnsi="宋体"/>
          <w:color w:val="000000"/>
          <w:sz w:val="21"/>
        </w:rPr>
        <w:t>2.乙方提供的货物如侵犯了第三方合法权益而引发的任何纠纷或者诉讼，均由乙方负责交涉并承担全部责任。</w:t>
      </w:r>
    </w:p>
    <w:p w14:paraId="0D318B5D">
      <w:pPr>
        <w:pStyle w:val="16"/>
        <w:snapToGrid w:val="0"/>
        <w:spacing w:line="360" w:lineRule="auto"/>
        <w:ind w:firstLine="420" w:firstLineChars="200"/>
        <w:rPr>
          <w:rFonts w:hAnsi="宋体"/>
          <w:color w:val="000000"/>
          <w:sz w:val="21"/>
        </w:rPr>
      </w:pPr>
      <w:r>
        <w:rPr>
          <w:rFonts w:hint="eastAsia" w:hAnsi="宋体"/>
          <w:color w:val="000000"/>
          <w:sz w:val="21"/>
        </w:rPr>
        <w:t>3.因包装、运输引起的货物损坏，按质量不合格处罚。</w:t>
      </w:r>
    </w:p>
    <w:p w14:paraId="70288140">
      <w:pPr>
        <w:pStyle w:val="16"/>
        <w:snapToGrid w:val="0"/>
        <w:spacing w:line="360" w:lineRule="auto"/>
        <w:ind w:firstLine="420" w:firstLineChars="200"/>
        <w:rPr>
          <w:rFonts w:hAnsi="宋体"/>
          <w:color w:val="000000"/>
          <w:sz w:val="21"/>
        </w:rPr>
      </w:pPr>
      <w:r>
        <w:rPr>
          <w:rFonts w:hint="eastAsia" w:hAnsi="宋体"/>
          <w:color w:val="000000"/>
          <w:sz w:val="21"/>
        </w:rPr>
        <w:t>4.甲方无故延期接收货物、乙方逾期交货的，每天向对方偿付违约货款额3‰违约金，但违约金累计不得超过违约货款额5%，超过</w:t>
      </w:r>
      <w:r>
        <w:rPr>
          <w:rFonts w:hint="eastAsia" w:hAnsi="宋体"/>
          <w:color w:val="000000"/>
          <w:sz w:val="21"/>
          <w:u w:val="single"/>
        </w:rPr>
        <w:t xml:space="preserve">   </w:t>
      </w:r>
      <w:r>
        <w:rPr>
          <w:rFonts w:hint="eastAsia" w:hAnsi="宋体"/>
          <w:color w:val="000000"/>
          <w:sz w:val="21"/>
        </w:rPr>
        <w:t>天对方有权解除合同，违约方承担因此给对方造成经济损失；甲方延期付货款的，每天向乙方偿付延期货款额3‰滞纳金，但滞纳金累计不得超过延期货款额5%。甲方无故延期退付履约保证金的，每天向对方偿付未退付履约保证金3‰的违约金。</w:t>
      </w:r>
    </w:p>
    <w:p w14:paraId="40DD831F">
      <w:pPr>
        <w:pStyle w:val="16"/>
        <w:snapToGrid w:val="0"/>
        <w:spacing w:line="360" w:lineRule="auto"/>
        <w:ind w:firstLine="420" w:firstLineChars="200"/>
        <w:rPr>
          <w:rFonts w:hAnsi="宋体"/>
          <w:color w:val="000000"/>
          <w:sz w:val="21"/>
        </w:rPr>
      </w:pPr>
      <w:r>
        <w:rPr>
          <w:rFonts w:hint="eastAsia" w:hAnsi="宋体"/>
          <w:color w:val="000000"/>
          <w:sz w:val="21"/>
        </w:rPr>
        <w:t>5. 乙方未按本合同和投标文件中规定的服务承诺提供售后服务的，乙方应按本合同合计金额 5%向甲方支付违约金。</w:t>
      </w:r>
    </w:p>
    <w:p w14:paraId="6F385B4A">
      <w:pPr>
        <w:pStyle w:val="16"/>
        <w:snapToGrid w:val="0"/>
        <w:spacing w:line="360" w:lineRule="auto"/>
        <w:ind w:firstLine="420" w:firstLineChars="200"/>
        <w:rPr>
          <w:rFonts w:hAnsi="宋体"/>
          <w:color w:val="000000"/>
          <w:sz w:val="21"/>
        </w:rPr>
      </w:pPr>
      <w:r>
        <w:rPr>
          <w:rFonts w:hint="eastAsia" w:hAnsi="宋体"/>
          <w:color w:val="000000"/>
          <w:sz w:val="21"/>
        </w:rPr>
        <w:t>6. 乙方提供的货物在质量保证期内，因设计、工艺或者材料的缺陷和其它质量原因造成的问题，由乙方负责，费用从余款或者履约保证金中扣除，不足另补。</w:t>
      </w:r>
    </w:p>
    <w:p w14:paraId="6309EC3D">
      <w:pPr>
        <w:pStyle w:val="16"/>
        <w:snapToGrid w:val="0"/>
        <w:spacing w:line="360" w:lineRule="auto"/>
        <w:ind w:firstLine="420" w:firstLineChars="200"/>
        <w:rPr>
          <w:rFonts w:hAnsi="宋体"/>
          <w:color w:val="000000"/>
          <w:sz w:val="21"/>
        </w:rPr>
      </w:pPr>
      <w:r>
        <w:rPr>
          <w:rFonts w:hint="eastAsia" w:hAnsi="宋体"/>
          <w:color w:val="000000"/>
          <w:sz w:val="21"/>
        </w:rPr>
        <w:t>7. 甲乙双方有其它违约行为的，由违约方向对方支付违约内容涉及货款额的5%，违约内容涉及货款额的5%不足以赔偿经济损失的按实际赔偿。</w:t>
      </w:r>
    </w:p>
    <w:p w14:paraId="26597B9E">
      <w:pPr>
        <w:pStyle w:val="16"/>
        <w:snapToGrid w:val="0"/>
        <w:spacing w:line="360" w:lineRule="auto"/>
        <w:ind w:firstLine="413" w:firstLineChars="196"/>
        <w:rPr>
          <w:rFonts w:hAnsi="宋体"/>
          <w:b/>
          <w:color w:val="000000"/>
          <w:sz w:val="21"/>
        </w:rPr>
      </w:pPr>
      <w:r>
        <w:rPr>
          <w:rFonts w:hint="eastAsia" w:hAnsi="宋体"/>
          <w:b/>
          <w:color w:val="000000"/>
          <w:sz w:val="21"/>
        </w:rPr>
        <w:t>第十五条  不可抗力事件处理</w:t>
      </w:r>
    </w:p>
    <w:p w14:paraId="7C3E8A24">
      <w:pPr>
        <w:pStyle w:val="16"/>
        <w:snapToGrid w:val="0"/>
        <w:spacing w:line="360" w:lineRule="auto"/>
        <w:ind w:firstLine="420" w:firstLineChars="200"/>
        <w:rPr>
          <w:rFonts w:hAnsi="宋体"/>
          <w:color w:val="000000"/>
          <w:sz w:val="21"/>
        </w:rPr>
      </w:pPr>
      <w:r>
        <w:rPr>
          <w:rFonts w:hint="eastAsia" w:hAnsi="宋体"/>
          <w:color w:val="000000"/>
          <w:sz w:val="21"/>
        </w:rPr>
        <w:t>1.在合同有效期内，任何一方因不可抗力事件导致不能履行合同，则合同履行期可延长，其延长期与不可抗力影响期相同。</w:t>
      </w:r>
    </w:p>
    <w:p w14:paraId="1E1B866A">
      <w:pPr>
        <w:pStyle w:val="16"/>
        <w:snapToGrid w:val="0"/>
        <w:spacing w:line="360" w:lineRule="auto"/>
        <w:ind w:firstLine="420" w:firstLineChars="200"/>
        <w:rPr>
          <w:rFonts w:hAnsi="宋体"/>
          <w:color w:val="000000"/>
          <w:sz w:val="21"/>
        </w:rPr>
      </w:pPr>
      <w:r>
        <w:rPr>
          <w:rFonts w:hint="eastAsia" w:hAnsi="宋体"/>
          <w:color w:val="000000"/>
          <w:sz w:val="21"/>
        </w:rPr>
        <w:t>2.不可抗力事件发生后，应立即通知对方，并寄送有关权威机构出具的证明。</w:t>
      </w:r>
    </w:p>
    <w:p w14:paraId="1B355464">
      <w:pPr>
        <w:snapToGrid w:val="0"/>
        <w:spacing w:line="360" w:lineRule="auto"/>
        <w:ind w:firstLine="420" w:firstLineChars="200"/>
        <w:rPr>
          <w:rFonts w:ascii="宋体" w:hAnsi="宋体"/>
          <w:color w:val="000000"/>
          <w:szCs w:val="21"/>
        </w:rPr>
      </w:pPr>
      <w:r>
        <w:rPr>
          <w:rFonts w:hint="eastAsia" w:ascii="宋体" w:hAnsi="宋体"/>
          <w:color w:val="000000"/>
          <w:szCs w:val="21"/>
        </w:rPr>
        <w:t>3.不可抗力事件延续一百二十天以上，双方应通过友好协商，确定是否继续履行合同。</w:t>
      </w:r>
    </w:p>
    <w:p w14:paraId="32192291">
      <w:pPr>
        <w:snapToGrid w:val="0"/>
        <w:spacing w:line="360" w:lineRule="auto"/>
        <w:ind w:firstLine="422" w:firstLineChars="200"/>
        <w:rPr>
          <w:rFonts w:ascii="宋体" w:hAnsi="宋体"/>
          <w:color w:val="000000"/>
          <w:szCs w:val="21"/>
        </w:rPr>
      </w:pPr>
      <w:r>
        <w:rPr>
          <w:rFonts w:hint="eastAsia" w:ascii="宋体" w:hAnsi="宋体"/>
          <w:b/>
          <w:color w:val="000000"/>
          <w:szCs w:val="21"/>
        </w:rPr>
        <w:t>第十六条  合同争议解决</w:t>
      </w:r>
    </w:p>
    <w:p w14:paraId="58AA8B0F">
      <w:pPr>
        <w:snapToGrid w:val="0"/>
        <w:spacing w:line="360" w:lineRule="auto"/>
        <w:ind w:firstLine="420" w:firstLineChars="200"/>
        <w:rPr>
          <w:rFonts w:ascii="宋体" w:hAnsi="宋体"/>
          <w:color w:val="000000"/>
          <w:szCs w:val="21"/>
        </w:rPr>
      </w:pPr>
      <w:r>
        <w:rPr>
          <w:rFonts w:hint="eastAsia" w:ascii="宋体" w:hAnsi="宋体"/>
          <w:color w:val="000000"/>
          <w:szCs w:val="21"/>
        </w:rPr>
        <w:t>1. 因货物质量问题发生争议的，应邀请国家认可的质量检测机构对货物质量进行鉴定。货物符合标准的，鉴定费由甲方承担；货物不符合标准的，鉴定费由乙方承担。</w:t>
      </w:r>
    </w:p>
    <w:p w14:paraId="6723C384">
      <w:pPr>
        <w:snapToGrid w:val="0"/>
        <w:spacing w:line="360" w:lineRule="auto"/>
        <w:ind w:firstLine="420" w:firstLineChars="200"/>
        <w:rPr>
          <w:rFonts w:ascii="宋体" w:hAnsi="宋体"/>
          <w:color w:val="000000"/>
          <w:szCs w:val="21"/>
        </w:rPr>
      </w:pPr>
      <w:r>
        <w:rPr>
          <w:rFonts w:hint="eastAsia" w:ascii="宋体" w:hAnsi="宋体"/>
          <w:color w:val="000000"/>
          <w:szCs w:val="21"/>
        </w:rPr>
        <w:t>2. 因履行本合同引起的或者与本合同有关的争议，甲乙双方应首先通过友好协商解决，如果协商不能解决，可向甲方所在地</w:t>
      </w:r>
      <w:r>
        <w:rPr>
          <w:rFonts w:hint="eastAsia" w:ascii="宋体" w:hAnsi="宋体" w:cs="宋体"/>
          <w:color w:val="000000"/>
          <w:szCs w:val="21"/>
        </w:rPr>
        <w:t>有管辖权的</w:t>
      </w:r>
      <w:r>
        <w:rPr>
          <w:rFonts w:hint="eastAsia" w:ascii="宋体" w:hAnsi="宋体"/>
          <w:color w:val="000000"/>
          <w:szCs w:val="21"/>
        </w:rPr>
        <w:t>人民法院提起诉讼。</w:t>
      </w:r>
    </w:p>
    <w:p w14:paraId="378BEE64">
      <w:pPr>
        <w:snapToGrid w:val="0"/>
        <w:spacing w:line="360" w:lineRule="auto"/>
        <w:ind w:left="-61" w:firstLine="514"/>
        <w:rPr>
          <w:rFonts w:ascii="宋体" w:hAnsi="宋体"/>
          <w:color w:val="000000"/>
          <w:szCs w:val="21"/>
        </w:rPr>
      </w:pPr>
      <w:r>
        <w:rPr>
          <w:rFonts w:hint="eastAsia" w:ascii="宋体" w:hAnsi="宋体"/>
          <w:color w:val="000000"/>
          <w:szCs w:val="21"/>
        </w:rPr>
        <w:t>3.诉讼期间，本合同继续履行。</w:t>
      </w:r>
    </w:p>
    <w:p w14:paraId="2713B81E">
      <w:pPr>
        <w:pStyle w:val="16"/>
        <w:snapToGrid w:val="0"/>
        <w:spacing w:line="360" w:lineRule="auto"/>
        <w:ind w:firstLine="413" w:firstLineChars="196"/>
        <w:rPr>
          <w:rFonts w:hAnsi="宋体"/>
          <w:b/>
          <w:color w:val="000000"/>
          <w:sz w:val="21"/>
        </w:rPr>
      </w:pPr>
      <w:r>
        <w:rPr>
          <w:rFonts w:hint="eastAsia" w:hAnsi="宋体"/>
          <w:b/>
          <w:color w:val="000000"/>
          <w:sz w:val="21"/>
        </w:rPr>
        <w:t>第十七条  合同生效及其它</w:t>
      </w:r>
    </w:p>
    <w:p w14:paraId="36059F58">
      <w:pPr>
        <w:pStyle w:val="16"/>
        <w:snapToGrid w:val="0"/>
        <w:spacing w:line="360" w:lineRule="auto"/>
        <w:ind w:firstLine="422" w:firstLineChars="200"/>
        <w:rPr>
          <w:rFonts w:hAnsi="宋体"/>
          <w:b/>
          <w:color w:val="000000"/>
          <w:sz w:val="21"/>
        </w:rPr>
      </w:pPr>
      <w:r>
        <w:rPr>
          <w:rFonts w:hint="eastAsia" w:hAnsi="宋体"/>
          <w:b/>
          <w:color w:val="000000"/>
          <w:sz w:val="21"/>
        </w:rPr>
        <w:t>1. 合同经双方法定代表人或者委托代理人签字并加盖单位公章后生效（委托代理人签字的需后附授权委托书，格式自拟）。</w:t>
      </w:r>
    </w:p>
    <w:p w14:paraId="74B6FBC1">
      <w:pPr>
        <w:pStyle w:val="16"/>
        <w:snapToGrid w:val="0"/>
        <w:spacing w:line="360" w:lineRule="auto"/>
        <w:ind w:firstLine="422" w:firstLineChars="200"/>
        <w:rPr>
          <w:rFonts w:hAnsi="宋体"/>
          <w:b/>
          <w:color w:val="000000"/>
          <w:sz w:val="21"/>
        </w:rPr>
      </w:pPr>
      <w:r>
        <w:rPr>
          <w:rFonts w:hint="eastAsia" w:hAnsi="宋体"/>
          <w:b/>
          <w:color w:val="000000"/>
          <w:sz w:val="21"/>
        </w:rPr>
        <w:t>2.合同执行中涉及采购资金和采购内容修改或者补充的，须经财政部门审批，并签书面补充协议报财政部门备案，方可作为主合同不可分割的一部分。</w:t>
      </w:r>
    </w:p>
    <w:p w14:paraId="1D57C8A1">
      <w:pPr>
        <w:pStyle w:val="16"/>
        <w:snapToGrid w:val="0"/>
        <w:spacing w:line="360" w:lineRule="auto"/>
        <w:ind w:left="420" w:leftChars="200"/>
        <w:rPr>
          <w:rFonts w:hAnsi="宋体"/>
          <w:b/>
          <w:color w:val="000000"/>
          <w:sz w:val="21"/>
        </w:rPr>
      </w:pPr>
      <w:r>
        <w:rPr>
          <w:rFonts w:hint="eastAsia" w:hAnsi="宋体"/>
          <w:b/>
          <w:color w:val="000000"/>
          <w:sz w:val="21"/>
        </w:rPr>
        <w:t>3.本合同未尽事宜，遵照《中华人民共和国民法典》有关条文执行。</w:t>
      </w:r>
    </w:p>
    <w:p w14:paraId="5D4F18ED">
      <w:pPr>
        <w:snapToGrid w:val="0"/>
        <w:spacing w:line="360" w:lineRule="auto"/>
        <w:ind w:firstLine="422" w:firstLineChars="200"/>
        <w:rPr>
          <w:rFonts w:ascii="宋体" w:hAnsi="宋体"/>
          <w:b/>
          <w:color w:val="000000"/>
          <w:szCs w:val="21"/>
        </w:rPr>
      </w:pPr>
      <w:r>
        <w:rPr>
          <w:rFonts w:hint="eastAsia" w:ascii="宋体" w:hAnsi="宋体"/>
          <w:b/>
          <w:color w:val="000000"/>
          <w:szCs w:val="21"/>
        </w:rPr>
        <w:t>第十八条　合同的变更、终止与转让</w:t>
      </w:r>
    </w:p>
    <w:p w14:paraId="03292509">
      <w:pPr>
        <w:snapToGrid w:val="0"/>
        <w:spacing w:line="360" w:lineRule="auto"/>
        <w:ind w:firstLine="420" w:firstLineChars="200"/>
        <w:rPr>
          <w:rFonts w:ascii="宋体" w:hAnsi="宋体"/>
          <w:color w:val="000000"/>
          <w:szCs w:val="21"/>
        </w:rPr>
      </w:pPr>
      <w:r>
        <w:rPr>
          <w:rFonts w:hint="eastAsia" w:ascii="宋体" w:hAnsi="宋体"/>
          <w:color w:val="000000"/>
          <w:szCs w:val="21"/>
        </w:rPr>
        <w:t>1. 除《中华人民共和国政府采购法》第五十条规定的情形外，本合同一经签订，甲乙双方不得擅自变更、中止或者终止。</w:t>
      </w:r>
    </w:p>
    <w:p w14:paraId="38BBED1D">
      <w:pPr>
        <w:snapToGrid w:val="0"/>
        <w:spacing w:line="360" w:lineRule="auto"/>
        <w:ind w:left="-61" w:firstLine="514"/>
        <w:rPr>
          <w:rFonts w:ascii="宋体" w:hAnsi="宋体"/>
          <w:color w:val="000000"/>
          <w:szCs w:val="21"/>
        </w:rPr>
      </w:pPr>
      <w:r>
        <w:rPr>
          <w:rFonts w:hint="eastAsia" w:ascii="宋体" w:hAnsi="宋体"/>
          <w:color w:val="000000"/>
          <w:szCs w:val="21"/>
        </w:rPr>
        <w:t>2. 乙方不得擅自转让（无进口资格的供应商委托进口货物除外）其应履行的合同义务。</w:t>
      </w:r>
    </w:p>
    <w:p w14:paraId="0775D302">
      <w:pPr>
        <w:snapToGrid w:val="0"/>
        <w:spacing w:line="360" w:lineRule="auto"/>
        <w:ind w:firstLine="422" w:firstLineChars="200"/>
        <w:rPr>
          <w:rFonts w:ascii="宋体" w:hAnsi="宋体"/>
          <w:b/>
          <w:color w:val="000000"/>
          <w:szCs w:val="21"/>
        </w:rPr>
      </w:pPr>
      <w:r>
        <w:rPr>
          <w:rFonts w:hint="eastAsia" w:ascii="宋体" w:hAnsi="宋体"/>
          <w:b/>
          <w:color w:val="000000"/>
          <w:szCs w:val="21"/>
        </w:rPr>
        <w:t>第十九条　</w:t>
      </w:r>
      <w:r>
        <w:rPr>
          <w:rFonts w:hint="eastAsia" w:ascii="宋体" w:hAnsi="宋体" w:cs="微软雅黑"/>
          <w:color w:val="000000"/>
          <w:spacing w:val="-2"/>
          <w:kern w:val="0"/>
          <w:szCs w:val="21"/>
        </w:rPr>
        <w:t>本</w:t>
      </w:r>
      <w:r>
        <w:rPr>
          <w:rFonts w:hint="eastAsia" w:ascii="宋体" w:hAnsi="宋体" w:cs="微软雅黑"/>
          <w:color w:val="000000"/>
          <w:kern w:val="0"/>
          <w:szCs w:val="21"/>
        </w:rPr>
        <w:t>合同书</w:t>
      </w:r>
      <w:r>
        <w:rPr>
          <w:rFonts w:hint="eastAsia" w:ascii="宋体" w:hAnsi="宋体" w:cs="微软雅黑"/>
          <w:color w:val="000000"/>
          <w:spacing w:val="-2"/>
          <w:kern w:val="0"/>
          <w:szCs w:val="21"/>
        </w:rPr>
        <w:t>与</w:t>
      </w:r>
      <w:r>
        <w:rPr>
          <w:rFonts w:hint="eastAsia" w:ascii="宋体" w:hAnsi="宋体" w:cs="微软雅黑"/>
          <w:color w:val="000000"/>
          <w:kern w:val="0"/>
          <w:szCs w:val="21"/>
        </w:rPr>
        <w:t>下</w:t>
      </w:r>
      <w:r>
        <w:rPr>
          <w:rFonts w:hint="eastAsia" w:ascii="宋体" w:hAnsi="宋体" w:cs="微软雅黑"/>
          <w:color w:val="000000"/>
          <w:spacing w:val="-2"/>
          <w:kern w:val="0"/>
          <w:szCs w:val="21"/>
        </w:rPr>
        <w:t>列</w:t>
      </w:r>
      <w:r>
        <w:rPr>
          <w:rFonts w:hint="eastAsia" w:ascii="宋体" w:hAnsi="宋体" w:cs="微软雅黑"/>
          <w:color w:val="000000"/>
          <w:kern w:val="0"/>
          <w:szCs w:val="21"/>
        </w:rPr>
        <w:t>文</w:t>
      </w:r>
      <w:r>
        <w:rPr>
          <w:rFonts w:hint="eastAsia" w:ascii="宋体" w:hAnsi="宋体" w:cs="微软雅黑"/>
          <w:color w:val="000000"/>
          <w:spacing w:val="-2"/>
          <w:kern w:val="0"/>
          <w:szCs w:val="21"/>
        </w:rPr>
        <w:t>件一</w:t>
      </w:r>
      <w:r>
        <w:rPr>
          <w:rFonts w:hint="eastAsia" w:ascii="宋体" w:hAnsi="宋体" w:cs="微软雅黑"/>
          <w:color w:val="000000"/>
          <w:kern w:val="0"/>
          <w:szCs w:val="21"/>
        </w:rPr>
        <w:t>起构</w:t>
      </w:r>
      <w:r>
        <w:rPr>
          <w:rFonts w:hint="eastAsia" w:ascii="宋体" w:hAnsi="宋体" w:cs="微软雅黑"/>
          <w:color w:val="000000"/>
          <w:spacing w:val="-2"/>
          <w:kern w:val="0"/>
          <w:szCs w:val="21"/>
        </w:rPr>
        <w:t>成</w:t>
      </w:r>
      <w:r>
        <w:rPr>
          <w:rFonts w:hint="eastAsia" w:ascii="宋体" w:hAnsi="宋体" w:cs="微软雅黑"/>
          <w:color w:val="000000"/>
          <w:kern w:val="0"/>
          <w:szCs w:val="21"/>
        </w:rPr>
        <w:t>合</w:t>
      </w:r>
      <w:r>
        <w:rPr>
          <w:rFonts w:hint="eastAsia" w:ascii="宋体" w:hAnsi="宋体" w:cs="微软雅黑"/>
          <w:color w:val="000000"/>
          <w:spacing w:val="-2"/>
          <w:kern w:val="0"/>
          <w:szCs w:val="21"/>
        </w:rPr>
        <w:t>同</w:t>
      </w:r>
      <w:r>
        <w:rPr>
          <w:rFonts w:hint="eastAsia" w:ascii="宋体" w:hAnsi="宋体" w:cs="微软雅黑"/>
          <w:color w:val="000000"/>
          <w:kern w:val="0"/>
          <w:szCs w:val="21"/>
        </w:rPr>
        <w:t>文</w:t>
      </w:r>
      <w:r>
        <w:rPr>
          <w:rFonts w:hint="eastAsia" w:ascii="宋体" w:hAnsi="宋体" w:cs="微软雅黑"/>
          <w:color w:val="000000"/>
          <w:spacing w:val="-2"/>
          <w:kern w:val="0"/>
          <w:szCs w:val="21"/>
        </w:rPr>
        <w:t>件</w:t>
      </w:r>
    </w:p>
    <w:p w14:paraId="66126680">
      <w:pPr>
        <w:pStyle w:val="16"/>
        <w:snapToGrid w:val="0"/>
        <w:spacing w:line="360" w:lineRule="auto"/>
        <w:ind w:left="420" w:leftChars="200"/>
        <w:rPr>
          <w:rFonts w:hAnsi="宋体"/>
          <w:color w:val="000000"/>
          <w:sz w:val="21"/>
        </w:rPr>
      </w:pPr>
      <w:r>
        <w:rPr>
          <w:rFonts w:hint="eastAsia" w:hAnsi="宋体"/>
          <w:color w:val="000000"/>
          <w:sz w:val="21"/>
        </w:rPr>
        <w:t>1.中标通知书；</w:t>
      </w:r>
    </w:p>
    <w:p w14:paraId="6DEA7706">
      <w:pPr>
        <w:pStyle w:val="16"/>
        <w:snapToGrid w:val="0"/>
        <w:spacing w:line="360" w:lineRule="auto"/>
        <w:ind w:left="420" w:leftChars="200"/>
        <w:rPr>
          <w:rFonts w:hAnsi="宋体"/>
          <w:color w:val="000000"/>
          <w:sz w:val="21"/>
        </w:rPr>
      </w:pPr>
      <w:r>
        <w:rPr>
          <w:rFonts w:hint="eastAsia" w:hAnsi="宋体"/>
          <w:color w:val="000000"/>
          <w:sz w:val="21"/>
        </w:rPr>
        <w:t>2.投标函；</w:t>
      </w:r>
    </w:p>
    <w:p w14:paraId="3AFF1E96">
      <w:pPr>
        <w:pStyle w:val="16"/>
        <w:snapToGrid w:val="0"/>
        <w:spacing w:line="360" w:lineRule="auto"/>
        <w:ind w:left="420" w:leftChars="200"/>
        <w:rPr>
          <w:rFonts w:hAnsi="宋体"/>
          <w:color w:val="000000"/>
          <w:sz w:val="21"/>
        </w:rPr>
      </w:pPr>
      <w:r>
        <w:rPr>
          <w:rFonts w:hint="eastAsia" w:hAnsi="宋体"/>
          <w:color w:val="000000"/>
          <w:sz w:val="21"/>
        </w:rPr>
        <w:t>3.商务要求偏离表和技术偏离表；</w:t>
      </w:r>
    </w:p>
    <w:p w14:paraId="221EAA1B">
      <w:pPr>
        <w:pStyle w:val="16"/>
        <w:snapToGrid w:val="0"/>
        <w:spacing w:line="360" w:lineRule="auto"/>
        <w:ind w:left="420" w:leftChars="200"/>
        <w:rPr>
          <w:rFonts w:hAnsi="宋体"/>
          <w:color w:val="000000"/>
          <w:sz w:val="21"/>
        </w:rPr>
      </w:pPr>
      <w:r>
        <w:rPr>
          <w:rFonts w:hint="eastAsia" w:hAnsi="宋体"/>
          <w:color w:val="000000"/>
          <w:sz w:val="21"/>
        </w:rPr>
        <w:t>4.采购需求；</w:t>
      </w:r>
    </w:p>
    <w:p w14:paraId="3AA0DA55">
      <w:pPr>
        <w:pStyle w:val="16"/>
        <w:snapToGrid w:val="0"/>
        <w:spacing w:line="360" w:lineRule="auto"/>
        <w:ind w:left="420" w:leftChars="200"/>
        <w:rPr>
          <w:rFonts w:hAnsi="宋体"/>
          <w:color w:val="000000"/>
          <w:sz w:val="21"/>
        </w:rPr>
      </w:pPr>
      <w:r>
        <w:rPr>
          <w:rFonts w:hint="eastAsia" w:hAnsi="宋体"/>
          <w:color w:val="000000"/>
          <w:sz w:val="21"/>
        </w:rPr>
        <w:t>5.开标一览表；</w:t>
      </w:r>
    </w:p>
    <w:p w14:paraId="146755C6">
      <w:pPr>
        <w:pStyle w:val="16"/>
        <w:snapToGrid w:val="0"/>
        <w:spacing w:line="360" w:lineRule="auto"/>
        <w:ind w:left="420" w:leftChars="200"/>
        <w:rPr>
          <w:rFonts w:hAnsi="宋体"/>
          <w:color w:val="000000"/>
          <w:sz w:val="21"/>
        </w:rPr>
      </w:pPr>
      <w:r>
        <w:rPr>
          <w:rFonts w:hint="eastAsia" w:hAnsi="宋体"/>
          <w:color w:val="000000"/>
          <w:sz w:val="21"/>
        </w:rPr>
        <w:t>6.设备性能配置清单；</w:t>
      </w:r>
    </w:p>
    <w:p w14:paraId="7C383F10">
      <w:pPr>
        <w:pStyle w:val="16"/>
        <w:snapToGrid w:val="0"/>
        <w:spacing w:line="360" w:lineRule="auto"/>
        <w:ind w:left="420" w:leftChars="200"/>
        <w:rPr>
          <w:rFonts w:hAnsi="宋体"/>
          <w:color w:val="000000"/>
          <w:sz w:val="21"/>
        </w:rPr>
      </w:pPr>
      <w:r>
        <w:rPr>
          <w:rFonts w:hint="eastAsia" w:hAnsi="宋体"/>
          <w:color w:val="000000"/>
          <w:sz w:val="21"/>
          <w:lang w:val="en-US" w:eastAsia="zh-CN"/>
        </w:rPr>
        <w:t>7</w:t>
      </w:r>
      <w:r>
        <w:rPr>
          <w:rFonts w:hint="eastAsia" w:hAnsi="宋体"/>
          <w:color w:val="000000"/>
          <w:sz w:val="21"/>
        </w:rPr>
        <w:t>.其他合同文件。</w:t>
      </w:r>
    </w:p>
    <w:p w14:paraId="13D03BF1">
      <w:pPr>
        <w:pStyle w:val="16"/>
        <w:snapToGrid w:val="0"/>
        <w:spacing w:line="360" w:lineRule="auto"/>
        <w:ind w:left="420" w:leftChars="200"/>
        <w:rPr>
          <w:rFonts w:hAnsi="宋体"/>
          <w:b/>
          <w:color w:val="000000"/>
          <w:sz w:val="21"/>
        </w:rPr>
      </w:pPr>
      <w:r>
        <w:rPr>
          <w:rFonts w:hint="eastAsia" w:hAnsi="宋体"/>
          <w:color w:val="000000"/>
          <w:sz w:val="21"/>
          <w:lang w:val="en-US" w:eastAsia="zh-CN"/>
        </w:rPr>
        <w:t>8</w:t>
      </w:r>
      <w:r>
        <w:rPr>
          <w:rFonts w:hint="eastAsia" w:hAnsi="宋体"/>
          <w:color w:val="000000"/>
          <w:sz w:val="21"/>
        </w:rPr>
        <w:t>.上述合同文件互相补充和解释。如果合同文件之间存在矛盾或者不一致之处，以上述文件 的排列顺序在先者为准。</w:t>
      </w:r>
    </w:p>
    <w:p w14:paraId="3D2A60FC">
      <w:pPr>
        <w:snapToGrid w:val="0"/>
        <w:spacing w:line="360" w:lineRule="auto"/>
        <w:ind w:firstLine="422" w:firstLineChars="200"/>
        <w:rPr>
          <w:rFonts w:ascii="宋体" w:hAnsi="宋体"/>
          <w:color w:val="000000"/>
          <w:szCs w:val="21"/>
        </w:rPr>
      </w:pPr>
      <w:r>
        <w:rPr>
          <w:rFonts w:hint="eastAsia" w:ascii="宋体" w:hAnsi="宋体"/>
          <w:b/>
          <w:color w:val="000000"/>
          <w:szCs w:val="21"/>
        </w:rPr>
        <w:t>第二十条　</w:t>
      </w:r>
      <w:r>
        <w:rPr>
          <w:rFonts w:hint="eastAsia" w:ascii="宋体" w:hAnsi="宋体"/>
          <w:color w:val="000000"/>
          <w:szCs w:val="21"/>
        </w:rPr>
        <w:t>本合同一式四份，具有同等法律效力，财政部门（政府采购监管部门）、采购代理机构各一份，甲乙双方各一份（可根据需要另增加）。</w:t>
      </w:r>
    </w:p>
    <w:p w14:paraId="7226752C">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本合同自签订之日起2个工作日内，甲方应当将采购合同在广西壮族自治区财政厅指定的媒体上公告。</w:t>
      </w:r>
    </w:p>
    <w:p w14:paraId="413C20C8">
      <w:pPr>
        <w:spacing w:line="360" w:lineRule="auto"/>
        <w:ind w:firstLine="420" w:firstLineChars="200"/>
        <w:rPr>
          <w:rFonts w:hint="eastAsia" w:ascii="宋体" w:hAnsi="宋体" w:cs="宋体"/>
          <w:color w:val="000000"/>
          <w:szCs w:val="21"/>
        </w:rPr>
      </w:pPr>
    </w:p>
    <w:p w14:paraId="7FAC2996">
      <w:pPr>
        <w:spacing w:line="360" w:lineRule="auto"/>
        <w:ind w:firstLine="420" w:firstLineChars="200"/>
        <w:jc w:val="center"/>
        <w:rPr>
          <w:rFonts w:hint="eastAsia" w:ascii="宋体" w:hAnsi="宋体" w:cs="宋体"/>
          <w:color w:val="000000"/>
          <w:szCs w:val="21"/>
          <w:lang w:val="en-US" w:eastAsia="zh-CN"/>
        </w:rPr>
      </w:pPr>
    </w:p>
    <w:p w14:paraId="54B62A26">
      <w:pPr>
        <w:spacing w:line="360" w:lineRule="auto"/>
        <w:ind w:firstLine="420" w:firstLineChars="200"/>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以下无正文。</w:t>
      </w:r>
    </w:p>
    <w:p w14:paraId="115FC154">
      <w:pPr>
        <w:spacing w:line="360" w:lineRule="auto"/>
        <w:ind w:firstLine="420" w:firstLineChars="200"/>
        <w:rPr>
          <w:rFonts w:hint="eastAsia" w:ascii="宋体" w:hAnsi="宋体" w:cs="宋体"/>
          <w:color w:val="000000"/>
          <w:szCs w:val="21"/>
        </w:rPr>
      </w:pPr>
    </w:p>
    <w:p w14:paraId="526F7411">
      <w:pPr>
        <w:spacing w:line="360" w:lineRule="auto"/>
        <w:ind w:firstLine="420" w:firstLineChars="200"/>
        <w:rPr>
          <w:rFonts w:hint="eastAsia" w:ascii="宋体" w:hAnsi="宋体" w:cs="宋体"/>
          <w:color w:val="000000"/>
          <w:szCs w:val="21"/>
        </w:rPr>
      </w:pPr>
    </w:p>
    <w:p w14:paraId="1F8B8708">
      <w:pPr>
        <w:snapToGrid w:val="0"/>
        <w:spacing w:line="360" w:lineRule="auto"/>
        <w:rPr>
          <w:rFonts w:ascii="宋体" w:hAnsi="宋体"/>
          <w:color w:val="000000"/>
          <w:szCs w:val="21"/>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517"/>
      </w:tblGrid>
      <w:tr w14:paraId="7712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4516" w:type="dxa"/>
            <w:vAlign w:val="center"/>
          </w:tcPr>
          <w:p w14:paraId="3A145668">
            <w:pPr>
              <w:snapToGrid w:val="0"/>
              <w:spacing w:line="360" w:lineRule="auto"/>
              <w:rPr>
                <w:rFonts w:ascii="宋体" w:hAnsi="宋体"/>
                <w:color w:val="000000"/>
                <w:szCs w:val="21"/>
              </w:rPr>
            </w:pPr>
            <w:r>
              <w:rPr>
                <w:rFonts w:hint="eastAsia" w:ascii="宋体" w:hAnsi="宋体"/>
                <w:color w:val="000000"/>
                <w:szCs w:val="21"/>
              </w:rPr>
              <w:t xml:space="preserve">甲方（章）           </w:t>
            </w:r>
          </w:p>
          <w:p w14:paraId="48DA22B9">
            <w:pPr>
              <w:snapToGrid w:val="0"/>
              <w:spacing w:line="360" w:lineRule="auto"/>
              <w:rPr>
                <w:rFonts w:ascii="宋体" w:hAnsi="宋体"/>
                <w:color w:val="000000"/>
                <w:szCs w:val="21"/>
              </w:rPr>
            </w:pPr>
          </w:p>
          <w:p w14:paraId="220C6D00">
            <w:pPr>
              <w:snapToGrid w:val="0"/>
              <w:spacing w:line="360" w:lineRule="auto"/>
              <w:ind w:firstLine="945" w:firstLineChars="450"/>
              <w:jc w:val="right"/>
              <w:rPr>
                <w:rFonts w:ascii="宋体" w:hAnsi="宋体"/>
                <w:color w:val="000000"/>
                <w:szCs w:val="21"/>
              </w:rPr>
            </w:pPr>
            <w:r>
              <w:rPr>
                <w:rFonts w:hint="eastAsia" w:ascii="宋体" w:hAnsi="宋体"/>
                <w:color w:val="000000"/>
                <w:szCs w:val="21"/>
              </w:rPr>
              <w:t>年   月   日</w:t>
            </w:r>
          </w:p>
        </w:tc>
        <w:tc>
          <w:tcPr>
            <w:tcW w:w="4517" w:type="dxa"/>
            <w:vAlign w:val="center"/>
          </w:tcPr>
          <w:p w14:paraId="00A93CA1">
            <w:pPr>
              <w:snapToGrid w:val="0"/>
              <w:spacing w:line="360" w:lineRule="auto"/>
              <w:rPr>
                <w:rFonts w:ascii="宋体" w:hAnsi="宋体"/>
                <w:color w:val="000000"/>
                <w:szCs w:val="21"/>
              </w:rPr>
            </w:pPr>
            <w:r>
              <w:rPr>
                <w:rFonts w:hint="eastAsia" w:ascii="宋体" w:hAnsi="宋体"/>
                <w:color w:val="000000"/>
                <w:szCs w:val="21"/>
              </w:rPr>
              <w:t xml:space="preserve">乙方（章）              </w:t>
            </w:r>
          </w:p>
          <w:p w14:paraId="169FC541">
            <w:pPr>
              <w:snapToGrid w:val="0"/>
              <w:spacing w:line="360" w:lineRule="auto"/>
              <w:rPr>
                <w:rFonts w:ascii="宋体" w:hAnsi="宋体"/>
                <w:color w:val="000000"/>
                <w:szCs w:val="21"/>
              </w:rPr>
            </w:pPr>
          </w:p>
          <w:p w14:paraId="0252F93E">
            <w:pPr>
              <w:snapToGrid w:val="0"/>
              <w:spacing w:line="360" w:lineRule="auto"/>
              <w:jc w:val="right"/>
              <w:rPr>
                <w:rFonts w:ascii="宋体" w:hAnsi="宋体"/>
                <w:color w:val="000000"/>
                <w:szCs w:val="21"/>
              </w:rPr>
            </w:pPr>
            <w:r>
              <w:rPr>
                <w:rFonts w:hint="eastAsia" w:ascii="宋体" w:hAnsi="宋体"/>
                <w:color w:val="000000"/>
                <w:szCs w:val="21"/>
              </w:rPr>
              <w:t xml:space="preserve"> 年   月   日</w:t>
            </w:r>
          </w:p>
        </w:tc>
      </w:tr>
      <w:tr w14:paraId="56D4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4516" w:type="dxa"/>
            <w:vAlign w:val="center"/>
          </w:tcPr>
          <w:p w14:paraId="23536509">
            <w:pPr>
              <w:snapToGrid w:val="0"/>
              <w:spacing w:line="360" w:lineRule="auto"/>
              <w:rPr>
                <w:rFonts w:ascii="宋体" w:hAnsi="宋体"/>
                <w:color w:val="000000"/>
                <w:szCs w:val="21"/>
              </w:rPr>
            </w:pPr>
            <w:r>
              <w:rPr>
                <w:rFonts w:hint="eastAsia" w:ascii="宋体" w:hAnsi="宋体"/>
                <w:color w:val="000000"/>
                <w:szCs w:val="21"/>
              </w:rPr>
              <w:t>单位地址：</w:t>
            </w:r>
          </w:p>
        </w:tc>
        <w:tc>
          <w:tcPr>
            <w:tcW w:w="4517" w:type="dxa"/>
            <w:vAlign w:val="center"/>
          </w:tcPr>
          <w:p w14:paraId="23ED55B1">
            <w:pPr>
              <w:snapToGrid w:val="0"/>
              <w:spacing w:line="360" w:lineRule="auto"/>
              <w:rPr>
                <w:rFonts w:ascii="宋体" w:hAnsi="宋体"/>
                <w:color w:val="000000"/>
                <w:szCs w:val="21"/>
              </w:rPr>
            </w:pPr>
            <w:r>
              <w:rPr>
                <w:rFonts w:hint="eastAsia" w:ascii="宋体" w:hAnsi="宋体"/>
                <w:color w:val="000000"/>
                <w:szCs w:val="21"/>
              </w:rPr>
              <w:t>单位地址：</w:t>
            </w:r>
          </w:p>
        </w:tc>
      </w:tr>
      <w:tr w14:paraId="59E25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jc w:val="center"/>
        </w:trPr>
        <w:tc>
          <w:tcPr>
            <w:tcW w:w="4516" w:type="dxa"/>
          </w:tcPr>
          <w:p w14:paraId="4E224B38">
            <w:pPr>
              <w:snapToGrid w:val="0"/>
              <w:spacing w:line="360" w:lineRule="auto"/>
              <w:rPr>
                <w:rFonts w:ascii="宋体" w:hAnsi="宋体"/>
                <w:color w:val="000000"/>
                <w:szCs w:val="21"/>
              </w:rPr>
            </w:pPr>
            <w:r>
              <w:rPr>
                <w:rFonts w:hint="eastAsia" w:ascii="宋体" w:hAnsi="宋体"/>
                <w:color w:val="000000"/>
                <w:szCs w:val="21"/>
              </w:rPr>
              <w:t>法定代表人或者委托代理人：</w:t>
            </w:r>
          </w:p>
        </w:tc>
        <w:tc>
          <w:tcPr>
            <w:tcW w:w="4517" w:type="dxa"/>
          </w:tcPr>
          <w:p w14:paraId="32053D6A">
            <w:pPr>
              <w:snapToGrid w:val="0"/>
              <w:spacing w:line="360" w:lineRule="auto"/>
              <w:rPr>
                <w:rFonts w:ascii="宋体" w:hAnsi="宋体"/>
                <w:color w:val="000000"/>
                <w:szCs w:val="21"/>
              </w:rPr>
            </w:pPr>
            <w:r>
              <w:rPr>
                <w:rFonts w:hint="eastAsia" w:ascii="宋体" w:hAnsi="宋体"/>
                <w:color w:val="000000"/>
                <w:szCs w:val="21"/>
              </w:rPr>
              <w:t>法定代表人或者委托代理人：</w:t>
            </w:r>
          </w:p>
        </w:tc>
      </w:tr>
      <w:tr w14:paraId="330AC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4516" w:type="dxa"/>
            <w:vAlign w:val="center"/>
          </w:tcPr>
          <w:p w14:paraId="5C1D354A">
            <w:pPr>
              <w:snapToGrid w:val="0"/>
              <w:spacing w:line="360" w:lineRule="auto"/>
              <w:rPr>
                <w:rFonts w:ascii="宋体" w:hAnsi="宋体"/>
                <w:color w:val="000000"/>
                <w:szCs w:val="21"/>
              </w:rPr>
            </w:pPr>
            <w:r>
              <w:rPr>
                <w:rFonts w:hint="eastAsia" w:ascii="宋体" w:hAnsi="宋体"/>
                <w:color w:val="000000"/>
                <w:szCs w:val="21"/>
              </w:rPr>
              <w:t>电话：</w:t>
            </w:r>
          </w:p>
        </w:tc>
        <w:tc>
          <w:tcPr>
            <w:tcW w:w="4517" w:type="dxa"/>
            <w:vAlign w:val="center"/>
          </w:tcPr>
          <w:p w14:paraId="1BA175DC">
            <w:pPr>
              <w:snapToGrid w:val="0"/>
              <w:spacing w:line="360" w:lineRule="auto"/>
              <w:rPr>
                <w:rFonts w:ascii="宋体" w:hAnsi="宋体"/>
                <w:color w:val="000000"/>
                <w:szCs w:val="21"/>
              </w:rPr>
            </w:pPr>
            <w:r>
              <w:rPr>
                <w:rFonts w:hint="eastAsia" w:ascii="宋体" w:hAnsi="宋体"/>
                <w:color w:val="000000"/>
                <w:szCs w:val="21"/>
              </w:rPr>
              <w:t>电话：</w:t>
            </w:r>
          </w:p>
        </w:tc>
      </w:tr>
      <w:tr w14:paraId="1C7D5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4516" w:type="dxa"/>
            <w:vAlign w:val="center"/>
          </w:tcPr>
          <w:p w14:paraId="49061AE6">
            <w:pPr>
              <w:snapToGrid w:val="0"/>
              <w:spacing w:line="360" w:lineRule="auto"/>
              <w:rPr>
                <w:rFonts w:ascii="宋体" w:hAnsi="宋体"/>
                <w:color w:val="000000"/>
                <w:szCs w:val="21"/>
              </w:rPr>
            </w:pPr>
            <w:r>
              <w:rPr>
                <w:rFonts w:hint="eastAsia" w:ascii="宋体" w:hAnsi="宋体"/>
                <w:color w:val="000000"/>
                <w:szCs w:val="21"/>
              </w:rPr>
              <w:t>电子邮箱：</w:t>
            </w:r>
          </w:p>
        </w:tc>
        <w:tc>
          <w:tcPr>
            <w:tcW w:w="4517" w:type="dxa"/>
            <w:vAlign w:val="center"/>
          </w:tcPr>
          <w:p w14:paraId="47623DE6">
            <w:pPr>
              <w:snapToGrid w:val="0"/>
              <w:spacing w:line="360" w:lineRule="auto"/>
              <w:rPr>
                <w:rFonts w:ascii="宋体" w:hAnsi="宋体"/>
                <w:color w:val="000000"/>
                <w:szCs w:val="21"/>
              </w:rPr>
            </w:pPr>
            <w:r>
              <w:rPr>
                <w:rFonts w:hint="eastAsia" w:ascii="宋体" w:hAnsi="宋体"/>
                <w:color w:val="000000"/>
                <w:szCs w:val="21"/>
              </w:rPr>
              <w:t>电子邮箱：</w:t>
            </w:r>
          </w:p>
        </w:tc>
      </w:tr>
      <w:tr w14:paraId="59C0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516" w:type="dxa"/>
            <w:vAlign w:val="center"/>
          </w:tcPr>
          <w:p w14:paraId="2288DE39">
            <w:pPr>
              <w:snapToGrid w:val="0"/>
              <w:spacing w:line="360" w:lineRule="auto"/>
              <w:rPr>
                <w:rFonts w:ascii="宋体" w:hAnsi="宋体"/>
                <w:color w:val="000000"/>
                <w:szCs w:val="21"/>
              </w:rPr>
            </w:pPr>
            <w:r>
              <w:rPr>
                <w:rFonts w:hint="eastAsia" w:ascii="宋体" w:hAnsi="宋体"/>
                <w:color w:val="000000"/>
                <w:szCs w:val="21"/>
              </w:rPr>
              <w:t>开户银行：</w:t>
            </w:r>
          </w:p>
        </w:tc>
        <w:tc>
          <w:tcPr>
            <w:tcW w:w="4517" w:type="dxa"/>
            <w:vAlign w:val="center"/>
          </w:tcPr>
          <w:p w14:paraId="7ED735C4">
            <w:pPr>
              <w:snapToGrid w:val="0"/>
              <w:spacing w:line="360" w:lineRule="auto"/>
              <w:rPr>
                <w:rFonts w:ascii="宋体" w:hAnsi="宋体"/>
                <w:color w:val="000000"/>
                <w:szCs w:val="21"/>
              </w:rPr>
            </w:pPr>
            <w:r>
              <w:rPr>
                <w:rFonts w:hint="eastAsia" w:ascii="宋体" w:hAnsi="宋体"/>
                <w:color w:val="000000"/>
                <w:szCs w:val="21"/>
              </w:rPr>
              <w:t>开户银行：</w:t>
            </w:r>
          </w:p>
        </w:tc>
      </w:tr>
      <w:tr w14:paraId="1CEA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516" w:type="dxa"/>
            <w:vAlign w:val="center"/>
          </w:tcPr>
          <w:p w14:paraId="05D15D7A">
            <w:pPr>
              <w:snapToGrid w:val="0"/>
              <w:spacing w:line="360" w:lineRule="auto"/>
              <w:rPr>
                <w:rFonts w:ascii="宋体" w:hAnsi="宋体"/>
                <w:color w:val="000000"/>
                <w:szCs w:val="21"/>
              </w:rPr>
            </w:pPr>
            <w:r>
              <w:rPr>
                <w:rFonts w:hint="eastAsia" w:ascii="宋体" w:hAnsi="宋体"/>
                <w:color w:val="000000"/>
                <w:szCs w:val="21"/>
              </w:rPr>
              <w:t>账号：</w:t>
            </w:r>
          </w:p>
        </w:tc>
        <w:tc>
          <w:tcPr>
            <w:tcW w:w="4517" w:type="dxa"/>
            <w:vAlign w:val="center"/>
          </w:tcPr>
          <w:p w14:paraId="5284DA9E">
            <w:pPr>
              <w:snapToGrid w:val="0"/>
              <w:spacing w:line="360" w:lineRule="auto"/>
              <w:rPr>
                <w:rFonts w:ascii="宋体" w:hAnsi="宋体"/>
                <w:color w:val="000000"/>
                <w:szCs w:val="21"/>
              </w:rPr>
            </w:pPr>
            <w:r>
              <w:rPr>
                <w:rFonts w:hint="eastAsia" w:ascii="宋体" w:hAnsi="宋体"/>
                <w:color w:val="000000"/>
                <w:szCs w:val="21"/>
              </w:rPr>
              <w:t>账号：</w:t>
            </w:r>
          </w:p>
        </w:tc>
      </w:tr>
      <w:tr w14:paraId="31297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4516" w:type="dxa"/>
            <w:vAlign w:val="center"/>
          </w:tcPr>
          <w:p w14:paraId="1A11D324">
            <w:pPr>
              <w:snapToGrid w:val="0"/>
              <w:spacing w:line="360" w:lineRule="auto"/>
              <w:rPr>
                <w:rFonts w:ascii="宋体" w:hAnsi="宋体"/>
                <w:color w:val="000000"/>
                <w:szCs w:val="21"/>
              </w:rPr>
            </w:pPr>
            <w:r>
              <w:rPr>
                <w:rFonts w:hint="eastAsia" w:ascii="宋体" w:hAnsi="宋体"/>
                <w:color w:val="000000"/>
                <w:szCs w:val="21"/>
              </w:rPr>
              <w:t>邮政编码：</w:t>
            </w:r>
          </w:p>
        </w:tc>
        <w:tc>
          <w:tcPr>
            <w:tcW w:w="4517" w:type="dxa"/>
            <w:vAlign w:val="center"/>
          </w:tcPr>
          <w:p w14:paraId="617617D3">
            <w:pPr>
              <w:snapToGrid w:val="0"/>
              <w:spacing w:line="360" w:lineRule="auto"/>
              <w:rPr>
                <w:rFonts w:ascii="宋体" w:hAnsi="宋体"/>
                <w:color w:val="000000"/>
                <w:szCs w:val="21"/>
              </w:rPr>
            </w:pPr>
            <w:r>
              <w:rPr>
                <w:rFonts w:hint="eastAsia" w:ascii="宋体" w:hAnsi="宋体"/>
                <w:color w:val="000000"/>
                <w:szCs w:val="21"/>
              </w:rPr>
              <w:t>邮政编码：</w:t>
            </w:r>
          </w:p>
        </w:tc>
      </w:tr>
    </w:tbl>
    <w:p w14:paraId="27EB2D41">
      <w:pPr>
        <w:snapToGrid w:val="0"/>
        <w:spacing w:line="360" w:lineRule="auto"/>
        <w:ind w:left="420" w:hanging="420" w:hangingChars="200"/>
        <w:rPr>
          <w:rFonts w:ascii="宋体" w:hAnsi="宋体"/>
          <w:color w:val="000000"/>
          <w:szCs w:val="21"/>
        </w:rPr>
      </w:pPr>
    </w:p>
    <w:p w14:paraId="7743FD07">
      <w:pPr>
        <w:snapToGrid w:val="0"/>
        <w:spacing w:line="360" w:lineRule="auto"/>
        <w:jc w:val="center"/>
        <w:rPr>
          <w:rFonts w:ascii="宋体" w:hAnsi="宋体"/>
          <w:b/>
          <w:color w:val="000000"/>
          <w:szCs w:val="21"/>
        </w:rPr>
      </w:pPr>
      <w:r>
        <w:rPr>
          <w:rFonts w:ascii="宋体" w:hAnsi="宋体"/>
          <w:b/>
          <w:color w:val="000000"/>
          <w:szCs w:val="21"/>
        </w:rPr>
        <w:br w:type="page"/>
      </w:r>
      <w:r>
        <w:rPr>
          <w:rFonts w:hint="eastAsia" w:ascii="宋体" w:hAnsi="宋体"/>
          <w:b/>
          <w:color w:val="000000"/>
          <w:szCs w:val="21"/>
        </w:rPr>
        <w:t>合 同 附 件</w:t>
      </w:r>
    </w:p>
    <w:p w14:paraId="3F433B7D">
      <w:pPr>
        <w:snapToGrid w:val="0"/>
        <w:spacing w:line="360" w:lineRule="auto"/>
        <w:rPr>
          <w:rFonts w:ascii="宋体" w:hAnsi="宋体"/>
          <w:color w:val="000000"/>
          <w:szCs w:val="21"/>
        </w:rPr>
      </w:pPr>
      <w:r>
        <w:rPr>
          <w:rFonts w:hint="eastAsia" w:ascii="宋体" w:hAnsi="宋体"/>
          <w:color w:val="000000"/>
          <w:szCs w:val="21"/>
        </w:rPr>
        <w:t>一般货物类</w:t>
      </w:r>
    </w:p>
    <w:tbl>
      <w:tblPr>
        <w:tblStyle w:val="26"/>
        <w:tblW w:w="0" w:type="auto"/>
        <w:jc w:val="center"/>
        <w:tblLayout w:type="fixed"/>
        <w:tblCellMar>
          <w:top w:w="0" w:type="dxa"/>
          <w:left w:w="108" w:type="dxa"/>
          <w:bottom w:w="0" w:type="dxa"/>
          <w:right w:w="108" w:type="dxa"/>
        </w:tblCellMar>
      </w:tblPr>
      <w:tblGrid>
        <w:gridCol w:w="4248"/>
        <w:gridCol w:w="4793"/>
      </w:tblGrid>
      <w:tr w14:paraId="6F5DFA4E">
        <w:tblPrEx>
          <w:tblCellMar>
            <w:top w:w="0" w:type="dxa"/>
            <w:left w:w="108" w:type="dxa"/>
            <w:bottom w:w="0" w:type="dxa"/>
            <w:right w:w="108" w:type="dxa"/>
          </w:tblCellMar>
        </w:tblPrEx>
        <w:trPr>
          <w:trHeight w:val="1226" w:hRule="atLeast"/>
          <w:jc w:val="center"/>
        </w:trPr>
        <w:tc>
          <w:tcPr>
            <w:tcW w:w="9041" w:type="dxa"/>
            <w:gridSpan w:val="2"/>
            <w:tcBorders>
              <w:top w:val="single" w:color="auto" w:sz="4" w:space="0"/>
              <w:left w:val="single" w:color="auto" w:sz="4" w:space="0"/>
              <w:right w:val="single" w:color="auto" w:sz="4" w:space="0"/>
            </w:tcBorders>
          </w:tcPr>
          <w:p w14:paraId="32F95D2A">
            <w:pPr>
              <w:snapToGrid w:val="0"/>
              <w:spacing w:line="360" w:lineRule="auto"/>
              <w:ind w:firstLine="422" w:firstLineChars="200"/>
              <w:rPr>
                <w:rFonts w:ascii="宋体" w:hAnsi="宋体"/>
                <w:b/>
                <w:color w:val="000000"/>
                <w:szCs w:val="21"/>
              </w:rPr>
            </w:pPr>
            <w:r>
              <w:rPr>
                <w:rFonts w:hint="eastAsia" w:ascii="宋体" w:hAnsi="宋体"/>
                <w:b/>
                <w:color w:val="000000"/>
                <w:szCs w:val="21"/>
              </w:rPr>
              <w:t>1. 供应商承诺具体事项：</w:t>
            </w:r>
          </w:p>
        </w:tc>
      </w:tr>
      <w:tr w14:paraId="0817886E">
        <w:tblPrEx>
          <w:tblCellMar>
            <w:top w:w="0" w:type="dxa"/>
            <w:left w:w="108" w:type="dxa"/>
            <w:bottom w:w="0" w:type="dxa"/>
            <w:right w:w="108" w:type="dxa"/>
          </w:tblCellMar>
        </w:tblPrEx>
        <w:trPr>
          <w:trHeight w:val="1228" w:hRule="atLeast"/>
          <w:jc w:val="center"/>
        </w:trPr>
        <w:tc>
          <w:tcPr>
            <w:tcW w:w="9041" w:type="dxa"/>
            <w:gridSpan w:val="2"/>
            <w:tcBorders>
              <w:top w:val="single" w:color="auto" w:sz="4" w:space="0"/>
              <w:left w:val="single" w:color="auto" w:sz="4" w:space="0"/>
              <w:right w:val="single" w:color="auto" w:sz="4" w:space="0"/>
            </w:tcBorders>
          </w:tcPr>
          <w:p w14:paraId="582C3332">
            <w:pPr>
              <w:snapToGrid w:val="0"/>
              <w:spacing w:line="360" w:lineRule="auto"/>
              <w:ind w:firstLine="422" w:firstLineChars="200"/>
              <w:rPr>
                <w:rFonts w:ascii="宋体" w:hAnsi="宋体"/>
                <w:b/>
                <w:color w:val="000000"/>
                <w:szCs w:val="21"/>
              </w:rPr>
            </w:pPr>
            <w:r>
              <w:rPr>
                <w:rFonts w:hint="eastAsia" w:ascii="宋体" w:hAnsi="宋体"/>
                <w:b/>
                <w:color w:val="000000"/>
                <w:szCs w:val="21"/>
              </w:rPr>
              <w:t>2. 售后服务具体事项：</w:t>
            </w:r>
          </w:p>
        </w:tc>
      </w:tr>
      <w:tr w14:paraId="1BB2BC73">
        <w:tblPrEx>
          <w:tblCellMar>
            <w:top w:w="0" w:type="dxa"/>
            <w:left w:w="108" w:type="dxa"/>
            <w:bottom w:w="0" w:type="dxa"/>
            <w:right w:w="108" w:type="dxa"/>
          </w:tblCellMar>
        </w:tblPrEx>
        <w:trPr>
          <w:trHeight w:val="1088" w:hRule="atLeast"/>
          <w:jc w:val="center"/>
        </w:trPr>
        <w:tc>
          <w:tcPr>
            <w:tcW w:w="9041" w:type="dxa"/>
            <w:gridSpan w:val="2"/>
            <w:tcBorders>
              <w:top w:val="single" w:color="auto" w:sz="4" w:space="0"/>
              <w:left w:val="single" w:color="auto" w:sz="4" w:space="0"/>
              <w:right w:val="single" w:color="auto" w:sz="4" w:space="0"/>
            </w:tcBorders>
          </w:tcPr>
          <w:p w14:paraId="1BEA1AB0">
            <w:pPr>
              <w:snapToGrid w:val="0"/>
              <w:spacing w:line="360" w:lineRule="auto"/>
              <w:ind w:firstLine="422" w:firstLineChars="200"/>
              <w:rPr>
                <w:rFonts w:ascii="宋体" w:hAnsi="宋体"/>
                <w:b/>
                <w:color w:val="000000"/>
                <w:szCs w:val="21"/>
              </w:rPr>
            </w:pPr>
            <w:r>
              <w:rPr>
                <w:rFonts w:hint="eastAsia" w:ascii="宋体" w:hAnsi="宋体"/>
                <w:b/>
                <w:color w:val="000000"/>
                <w:szCs w:val="21"/>
              </w:rPr>
              <w:t>3. 保修期责任：</w:t>
            </w:r>
          </w:p>
        </w:tc>
      </w:tr>
      <w:tr w14:paraId="20C7F659">
        <w:tblPrEx>
          <w:tblCellMar>
            <w:top w:w="0" w:type="dxa"/>
            <w:left w:w="108" w:type="dxa"/>
            <w:bottom w:w="0" w:type="dxa"/>
            <w:right w:w="108" w:type="dxa"/>
          </w:tblCellMar>
        </w:tblPrEx>
        <w:trPr>
          <w:trHeight w:val="1360" w:hRule="atLeast"/>
          <w:jc w:val="center"/>
        </w:trPr>
        <w:tc>
          <w:tcPr>
            <w:tcW w:w="9041" w:type="dxa"/>
            <w:gridSpan w:val="2"/>
            <w:tcBorders>
              <w:top w:val="single" w:color="auto" w:sz="4" w:space="0"/>
              <w:left w:val="single" w:color="auto" w:sz="4" w:space="0"/>
              <w:right w:val="single" w:color="auto" w:sz="4" w:space="0"/>
            </w:tcBorders>
          </w:tcPr>
          <w:p w14:paraId="288154FD">
            <w:pPr>
              <w:snapToGrid w:val="0"/>
              <w:spacing w:line="360" w:lineRule="auto"/>
              <w:ind w:firstLine="422" w:firstLineChars="200"/>
              <w:rPr>
                <w:rFonts w:ascii="宋体" w:hAnsi="宋体"/>
                <w:b/>
                <w:color w:val="000000"/>
                <w:szCs w:val="21"/>
              </w:rPr>
            </w:pPr>
            <w:r>
              <w:rPr>
                <w:rFonts w:hint="eastAsia" w:ascii="宋体" w:hAnsi="宋体"/>
                <w:b/>
                <w:color w:val="000000"/>
                <w:szCs w:val="21"/>
              </w:rPr>
              <w:t>4. 其他具体事项：</w:t>
            </w:r>
          </w:p>
        </w:tc>
      </w:tr>
      <w:tr w14:paraId="63951AF9">
        <w:tblPrEx>
          <w:tblCellMar>
            <w:top w:w="0" w:type="dxa"/>
            <w:left w:w="108" w:type="dxa"/>
            <w:bottom w:w="0" w:type="dxa"/>
            <w:right w:w="108" w:type="dxa"/>
          </w:tblCellMar>
        </w:tblPrEx>
        <w:trPr>
          <w:trHeight w:val="1703" w:hRule="atLeast"/>
          <w:jc w:val="center"/>
        </w:trPr>
        <w:tc>
          <w:tcPr>
            <w:tcW w:w="4248" w:type="dxa"/>
            <w:tcBorders>
              <w:top w:val="single" w:color="auto" w:sz="4" w:space="0"/>
              <w:left w:val="single" w:color="auto" w:sz="4" w:space="0"/>
              <w:bottom w:val="single" w:color="auto" w:sz="4" w:space="0"/>
              <w:right w:val="single" w:color="auto" w:sz="4" w:space="0"/>
            </w:tcBorders>
            <w:vAlign w:val="center"/>
          </w:tcPr>
          <w:p w14:paraId="4364EE70">
            <w:pPr>
              <w:snapToGrid w:val="0"/>
              <w:spacing w:line="360" w:lineRule="auto"/>
              <w:ind w:firstLine="422" w:firstLineChars="200"/>
              <w:rPr>
                <w:rFonts w:ascii="宋体" w:hAnsi="宋体"/>
                <w:b/>
                <w:color w:val="000000"/>
                <w:szCs w:val="21"/>
              </w:rPr>
            </w:pPr>
            <w:r>
              <w:rPr>
                <w:rFonts w:hint="eastAsia" w:ascii="宋体" w:hAnsi="宋体"/>
                <w:b/>
                <w:color w:val="000000"/>
                <w:szCs w:val="21"/>
              </w:rPr>
              <w:t>甲方（章）</w:t>
            </w:r>
          </w:p>
          <w:p w14:paraId="5A9414CB">
            <w:pPr>
              <w:snapToGrid w:val="0"/>
              <w:spacing w:line="360" w:lineRule="auto"/>
              <w:ind w:firstLine="422" w:firstLineChars="200"/>
              <w:rPr>
                <w:rFonts w:ascii="宋体" w:hAnsi="宋体"/>
                <w:b/>
                <w:color w:val="000000"/>
                <w:szCs w:val="21"/>
              </w:rPr>
            </w:pPr>
          </w:p>
          <w:p w14:paraId="61B6AF10">
            <w:pPr>
              <w:snapToGrid w:val="0"/>
              <w:spacing w:line="360" w:lineRule="auto"/>
              <w:rPr>
                <w:rFonts w:ascii="宋体" w:hAnsi="宋体"/>
                <w:b/>
                <w:color w:val="000000"/>
                <w:szCs w:val="21"/>
              </w:rPr>
            </w:pPr>
          </w:p>
          <w:p w14:paraId="1A7D244D">
            <w:pPr>
              <w:snapToGrid w:val="0"/>
              <w:spacing w:line="360" w:lineRule="auto"/>
              <w:ind w:firstLine="422" w:firstLineChars="200"/>
              <w:rPr>
                <w:rFonts w:ascii="宋体" w:hAnsi="宋体"/>
                <w:b/>
                <w:color w:val="000000"/>
                <w:szCs w:val="21"/>
              </w:rPr>
            </w:pPr>
            <w:r>
              <w:rPr>
                <w:rFonts w:hint="eastAsia" w:ascii="宋体" w:hAnsi="宋体"/>
                <w:b/>
                <w:color w:val="000000"/>
                <w:szCs w:val="21"/>
              </w:rPr>
              <w:t xml:space="preserve">                 年   月   日 </w:t>
            </w:r>
          </w:p>
        </w:tc>
        <w:tc>
          <w:tcPr>
            <w:tcW w:w="4793" w:type="dxa"/>
            <w:tcBorders>
              <w:top w:val="single" w:color="auto" w:sz="4" w:space="0"/>
              <w:left w:val="single" w:color="auto" w:sz="4" w:space="0"/>
              <w:bottom w:val="single" w:color="auto" w:sz="4" w:space="0"/>
              <w:right w:val="single" w:color="auto" w:sz="4" w:space="0"/>
            </w:tcBorders>
            <w:vAlign w:val="center"/>
          </w:tcPr>
          <w:p w14:paraId="56FE8E21">
            <w:pPr>
              <w:snapToGrid w:val="0"/>
              <w:spacing w:line="360" w:lineRule="auto"/>
              <w:ind w:firstLine="422" w:firstLineChars="200"/>
              <w:rPr>
                <w:rFonts w:ascii="宋体" w:hAnsi="宋体"/>
                <w:b/>
                <w:color w:val="000000"/>
                <w:szCs w:val="21"/>
              </w:rPr>
            </w:pPr>
            <w:r>
              <w:rPr>
                <w:rFonts w:hint="eastAsia" w:ascii="宋体" w:hAnsi="宋体"/>
                <w:b/>
                <w:color w:val="000000"/>
                <w:szCs w:val="21"/>
              </w:rPr>
              <w:t>乙方（章）</w:t>
            </w:r>
          </w:p>
          <w:p w14:paraId="50D06172">
            <w:pPr>
              <w:snapToGrid w:val="0"/>
              <w:spacing w:line="360" w:lineRule="auto"/>
              <w:ind w:firstLine="422" w:firstLineChars="200"/>
              <w:rPr>
                <w:rFonts w:ascii="宋体" w:hAnsi="宋体"/>
                <w:b/>
                <w:color w:val="000000"/>
                <w:szCs w:val="21"/>
              </w:rPr>
            </w:pPr>
          </w:p>
          <w:p w14:paraId="1FC2C3D1">
            <w:pPr>
              <w:snapToGrid w:val="0"/>
              <w:spacing w:line="360" w:lineRule="auto"/>
              <w:rPr>
                <w:rFonts w:ascii="宋体" w:hAnsi="宋体"/>
                <w:b/>
                <w:color w:val="000000"/>
                <w:szCs w:val="21"/>
              </w:rPr>
            </w:pPr>
          </w:p>
          <w:p w14:paraId="65BD3026">
            <w:pPr>
              <w:snapToGrid w:val="0"/>
              <w:spacing w:line="360" w:lineRule="auto"/>
              <w:ind w:firstLine="422" w:firstLineChars="200"/>
              <w:rPr>
                <w:rFonts w:ascii="宋体" w:hAnsi="宋体"/>
                <w:b/>
                <w:color w:val="000000"/>
                <w:szCs w:val="21"/>
              </w:rPr>
            </w:pPr>
            <w:r>
              <w:rPr>
                <w:rFonts w:hint="eastAsia" w:ascii="宋体" w:hAnsi="宋体"/>
                <w:b/>
                <w:color w:val="000000"/>
                <w:szCs w:val="21"/>
              </w:rPr>
              <w:t xml:space="preserve">                年   月   日</w:t>
            </w:r>
          </w:p>
        </w:tc>
      </w:tr>
    </w:tbl>
    <w:p w14:paraId="49C0604F">
      <w:pPr>
        <w:snapToGrid w:val="0"/>
        <w:spacing w:line="360" w:lineRule="auto"/>
        <w:jc w:val="left"/>
        <w:rPr>
          <w:rFonts w:ascii="宋体" w:hAnsi="宋体"/>
          <w:color w:val="000000"/>
          <w:szCs w:val="21"/>
        </w:rPr>
      </w:pPr>
      <w:r>
        <w:rPr>
          <w:rFonts w:hint="eastAsia" w:ascii="宋体" w:hAnsi="宋体"/>
          <w:color w:val="000000"/>
          <w:szCs w:val="21"/>
        </w:rPr>
        <w:t xml:space="preserve">   注：售后服务事项填不下时可另加附页</w:t>
      </w:r>
    </w:p>
    <w:p w14:paraId="77D92F3B">
      <w:pPr>
        <w:snapToGrid w:val="0"/>
        <w:spacing w:line="360" w:lineRule="auto"/>
        <w:jc w:val="center"/>
        <w:rPr>
          <w:rFonts w:ascii="宋体" w:hAnsi="宋体"/>
          <w:b/>
          <w:bCs/>
          <w:sz w:val="32"/>
          <w:szCs w:val="32"/>
        </w:rPr>
      </w:pPr>
    </w:p>
    <w:p w14:paraId="119668CF">
      <w:pPr>
        <w:snapToGrid w:val="0"/>
        <w:spacing w:line="360" w:lineRule="auto"/>
        <w:jc w:val="center"/>
        <w:rPr>
          <w:rFonts w:ascii="宋体" w:hAnsi="宋体"/>
          <w:b/>
          <w:bCs/>
          <w:sz w:val="32"/>
          <w:szCs w:val="32"/>
        </w:rPr>
      </w:pPr>
    </w:p>
    <w:p w14:paraId="4B5254E3">
      <w:pPr>
        <w:snapToGrid w:val="0"/>
        <w:spacing w:line="360" w:lineRule="auto"/>
        <w:jc w:val="center"/>
        <w:rPr>
          <w:rFonts w:ascii="宋体" w:hAnsi="宋体"/>
          <w:b/>
          <w:bCs/>
          <w:sz w:val="32"/>
          <w:szCs w:val="32"/>
        </w:rPr>
      </w:pPr>
    </w:p>
    <w:p w14:paraId="5F571B11">
      <w:pPr>
        <w:pStyle w:val="11"/>
        <w:jc w:val="center"/>
        <w:rPr>
          <w:rFonts w:ascii="宋体" w:hAnsi="宋体" w:cs="宋体"/>
          <w:b/>
          <w:bCs/>
          <w:spacing w:val="-20"/>
          <w:kern w:val="44"/>
          <w:sz w:val="48"/>
          <w:szCs w:val="48"/>
        </w:rPr>
      </w:pPr>
      <w:bookmarkStart w:id="167" w:name="_Toc3995"/>
    </w:p>
    <w:p w14:paraId="4F93BEDC">
      <w:pPr>
        <w:pStyle w:val="11"/>
        <w:jc w:val="center"/>
        <w:rPr>
          <w:rFonts w:ascii="宋体" w:hAnsi="宋体" w:cs="宋体"/>
          <w:b/>
          <w:bCs/>
          <w:spacing w:val="-20"/>
          <w:kern w:val="44"/>
          <w:sz w:val="48"/>
          <w:szCs w:val="48"/>
        </w:rPr>
      </w:pPr>
    </w:p>
    <w:bookmarkEnd w:id="167"/>
    <w:p w14:paraId="7BEB5242">
      <w:pPr>
        <w:snapToGrid w:val="0"/>
        <w:jc w:val="center"/>
        <w:rPr>
          <w:rFonts w:ascii="宋体" w:hAnsi="宋体"/>
          <w:bCs/>
          <w:sz w:val="32"/>
          <w:szCs w:val="32"/>
        </w:rPr>
      </w:pPr>
    </w:p>
    <w:bookmarkEnd w:id="166"/>
    <w:p w14:paraId="25DBB764">
      <w:pPr>
        <w:snapToGrid w:val="0"/>
        <w:spacing w:line="480" w:lineRule="auto"/>
        <w:rPr>
          <w:rFonts w:ascii="宋体" w:hAnsi="宋体"/>
          <w:bCs/>
          <w:sz w:val="32"/>
          <w:szCs w:val="32"/>
        </w:rPr>
      </w:pPr>
    </w:p>
    <w:p w14:paraId="2E93F3D4">
      <w:pPr>
        <w:snapToGrid w:val="0"/>
        <w:jc w:val="center"/>
        <w:rPr>
          <w:rFonts w:ascii="宋体" w:hAnsi="宋体"/>
          <w:bCs/>
          <w:sz w:val="32"/>
          <w:szCs w:val="32"/>
        </w:rPr>
      </w:pPr>
    </w:p>
    <w:p w14:paraId="383269A1">
      <w:pPr>
        <w:snapToGrid w:val="0"/>
        <w:jc w:val="center"/>
        <w:rPr>
          <w:rFonts w:ascii="宋体" w:hAnsi="宋体"/>
          <w:bCs/>
          <w:sz w:val="32"/>
          <w:szCs w:val="32"/>
        </w:rPr>
      </w:pPr>
    </w:p>
    <w:p w14:paraId="128AA253">
      <w:pPr>
        <w:snapToGrid w:val="0"/>
        <w:jc w:val="center"/>
        <w:rPr>
          <w:rFonts w:ascii="宋体" w:hAnsi="宋体"/>
          <w:bCs/>
          <w:sz w:val="32"/>
          <w:szCs w:val="32"/>
        </w:rPr>
      </w:pPr>
    </w:p>
    <w:p w14:paraId="14381120">
      <w:pPr>
        <w:snapToGrid w:val="0"/>
        <w:jc w:val="center"/>
        <w:rPr>
          <w:rFonts w:ascii="宋体" w:hAnsi="宋体"/>
          <w:bCs/>
          <w:sz w:val="32"/>
          <w:szCs w:val="32"/>
        </w:rPr>
      </w:pPr>
    </w:p>
    <w:p w14:paraId="62AB5A44">
      <w:pPr>
        <w:snapToGrid w:val="0"/>
        <w:jc w:val="center"/>
        <w:rPr>
          <w:rFonts w:ascii="宋体" w:hAnsi="宋体"/>
          <w:bCs/>
          <w:sz w:val="32"/>
          <w:szCs w:val="32"/>
        </w:rPr>
      </w:pPr>
    </w:p>
    <w:p w14:paraId="3C852C85">
      <w:pPr>
        <w:snapToGrid w:val="0"/>
        <w:rPr>
          <w:rFonts w:ascii="宋体" w:hAnsi="宋体"/>
          <w:bCs/>
          <w:sz w:val="32"/>
          <w:szCs w:val="32"/>
        </w:rPr>
      </w:pPr>
    </w:p>
    <w:p w14:paraId="4B41F7AA">
      <w:pPr>
        <w:snapToGrid w:val="0"/>
        <w:rPr>
          <w:rFonts w:ascii="宋体" w:hAnsi="宋体"/>
          <w:bCs/>
          <w:sz w:val="32"/>
          <w:szCs w:val="32"/>
        </w:rPr>
      </w:pPr>
    </w:p>
    <w:p w14:paraId="598E21C0">
      <w:pPr>
        <w:snapToGrid w:val="0"/>
        <w:rPr>
          <w:rFonts w:ascii="宋体" w:hAnsi="宋体"/>
          <w:bCs/>
          <w:sz w:val="32"/>
          <w:szCs w:val="32"/>
        </w:rPr>
      </w:pPr>
    </w:p>
    <w:p w14:paraId="5FBBFEC0">
      <w:pPr>
        <w:snapToGrid w:val="0"/>
        <w:rPr>
          <w:rFonts w:ascii="宋体" w:hAnsi="宋体"/>
          <w:bCs/>
          <w:sz w:val="32"/>
          <w:szCs w:val="32"/>
        </w:rPr>
      </w:pPr>
    </w:p>
    <w:p w14:paraId="7F079E2D">
      <w:pPr>
        <w:snapToGrid w:val="0"/>
        <w:rPr>
          <w:rFonts w:ascii="宋体" w:hAnsi="宋体"/>
          <w:bCs/>
          <w:sz w:val="32"/>
          <w:szCs w:val="32"/>
        </w:rPr>
      </w:pPr>
    </w:p>
    <w:p w14:paraId="03E8E572">
      <w:pPr>
        <w:snapToGrid w:val="0"/>
        <w:rPr>
          <w:rFonts w:ascii="宋体" w:hAnsi="宋体"/>
          <w:bCs/>
          <w:sz w:val="32"/>
          <w:szCs w:val="32"/>
        </w:rPr>
      </w:pPr>
    </w:p>
    <w:p w14:paraId="11AB1093">
      <w:pPr>
        <w:snapToGrid w:val="0"/>
        <w:rPr>
          <w:rFonts w:ascii="宋体" w:hAnsi="宋体"/>
          <w:bCs/>
          <w:sz w:val="32"/>
          <w:szCs w:val="32"/>
        </w:rPr>
      </w:pPr>
    </w:p>
    <w:p w14:paraId="7349FC3A">
      <w:pPr>
        <w:snapToGrid w:val="0"/>
        <w:rPr>
          <w:rFonts w:ascii="宋体" w:hAnsi="宋体"/>
          <w:bCs/>
          <w:sz w:val="32"/>
          <w:szCs w:val="32"/>
        </w:rPr>
      </w:pPr>
    </w:p>
    <w:p w14:paraId="7C4D99ED">
      <w:pPr>
        <w:snapToGrid w:val="0"/>
        <w:jc w:val="center"/>
        <w:rPr>
          <w:rFonts w:ascii="宋体" w:hAnsi="宋体"/>
          <w:bCs/>
          <w:sz w:val="32"/>
          <w:szCs w:val="32"/>
        </w:rPr>
      </w:pPr>
    </w:p>
    <w:p w14:paraId="1B8B5229">
      <w:pPr>
        <w:pStyle w:val="2"/>
        <w:jc w:val="center"/>
      </w:pPr>
      <w:bookmarkStart w:id="168" w:name="_Toc74320805"/>
      <w:bookmarkStart w:id="169" w:name="_Toc2191"/>
      <w:bookmarkStart w:id="170" w:name="_Toc19381"/>
      <w:r>
        <w:rPr>
          <w:rFonts w:hint="eastAsia"/>
        </w:rPr>
        <w:t>第六章　投标文件格式</w:t>
      </w:r>
      <w:bookmarkEnd w:id="168"/>
      <w:bookmarkEnd w:id="169"/>
      <w:bookmarkEnd w:id="170"/>
    </w:p>
    <w:p w14:paraId="32166E60">
      <w:pPr>
        <w:snapToGrid w:val="0"/>
        <w:spacing w:before="50" w:after="50"/>
        <w:outlineLvl w:val="1"/>
        <w:rPr>
          <w:rFonts w:ascii="宋体" w:hAnsi="宋体"/>
          <w:sz w:val="32"/>
          <w:szCs w:val="20"/>
        </w:rPr>
      </w:pPr>
    </w:p>
    <w:p w14:paraId="1189E256">
      <w:pPr>
        <w:snapToGrid w:val="0"/>
        <w:spacing w:before="50" w:after="50"/>
        <w:outlineLvl w:val="1"/>
        <w:rPr>
          <w:rFonts w:ascii="宋体" w:hAnsi="宋体"/>
          <w:sz w:val="32"/>
          <w:szCs w:val="20"/>
        </w:rPr>
      </w:pPr>
    </w:p>
    <w:p w14:paraId="72AA7724">
      <w:pPr>
        <w:snapToGrid w:val="0"/>
        <w:spacing w:before="50" w:after="50"/>
        <w:outlineLvl w:val="1"/>
        <w:rPr>
          <w:rFonts w:ascii="宋体" w:hAnsi="宋体"/>
          <w:sz w:val="32"/>
          <w:szCs w:val="20"/>
        </w:rPr>
      </w:pPr>
    </w:p>
    <w:p w14:paraId="067B6458">
      <w:pPr>
        <w:snapToGrid w:val="0"/>
        <w:spacing w:before="50" w:after="50"/>
        <w:outlineLvl w:val="1"/>
        <w:rPr>
          <w:rFonts w:ascii="宋体" w:hAnsi="宋体"/>
          <w:sz w:val="32"/>
          <w:szCs w:val="20"/>
        </w:rPr>
      </w:pPr>
    </w:p>
    <w:p w14:paraId="1864D649">
      <w:pPr>
        <w:snapToGrid w:val="0"/>
        <w:spacing w:before="50" w:after="50"/>
        <w:outlineLvl w:val="1"/>
        <w:rPr>
          <w:rFonts w:ascii="宋体" w:hAnsi="宋体"/>
          <w:sz w:val="32"/>
          <w:szCs w:val="20"/>
        </w:rPr>
      </w:pPr>
    </w:p>
    <w:p w14:paraId="006E2C7D">
      <w:pPr>
        <w:snapToGrid w:val="0"/>
        <w:spacing w:before="50" w:after="50"/>
        <w:outlineLvl w:val="1"/>
        <w:rPr>
          <w:rFonts w:ascii="宋体" w:hAnsi="宋体"/>
          <w:sz w:val="32"/>
          <w:szCs w:val="20"/>
        </w:rPr>
      </w:pPr>
    </w:p>
    <w:p w14:paraId="1512770E">
      <w:pPr>
        <w:snapToGrid w:val="0"/>
        <w:spacing w:before="50" w:after="50"/>
        <w:outlineLvl w:val="1"/>
        <w:rPr>
          <w:rFonts w:ascii="宋体" w:hAnsi="宋体"/>
          <w:sz w:val="32"/>
          <w:szCs w:val="20"/>
        </w:rPr>
      </w:pPr>
    </w:p>
    <w:p w14:paraId="66291B46">
      <w:pPr>
        <w:snapToGrid w:val="0"/>
        <w:spacing w:before="50" w:after="50"/>
        <w:outlineLvl w:val="1"/>
        <w:rPr>
          <w:rFonts w:ascii="宋体" w:hAnsi="宋体"/>
          <w:sz w:val="32"/>
          <w:szCs w:val="20"/>
        </w:rPr>
      </w:pPr>
    </w:p>
    <w:p w14:paraId="5173920E">
      <w:pPr>
        <w:snapToGrid w:val="0"/>
        <w:spacing w:before="50" w:after="50"/>
        <w:outlineLvl w:val="1"/>
        <w:rPr>
          <w:rFonts w:ascii="宋体" w:hAnsi="宋体"/>
          <w:sz w:val="32"/>
          <w:szCs w:val="20"/>
        </w:rPr>
      </w:pPr>
    </w:p>
    <w:p w14:paraId="63F414EB">
      <w:pPr>
        <w:snapToGrid w:val="0"/>
        <w:spacing w:before="50" w:after="50"/>
        <w:outlineLvl w:val="1"/>
        <w:rPr>
          <w:rFonts w:ascii="宋体" w:hAnsi="宋体"/>
          <w:sz w:val="32"/>
          <w:szCs w:val="20"/>
        </w:rPr>
      </w:pPr>
    </w:p>
    <w:p w14:paraId="13BF3D87">
      <w:pPr>
        <w:snapToGrid w:val="0"/>
        <w:spacing w:before="50" w:after="50"/>
        <w:outlineLvl w:val="1"/>
        <w:rPr>
          <w:rFonts w:ascii="宋体" w:hAnsi="宋体"/>
          <w:sz w:val="32"/>
          <w:szCs w:val="20"/>
        </w:rPr>
      </w:pPr>
    </w:p>
    <w:p w14:paraId="0A825ADC">
      <w:pPr>
        <w:snapToGrid w:val="0"/>
        <w:spacing w:before="50" w:after="50"/>
        <w:outlineLvl w:val="1"/>
        <w:rPr>
          <w:rFonts w:ascii="宋体" w:hAnsi="宋体"/>
          <w:sz w:val="32"/>
          <w:szCs w:val="20"/>
        </w:rPr>
      </w:pPr>
    </w:p>
    <w:p w14:paraId="686E4561">
      <w:pPr>
        <w:snapToGrid w:val="0"/>
        <w:spacing w:before="50" w:after="50"/>
        <w:outlineLvl w:val="1"/>
        <w:rPr>
          <w:rFonts w:ascii="宋体" w:hAnsi="宋体"/>
          <w:sz w:val="32"/>
          <w:szCs w:val="20"/>
        </w:rPr>
      </w:pPr>
    </w:p>
    <w:p w14:paraId="2D1CFAA1">
      <w:pPr>
        <w:snapToGrid w:val="0"/>
        <w:spacing w:before="50" w:after="50"/>
        <w:outlineLvl w:val="1"/>
        <w:rPr>
          <w:rFonts w:ascii="宋体" w:hAnsi="宋体"/>
          <w:sz w:val="32"/>
          <w:szCs w:val="20"/>
        </w:rPr>
      </w:pPr>
    </w:p>
    <w:p w14:paraId="75D95509">
      <w:pPr>
        <w:snapToGrid w:val="0"/>
        <w:spacing w:before="50" w:after="50"/>
        <w:outlineLvl w:val="1"/>
        <w:rPr>
          <w:rFonts w:ascii="宋体" w:hAnsi="宋体"/>
          <w:sz w:val="32"/>
          <w:szCs w:val="20"/>
        </w:rPr>
      </w:pPr>
    </w:p>
    <w:p w14:paraId="689FE825">
      <w:pPr>
        <w:snapToGrid w:val="0"/>
        <w:spacing w:before="50" w:after="50"/>
        <w:outlineLvl w:val="1"/>
        <w:rPr>
          <w:rFonts w:ascii="宋体" w:hAnsi="宋体"/>
          <w:sz w:val="32"/>
          <w:szCs w:val="20"/>
        </w:rPr>
      </w:pPr>
    </w:p>
    <w:p w14:paraId="2A3CBD4F">
      <w:pPr>
        <w:snapToGrid w:val="0"/>
        <w:spacing w:before="120" w:beforeLines="50" w:after="50"/>
        <w:jc w:val="center"/>
        <w:outlineLvl w:val="1"/>
        <w:rPr>
          <w:rFonts w:ascii="宋体" w:hAnsi="宋体"/>
        </w:rPr>
      </w:pPr>
    </w:p>
    <w:p w14:paraId="23D47FBD">
      <w:pPr>
        <w:rPr>
          <w:b/>
          <w:sz w:val="28"/>
          <w:szCs w:val="28"/>
        </w:rPr>
      </w:pPr>
      <w:bookmarkStart w:id="171" w:name="_Toc19686836"/>
      <w:bookmarkStart w:id="172" w:name="_Toc254970698"/>
      <w:bookmarkStart w:id="173" w:name="_Toc254970557"/>
      <w:r>
        <w:rPr>
          <w:rFonts w:hint="eastAsia"/>
          <w:b/>
          <w:sz w:val="28"/>
          <w:szCs w:val="28"/>
        </w:rPr>
        <w:t>一、报价文件格式</w:t>
      </w:r>
      <w:bookmarkEnd w:id="171"/>
    </w:p>
    <w:p w14:paraId="2E4A2097">
      <w:pPr>
        <w:snapToGrid w:val="0"/>
        <w:spacing w:before="120" w:beforeLines="50" w:after="50" w:line="360" w:lineRule="auto"/>
        <w:ind w:left="142"/>
        <w:jc w:val="left"/>
        <w:rPr>
          <w:rFonts w:ascii="宋体" w:hAnsi="宋体"/>
          <w:b/>
          <w:sz w:val="24"/>
        </w:rPr>
      </w:pPr>
      <w:r>
        <w:rPr>
          <w:rFonts w:hint="eastAsia" w:ascii="宋体" w:hAnsi="宋体"/>
          <w:b/>
          <w:sz w:val="24"/>
        </w:rPr>
        <w:t xml:space="preserve">1. 报价文件封面格式： </w:t>
      </w:r>
    </w:p>
    <w:p w14:paraId="7906E9F5">
      <w:pPr>
        <w:snapToGrid w:val="0"/>
        <w:spacing w:before="120" w:beforeLines="50" w:after="50" w:line="360" w:lineRule="auto"/>
        <w:ind w:left="142"/>
        <w:jc w:val="center"/>
        <w:rPr>
          <w:rFonts w:ascii="宋体" w:hAnsi="宋体" w:eastAsia="方正小标宋简体"/>
          <w:bCs/>
          <w:sz w:val="48"/>
          <w:szCs w:val="48"/>
        </w:rPr>
      </w:pPr>
    </w:p>
    <w:p w14:paraId="5DBE5531">
      <w:pPr>
        <w:snapToGrid w:val="0"/>
        <w:spacing w:before="120" w:beforeLines="50" w:after="50" w:line="360" w:lineRule="auto"/>
        <w:ind w:left="142"/>
        <w:jc w:val="center"/>
        <w:rPr>
          <w:rFonts w:ascii="宋体" w:hAnsi="宋体" w:eastAsia="方正小标宋简体"/>
          <w:bCs/>
          <w:sz w:val="72"/>
          <w:szCs w:val="72"/>
        </w:rPr>
      </w:pPr>
      <w:r>
        <w:rPr>
          <w:rFonts w:hint="eastAsia" w:ascii="宋体" w:hAnsi="宋体" w:eastAsia="方正小标宋简体"/>
          <w:b/>
          <w:bCs w:val="0"/>
          <w:sz w:val="48"/>
          <w:szCs w:val="48"/>
        </w:rPr>
        <w:t>电子</w:t>
      </w:r>
      <w:r>
        <w:rPr>
          <w:rFonts w:hint="eastAsia" w:ascii="宋体" w:hAnsi="宋体" w:eastAsia="方正小标宋简体"/>
          <w:bCs/>
          <w:sz w:val="48"/>
          <w:szCs w:val="48"/>
        </w:rPr>
        <w:t>投标文件</w:t>
      </w:r>
    </w:p>
    <w:p w14:paraId="71E2717D">
      <w:pPr>
        <w:snapToGrid w:val="0"/>
        <w:spacing w:before="120" w:beforeLines="50" w:after="50" w:line="360" w:lineRule="auto"/>
        <w:jc w:val="center"/>
        <w:rPr>
          <w:rFonts w:ascii="宋体" w:hAnsi="宋体"/>
          <w:bCs/>
          <w:sz w:val="24"/>
          <w:szCs w:val="20"/>
        </w:rPr>
      </w:pPr>
      <w:r>
        <w:rPr>
          <w:rFonts w:hint="eastAsia" w:ascii="方正小标宋简体" w:hAnsi="方正小标宋简体" w:eastAsia="方正小标宋简体" w:cs="方正小标宋简体"/>
          <w:sz w:val="72"/>
          <w:szCs w:val="72"/>
        </w:rPr>
        <w:t>报  价  文  件</w:t>
      </w:r>
    </w:p>
    <w:p w14:paraId="07943C7B">
      <w:pPr>
        <w:snapToGrid w:val="0"/>
        <w:spacing w:before="120" w:beforeLines="50" w:after="50" w:line="400" w:lineRule="exact"/>
        <w:rPr>
          <w:rFonts w:ascii="宋体" w:hAnsi="宋体"/>
          <w:bCs/>
          <w:sz w:val="24"/>
          <w:szCs w:val="20"/>
        </w:rPr>
      </w:pPr>
    </w:p>
    <w:p w14:paraId="540B91B9">
      <w:pPr>
        <w:snapToGrid w:val="0"/>
        <w:spacing w:before="120" w:beforeLines="50" w:after="50" w:line="400" w:lineRule="exact"/>
        <w:rPr>
          <w:rFonts w:ascii="宋体" w:hAnsi="宋体"/>
          <w:bCs/>
          <w:sz w:val="24"/>
          <w:szCs w:val="20"/>
        </w:rPr>
      </w:pPr>
    </w:p>
    <w:p w14:paraId="740B6D8C">
      <w:pPr>
        <w:snapToGrid w:val="0"/>
        <w:spacing w:before="120" w:beforeLines="50" w:after="50" w:line="400" w:lineRule="exact"/>
        <w:ind w:firstLine="980" w:firstLineChars="350"/>
        <w:rPr>
          <w:rFonts w:ascii="宋体" w:hAnsi="宋体"/>
          <w:bCs/>
          <w:sz w:val="28"/>
          <w:szCs w:val="28"/>
        </w:rPr>
      </w:pPr>
      <w:r>
        <w:rPr>
          <w:rFonts w:hint="eastAsia" w:ascii="宋体" w:hAnsi="宋体"/>
          <w:bCs/>
          <w:sz w:val="28"/>
          <w:szCs w:val="28"/>
        </w:rPr>
        <w:t xml:space="preserve">项目名称： </w:t>
      </w:r>
    </w:p>
    <w:p w14:paraId="293D3B5B">
      <w:pPr>
        <w:snapToGrid w:val="0"/>
        <w:spacing w:before="120" w:beforeLines="50" w:after="50" w:line="400" w:lineRule="exact"/>
        <w:ind w:firstLine="420" w:firstLineChars="150"/>
        <w:rPr>
          <w:rFonts w:ascii="宋体" w:hAnsi="宋体"/>
          <w:bCs/>
          <w:sz w:val="28"/>
          <w:szCs w:val="28"/>
        </w:rPr>
      </w:pPr>
    </w:p>
    <w:p w14:paraId="18D2B8DC">
      <w:pPr>
        <w:snapToGrid w:val="0"/>
        <w:spacing w:before="120" w:beforeLines="50" w:after="50" w:line="400" w:lineRule="exact"/>
        <w:ind w:firstLine="980" w:firstLineChars="350"/>
        <w:rPr>
          <w:rFonts w:ascii="宋体" w:hAnsi="宋体"/>
          <w:bCs/>
          <w:sz w:val="28"/>
          <w:szCs w:val="28"/>
        </w:rPr>
      </w:pPr>
      <w:r>
        <w:rPr>
          <w:rFonts w:hint="eastAsia" w:ascii="宋体" w:hAnsi="宋体"/>
          <w:bCs/>
          <w:sz w:val="28"/>
          <w:szCs w:val="28"/>
        </w:rPr>
        <w:t xml:space="preserve">项目编号： </w:t>
      </w:r>
    </w:p>
    <w:p w14:paraId="6E1F81AA">
      <w:pPr>
        <w:snapToGrid w:val="0"/>
        <w:spacing w:before="120" w:beforeLines="50" w:after="50" w:line="400" w:lineRule="exact"/>
        <w:rPr>
          <w:rFonts w:ascii="宋体" w:hAnsi="宋体"/>
          <w:bCs/>
          <w:sz w:val="28"/>
          <w:szCs w:val="28"/>
        </w:rPr>
      </w:pPr>
    </w:p>
    <w:p w14:paraId="36F70054">
      <w:pPr>
        <w:snapToGrid w:val="0"/>
        <w:spacing w:before="120" w:beforeLines="50" w:after="50" w:line="400" w:lineRule="exact"/>
        <w:ind w:firstLine="980" w:firstLineChars="350"/>
        <w:rPr>
          <w:rFonts w:ascii="宋体" w:hAnsi="宋体"/>
          <w:bCs/>
          <w:sz w:val="28"/>
          <w:szCs w:val="28"/>
        </w:rPr>
      </w:pPr>
      <w:r>
        <w:rPr>
          <w:rFonts w:hint="eastAsia" w:ascii="宋体" w:hAnsi="宋体"/>
          <w:bCs/>
          <w:sz w:val="28"/>
          <w:szCs w:val="28"/>
        </w:rPr>
        <w:t>投标人名称：</w:t>
      </w:r>
    </w:p>
    <w:p w14:paraId="3CBD7F7D">
      <w:pPr>
        <w:snapToGrid w:val="0"/>
        <w:spacing w:before="120" w:beforeLines="50" w:after="50" w:line="400" w:lineRule="exact"/>
        <w:ind w:firstLine="420" w:firstLineChars="150"/>
        <w:rPr>
          <w:rFonts w:ascii="宋体" w:hAnsi="宋体"/>
          <w:bCs/>
          <w:sz w:val="28"/>
          <w:szCs w:val="28"/>
        </w:rPr>
      </w:pPr>
    </w:p>
    <w:p w14:paraId="6B33049A">
      <w:pPr>
        <w:snapToGrid w:val="0"/>
        <w:spacing w:before="120" w:beforeLines="50" w:after="50" w:line="400" w:lineRule="exact"/>
        <w:ind w:firstLine="980" w:firstLineChars="350"/>
        <w:rPr>
          <w:rFonts w:ascii="宋体" w:hAnsi="宋体"/>
          <w:bCs/>
          <w:sz w:val="28"/>
          <w:szCs w:val="28"/>
        </w:rPr>
      </w:pPr>
      <w:r>
        <w:rPr>
          <w:rFonts w:hint="eastAsia" w:ascii="宋体" w:hAnsi="宋体"/>
          <w:bCs/>
          <w:sz w:val="28"/>
          <w:szCs w:val="28"/>
        </w:rPr>
        <w:t>投标人地址：</w:t>
      </w:r>
    </w:p>
    <w:p w14:paraId="0511C244">
      <w:pPr>
        <w:pStyle w:val="7"/>
        <w:snapToGrid w:val="0"/>
        <w:spacing w:before="50" w:after="50" w:line="400" w:lineRule="exact"/>
        <w:ind w:firstLine="1120" w:firstLineChars="400"/>
        <w:rPr>
          <w:rFonts w:ascii="宋体" w:hAnsi="宋体"/>
          <w:bCs/>
          <w:sz w:val="28"/>
          <w:szCs w:val="28"/>
        </w:rPr>
      </w:pPr>
    </w:p>
    <w:p w14:paraId="189D75B1">
      <w:pPr>
        <w:snapToGrid w:val="0"/>
        <w:spacing w:before="120" w:beforeLines="50" w:after="50" w:line="400" w:lineRule="exact"/>
        <w:rPr>
          <w:rFonts w:ascii="宋体" w:hAnsi="宋体"/>
          <w:sz w:val="28"/>
          <w:szCs w:val="28"/>
        </w:rPr>
      </w:pPr>
      <w:r>
        <w:rPr>
          <w:rFonts w:hint="eastAsia" w:ascii="宋体" w:hAnsi="宋体"/>
          <w:sz w:val="28"/>
          <w:szCs w:val="28"/>
        </w:rPr>
        <w:t xml:space="preserve">                                   年   月   日</w:t>
      </w:r>
    </w:p>
    <w:p w14:paraId="5AD7BF22">
      <w:pPr>
        <w:snapToGrid w:val="0"/>
        <w:spacing w:before="120" w:beforeLines="50" w:after="50" w:line="360" w:lineRule="auto"/>
        <w:jc w:val="left"/>
        <w:rPr>
          <w:rFonts w:ascii="宋体" w:hAnsi="宋体"/>
          <w:sz w:val="24"/>
          <w:szCs w:val="20"/>
        </w:rPr>
      </w:pPr>
      <w:r>
        <w:rPr>
          <w:rFonts w:ascii="宋体" w:hAnsi="宋体"/>
          <w:b/>
          <w:sz w:val="24"/>
        </w:rPr>
        <w:br w:type="page"/>
      </w:r>
      <w:r>
        <w:rPr>
          <w:rFonts w:hint="eastAsia" w:ascii="宋体" w:hAnsi="宋体"/>
          <w:b/>
          <w:sz w:val="24"/>
        </w:rPr>
        <w:t>2.</w:t>
      </w:r>
      <w:r>
        <w:rPr>
          <w:rFonts w:hint="eastAsia" w:ascii="宋体" w:hAnsi="宋体"/>
          <w:b/>
          <w:bCs/>
          <w:sz w:val="24"/>
        </w:rPr>
        <w:t>报价文件目录</w:t>
      </w:r>
    </w:p>
    <w:p w14:paraId="0A1D43A9">
      <w:pPr>
        <w:snapToGrid w:val="0"/>
        <w:spacing w:before="50" w:after="120" w:afterLines="50" w:line="360" w:lineRule="auto"/>
        <w:jc w:val="left"/>
        <w:rPr>
          <w:rFonts w:ascii="宋体" w:hAnsi="宋体"/>
          <w:b/>
          <w:sz w:val="28"/>
          <w:szCs w:val="28"/>
        </w:rPr>
      </w:pPr>
      <w:r>
        <w:rPr>
          <w:rFonts w:hint="eastAsia" w:ascii="宋体" w:hAnsi="宋体"/>
          <w:sz w:val="28"/>
          <w:szCs w:val="28"/>
        </w:rPr>
        <w:t>根据招标文件规定及投标人提供的材料自行编写目录。</w:t>
      </w:r>
    </w:p>
    <w:p w14:paraId="4FCCD14A">
      <w:pPr>
        <w:snapToGrid w:val="0"/>
        <w:spacing w:before="120" w:beforeLines="50" w:after="50"/>
        <w:rPr>
          <w:rFonts w:ascii="宋体" w:hAnsi="宋体"/>
          <w:b/>
          <w:sz w:val="24"/>
        </w:rPr>
      </w:pPr>
    </w:p>
    <w:p w14:paraId="2327F1FE">
      <w:pPr>
        <w:snapToGrid w:val="0"/>
        <w:spacing w:before="120" w:beforeLines="50" w:after="50"/>
        <w:rPr>
          <w:rFonts w:ascii="宋体" w:hAnsi="宋体"/>
          <w:b/>
          <w:sz w:val="24"/>
        </w:rPr>
      </w:pPr>
    </w:p>
    <w:p w14:paraId="2019ADB9">
      <w:pPr>
        <w:snapToGrid w:val="0"/>
        <w:spacing w:before="120" w:beforeLines="50" w:after="50"/>
        <w:rPr>
          <w:rFonts w:ascii="宋体" w:hAnsi="宋体"/>
          <w:b/>
          <w:sz w:val="24"/>
        </w:rPr>
      </w:pPr>
    </w:p>
    <w:p w14:paraId="64FA496D">
      <w:pPr>
        <w:snapToGrid w:val="0"/>
        <w:spacing w:before="120" w:beforeLines="50" w:after="50"/>
        <w:ind w:left="142"/>
        <w:jc w:val="left"/>
        <w:rPr>
          <w:rFonts w:ascii="宋体" w:hAnsi="宋体"/>
          <w:b/>
          <w:sz w:val="24"/>
        </w:rPr>
      </w:pPr>
      <w:r>
        <w:rPr>
          <w:rFonts w:ascii="宋体" w:hAnsi="宋体"/>
          <w:b/>
          <w:sz w:val="24"/>
        </w:rPr>
        <w:br w:type="page"/>
      </w:r>
      <w:r>
        <w:rPr>
          <w:rFonts w:hint="eastAsia" w:ascii="宋体" w:hAnsi="宋体"/>
          <w:b/>
          <w:sz w:val="24"/>
        </w:rPr>
        <w:t>3. 投标函格式：</w:t>
      </w:r>
    </w:p>
    <w:p w14:paraId="068609A6">
      <w:pPr>
        <w:snapToGrid w:val="0"/>
        <w:spacing w:before="120" w:beforeLines="50" w:after="50" w:line="360" w:lineRule="auto"/>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投 标 函</w:t>
      </w:r>
    </w:p>
    <w:p w14:paraId="3E91BAC0">
      <w:pPr>
        <w:snapToGrid w:val="0"/>
        <w:spacing w:before="120" w:beforeLines="50" w:after="50" w:line="320" w:lineRule="exact"/>
        <w:rPr>
          <w:rFonts w:ascii="宋体" w:hAnsi="宋体"/>
          <w:b/>
          <w:sz w:val="32"/>
          <w:szCs w:val="32"/>
        </w:rPr>
      </w:pPr>
    </w:p>
    <w:p w14:paraId="2A8DED60">
      <w:pPr>
        <w:spacing w:line="360" w:lineRule="auto"/>
        <w:contextualSpacing/>
        <w:rPr>
          <w:rFonts w:ascii="宋体" w:hAnsi="宋体"/>
          <w:sz w:val="24"/>
        </w:rPr>
      </w:pPr>
      <w:r>
        <w:rPr>
          <w:rFonts w:hint="eastAsia" w:ascii="宋体" w:hAnsi="宋体"/>
          <w:sz w:val="24"/>
        </w:rPr>
        <w:t>致：</w:t>
      </w:r>
      <w:r>
        <w:rPr>
          <w:rFonts w:hint="eastAsia" w:ascii="宋体" w:hAnsi="宋体"/>
          <w:sz w:val="24"/>
          <w:u w:val="single"/>
        </w:rPr>
        <w:t>采购人名称</w:t>
      </w:r>
      <w:r>
        <w:rPr>
          <w:rFonts w:hint="eastAsia" w:ascii="宋体" w:hAnsi="宋体"/>
          <w:sz w:val="24"/>
        </w:rPr>
        <w:t>：</w:t>
      </w:r>
    </w:p>
    <w:p w14:paraId="56C78A6E">
      <w:pPr>
        <w:spacing w:line="360" w:lineRule="auto"/>
        <w:ind w:firstLine="480"/>
        <w:contextualSpacing/>
        <w:rPr>
          <w:rFonts w:ascii="宋体" w:hAnsi="宋体"/>
          <w:sz w:val="24"/>
        </w:rPr>
      </w:pPr>
      <w:r>
        <w:rPr>
          <w:rFonts w:hint="eastAsia" w:ascii="宋体" w:hAnsi="宋体"/>
          <w:sz w:val="24"/>
        </w:rPr>
        <w:t>根据贵方</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u w:val="single"/>
          <w:lang w:eastAsia="zh-CN"/>
        </w:rPr>
        <w:t>（</w:t>
      </w:r>
      <w:r>
        <w:rPr>
          <w:rFonts w:hint="eastAsia" w:ascii="宋体" w:hAnsi="宋体"/>
          <w:sz w:val="24"/>
          <w:u w:val="single"/>
        </w:rPr>
        <w:t>项目名称</w:t>
      </w:r>
      <w:r>
        <w:rPr>
          <w:rFonts w:hint="eastAsia" w:ascii="宋体" w:hAnsi="宋体"/>
          <w:sz w:val="24"/>
          <w:u w:val="single"/>
          <w:lang w:eastAsia="zh-CN"/>
        </w:rPr>
        <w:t>）</w:t>
      </w:r>
      <w:r>
        <w:rPr>
          <w:rFonts w:hint="eastAsia" w:ascii="宋体" w:hAnsi="宋体"/>
          <w:sz w:val="24"/>
        </w:rPr>
        <w:t>（项目编号：</w:t>
      </w:r>
      <w:r>
        <w:rPr>
          <w:rFonts w:hint="eastAsia" w:ascii="宋体" w:hAnsi="宋体"/>
          <w:sz w:val="24"/>
          <w:u w:val="single"/>
        </w:rPr>
        <w:t xml:space="preserve">        </w:t>
      </w:r>
      <w:r>
        <w:rPr>
          <w:rFonts w:hint="eastAsia" w:ascii="宋体" w:hAnsi="宋体"/>
          <w:sz w:val="24"/>
        </w:rPr>
        <w:t>）的招标文件，签字代表______（姓名）经正式授权并代表投标人</w:t>
      </w:r>
      <w:r>
        <w:rPr>
          <w:rFonts w:hint="eastAsia" w:ascii="宋体" w:hAnsi="宋体"/>
          <w:sz w:val="24"/>
          <w:u w:val="single"/>
        </w:rPr>
        <w:t xml:space="preserve">                 </w:t>
      </w:r>
      <w:r>
        <w:rPr>
          <w:rFonts w:hint="eastAsia" w:ascii="宋体" w:hAnsi="宋体"/>
          <w:sz w:val="24"/>
        </w:rPr>
        <w:t>（投标人名称）提交投标文件。</w:t>
      </w:r>
    </w:p>
    <w:p w14:paraId="31FDD30C">
      <w:pPr>
        <w:spacing w:line="360" w:lineRule="auto"/>
        <w:ind w:firstLine="480" w:firstLineChars="200"/>
        <w:contextualSpacing/>
        <w:rPr>
          <w:rFonts w:ascii="宋体" w:hAnsi="宋体"/>
          <w:sz w:val="24"/>
        </w:rPr>
      </w:pPr>
      <w:r>
        <w:rPr>
          <w:rFonts w:hint="eastAsia" w:ascii="宋体" w:hAnsi="宋体"/>
          <w:sz w:val="24"/>
        </w:rPr>
        <w:t>据此函，我方宣布同意如下：</w:t>
      </w:r>
    </w:p>
    <w:p w14:paraId="36A10F7D">
      <w:pPr>
        <w:spacing w:line="360" w:lineRule="auto"/>
        <w:ind w:firstLine="480" w:firstLineChars="200"/>
        <w:contextualSpacing/>
        <w:rPr>
          <w:rFonts w:ascii="宋体" w:hAnsi="宋体"/>
          <w:sz w:val="24"/>
        </w:rPr>
      </w:pPr>
      <w:r>
        <w:rPr>
          <w:rFonts w:hint="eastAsia" w:ascii="宋体" w:hAnsi="宋体"/>
          <w:sz w:val="24"/>
        </w:rPr>
        <w:t>1.我方已详细审查全部“招标文件”，包括修改文件（如有的话）以及全部参考资料和有关附件，已经了解我方对于招标文件、采购过程、采购结果有依法进行询问、质疑、投诉的权利及相关渠道和要求。</w:t>
      </w:r>
    </w:p>
    <w:p w14:paraId="50EEBE56">
      <w:pPr>
        <w:spacing w:line="360" w:lineRule="auto"/>
        <w:ind w:firstLine="480" w:firstLineChars="200"/>
        <w:contextualSpacing/>
        <w:rPr>
          <w:rFonts w:ascii="宋体" w:hAnsi="宋体"/>
          <w:sz w:val="24"/>
        </w:rPr>
      </w:pPr>
      <w:r>
        <w:rPr>
          <w:rFonts w:hint="eastAsia" w:ascii="宋体" w:hAnsi="宋体"/>
          <w:sz w:val="24"/>
        </w:rPr>
        <w:t>2.我方在投标之前已经完全理解并接受招标文件的各项规定和要求，对招标文件的合理性、合法性不再有异议。</w:t>
      </w:r>
    </w:p>
    <w:p w14:paraId="66E9A43B">
      <w:pPr>
        <w:spacing w:line="360" w:lineRule="auto"/>
        <w:ind w:firstLine="480" w:firstLineChars="200"/>
        <w:contextualSpacing/>
        <w:rPr>
          <w:rFonts w:ascii="宋体" w:hAnsi="宋体"/>
          <w:sz w:val="24"/>
        </w:rPr>
      </w:pPr>
      <w:r>
        <w:rPr>
          <w:rFonts w:hint="eastAsia" w:ascii="宋体" w:hAnsi="宋体"/>
          <w:sz w:val="24"/>
        </w:rPr>
        <w:t>3.本投标有效期自投标截止之日起</w:t>
      </w:r>
      <w:r>
        <w:rPr>
          <w:rFonts w:ascii="宋体" w:hAnsi="宋体"/>
          <w:sz w:val="24"/>
          <w:u w:val="single"/>
        </w:rPr>
        <w:t xml:space="preserve">    </w:t>
      </w:r>
      <w:r>
        <w:rPr>
          <w:rFonts w:hint="eastAsia" w:ascii="宋体" w:hAnsi="宋体"/>
          <w:sz w:val="24"/>
        </w:rPr>
        <w:t>日。</w:t>
      </w:r>
    </w:p>
    <w:p w14:paraId="6131A965">
      <w:pPr>
        <w:spacing w:line="360" w:lineRule="auto"/>
        <w:ind w:firstLine="480" w:firstLineChars="200"/>
        <w:contextualSpacing/>
        <w:rPr>
          <w:rFonts w:ascii="宋体" w:hAnsi="宋体"/>
          <w:sz w:val="24"/>
        </w:rPr>
      </w:pPr>
      <w:r>
        <w:rPr>
          <w:rFonts w:hint="eastAsia" w:ascii="宋体" w:hAnsi="宋体"/>
          <w:sz w:val="24"/>
        </w:rPr>
        <w:t>4.如中标，本投标文件至本项目合同履行完毕止均保持有效，我方将按“招标文件”及政府采购法律、法规的规定履行合同责任和义务。</w:t>
      </w:r>
    </w:p>
    <w:p w14:paraId="0A54AC45">
      <w:pPr>
        <w:spacing w:line="360" w:lineRule="auto"/>
        <w:ind w:firstLine="480" w:firstLineChars="200"/>
        <w:contextualSpacing/>
        <w:rPr>
          <w:rFonts w:ascii="宋体" w:hAnsi="宋体"/>
          <w:sz w:val="24"/>
        </w:rPr>
      </w:pPr>
      <w:r>
        <w:rPr>
          <w:rFonts w:hint="eastAsia" w:ascii="宋体" w:hAnsi="宋体"/>
          <w:sz w:val="24"/>
        </w:rPr>
        <w:t>5.我方同意按照贵方要求提供与投标有关的一切数据或者资料。</w:t>
      </w:r>
    </w:p>
    <w:p w14:paraId="096DDAD3">
      <w:pPr>
        <w:spacing w:line="360" w:lineRule="auto"/>
        <w:ind w:firstLine="480" w:firstLineChars="200"/>
        <w:contextualSpacing/>
        <w:rPr>
          <w:rFonts w:ascii="宋体" w:hAnsi="宋体"/>
          <w:sz w:val="24"/>
        </w:rPr>
      </w:pPr>
      <w:r>
        <w:rPr>
          <w:rFonts w:hint="eastAsia" w:ascii="宋体" w:hAnsi="宋体"/>
          <w:sz w:val="24"/>
        </w:rPr>
        <w:t>6.我方向贵方提交的所有投标文件、资料都是准确的和真实的。</w:t>
      </w:r>
    </w:p>
    <w:p w14:paraId="7F8EA7D5">
      <w:pPr>
        <w:spacing w:line="360" w:lineRule="auto"/>
        <w:ind w:firstLine="480" w:firstLineChars="200"/>
        <w:contextualSpacing/>
        <w:rPr>
          <w:rFonts w:ascii="宋体" w:hAnsi="宋体"/>
          <w:sz w:val="24"/>
        </w:rPr>
      </w:pPr>
      <w:r>
        <w:rPr>
          <w:rFonts w:hint="eastAsia" w:ascii="宋体" w:hAnsi="宋体"/>
          <w:sz w:val="24"/>
        </w:rPr>
        <w:t>7.以上事项如有虚假或者隐瞒，我方愿意承担一切后果，并不再寻求任何旨在减轻或者免除法律责任的辩解。</w:t>
      </w:r>
    </w:p>
    <w:p w14:paraId="48C0E48D">
      <w:pPr>
        <w:spacing w:line="360" w:lineRule="auto"/>
        <w:ind w:firstLine="480" w:firstLineChars="200"/>
        <w:contextualSpacing/>
        <w:rPr>
          <w:rFonts w:ascii="宋体" w:hAnsi="宋体"/>
          <w:sz w:val="24"/>
        </w:rPr>
      </w:pPr>
      <w:r>
        <w:rPr>
          <w:rFonts w:hint="eastAsia" w:ascii="宋体" w:hAnsi="宋体"/>
          <w:sz w:val="24"/>
        </w:rPr>
        <w:t>8.根据</w:t>
      </w:r>
      <w:r>
        <w:rPr>
          <w:rFonts w:ascii="宋体" w:hAnsi="宋体"/>
          <w:sz w:val="24"/>
        </w:rPr>
        <w:t>《中华人民共和国政府采购法实施条例》第五十条要求对政府采购合同进行公告</w:t>
      </w:r>
      <w:r>
        <w:rPr>
          <w:rFonts w:hint="eastAsia" w:ascii="宋体" w:hAnsi="宋体"/>
          <w:sz w:val="24"/>
        </w:rPr>
        <w:t>，</w:t>
      </w:r>
      <w:r>
        <w:rPr>
          <w:rFonts w:ascii="宋体" w:hAnsi="宋体"/>
          <w:sz w:val="24"/>
        </w:rPr>
        <w:t>但政府采购合同中涉及国家秘密、商业秘密的内容除外。</w:t>
      </w:r>
      <w:r>
        <w:rPr>
          <w:rFonts w:hint="eastAsia" w:ascii="宋体" w:hAnsi="宋体"/>
          <w:sz w:val="24"/>
        </w:rPr>
        <w:t>我方就对本次投标文件进行注明如下：（两项内容中必须选择一项）</w:t>
      </w:r>
    </w:p>
    <w:p w14:paraId="3FCDE5B5">
      <w:pPr>
        <w:spacing w:line="360" w:lineRule="auto"/>
        <w:ind w:firstLine="480" w:firstLineChars="200"/>
        <w:contextualSpacing/>
        <w:rPr>
          <w:rFonts w:ascii="宋体" w:hAnsi="宋体"/>
          <w:sz w:val="24"/>
        </w:rPr>
      </w:pPr>
      <w:r>
        <w:rPr>
          <w:rFonts w:hint="eastAsia" w:ascii="宋体" w:hAnsi="宋体"/>
          <w:sz w:val="24"/>
        </w:rPr>
        <w:t>□我方本次投标文件</w:t>
      </w:r>
      <w:r>
        <w:rPr>
          <w:rFonts w:ascii="宋体" w:hAnsi="宋体" w:cs="宋体"/>
          <w:kern w:val="0"/>
          <w:sz w:val="24"/>
        </w:rPr>
        <w:t>内容中</w:t>
      </w:r>
      <w:r>
        <w:rPr>
          <w:rFonts w:hint="eastAsia" w:ascii="宋体" w:hAnsi="宋体"/>
          <w:sz w:val="24"/>
        </w:rPr>
        <w:t>未</w:t>
      </w:r>
      <w:r>
        <w:rPr>
          <w:rFonts w:ascii="宋体" w:hAnsi="宋体" w:cs="宋体"/>
          <w:kern w:val="0"/>
          <w:sz w:val="24"/>
        </w:rPr>
        <w:t>涉及商业秘密</w:t>
      </w:r>
      <w:r>
        <w:rPr>
          <w:rFonts w:hint="eastAsia" w:ascii="宋体" w:hAnsi="宋体" w:cs="宋体"/>
          <w:kern w:val="0"/>
          <w:sz w:val="24"/>
        </w:rPr>
        <w:t>；</w:t>
      </w:r>
    </w:p>
    <w:p w14:paraId="146E05E1">
      <w:pPr>
        <w:spacing w:line="360" w:lineRule="auto"/>
        <w:ind w:firstLine="480" w:firstLineChars="200"/>
        <w:contextualSpacing/>
        <w:rPr>
          <w:rFonts w:ascii="宋体" w:hAnsi="宋体"/>
          <w:sz w:val="24"/>
        </w:rPr>
      </w:pPr>
      <w:r>
        <w:rPr>
          <w:rFonts w:hint="eastAsia" w:ascii="宋体" w:hAnsi="宋体"/>
          <w:sz w:val="24"/>
        </w:rPr>
        <w:t>□我方本次投标文件</w:t>
      </w:r>
      <w:r>
        <w:rPr>
          <w:rFonts w:ascii="宋体" w:hAnsi="宋体" w:cs="宋体"/>
          <w:kern w:val="0"/>
          <w:sz w:val="24"/>
        </w:rPr>
        <w:t>涉及商业秘密</w:t>
      </w:r>
      <w:r>
        <w:rPr>
          <w:rFonts w:hint="eastAsia" w:ascii="宋体" w:hAnsi="宋体" w:cs="宋体"/>
          <w:kern w:val="0"/>
          <w:sz w:val="24"/>
        </w:rPr>
        <w:t>的</w:t>
      </w:r>
      <w:r>
        <w:rPr>
          <w:rFonts w:ascii="宋体" w:hAnsi="宋体" w:cs="宋体"/>
          <w:kern w:val="0"/>
          <w:sz w:val="24"/>
        </w:rPr>
        <w:t>内容</w:t>
      </w:r>
      <w:r>
        <w:rPr>
          <w:rFonts w:hint="eastAsia" w:ascii="宋体" w:hAnsi="宋体" w:cs="宋体"/>
          <w:kern w:val="0"/>
          <w:sz w:val="24"/>
        </w:rPr>
        <w:t>有：</w:t>
      </w:r>
      <w:r>
        <w:rPr>
          <w:rFonts w:hint="eastAsia" w:ascii="宋体" w:hAnsi="宋体" w:cs="宋体"/>
          <w:kern w:val="0"/>
          <w:sz w:val="24"/>
          <w:u w:val="single"/>
        </w:rPr>
        <w:t xml:space="preserve">                         </w:t>
      </w:r>
      <w:r>
        <w:rPr>
          <w:rFonts w:hint="eastAsia" w:ascii="宋体" w:hAnsi="宋体" w:cs="宋体"/>
          <w:kern w:val="0"/>
          <w:sz w:val="24"/>
        </w:rPr>
        <w:t>；</w:t>
      </w:r>
    </w:p>
    <w:p w14:paraId="32A8E1B8">
      <w:pPr>
        <w:spacing w:line="360" w:lineRule="auto"/>
        <w:ind w:firstLine="480" w:firstLineChars="200"/>
        <w:contextualSpacing/>
        <w:rPr>
          <w:rFonts w:ascii="宋体" w:hAnsi="宋体"/>
          <w:sz w:val="24"/>
        </w:rPr>
      </w:pPr>
      <w:r>
        <w:rPr>
          <w:rFonts w:hint="eastAsia" w:ascii="宋体" w:hAnsi="宋体"/>
          <w:sz w:val="24"/>
        </w:rPr>
        <w:t>9.与本项目有关的一切正式往来信函请寄：</w:t>
      </w:r>
    </w:p>
    <w:p w14:paraId="22E6A498">
      <w:pPr>
        <w:spacing w:line="360" w:lineRule="auto"/>
        <w:ind w:firstLine="480" w:firstLineChars="200"/>
        <w:contextualSpacing/>
        <w:rPr>
          <w:rFonts w:ascii="宋体" w:hAnsi="宋体"/>
          <w:sz w:val="24"/>
          <w:u w:val="single"/>
        </w:rPr>
      </w:pPr>
      <w:r>
        <w:rPr>
          <w:rFonts w:hint="eastAsia" w:ascii="宋体" w:hAnsi="宋体"/>
          <w:sz w:val="24"/>
        </w:rPr>
        <w:t>地址：</w:t>
      </w:r>
      <w:r>
        <w:rPr>
          <w:rFonts w:hint="eastAsia" w:ascii="宋体" w:hAnsi="宋体"/>
          <w:sz w:val="24"/>
          <w:u w:val="single"/>
        </w:rPr>
        <w:t xml:space="preserve">          </w:t>
      </w:r>
      <w:r>
        <w:rPr>
          <w:rFonts w:hint="eastAsia" w:ascii="宋体" w:hAnsi="宋体"/>
          <w:sz w:val="24"/>
        </w:rPr>
        <w:t>邮编：</w:t>
      </w:r>
      <w:r>
        <w:rPr>
          <w:rFonts w:hint="eastAsia" w:ascii="宋体" w:hAnsi="宋体"/>
          <w:sz w:val="24"/>
          <w:u w:val="single"/>
        </w:rPr>
        <w:t xml:space="preserve">            </w:t>
      </w:r>
    </w:p>
    <w:p w14:paraId="0D79C8EF">
      <w:pPr>
        <w:spacing w:line="360" w:lineRule="auto"/>
        <w:ind w:firstLine="480" w:firstLineChars="200"/>
        <w:contextualSpacing/>
        <w:rPr>
          <w:rFonts w:ascii="宋体" w:hAnsi="宋体"/>
          <w:sz w:val="24"/>
        </w:rPr>
      </w:pPr>
      <w:r>
        <w:rPr>
          <w:rFonts w:hint="eastAsia" w:ascii="宋体" w:hAnsi="宋体"/>
          <w:sz w:val="24"/>
        </w:rPr>
        <w:t>联系人：</w:t>
      </w:r>
      <w:r>
        <w:rPr>
          <w:rFonts w:hint="eastAsia" w:ascii="宋体" w:hAnsi="宋体"/>
          <w:sz w:val="24"/>
          <w:u w:val="single"/>
        </w:rPr>
        <w:t xml:space="preserve">        </w:t>
      </w:r>
      <w:r>
        <w:rPr>
          <w:rFonts w:hint="eastAsia" w:ascii="宋体" w:hAnsi="宋体"/>
          <w:sz w:val="24"/>
        </w:rPr>
        <w:t>电话：</w:t>
      </w:r>
      <w:r>
        <w:rPr>
          <w:rFonts w:hint="eastAsia" w:ascii="宋体" w:hAnsi="宋体"/>
          <w:sz w:val="24"/>
          <w:u w:val="single"/>
        </w:rPr>
        <w:t xml:space="preserve">        </w:t>
      </w:r>
      <w:r>
        <w:rPr>
          <w:rFonts w:hint="eastAsia" w:ascii="宋体" w:hAnsi="宋体"/>
          <w:sz w:val="24"/>
        </w:rPr>
        <w:t>传真：</w:t>
      </w:r>
      <w:r>
        <w:rPr>
          <w:rFonts w:hint="eastAsia" w:ascii="宋体" w:hAnsi="宋体"/>
          <w:sz w:val="24"/>
          <w:u w:val="single"/>
        </w:rPr>
        <w:t xml:space="preserve">         </w:t>
      </w:r>
      <w:r>
        <w:rPr>
          <w:rFonts w:hint="eastAsia" w:ascii="宋体" w:hAnsi="宋体"/>
          <w:sz w:val="24"/>
        </w:rPr>
        <w:t xml:space="preserve"> 电子邮箱：</w:t>
      </w:r>
      <w:r>
        <w:rPr>
          <w:rFonts w:hint="eastAsia" w:ascii="宋体" w:hAnsi="宋体"/>
          <w:sz w:val="24"/>
          <w:u w:val="single"/>
        </w:rPr>
        <w:t xml:space="preserve"> </w:t>
      </w:r>
      <w:r>
        <w:rPr>
          <w:rFonts w:ascii="宋体" w:hAnsi="宋体"/>
          <w:sz w:val="24"/>
          <w:u w:val="single"/>
        </w:rPr>
        <w:t xml:space="preserve">        </w:t>
      </w:r>
    </w:p>
    <w:p w14:paraId="1DBAB589">
      <w:pPr>
        <w:spacing w:line="360" w:lineRule="auto"/>
        <w:ind w:firstLine="480" w:firstLineChars="200"/>
        <w:contextualSpacing/>
        <w:rPr>
          <w:rFonts w:ascii="宋体" w:hAnsi="宋体"/>
          <w:sz w:val="24"/>
        </w:rPr>
      </w:pPr>
      <w:r>
        <w:rPr>
          <w:rFonts w:hint="eastAsia" w:ascii="宋体" w:hAnsi="宋体"/>
          <w:sz w:val="24"/>
        </w:rPr>
        <w:t>投标人名称：</w:t>
      </w:r>
      <w:r>
        <w:rPr>
          <w:rFonts w:hint="eastAsia" w:ascii="宋体" w:hAnsi="宋体"/>
          <w:sz w:val="24"/>
          <w:u w:val="single"/>
        </w:rPr>
        <w:t xml:space="preserve">                </w:t>
      </w:r>
    </w:p>
    <w:p w14:paraId="0A05C731">
      <w:pPr>
        <w:spacing w:line="360" w:lineRule="auto"/>
        <w:ind w:firstLine="480" w:firstLineChars="200"/>
        <w:contextualSpacing/>
        <w:jc w:val="left"/>
        <w:rPr>
          <w:rFonts w:ascii="宋体" w:hAnsi="宋体"/>
          <w:sz w:val="24"/>
        </w:rPr>
      </w:pPr>
      <w:r>
        <w:rPr>
          <w:rFonts w:hint="eastAsia" w:ascii="宋体" w:hAnsi="宋体"/>
          <w:sz w:val="24"/>
        </w:rPr>
        <w:t>开户银行：</w:t>
      </w:r>
      <w:r>
        <w:rPr>
          <w:rFonts w:hint="eastAsia" w:ascii="宋体" w:hAnsi="宋体"/>
          <w:sz w:val="24"/>
          <w:u w:val="single"/>
        </w:rPr>
        <w:t xml:space="preserve">                      </w:t>
      </w:r>
      <w:r>
        <w:rPr>
          <w:rFonts w:hint="eastAsia" w:ascii="宋体" w:hAnsi="宋体"/>
          <w:sz w:val="24"/>
        </w:rPr>
        <w:t xml:space="preserve">   银行账号：</w:t>
      </w:r>
      <w:r>
        <w:rPr>
          <w:rFonts w:hint="eastAsia" w:ascii="宋体" w:hAnsi="宋体"/>
          <w:sz w:val="24"/>
          <w:u w:val="single"/>
        </w:rPr>
        <w:t xml:space="preserve">                    </w:t>
      </w:r>
      <w:r>
        <w:rPr>
          <w:rFonts w:hint="eastAsia" w:ascii="宋体" w:hAnsi="宋体"/>
          <w:sz w:val="24"/>
        </w:rPr>
        <w:t xml:space="preserve"> </w:t>
      </w:r>
    </w:p>
    <w:p w14:paraId="0906CB6E">
      <w:pPr>
        <w:pStyle w:val="11"/>
      </w:pPr>
    </w:p>
    <w:p w14:paraId="59DE1B6C">
      <w:pPr>
        <w:pStyle w:val="11"/>
      </w:pPr>
    </w:p>
    <w:p w14:paraId="0E5B25D9">
      <w:pPr>
        <w:spacing w:line="480" w:lineRule="auto"/>
        <w:contextualSpacing/>
        <w:jc w:val="left"/>
        <w:rPr>
          <w:rFonts w:ascii="宋体" w:hAnsi="宋体"/>
          <w:sz w:val="24"/>
          <w:u w:val="single"/>
        </w:rPr>
      </w:pPr>
    </w:p>
    <w:p w14:paraId="5BB13E76">
      <w:pPr>
        <w:pStyle w:val="16"/>
        <w:spacing w:line="480" w:lineRule="auto"/>
        <w:contextualSpacing/>
        <w:jc w:val="center"/>
        <w:rPr>
          <w:rFonts w:hAnsi="宋体"/>
          <w:sz w:val="24"/>
          <w:szCs w:val="24"/>
        </w:rPr>
      </w:pPr>
      <w:r>
        <w:rPr>
          <w:rFonts w:hint="eastAsia" w:hAnsi="宋体"/>
          <w:sz w:val="24"/>
        </w:rPr>
        <w:t xml:space="preserve"> </w:t>
      </w:r>
      <w:r>
        <w:rPr>
          <w:rFonts w:hAnsi="宋体"/>
          <w:sz w:val="24"/>
        </w:rPr>
        <w:t xml:space="preserve">       </w:t>
      </w:r>
      <w:r>
        <w:rPr>
          <w:rFonts w:hint="eastAsia" w:hAnsi="宋体"/>
          <w:sz w:val="24"/>
        </w:rPr>
        <w:t xml:space="preserve">           投标人名称（电子签章）：</w:t>
      </w:r>
      <w:r>
        <w:rPr>
          <w:rFonts w:hint="eastAsia" w:hAnsi="宋体"/>
          <w:sz w:val="24"/>
          <w:u w:val="single"/>
        </w:rPr>
        <w:t xml:space="preserve">             </w:t>
      </w:r>
      <w:r>
        <w:rPr>
          <w:rFonts w:hint="eastAsia" w:hAnsi="宋体"/>
          <w:sz w:val="24"/>
        </w:rPr>
        <w:t xml:space="preserve"> </w:t>
      </w:r>
    </w:p>
    <w:p w14:paraId="2F48EB24">
      <w:pPr>
        <w:pStyle w:val="16"/>
        <w:spacing w:line="480" w:lineRule="auto"/>
        <w:contextualSpacing/>
        <w:rPr>
          <w:rFonts w:hAnsi="宋体"/>
          <w:sz w:val="24"/>
        </w:rPr>
      </w:pPr>
      <w:r>
        <w:rPr>
          <w:rFonts w:hint="eastAsia" w:hAnsi="宋体"/>
          <w:sz w:val="24"/>
          <w:szCs w:val="24"/>
        </w:rPr>
        <w:t xml:space="preserve">                                                </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p>
    <w:p w14:paraId="559D398D">
      <w:pPr>
        <w:snapToGrid w:val="0"/>
        <w:spacing w:before="120" w:beforeLines="50" w:after="50"/>
        <w:jc w:val="left"/>
        <w:rPr>
          <w:rFonts w:ascii="宋体" w:hAnsi="宋体"/>
          <w:b/>
          <w:sz w:val="24"/>
          <w:szCs w:val="20"/>
        </w:rPr>
      </w:pPr>
      <w:r>
        <w:rPr>
          <w:rFonts w:hAnsi="宋体"/>
          <w:u w:val="single"/>
        </w:rPr>
        <w:br w:type="page"/>
      </w:r>
      <w:r>
        <w:rPr>
          <w:rFonts w:hint="eastAsia" w:ascii="宋体" w:hAnsi="宋体"/>
          <w:b/>
          <w:sz w:val="24"/>
        </w:rPr>
        <w:t>4. 开标一览表（货物类格式）</w:t>
      </w:r>
    </w:p>
    <w:p w14:paraId="016989F7">
      <w:pPr>
        <w:snapToGrid w:val="0"/>
        <w:spacing w:before="50" w:after="50"/>
        <w:jc w:val="center"/>
        <w:rPr>
          <w:rFonts w:ascii="宋体" w:hAnsi="宋体"/>
          <w:b/>
          <w:sz w:val="30"/>
        </w:rPr>
      </w:pPr>
      <w:r>
        <w:rPr>
          <w:rFonts w:hint="eastAsia" w:ascii="宋体" w:hAnsi="宋体"/>
          <w:b/>
          <w:sz w:val="30"/>
        </w:rPr>
        <w:t>开标一览表</w:t>
      </w:r>
    </w:p>
    <w:p w14:paraId="6E36A84F">
      <w:pPr>
        <w:snapToGrid w:val="0"/>
        <w:spacing w:before="50" w:after="50"/>
        <w:jc w:val="center"/>
        <w:rPr>
          <w:rFonts w:ascii="宋体" w:hAnsi="宋体"/>
          <w:b/>
          <w:sz w:val="30"/>
          <w:szCs w:val="20"/>
        </w:rPr>
      </w:pPr>
    </w:p>
    <w:p w14:paraId="5636D8A9">
      <w:pPr>
        <w:snapToGrid w:val="0"/>
        <w:spacing w:before="50" w:after="50" w:line="360" w:lineRule="auto"/>
        <w:rPr>
          <w:rFonts w:ascii="宋体" w:hAnsi="宋体"/>
          <w:sz w:val="24"/>
        </w:rPr>
      </w:pPr>
      <w:r>
        <w:rPr>
          <w:rFonts w:hint="eastAsia" w:ascii="宋体" w:hAnsi="宋体"/>
          <w:sz w:val="24"/>
        </w:rPr>
        <w:t>项目名称：</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r>
        <w:rPr>
          <w:rFonts w:hint="eastAsia" w:ascii="宋体" w:hAnsi="宋体"/>
          <w:sz w:val="24"/>
        </w:rPr>
        <w:t>项目编号：</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 xml:space="preserve">         </w:t>
      </w:r>
    </w:p>
    <w:p w14:paraId="4DD48B2C">
      <w:pPr>
        <w:snapToGrid w:val="0"/>
        <w:spacing w:before="50" w:after="50" w:line="360" w:lineRule="auto"/>
        <w:rPr>
          <w:rFonts w:ascii="宋体" w:hAnsi="宋体"/>
          <w:sz w:val="24"/>
        </w:rPr>
      </w:pPr>
      <w:r>
        <w:rPr>
          <w:rFonts w:hint="eastAsia" w:ascii="宋体" w:hAnsi="宋体"/>
          <w:sz w:val="24"/>
        </w:rPr>
        <w:t>投标人名称：</w:t>
      </w:r>
      <w:r>
        <w:rPr>
          <w:rFonts w:hint="eastAsia" w:ascii="宋体" w:hAnsi="宋体"/>
          <w:sz w:val="24"/>
          <w:u w:val="single"/>
        </w:rPr>
        <w:t xml:space="preserve">                     </w:t>
      </w:r>
      <w:r>
        <w:rPr>
          <w:rFonts w:hint="eastAsia" w:ascii="宋体" w:hAnsi="宋体"/>
          <w:sz w:val="24"/>
        </w:rPr>
        <w:t xml:space="preserve">                       </w:t>
      </w:r>
    </w:p>
    <w:p w14:paraId="57FA5744">
      <w:pPr>
        <w:snapToGrid w:val="0"/>
        <w:spacing w:before="50" w:after="50" w:line="360" w:lineRule="auto"/>
        <w:ind w:firstLine="8400" w:firstLineChars="3500"/>
        <w:rPr>
          <w:rFonts w:ascii="宋体" w:hAnsi="宋体"/>
          <w:sz w:val="24"/>
        </w:rPr>
      </w:pPr>
      <w:r>
        <w:rPr>
          <w:rFonts w:hint="eastAsia" w:ascii="宋体" w:hAnsi="宋体"/>
          <w:sz w:val="24"/>
        </w:rPr>
        <w:t>单位：元</w:t>
      </w:r>
    </w:p>
    <w:tbl>
      <w:tblPr>
        <w:tblStyle w:val="26"/>
        <w:tblW w:w="480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2"/>
        <w:gridCol w:w="1540"/>
        <w:gridCol w:w="1293"/>
        <w:gridCol w:w="977"/>
        <w:gridCol w:w="1255"/>
        <w:gridCol w:w="1142"/>
        <w:gridCol w:w="921"/>
        <w:gridCol w:w="1699"/>
      </w:tblGrid>
      <w:tr w14:paraId="6AEF36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392" w:type="pct"/>
            <w:tcBorders>
              <w:top w:val="single" w:color="auto" w:sz="4" w:space="0"/>
              <w:left w:val="single" w:color="auto" w:sz="4" w:space="0"/>
              <w:bottom w:val="single" w:color="auto" w:sz="4" w:space="0"/>
              <w:right w:val="single" w:color="auto" w:sz="4" w:space="0"/>
            </w:tcBorders>
            <w:vAlign w:val="center"/>
          </w:tcPr>
          <w:p w14:paraId="5855BCFD">
            <w:pPr>
              <w:snapToGrid w:val="0"/>
              <w:spacing w:before="50" w:after="50" w:line="360" w:lineRule="auto"/>
              <w:jc w:val="center"/>
              <w:rPr>
                <w:rFonts w:ascii="宋体" w:hAnsi="宋体"/>
                <w:b/>
                <w:color w:val="000000"/>
                <w:sz w:val="24"/>
              </w:rPr>
            </w:pPr>
            <w:r>
              <w:rPr>
                <w:rFonts w:hint="eastAsia" w:ascii="宋体" w:hAnsi="宋体"/>
                <w:b/>
                <w:color w:val="000000"/>
                <w:sz w:val="24"/>
              </w:rPr>
              <w:t>序号</w:t>
            </w:r>
          </w:p>
        </w:tc>
        <w:tc>
          <w:tcPr>
            <w:tcW w:w="804" w:type="pct"/>
            <w:tcBorders>
              <w:top w:val="single" w:color="auto" w:sz="4" w:space="0"/>
              <w:left w:val="single" w:color="auto" w:sz="4" w:space="0"/>
              <w:bottom w:val="single" w:color="auto" w:sz="4" w:space="0"/>
              <w:right w:val="single" w:color="auto" w:sz="4" w:space="0"/>
            </w:tcBorders>
            <w:vAlign w:val="center"/>
          </w:tcPr>
          <w:p w14:paraId="5DFC4B4E">
            <w:pPr>
              <w:snapToGrid w:val="0"/>
              <w:spacing w:before="50" w:after="50" w:line="360" w:lineRule="auto"/>
              <w:jc w:val="center"/>
              <w:rPr>
                <w:rFonts w:ascii="宋体" w:hAnsi="宋体"/>
                <w:b/>
                <w:color w:val="000000"/>
                <w:sz w:val="24"/>
              </w:rPr>
            </w:pPr>
            <w:r>
              <w:rPr>
                <w:rFonts w:hint="eastAsia" w:ascii="宋体" w:hAnsi="宋体"/>
                <w:b/>
                <w:color w:val="000000"/>
                <w:sz w:val="24"/>
                <w:lang w:val="zh-CN"/>
              </w:rPr>
              <w:t>货物名称</w:t>
            </w:r>
          </w:p>
        </w:tc>
        <w:tc>
          <w:tcPr>
            <w:tcW w:w="675" w:type="pct"/>
            <w:tcBorders>
              <w:top w:val="single" w:color="auto" w:sz="4" w:space="0"/>
              <w:left w:val="single" w:color="auto" w:sz="4" w:space="0"/>
              <w:bottom w:val="single" w:color="auto" w:sz="4" w:space="0"/>
              <w:right w:val="single" w:color="auto" w:sz="4" w:space="0"/>
            </w:tcBorders>
            <w:vAlign w:val="center"/>
          </w:tcPr>
          <w:p w14:paraId="3C5CE079">
            <w:pPr>
              <w:snapToGrid w:val="0"/>
              <w:spacing w:before="50" w:after="50" w:line="360" w:lineRule="auto"/>
              <w:jc w:val="center"/>
              <w:rPr>
                <w:rFonts w:ascii="宋体" w:hAnsi="宋体"/>
                <w:b/>
                <w:color w:val="000000"/>
                <w:sz w:val="24"/>
              </w:rPr>
            </w:pPr>
            <w:r>
              <w:rPr>
                <w:rFonts w:hint="eastAsia" w:ascii="宋体" w:hAnsi="宋体"/>
                <w:b/>
                <w:color w:val="000000"/>
                <w:sz w:val="24"/>
              </w:rPr>
              <w:t>规格型号</w:t>
            </w:r>
          </w:p>
        </w:tc>
        <w:tc>
          <w:tcPr>
            <w:tcW w:w="510" w:type="pct"/>
            <w:tcBorders>
              <w:top w:val="single" w:color="auto" w:sz="4" w:space="0"/>
              <w:left w:val="single" w:color="auto" w:sz="4" w:space="0"/>
              <w:bottom w:val="single" w:color="auto" w:sz="4" w:space="0"/>
              <w:right w:val="single" w:color="auto" w:sz="4" w:space="0"/>
            </w:tcBorders>
            <w:vAlign w:val="center"/>
          </w:tcPr>
          <w:p w14:paraId="5AAAD9F7">
            <w:pPr>
              <w:snapToGrid w:val="0"/>
              <w:spacing w:before="50" w:after="50" w:line="360" w:lineRule="auto"/>
              <w:jc w:val="center"/>
              <w:rPr>
                <w:rFonts w:ascii="宋体" w:hAnsi="宋体"/>
                <w:b/>
                <w:color w:val="000000"/>
                <w:sz w:val="24"/>
              </w:rPr>
            </w:pPr>
            <w:r>
              <w:rPr>
                <w:rFonts w:hint="eastAsia" w:ascii="宋体" w:hAnsi="宋体"/>
                <w:b/>
                <w:color w:val="000000"/>
                <w:sz w:val="24"/>
              </w:rPr>
              <w:t>品牌</w:t>
            </w:r>
          </w:p>
        </w:tc>
        <w:tc>
          <w:tcPr>
            <w:tcW w:w="655" w:type="pct"/>
            <w:tcBorders>
              <w:top w:val="single" w:color="auto" w:sz="4" w:space="0"/>
              <w:left w:val="single" w:color="auto" w:sz="4" w:space="0"/>
              <w:bottom w:val="single" w:color="auto" w:sz="4" w:space="0"/>
              <w:right w:val="single" w:color="auto" w:sz="4" w:space="0"/>
            </w:tcBorders>
            <w:vAlign w:val="center"/>
          </w:tcPr>
          <w:p w14:paraId="665FB4CF">
            <w:pPr>
              <w:snapToGrid w:val="0"/>
              <w:spacing w:before="50" w:after="50" w:line="360" w:lineRule="auto"/>
              <w:jc w:val="center"/>
              <w:rPr>
                <w:rFonts w:ascii="宋体" w:hAnsi="宋体"/>
                <w:b/>
                <w:color w:val="000000"/>
                <w:sz w:val="24"/>
              </w:rPr>
            </w:pPr>
            <w:r>
              <w:rPr>
                <w:rFonts w:hint="eastAsia" w:ascii="宋体" w:hAnsi="宋体"/>
                <w:b/>
                <w:color w:val="000000"/>
                <w:sz w:val="24"/>
              </w:rPr>
              <w:t>生产厂家</w:t>
            </w:r>
          </w:p>
        </w:tc>
        <w:tc>
          <w:tcPr>
            <w:tcW w:w="596" w:type="pct"/>
            <w:tcBorders>
              <w:top w:val="single" w:color="auto" w:sz="4" w:space="0"/>
              <w:left w:val="single" w:color="auto" w:sz="4" w:space="0"/>
              <w:bottom w:val="single" w:color="auto" w:sz="4" w:space="0"/>
              <w:right w:val="single" w:color="auto" w:sz="4" w:space="0"/>
            </w:tcBorders>
            <w:vAlign w:val="center"/>
          </w:tcPr>
          <w:p w14:paraId="5858BA78">
            <w:pPr>
              <w:snapToGrid w:val="0"/>
              <w:spacing w:before="50" w:after="50" w:line="360" w:lineRule="auto"/>
              <w:jc w:val="center"/>
              <w:rPr>
                <w:rFonts w:ascii="宋体" w:hAnsi="宋体"/>
                <w:b/>
                <w:color w:val="000000"/>
                <w:sz w:val="24"/>
              </w:rPr>
            </w:pPr>
            <w:r>
              <w:rPr>
                <w:rFonts w:hint="eastAsia" w:ascii="宋体" w:hAnsi="宋体"/>
                <w:b/>
                <w:color w:val="000000"/>
                <w:sz w:val="24"/>
              </w:rPr>
              <w:t>数量及单位①</w:t>
            </w:r>
          </w:p>
        </w:tc>
        <w:tc>
          <w:tcPr>
            <w:tcW w:w="481" w:type="pct"/>
            <w:tcBorders>
              <w:top w:val="single" w:color="auto" w:sz="4" w:space="0"/>
              <w:left w:val="single" w:color="auto" w:sz="4" w:space="0"/>
              <w:bottom w:val="single" w:color="auto" w:sz="4" w:space="0"/>
              <w:right w:val="single" w:color="auto" w:sz="4" w:space="0"/>
            </w:tcBorders>
            <w:vAlign w:val="center"/>
          </w:tcPr>
          <w:p w14:paraId="770BA320">
            <w:pPr>
              <w:snapToGrid w:val="0"/>
              <w:spacing w:before="50" w:after="50" w:line="360" w:lineRule="auto"/>
              <w:jc w:val="center"/>
              <w:rPr>
                <w:rFonts w:ascii="宋体" w:hAnsi="宋体"/>
                <w:b/>
                <w:color w:val="000000"/>
                <w:sz w:val="24"/>
              </w:rPr>
            </w:pPr>
            <w:r>
              <w:rPr>
                <w:rFonts w:hint="eastAsia" w:ascii="宋体" w:hAnsi="宋体"/>
                <w:b/>
                <w:color w:val="000000"/>
                <w:sz w:val="24"/>
              </w:rPr>
              <w:t>单价</w:t>
            </w:r>
          </w:p>
          <w:p w14:paraId="0C986795">
            <w:pPr>
              <w:snapToGrid w:val="0"/>
              <w:spacing w:before="50" w:after="50" w:line="360" w:lineRule="auto"/>
              <w:jc w:val="center"/>
              <w:rPr>
                <w:rFonts w:ascii="宋体" w:hAnsi="宋体"/>
                <w:b/>
                <w:color w:val="000000"/>
                <w:sz w:val="24"/>
              </w:rPr>
            </w:pPr>
            <w:r>
              <w:rPr>
                <w:rFonts w:hint="eastAsia" w:ascii="宋体" w:hAnsi="宋体"/>
                <w:b/>
                <w:color w:val="000000"/>
                <w:sz w:val="24"/>
              </w:rPr>
              <w:t>②</w:t>
            </w:r>
          </w:p>
        </w:tc>
        <w:tc>
          <w:tcPr>
            <w:tcW w:w="884" w:type="pct"/>
            <w:tcBorders>
              <w:top w:val="single" w:color="auto" w:sz="4" w:space="0"/>
              <w:left w:val="single" w:color="auto" w:sz="4" w:space="0"/>
              <w:bottom w:val="single" w:color="auto" w:sz="4" w:space="0"/>
              <w:right w:val="single" w:color="auto" w:sz="4" w:space="0"/>
            </w:tcBorders>
            <w:vAlign w:val="center"/>
          </w:tcPr>
          <w:p w14:paraId="287C69DB">
            <w:pPr>
              <w:snapToGrid w:val="0"/>
              <w:spacing w:before="50" w:after="50" w:line="360" w:lineRule="auto"/>
              <w:jc w:val="center"/>
              <w:rPr>
                <w:rFonts w:ascii="宋体" w:hAnsi="宋体"/>
                <w:b/>
                <w:color w:val="000000"/>
                <w:sz w:val="24"/>
              </w:rPr>
            </w:pPr>
            <w:r>
              <w:rPr>
                <w:rFonts w:hint="eastAsia" w:ascii="宋体" w:hAnsi="宋体"/>
                <w:b/>
                <w:color w:val="000000"/>
                <w:sz w:val="24"/>
              </w:rPr>
              <w:t xml:space="preserve">单项合价 </w:t>
            </w:r>
          </w:p>
          <w:p w14:paraId="14E37779">
            <w:pPr>
              <w:snapToGrid w:val="0"/>
              <w:spacing w:before="50" w:after="50" w:line="360" w:lineRule="auto"/>
              <w:jc w:val="center"/>
              <w:rPr>
                <w:rFonts w:ascii="宋体" w:hAnsi="宋体"/>
                <w:b/>
                <w:color w:val="000000"/>
                <w:sz w:val="24"/>
              </w:rPr>
            </w:pPr>
            <w:r>
              <w:rPr>
                <w:rFonts w:ascii="宋体" w:hAnsi="宋体"/>
                <w:b/>
                <w:color w:val="000000"/>
                <w:sz w:val="24"/>
              </w:rPr>
              <w:t>③</w:t>
            </w:r>
            <w:r>
              <w:rPr>
                <w:rFonts w:hint="eastAsia" w:ascii="宋体" w:hAnsi="宋体"/>
                <w:b/>
                <w:color w:val="000000"/>
                <w:sz w:val="24"/>
              </w:rPr>
              <w:t>=①×②</w:t>
            </w:r>
          </w:p>
        </w:tc>
      </w:tr>
      <w:tr w14:paraId="5453C1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392" w:type="pct"/>
            <w:tcBorders>
              <w:top w:val="single" w:color="auto" w:sz="4" w:space="0"/>
              <w:left w:val="single" w:color="auto" w:sz="4" w:space="0"/>
              <w:bottom w:val="single" w:color="auto" w:sz="4" w:space="0"/>
              <w:right w:val="single" w:color="auto" w:sz="4" w:space="0"/>
            </w:tcBorders>
            <w:vAlign w:val="center"/>
          </w:tcPr>
          <w:p w14:paraId="632B8F4F">
            <w:pPr>
              <w:snapToGrid w:val="0"/>
              <w:spacing w:before="50" w:after="50" w:line="360" w:lineRule="auto"/>
              <w:jc w:val="center"/>
              <w:rPr>
                <w:rFonts w:ascii="宋体" w:hAnsi="宋体"/>
                <w:b/>
                <w:color w:val="000000"/>
                <w:sz w:val="24"/>
              </w:rPr>
            </w:pPr>
            <w:r>
              <w:rPr>
                <w:rFonts w:hint="eastAsia" w:ascii="宋体" w:hAnsi="宋体"/>
                <w:b/>
                <w:color w:val="000000"/>
                <w:sz w:val="24"/>
              </w:rPr>
              <w:t>1</w:t>
            </w:r>
          </w:p>
        </w:tc>
        <w:tc>
          <w:tcPr>
            <w:tcW w:w="804" w:type="pct"/>
            <w:tcBorders>
              <w:top w:val="single" w:color="auto" w:sz="4" w:space="0"/>
              <w:left w:val="single" w:color="auto" w:sz="4" w:space="0"/>
              <w:bottom w:val="single" w:color="auto" w:sz="4" w:space="0"/>
              <w:right w:val="single" w:color="auto" w:sz="4" w:space="0"/>
            </w:tcBorders>
            <w:vAlign w:val="center"/>
          </w:tcPr>
          <w:p w14:paraId="5F973956">
            <w:pPr>
              <w:snapToGrid w:val="0"/>
              <w:spacing w:before="50" w:after="50" w:line="360" w:lineRule="auto"/>
              <w:jc w:val="center"/>
              <w:rPr>
                <w:rFonts w:ascii="宋体" w:hAnsi="宋体"/>
                <w:b/>
                <w:color w:val="000000"/>
                <w:sz w:val="24"/>
              </w:rPr>
            </w:pPr>
          </w:p>
        </w:tc>
        <w:tc>
          <w:tcPr>
            <w:tcW w:w="675" w:type="pct"/>
            <w:tcBorders>
              <w:top w:val="single" w:color="auto" w:sz="4" w:space="0"/>
              <w:left w:val="single" w:color="auto" w:sz="4" w:space="0"/>
              <w:bottom w:val="single" w:color="auto" w:sz="4" w:space="0"/>
              <w:right w:val="single" w:color="auto" w:sz="4" w:space="0"/>
            </w:tcBorders>
            <w:vAlign w:val="center"/>
          </w:tcPr>
          <w:p w14:paraId="24CE6E00">
            <w:pPr>
              <w:snapToGrid w:val="0"/>
              <w:spacing w:before="50" w:after="50" w:line="360" w:lineRule="auto"/>
              <w:rPr>
                <w:rFonts w:ascii="宋体" w:hAnsi="宋体"/>
                <w:color w:val="000000"/>
                <w:sz w:val="24"/>
              </w:rPr>
            </w:pPr>
          </w:p>
        </w:tc>
        <w:tc>
          <w:tcPr>
            <w:tcW w:w="510" w:type="pct"/>
            <w:tcBorders>
              <w:top w:val="single" w:color="auto" w:sz="4" w:space="0"/>
              <w:left w:val="single" w:color="auto" w:sz="4" w:space="0"/>
              <w:bottom w:val="single" w:color="auto" w:sz="4" w:space="0"/>
              <w:right w:val="single" w:color="auto" w:sz="4" w:space="0"/>
            </w:tcBorders>
            <w:vAlign w:val="center"/>
          </w:tcPr>
          <w:p w14:paraId="6EA013A9">
            <w:pPr>
              <w:snapToGrid w:val="0"/>
              <w:spacing w:before="50" w:after="50" w:line="360" w:lineRule="auto"/>
              <w:rPr>
                <w:rFonts w:ascii="宋体" w:hAnsi="宋体"/>
                <w:color w:val="000000"/>
                <w:sz w:val="24"/>
              </w:rPr>
            </w:pPr>
          </w:p>
        </w:tc>
        <w:tc>
          <w:tcPr>
            <w:tcW w:w="655" w:type="pct"/>
            <w:tcBorders>
              <w:top w:val="single" w:color="auto" w:sz="4" w:space="0"/>
              <w:left w:val="single" w:color="auto" w:sz="4" w:space="0"/>
              <w:bottom w:val="single" w:color="auto" w:sz="4" w:space="0"/>
              <w:right w:val="single" w:color="auto" w:sz="4" w:space="0"/>
            </w:tcBorders>
            <w:vAlign w:val="center"/>
          </w:tcPr>
          <w:p w14:paraId="08F14A6D">
            <w:pPr>
              <w:snapToGrid w:val="0"/>
              <w:spacing w:before="50" w:after="50" w:line="360" w:lineRule="auto"/>
              <w:rPr>
                <w:rFonts w:ascii="宋体" w:hAnsi="宋体"/>
                <w:color w:val="000000"/>
                <w:sz w:val="24"/>
              </w:rPr>
            </w:pPr>
          </w:p>
        </w:tc>
        <w:tc>
          <w:tcPr>
            <w:tcW w:w="596" w:type="pct"/>
            <w:tcBorders>
              <w:top w:val="single" w:color="auto" w:sz="4" w:space="0"/>
              <w:left w:val="single" w:color="auto" w:sz="4" w:space="0"/>
              <w:bottom w:val="single" w:color="auto" w:sz="4" w:space="0"/>
              <w:right w:val="single" w:color="auto" w:sz="4" w:space="0"/>
            </w:tcBorders>
            <w:vAlign w:val="center"/>
          </w:tcPr>
          <w:p w14:paraId="6A839E44">
            <w:pPr>
              <w:snapToGrid w:val="0"/>
              <w:spacing w:before="50" w:after="50" w:line="360" w:lineRule="auto"/>
              <w:rPr>
                <w:rFonts w:ascii="宋体" w:hAnsi="宋体"/>
                <w:color w:val="000000"/>
                <w:sz w:val="24"/>
              </w:rPr>
            </w:pPr>
          </w:p>
        </w:tc>
        <w:tc>
          <w:tcPr>
            <w:tcW w:w="481" w:type="pct"/>
            <w:tcBorders>
              <w:top w:val="single" w:color="auto" w:sz="4" w:space="0"/>
              <w:left w:val="single" w:color="auto" w:sz="4" w:space="0"/>
              <w:bottom w:val="single" w:color="auto" w:sz="4" w:space="0"/>
              <w:right w:val="single" w:color="auto" w:sz="4" w:space="0"/>
            </w:tcBorders>
            <w:vAlign w:val="center"/>
          </w:tcPr>
          <w:p w14:paraId="29BE5522">
            <w:pPr>
              <w:snapToGrid w:val="0"/>
              <w:spacing w:before="50" w:after="50" w:line="360" w:lineRule="auto"/>
              <w:rPr>
                <w:rFonts w:ascii="宋体" w:hAnsi="宋体"/>
                <w:color w:val="000000"/>
                <w:sz w:val="24"/>
              </w:rPr>
            </w:pPr>
          </w:p>
        </w:tc>
        <w:tc>
          <w:tcPr>
            <w:tcW w:w="884" w:type="pct"/>
            <w:tcBorders>
              <w:top w:val="single" w:color="auto" w:sz="4" w:space="0"/>
              <w:left w:val="single" w:color="auto" w:sz="4" w:space="0"/>
              <w:bottom w:val="single" w:color="auto" w:sz="4" w:space="0"/>
              <w:right w:val="single" w:color="auto" w:sz="4" w:space="0"/>
            </w:tcBorders>
            <w:vAlign w:val="center"/>
          </w:tcPr>
          <w:p w14:paraId="4F098182">
            <w:pPr>
              <w:snapToGrid w:val="0"/>
              <w:spacing w:before="50" w:after="50" w:line="360" w:lineRule="auto"/>
              <w:rPr>
                <w:rFonts w:ascii="宋体" w:hAnsi="宋体"/>
                <w:color w:val="000000"/>
                <w:sz w:val="24"/>
              </w:rPr>
            </w:pPr>
          </w:p>
        </w:tc>
      </w:tr>
      <w:tr w14:paraId="092650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392" w:type="pct"/>
            <w:tcBorders>
              <w:top w:val="single" w:color="auto" w:sz="4" w:space="0"/>
              <w:left w:val="single" w:color="auto" w:sz="4" w:space="0"/>
              <w:bottom w:val="single" w:color="auto" w:sz="4" w:space="0"/>
              <w:right w:val="single" w:color="auto" w:sz="4" w:space="0"/>
            </w:tcBorders>
            <w:vAlign w:val="center"/>
          </w:tcPr>
          <w:p w14:paraId="6EBF51E2">
            <w:pPr>
              <w:snapToGrid w:val="0"/>
              <w:spacing w:before="50" w:after="50" w:line="360" w:lineRule="auto"/>
              <w:jc w:val="center"/>
              <w:rPr>
                <w:rFonts w:ascii="宋体" w:hAnsi="宋体"/>
                <w:b/>
                <w:color w:val="000000"/>
                <w:sz w:val="24"/>
              </w:rPr>
            </w:pPr>
            <w:r>
              <w:rPr>
                <w:rFonts w:hint="eastAsia" w:ascii="宋体" w:hAnsi="宋体"/>
                <w:b/>
                <w:color w:val="000000"/>
                <w:sz w:val="24"/>
              </w:rPr>
              <w:t>2</w:t>
            </w:r>
          </w:p>
        </w:tc>
        <w:tc>
          <w:tcPr>
            <w:tcW w:w="804" w:type="pct"/>
            <w:tcBorders>
              <w:top w:val="single" w:color="auto" w:sz="4" w:space="0"/>
              <w:left w:val="single" w:color="auto" w:sz="4" w:space="0"/>
              <w:bottom w:val="single" w:color="auto" w:sz="4" w:space="0"/>
              <w:right w:val="single" w:color="auto" w:sz="4" w:space="0"/>
            </w:tcBorders>
            <w:vAlign w:val="center"/>
          </w:tcPr>
          <w:p w14:paraId="6A890D0F">
            <w:pPr>
              <w:snapToGrid w:val="0"/>
              <w:spacing w:before="50" w:after="50" w:line="360" w:lineRule="auto"/>
              <w:jc w:val="center"/>
              <w:rPr>
                <w:rFonts w:ascii="宋体" w:hAnsi="宋体"/>
                <w:b/>
                <w:color w:val="000000"/>
                <w:sz w:val="24"/>
              </w:rPr>
            </w:pPr>
          </w:p>
        </w:tc>
        <w:tc>
          <w:tcPr>
            <w:tcW w:w="675" w:type="pct"/>
            <w:tcBorders>
              <w:top w:val="single" w:color="auto" w:sz="4" w:space="0"/>
              <w:left w:val="single" w:color="auto" w:sz="4" w:space="0"/>
              <w:bottom w:val="single" w:color="auto" w:sz="4" w:space="0"/>
              <w:right w:val="single" w:color="auto" w:sz="4" w:space="0"/>
            </w:tcBorders>
            <w:vAlign w:val="center"/>
          </w:tcPr>
          <w:p w14:paraId="5A87E190">
            <w:pPr>
              <w:snapToGrid w:val="0"/>
              <w:spacing w:before="50" w:after="50" w:line="360" w:lineRule="auto"/>
              <w:rPr>
                <w:rFonts w:ascii="宋体" w:hAnsi="宋体"/>
                <w:color w:val="000000"/>
                <w:sz w:val="24"/>
              </w:rPr>
            </w:pPr>
          </w:p>
        </w:tc>
        <w:tc>
          <w:tcPr>
            <w:tcW w:w="510" w:type="pct"/>
            <w:tcBorders>
              <w:top w:val="single" w:color="auto" w:sz="4" w:space="0"/>
              <w:left w:val="single" w:color="auto" w:sz="4" w:space="0"/>
              <w:bottom w:val="single" w:color="auto" w:sz="4" w:space="0"/>
              <w:right w:val="single" w:color="auto" w:sz="4" w:space="0"/>
            </w:tcBorders>
            <w:vAlign w:val="center"/>
          </w:tcPr>
          <w:p w14:paraId="5FD3A4D4">
            <w:pPr>
              <w:snapToGrid w:val="0"/>
              <w:spacing w:before="50" w:after="50" w:line="360" w:lineRule="auto"/>
              <w:rPr>
                <w:rFonts w:ascii="宋体" w:hAnsi="宋体"/>
                <w:color w:val="000000"/>
                <w:sz w:val="24"/>
              </w:rPr>
            </w:pPr>
          </w:p>
        </w:tc>
        <w:tc>
          <w:tcPr>
            <w:tcW w:w="655" w:type="pct"/>
            <w:tcBorders>
              <w:top w:val="single" w:color="auto" w:sz="4" w:space="0"/>
              <w:left w:val="single" w:color="auto" w:sz="4" w:space="0"/>
              <w:bottom w:val="single" w:color="auto" w:sz="4" w:space="0"/>
              <w:right w:val="single" w:color="auto" w:sz="4" w:space="0"/>
            </w:tcBorders>
            <w:vAlign w:val="center"/>
          </w:tcPr>
          <w:p w14:paraId="0608E34F">
            <w:pPr>
              <w:snapToGrid w:val="0"/>
              <w:spacing w:before="50" w:after="50" w:line="360" w:lineRule="auto"/>
              <w:rPr>
                <w:rFonts w:ascii="宋体" w:hAnsi="宋体"/>
                <w:color w:val="000000"/>
                <w:sz w:val="24"/>
              </w:rPr>
            </w:pPr>
          </w:p>
        </w:tc>
        <w:tc>
          <w:tcPr>
            <w:tcW w:w="596" w:type="pct"/>
            <w:tcBorders>
              <w:top w:val="single" w:color="auto" w:sz="4" w:space="0"/>
              <w:left w:val="single" w:color="auto" w:sz="4" w:space="0"/>
              <w:bottom w:val="single" w:color="auto" w:sz="4" w:space="0"/>
              <w:right w:val="single" w:color="auto" w:sz="4" w:space="0"/>
            </w:tcBorders>
            <w:vAlign w:val="center"/>
          </w:tcPr>
          <w:p w14:paraId="3C94E647">
            <w:pPr>
              <w:snapToGrid w:val="0"/>
              <w:spacing w:before="50" w:after="50" w:line="360" w:lineRule="auto"/>
              <w:rPr>
                <w:rFonts w:ascii="宋体" w:hAnsi="宋体"/>
                <w:color w:val="000000"/>
                <w:sz w:val="24"/>
              </w:rPr>
            </w:pPr>
          </w:p>
        </w:tc>
        <w:tc>
          <w:tcPr>
            <w:tcW w:w="481" w:type="pct"/>
            <w:tcBorders>
              <w:top w:val="single" w:color="auto" w:sz="4" w:space="0"/>
              <w:left w:val="single" w:color="auto" w:sz="4" w:space="0"/>
              <w:bottom w:val="single" w:color="auto" w:sz="4" w:space="0"/>
              <w:right w:val="single" w:color="auto" w:sz="4" w:space="0"/>
            </w:tcBorders>
            <w:vAlign w:val="center"/>
          </w:tcPr>
          <w:p w14:paraId="19A8C879">
            <w:pPr>
              <w:snapToGrid w:val="0"/>
              <w:spacing w:before="50" w:after="50" w:line="360" w:lineRule="auto"/>
              <w:rPr>
                <w:rFonts w:ascii="宋体" w:hAnsi="宋体"/>
                <w:color w:val="000000"/>
                <w:sz w:val="24"/>
              </w:rPr>
            </w:pPr>
          </w:p>
        </w:tc>
        <w:tc>
          <w:tcPr>
            <w:tcW w:w="884" w:type="pct"/>
            <w:tcBorders>
              <w:top w:val="single" w:color="auto" w:sz="4" w:space="0"/>
              <w:left w:val="single" w:color="auto" w:sz="4" w:space="0"/>
              <w:bottom w:val="single" w:color="auto" w:sz="4" w:space="0"/>
              <w:right w:val="single" w:color="auto" w:sz="4" w:space="0"/>
            </w:tcBorders>
            <w:vAlign w:val="center"/>
          </w:tcPr>
          <w:p w14:paraId="3E902BE2">
            <w:pPr>
              <w:snapToGrid w:val="0"/>
              <w:spacing w:before="50" w:after="50" w:line="360" w:lineRule="auto"/>
              <w:rPr>
                <w:rFonts w:ascii="宋体" w:hAnsi="宋体"/>
                <w:color w:val="000000"/>
                <w:sz w:val="24"/>
              </w:rPr>
            </w:pPr>
          </w:p>
        </w:tc>
      </w:tr>
      <w:tr w14:paraId="762869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392" w:type="pct"/>
            <w:tcBorders>
              <w:top w:val="single" w:color="auto" w:sz="4" w:space="0"/>
              <w:left w:val="single" w:color="auto" w:sz="4" w:space="0"/>
              <w:bottom w:val="single" w:color="auto" w:sz="4" w:space="0"/>
              <w:right w:val="single" w:color="auto" w:sz="4" w:space="0"/>
            </w:tcBorders>
            <w:vAlign w:val="center"/>
          </w:tcPr>
          <w:p w14:paraId="402BA3CD">
            <w:pPr>
              <w:snapToGrid w:val="0"/>
              <w:spacing w:before="50" w:after="50" w:line="360" w:lineRule="auto"/>
              <w:jc w:val="center"/>
              <w:rPr>
                <w:rFonts w:ascii="宋体" w:hAnsi="宋体"/>
                <w:b/>
                <w:color w:val="000000"/>
                <w:sz w:val="24"/>
              </w:rPr>
            </w:pPr>
            <w:r>
              <w:rPr>
                <w:rFonts w:hint="eastAsia" w:ascii="宋体" w:hAnsi="宋体"/>
                <w:b/>
                <w:color w:val="000000"/>
                <w:sz w:val="24"/>
              </w:rPr>
              <w:t>3</w:t>
            </w:r>
          </w:p>
        </w:tc>
        <w:tc>
          <w:tcPr>
            <w:tcW w:w="804" w:type="pct"/>
            <w:tcBorders>
              <w:top w:val="single" w:color="auto" w:sz="4" w:space="0"/>
              <w:left w:val="single" w:color="auto" w:sz="4" w:space="0"/>
              <w:bottom w:val="single" w:color="auto" w:sz="4" w:space="0"/>
              <w:right w:val="single" w:color="auto" w:sz="4" w:space="0"/>
            </w:tcBorders>
            <w:vAlign w:val="center"/>
          </w:tcPr>
          <w:p w14:paraId="182EFBF2">
            <w:pPr>
              <w:snapToGrid w:val="0"/>
              <w:spacing w:before="50" w:after="50" w:line="360" w:lineRule="auto"/>
              <w:jc w:val="center"/>
              <w:rPr>
                <w:rFonts w:ascii="宋体" w:hAnsi="宋体"/>
                <w:b/>
                <w:color w:val="000000"/>
                <w:sz w:val="24"/>
              </w:rPr>
            </w:pPr>
          </w:p>
        </w:tc>
        <w:tc>
          <w:tcPr>
            <w:tcW w:w="675" w:type="pct"/>
            <w:tcBorders>
              <w:top w:val="single" w:color="auto" w:sz="4" w:space="0"/>
              <w:left w:val="single" w:color="auto" w:sz="4" w:space="0"/>
              <w:bottom w:val="single" w:color="auto" w:sz="4" w:space="0"/>
              <w:right w:val="single" w:color="auto" w:sz="4" w:space="0"/>
            </w:tcBorders>
            <w:vAlign w:val="center"/>
          </w:tcPr>
          <w:p w14:paraId="27E9C101">
            <w:pPr>
              <w:snapToGrid w:val="0"/>
              <w:spacing w:before="50" w:after="50" w:line="360" w:lineRule="auto"/>
              <w:rPr>
                <w:rFonts w:ascii="宋体" w:hAnsi="宋体"/>
                <w:color w:val="000000"/>
                <w:sz w:val="24"/>
              </w:rPr>
            </w:pPr>
          </w:p>
        </w:tc>
        <w:tc>
          <w:tcPr>
            <w:tcW w:w="510" w:type="pct"/>
            <w:tcBorders>
              <w:top w:val="single" w:color="auto" w:sz="4" w:space="0"/>
              <w:left w:val="single" w:color="auto" w:sz="4" w:space="0"/>
              <w:bottom w:val="single" w:color="auto" w:sz="4" w:space="0"/>
              <w:right w:val="single" w:color="auto" w:sz="4" w:space="0"/>
            </w:tcBorders>
            <w:vAlign w:val="center"/>
          </w:tcPr>
          <w:p w14:paraId="494A3F13">
            <w:pPr>
              <w:snapToGrid w:val="0"/>
              <w:spacing w:before="50" w:after="50" w:line="360" w:lineRule="auto"/>
              <w:rPr>
                <w:rFonts w:ascii="宋体" w:hAnsi="宋体"/>
                <w:color w:val="000000"/>
                <w:sz w:val="24"/>
              </w:rPr>
            </w:pPr>
          </w:p>
        </w:tc>
        <w:tc>
          <w:tcPr>
            <w:tcW w:w="655" w:type="pct"/>
            <w:tcBorders>
              <w:top w:val="single" w:color="auto" w:sz="4" w:space="0"/>
              <w:left w:val="single" w:color="auto" w:sz="4" w:space="0"/>
              <w:bottom w:val="single" w:color="auto" w:sz="4" w:space="0"/>
              <w:right w:val="single" w:color="auto" w:sz="4" w:space="0"/>
            </w:tcBorders>
            <w:vAlign w:val="center"/>
          </w:tcPr>
          <w:p w14:paraId="3E089712">
            <w:pPr>
              <w:snapToGrid w:val="0"/>
              <w:spacing w:before="50" w:after="50" w:line="360" w:lineRule="auto"/>
              <w:rPr>
                <w:rFonts w:ascii="宋体" w:hAnsi="宋体"/>
                <w:color w:val="000000"/>
                <w:sz w:val="24"/>
              </w:rPr>
            </w:pPr>
          </w:p>
        </w:tc>
        <w:tc>
          <w:tcPr>
            <w:tcW w:w="596" w:type="pct"/>
            <w:tcBorders>
              <w:top w:val="single" w:color="auto" w:sz="4" w:space="0"/>
              <w:left w:val="single" w:color="auto" w:sz="4" w:space="0"/>
              <w:bottom w:val="single" w:color="auto" w:sz="4" w:space="0"/>
              <w:right w:val="single" w:color="auto" w:sz="4" w:space="0"/>
            </w:tcBorders>
            <w:vAlign w:val="center"/>
          </w:tcPr>
          <w:p w14:paraId="7D955D21">
            <w:pPr>
              <w:snapToGrid w:val="0"/>
              <w:spacing w:before="50" w:after="50" w:line="360" w:lineRule="auto"/>
              <w:rPr>
                <w:rFonts w:ascii="宋体" w:hAnsi="宋体"/>
                <w:color w:val="000000"/>
                <w:sz w:val="24"/>
              </w:rPr>
            </w:pPr>
          </w:p>
        </w:tc>
        <w:tc>
          <w:tcPr>
            <w:tcW w:w="481" w:type="pct"/>
            <w:tcBorders>
              <w:top w:val="single" w:color="auto" w:sz="4" w:space="0"/>
              <w:left w:val="single" w:color="auto" w:sz="4" w:space="0"/>
              <w:bottom w:val="single" w:color="auto" w:sz="4" w:space="0"/>
              <w:right w:val="single" w:color="auto" w:sz="4" w:space="0"/>
            </w:tcBorders>
            <w:vAlign w:val="center"/>
          </w:tcPr>
          <w:p w14:paraId="26E0FF6A">
            <w:pPr>
              <w:snapToGrid w:val="0"/>
              <w:spacing w:before="50" w:after="50" w:line="360" w:lineRule="auto"/>
              <w:rPr>
                <w:rFonts w:ascii="宋体" w:hAnsi="宋体"/>
                <w:color w:val="000000"/>
                <w:sz w:val="24"/>
              </w:rPr>
            </w:pPr>
          </w:p>
        </w:tc>
        <w:tc>
          <w:tcPr>
            <w:tcW w:w="884" w:type="pct"/>
            <w:tcBorders>
              <w:top w:val="single" w:color="auto" w:sz="4" w:space="0"/>
              <w:left w:val="single" w:color="auto" w:sz="4" w:space="0"/>
              <w:bottom w:val="single" w:color="auto" w:sz="4" w:space="0"/>
              <w:right w:val="single" w:color="auto" w:sz="4" w:space="0"/>
            </w:tcBorders>
            <w:vAlign w:val="center"/>
          </w:tcPr>
          <w:p w14:paraId="22CD396E">
            <w:pPr>
              <w:snapToGrid w:val="0"/>
              <w:spacing w:before="50" w:after="50" w:line="360" w:lineRule="auto"/>
              <w:rPr>
                <w:rFonts w:ascii="宋体" w:hAnsi="宋体"/>
                <w:color w:val="000000"/>
                <w:sz w:val="24"/>
              </w:rPr>
            </w:pPr>
          </w:p>
        </w:tc>
      </w:tr>
      <w:tr w14:paraId="502FD0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392" w:type="pct"/>
            <w:tcBorders>
              <w:top w:val="single" w:color="auto" w:sz="4" w:space="0"/>
              <w:left w:val="single" w:color="auto" w:sz="4" w:space="0"/>
              <w:bottom w:val="single" w:color="auto" w:sz="4" w:space="0"/>
              <w:right w:val="single" w:color="auto" w:sz="4" w:space="0"/>
            </w:tcBorders>
            <w:vAlign w:val="center"/>
          </w:tcPr>
          <w:p w14:paraId="0AE12756">
            <w:pPr>
              <w:snapToGrid w:val="0"/>
              <w:spacing w:before="50" w:after="50" w:line="360" w:lineRule="auto"/>
              <w:jc w:val="center"/>
              <w:rPr>
                <w:rFonts w:ascii="宋体" w:hAnsi="宋体"/>
                <w:b/>
                <w:color w:val="000000"/>
                <w:sz w:val="24"/>
              </w:rPr>
            </w:pPr>
            <w:r>
              <w:rPr>
                <w:rFonts w:hint="eastAsia" w:ascii="宋体" w:hAnsi="宋体"/>
                <w:b/>
                <w:color w:val="000000"/>
                <w:sz w:val="24"/>
              </w:rPr>
              <w:t>……</w:t>
            </w:r>
          </w:p>
        </w:tc>
        <w:tc>
          <w:tcPr>
            <w:tcW w:w="804" w:type="pct"/>
            <w:tcBorders>
              <w:top w:val="single" w:color="auto" w:sz="4" w:space="0"/>
              <w:left w:val="single" w:color="auto" w:sz="4" w:space="0"/>
              <w:bottom w:val="single" w:color="auto" w:sz="4" w:space="0"/>
              <w:right w:val="single" w:color="auto" w:sz="4" w:space="0"/>
            </w:tcBorders>
            <w:vAlign w:val="center"/>
          </w:tcPr>
          <w:p w14:paraId="427FE045">
            <w:pPr>
              <w:snapToGrid w:val="0"/>
              <w:spacing w:before="50" w:after="50" w:line="360" w:lineRule="auto"/>
              <w:jc w:val="center"/>
              <w:rPr>
                <w:rFonts w:ascii="宋体" w:hAnsi="宋体"/>
                <w:b/>
                <w:color w:val="000000"/>
                <w:sz w:val="24"/>
              </w:rPr>
            </w:pPr>
            <w:r>
              <w:rPr>
                <w:rFonts w:hint="eastAsia" w:ascii="宋体" w:hAnsi="宋体"/>
                <w:b/>
                <w:color w:val="000000"/>
                <w:sz w:val="24"/>
              </w:rPr>
              <w:t>……</w:t>
            </w:r>
          </w:p>
        </w:tc>
        <w:tc>
          <w:tcPr>
            <w:tcW w:w="675" w:type="pct"/>
            <w:tcBorders>
              <w:top w:val="single" w:color="auto" w:sz="4" w:space="0"/>
              <w:left w:val="single" w:color="auto" w:sz="4" w:space="0"/>
              <w:bottom w:val="single" w:color="auto" w:sz="4" w:space="0"/>
              <w:right w:val="single" w:color="auto" w:sz="4" w:space="0"/>
            </w:tcBorders>
            <w:vAlign w:val="center"/>
          </w:tcPr>
          <w:p w14:paraId="59942B39">
            <w:pPr>
              <w:snapToGrid w:val="0"/>
              <w:spacing w:before="50" w:after="50" w:line="360" w:lineRule="auto"/>
              <w:rPr>
                <w:rFonts w:ascii="宋体" w:hAnsi="宋体"/>
                <w:color w:val="000000"/>
                <w:sz w:val="24"/>
              </w:rPr>
            </w:pPr>
          </w:p>
        </w:tc>
        <w:tc>
          <w:tcPr>
            <w:tcW w:w="510" w:type="pct"/>
            <w:tcBorders>
              <w:top w:val="single" w:color="auto" w:sz="4" w:space="0"/>
              <w:left w:val="single" w:color="auto" w:sz="4" w:space="0"/>
              <w:bottom w:val="single" w:color="auto" w:sz="4" w:space="0"/>
              <w:right w:val="single" w:color="auto" w:sz="4" w:space="0"/>
            </w:tcBorders>
            <w:vAlign w:val="center"/>
          </w:tcPr>
          <w:p w14:paraId="08113978">
            <w:pPr>
              <w:snapToGrid w:val="0"/>
              <w:spacing w:before="50" w:after="50" w:line="360" w:lineRule="auto"/>
              <w:rPr>
                <w:rFonts w:ascii="宋体" w:hAnsi="宋体"/>
                <w:color w:val="000000"/>
                <w:sz w:val="24"/>
              </w:rPr>
            </w:pPr>
          </w:p>
        </w:tc>
        <w:tc>
          <w:tcPr>
            <w:tcW w:w="655" w:type="pct"/>
            <w:tcBorders>
              <w:top w:val="single" w:color="auto" w:sz="4" w:space="0"/>
              <w:left w:val="single" w:color="auto" w:sz="4" w:space="0"/>
              <w:bottom w:val="single" w:color="auto" w:sz="4" w:space="0"/>
              <w:right w:val="single" w:color="auto" w:sz="4" w:space="0"/>
            </w:tcBorders>
            <w:vAlign w:val="center"/>
          </w:tcPr>
          <w:p w14:paraId="410B74BF">
            <w:pPr>
              <w:snapToGrid w:val="0"/>
              <w:spacing w:before="50" w:after="50" w:line="360" w:lineRule="auto"/>
              <w:rPr>
                <w:rFonts w:ascii="宋体" w:hAnsi="宋体"/>
                <w:color w:val="000000"/>
                <w:sz w:val="24"/>
              </w:rPr>
            </w:pPr>
          </w:p>
        </w:tc>
        <w:tc>
          <w:tcPr>
            <w:tcW w:w="596" w:type="pct"/>
            <w:tcBorders>
              <w:top w:val="single" w:color="auto" w:sz="4" w:space="0"/>
              <w:left w:val="single" w:color="auto" w:sz="4" w:space="0"/>
              <w:bottom w:val="single" w:color="auto" w:sz="4" w:space="0"/>
              <w:right w:val="single" w:color="auto" w:sz="4" w:space="0"/>
            </w:tcBorders>
            <w:vAlign w:val="center"/>
          </w:tcPr>
          <w:p w14:paraId="4D32E503">
            <w:pPr>
              <w:snapToGrid w:val="0"/>
              <w:spacing w:before="50" w:after="50" w:line="360" w:lineRule="auto"/>
              <w:rPr>
                <w:rFonts w:ascii="宋体" w:hAnsi="宋体"/>
                <w:color w:val="000000"/>
                <w:sz w:val="24"/>
              </w:rPr>
            </w:pPr>
          </w:p>
        </w:tc>
        <w:tc>
          <w:tcPr>
            <w:tcW w:w="481" w:type="pct"/>
            <w:tcBorders>
              <w:top w:val="single" w:color="auto" w:sz="4" w:space="0"/>
              <w:left w:val="single" w:color="auto" w:sz="4" w:space="0"/>
              <w:bottom w:val="single" w:color="auto" w:sz="4" w:space="0"/>
              <w:right w:val="single" w:color="auto" w:sz="4" w:space="0"/>
            </w:tcBorders>
            <w:vAlign w:val="center"/>
          </w:tcPr>
          <w:p w14:paraId="3E47437A">
            <w:pPr>
              <w:snapToGrid w:val="0"/>
              <w:spacing w:before="50" w:after="50" w:line="360" w:lineRule="auto"/>
              <w:rPr>
                <w:rFonts w:ascii="宋体" w:hAnsi="宋体"/>
                <w:color w:val="000000"/>
                <w:sz w:val="24"/>
              </w:rPr>
            </w:pPr>
          </w:p>
        </w:tc>
        <w:tc>
          <w:tcPr>
            <w:tcW w:w="884" w:type="pct"/>
            <w:tcBorders>
              <w:top w:val="single" w:color="auto" w:sz="4" w:space="0"/>
              <w:left w:val="single" w:color="auto" w:sz="4" w:space="0"/>
              <w:bottom w:val="single" w:color="auto" w:sz="4" w:space="0"/>
              <w:right w:val="single" w:color="auto" w:sz="4" w:space="0"/>
            </w:tcBorders>
            <w:vAlign w:val="center"/>
          </w:tcPr>
          <w:p w14:paraId="0E0FBB5D">
            <w:pPr>
              <w:snapToGrid w:val="0"/>
              <w:spacing w:before="50" w:after="50" w:line="360" w:lineRule="auto"/>
              <w:rPr>
                <w:rFonts w:ascii="宋体" w:hAnsi="宋体"/>
                <w:color w:val="000000"/>
                <w:sz w:val="24"/>
              </w:rPr>
            </w:pPr>
          </w:p>
        </w:tc>
      </w:tr>
      <w:tr w14:paraId="02531C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5000" w:type="pct"/>
            <w:gridSpan w:val="8"/>
            <w:tcBorders>
              <w:top w:val="single" w:color="auto" w:sz="4" w:space="0"/>
              <w:left w:val="single" w:color="auto" w:sz="4" w:space="0"/>
              <w:bottom w:val="single" w:color="auto" w:sz="4" w:space="0"/>
              <w:right w:val="single" w:color="auto" w:sz="4" w:space="0"/>
            </w:tcBorders>
            <w:vAlign w:val="center"/>
          </w:tcPr>
          <w:p w14:paraId="7AD331C8">
            <w:pPr>
              <w:snapToGrid w:val="0"/>
              <w:spacing w:before="50" w:after="50" w:line="360" w:lineRule="auto"/>
              <w:rPr>
                <w:rFonts w:ascii="宋体" w:hAnsi="宋体" w:cs="仿宋_GB2312"/>
                <w:color w:val="000000"/>
                <w:sz w:val="24"/>
              </w:rPr>
            </w:pPr>
            <w:r>
              <w:rPr>
                <w:rFonts w:hint="eastAsia" w:ascii="宋体" w:hAnsi="宋体" w:cs="仿宋_GB2312"/>
                <w:color w:val="000000"/>
                <w:sz w:val="24"/>
              </w:rPr>
              <w:t>总报价（ 包含税费等所有费用 ）：（大写）人民币</w:t>
            </w:r>
            <w:r>
              <w:rPr>
                <w:rFonts w:hint="eastAsia" w:ascii="宋体" w:hAnsi="宋体" w:cs="仿宋_GB2312"/>
                <w:color w:val="000000"/>
                <w:sz w:val="24"/>
                <w:u w:val="single"/>
              </w:rPr>
              <w:t xml:space="preserve">           </w:t>
            </w:r>
            <w:r>
              <w:rPr>
                <w:rFonts w:hint="eastAsia" w:ascii="宋体" w:hAnsi="宋体" w:cs="仿宋_GB2312"/>
                <w:color w:val="000000"/>
                <w:sz w:val="24"/>
              </w:rPr>
              <w:t>（￥</w:t>
            </w:r>
            <w:r>
              <w:rPr>
                <w:rFonts w:hint="eastAsia" w:ascii="宋体" w:hAnsi="宋体" w:cs="仿宋_GB2312"/>
                <w:color w:val="000000"/>
                <w:sz w:val="24"/>
                <w:u w:val="single"/>
              </w:rPr>
              <w:t xml:space="preserve">           </w:t>
            </w:r>
            <w:r>
              <w:rPr>
                <w:rFonts w:hint="eastAsia" w:ascii="宋体" w:hAnsi="宋体" w:cs="仿宋_GB2312"/>
                <w:color w:val="000000"/>
                <w:sz w:val="24"/>
              </w:rPr>
              <w:t>）</w:t>
            </w:r>
          </w:p>
        </w:tc>
      </w:tr>
      <w:tr w14:paraId="39E692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5000" w:type="pct"/>
            <w:gridSpan w:val="8"/>
            <w:tcBorders>
              <w:top w:val="single" w:color="auto" w:sz="4" w:space="0"/>
              <w:left w:val="single" w:color="auto" w:sz="4" w:space="0"/>
              <w:bottom w:val="single" w:color="auto" w:sz="4" w:space="0"/>
              <w:right w:val="single" w:color="auto" w:sz="4" w:space="0"/>
            </w:tcBorders>
            <w:vAlign w:val="center"/>
          </w:tcPr>
          <w:p w14:paraId="4DF10FB0">
            <w:pPr>
              <w:snapToGrid w:val="0"/>
              <w:spacing w:before="50" w:after="50" w:line="360" w:lineRule="auto"/>
              <w:rPr>
                <w:rFonts w:ascii="宋体" w:hAnsi="宋体" w:cs="仿宋_GB2312"/>
                <w:color w:val="000000"/>
                <w:sz w:val="24"/>
              </w:rPr>
            </w:pPr>
            <w:r>
              <w:rPr>
                <w:rFonts w:hint="eastAsia" w:ascii="宋体" w:hAnsi="宋体" w:cs="仿宋_GB2312"/>
                <w:color w:val="000000"/>
                <w:sz w:val="24"/>
              </w:rPr>
              <w:t>合同履行期限：</w:t>
            </w:r>
          </w:p>
        </w:tc>
      </w:tr>
      <w:tr w14:paraId="46B9EE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5000" w:type="pct"/>
            <w:gridSpan w:val="8"/>
            <w:tcBorders>
              <w:top w:val="single" w:color="auto" w:sz="4" w:space="0"/>
              <w:left w:val="single" w:color="auto" w:sz="4" w:space="0"/>
              <w:bottom w:val="single" w:color="auto" w:sz="4" w:space="0"/>
              <w:right w:val="single" w:color="auto" w:sz="4" w:space="0"/>
            </w:tcBorders>
            <w:vAlign w:val="center"/>
          </w:tcPr>
          <w:p w14:paraId="75CF10FA">
            <w:pPr>
              <w:snapToGrid w:val="0"/>
              <w:spacing w:before="50" w:after="50" w:line="360" w:lineRule="auto"/>
              <w:rPr>
                <w:rFonts w:ascii="宋体" w:hAnsi="宋体" w:cs="仿宋_GB2312"/>
                <w:color w:val="000000"/>
                <w:sz w:val="24"/>
              </w:rPr>
            </w:pPr>
            <w:r>
              <w:rPr>
                <w:rFonts w:hint="eastAsia" w:ascii="宋体" w:hAnsi="宋体" w:cs="仿宋_GB2312"/>
                <w:color w:val="000000"/>
                <w:sz w:val="24"/>
              </w:rPr>
              <w:t>优惠及其它：</w:t>
            </w:r>
          </w:p>
        </w:tc>
      </w:tr>
    </w:tbl>
    <w:p w14:paraId="1D6503D6">
      <w:pPr>
        <w:snapToGrid w:val="0"/>
        <w:spacing w:line="360" w:lineRule="auto"/>
        <w:jc w:val="left"/>
        <w:rPr>
          <w:rFonts w:ascii="宋体" w:hAnsi="宋体"/>
          <w:sz w:val="24"/>
        </w:rPr>
      </w:pPr>
      <w:r>
        <w:rPr>
          <w:rFonts w:hint="eastAsia" w:ascii="宋体" w:hAnsi="宋体"/>
          <w:sz w:val="24"/>
        </w:rPr>
        <w:t xml:space="preserve">注： </w:t>
      </w:r>
    </w:p>
    <w:p w14:paraId="317EF8E1">
      <w:pPr>
        <w:snapToGrid w:val="0"/>
        <w:spacing w:line="360" w:lineRule="auto"/>
        <w:ind w:firstLine="480" w:firstLineChars="200"/>
        <w:jc w:val="left"/>
        <w:rPr>
          <w:rFonts w:ascii="宋体" w:hAnsi="宋体"/>
          <w:b/>
          <w:sz w:val="24"/>
        </w:rPr>
      </w:pPr>
      <w:r>
        <w:rPr>
          <w:rFonts w:hint="eastAsia" w:ascii="宋体" w:hAnsi="宋体"/>
          <w:bCs/>
          <w:sz w:val="24"/>
        </w:rPr>
        <w:t>1.</w:t>
      </w:r>
      <w:r>
        <w:rPr>
          <w:rFonts w:hint="eastAsia" w:ascii="宋体" w:hAnsi="宋体"/>
          <w:sz w:val="24"/>
        </w:rPr>
        <w:t>报价一经涂改，应在涂改处加盖投标人公章</w:t>
      </w:r>
      <w:r>
        <w:rPr>
          <w:rFonts w:hint="eastAsia" w:ascii="宋体" w:hAnsi="宋体" w:cs="仿宋_GB2312"/>
          <w:sz w:val="24"/>
        </w:rPr>
        <w:t>或者加盖电子签章</w:t>
      </w:r>
      <w:r>
        <w:rPr>
          <w:rFonts w:hint="eastAsia" w:ascii="宋体" w:hAnsi="宋体"/>
          <w:sz w:val="24"/>
        </w:rPr>
        <w:t>或者由法定代表人或者委托代理人签字（或者电子签名）</w:t>
      </w:r>
      <w:r>
        <w:rPr>
          <w:rFonts w:hint="eastAsia" w:ascii="宋体" w:hAnsi="宋体"/>
          <w:b/>
          <w:sz w:val="24"/>
        </w:rPr>
        <w:t>，否则其投标作无效标处理。</w:t>
      </w:r>
    </w:p>
    <w:p w14:paraId="1385D977">
      <w:pPr>
        <w:snapToGrid w:val="0"/>
        <w:spacing w:line="360" w:lineRule="auto"/>
        <w:ind w:firstLine="480" w:firstLineChars="200"/>
        <w:jc w:val="left"/>
        <w:rPr>
          <w:rFonts w:ascii="宋体" w:hAnsi="宋体"/>
          <w:sz w:val="24"/>
        </w:rPr>
      </w:pPr>
      <w:r>
        <w:rPr>
          <w:rFonts w:hint="eastAsia" w:ascii="宋体" w:hAnsi="宋体"/>
          <w:sz w:val="24"/>
        </w:rPr>
        <w:t>2.招标文件中列明采购专用耗材的，应按招标文件规定的耗材量或者按耗材的常规试用量提供报价。</w:t>
      </w:r>
    </w:p>
    <w:p w14:paraId="72CDD68D">
      <w:pPr>
        <w:pStyle w:val="11"/>
      </w:pPr>
    </w:p>
    <w:p w14:paraId="48F91ADE">
      <w:pPr>
        <w:snapToGrid w:val="0"/>
        <w:spacing w:line="360" w:lineRule="auto"/>
        <w:ind w:left="-2" w:leftChars="-1" w:right="-817" w:rightChars="-389"/>
        <w:rPr>
          <w:rFonts w:ascii="宋体" w:hAnsi="宋体"/>
          <w:sz w:val="24"/>
        </w:rPr>
      </w:pPr>
      <w:r>
        <w:rPr>
          <w:rFonts w:hint="eastAsia" w:ascii="宋体" w:hAnsi="宋体"/>
          <w:sz w:val="24"/>
        </w:rPr>
        <w:t xml:space="preserve">                                  </w:t>
      </w:r>
    </w:p>
    <w:p w14:paraId="5C07AD08">
      <w:pPr>
        <w:snapToGrid w:val="0"/>
        <w:spacing w:line="360" w:lineRule="auto"/>
        <w:ind w:left="-2" w:leftChars="-1" w:right="-817" w:rightChars="-389"/>
        <w:rPr>
          <w:rFonts w:ascii="宋体" w:hAnsi="宋体"/>
          <w:sz w:val="24"/>
        </w:rPr>
      </w:pPr>
      <w:r>
        <w:rPr>
          <w:rFonts w:hint="eastAsia" w:ascii="宋体" w:hAnsi="宋体"/>
          <w:sz w:val="24"/>
        </w:rPr>
        <w:t xml:space="preserve"> </w:t>
      </w:r>
    </w:p>
    <w:p w14:paraId="34D453CC">
      <w:pPr>
        <w:snapToGrid w:val="0"/>
        <w:spacing w:line="480" w:lineRule="auto"/>
        <w:ind w:left="-3" w:leftChars="-15" w:right="-817" w:rightChars="-389" w:hanging="28" w:hangingChars="12"/>
        <w:rPr>
          <w:rFonts w:ascii="宋体" w:hAnsi="宋体"/>
          <w:sz w:val="24"/>
          <w:u w:val="single"/>
        </w:rPr>
      </w:pPr>
      <w:r>
        <w:rPr>
          <w:rFonts w:hint="eastAsia" w:ascii="宋体" w:hAnsi="宋体"/>
          <w:sz w:val="24"/>
        </w:rPr>
        <w:t xml:space="preserve">                                  投标人名称（电子签章）：</w:t>
      </w:r>
      <w:r>
        <w:rPr>
          <w:rFonts w:hint="eastAsia" w:ascii="宋体" w:hAnsi="宋体"/>
          <w:sz w:val="24"/>
          <w:u w:val="single"/>
        </w:rPr>
        <w:t xml:space="preserve">           </w:t>
      </w:r>
    </w:p>
    <w:p w14:paraId="144525B6">
      <w:pPr>
        <w:pStyle w:val="16"/>
        <w:spacing w:line="480" w:lineRule="auto"/>
        <w:contextualSpacing/>
        <w:rPr>
          <w:rFonts w:hAnsi="宋体"/>
          <w:sz w:val="24"/>
        </w:rPr>
      </w:pPr>
      <w:r>
        <w:rPr>
          <w:rFonts w:hint="eastAsia" w:hAnsi="宋体"/>
          <w:sz w:val="24"/>
        </w:rPr>
        <w:t xml:space="preserve">                                        </w:t>
      </w:r>
      <w:r>
        <w:rPr>
          <w:rFonts w:hint="eastAsia" w:hAnsi="宋体"/>
          <w:sz w:val="24"/>
          <w:szCs w:val="24"/>
        </w:rPr>
        <w:t xml:space="preserve"> </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p>
    <w:p w14:paraId="22689368">
      <w:pPr>
        <w:snapToGrid w:val="0"/>
        <w:spacing w:line="480" w:lineRule="auto"/>
        <w:ind w:left="-6" w:leftChars="-15" w:right="-817" w:rightChars="-389" w:hanging="25" w:hangingChars="12"/>
        <w:rPr>
          <w:rFonts w:ascii="宋体" w:hAnsi="宋体"/>
          <w:szCs w:val="21"/>
        </w:rPr>
      </w:pPr>
    </w:p>
    <w:p w14:paraId="38316CAA">
      <w:pPr>
        <w:rPr>
          <w:b/>
          <w:sz w:val="28"/>
          <w:szCs w:val="28"/>
        </w:rPr>
      </w:pPr>
      <w:r>
        <w:rPr>
          <w:rFonts w:ascii="宋体" w:hAnsi="宋体"/>
          <w:b/>
          <w:bCs/>
          <w:sz w:val="24"/>
        </w:rPr>
        <w:br w:type="page"/>
      </w:r>
      <w:bookmarkStart w:id="174" w:name="_Toc19686837"/>
      <w:r>
        <w:rPr>
          <w:rFonts w:hint="eastAsia"/>
          <w:b/>
          <w:sz w:val="28"/>
          <w:szCs w:val="28"/>
        </w:rPr>
        <w:t>二、资格证明文件格式</w:t>
      </w:r>
      <w:bookmarkEnd w:id="172"/>
      <w:bookmarkEnd w:id="173"/>
      <w:bookmarkEnd w:id="174"/>
    </w:p>
    <w:p w14:paraId="16AA22B4">
      <w:pPr>
        <w:snapToGrid w:val="0"/>
        <w:spacing w:before="120" w:beforeLines="50" w:after="50" w:line="360" w:lineRule="auto"/>
        <w:jc w:val="left"/>
        <w:rPr>
          <w:rFonts w:ascii="宋体" w:hAnsi="宋体"/>
          <w:b/>
          <w:sz w:val="24"/>
        </w:rPr>
      </w:pPr>
      <w:r>
        <w:rPr>
          <w:rFonts w:hint="eastAsia" w:ascii="宋体" w:hAnsi="宋体"/>
          <w:b/>
          <w:sz w:val="24"/>
        </w:rPr>
        <w:t xml:space="preserve">1.资格证明文件封面格式： </w:t>
      </w:r>
    </w:p>
    <w:p w14:paraId="6CAFDB9F">
      <w:pPr>
        <w:snapToGrid w:val="0"/>
        <w:spacing w:before="120" w:beforeLines="50" w:after="50" w:line="360" w:lineRule="auto"/>
        <w:ind w:left="142"/>
        <w:jc w:val="center"/>
        <w:rPr>
          <w:rFonts w:ascii="宋体" w:hAnsi="宋体" w:eastAsia="方正小标宋简体"/>
          <w:bCs/>
          <w:sz w:val="48"/>
          <w:szCs w:val="48"/>
        </w:rPr>
      </w:pPr>
    </w:p>
    <w:p w14:paraId="7E281D07">
      <w:pPr>
        <w:snapToGrid w:val="0"/>
        <w:spacing w:before="120" w:beforeLines="50" w:after="50" w:line="360" w:lineRule="auto"/>
        <w:ind w:left="142"/>
        <w:jc w:val="center"/>
        <w:rPr>
          <w:rFonts w:ascii="宋体" w:hAnsi="宋体" w:eastAsia="方正小标宋简体"/>
          <w:bCs/>
          <w:sz w:val="48"/>
          <w:szCs w:val="48"/>
        </w:rPr>
      </w:pPr>
      <w:r>
        <w:rPr>
          <w:rFonts w:hint="eastAsia" w:ascii="宋体" w:hAnsi="宋体" w:eastAsia="方正小标宋简体"/>
          <w:b/>
          <w:bCs w:val="0"/>
          <w:sz w:val="48"/>
          <w:szCs w:val="48"/>
        </w:rPr>
        <w:t>电子</w:t>
      </w:r>
      <w:r>
        <w:rPr>
          <w:rFonts w:hint="eastAsia" w:ascii="宋体" w:hAnsi="宋体" w:eastAsia="方正小标宋简体"/>
          <w:bCs/>
          <w:sz w:val="48"/>
          <w:szCs w:val="48"/>
        </w:rPr>
        <w:t>投标文件</w:t>
      </w:r>
    </w:p>
    <w:p w14:paraId="3A23BCB5">
      <w:pPr>
        <w:snapToGrid w:val="0"/>
        <w:spacing w:before="120" w:beforeLines="50" w:after="50" w:line="360" w:lineRule="auto"/>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b/>
          <w:bCs/>
          <w:sz w:val="72"/>
          <w:szCs w:val="72"/>
        </w:rPr>
        <w:t>资</w:t>
      </w:r>
      <w:r>
        <w:rPr>
          <w:rFonts w:hint="eastAsia" w:ascii="方正小标宋简体" w:hAnsi="方正小标宋简体" w:eastAsia="方正小标宋简体" w:cs="方正小标宋简体"/>
          <w:sz w:val="72"/>
          <w:szCs w:val="72"/>
        </w:rPr>
        <w:t>格证明文件</w:t>
      </w:r>
    </w:p>
    <w:p w14:paraId="169EEB66">
      <w:pPr>
        <w:snapToGrid w:val="0"/>
        <w:spacing w:before="120" w:beforeLines="50" w:after="50"/>
        <w:rPr>
          <w:rFonts w:ascii="宋体" w:hAnsi="宋体"/>
          <w:bCs/>
          <w:sz w:val="24"/>
          <w:szCs w:val="20"/>
        </w:rPr>
      </w:pPr>
    </w:p>
    <w:p w14:paraId="1C173805">
      <w:pPr>
        <w:snapToGrid w:val="0"/>
        <w:spacing w:before="120" w:beforeLines="50" w:after="50"/>
        <w:rPr>
          <w:rFonts w:ascii="宋体" w:hAnsi="宋体"/>
          <w:bCs/>
          <w:sz w:val="24"/>
          <w:szCs w:val="20"/>
        </w:rPr>
      </w:pPr>
    </w:p>
    <w:p w14:paraId="715D7423">
      <w:pPr>
        <w:snapToGrid w:val="0"/>
        <w:spacing w:before="120" w:beforeLines="50" w:after="50"/>
        <w:rPr>
          <w:rFonts w:ascii="宋体" w:hAnsi="宋体"/>
          <w:bCs/>
          <w:sz w:val="24"/>
          <w:szCs w:val="20"/>
        </w:rPr>
      </w:pPr>
    </w:p>
    <w:p w14:paraId="44F70030">
      <w:pPr>
        <w:snapToGrid w:val="0"/>
        <w:spacing w:before="120" w:beforeLines="50" w:after="50"/>
        <w:rPr>
          <w:rFonts w:ascii="宋体" w:hAnsi="宋体"/>
          <w:bCs/>
          <w:sz w:val="24"/>
          <w:szCs w:val="20"/>
        </w:rPr>
      </w:pPr>
    </w:p>
    <w:p w14:paraId="222F8AEB">
      <w:pPr>
        <w:snapToGrid w:val="0"/>
        <w:spacing w:before="120" w:beforeLines="50" w:after="50"/>
        <w:rPr>
          <w:rFonts w:ascii="宋体" w:hAnsi="宋体"/>
          <w:bCs/>
          <w:sz w:val="24"/>
          <w:szCs w:val="20"/>
        </w:rPr>
      </w:pPr>
    </w:p>
    <w:p w14:paraId="419C7BFE">
      <w:pPr>
        <w:snapToGrid w:val="0"/>
        <w:spacing w:before="120" w:beforeLines="50" w:after="50"/>
        <w:rPr>
          <w:rFonts w:ascii="宋体" w:hAnsi="宋体"/>
          <w:bCs/>
          <w:sz w:val="24"/>
          <w:szCs w:val="20"/>
        </w:rPr>
      </w:pPr>
    </w:p>
    <w:p w14:paraId="2FB11450">
      <w:pPr>
        <w:snapToGrid w:val="0"/>
        <w:spacing w:before="120" w:beforeLines="50" w:after="50"/>
        <w:ind w:firstLine="910" w:firstLineChars="325"/>
        <w:rPr>
          <w:rFonts w:ascii="宋体" w:hAnsi="宋体"/>
          <w:bCs/>
          <w:sz w:val="28"/>
          <w:szCs w:val="28"/>
        </w:rPr>
      </w:pPr>
      <w:r>
        <w:rPr>
          <w:rFonts w:hint="eastAsia" w:ascii="宋体" w:hAnsi="宋体"/>
          <w:bCs/>
          <w:sz w:val="28"/>
          <w:szCs w:val="28"/>
        </w:rPr>
        <w:t>项目名称：</w:t>
      </w:r>
    </w:p>
    <w:p w14:paraId="3B1B7864">
      <w:pPr>
        <w:snapToGrid w:val="0"/>
        <w:spacing w:before="120" w:beforeLines="50" w:after="50"/>
        <w:ind w:firstLine="630" w:firstLineChars="225"/>
        <w:rPr>
          <w:rFonts w:ascii="宋体" w:hAnsi="宋体"/>
          <w:bCs/>
          <w:sz w:val="28"/>
          <w:szCs w:val="28"/>
        </w:rPr>
      </w:pPr>
    </w:p>
    <w:p w14:paraId="597722AB">
      <w:pPr>
        <w:snapToGrid w:val="0"/>
        <w:spacing w:before="120" w:beforeLines="50" w:after="50"/>
        <w:ind w:firstLine="910" w:firstLineChars="325"/>
        <w:rPr>
          <w:rFonts w:ascii="宋体" w:hAnsi="宋体"/>
          <w:bCs/>
          <w:sz w:val="28"/>
          <w:szCs w:val="28"/>
        </w:rPr>
      </w:pPr>
      <w:r>
        <w:rPr>
          <w:rFonts w:hint="eastAsia" w:ascii="宋体" w:hAnsi="宋体"/>
          <w:bCs/>
          <w:sz w:val="28"/>
          <w:szCs w:val="28"/>
        </w:rPr>
        <w:t>项目编号：</w:t>
      </w:r>
    </w:p>
    <w:p w14:paraId="5E09091E">
      <w:pPr>
        <w:snapToGrid w:val="0"/>
        <w:spacing w:before="120" w:beforeLines="50" w:after="50"/>
        <w:ind w:firstLine="630" w:firstLineChars="225"/>
        <w:rPr>
          <w:rFonts w:ascii="宋体" w:hAnsi="宋体"/>
          <w:bCs/>
          <w:sz w:val="28"/>
          <w:szCs w:val="28"/>
        </w:rPr>
      </w:pPr>
      <w:r>
        <w:rPr>
          <w:rFonts w:hint="eastAsia" w:ascii="宋体" w:hAnsi="宋体"/>
          <w:bCs/>
          <w:sz w:val="28"/>
          <w:szCs w:val="28"/>
        </w:rPr>
        <w:t xml:space="preserve"> </w:t>
      </w:r>
    </w:p>
    <w:p w14:paraId="3263386A">
      <w:pPr>
        <w:pStyle w:val="7"/>
        <w:snapToGrid w:val="0"/>
        <w:spacing w:before="50" w:after="50"/>
        <w:ind w:firstLine="630" w:firstLineChars="225"/>
        <w:rPr>
          <w:rFonts w:ascii="宋体" w:hAnsi="宋体"/>
          <w:bCs/>
          <w:sz w:val="28"/>
          <w:szCs w:val="28"/>
        </w:rPr>
      </w:pPr>
    </w:p>
    <w:p w14:paraId="77C5B900">
      <w:pPr>
        <w:pStyle w:val="7"/>
        <w:snapToGrid w:val="0"/>
        <w:spacing w:before="50" w:after="50"/>
        <w:ind w:firstLine="910" w:firstLineChars="325"/>
        <w:rPr>
          <w:rFonts w:ascii="宋体" w:hAnsi="宋体"/>
          <w:bCs/>
          <w:sz w:val="28"/>
          <w:szCs w:val="28"/>
        </w:rPr>
      </w:pPr>
      <w:r>
        <w:rPr>
          <w:rFonts w:hint="eastAsia" w:ascii="宋体" w:hAnsi="宋体"/>
          <w:bCs/>
          <w:sz w:val="28"/>
          <w:szCs w:val="28"/>
        </w:rPr>
        <w:t>投标人名称：</w:t>
      </w:r>
    </w:p>
    <w:p w14:paraId="5584731C">
      <w:pPr>
        <w:pStyle w:val="7"/>
        <w:snapToGrid w:val="0"/>
        <w:spacing w:before="50" w:after="50"/>
        <w:ind w:firstLine="630" w:firstLineChars="225"/>
        <w:rPr>
          <w:rFonts w:ascii="宋体" w:hAnsi="宋体"/>
          <w:bCs/>
          <w:sz w:val="28"/>
          <w:szCs w:val="28"/>
        </w:rPr>
      </w:pPr>
    </w:p>
    <w:p w14:paraId="44E2AD7C">
      <w:pPr>
        <w:pStyle w:val="7"/>
        <w:snapToGrid w:val="0"/>
        <w:spacing w:before="50" w:after="50"/>
        <w:ind w:firstLine="1120" w:firstLineChars="400"/>
        <w:rPr>
          <w:rFonts w:ascii="宋体" w:hAnsi="宋体"/>
          <w:bCs/>
          <w:sz w:val="28"/>
          <w:szCs w:val="28"/>
        </w:rPr>
      </w:pPr>
    </w:p>
    <w:p w14:paraId="75D1B074">
      <w:pPr>
        <w:snapToGrid w:val="0"/>
        <w:spacing w:before="120" w:beforeLines="50" w:after="50"/>
        <w:ind w:firstLine="645"/>
        <w:jc w:val="center"/>
        <w:rPr>
          <w:rFonts w:ascii="宋体" w:hAnsi="宋体"/>
          <w:sz w:val="28"/>
          <w:szCs w:val="28"/>
        </w:rPr>
      </w:pPr>
      <w:r>
        <w:rPr>
          <w:rFonts w:hint="eastAsia" w:ascii="宋体" w:hAnsi="宋体"/>
          <w:sz w:val="28"/>
          <w:szCs w:val="28"/>
        </w:rPr>
        <w:t>年   月   日</w:t>
      </w:r>
    </w:p>
    <w:p w14:paraId="194DB5A3">
      <w:pPr>
        <w:snapToGrid w:val="0"/>
        <w:spacing w:before="120" w:beforeLines="50" w:after="50"/>
        <w:rPr>
          <w:rFonts w:ascii="宋体" w:hAnsi="宋体"/>
          <w:sz w:val="24"/>
          <w:szCs w:val="20"/>
        </w:rPr>
      </w:pPr>
      <w:r>
        <w:rPr>
          <w:rFonts w:ascii="宋体" w:hAnsi="宋体"/>
          <w:sz w:val="24"/>
          <w:szCs w:val="20"/>
        </w:rPr>
        <w:t xml:space="preserve"> </w:t>
      </w:r>
    </w:p>
    <w:p w14:paraId="44261AC8">
      <w:pPr>
        <w:snapToGrid w:val="0"/>
        <w:spacing w:before="120" w:beforeLines="50" w:after="50"/>
        <w:rPr>
          <w:rFonts w:ascii="宋体" w:hAnsi="宋体"/>
          <w:sz w:val="24"/>
          <w:szCs w:val="20"/>
        </w:rPr>
      </w:pPr>
    </w:p>
    <w:p w14:paraId="10ABC959">
      <w:pPr>
        <w:snapToGrid w:val="0"/>
        <w:spacing w:before="120" w:beforeLines="50" w:after="50" w:line="360" w:lineRule="auto"/>
        <w:jc w:val="left"/>
        <w:rPr>
          <w:rFonts w:ascii="宋体" w:hAnsi="宋体"/>
          <w:sz w:val="24"/>
          <w:szCs w:val="20"/>
        </w:rPr>
      </w:pPr>
      <w:r>
        <w:rPr>
          <w:rFonts w:ascii="宋体" w:hAnsi="宋体"/>
          <w:b/>
          <w:bCs/>
          <w:sz w:val="24"/>
        </w:rPr>
        <w:br w:type="page"/>
      </w:r>
      <w:r>
        <w:rPr>
          <w:rFonts w:hint="eastAsia" w:ascii="宋体" w:hAnsi="宋体"/>
          <w:b/>
          <w:bCs/>
          <w:sz w:val="24"/>
        </w:rPr>
        <w:t>2.资格证明文件目录</w:t>
      </w:r>
    </w:p>
    <w:p w14:paraId="72BD107B">
      <w:pPr>
        <w:snapToGrid w:val="0"/>
        <w:spacing w:line="360" w:lineRule="auto"/>
        <w:ind w:firstLine="560" w:firstLineChars="200"/>
        <w:jc w:val="left"/>
        <w:rPr>
          <w:rFonts w:ascii="宋体" w:hAnsi="宋体"/>
          <w:sz w:val="28"/>
          <w:szCs w:val="28"/>
        </w:rPr>
      </w:pPr>
      <w:r>
        <w:rPr>
          <w:rFonts w:hint="eastAsia" w:ascii="宋体" w:hAnsi="宋体"/>
          <w:sz w:val="28"/>
          <w:szCs w:val="28"/>
        </w:rPr>
        <w:t>根据招标文件规定及投标人提供的材料自行编写目录。</w:t>
      </w:r>
    </w:p>
    <w:p w14:paraId="412ACC72">
      <w:pPr>
        <w:snapToGrid w:val="0"/>
        <w:spacing w:before="50" w:after="120" w:afterLines="50"/>
        <w:jc w:val="left"/>
        <w:rPr>
          <w:rFonts w:ascii="宋体" w:hAnsi="宋体"/>
          <w:sz w:val="24"/>
        </w:rPr>
      </w:pPr>
    </w:p>
    <w:p w14:paraId="7874209E">
      <w:pPr>
        <w:snapToGrid w:val="0"/>
        <w:spacing w:before="50" w:after="120" w:afterLines="50"/>
        <w:jc w:val="left"/>
        <w:rPr>
          <w:rFonts w:ascii="宋体" w:hAnsi="宋体"/>
          <w:sz w:val="24"/>
        </w:rPr>
      </w:pPr>
    </w:p>
    <w:p w14:paraId="0D6EA365">
      <w:pPr>
        <w:snapToGrid w:val="0"/>
        <w:spacing w:before="120" w:beforeLines="50" w:after="50"/>
        <w:jc w:val="left"/>
        <w:rPr>
          <w:rFonts w:ascii="宋体" w:hAnsi="宋体"/>
          <w:b/>
          <w:sz w:val="24"/>
        </w:rPr>
      </w:pPr>
      <w:r>
        <w:rPr>
          <w:rFonts w:ascii="宋体" w:hAnsi="宋体"/>
          <w:b/>
          <w:sz w:val="24"/>
        </w:rPr>
        <w:br w:type="page"/>
      </w:r>
      <w:r>
        <w:rPr>
          <w:rFonts w:hint="eastAsia" w:ascii="宋体" w:hAnsi="宋体"/>
          <w:b/>
          <w:sz w:val="24"/>
        </w:rPr>
        <w:t>3.</w:t>
      </w:r>
      <w:r>
        <w:rPr>
          <w:rFonts w:hint="eastAsia" w:ascii="宋体" w:hAnsi="宋体"/>
          <w:b/>
          <w:sz w:val="28"/>
          <w:szCs w:val="28"/>
        </w:rPr>
        <w:t>投标人直接控股股东信息表</w:t>
      </w:r>
    </w:p>
    <w:p w14:paraId="14E52437">
      <w:pPr>
        <w:snapToGrid w:val="0"/>
        <w:spacing w:before="50" w:after="120" w:afterLines="50"/>
        <w:jc w:val="center"/>
        <w:rPr>
          <w:rFonts w:ascii="宋体" w:hAnsi="宋体"/>
          <w:b/>
          <w:sz w:val="28"/>
          <w:szCs w:val="28"/>
        </w:rPr>
      </w:pPr>
    </w:p>
    <w:p w14:paraId="63989DE4">
      <w:pPr>
        <w:snapToGrid w:val="0"/>
        <w:spacing w:before="50" w:after="120" w:afterLines="50" w:line="360" w:lineRule="auto"/>
        <w:jc w:val="center"/>
        <w:rPr>
          <w:rFonts w:ascii="宋体" w:hAnsi="宋体"/>
          <w:b/>
          <w:sz w:val="32"/>
          <w:szCs w:val="32"/>
        </w:rPr>
      </w:pPr>
      <w:r>
        <w:rPr>
          <w:rFonts w:hint="eastAsia" w:ascii="宋体" w:hAnsi="宋体"/>
          <w:b/>
          <w:sz w:val="32"/>
          <w:szCs w:val="32"/>
        </w:rPr>
        <w:t>投标人直接控股股东信息表</w:t>
      </w:r>
    </w:p>
    <w:tbl>
      <w:tblPr>
        <w:tblStyle w:val="26"/>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7F26A62C">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DE30C25">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5D9203C">
            <w:pPr>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FBCA182">
            <w:pPr>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2F633E5">
            <w:pPr>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974FCC7">
            <w:pPr>
              <w:spacing w:line="360" w:lineRule="auto"/>
              <w:jc w:val="center"/>
              <w:rPr>
                <w:rFonts w:ascii="宋体" w:hAnsi="宋体" w:cs="宋体"/>
                <w:b/>
                <w:bCs/>
                <w:kern w:val="0"/>
                <w:sz w:val="24"/>
              </w:rPr>
            </w:pPr>
            <w:r>
              <w:rPr>
                <w:rFonts w:hint="eastAsia" w:ascii="宋体" w:hAnsi="宋体" w:cs="宋体"/>
                <w:b/>
                <w:bCs/>
                <w:kern w:val="0"/>
                <w:sz w:val="24"/>
              </w:rPr>
              <w:t>备注</w:t>
            </w:r>
          </w:p>
        </w:tc>
      </w:tr>
      <w:tr w14:paraId="6C1F57E9">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8BD56D8">
            <w:pPr>
              <w:spacing w:line="360" w:lineRule="auto"/>
              <w:jc w:val="center"/>
              <w:rPr>
                <w:rFonts w:ascii="宋体" w:hAnsi="宋体" w:cs="宋体"/>
                <w:kern w:val="0"/>
                <w:sz w:val="24"/>
              </w:rPr>
            </w:pPr>
            <w:r>
              <w:rPr>
                <w:rFonts w:hint="eastAsia" w:ascii="宋体" w:hAnsi="宋体"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483E3E4">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7FE17BE">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F7E7718">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5A8179A">
            <w:pPr>
              <w:spacing w:line="360" w:lineRule="auto"/>
              <w:jc w:val="center"/>
              <w:rPr>
                <w:rFonts w:ascii="宋体" w:hAnsi="宋体" w:cs="宋体"/>
                <w:kern w:val="0"/>
                <w:sz w:val="24"/>
              </w:rPr>
            </w:pPr>
          </w:p>
        </w:tc>
      </w:tr>
      <w:tr w14:paraId="6EF439DC">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16DFC8">
            <w:pPr>
              <w:spacing w:line="360" w:lineRule="auto"/>
              <w:jc w:val="center"/>
              <w:rPr>
                <w:rFonts w:ascii="宋体" w:hAnsi="宋体" w:cs="宋体"/>
                <w:kern w:val="0"/>
                <w:sz w:val="24"/>
              </w:rPr>
            </w:pPr>
            <w:r>
              <w:rPr>
                <w:rFonts w:hint="eastAsia" w:ascii="宋体" w:hAnsi="宋体"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210BAD9">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017D5CE">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9B65DE6">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8402444">
            <w:pPr>
              <w:spacing w:line="360" w:lineRule="auto"/>
              <w:jc w:val="center"/>
              <w:rPr>
                <w:rFonts w:ascii="宋体" w:hAnsi="宋体" w:cs="宋体"/>
                <w:kern w:val="0"/>
                <w:sz w:val="24"/>
              </w:rPr>
            </w:pPr>
          </w:p>
        </w:tc>
      </w:tr>
      <w:tr w14:paraId="558547A8">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7A7211B">
            <w:pPr>
              <w:spacing w:line="360" w:lineRule="auto"/>
              <w:jc w:val="center"/>
              <w:rPr>
                <w:rFonts w:ascii="宋体" w:hAnsi="宋体" w:cs="宋体"/>
                <w:kern w:val="0"/>
                <w:sz w:val="24"/>
              </w:rPr>
            </w:pPr>
            <w:r>
              <w:rPr>
                <w:rFonts w:hint="eastAsia" w:ascii="宋体" w:hAnsi="宋体"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C08AD9C">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83749B9">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75EC040">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2D6CB5">
            <w:pPr>
              <w:spacing w:line="360" w:lineRule="auto"/>
              <w:jc w:val="center"/>
              <w:rPr>
                <w:rFonts w:ascii="宋体" w:hAnsi="宋体" w:cs="宋体"/>
                <w:kern w:val="0"/>
                <w:sz w:val="24"/>
              </w:rPr>
            </w:pPr>
          </w:p>
        </w:tc>
      </w:tr>
      <w:tr w14:paraId="192F9E38">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FEB81CF">
            <w:pPr>
              <w:spacing w:line="360" w:lineRule="auto"/>
              <w:jc w:val="center"/>
              <w:rPr>
                <w:rFonts w:ascii="宋体" w:hAnsi="宋体" w:cs="宋体"/>
                <w:kern w:val="0"/>
                <w:sz w:val="24"/>
              </w:rPr>
            </w:pPr>
            <w:r>
              <w:rPr>
                <w:rFonts w:hint="eastAsia" w:ascii="宋体" w:hAnsi="宋体"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504E1E5">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EA2F2C">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D0BDDA5">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26A3C21">
            <w:pPr>
              <w:spacing w:line="360" w:lineRule="auto"/>
              <w:jc w:val="center"/>
              <w:rPr>
                <w:rFonts w:ascii="宋体" w:hAnsi="宋体" w:cs="宋体"/>
                <w:kern w:val="0"/>
                <w:sz w:val="24"/>
              </w:rPr>
            </w:pPr>
          </w:p>
        </w:tc>
      </w:tr>
    </w:tbl>
    <w:p w14:paraId="6D976300">
      <w:pPr>
        <w:snapToGrid w:val="0"/>
        <w:spacing w:line="360" w:lineRule="auto"/>
        <w:jc w:val="left"/>
        <w:rPr>
          <w:rFonts w:ascii="宋体" w:hAnsi="宋体"/>
          <w:sz w:val="24"/>
        </w:rPr>
      </w:pPr>
      <w:r>
        <w:rPr>
          <w:rFonts w:hint="eastAsia" w:ascii="宋体" w:hAnsi="宋体"/>
          <w:sz w:val="24"/>
        </w:rPr>
        <w:t>注：</w:t>
      </w:r>
    </w:p>
    <w:p w14:paraId="71E4AE0B">
      <w:pPr>
        <w:snapToGrid w:val="0"/>
        <w:spacing w:line="360" w:lineRule="auto"/>
        <w:jc w:val="left"/>
        <w:rPr>
          <w:rFonts w:ascii="宋体" w:hAnsi="宋体"/>
          <w:sz w:val="24"/>
        </w:rPr>
      </w:pPr>
      <w:r>
        <w:rPr>
          <w:rFonts w:hint="eastAsia" w:ascii="宋体" w:hAnsi="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FFDEF44">
      <w:pPr>
        <w:snapToGrid w:val="0"/>
        <w:spacing w:line="360" w:lineRule="auto"/>
        <w:jc w:val="left"/>
        <w:rPr>
          <w:rFonts w:ascii="宋体" w:hAnsi="宋体"/>
          <w:sz w:val="24"/>
        </w:rPr>
      </w:pPr>
      <w:r>
        <w:rPr>
          <w:rFonts w:hint="eastAsia" w:ascii="宋体" w:hAnsi="宋体"/>
          <w:sz w:val="24"/>
        </w:rPr>
        <w:t>2.本表所指的控股关系仅限于直接控股关系，不包括间接的控股关系。公司实际控制人与公司之间的关系不属于本表所指的直接控股关系。</w:t>
      </w:r>
    </w:p>
    <w:p w14:paraId="7D8F32E2">
      <w:pPr>
        <w:snapToGrid w:val="0"/>
        <w:spacing w:line="360" w:lineRule="auto"/>
        <w:jc w:val="left"/>
        <w:rPr>
          <w:rFonts w:ascii="宋体" w:hAnsi="宋体"/>
          <w:sz w:val="24"/>
        </w:rPr>
      </w:pPr>
      <w:r>
        <w:rPr>
          <w:rFonts w:hint="eastAsia" w:ascii="宋体" w:hAnsi="宋体"/>
          <w:sz w:val="24"/>
        </w:rPr>
        <w:t>3.供应商不存在直接控股股东的，则在“</w:t>
      </w:r>
      <w:r>
        <w:rPr>
          <w:rFonts w:hint="eastAsia" w:ascii="宋体" w:hAnsi="宋体" w:cs="宋体"/>
          <w:b/>
          <w:bCs/>
          <w:kern w:val="0"/>
          <w:sz w:val="24"/>
        </w:rPr>
        <w:t>直接控股股东名称</w:t>
      </w:r>
      <w:r>
        <w:rPr>
          <w:rFonts w:hint="eastAsia" w:ascii="宋体" w:hAnsi="宋体"/>
          <w:sz w:val="24"/>
        </w:rPr>
        <w:t>”中填“无”。</w:t>
      </w:r>
    </w:p>
    <w:p w14:paraId="784BB2C1">
      <w:pPr>
        <w:snapToGrid w:val="0"/>
        <w:spacing w:line="360" w:lineRule="auto"/>
        <w:jc w:val="left"/>
        <w:rPr>
          <w:rFonts w:ascii="宋体" w:hAnsi="宋体"/>
          <w:sz w:val="24"/>
        </w:rPr>
      </w:pPr>
    </w:p>
    <w:p w14:paraId="54D7DEB0">
      <w:pPr>
        <w:snapToGrid w:val="0"/>
        <w:spacing w:line="360" w:lineRule="auto"/>
        <w:jc w:val="left"/>
        <w:rPr>
          <w:rFonts w:ascii="宋体" w:hAnsi="宋体"/>
          <w:sz w:val="24"/>
        </w:rPr>
      </w:pPr>
    </w:p>
    <w:p w14:paraId="213037F3">
      <w:pPr>
        <w:snapToGrid w:val="0"/>
        <w:spacing w:line="360" w:lineRule="auto"/>
        <w:jc w:val="left"/>
        <w:rPr>
          <w:rFonts w:ascii="宋体" w:hAnsi="宋体"/>
          <w:sz w:val="24"/>
        </w:rPr>
      </w:pPr>
    </w:p>
    <w:p w14:paraId="1DBA8B68">
      <w:pPr>
        <w:snapToGrid w:val="0"/>
        <w:spacing w:line="360" w:lineRule="auto"/>
        <w:ind w:left="-2" w:leftChars="-1" w:right="-817" w:rightChars="-389"/>
        <w:rPr>
          <w:rFonts w:ascii="宋体" w:hAnsi="宋体"/>
          <w:sz w:val="24"/>
        </w:rPr>
      </w:pPr>
      <w:r>
        <w:rPr>
          <w:rFonts w:hint="eastAsia" w:ascii="宋体" w:hAnsi="宋体"/>
          <w:sz w:val="24"/>
        </w:rPr>
        <w:t xml:space="preserve">           </w:t>
      </w:r>
    </w:p>
    <w:p w14:paraId="021C7724">
      <w:pPr>
        <w:snapToGrid w:val="0"/>
        <w:spacing w:line="480" w:lineRule="auto"/>
        <w:ind w:left="-3" w:leftChars="-15" w:right="-817" w:rightChars="-389" w:hanging="28" w:hangingChars="12"/>
        <w:rPr>
          <w:rFonts w:ascii="宋体" w:hAnsi="宋体"/>
          <w:sz w:val="24"/>
          <w:u w:val="single"/>
        </w:rPr>
      </w:pPr>
      <w:r>
        <w:rPr>
          <w:rFonts w:hint="eastAsia" w:ascii="宋体" w:hAnsi="宋体"/>
          <w:sz w:val="24"/>
        </w:rPr>
        <w:t xml:space="preserve">                                   投标人名称（电子签章）：</w:t>
      </w:r>
      <w:r>
        <w:rPr>
          <w:rFonts w:hint="eastAsia" w:ascii="宋体" w:hAnsi="宋体"/>
          <w:sz w:val="24"/>
          <w:u w:val="single"/>
        </w:rPr>
        <w:t xml:space="preserve">           </w:t>
      </w:r>
    </w:p>
    <w:p w14:paraId="52D1321A">
      <w:pPr>
        <w:pStyle w:val="16"/>
        <w:spacing w:line="480" w:lineRule="auto"/>
        <w:contextualSpacing/>
        <w:rPr>
          <w:rFonts w:hAnsi="宋体"/>
          <w:sz w:val="24"/>
        </w:rPr>
      </w:pPr>
      <w:r>
        <w:rPr>
          <w:rFonts w:hint="eastAsia" w:hAnsi="宋体"/>
          <w:sz w:val="24"/>
        </w:rPr>
        <w:t xml:space="preserve">                                        </w:t>
      </w:r>
      <w:r>
        <w:rPr>
          <w:rFonts w:hint="eastAsia" w:hAnsi="宋体"/>
          <w:sz w:val="24"/>
          <w:szCs w:val="24"/>
        </w:rPr>
        <w:t xml:space="preserve"> </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p>
    <w:p w14:paraId="14B206EA">
      <w:pPr>
        <w:snapToGrid w:val="0"/>
        <w:spacing w:line="360" w:lineRule="auto"/>
        <w:jc w:val="left"/>
        <w:rPr>
          <w:rFonts w:ascii="宋体" w:hAnsi="宋体"/>
          <w:szCs w:val="21"/>
        </w:rPr>
      </w:pPr>
    </w:p>
    <w:p w14:paraId="4441A3AD">
      <w:pPr>
        <w:snapToGrid w:val="0"/>
        <w:jc w:val="center"/>
        <w:rPr>
          <w:rFonts w:ascii="宋体" w:hAnsi="宋体"/>
          <w:b/>
          <w:sz w:val="28"/>
          <w:szCs w:val="28"/>
        </w:rPr>
      </w:pPr>
    </w:p>
    <w:p w14:paraId="32E0D64F">
      <w:pPr>
        <w:snapToGrid w:val="0"/>
        <w:spacing w:line="360" w:lineRule="auto"/>
        <w:jc w:val="left"/>
        <w:rPr>
          <w:rFonts w:ascii="宋体" w:hAnsi="宋体"/>
          <w:b/>
          <w:sz w:val="32"/>
          <w:szCs w:val="32"/>
        </w:rPr>
      </w:pPr>
      <w:r>
        <w:rPr>
          <w:rFonts w:ascii="宋体" w:hAnsi="宋体"/>
          <w:b/>
          <w:sz w:val="32"/>
          <w:szCs w:val="32"/>
        </w:rPr>
        <w:br w:type="page"/>
      </w:r>
      <w:r>
        <w:rPr>
          <w:rFonts w:hint="eastAsia" w:ascii="宋体" w:hAnsi="宋体"/>
          <w:b/>
          <w:sz w:val="24"/>
        </w:rPr>
        <w:t>4.</w:t>
      </w:r>
      <w:r>
        <w:rPr>
          <w:rFonts w:hint="eastAsia"/>
        </w:rPr>
        <w:t xml:space="preserve"> </w:t>
      </w:r>
      <w:r>
        <w:rPr>
          <w:rFonts w:hint="eastAsia" w:ascii="宋体" w:hAnsi="宋体"/>
          <w:b/>
          <w:sz w:val="28"/>
          <w:szCs w:val="28"/>
        </w:rPr>
        <w:t>投标人直接管理关系信息表</w:t>
      </w:r>
    </w:p>
    <w:p w14:paraId="60D4BB0C">
      <w:pPr>
        <w:snapToGrid w:val="0"/>
        <w:spacing w:line="360" w:lineRule="auto"/>
        <w:jc w:val="center"/>
        <w:rPr>
          <w:rFonts w:ascii="宋体" w:hAnsi="宋体"/>
          <w:sz w:val="32"/>
          <w:szCs w:val="32"/>
        </w:rPr>
      </w:pPr>
      <w:r>
        <w:rPr>
          <w:rFonts w:hint="eastAsia" w:ascii="宋体" w:hAnsi="宋体"/>
          <w:b/>
          <w:sz w:val="32"/>
          <w:szCs w:val="32"/>
        </w:rPr>
        <w:t>投标人直接管理关系信息表</w:t>
      </w:r>
    </w:p>
    <w:tbl>
      <w:tblPr>
        <w:tblStyle w:val="26"/>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0C614112">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7152588">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DA36FED">
            <w:pPr>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4F4C1F2">
            <w:pPr>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EF52EA9">
            <w:pPr>
              <w:spacing w:line="360" w:lineRule="auto"/>
              <w:jc w:val="center"/>
              <w:rPr>
                <w:rFonts w:ascii="宋体" w:hAnsi="宋体" w:cs="宋体"/>
                <w:b/>
                <w:bCs/>
                <w:kern w:val="0"/>
                <w:sz w:val="24"/>
              </w:rPr>
            </w:pPr>
            <w:r>
              <w:rPr>
                <w:rFonts w:hint="eastAsia" w:ascii="宋体" w:hAnsi="宋体" w:cs="宋体"/>
                <w:b/>
                <w:bCs/>
                <w:kern w:val="0"/>
                <w:sz w:val="24"/>
              </w:rPr>
              <w:t>备注</w:t>
            </w:r>
          </w:p>
        </w:tc>
      </w:tr>
      <w:tr w14:paraId="7EDE36BB">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7FA1820">
            <w:pPr>
              <w:spacing w:line="360" w:lineRule="auto"/>
              <w:jc w:val="center"/>
              <w:rPr>
                <w:rFonts w:ascii="宋体" w:hAnsi="宋体" w:cs="宋体"/>
                <w:kern w:val="0"/>
                <w:sz w:val="24"/>
              </w:rPr>
            </w:pPr>
            <w:r>
              <w:rPr>
                <w:rFonts w:hint="eastAsia" w:ascii="宋体" w:hAnsi="宋体" w:cs="宋体"/>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8CDC1CD">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74CB8FC">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A95441C">
            <w:pPr>
              <w:spacing w:line="360" w:lineRule="auto"/>
              <w:jc w:val="center"/>
              <w:rPr>
                <w:rFonts w:ascii="宋体" w:hAnsi="宋体" w:cs="宋体"/>
                <w:kern w:val="0"/>
                <w:sz w:val="24"/>
              </w:rPr>
            </w:pPr>
          </w:p>
        </w:tc>
      </w:tr>
      <w:tr w14:paraId="17C35C4C">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8769664">
            <w:pPr>
              <w:spacing w:line="360" w:lineRule="auto"/>
              <w:jc w:val="center"/>
              <w:rPr>
                <w:rFonts w:ascii="宋体" w:hAnsi="宋体" w:cs="宋体"/>
                <w:kern w:val="0"/>
                <w:sz w:val="24"/>
              </w:rPr>
            </w:pPr>
            <w:r>
              <w:rPr>
                <w:rFonts w:hint="eastAsia" w:ascii="宋体" w:hAnsi="宋体" w:cs="宋体"/>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7C215B6">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43C3F30">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EE6FC40">
            <w:pPr>
              <w:spacing w:line="360" w:lineRule="auto"/>
              <w:jc w:val="center"/>
              <w:rPr>
                <w:rFonts w:ascii="宋体" w:hAnsi="宋体" w:cs="宋体"/>
                <w:kern w:val="0"/>
                <w:sz w:val="24"/>
              </w:rPr>
            </w:pPr>
          </w:p>
        </w:tc>
      </w:tr>
      <w:tr w14:paraId="7529BF53">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7390EC">
            <w:pPr>
              <w:spacing w:line="360" w:lineRule="auto"/>
              <w:jc w:val="center"/>
              <w:rPr>
                <w:rFonts w:ascii="宋体" w:hAnsi="宋体" w:cs="宋体"/>
                <w:kern w:val="0"/>
                <w:sz w:val="24"/>
              </w:rPr>
            </w:pPr>
            <w:r>
              <w:rPr>
                <w:rFonts w:hint="eastAsia" w:ascii="宋体" w:hAnsi="宋体" w:cs="宋体"/>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E9BA17A">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635FA99">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BFFEE1D">
            <w:pPr>
              <w:spacing w:line="360" w:lineRule="auto"/>
              <w:jc w:val="center"/>
              <w:rPr>
                <w:rFonts w:ascii="宋体" w:hAnsi="宋体" w:cs="宋体"/>
                <w:kern w:val="0"/>
                <w:sz w:val="24"/>
              </w:rPr>
            </w:pPr>
          </w:p>
        </w:tc>
      </w:tr>
      <w:tr w14:paraId="60CFFC5D">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7768820">
            <w:pPr>
              <w:spacing w:line="360" w:lineRule="auto"/>
              <w:jc w:val="center"/>
              <w:rPr>
                <w:rFonts w:ascii="宋体" w:hAnsi="宋体" w:cs="宋体"/>
                <w:kern w:val="0"/>
                <w:sz w:val="24"/>
              </w:rPr>
            </w:pPr>
            <w:r>
              <w:rPr>
                <w:rFonts w:hint="eastAsia" w:ascii="宋体" w:hAnsi="宋体" w:cs="宋体"/>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4F24C33">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1724146">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D9EDD7E">
            <w:pPr>
              <w:spacing w:line="360" w:lineRule="auto"/>
              <w:jc w:val="center"/>
              <w:rPr>
                <w:rFonts w:ascii="宋体" w:hAnsi="宋体" w:cs="宋体"/>
                <w:kern w:val="0"/>
                <w:sz w:val="24"/>
              </w:rPr>
            </w:pPr>
          </w:p>
        </w:tc>
      </w:tr>
    </w:tbl>
    <w:p w14:paraId="2F82301F">
      <w:pPr>
        <w:snapToGrid w:val="0"/>
        <w:spacing w:line="360" w:lineRule="auto"/>
        <w:jc w:val="left"/>
        <w:rPr>
          <w:rFonts w:ascii="宋体" w:hAnsi="宋体"/>
          <w:sz w:val="24"/>
        </w:rPr>
      </w:pPr>
      <w:r>
        <w:rPr>
          <w:rFonts w:hint="eastAsia" w:ascii="宋体" w:hAnsi="宋体"/>
          <w:sz w:val="24"/>
        </w:rPr>
        <w:t>注：</w:t>
      </w:r>
    </w:p>
    <w:p w14:paraId="2ED10006">
      <w:pPr>
        <w:snapToGrid w:val="0"/>
        <w:spacing w:line="360" w:lineRule="auto"/>
        <w:ind w:firstLine="480" w:firstLineChars="200"/>
        <w:jc w:val="left"/>
        <w:rPr>
          <w:rFonts w:ascii="宋体" w:hAnsi="宋体"/>
          <w:sz w:val="24"/>
        </w:rPr>
      </w:pPr>
      <w:r>
        <w:rPr>
          <w:rFonts w:hint="eastAsia" w:ascii="宋体" w:hAnsi="宋体"/>
          <w:sz w:val="24"/>
        </w:rPr>
        <w:t>1.管理关系：是指不具有出资持股关系的其他单位之间存在的管理与被管理关系，如一些上下级关系的事业单位和团体组织。</w:t>
      </w:r>
    </w:p>
    <w:p w14:paraId="238FCFB2">
      <w:pPr>
        <w:snapToGrid w:val="0"/>
        <w:spacing w:line="360" w:lineRule="auto"/>
        <w:ind w:firstLine="480" w:firstLineChars="200"/>
        <w:jc w:val="left"/>
        <w:rPr>
          <w:rFonts w:ascii="宋体" w:hAnsi="宋体"/>
          <w:sz w:val="24"/>
        </w:rPr>
      </w:pPr>
      <w:r>
        <w:rPr>
          <w:rFonts w:hint="eastAsia" w:ascii="宋体" w:hAnsi="宋体"/>
          <w:sz w:val="24"/>
        </w:rPr>
        <w:t>2.</w:t>
      </w:r>
      <w:r>
        <w:rPr>
          <w:rFonts w:hint="eastAsia" w:ascii="宋体" w:hAnsi="宋体"/>
          <w:spacing w:val="-6"/>
          <w:sz w:val="24"/>
        </w:rPr>
        <w:t>本表所指的管理关系仅限于直接管理关系，不包括间接的管理关系。</w:t>
      </w:r>
    </w:p>
    <w:p w14:paraId="438F27E5">
      <w:pPr>
        <w:snapToGrid w:val="0"/>
        <w:spacing w:line="360" w:lineRule="auto"/>
        <w:ind w:firstLine="480" w:firstLineChars="200"/>
        <w:jc w:val="left"/>
        <w:rPr>
          <w:rFonts w:ascii="宋体" w:hAnsi="宋体"/>
          <w:sz w:val="24"/>
        </w:rPr>
      </w:pPr>
      <w:r>
        <w:rPr>
          <w:rFonts w:hint="eastAsia" w:ascii="宋体" w:hAnsi="宋体"/>
          <w:sz w:val="24"/>
        </w:rPr>
        <w:t>3.供应商不存在直接管理关系的，则在“</w:t>
      </w:r>
      <w:r>
        <w:rPr>
          <w:rFonts w:hint="eastAsia" w:ascii="宋体" w:hAnsi="宋体" w:cs="宋体"/>
          <w:b/>
          <w:bCs/>
          <w:kern w:val="0"/>
          <w:sz w:val="24"/>
        </w:rPr>
        <w:t>直接管理关系单位名称</w:t>
      </w:r>
      <w:r>
        <w:rPr>
          <w:rFonts w:hint="eastAsia" w:ascii="宋体" w:hAnsi="宋体"/>
          <w:sz w:val="24"/>
        </w:rPr>
        <w:t>”中填“无”。</w:t>
      </w:r>
    </w:p>
    <w:p w14:paraId="34F98F15">
      <w:pPr>
        <w:snapToGrid w:val="0"/>
        <w:spacing w:line="360" w:lineRule="auto"/>
        <w:jc w:val="left"/>
        <w:rPr>
          <w:rFonts w:ascii="宋体" w:hAnsi="宋体"/>
          <w:sz w:val="24"/>
        </w:rPr>
      </w:pPr>
    </w:p>
    <w:p w14:paraId="13DCE20F">
      <w:pPr>
        <w:snapToGrid w:val="0"/>
        <w:spacing w:line="360" w:lineRule="auto"/>
        <w:jc w:val="left"/>
        <w:rPr>
          <w:rFonts w:ascii="宋体" w:hAnsi="宋体"/>
          <w:sz w:val="24"/>
        </w:rPr>
      </w:pPr>
    </w:p>
    <w:p w14:paraId="00E2C214">
      <w:pPr>
        <w:snapToGrid w:val="0"/>
        <w:spacing w:line="360" w:lineRule="auto"/>
        <w:jc w:val="left"/>
        <w:rPr>
          <w:rFonts w:ascii="宋体" w:hAnsi="宋体"/>
          <w:sz w:val="24"/>
        </w:rPr>
      </w:pPr>
    </w:p>
    <w:p w14:paraId="2EC0DF1A">
      <w:pPr>
        <w:snapToGrid w:val="0"/>
        <w:spacing w:line="360" w:lineRule="auto"/>
        <w:jc w:val="left"/>
        <w:rPr>
          <w:sz w:val="24"/>
        </w:rPr>
      </w:pPr>
    </w:p>
    <w:p w14:paraId="2D933672">
      <w:pPr>
        <w:snapToGrid w:val="0"/>
        <w:spacing w:line="360" w:lineRule="auto"/>
        <w:ind w:left="-2" w:leftChars="-1" w:right="-817" w:rightChars="-389"/>
        <w:rPr>
          <w:rFonts w:ascii="宋体" w:hAnsi="宋体"/>
          <w:sz w:val="24"/>
        </w:rPr>
      </w:pPr>
      <w:r>
        <w:rPr>
          <w:rFonts w:hint="eastAsia" w:ascii="宋体" w:hAnsi="宋体"/>
          <w:sz w:val="24"/>
        </w:rPr>
        <w:t xml:space="preserve">            </w:t>
      </w:r>
    </w:p>
    <w:p w14:paraId="6021C12D">
      <w:pPr>
        <w:snapToGrid w:val="0"/>
        <w:spacing w:line="480" w:lineRule="auto"/>
        <w:ind w:left="-3" w:leftChars="-15" w:right="-817" w:rightChars="-389" w:hanging="28" w:hangingChars="12"/>
        <w:rPr>
          <w:rFonts w:ascii="宋体" w:hAnsi="宋体"/>
          <w:sz w:val="24"/>
          <w:u w:val="single"/>
        </w:rPr>
      </w:pPr>
      <w:r>
        <w:rPr>
          <w:rFonts w:hint="eastAsia" w:ascii="宋体" w:hAnsi="宋体"/>
          <w:sz w:val="24"/>
        </w:rPr>
        <w:t xml:space="preserve">                                投标人名称（电子签章）：</w:t>
      </w:r>
      <w:r>
        <w:rPr>
          <w:rFonts w:hint="eastAsia" w:ascii="宋体" w:hAnsi="宋体"/>
          <w:sz w:val="24"/>
          <w:u w:val="single"/>
        </w:rPr>
        <w:t xml:space="preserve">           </w:t>
      </w:r>
    </w:p>
    <w:p w14:paraId="6AE0BCEB">
      <w:pPr>
        <w:pStyle w:val="16"/>
        <w:spacing w:line="480" w:lineRule="auto"/>
        <w:contextualSpacing/>
        <w:rPr>
          <w:rFonts w:hAnsi="宋体"/>
          <w:sz w:val="24"/>
        </w:rPr>
      </w:pPr>
      <w:r>
        <w:rPr>
          <w:rFonts w:hint="eastAsia" w:hAnsi="宋体"/>
          <w:sz w:val="24"/>
        </w:rPr>
        <w:t xml:space="preserve">                                        </w:t>
      </w:r>
      <w:r>
        <w:rPr>
          <w:rFonts w:hint="eastAsia" w:hAnsi="宋体"/>
          <w:sz w:val="24"/>
          <w:szCs w:val="24"/>
        </w:rPr>
        <w:t xml:space="preserve"> </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p>
    <w:p w14:paraId="64E8497B">
      <w:pPr>
        <w:snapToGrid w:val="0"/>
        <w:spacing w:line="360" w:lineRule="auto"/>
        <w:ind w:right="480" w:firstLine="210" w:firstLineChars="100"/>
        <w:jc w:val="left"/>
        <w:rPr>
          <w:rFonts w:ascii="宋体" w:hAnsi="宋体"/>
          <w:szCs w:val="21"/>
        </w:rPr>
      </w:pPr>
    </w:p>
    <w:p w14:paraId="75369451">
      <w:pPr>
        <w:snapToGrid w:val="0"/>
        <w:spacing w:before="120" w:beforeLines="50" w:after="50"/>
        <w:jc w:val="left"/>
        <w:rPr>
          <w:rFonts w:ascii="宋体" w:hAnsi="宋体"/>
          <w:b/>
          <w:sz w:val="24"/>
          <w:szCs w:val="20"/>
        </w:rPr>
      </w:pPr>
    </w:p>
    <w:p w14:paraId="70A70408">
      <w:pPr>
        <w:snapToGrid w:val="0"/>
        <w:spacing w:before="120" w:beforeLines="50" w:after="50"/>
        <w:jc w:val="left"/>
        <w:rPr>
          <w:rFonts w:ascii="宋体" w:hAnsi="宋体"/>
        </w:rPr>
      </w:pPr>
      <w:r>
        <w:rPr>
          <w:rFonts w:ascii="宋体" w:hAnsi="宋体"/>
          <w:b/>
          <w:sz w:val="24"/>
        </w:rPr>
        <w:br w:type="page"/>
      </w:r>
      <w:r>
        <w:rPr>
          <w:rFonts w:hint="eastAsia" w:ascii="宋体" w:hAnsi="宋体"/>
          <w:b/>
          <w:sz w:val="24"/>
        </w:rPr>
        <w:t>5.投标声明</w:t>
      </w:r>
    </w:p>
    <w:p w14:paraId="79CB29D2">
      <w:pPr>
        <w:snapToGrid w:val="0"/>
        <w:spacing w:before="50" w:after="120" w:afterLines="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投标声明</w:t>
      </w:r>
    </w:p>
    <w:p w14:paraId="0F61F637">
      <w:pPr>
        <w:spacing w:line="360" w:lineRule="auto"/>
        <w:contextualSpacing/>
        <w:jc w:val="left"/>
        <w:rPr>
          <w:sz w:val="24"/>
        </w:rPr>
      </w:pPr>
      <w:r>
        <w:rPr>
          <w:rFonts w:hint="eastAsia"/>
          <w:sz w:val="24"/>
          <w:u w:val="single"/>
        </w:rPr>
        <w:t>（采购人名称）</w:t>
      </w:r>
      <w:r>
        <w:rPr>
          <w:rFonts w:hint="eastAsia"/>
          <w:sz w:val="24"/>
        </w:rPr>
        <w:t>：</w:t>
      </w:r>
    </w:p>
    <w:p w14:paraId="3DC880A0">
      <w:pPr>
        <w:spacing w:line="360" w:lineRule="auto"/>
        <w:ind w:firstLine="523" w:firstLineChars="218"/>
        <w:contextualSpacing/>
        <w:jc w:val="left"/>
        <w:rPr>
          <w:rFonts w:ascii="宋体" w:hAnsi="宋体"/>
          <w:sz w:val="24"/>
        </w:rPr>
      </w:pPr>
      <w:r>
        <w:rPr>
          <w:rFonts w:hint="eastAsia" w:ascii="宋体" w:hAnsi="宋体"/>
          <w:sz w:val="24"/>
        </w:rPr>
        <w:t>我方参加贵单位组织</w:t>
      </w:r>
      <w:r>
        <w:rPr>
          <w:rFonts w:hint="eastAsia" w:ascii="宋体" w:hAnsi="宋体"/>
          <w:sz w:val="24"/>
          <w:u w:val="single"/>
        </w:rPr>
        <w:t xml:space="preserve">             </w:t>
      </w:r>
      <w:r>
        <w:rPr>
          <w:rFonts w:hint="eastAsia" w:ascii="宋体" w:hAnsi="宋体"/>
          <w:sz w:val="24"/>
        </w:rPr>
        <w:t>项目（项目编号：</w:t>
      </w:r>
      <w:r>
        <w:rPr>
          <w:rFonts w:hint="eastAsia" w:ascii="宋体" w:hAnsi="宋体"/>
          <w:sz w:val="24"/>
          <w:u w:val="single"/>
        </w:rPr>
        <w:t xml:space="preserve">       </w:t>
      </w:r>
      <w:r>
        <w:rPr>
          <w:rFonts w:hint="eastAsia" w:ascii="宋体" w:hAnsi="宋体"/>
          <w:sz w:val="24"/>
        </w:rPr>
        <w:t>）的政府采购活动。我方在此郑重声明：</w:t>
      </w:r>
    </w:p>
    <w:p w14:paraId="0BF6106B">
      <w:pPr>
        <w:spacing w:line="360" w:lineRule="auto"/>
        <w:ind w:firstLine="480" w:firstLineChars="200"/>
        <w:contextualSpacing/>
        <w:jc w:val="left"/>
        <w:rPr>
          <w:rFonts w:ascii="宋体" w:hAnsi="宋体"/>
          <w:sz w:val="24"/>
        </w:rPr>
      </w:pPr>
      <w:r>
        <w:rPr>
          <w:rFonts w:hint="eastAsia" w:ascii="宋体" w:hAnsi="宋体"/>
          <w:sz w:val="24"/>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528B4A96">
      <w:pPr>
        <w:spacing w:line="360" w:lineRule="auto"/>
        <w:ind w:firstLine="480" w:firstLineChars="200"/>
        <w:contextualSpacing/>
        <w:jc w:val="left"/>
        <w:rPr>
          <w:rFonts w:ascii="宋体" w:hAnsi="宋体"/>
          <w:sz w:val="24"/>
        </w:rPr>
      </w:pPr>
      <w:r>
        <w:rPr>
          <w:rFonts w:hint="eastAsia" w:ascii="宋体" w:hAnsi="宋体"/>
          <w:sz w:val="24"/>
        </w:rPr>
        <w:t>2.我方不是为本次采购项目提供整体设计、规范编制或者项目管理、监理、检测等服务的供应商。</w:t>
      </w:r>
    </w:p>
    <w:p w14:paraId="13D5D7DA">
      <w:pPr>
        <w:spacing w:line="360" w:lineRule="auto"/>
        <w:ind w:firstLine="480" w:firstLineChars="200"/>
        <w:contextualSpacing/>
        <w:jc w:val="left"/>
        <w:rPr>
          <w:rFonts w:ascii="宋体" w:hAnsi="宋体"/>
          <w:sz w:val="24"/>
        </w:rPr>
      </w:pPr>
      <w:r>
        <w:rPr>
          <w:rFonts w:hint="eastAsia" w:ascii="宋体" w:hAnsi="宋体"/>
          <w:sz w:val="24"/>
        </w:rPr>
        <w:t>3. 我方承诺符合《中华人民共和国政府采购法》第二十二条规定：</w:t>
      </w:r>
    </w:p>
    <w:p w14:paraId="3F3113D2">
      <w:pPr>
        <w:spacing w:line="360" w:lineRule="auto"/>
        <w:ind w:firstLine="480" w:firstLineChars="200"/>
        <w:contextualSpacing/>
        <w:jc w:val="left"/>
        <w:rPr>
          <w:rFonts w:ascii="宋体" w:hAnsi="宋体"/>
          <w:sz w:val="24"/>
        </w:rPr>
      </w:pPr>
      <w:r>
        <w:rPr>
          <w:rFonts w:hint="eastAsia" w:ascii="宋体" w:hAnsi="宋体"/>
          <w:sz w:val="24"/>
        </w:rPr>
        <w:t>（一）具有独立承担民事责任的能力；</w:t>
      </w:r>
    </w:p>
    <w:p w14:paraId="592176A1">
      <w:pPr>
        <w:spacing w:line="360" w:lineRule="auto"/>
        <w:ind w:firstLine="480" w:firstLineChars="200"/>
        <w:contextualSpacing/>
        <w:jc w:val="left"/>
        <w:rPr>
          <w:rFonts w:ascii="宋体" w:hAnsi="宋体"/>
          <w:sz w:val="24"/>
        </w:rPr>
      </w:pPr>
      <w:r>
        <w:rPr>
          <w:rFonts w:hint="eastAsia" w:ascii="宋体" w:hAnsi="宋体"/>
          <w:sz w:val="24"/>
        </w:rPr>
        <w:t>（二）具有良好的商业信誉和健全的财务会计制度；</w:t>
      </w:r>
    </w:p>
    <w:p w14:paraId="64C4F44E">
      <w:pPr>
        <w:spacing w:line="360" w:lineRule="auto"/>
        <w:ind w:firstLine="480" w:firstLineChars="200"/>
        <w:contextualSpacing/>
        <w:jc w:val="left"/>
        <w:rPr>
          <w:rFonts w:ascii="宋体" w:hAnsi="宋体"/>
          <w:sz w:val="24"/>
        </w:rPr>
      </w:pPr>
      <w:r>
        <w:rPr>
          <w:rFonts w:hint="eastAsia" w:ascii="宋体" w:hAnsi="宋体"/>
          <w:sz w:val="24"/>
        </w:rPr>
        <w:t>（三）具有履行合同所必需的设备和专业技术能力；</w:t>
      </w:r>
    </w:p>
    <w:p w14:paraId="1172E011">
      <w:pPr>
        <w:spacing w:line="360" w:lineRule="auto"/>
        <w:ind w:firstLine="480" w:firstLineChars="200"/>
        <w:contextualSpacing/>
        <w:jc w:val="left"/>
        <w:rPr>
          <w:rFonts w:ascii="宋体" w:hAnsi="宋体"/>
          <w:sz w:val="24"/>
        </w:rPr>
      </w:pPr>
      <w:r>
        <w:rPr>
          <w:rFonts w:hint="eastAsia" w:ascii="宋体" w:hAnsi="宋体"/>
          <w:sz w:val="24"/>
        </w:rPr>
        <w:t>（四）有依法缴纳税收和社会保障资金的良好记录；</w:t>
      </w:r>
    </w:p>
    <w:p w14:paraId="7DA7C563">
      <w:pPr>
        <w:spacing w:line="360" w:lineRule="auto"/>
        <w:ind w:firstLine="480" w:firstLineChars="200"/>
        <w:contextualSpacing/>
        <w:jc w:val="left"/>
        <w:rPr>
          <w:rFonts w:ascii="宋体" w:hAnsi="宋体"/>
          <w:sz w:val="24"/>
        </w:rPr>
      </w:pPr>
      <w:r>
        <w:rPr>
          <w:rFonts w:hint="eastAsia" w:ascii="宋体" w:hAnsi="宋体"/>
          <w:sz w:val="24"/>
        </w:rPr>
        <w:t>（五）参加政府采购活动前三年内，在经营活动中没有重大违法记录；</w:t>
      </w:r>
    </w:p>
    <w:p w14:paraId="316DD03C">
      <w:pPr>
        <w:spacing w:line="360" w:lineRule="auto"/>
        <w:ind w:firstLine="480" w:firstLineChars="200"/>
        <w:contextualSpacing/>
        <w:jc w:val="left"/>
        <w:rPr>
          <w:rFonts w:ascii="宋体" w:hAnsi="宋体"/>
          <w:sz w:val="24"/>
        </w:rPr>
      </w:pPr>
      <w:r>
        <w:rPr>
          <w:rFonts w:hint="eastAsia" w:ascii="宋体" w:hAnsi="宋体"/>
          <w:sz w:val="24"/>
        </w:rPr>
        <w:t>（六）法律、行政法规规定的其他条件。</w:t>
      </w:r>
    </w:p>
    <w:p w14:paraId="2350D465">
      <w:pPr>
        <w:spacing w:line="360" w:lineRule="auto"/>
        <w:ind w:firstLine="480" w:firstLineChars="200"/>
        <w:contextualSpacing/>
        <w:jc w:val="left"/>
        <w:rPr>
          <w:rFonts w:ascii="宋体" w:hAnsi="宋体"/>
          <w:sz w:val="24"/>
        </w:rPr>
      </w:pPr>
      <w:r>
        <w:rPr>
          <w:rFonts w:hint="eastAsia" w:ascii="宋体" w:hAnsi="宋体"/>
          <w:sz w:val="24"/>
        </w:rPr>
        <w:t>4.以上事项如有虚假或者隐瞒，我方愿意承担一切后果，并不再寻求任何旨在减轻或者免除法律责任的辩解。</w:t>
      </w:r>
    </w:p>
    <w:p w14:paraId="7461EA7A">
      <w:pPr>
        <w:spacing w:line="360" w:lineRule="auto"/>
        <w:contextualSpacing/>
        <w:jc w:val="left"/>
        <w:rPr>
          <w:rFonts w:ascii="宋体" w:hAnsi="宋体"/>
          <w:sz w:val="24"/>
        </w:rPr>
      </w:pPr>
      <w:r>
        <w:rPr>
          <w:rFonts w:hint="eastAsia" w:ascii="宋体" w:hAnsi="宋体"/>
          <w:sz w:val="24"/>
        </w:rPr>
        <w:t xml:space="preserve">     特此承诺。</w:t>
      </w:r>
    </w:p>
    <w:p w14:paraId="57A5CA3E">
      <w:pPr>
        <w:snapToGrid w:val="0"/>
        <w:spacing w:before="50" w:after="50" w:line="360" w:lineRule="auto"/>
        <w:rPr>
          <w:rFonts w:ascii="宋体" w:hAnsi="宋体"/>
          <w:sz w:val="24"/>
        </w:rPr>
      </w:pPr>
      <w:r>
        <w:rPr>
          <w:rFonts w:hint="eastAsia" w:ascii="宋体" w:hAnsi="宋体"/>
          <w:b/>
          <w:sz w:val="24"/>
        </w:rPr>
        <w:t xml:space="preserve">    </w:t>
      </w:r>
      <w:r>
        <w:rPr>
          <w:rFonts w:hint="eastAsia" w:ascii="宋体" w:hAnsi="宋体"/>
          <w:sz w:val="24"/>
        </w:rPr>
        <w:t xml:space="preserve">            </w:t>
      </w:r>
    </w:p>
    <w:p w14:paraId="24D1BC0B">
      <w:pPr>
        <w:spacing w:line="480" w:lineRule="auto"/>
        <w:contextualSpacing/>
        <w:jc w:val="left"/>
        <w:rPr>
          <w:rFonts w:ascii="宋体" w:hAnsi="宋体"/>
          <w:sz w:val="24"/>
        </w:rPr>
      </w:pPr>
      <w:r>
        <w:rPr>
          <w:rFonts w:hint="eastAsia" w:ascii="宋体" w:hAnsi="宋体"/>
          <w:sz w:val="24"/>
        </w:rPr>
        <w:t xml:space="preserve">                           投标人名称（电子签章）：</w:t>
      </w:r>
      <w:r>
        <w:rPr>
          <w:rFonts w:hint="eastAsia" w:ascii="宋体" w:hAnsi="宋体"/>
          <w:sz w:val="24"/>
          <w:u w:val="single"/>
        </w:rPr>
        <w:t xml:space="preserve">                 </w:t>
      </w:r>
    </w:p>
    <w:p w14:paraId="02F6939E">
      <w:pPr>
        <w:spacing w:line="480" w:lineRule="auto"/>
        <w:contextualSpacing/>
        <w:jc w:val="left"/>
        <w:rPr>
          <w:rFonts w:ascii="宋体" w:hAnsi="宋体"/>
        </w:rPr>
      </w:pPr>
      <w:r>
        <w:rPr>
          <w:rFonts w:hint="eastAsia" w:ascii="宋体" w:hAnsi="宋体"/>
          <w:sz w:val="24"/>
        </w:rPr>
        <w:t xml:space="preserve">                                                </w:t>
      </w:r>
      <w:r>
        <w:rPr>
          <w:rFonts w:hint="eastAsia" w:hAnsi="宋体"/>
          <w:sz w:val="24"/>
        </w:rPr>
        <w:t xml:space="preserve"> </w:t>
      </w:r>
      <w:r>
        <w:rPr>
          <w:rFonts w:hint="eastAsia" w:hAnsi="宋体"/>
          <w:sz w:val="24"/>
          <w:u w:val="single"/>
        </w:rPr>
        <w:t xml:space="preserve">      </w:t>
      </w:r>
      <w:r>
        <w:rPr>
          <w:rFonts w:hint="eastAsia" w:hAnsi="宋体"/>
          <w:sz w:val="24"/>
        </w:rPr>
        <w:t>年</w:t>
      </w:r>
      <w:r>
        <w:rPr>
          <w:rFonts w:hint="eastAsia" w:hAnsi="宋体"/>
          <w:sz w:val="24"/>
          <w:u w:val="single"/>
        </w:rPr>
        <w:t xml:space="preserve">    </w:t>
      </w:r>
      <w:r>
        <w:rPr>
          <w:rFonts w:hint="eastAsia" w:hAnsi="宋体"/>
          <w:sz w:val="24"/>
        </w:rPr>
        <w:t>月</w:t>
      </w:r>
      <w:r>
        <w:rPr>
          <w:rFonts w:hint="eastAsia" w:hAnsi="宋体"/>
          <w:sz w:val="24"/>
          <w:u w:val="single"/>
        </w:rPr>
        <w:t xml:space="preserve">     </w:t>
      </w:r>
      <w:r>
        <w:rPr>
          <w:rFonts w:hint="eastAsia" w:hAnsi="宋体"/>
          <w:sz w:val="24"/>
        </w:rPr>
        <w:t>日</w:t>
      </w:r>
    </w:p>
    <w:p w14:paraId="42FD43FF">
      <w:pPr>
        <w:spacing w:line="360" w:lineRule="auto"/>
        <w:contextualSpacing/>
        <w:rPr>
          <w:rFonts w:ascii="宋体" w:hAnsi="宋体"/>
          <w:b/>
          <w:sz w:val="24"/>
        </w:rPr>
      </w:pPr>
      <w:bookmarkStart w:id="175" w:name="_Toc19686838"/>
    </w:p>
    <w:p w14:paraId="62053FBF">
      <w:pPr>
        <w:spacing w:line="360" w:lineRule="auto"/>
        <w:contextualSpacing/>
        <w:rPr>
          <w:rFonts w:ascii="宋体" w:hAnsi="宋体"/>
          <w:b/>
          <w:sz w:val="24"/>
        </w:rPr>
      </w:pPr>
      <w:r>
        <w:rPr>
          <w:rFonts w:hint="eastAsia" w:ascii="宋体" w:hAnsi="宋体"/>
          <w:b/>
          <w:sz w:val="24"/>
        </w:rPr>
        <w:t>注：如为联合体投标，盖章处须加盖联合体牵头人电子签章并由联合体牵头人法定代表人签字或者盖章或者电子签名，否则投标无效。</w:t>
      </w:r>
    </w:p>
    <w:p w14:paraId="672A449B">
      <w:pPr>
        <w:spacing w:line="360" w:lineRule="auto"/>
        <w:rPr>
          <w:b/>
          <w:sz w:val="28"/>
          <w:szCs w:val="28"/>
        </w:rPr>
      </w:pPr>
      <w:r>
        <w:rPr>
          <w:b/>
          <w:sz w:val="28"/>
          <w:szCs w:val="28"/>
        </w:rPr>
        <w:br w:type="page"/>
      </w:r>
      <w:r>
        <w:rPr>
          <w:rFonts w:hint="eastAsia"/>
          <w:b/>
          <w:sz w:val="28"/>
          <w:szCs w:val="28"/>
        </w:rPr>
        <w:t>三、商务及技术文件格式</w:t>
      </w:r>
      <w:bookmarkEnd w:id="175"/>
    </w:p>
    <w:p w14:paraId="375C741A">
      <w:pPr>
        <w:snapToGrid w:val="0"/>
        <w:spacing w:before="120" w:beforeLines="50" w:after="50" w:line="360" w:lineRule="auto"/>
        <w:jc w:val="left"/>
        <w:rPr>
          <w:rFonts w:ascii="宋体" w:hAnsi="宋体"/>
          <w:b/>
          <w:sz w:val="24"/>
        </w:rPr>
      </w:pPr>
      <w:r>
        <w:rPr>
          <w:rFonts w:hint="eastAsia" w:ascii="宋体" w:hAnsi="宋体"/>
          <w:b/>
          <w:sz w:val="24"/>
        </w:rPr>
        <w:t xml:space="preserve">1.商务及技术文件封面格式： </w:t>
      </w:r>
    </w:p>
    <w:p w14:paraId="21BEFE8B">
      <w:pPr>
        <w:snapToGrid w:val="0"/>
        <w:spacing w:before="120" w:beforeLines="50" w:after="50"/>
        <w:jc w:val="center"/>
        <w:rPr>
          <w:rFonts w:ascii="宋体" w:hAnsi="宋体" w:eastAsia="方正小标宋简体"/>
          <w:bCs/>
          <w:sz w:val="48"/>
          <w:szCs w:val="48"/>
        </w:rPr>
      </w:pPr>
    </w:p>
    <w:p w14:paraId="6F4C57B1">
      <w:pPr>
        <w:snapToGrid w:val="0"/>
        <w:spacing w:before="120" w:beforeLines="50" w:after="50"/>
        <w:jc w:val="center"/>
        <w:rPr>
          <w:rFonts w:ascii="宋体" w:hAnsi="宋体"/>
          <w:sz w:val="24"/>
        </w:rPr>
      </w:pPr>
      <w:r>
        <w:rPr>
          <w:rFonts w:hint="eastAsia" w:ascii="宋体" w:hAnsi="宋体" w:eastAsia="方正小标宋简体"/>
          <w:b/>
          <w:bCs w:val="0"/>
          <w:sz w:val="48"/>
          <w:szCs w:val="48"/>
        </w:rPr>
        <w:t>电子</w:t>
      </w:r>
      <w:r>
        <w:rPr>
          <w:rFonts w:hint="eastAsia" w:ascii="宋体" w:hAnsi="宋体" w:eastAsia="方正小标宋简体"/>
          <w:bCs/>
          <w:sz w:val="48"/>
          <w:szCs w:val="48"/>
        </w:rPr>
        <w:t>投标文件</w:t>
      </w:r>
    </w:p>
    <w:p w14:paraId="658068B9">
      <w:pPr>
        <w:snapToGrid w:val="0"/>
        <w:spacing w:before="120" w:beforeLines="50" w:after="50"/>
        <w:jc w:val="center"/>
        <w:rPr>
          <w:rFonts w:ascii="方正小标宋简体" w:hAnsi="方正小标宋简体" w:eastAsia="方正小标宋简体" w:cs="方正小标宋简体"/>
          <w:bCs/>
          <w:sz w:val="72"/>
          <w:szCs w:val="72"/>
        </w:rPr>
      </w:pPr>
      <w:r>
        <w:rPr>
          <w:rFonts w:hint="eastAsia" w:ascii="方正小标宋简体" w:hAnsi="方正小标宋简体" w:eastAsia="方正小标宋简体" w:cs="方正小标宋简体"/>
          <w:bCs/>
          <w:sz w:val="72"/>
          <w:szCs w:val="72"/>
        </w:rPr>
        <w:t>商务</w:t>
      </w:r>
      <w:r>
        <w:rPr>
          <w:rFonts w:hint="eastAsia" w:ascii="方正小标宋简体" w:hAnsi="方正小标宋简体" w:eastAsia="方正小标宋简体" w:cs="方正小标宋简体"/>
          <w:b/>
          <w:bCs w:val="0"/>
          <w:sz w:val="72"/>
          <w:szCs w:val="72"/>
        </w:rPr>
        <w:t>及</w:t>
      </w:r>
      <w:r>
        <w:rPr>
          <w:rFonts w:hint="eastAsia" w:ascii="方正小标宋简体" w:hAnsi="方正小标宋简体" w:eastAsia="方正小标宋简体" w:cs="方正小标宋简体"/>
          <w:bCs/>
          <w:sz w:val="72"/>
          <w:szCs w:val="72"/>
        </w:rPr>
        <w:t>技术文件</w:t>
      </w:r>
    </w:p>
    <w:p w14:paraId="72E7E36A">
      <w:pPr>
        <w:snapToGrid w:val="0"/>
        <w:spacing w:before="120" w:beforeLines="50" w:after="50"/>
        <w:rPr>
          <w:rFonts w:ascii="宋体" w:hAnsi="宋体"/>
          <w:bCs/>
          <w:sz w:val="24"/>
          <w:szCs w:val="20"/>
        </w:rPr>
      </w:pPr>
    </w:p>
    <w:p w14:paraId="282E6AC5">
      <w:pPr>
        <w:snapToGrid w:val="0"/>
        <w:spacing w:before="120" w:beforeLines="50" w:after="50"/>
        <w:ind w:firstLine="630" w:firstLineChars="225"/>
        <w:rPr>
          <w:rFonts w:ascii="宋体" w:hAnsi="宋体"/>
          <w:bCs/>
          <w:sz w:val="28"/>
          <w:szCs w:val="28"/>
        </w:rPr>
      </w:pPr>
    </w:p>
    <w:p w14:paraId="7697E2CD">
      <w:pPr>
        <w:snapToGrid w:val="0"/>
        <w:spacing w:before="120" w:beforeLines="50" w:after="50"/>
        <w:ind w:firstLine="630" w:firstLineChars="225"/>
        <w:rPr>
          <w:rFonts w:ascii="宋体" w:hAnsi="宋体"/>
          <w:bCs/>
          <w:sz w:val="28"/>
          <w:szCs w:val="28"/>
        </w:rPr>
      </w:pPr>
    </w:p>
    <w:p w14:paraId="61CE183F">
      <w:pPr>
        <w:snapToGrid w:val="0"/>
        <w:spacing w:before="120" w:beforeLines="50" w:after="50"/>
        <w:ind w:firstLine="630" w:firstLineChars="225"/>
        <w:rPr>
          <w:rFonts w:ascii="宋体" w:hAnsi="宋体"/>
          <w:bCs/>
          <w:sz w:val="28"/>
          <w:szCs w:val="28"/>
        </w:rPr>
      </w:pPr>
      <w:r>
        <w:rPr>
          <w:rFonts w:hint="eastAsia" w:ascii="宋体" w:hAnsi="宋体"/>
          <w:bCs/>
          <w:sz w:val="28"/>
          <w:szCs w:val="28"/>
        </w:rPr>
        <w:t>项目名称：</w:t>
      </w:r>
    </w:p>
    <w:p w14:paraId="4F0FA65A">
      <w:pPr>
        <w:snapToGrid w:val="0"/>
        <w:spacing w:before="120" w:beforeLines="50" w:after="50"/>
        <w:ind w:firstLine="630" w:firstLineChars="225"/>
        <w:rPr>
          <w:rFonts w:ascii="宋体" w:hAnsi="宋体"/>
          <w:bCs/>
          <w:sz w:val="28"/>
          <w:szCs w:val="28"/>
        </w:rPr>
      </w:pPr>
    </w:p>
    <w:p w14:paraId="68EC4F06">
      <w:pPr>
        <w:snapToGrid w:val="0"/>
        <w:spacing w:before="120" w:beforeLines="50" w:after="50"/>
        <w:ind w:firstLine="630" w:firstLineChars="225"/>
        <w:rPr>
          <w:rFonts w:ascii="宋体" w:hAnsi="宋体"/>
          <w:bCs/>
          <w:sz w:val="28"/>
          <w:szCs w:val="28"/>
        </w:rPr>
      </w:pPr>
      <w:r>
        <w:rPr>
          <w:rFonts w:hint="eastAsia" w:ascii="宋体" w:hAnsi="宋体"/>
          <w:bCs/>
          <w:sz w:val="28"/>
          <w:szCs w:val="28"/>
        </w:rPr>
        <w:t>项目编号：</w:t>
      </w:r>
    </w:p>
    <w:p w14:paraId="5E775CBE">
      <w:pPr>
        <w:snapToGrid w:val="0"/>
        <w:spacing w:before="120" w:beforeLines="50" w:after="50"/>
        <w:ind w:firstLine="630" w:firstLineChars="225"/>
        <w:rPr>
          <w:rFonts w:ascii="宋体" w:hAnsi="宋体"/>
          <w:bCs/>
          <w:sz w:val="28"/>
          <w:szCs w:val="28"/>
        </w:rPr>
      </w:pPr>
      <w:r>
        <w:rPr>
          <w:rFonts w:hint="eastAsia" w:ascii="宋体" w:hAnsi="宋体"/>
          <w:bCs/>
          <w:sz w:val="28"/>
          <w:szCs w:val="28"/>
        </w:rPr>
        <w:t xml:space="preserve"> </w:t>
      </w:r>
    </w:p>
    <w:p w14:paraId="0A2E54D7">
      <w:pPr>
        <w:pStyle w:val="7"/>
        <w:snapToGrid w:val="0"/>
        <w:spacing w:before="50" w:after="50"/>
        <w:ind w:firstLine="630" w:firstLineChars="225"/>
        <w:rPr>
          <w:rFonts w:ascii="宋体" w:hAnsi="宋体"/>
          <w:bCs/>
          <w:sz w:val="28"/>
          <w:szCs w:val="28"/>
        </w:rPr>
      </w:pPr>
      <w:r>
        <w:rPr>
          <w:rFonts w:hint="eastAsia" w:ascii="宋体" w:hAnsi="宋体"/>
          <w:bCs/>
          <w:sz w:val="28"/>
          <w:szCs w:val="28"/>
        </w:rPr>
        <w:t>投标人名称：</w:t>
      </w:r>
    </w:p>
    <w:p w14:paraId="672775E4">
      <w:pPr>
        <w:pStyle w:val="7"/>
        <w:snapToGrid w:val="0"/>
        <w:spacing w:before="50" w:after="50"/>
        <w:ind w:firstLine="630" w:firstLineChars="225"/>
        <w:rPr>
          <w:rFonts w:ascii="宋体" w:hAnsi="宋体"/>
          <w:bCs/>
          <w:sz w:val="28"/>
          <w:szCs w:val="28"/>
        </w:rPr>
      </w:pPr>
    </w:p>
    <w:p w14:paraId="07CB11D3">
      <w:pPr>
        <w:pStyle w:val="7"/>
        <w:snapToGrid w:val="0"/>
        <w:spacing w:before="50" w:after="50"/>
        <w:ind w:firstLine="630" w:firstLineChars="225"/>
        <w:rPr>
          <w:rFonts w:ascii="宋体" w:hAnsi="宋体"/>
          <w:bCs/>
          <w:sz w:val="28"/>
          <w:szCs w:val="28"/>
        </w:rPr>
      </w:pPr>
      <w:r>
        <w:rPr>
          <w:rFonts w:hint="eastAsia" w:ascii="宋体" w:hAnsi="宋体"/>
          <w:bCs/>
          <w:sz w:val="28"/>
          <w:szCs w:val="28"/>
        </w:rPr>
        <w:t>投标人地址：</w:t>
      </w:r>
    </w:p>
    <w:p w14:paraId="16BF746A">
      <w:pPr>
        <w:pStyle w:val="7"/>
        <w:snapToGrid w:val="0"/>
        <w:spacing w:before="50" w:after="50"/>
        <w:ind w:firstLine="1120" w:firstLineChars="400"/>
        <w:rPr>
          <w:rFonts w:ascii="宋体" w:hAnsi="宋体"/>
          <w:bCs/>
          <w:sz w:val="28"/>
          <w:szCs w:val="28"/>
        </w:rPr>
      </w:pPr>
    </w:p>
    <w:p w14:paraId="09DA206C">
      <w:pPr>
        <w:snapToGrid w:val="0"/>
        <w:spacing w:before="120" w:beforeLines="50" w:after="50"/>
        <w:ind w:firstLine="645"/>
        <w:rPr>
          <w:rFonts w:ascii="宋体" w:hAnsi="宋体"/>
          <w:sz w:val="28"/>
          <w:szCs w:val="28"/>
        </w:rPr>
      </w:pPr>
      <w:r>
        <w:rPr>
          <w:rFonts w:hint="eastAsia" w:ascii="宋体" w:hAnsi="宋体"/>
          <w:sz w:val="28"/>
          <w:szCs w:val="28"/>
        </w:rPr>
        <w:t xml:space="preserve">                        年  月  日</w:t>
      </w:r>
    </w:p>
    <w:p w14:paraId="020CC26B">
      <w:pPr>
        <w:snapToGrid w:val="0"/>
        <w:spacing w:before="120" w:beforeLines="50" w:after="50"/>
        <w:rPr>
          <w:rFonts w:ascii="宋体" w:hAnsi="宋体"/>
          <w:sz w:val="28"/>
          <w:szCs w:val="28"/>
        </w:rPr>
      </w:pPr>
      <w:r>
        <w:rPr>
          <w:rFonts w:ascii="宋体" w:hAnsi="宋体"/>
          <w:sz w:val="28"/>
          <w:szCs w:val="28"/>
        </w:rPr>
        <w:t xml:space="preserve"> </w:t>
      </w:r>
    </w:p>
    <w:p w14:paraId="2327A76D">
      <w:pPr>
        <w:snapToGrid w:val="0"/>
        <w:spacing w:line="360" w:lineRule="auto"/>
        <w:jc w:val="left"/>
        <w:rPr>
          <w:rFonts w:ascii="宋体" w:hAnsi="宋体"/>
          <w:b/>
          <w:sz w:val="24"/>
        </w:rPr>
      </w:pPr>
      <w:r>
        <w:rPr>
          <w:rFonts w:ascii="宋体" w:hAnsi="宋体"/>
          <w:sz w:val="24"/>
          <w:szCs w:val="20"/>
        </w:rPr>
        <w:br w:type="page"/>
      </w:r>
      <w:r>
        <w:rPr>
          <w:rFonts w:hint="eastAsia" w:ascii="宋体" w:hAnsi="宋体"/>
          <w:b/>
          <w:sz w:val="24"/>
        </w:rPr>
        <w:t>2.商务及技术文件目录</w:t>
      </w:r>
    </w:p>
    <w:p w14:paraId="69462169">
      <w:pPr>
        <w:snapToGrid w:val="0"/>
        <w:spacing w:before="50" w:after="120" w:afterLines="50" w:line="360" w:lineRule="auto"/>
        <w:ind w:firstLine="560" w:firstLineChars="200"/>
        <w:jc w:val="left"/>
        <w:rPr>
          <w:rFonts w:ascii="微软雅黑" w:hAnsi="微软雅黑" w:eastAsia="微软雅黑"/>
          <w:sz w:val="28"/>
          <w:szCs w:val="28"/>
        </w:rPr>
      </w:pPr>
      <w:r>
        <w:rPr>
          <w:rFonts w:hint="eastAsia" w:ascii="宋体" w:hAnsi="宋体"/>
          <w:sz w:val="28"/>
          <w:szCs w:val="28"/>
        </w:rPr>
        <w:t>根据招标文件规定及投标人提供的材料自行编写目录。</w:t>
      </w:r>
    </w:p>
    <w:p w14:paraId="09C76F28">
      <w:pPr>
        <w:snapToGrid w:val="0"/>
        <w:spacing w:before="50" w:after="120" w:afterLines="50"/>
        <w:jc w:val="left"/>
        <w:rPr>
          <w:rFonts w:ascii="宋体" w:hAnsi="宋体"/>
        </w:rPr>
      </w:pPr>
    </w:p>
    <w:p w14:paraId="410FB208">
      <w:pPr>
        <w:snapToGrid w:val="0"/>
        <w:spacing w:before="120" w:beforeLines="50" w:after="50"/>
        <w:jc w:val="left"/>
        <w:rPr>
          <w:rFonts w:ascii="宋体" w:hAnsi="宋体"/>
          <w:b/>
          <w:sz w:val="24"/>
        </w:rPr>
      </w:pPr>
      <w:r>
        <w:rPr>
          <w:rFonts w:ascii="宋体" w:hAnsi="宋体"/>
          <w:b/>
          <w:sz w:val="24"/>
        </w:rPr>
        <w:br w:type="page"/>
      </w:r>
      <w:r>
        <w:rPr>
          <w:rFonts w:hint="eastAsia" w:ascii="宋体" w:hAnsi="宋体"/>
          <w:b/>
          <w:sz w:val="24"/>
        </w:rPr>
        <w:t>3.无串通投标行为的承诺函</w:t>
      </w:r>
    </w:p>
    <w:p w14:paraId="04B606C2">
      <w:pPr>
        <w:snapToGrid w:val="0"/>
        <w:spacing w:before="120" w:beforeLines="50" w:after="50"/>
        <w:jc w:val="left"/>
        <w:rPr>
          <w:rFonts w:ascii="宋体" w:hAnsi="宋体"/>
          <w:b/>
          <w:sz w:val="24"/>
        </w:rPr>
      </w:pPr>
    </w:p>
    <w:p w14:paraId="4C01ADF3">
      <w:pPr>
        <w:spacing w:line="360" w:lineRule="auto"/>
        <w:ind w:left="420"/>
        <w:contextualSpacing/>
        <w:jc w:val="center"/>
        <w:rPr>
          <w:rFonts w:hint="eastAsia" w:ascii="方正小标宋简体" w:hAnsi="方正小标宋简体" w:eastAsia="方正小标宋简体" w:cs="方正小标宋简体"/>
          <w:b/>
          <w:bCs w:val="0"/>
          <w:spacing w:val="-11"/>
          <w:sz w:val="36"/>
          <w:szCs w:val="36"/>
        </w:rPr>
      </w:pPr>
      <w:r>
        <w:rPr>
          <w:rFonts w:hint="eastAsia" w:ascii="方正小标宋简体" w:hAnsi="方正小标宋简体" w:eastAsia="方正小标宋简体" w:cs="方正小标宋简体"/>
          <w:b/>
          <w:bCs w:val="0"/>
          <w:spacing w:val="-11"/>
          <w:sz w:val="36"/>
          <w:szCs w:val="36"/>
        </w:rPr>
        <w:t>无串通投标行为的承诺函</w:t>
      </w:r>
    </w:p>
    <w:p w14:paraId="356ED0B5">
      <w:pPr>
        <w:spacing w:line="440" w:lineRule="exact"/>
        <w:contextualSpacing/>
        <w:jc w:val="left"/>
        <w:rPr>
          <w:rFonts w:ascii="宋体" w:hAnsi="宋体"/>
          <w:b/>
          <w:sz w:val="24"/>
        </w:rPr>
      </w:pPr>
      <w:r>
        <w:rPr>
          <w:rFonts w:hint="eastAsia" w:ascii="宋体" w:hAnsi="宋体"/>
          <w:b/>
          <w:sz w:val="24"/>
        </w:rPr>
        <w:t>一、我方承诺无下列相互串通投标的情形：</w:t>
      </w:r>
    </w:p>
    <w:p w14:paraId="04234F21">
      <w:pPr>
        <w:spacing w:line="440" w:lineRule="exact"/>
        <w:ind w:firstLine="470" w:firstLineChars="196"/>
        <w:contextualSpacing/>
        <w:jc w:val="left"/>
        <w:rPr>
          <w:rFonts w:ascii="宋体" w:hAnsi="宋体"/>
          <w:sz w:val="24"/>
        </w:rPr>
      </w:pPr>
      <w:r>
        <w:rPr>
          <w:rFonts w:hint="eastAsia" w:ascii="宋体" w:hAnsi="宋体"/>
          <w:sz w:val="24"/>
        </w:rPr>
        <w:t>1.不同投标人的投标文件由同一单位或者个人编制；</w:t>
      </w:r>
    </w:p>
    <w:p w14:paraId="08BF4D39">
      <w:pPr>
        <w:spacing w:line="440" w:lineRule="exact"/>
        <w:ind w:firstLine="470" w:firstLineChars="196"/>
        <w:contextualSpacing/>
        <w:jc w:val="left"/>
        <w:rPr>
          <w:rFonts w:ascii="宋体" w:hAnsi="宋体"/>
          <w:sz w:val="24"/>
        </w:rPr>
      </w:pPr>
      <w:r>
        <w:rPr>
          <w:rFonts w:hint="eastAsia" w:ascii="宋体" w:hAnsi="宋体"/>
          <w:sz w:val="24"/>
        </w:rPr>
        <w:t>2.不同投标人委托同一单位或者个人办理投标事宜；</w:t>
      </w:r>
    </w:p>
    <w:p w14:paraId="54534E63">
      <w:pPr>
        <w:spacing w:line="440" w:lineRule="exact"/>
        <w:ind w:firstLine="470" w:firstLineChars="196"/>
        <w:contextualSpacing/>
        <w:jc w:val="left"/>
        <w:rPr>
          <w:rFonts w:ascii="宋体" w:hAnsi="宋体"/>
          <w:sz w:val="24"/>
        </w:rPr>
      </w:pPr>
      <w:r>
        <w:rPr>
          <w:rFonts w:hint="eastAsia" w:ascii="宋体" w:hAnsi="宋体"/>
          <w:sz w:val="24"/>
        </w:rPr>
        <w:t>3.不同的投标人的投标文件载明的项目管理员为同一个人；</w:t>
      </w:r>
    </w:p>
    <w:p w14:paraId="5ECC5E1D">
      <w:pPr>
        <w:spacing w:line="440" w:lineRule="exact"/>
        <w:ind w:firstLine="470" w:firstLineChars="196"/>
        <w:contextualSpacing/>
        <w:jc w:val="left"/>
        <w:rPr>
          <w:rFonts w:ascii="宋体" w:hAnsi="宋体"/>
          <w:sz w:val="24"/>
        </w:rPr>
      </w:pPr>
      <w:r>
        <w:rPr>
          <w:rFonts w:hint="eastAsia" w:ascii="宋体" w:hAnsi="宋体"/>
          <w:sz w:val="24"/>
        </w:rPr>
        <w:t>4.不同投标人的投标文件异常一致或者投标报价呈规律性差异；</w:t>
      </w:r>
    </w:p>
    <w:p w14:paraId="087F8F4E">
      <w:pPr>
        <w:spacing w:line="440" w:lineRule="exact"/>
        <w:ind w:firstLine="470" w:firstLineChars="196"/>
        <w:contextualSpacing/>
        <w:jc w:val="left"/>
        <w:rPr>
          <w:rFonts w:ascii="宋体" w:hAnsi="宋体"/>
          <w:sz w:val="24"/>
        </w:rPr>
      </w:pPr>
      <w:r>
        <w:rPr>
          <w:rFonts w:hint="eastAsia" w:ascii="宋体" w:hAnsi="宋体"/>
          <w:sz w:val="24"/>
        </w:rPr>
        <w:t>5.不同投标人的投标文件相互混装；</w:t>
      </w:r>
    </w:p>
    <w:p w14:paraId="0FD8D03E">
      <w:pPr>
        <w:spacing w:line="440" w:lineRule="exact"/>
        <w:ind w:firstLine="470" w:firstLineChars="196"/>
        <w:contextualSpacing/>
        <w:jc w:val="left"/>
        <w:rPr>
          <w:rFonts w:ascii="宋体" w:hAnsi="宋体"/>
          <w:sz w:val="24"/>
        </w:rPr>
      </w:pPr>
      <w:r>
        <w:rPr>
          <w:rFonts w:hint="eastAsia" w:ascii="宋体" w:hAnsi="宋体"/>
          <w:sz w:val="24"/>
        </w:rPr>
        <w:t>6.不同投标人的投标保证金从同一单位或者个人账户转出。</w:t>
      </w:r>
    </w:p>
    <w:p w14:paraId="55A4EB31">
      <w:pPr>
        <w:spacing w:line="440" w:lineRule="exact"/>
        <w:contextualSpacing/>
        <w:jc w:val="left"/>
        <w:rPr>
          <w:rFonts w:ascii="宋体" w:hAnsi="宋体"/>
          <w:sz w:val="24"/>
        </w:rPr>
      </w:pPr>
      <w:r>
        <w:rPr>
          <w:rFonts w:hint="eastAsia" w:ascii="宋体" w:hAnsi="宋体"/>
          <w:b/>
          <w:sz w:val="24"/>
        </w:rPr>
        <w:t>二、我方承诺无下列恶意串通的情形：</w:t>
      </w:r>
    </w:p>
    <w:p w14:paraId="2AFB4555">
      <w:pPr>
        <w:spacing w:line="440" w:lineRule="exact"/>
        <w:ind w:firstLine="470" w:firstLineChars="196"/>
        <w:contextualSpacing/>
        <w:jc w:val="left"/>
        <w:rPr>
          <w:rFonts w:ascii="宋体" w:hAnsi="宋体"/>
          <w:sz w:val="24"/>
        </w:rPr>
      </w:pPr>
      <w:r>
        <w:rPr>
          <w:rFonts w:hint="eastAsia" w:ascii="宋体" w:hAnsi="宋体"/>
          <w:sz w:val="24"/>
        </w:rPr>
        <w:t>1.投标人直接或者间接从采购人或者采购代理机构处获得其他投标人的相关信息并修改其投标文件或者响应文件；</w:t>
      </w:r>
    </w:p>
    <w:p w14:paraId="74B51D05">
      <w:pPr>
        <w:spacing w:line="440" w:lineRule="exact"/>
        <w:ind w:firstLine="470" w:firstLineChars="196"/>
        <w:contextualSpacing/>
        <w:jc w:val="left"/>
        <w:rPr>
          <w:rFonts w:ascii="宋体" w:hAnsi="宋体"/>
          <w:sz w:val="24"/>
        </w:rPr>
      </w:pPr>
      <w:r>
        <w:rPr>
          <w:rFonts w:hint="eastAsia" w:ascii="宋体" w:hAnsi="宋体"/>
          <w:sz w:val="24"/>
        </w:rPr>
        <w:t>2.投标人按照采购人或者采购代理机构的授意撤换、修改投标文件或者响应文件；</w:t>
      </w:r>
    </w:p>
    <w:p w14:paraId="6B1A7124">
      <w:pPr>
        <w:spacing w:line="440" w:lineRule="exact"/>
        <w:ind w:firstLine="470" w:firstLineChars="196"/>
        <w:contextualSpacing/>
        <w:jc w:val="left"/>
        <w:rPr>
          <w:rFonts w:ascii="宋体" w:hAnsi="宋体"/>
          <w:sz w:val="24"/>
        </w:rPr>
      </w:pPr>
      <w:r>
        <w:rPr>
          <w:rFonts w:hint="eastAsia" w:ascii="宋体" w:hAnsi="宋体"/>
          <w:sz w:val="24"/>
        </w:rPr>
        <w:t>3.投标人之间协商报价、技术方案等投标文件或者响应文件的实质性内容；</w:t>
      </w:r>
    </w:p>
    <w:p w14:paraId="2F5CF216">
      <w:pPr>
        <w:spacing w:line="440" w:lineRule="exact"/>
        <w:ind w:firstLine="470" w:firstLineChars="196"/>
        <w:contextualSpacing/>
        <w:jc w:val="left"/>
        <w:rPr>
          <w:rFonts w:ascii="宋体" w:hAnsi="宋体"/>
          <w:sz w:val="24"/>
        </w:rPr>
      </w:pPr>
      <w:r>
        <w:rPr>
          <w:rFonts w:hint="eastAsia" w:ascii="宋体" w:hAnsi="宋体"/>
          <w:sz w:val="24"/>
        </w:rPr>
        <w:t>4.属于同一集团、协会、商会等组织成员的投标人按照该组织要求协同参加政府采购活动；</w:t>
      </w:r>
    </w:p>
    <w:p w14:paraId="78E1E870">
      <w:pPr>
        <w:spacing w:line="440" w:lineRule="exact"/>
        <w:ind w:firstLine="470" w:firstLineChars="196"/>
        <w:contextualSpacing/>
        <w:jc w:val="left"/>
        <w:rPr>
          <w:rFonts w:ascii="宋体" w:hAnsi="宋体"/>
          <w:sz w:val="24"/>
        </w:rPr>
      </w:pPr>
      <w:r>
        <w:rPr>
          <w:rFonts w:hint="eastAsia" w:ascii="宋体" w:hAnsi="宋体"/>
          <w:sz w:val="24"/>
        </w:rPr>
        <w:t>5.投标人之间事先约定一致抬高或者压低投标报价，或者在招标项目中事先约定轮流以高价位或者低价位中标，或者事先约定由某一特定投标人中标，然后再参加投标；</w:t>
      </w:r>
    </w:p>
    <w:p w14:paraId="40B1B4E6">
      <w:pPr>
        <w:spacing w:line="440" w:lineRule="exact"/>
        <w:ind w:firstLine="470" w:firstLineChars="196"/>
        <w:contextualSpacing/>
        <w:jc w:val="left"/>
        <w:rPr>
          <w:rFonts w:ascii="宋体" w:hAnsi="宋体"/>
          <w:sz w:val="24"/>
        </w:rPr>
      </w:pPr>
      <w:r>
        <w:rPr>
          <w:rFonts w:hint="eastAsia" w:ascii="宋体" w:hAnsi="宋体"/>
          <w:sz w:val="24"/>
        </w:rPr>
        <w:t>6.投标人之间商定部分投标人放弃参加政府采购活动或者放弃中标；</w:t>
      </w:r>
    </w:p>
    <w:p w14:paraId="270E26B1">
      <w:pPr>
        <w:spacing w:line="440" w:lineRule="exact"/>
        <w:ind w:firstLine="470" w:firstLineChars="196"/>
        <w:contextualSpacing/>
        <w:jc w:val="left"/>
        <w:rPr>
          <w:rFonts w:ascii="宋体" w:hAnsi="宋体"/>
          <w:sz w:val="24"/>
        </w:rPr>
      </w:pPr>
      <w:r>
        <w:rPr>
          <w:rFonts w:hint="eastAsia" w:ascii="宋体" w:hAnsi="宋体"/>
          <w:sz w:val="24"/>
        </w:rPr>
        <w:t>7.投标人与采购人或者采购代理机构之间、投标人相互之间，为谋求特定投标人中标或者排斥其他投标人的其他串通行为。</w:t>
      </w:r>
    </w:p>
    <w:p w14:paraId="413189F8">
      <w:pPr>
        <w:spacing w:line="440" w:lineRule="exact"/>
        <w:ind w:firstLine="472" w:firstLineChars="196"/>
        <w:contextualSpacing/>
        <w:jc w:val="left"/>
        <w:rPr>
          <w:rFonts w:ascii="宋体" w:hAnsi="宋体"/>
          <w:b/>
          <w:sz w:val="24"/>
        </w:rPr>
      </w:pPr>
      <w:r>
        <w:rPr>
          <w:rFonts w:hint="eastAsia" w:ascii="宋体" w:hAnsi="宋体"/>
          <w:b/>
          <w:sz w:val="24"/>
        </w:rPr>
        <w:t>以上情形一经核查属实，我方愿意承担一切后果，并不再寻求任何旨在减轻或者免除法律责任的辩解。</w:t>
      </w:r>
    </w:p>
    <w:p w14:paraId="44E5F379">
      <w:pPr>
        <w:pStyle w:val="16"/>
        <w:spacing w:line="440" w:lineRule="exact"/>
        <w:contextualSpacing/>
        <w:jc w:val="center"/>
        <w:rPr>
          <w:rFonts w:hAnsi="宋体"/>
          <w:sz w:val="24"/>
          <w:szCs w:val="24"/>
        </w:rPr>
      </w:pPr>
      <w:r>
        <w:rPr>
          <w:rFonts w:hint="eastAsia" w:hAnsi="宋体"/>
          <w:sz w:val="24"/>
          <w:szCs w:val="24"/>
        </w:rPr>
        <w:t xml:space="preserve"> </w:t>
      </w:r>
      <w:r>
        <w:rPr>
          <w:rFonts w:hAnsi="宋体"/>
          <w:sz w:val="24"/>
          <w:szCs w:val="24"/>
        </w:rPr>
        <w:t xml:space="preserve">                                   </w:t>
      </w:r>
    </w:p>
    <w:p w14:paraId="35B2179E">
      <w:pPr>
        <w:pStyle w:val="16"/>
        <w:spacing w:line="440" w:lineRule="exact"/>
        <w:contextualSpacing/>
        <w:jc w:val="center"/>
        <w:rPr>
          <w:rFonts w:hAnsi="宋体"/>
          <w:sz w:val="24"/>
          <w:szCs w:val="24"/>
          <w:u w:val="single"/>
        </w:rPr>
      </w:pPr>
      <w:r>
        <w:rPr>
          <w:rFonts w:hint="eastAsia" w:hAnsi="宋体"/>
          <w:sz w:val="24"/>
          <w:szCs w:val="24"/>
        </w:rPr>
        <w:t>投标人名称（电子签章）</w:t>
      </w:r>
      <w:r>
        <w:rPr>
          <w:rFonts w:hint="eastAsia" w:hAnsi="宋体"/>
          <w:sz w:val="24"/>
          <w:u w:val="single"/>
        </w:rPr>
        <w:t xml:space="preserve">             </w:t>
      </w:r>
    </w:p>
    <w:p w14:paraId="6E4D77F7">
      <w:pPr>
        <w:pStyle w:val="16"/>
        <w:spacing w:line="440" w:lineRule="exact"/>
        <w:contextualSpacing/>
        <w:rPr>
          <w:rFonts w:hAnsi="宋体"/>
          <w:sz w:val="24"/>
        </w:rPr>
      </w:pPr>
      <w:r>
        <w:rPr>
          <w:rFonts w:hint="eastAsia" w:hAnsi="宋体"/>
          <w:sz w:val="24"/>
        </w:rPr>
        <w:t xml:space="preserve">                                                </w:t>
      </w:r>
      <w:r>
        <w:rPr>
          <w:rFonts w:hint="eastAsia" w:hAnsi="宋体"/>
          <w:sz w:val="24"/>
          <w:u w:val="single"/>
        </w:rPr>
        <w:t xml:space="preserve">      </w:t>
      </w:r>
      <w:r>
        <w:rPr>
          <w:rFonts w:hint="eastAsia" w:hAnsi="宋体"/>
          <w:sz w:val="24"/>
        </w:rPr>
        <w:t>年</w:t>
      </w:r>
      <w:r>
        <w:rPr>
          <w:rFonts w:hint="eastAsia" w:hAnsi="宋体"/>
          <w:sz w:val="24"/>
          <w:u w:val="single"/>
        </w:rPr>
        <w:t xml:space="preserve">    </w:t>
      </w:r>
      <w:r>
        <w:rPr>
          <w:rFonts w:hint="eastAsia" w:hAnsi="宋体"/>
          <w:sz w:val="24"/>
        </w:rPr>
        <w:t>月</w:t>
      </w:r>
      <w:r>
        <w:rPr>
          <w:rFonts w:hint="eastAsia" w:hAnsi="宋体"/>
          <w:sz w:val="24"/>
          <w:u w:val="single"/>
        </w:rPr>
        <w:t xml:space="preserve">     </w:t>
      </w:r>
      <w:r>
        <w:rPr>
          <w:rFonts w:hint="eastAsia" w:hAnsi="宋体"/>
          <w:sz w:val="24"/>
        </w:rPr>
        <w:t>日</w:t>
      </w:r>
    </w:p>
    <w:p w14:paraId="4569A9FA">
      <w:pPr>
        <w:snapToGrid w:val="0"/>
        <w:spacing w:before="120" w:beforeLines="50" w:after="50"/>
        <w:jc w:val="left"/>
        <w:rPr>
          <w:rFonts w:ascii="宋体" w:hAnsi="宋体"/>
          <w:b/>
          <w:sz w:val="24"/>
          <w:szCs w:val="20"/>
        </w:rPr>
      </w:pPr>
      <w:r>
        <w:rPr>
          <w:rFonts w:hint="eastAsia" w:ascii="宋体" w:hAnsi="宋体"/>
          <w:b/>
          <w:sz w:val="24"/>
        </w:rPr>
        <w:br w:type="page"/>
      </w:r>
      <w:r>
        <w:rPr>
          <w:rFonts w:hint="eastAsia" w:ascii="宋体" w:hAnsi="宋体"/>
          <w:b/>
          <w:sz w:val="24"/>
        </w:rPr>
        <w:t>4.法定代表人身份证明</w:t>
      </w:r>
    </w:p>
    <w:p w14:paraId="25027741">
      <w:pPr>
        <w:spacing w:before="240" w:beforeLines="100" w:after="120" w:afterLines="50"/>
        <w:ind w:left="540"/>
        <w:jc w:val="center"/>
        <w:rPr>
          <w:rFonts w:ascii="宋体" w:hAnsi="Courier New"/>
          <w:b/>
          <w:sz w:val="32"/>
          <w:szCs w:val="32"/>
        </w:rPr>
      </w:pPr>
    </w:p>
    <w:p w14:paraId="2BD4A3C1">
      <w:pPr>
        <w:spacing w:before="240" w:beforeLines="100" w:after="120" w:afterLines="50"/>
        <w:ind w:left="54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法定代表人身份证明</w:t>
      </w:r>
    </w:p>
    <w:p w14:paraId="22E335B8">
      <w:pPr>
        <w:spacing w:line="500" w:lineRule="exact"/>
        <w:ind w:left="540"/>
        <w:rPr>
          <w:rFonts w:ascii="宋体" w:hAnsi="宋体"/>
          <w:sz w:val="24"/>
        </w:rPr>
      </w:pPr>
      <w:r>
        <w:rPr>
          <w:rFonts w:hint="eastAsia" w:ascii="宋体" w:hAnsi="宋体"/>
          <w:sz w:val="24"/>
        </w:rPr>
        <w:t>投 标 人：</w:t>
      </w:r>
      <w:r>
        <w:rPr>
          <w:rFonts w:hint="eastAsia" w:ascii="宋体" w:hAnsi="宋体"/>
          <w:sz w:val="24"/>
          <w:u w:val="single"/>
        </w:rPr>
        <w:t xml:space="preserve">                                                        </w:t>
      </w:r>
    </w:p>
    <w:p w14:paraId="0B4CD630">
      <w:pPr>
        <w:spacing w:line="500" w:lineRule="exact"/>
        <w:ind w:left="540"/>
        <w:rPr>
          <w:rFonts w:ascii="宋体" w:hAnsi="宋体"/>
          <w:sz w:val="24"/>
        </w:rPr>
      </w:pPr>
      <w:r>
        <w:rPr>
          <w:rFonts w:hint="eastAsia" w:ascii="宋体" w:hAnsi="宋体"/>
          <w:sz w:val="24"/>
        </w:rPr>
        <w:t>地    址：</w:t>
      </w:r>
      <w:r>
        <w:rPr>
          <w:rFonts w:hint="eastAsia" w:ascii="宋体" w:hAnsi="宋体"/>
          <w:sz w:val="24"/>
          <w:u w:val="single"/>
        </w:rPr>
        <w:t xml:space="preserve">                                                        </w:t>
      </w:r>
    </w:p>
    <w:p w14:paraId="123CBD1C">
      <w:pPr>
        <w:spacing w:line="500" w:lineRule="exact"/>
        <w:ind w:left="540"/>
        <w:rPr>
          <w:rFonts w:ascii="宋体" w:hAnsi="宋体"/>
          <w:sz w:val="24"/>
        </w:rPr>
      </w:pPr>
      <w:r>
        <w:rPr>
          <w:rFonts w:hint="eastAsia" w:ascii="宋体" w:hAnsi="宋体"/>
          <w:sz w:val="24"/>
        </w:rPr>
        <w:t>姓    名：</w:t>
      </w:r>
      <w:r>
        <w:rPr>
          <w:rFonts w:hint="eastAsia" w:ascii="宋体" w:hAnsi="宋体"/>
          <w:sz w:val="24"/>
          <w:u w:val="single"/>
        </w:rPr>
        <w:t xml:space="preserve">                          </w:t>
      </w:r>
      <w:r>
        <w:rPr>
          <w:rFonts w:hint="eastAsia" w:ascii="宋体" w:hAnsi="宋体"/>
          <w:sz w:val="24"/>
        </w:rPr>
        <w:t>性      别：</w:t>
      </w:r>
      <w:r>
        <w:rPr>
          <w:rFonts w:hint="eastAsia" w:ascii="宋体" w:hAnsi="宋体"/>
          <w:sz w:val="24"/>
          <w:u w:val="single"/>
        </w:rPr>
        <w:t xml:space="preserve">                </w:t>
      </w:r>
    </w:p>
    <w:p w14:paraId="63B95A11">
      <w:pPr>
        <w:spacing w:line="500" w:lineRule="exact"/>
        <w:ind w:left="540"/>
        <w:rPr>
          <w:rFonts w:ascii="宋体" w:hAnsi="宋体"/>
          <w:sz w:val="24"/>
          <w:u w:val="single"/>
        </w:rPr>
      </w:pPr>
      <w:r>
        <w:rPr>
          <w:rFonts w:hint="eastAsia" w:ascii="宋体" w:hAnsi="宋体"/>
          <w:sz w:val="24"/>
        </w:rPr>
        <w:t>年    龄：</w:t>
      </w:r>
      <w:r>
        <w:rPr>
          <w:rFonts w:hint="eastAsia" w:ascii="宋体" w:hAnsi="宋体"/>
          <w:sz w:val="24"/>
          <w:u w:val="single"/>
        </w:rPr>
        <w:t xml:space="preserve">                          </w:t>
      </w:r>
      <w:r>
        <w:rPr>
          <w:rFonts w:hint="eastAsia" w:ascii="宋体" w:hAnsi="宋体"/>
          <w:sz w:val="24"/>
        </w:rPr>
        <w:t>职      务：</w:t>
      </w:r>
      <w:r>
        <w:rPr>
          <w:rFonts w:hint="eastAsia" w:ascii="宋体" w:hAnsi="宋体"/>
          <w:sz w:val="24"/>
          <w:u w:val="single"/>
        </w:rPr>
        <w:t xml:space="preserve">                </w:t>
      </w:r>
    </w:p>
    <w:p w14:paraId="18DA231B">
      <w:pPr>
        <w:spacing w:line="500" w:lineRule="exact"/>
        <w:ind w:left="540"/>
        <w:rPr>
          <w:rFonts w:ascii="宋体" w:hAnsi="宋体"/>
          <w:sz w:val="24"/>
        </w:rPr>
      </w:pPr>
      <w:r>
        <w:rPr>
          <w:rFonts w:hint="eastAsia" w:ascii="宋体" w:hAnsi="宋体"/>
          <w:sz w:val="24"/>
        </w:rPr>
        <w:t>身份证</w:t>
      </w:r>
      <w:r>
        <w:rPr>
          <w:rFonts w:hint="eastAsia"/>
          <w:sz w:val="24"/>
        </w:rPr>
        <w:t>号码：</w:t>
      </w:r>
      <w:r>
        <w:rPr>
          <w:rFonts w:hint="eastAsia"/>
          <w:sz w:val="24"/>
          <w:u w:val="single"/>
        </w:rPr>
        <w:t xml:space="preserve">                                 </w:t>
      </w:r>
    </w:p>
    <w:p w14:paraId="6F9278BF">
      <w:pPr>
        <w:spacing w:line="500" w:lineRule="exact"/>
        <w:ind w:left="540"/>
        <w:rPr>
          <w:rFonts w:ascii="宋体" w:hAnsi="宋体"/>
          <w:sz w:val="24"/>
        </w:rPr>
      </w:pPr>
      <w:r>
        <w:rPr>
          <w:rFonts w:hint="eastAsia" w:ascii="宋体" w:hAnsi="宋体"/>
          <w:sz w:val="24"/>
        </w:rPr>
        <w:t>系</w:t>
      </w:r>
      <w:r>
        <w:rPr>
          <w:rFonts w:hint="eastAsia" w:ascii="宋体" w:hAnsi="宋体"/>
          <w:sz w:val="24"/>
          <w:u w:val="single"/>
        </w:rPr>
        <w:t xml:space="preserve">            （投标人名称） </w:t>
      </w:r>
      <w:r>
        <w:rPr>
          <w:rFonts w:hint="eastAsia" w:ascii="宋体" w:hAnsi="宋体"/>
          <w:sz w:val="24"/>
        </w:rPr>
        <w:t>的法定代表人。</w:t>
      </w:r>
    </w:p>
    <w:p w14:paraId="4C1CD529">
      <w:pPr>
        <w:spacing w:line="500" w:lineRule="exact"/>
        <w:ind w:left="540"/>
        <w:rPr>
          <w:rFonts w:ascii="宋体" w:hAnsi="宋体"/>
          <w:sz w:val="24"/>
        </w:rPr>
      </w:pPr>
      <w:r>
        <w:rPr>
          <w:rFonts w:hint="eastAsia" w:ascii="宋体" w:hAnsi="宋体"/>
          <w:sz w:val="24"/>
        </w:rPr>
        <w:t>特此证明。</w:t>
      </w:r>
    </w:p>
    <w:p w14:paraId="3D55C334">
      <w:pPr>
        <w:spacing w:line="500" w:lineRule="exact"/>
        <w:ind w:left="540"/>
        <w:rPr>
          <w:rFonts w:ascii="宋体" w:hAnsi="宋体"/>
          <w:sz w:val="24"/>
        </w:rPr>
      </w:pPr>
    </w:p>
    <w:p w14:paraId="01AA99B2">
      <w:pPr>
        <w:spacing w:line="500" w:lineRule="exact"/>
        <w:ind w:left="540"/>
        <w:rPr>
          <w:rFonts w:ascii="宋体" w:hAnsi="宋体"/>
          <w:sz w:val="24"/>
        </w:rPr>
      </w:pPr>
    </w:p>
    <w:p w14:paraId="50996029">
      <w:pPr>
        <w:spacing w:line="500" w:lineRule="exact"/>
        <w:ind w:left="540"/>
        <w:rPr>
          <w:rFonts w:ascii="宋体" w:hAnsi="宋体"/>
          <w:sz w:val="24"/>
        </w:rPr>
      </w:pPr>
      <w:r>
        <w:rPr>
          <w:rFonts w:hint="eastAsia" w:ascii="宋体" w:hAnsi="宋体"/>
          <w:sz w:val="24"/>
        </w:rPr>
        <w:t>附件：法定代表人有效身份证正反面复印件</w:t>
      </w:r>
    </w:p>
    <w:p w14:paraId="2DDB1373">
      <w:pPr>
        <w:spacing w:line="500" w:lineRule="exact"/>
        <w:ind w:left="540"/>
        <w:rPr>
          <w:rFonts w:ascii="宋体" w:hAnsi="宋体"/>
          <w:sz w:val="24"/>
        </w:rPr>
      </w:pPr>
    </w:p>
    <w:p w14:paraId="0BED62F1">
      <w:pPr>
        <w:spacing w:line="500" w:lineRule="exact"/>
        <w:ind w:left="540"/>
        <w:jc w:val="right"/>
        <w:rPr>
          <w:rFonts w:ascii="宋体" w:hAnsi="宋体"/>
          <w:sz w:val="24"/>
        </w:rPr>
      </w:pPr>
      <w:r>
        <w:rPr>
          <w:rFonts w:hint="eastAsia" w:ascii="宋体" w:hAnsi="宋体"/>
          <w:sz w:val="24"/>
        </w:rPr>
        <w:t>投标人名称（电子签章）</w:t>
      </w:r>
    </w:p>
    <w:p w14:paraId="405B27C8">
      <w:pPr>
        <w:spacing w:line="500" w:lineRule="exact"/>
        <w:ind w:left="540"/>
        <w:jc w:val="right"/>
        <w:rPr>
          <w:rFonts w:ascii="宋体" w:hAnsi="宋体"/>
          <w:sz w:val="24"/>
        </w:rPr>
      </w:pPr>
    </w:p>
    <w:p w14:paraId="7AD31D54">
      <w:pPr>
        <w:snapToGrid w:val="0"/>
        <w:spacing w:before="120" w:beforeLines="50" w:after="50"/>
        <w:ind w:left="540"/>
        <w:jc w:val="right"/>
        <w:rPr>
          <w:rFonts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4FE4B1E1">
      <w:pPr>
        <w:snapToGrid w:val="0"/>
        <w:spacing w:before="120" w:beforeLines="50" w:after="50"/>
        <w:jc w:val="center"/>
        <w:rPr>
          <w:rFonts w:ascii="宋体" w:hAnsi="宋体"/>
          <w:b/>
          <w:sz w:val="24"/>
        </w:rPr>
      </w:pPr>
    </w:p>
    <w:p w14:paraId="6F884F6B">
      <w:pPr>
        <w:snapToGrid w:val="0"/>
        <w:spacing w:before="120" w:beforeLines="50" w:after="50"/>
        <w:jc w:val="left"/>
        <w:rPr>
          <w:rFonts w:ascii="宋体" w:hAnsi="宋体"/>
          <w:b/>
          <w:sz w:val="24"/>
          <w:szCs w:val="20"/>
        </w:rPr>
      </w:pPr>
      <w:r>
        <w:rPr>
          <w:rFonts w:hint="eastAsia" w:ascii="宋体" w:hAnsi="宋体"/>
          <w:sz w:val="24"/>
        </w:rPr>
        <w:t>注：自然人投标的无需提供</w:t>
      </w:r>
    </w:p>
    <w:p w14:paraId="3819AFC2">
      <w:pPr>
        <w:snapToGrid w:val="0"/>
        <w:spacing w:before="120" w:beforeLines="50" w:after="50"/>
        <w:jc w:val="left"/>
        <w:rPr>
          <w:rFonts w:ascii="宋体" w:hAnsi="宋体"/>
          <w:b/>
          <w:sz w:val="44"/>
          <w:szCs w:val="44"/>
        </w:rPr>
      </w:pPr>
      <w:r>
        <w:rPr>
          <w:rFonts w:ascii="宋体" w:hAnsi="宋体"/>
          <w:b/>
          <w:sz w:val="24"/>
        </w:rPr>
        <w:br w:type="page"/>
      </w:r>
      <w:r>
        <w:rPr>
          <w:rFonts w:hint="eastAsia" w:ascii="宋体" w:hAnsi="宋体"/>
          <w:b/>
          <w:sz w:val="24"/>
        </w:rPr>
        <w:t>5.授权委托书格式</w:t>
      </w:r>
    </w:p>
    <w:p w14:paraId="536C3E67">
      <w:pPr>
        <w:spacing w:line="360" w:lineRule="auto"/>
        <w:contextualSpacing/>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授权委托书</w:t>
      </w:r>
    </w:p>
    <w:p w14:paraId="64D09CFE">
      <w:pPr>
        <w:spacing w:line="360" w:lineRule="auto"/>
        <w:contextualSpacing/>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（非联合体投标格式）</w:t>
      </w:r>
    </w:p>
    <w:p w14:paraId="5E64F05C">
      <w:pPr>
        <w:spacing w:line="360" w:lineRule="auto"/>
        <w:contextualSpacing/>
        <w:jc w:val="center"/>
        <w:rPr>
          <w:rFonts w:ascii="宋体" w:hAnsi="宋体"/>
          <w:b/>
          <w:sz w:val="24"/>
        </w:rPr>
      </w:pPr>
      <w:r>
        <w:rPr>
          <w:rFonts w:hint="eastAsia" w:ascii="方正小标宋简体" w:hAnsi="方正小标宋简体" w:eastAsia="方正小标宋简体" w:cs="方正小标宋简体"/>
          <w:bCs/>
          <w:sz w:val="32"/>
          <w:szCs w:val="32"/>
        </w:rPr>
        <w:t>（如有委托时）</w:t>
      </w:r>
    </w:p>
    <w:p w14:paraId="104A2F80">
      <w:pPr>
        <w:spacing w:line="440" w:lineRule="exact"/>
        <w:contextualSpacing/>
        <w:rPr>
          <w:rFonts w:ascii="宋体" w:hAnsi="宋体"/>
          <w:b/>
          <w:bCs/>
          <w:sz w:val="24"/>
        </w:rPr>
      </w:pPr>
      <w:r>
        <w:rPr>
          <w:rFonts w:hint="eastAsia" w:ascii="宋体" w:hAnsi="宋体"/>
          <w:bCs/>
          <w:sz w:val="24"/>
        </w:rPr>
        <w:t>致：</w:t>
      </w:r>
      <w:r>
        <w:rPr>
          <w:rFonts w:hint="eastAsia" w:ascii="宋体" w:hAnsi="宋体"/>
          <w:sz w:val="24"/>
          <w:u w:val="single"/>
        </w:rPr>
        <w:t>采购人名称</w:t>
      </w:r>
      <w:r>
        <w:rPr>
          <w:rFonts w:hint="eastAsia" w:ascii="宋体" w:hAnsi="宋体"/>
          <w:sz w:val="24"/>
        </w:rPr>
        <w:t>：</w:t>
      </w:r>
    </w:p>
    <w:p w14:paraId="55433B54">
      <w:pPr>
        <w:spacing w:line="440" w:lineRule="exact"/>
        <w:ind w:firstLine="566" w:firstLineChars="236"/>
        <w:contextualSpacing/>
        <w:rPr>
          <w:rFonts w:ascii="宋体" w:hAnsi="宋体"/>
          <w:sz w:val="24"/>
        </w:rPr>
      </w:pPr>
      <w:r>
        <w:rPr>
          <w:rFonts w:hint="eastAsia" w:ascii="宋体" w:hAnsi="宋体"/>
          <w:sz w:val="24"/>
        </w:rPr>
        <w:t>我</w:t>
      </w:r>
      <w:r>
        <w:rPr>
          <w:rFonts w:hint="eastAsia" w:ascii="宋体" w:hAnsi="宋体"/>
          <w:sz w:val="24"/>
          <w:u w:val="single"/>
        </w:rPr>
        <w:t xml:space="preserve">       </w:t>
      </w:r>
      <w:r>
        <w:rPr>
          <w:rFonts w:hint="eastAsia" w:ascii="宋体" w:hAnsi="宋体"/>
          <w:sz w:val="24"/>
        </w:rPr>
        <w:t>（姓名）系</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（投标人名称）的法定代表人，现授权委托</w:t>
      </w:r>
      <w:r>
        <w:rPr>
          <w:rFonts w:hint="eastAsia" w:ascii="宋体" w:hAnsi="宋体"/>
          <w:sz w:val="24"/>
          <w:u w:val="single"/>
        </w:rPr>
        <w:t xml:space="preserve">       （姓名）</w:t>
      </w:r>
      <w:r>
        <w:rPr>
          <w:rFonts w:hint="eastAsia" w:ascii="宋体" w:hAnsi="宋体"/>
          <w:sz w:val="24"/>
        </w:rPr>
        <w:t>以我方的名义参加</w:t>
      </w:r>
      <w:r>
        <w:rPr>
          <w:rFonts w:hint="eastAsia" w:ascii="宋体" w:hAnsi="宋体"/>
          <w:sz w:val="24"/>
          <w:u w:val="single"/>
        </w:rPr>
        <w:t xml:space="preserve">              </w:t>
      </w:r>
      <w:r>
        <w:rPr>
          <w:rFonts w:hint="eastAsia" w:ascii="宋体" w:hAnsi="宋体"/>
          <w:sz w:val="24"/>
        </w:rPr>
        <w:t>项目的投标活动，并代表我方全权办理针对上述项目的所有采购程序和环节的具体事务和签署相关文件。</w:t>
      </w:r>
    </w:p>
    <w:p w14:paraId="2D1BEF90">
      <w:pPr>
        <w:spacing w:line="440" w:lineRule="exact"/>
        <w:contextualSpacing/>
        <w:rPr>
          <w:rFonts w:ascii="宋体" w:hAnsi="宋体"/>
          <w:sz w:val="24"/>
        </w:rPr>
      </w:pPr>
      <w:r>
        <w:rPr>
          <w:rFonts w:hint="eastAsia" w:ascii="宋体" w:hAnsi="宋体"/>
          <w:sz w:val="24"/>
        </w:rPr>
        <w:t xml:space="preserve">    我方对委托代理人的签字或者电子签名事项负全部责任。</w:t>
      </w:r>
    </w:p>
    <w:p w14:paraId="6ED9EA7B">
      <w:pPr>
        <w:spacing w:line="440" w:lineRule="exact"/>
        <w:ind w:firstLine="480"/>
        <w:contextualSpacing/>
        <w:rPr>
          <w:rFonts w:ascii="宋体" w:hAnsi="宋体"/>
          <w:sz w:val="24"/>
        </w:rPr>
      </w:pPr>
      <w:r>
        <w:rPr>
          <w:rFonts w:hint="eastAsia" w:ascii="宋体" w:hAnsi="宋体"/>
          <w:sz w:val="24"/>
          <w:u w:val="single"/>
        </w:rPr>
        <w:t>本授权书自签署之日起生效，在撤销授权的书面通知以前，本授权书一直有效。委托代理人在授权书有效期内签署的所有文件不因授权的撤销而失效。</w:t>
      </w:r>
    </w:p>
    <w:p w14:paraId="209E00B5">
      <w:pPr>
        <w:spacing w:line="440" w:lineRule="exact"/>
        <w:ind w:firstLine="480"/>
        <w:contextualSpacing/>
        <w:rPr>
          <w:rFonts w:ascii="宋体" w:hAnsi="宋体"/>
          <w:sz w:val="24"/>
        </w:rPr>
      </w:pPr>
      <w:r>
        <w:rPr>
          <w:rFonts w:hint="eastAsia" w:ascii="宋体" w:hAnsi="宋体"/>
          <w:sz w:val="24"/>
        </w:rPr>
        <w:t>委托代理人无转委托权，特此委托。</w:t>
      </w:r>
    </w:p>
    <w:p w14:paraId="48F84DF0">
      <w:pPr>
        <w:spacing w:line="440" w:lineRule="exact"/>
        <w:ind w:firstLine="480"/>
        <w:contextualSpacing/>
        <w:rPr>
          <w:rFonts w:ascii="宋体" w:hAnsi="宋体"/>
          <w:sz w:val="24"/>
        </w:rPr>
      </w:pPr>
      <w:r>
        <w:rPr>
          <w:rFonts w:hint="eastAsia" w:ascii="宋体" w:hAnsi="宋体"/>
          <w:sz w:val="24"/>
        </w:rPr>
        <w:t>附：法定代表人身份证明及委托代理人有效身份证正反面复印件</w:t>
      </w:r>
    </w:p>
    <w:p w14:paraId="4BF82DB1">
      <w:pPr>
        <w:spacing w:line="440" w:lineRule="exact"/>
        <w:contextualSpacing/>
        <w:rPr>
          <w:rFonts w:ascii="宋体" w:hAnsi="宋体"/>
          <w:sz w:val="24"/>
        </w:rPr>
      </w:pPr>
    </w:p>
    <w:p w14:paraId="17AB360D">
      <w:pPr>
        <w:spacing w:line="440" w:lineRule="exact"/>
        <w:contextualSpacing/>
        <w:rPr>
          <w:rFonts w:ascii="宋体" w:hAnsi="宋体"/>
          <w:sz w:val="24"/>
        </w:rPr>
      </w:pPr>
      <w:r>
        <w:rPr>
          <w:rFonts w:hint="eastAsia" w:ascii="宋体" w:hAnsi="宋体"/>
          <w:sz w:val="24"/>
        </w:rPr>
        <w:t>委托代理人（签字或者电子签名）：</w:t>
      </w:r>
      <w:r>
        <w:rPr>
          <w:rFonts w:hint="eastAsia" w:ascii="宋体" w:hAnsi="宋体"/>
          <w:sz w:val="24"/>
          <w:u w:val="single"/>
        </w:rPr>
        <w:t xml:space="preserve">               </w:t>
      </w:r>
      <w:r>
        <w:rPr>
          <w:rFonts w:hint="eastAsia" w:ascii="宋体" w:hAnsi="宋体"/>
          <w:sz w:val="24"/>
        </w:rPr>
        <w:t xml:space="preserve">            </w:t>
      </w:r>
    </w:p>
    <w:p w14:paraId="72DA986F">
      <w:pPr>
        <w:spacing w:line="440" w:lineRule="exact"/>
        <w:contextualSpacing/>
        <w:rPr>
          <w:rFonts w:ascii="宋体" w:hAnsi="宋体"/>
          <w:sz w:val="24"/>
          <w:u w:val="single"/>
        </w:rPr>
      </w:pPr>
      <w:r>
        <w:rPr>
          <w:rFonts w:hint="eastAsia" w:ascii="宋体" w:hAnsi="宋体"/>
          <w:sz w:val="24"/>
        </w:rPr>
        <w:t>委托代理人身份证号码：</w:t>
      </w:r>
      <w:r>
        <w:rPr>
          <w:rFonts w:hint="eastAsia" w:ascii="宋体" w:hAnsi="宋体"/>
          <w:sz w:val="24"/>
          <w:u w:val="single"/>
        </w:rPr>
        <w:t xml:space="preserve">                             </w:t>
      </w:r>
    </w:p>
    <w:p w14:paraId="44F974F7">
      <w:pPr>
        <w:spacing w:line="440" w:lineRule="exact"/>
        <w:contextualSpacing/>
        <w:rPr>
          <w:rFonts w:ascii="宋体" w:hAnsi="宋体"/>
          <w:sz w:val="24"/>
          <w:u w:val="single"/>
        </w:rPr>
      </w:pPr>
      <w:r>
        <w:rPr>
          <w:rFonts w:hint="eastAsia" w:ascii="宋体" w:hAnsi="宋体"/>
          <w:sz w:val="24"/>
        </w:rPr>
        <w:t>法定代表人（签字或者盖章或者电子签名）：</w:t>
      </w:r>
      <w:r>
        <w:rPr>
          <w:rFonts w:hint="eastAsia" w:ascii="宋体" w:hAnsi="宋体"/>
          <w:sz w:val="24"/>
          <w:u w:val="single"/>
        </w:rPr>
        <w:t xml:space="preserve">              </w:t>
      </w:r>
    </w:p>
    <w:p w14:paraId="73548A82">
      <w:pPr>
        <w:spacing w:line="440" w:lineRule="exact"/>
        <w:contextualSpacing/>
        <w:rPr>
          <w:rFonts w:ascii="宋体" w:hAnsi="宋体"/>
          <w:sz w:val="24"/>
        </w:rPr>
      </w:pPr>
      <w:r>
        <w:rPr>
          <w:rFonts w:hint="eastAsia" w:ascii="宋体" w:hAnsi="宋体"/>
          <w:sz w:val="24"/>
        </w:rPr>
        <w:t xml:space="preserve"> </w:t>
      </w:r>
    </w:p>
    <w:p w14:paraId="7C760FEC">
      <w:pPr>
        <w:spacing w:line="440" w:lineRule="exact"/>
        <w:contextualSpacing/>
        <w:jc w:val="center"/>
        <w:rPr>
          <w:rFonts w:ascii="宋体" w:hAnsi="宋体"/>
          <w:sz w:val="24"/>
        </w:rPr>
      </w:pPr>
      <w:r>
        <w:rPr>
          <w:rFonts w:hint="eastAsia" w:ascii="宋体" w:hAnsi="宋体"/>
          <w:sz w:val="24"/>
        </w:rPr>
        <w:t xml:space="preserve">                                                投标人名称（电子签章）：</w:t>
      </w:r>
    </w:p>
    <w:p w14:paraId="41C7559A">
      <w:pPr>
        <w:spacing w:line="440" w:lineRule="exact"/>
        <w:contextualSpacing/>
        <w:jc w:val="center"/>
        <w:rPr>
          <w:rFonts w:ascii="宋体" w:hAnsi="宋体"/>
          <w:sz w:val="24"/>
        </w:rPr>
      </w:pPr>
      <w:r>
        <w:rPr>
          <w:rFonts w:hint="eastAsia" w:ascii="宋体" w:hAnsi="宋体"/>
          <w:sz w:val="24"/>
        </w:rPr>
        <w:t xml:space="preserve">                                              年    月    日</w:t>
      </w:r>
    </w:p>
    <w:p w14:paraId="7AAE7F1C">
      <w:pPr>
        <w:spacing w:line="440" w:lineRule="exact"/>
        <w:contextualSpacing/>
        <w:rPr>
          <w:rFonts w:ascii="宋体" w:hAnsi="宋体" w:cs="仿宋_GB2312"/>
          <w:sz w:val="24"/>
        </w:rPr>
      </w:pPr>
      <w:r>
        <w:rPr>
          <w:rFonts w:hint="eastAsia" w:ascii="宋体" w:hAnsi="宋体" w:cs="仿宋_GB2312"/>
          <w:sz w:val="24"/>
        </w:rPr>
        <w:t>注：1.</w:t>
      </w:r>
      <w:bookmarkStart w:id="176" w:name="_Hlk65851555"/>
      <w:bookmarkStart w:id="177" w:name="_Hlk65851620"/>
      <w:r>
        <w:rPr>
          <w:rFonts w:hint="eastAsia" w:ascii="宋体" w:hAnsi="宋体" w:cs="仿宋_GB2312"/>
          <w:sz w:val="24"/>
        </w:rPr>
        <w:t>法定代表人必须在授权委托书上签字或者盖章</w:t>
      </w:r>
      <w:r>
        <w:rPr>
          <w:rFonts w:hint="eastAsia" w:ascii="宋体" w:hAnsi="宋体"/>
          <w:sz w:val="24"/>
        </w:rPr>
        <w:t>或者电子签名</w:t>
      </w:r>
      <w:r>
        <w:rPr>
          <w:rFonts w:hint="eastAsia" w:ascii="宋体" w:hAnsi="宋体" w:cs="仿宋_GB2312"/>
          <w:sz w:val="24"/>
        </w:rPr>
        <w:t>，</w:t>
      </w:r>
      <w:bookmarkEnd w:id="176"/>
      <w:r>
        <w:rPr>
          <w:rFonts w:hint="eastAsia" w:ascii="宋体" w:hAnsi="宋体" w:cs="仿宋_GB2312"/>
          <w:sz w:val="24"/>
        </w:rPr>
        <w:t>委托代理人必须在授权委托书上签字</w:t>
      </w:r>
      <w:r>
        <w:rPr>
          <w:rFonts w:hint="eastAsia" w:ascii="宋体" w:hAnsi="宋体"/>
          <w:sz w:val="24"/>
        </w:rPr>
        <w:t>或者电子签名</w:t>
      </w:r>
      <w:r>
        <w:rPr>
          <w:rFonts w:hint="eastAsia" w:ascii="宋体" w:hAnsi="宋体" w:cs="仿宋_GB2312"/>
          <w:sz w:val="24"/>
        </w:rPr>
        <w:t>，</w:t>
      </w:r>
      <w:r>
        <w:rPr>
          <w:rFonts w:hint="eastAsia" w:ascii="宋体" w:hAnsi="宋体" w:cs="仿宋_GB2312"/>
          <w:b/>
          <w:bCs/>
          <w:sz w:val="24"/>
        </w:rPr>
        <w:t>否则按无效投标处理</w:t>
      </w:r>
      <w:r>
        <w:rPr>
          <w:rFonts w:hint="eastAsia" w:ascii="宋体" w:hAnsi="宋体" w:cs="仿宋_GB2312"/>
          <w:sz w:val="24"/>
        </w:rPr>
        <w:t>；</w:t>
      </w:r>
      <w:bookmarkEnd w:id="177"/>
    </w:p>
    <w:p w14:paraId="2FE5AA60">
      <w:pPr>
        <w:spacing w:line="440" w:lineRule="exact"/>
        <w:ind w:firstLine="480" w:firstLineChars="200"/>
        <w:contextualSpacing/>
        <w:jc w:val="left"/>
        <w:rPr>
          <w:rFonts w:ascii="宋体" w:hAnsi="宋体"/>
          <w:sz w:val="24"/>
        </w:rPr>
      </w:pPr>
      <w:r>
        <w:rPr>
          <w:rFonts w:hint="eastAsia" w:ascii="宋体" w:hAnsi="宋体" w:cs="仿宋_GB2312"/>
          <w:sz w:val="24"/>
        </w:rPr>
        <w:t>2.法人、其他组织投标时“我方”是指“我单位”，自然人投标时“我方”是指“本人”。</w:t>
      </w:r>
    </w:p>
    <w:p w14:paraId="6E027A49">
      <w:pPr>
        <w:rPr>
          <w:rFonts w:ascii="宋体" w:hAnsi="宋体"/>
          <w:sz w:val="24"/>
        </w:rPr>
      </w:pPr>
      <w:r>
        <w:rPr>
          <w:rFonts w:ascii="宋体" w:hAnsi="宋体"/>
          <w:sz w:val="24"/>
        </w:rPr>
        <w:br w:type="page"/>
      </w:r>
    </w:p>
    <w:p w14:paraId="1197F1DB">
      <w:pPr>
        <w:rPr>
          <w:rFonts w:ascii="宋体" w:hAnsi="宋体"/>
          <w:b/>
          <w:sz w:val="24"/>
          <w:szCs w:val="20"/>
        </w:rPr>
      </w:pPr>
      <w:r>
        <w:rPr>
          <w:rFonts w:hint="eastAsia" w:ascii="宋体" w:hAnsi="宋体"/>
          <w:b/>
          <w:sz w:val="24"/>
        </w:rPr>
        <w:t>6.商务要求偏离表格式</w:t>
      </w:r>
    </w:p>
    <w:p w14:paraId="6D0A107E">
      <w:pPr>
        <w:snapToGrid w:val="0"/>
        <w:spacing w:before="50"/>
        <w:jc w:val="left"/>
        <w:rPr>
          <w:rFonts w:ascii="宋体" w:hAnsi="宋体"/>
          <w:sz w:val="24"/>
        </w:rPr>
      </w:pPr>
    </w:p>
    <w:p w14:paraId="2B79199B">
      <w:pPr>
        <w:snapToGrid w:val="0"/>
        <w:spacing w:before="50"/>
        <w:jc w:val="left"/>
        <w:rPr>
          <w:rFonts w:ascii="宋体" w:hAnsi="宋体"/>
          <w:sz w:val="24"/>
          <w:u w:val="single"/>
        </w:rPr>
      </w:pPr>
    </w:p>
    <w:tbl>
      <w:tblPr>
        <w:tblStyle w:val="26"/>
        <w:tblW w:w="0" w:type="auto"/>
        <w:tblInd w:w="22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55"/>
        <w:gridCol w:w="2678"/>
        <w:gridCol w:w="2470"/>
        <w:gridCol w:w="2030"/>
      </w:tblGrid>
      <w:tr w14:paraId="3E6CBE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355" w:type="dxa"/>
            <w:tcBorders>
              <w:top w:val="single" w:color="auto" w:sz="4" w:space="0"/>
              <w:left w:val="single" w:color="auto" w:sz="4" w:space="0"/>
              <w:bottom w:val="single" w:color="auto" w:sz="4" w:space="0"/>
              <w:right w:val="single" w:color="auto" w:sz="4" w:space="0"/>
            </w:tcBorders>
          </w:tcPr>
          <w:p w14:paraId="02C4CCDF">
            <w:pPr>
              <w:snapToGrid w:val="0"/>
              <w:spacing w:before="120" w:beforeLines="50"/>
              <w:jc w:val="center"/>
              <w:rPr>
                <w:rFonts w:ascii="宋体" w:hAnsi="宋体"/>
                <w:sz w:val="24"/>
              </w:rPr>
            </w:pPr>
            <w:r>
              <w:rPr>
                <w:rFonts w:hint="eastAsia" w:ascii="宋体" w:hAnsi="宋体"/>
                <w:sz w:val="24"/>
              </w:rPr>
              <w:t>项目</w:t>
            </w:r>
          </w:p>
        </w:tc>
        <w:tc>
          <w:tcPr>
            <w:tcW w:w="2678" w:type="dxa"/>
            <w:tcBorders>
              <w:top w:val="single" w:color="auto" w:sz="4" w:space="0"/>
              <w:left w:val="single" w:color="auto" w:sz="4" w:space="0"/>
              <w:bottom w:val="single" w:color="auto" w:sz="4" w:space="0"/>
              <w:right w:val="single" w:color="auto" w:sz="4" w:space="0"/>
            </w:tcBorders>
          </w:tcPr>
          <w:p w14:paraId="6CE5FC47">
            <w:pPr>
              <w:snapToGrid w:val="0"/>
              <w:spacing w:before="120" w:beforeLines="50"/>
              <w:jc w:val="center"/>
              <w:rPr>
                <w:rFonts w:ascii="宋体" w:hAnsi="宋体"/>
                <w:sz w:val="24"/>
              </w:rPr>
            </w:pPr>
            <w:r>
              <w:rPr>
                <w:rFonts w:hint="eastAsia" w:ascii="宋体" w:hAnsi="宋体"/>
                <w:sz w:val="24"/>
              </w:rPr>
              <w:t>招标文件商务</w:t>
            </w:r>
            <w:r>
              <w:rPr>
                <w:rFonts w:hint="eastAsia" w:ascii="宋体" w:hAnsi="宋体"/>
                <w:sz w:val="24"/>
                <w:lang w:val="en-US" w:eastAsia="zh-CN"/>
              </w:rPr>
              <w:t>条款</w:t>
            </w:r>
            <w:r>
              <w:rPr>
                <w:rFonts w:hint="eastAsia" w:ascii="宋体" w:hAnsi="宋体"/>
                <w:sz w:val="24"/>
              </w:rPr>
              <w:t>要求</w:t>
            </w:r>
          </w:p>
        </w:tc>
        <w:tc>
          <w:tcPr>
            <w:tcW w:w="2470" w:type="dxa"/>
            <w:tcBorders>
              <w:top w:val="single" w:color="auto" w:sz="4" w:space="0"/>
              <w:left w:val="single" w:color="auto" w:sz="4" w:space="0"/>
              <w:bottom w:val="single" w:color="auto" w:sz="4" w:space="0"/>
              <w:right w:val="single" w:color="auto" w:sz="4" w:space="0"/>
            </w:tcBorders>
          </w:tcPr>
          <w:p w14:paraId="5E9BCE54">
            <w:pPr>
              <w:snapToGrid w:val="0"/>
              <w:spacing w:before="120" w:beforeLines="50"/>
              <w:jc w:val="center"/>
              <w:rPr>
                <w:rFonts w:ascii="宋体" w:hAnsi="宋体"/>
                <w:sz w:val="24"/>
              </w:rPr>
            </w:pPr>
            <w:r>
              <w:rPr>
                <w:rFonts w:hint="eastAsia" w:ascii="宋体" w:hAnsi="宋体"/>
                <w:sz w:val="24"/>
              </w:rPr>
              <w:t>投标人的承诺</w:t>
            </w:r>
          </w:p>
        </w:tc>
        <w:tc>
          <w:tcPr>
            <w:tcW w:w="2030" w:type="dxa"/>
            <w:tcBorders>
              <w:top w:val="single" w:color="auto" w:sz="4" w:space="0"/>
              <w:left w:val="single" w:color="auto" w:sz="4" w:space="0"/>
              <w:bottom w:val="single" w:color="auto" w:sz="4" w:space="0"/>
              <w:right w:val="single" w:color="auto" w:sz="4" w:space="0"/>
            </w:tcBorders>
          </w:tcPr>
          <w:p w14:paraId="2CAD27A4">
            <w:pPr>
              <w:snapToGrid w:val="0"/>
              <w:spacing w:before="120" w:beforeLines="50"/>
              <w:jc w:val="center"/>
              <w:rPr>
                <w:rFonts w:ascii="宋体" w:hAnsi="宋体"/>
                <w:sz w:val="24"/>
              </w:rPr>
            </w:pPr>
            <w:r>
              <w:rPr>
                <w:rFonts w:hint="eastAsia" w:ascii="宋体" w:hAnsi="宋体"/>
                <w:sz w:val="24"/>
              </w:rPr>
              <w:t>偏离说明</w:t>
            </w:r>
          </w:p>
        </w:tc>
      </w:tr>
      <w:tr w14:paraId="58EC12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2355" w:type="dxa"/>
            <w:tcBorders>
              <w:top w:val="single" w:color="auto" w:sz="4" w:space="0"/>
              <w:left w:val="single" w:color="auto" w:sz="4" w:space="0"/>
              <w:bottom w:val="single" w:color="auto" w:sz="4" w:space="0"/>
              <w:right w:val="single" w:color="auto" w:sz="4" w:space="0"/>
            </w:tcBorders>
            <w:vAlign w:val="center"/>
          </w:tcPr>
          <w:p w14:paraId="0630EB62">
            <w:pPr>
              <w:snapToGrid w:val="0"/>
              <w:spacing w:before="120" w:beforeLines="50"/>
              <w:jc w:val="center"/>
              <w:rPr>
                <w:rFonts w:hint="eastAsia" w:ascii="宋体" w:hAnsi="宋体"/>
                <w:sz w:val="24"/>
              </w:rPr>
            </w:pPr>
            <w:r>
              <w:rPr>
                <w:rFonts w:hint="eastAsia" w:ascii="宋体" w:hAnsi="宋体"/>
                <w:sz w:val="24"/>
              </w:rPr>
              <w:t>合同签订期</w:t>
            </w:r>
          </w:p>
        </w:tc>
        <w:tc>
          <w:tcPr>
            <w:tcW w:w="2678" w:type="dxa"/>
            <w:tcBorders>
              <w:top w:val="single" w:color="auto" w:sz="4" w:space="0"/>
              <w:left w:val="single" w:color="auto" w:sz="4" w:space="0"/>
              <w:bottom w:val="single" w:color="auto" w:sz="4" w:space="0"/>
              <w:right w:val="single" w:color="auto" w:sz="4" w:space="0"/>
            </w:tcBorders>
            <w:vAlign w:val="center"/>
          </w:tcPr>
          <w:p w14:paraId="0D3A616F">
            <w:pPr>
              <w:spacing w:line="360" w:lineRule="auto"/>
              <w:rPr>
                <w:rFonts w:ascii="宋体" w:hAnsi="宋体"/>
                <w:sz w:val="24"/>
              </w:rPr>
            </w:pPr>
          </w:p>
        </w:tc>
        <w:tc>
          <w:tcPr>
            <w:tcW w:w="2470" w:type="dxa"/>
            <w:tcBorders>
              <w:top w:val="single" w:color="auto" w:sz="4" w:space="0"/>
              <w:left w:val="single" w:color="auto" w:sz="4" w:space="0"/>
              <w:bottom w:val="single" w:color="auto" w:sz="4" w:space="0"/>
              <w:right w:val="single" w:color="auto" w:sz="4" w:space="0"/>
            </w:tcBorders>
          </w:tcPr>
          <w:p w14:paraId="6A739CA6">
            <w:pPr>
              <w:snapToGrid w:val="0"/>
              <w:spacing w:before="120" w:beforeLines="50"/>
              <w:jc w:val="center"/>
              <w:rPr>
                <w:rFonts w:ascii="宋体" w:hAnsi="宋体"/>
                <w:sz w:val="24"/>
              </w:rPr>
            </w:pPr>
          </w:p>
        </w:tc>
        <w:tc>
          <w:tcPr>
            <w:tcW w:w="2030" w:type="dxa"/>
            <w:tcBorders>
              <w:top w:val="single" w:color="auto" w:sz="4" w:space="0"/>
              <w:left w:val="single" w:color="auto" w:sz="4" w:space="0"/>
              <w:bottom w:val="single" w:color="auto" w:sz="4" w:space="0"/>
              <w:right w:val="single" w:color="auto" w:sz="4" w:space="0"/>
            </w:tcBorders>
          </w:tcPr>
          <w:p w14:paraId="40FF0A41">
            <w:pPr>
              <w:snapToGrid w:val="0"/>
              <w:spacing w:before="120" w:beforeLines="50"/>
              <w:jc w:val="center"/>
              <w:rPr>
                <w:rFonts w:ascii="宋体" w:hAnsi="宋体"/>
                <w:sz w:val="24"/>
              </w:rPr>
            </w:pPr>
          </w:p>
        </w:tc>
      </w:tr>
      <w:tr w14:paraId="654355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355" w:type="dxa"/>
            <w:tcBorders>
              <w:top w:val="single" w:color="auto" w:sz="4" w:space="0"/>
              <w:left w:val="single" w:color="auto" w:sz="4" w:space="0"/>
              <w:bottom w:val="single" w:color="auto" w:sz="4" w:space="0"/>
              <w:right w:val="single" w:color="auto" w:sz="4" w:space="0"/>
            </w:tcBorders>
            <w:vAlign w:val="center"/>
          </w:tcPr>
          <w:p w14:paraId="156AA098">
            <w:pPr>
              <w:snapToGrid w:val="0"/>
              <w:spacing w:before="120" w:beforeLines="50"/>
              <w:jc w:val="center"/>
              <w:rPr>
                <w:rFonts w:hint="eastAsia" w:ascii="宋体" w:hAnsi="宋体"/>
                <w:sz w:val="24"/>
              </w:rPr>
            </w:pPr>
            <w:r>
              <w:rPr>
                <w:rFonts w:hint="eastAsia" w:ascii="宋体" w:hAnsi="宋体"/>
                <w:sz w:val="24"/>
              </w:rPr>
              <w:t>交付时间及地点</w:t>
            </w:r>
          </w:p>
        </w:tc>
        <w:tc>
          <w:tcPr>
            <w:tcW w:w="2678" w:type="dxa"/>
            <w:tcBorders>
              <w:top w:val="single" w:color="auto" w:sz="4" w:space="0"/>
              <w:left w:val="single" w:color="auto" w:sz="4" w:space="0"/>
              <w:bottom w:val="single" w:color="auto" w:sz="4" w:space="0"/>
              <w:right w:val="single" w:color="auto" w:sz="4" w:space="0"/>
            </w:tcBorders>
            <w:vAlign w:val="center"/>
          </w:tcPr>
          <w:p w14:paraId="1D4C8634">
            <w:pPr>
              <w:spacing w:line="360" w:lineRule="auto"/>
              <w:rPr>
                <w:rFonts w:ascii="宋体" w:hAnsi="宋体"/>
                <w:sz w:val="24"/>
                <w:u w:val="single"/>
              </w:rPr>
            </w:pPr>
          </w:p>
        </w:tc>
        <w:tc>
          <w:tcPr>
            <w:tcW w:w="2470" w:type="dxa"/>
            <w:tcBorders>
              <w:top w:val="single" w:color="auto" w:sz="4" w:space="0"/>
              <w:left w:val="single" w:color="auto" w:sz="4" w:space="0"/>
              <w:bottom w:val="single" w:color="auto" w:sz="4" w:space="0"/>
              <w:right w:val="single" w:color="auto" w:sz="4" w:space="0"/>
            </w:tcBorders>
          </w:tcPr>
          <w:p w14:paraId="385691CA">
            <w:pPr>
              <w:snapToGrid w:val="0"/>
              <w:spacing w:before="120" w:beforeLines="50"/>
              <w:ind w:left="43"/>
              <w:jc w:val="center"/>
              <w:rPr>
                <w:rFonts w:ascii="宋体" w:hAnsi="宋体"/>
                <w:sz w:val="24"/>
              </w:rPr>
            </w:pPr>
          </w:p>
        </w:tc>
        <w:tc>
          <w:tcPr>
            <w:tcW w:w="2030" w:type="dxa"/>
            <w:tcBorders>
              <w:top w:val="single" w:color="auto" w:sz="4" w:space="0"/>
              <w:left w:val="single" w:color="auto" w:sz="4" w:space="0"/>
              <w:bottom w:val="single" w:color="auto" w:sz="4" w:space="0"/>
              <w:right w:val="single" w:color="auto" w:sz="4" w:space="0"/>
            </w:tcBorders>
          </w:tcPr>
          <w:p w14:paraId="23D732E7">
            <w:pPr>
              <w:snapToGrid w:val="0"/>
              <w:spacing w:before="120" w:beforeLines="50"/>
              <w:ind w:left="43"/>
              <w:jc w:val="center"/>
              <w:rPr>
                <w:rFonts w:ascii="宋体" w:hAnsi="宋体"/>
                <w:sz w:val="24"/>
              </w:rPr>
            </w:pPr>
          </w:p>
        </w:tc>
      </w:tr>
      <w:tr w14:paraId="1312BC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355" w:type="dxa"/>
            <w:tcBorders>
              <w:top w:val="single" w:color="auto" w:sz="4" w:space="0"/>
              <w:left w:val="single" w:color="auto" w:sz="4" w:space="0"/>
              <w:bottom w:val="single" w:color="auto" w:sz="4" w:space="0"/>
              <w:right w:val="single" w:color="auto" w:sz="4" w:space="0"/>
            </w:tcBorders>
            <w:vAlign w:val="center"/>
          </w:tcPr>
          <w:p w14:paraId="75BDC579">
            <w:pPr>
              <w:snapToGrid w:val="0"/>
              <w:spacing w:before="120" w:beforeLines="50"/>
              <w:jc w:val="center"/>
              <w:rPr>
                <w:rFonts w:hint="eastAsia" w:ascii="宋体" w:hAnsi="宋体"/>
                <w:sz w:val="24"/>
              </w:rPr>
            </w:pPr>
            <w:r>
              <w:rPr>
                <w:rFonts w:hint="eastAsia" w:ascii="宋体" w:hAnsi="宋体"/>
                <w:sz w:val="24"/>
              </w:rPr>
              <w:t>售后服务要求</w:t>
            </w:r>
          </w:p>
        </w:tc>
        <w:tc>
          <w:tcPr>
            <w:tcW w:w="2678" w:type="dxa"/>
            <w:tcBorders>
              <w:top w:val="single" w:color="auto" w:sz="4" w:space="0"/>
              <w:left w:val="single" w:color="auto" w:sz="4" w:space="0"/>
              <w:bottom w:val="single" w:color="auto" w:sz="4" w:space="0"/>
              <w:right w:val="single" w:color="auto" w:sz="4" w:space="0"/>
            </w:tcBorders>
            <w:vAlign w:val="center"/>
          </w:tcPr>
          <w:p w14:paraId="29BB6BE3">
            <w:pPr>
              <w:spacing w:line="360" w:lineRule="auto"/>
              <w:rPr>
                <w:rFonts w:ascii="宋体" w:hAnsi="宋体"/>
                <w:sz w:val="24"/>
              </w:rPr>
            </w:pPr>
          </w:p>
        </w:tc>
        <w:tc>
          <w:tcPr>
            <w:tcW w:w="2470" w:type="dxa"/>
            <w:tcBorders>
              <w:top w:val="single" w:color="auto" w:sz="4" w:space="0"/>
              <w:left w:val="single" w:color="auto" w:sz="4" w:space="0"/>
              <w:bottom w:val="single" w:color="auto" w:sz="4" w:space="0"/>
              <w:right w:val="single" w:color="auto" w:sz="4" w:space="0"/>
            </w:tcBorders>
          </w:tcPr>
          <w:p w14:paraId="648DAB0E">
            <w:pPr>
              <w:snapToGrid w:val="0"/>
              <w:spacing w:before="120" w:beforeLines="50"/>
              <w:jc w:val="center"/>
              <w:rPr>
                <w:rFonts w:ascii="宋体" w:hAnsi="宋体"/>
                <w:sz w:val="24"/>
              </w:rPr>
            </w:pPr>
          </w:p>
        </w:tc>
        <w:tc>
          <w:tcPr>
            <w:tcW w:w="2030" w:type="dxa"/>
            <w:tcBorders>
              <w:top w:val="single" w:color="auto" w:sz="4" w:space="0"/>
              <w:left w:val="single" w:color="auto" w:sz="4" w:space="0"/>
              <w:bottom w:val="single" w:color="auto" w:sz="4" w:space="0"/>
              <w:right w:val="single" w:color="auto" w:sz="4" w:space="0"/>
            </w:tcBorders>
          </w:tcPr>
          <w:p w14:paraId="6C8ACB04">
            <w:pPr>
              <w:snapToGrid w:val="0"/>
              <w:spacing w:before="120" w:beforeLines="50"/>
              <w:jc w:val="center"/>
              <w:rPr>
                <w:rFonts w:ascii="宋体" w:hAnsi="宋体"/>
                <w:sz w:val="24"/>
              </w:rPr>
            </w:pPr>
          </w:p>
        </w:tc>
      </w:tr>
      <w:tr w14:paraId="339552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355" w:type="dxa"/>
            <w:tcBorders>
              <w:top w:val="single" w:color="auto" w:sz="4" w:space="0"/>
              <w:left w:val="single" w:color="auto" w:sz="4" w:space="0"/>
              <w:bottom w:val="single" w:color="auto" w:sz="4" w:space="0"/>
              <w:right w:val="single" w:color="auto" w:sz="4" w:space="0"/>
            </w:tcBorders>
            <w:vAlign w:val="center"/>
          </w:tcPr>
          <w:p w14:paraId="477784A9">
            <w:pPr>
              <w:snapToGrid w:val="0"/>
              <w:spacing w:before="120" w:beforeLines="50"/>
              <w:jc w:val="center"/>
              <w:rPr>
                <w:rFonts w:hint="eastAsia" w:ascii="宋体" w:hAnsi="宋体"/>
                <w:sz w:val="24"/>
              </w:rPr>
            </w:pPr>
            <w:r>
              <w:rPr>
                <w:rFonts w:hint="eastAsia" w:ascii="宋体" w:hAnsi="宋体"/>
                <w:sz w:val="24"/>
              </w:rPr>
              <w:t>付款方式</w:t>
            </w:r>
          </w:p>
        </w:tc>
        <w:tc>
          <w:tcPr>
            <w:tcW w:w="2678" w:type="dxa"/>
            <w:tcBorders>
              <w:top w:val="single" w:color="auto" w:sz="4" w:space="0"/>
              <w:left w:val="single" w:color="auto" w:sz="4" w:space="0"/>
              <w:bottom w:val="single" w:color="auto" w:sz="4" w:space="0"/>
              <w:right w:val="single" w:color="auto" w:sz="4" w:space="0"/>
            </w:tcBorders>
            <w:vAlign w:val="center"/>
          </w:tcPr>
          <w:p w14:paraId="52C2DFCE">
            <w:pPr>
              <w:spacing w:line="360" w:lineRule="auto"/>
              <w:rPr>
                <w:rFonts w:ascii="宋体" w:hAnsi="宋体"/>
                <w:sz w:val="24"/>
              </w:rPr>
            </w:pPr>
          </w:p>
        </w:tc>
        <w:tc>
          <w:tcPr>
            <w:tcW w:w="2470" w:type="dxa"/>
            <w:tcBorders>
              <w:top w:val="single" w:color="auto" w:sz="4" w:space="0"/>
              <w:left w:val="single" w:color="auto" w:sz="4" w:space="0"/>
              <w:bottom w:val="single" w:color="auto" w:sz="4" w:space="0"/>
              <w:right w:val="single" w:color="auto" w:sz="4" w:space="0"/>
            </w:tcBorders>
          </w:tcPr>
          <w:p w14:paraId="2E4F1F13">
            <w:pPr>
              <w:snapToGrid w:val="0"/>
              <w:spacing w:before="120" w:beforeLines="50"/>
              <w:jc w:val="center"/>
              <w:rPr>
                <w:rFonts w:ascii="宋体" w:hAnsi="宋体"/>
                <w:sz w:val="24"/>
              </w:rPr>
            </w:pPr>
          </w:p>
        </w:tc>
        <w:tc>
          <w:tcPr>
            <w:tcW w:w="2030" w:type="dxa"/>
            <w:tcBorders>
              <w:top w:val="single" w:color="auto" w:sz="4" w:space="0"/>
              <w:left w:val="single" w:color="auto" w:sz="4" w:space="0"/>
              <w:bottom w:val="single" w:color="auto" w:sz="4" w:space="0"/>
              <w:right w:val="single" w:color="auto" w:sz="4" w:space="0"/>
            </w:tcBorders>
          </w:tcPr>
          <w:p w14:paraId="63BDB699">
            <w:pPr>
              <w:snapToGrid w:val="0"/>
              <w:spacing w:before="120" w:beforeLines="50"/>
              <w:jc w:val="center"/>
              <w:rPr>
                <w:rFonts w:ascii="宋体" w:hAnsi="宋体"/>
                <w:sz w:val="24"/>
              </w:rPr>
            </w:pPr>
          </w:p>
        </w:tc>
      </w:tr>
      <w:tr w14:paraId="1B5D77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355" w:type="dxa"/>
            <w:tcBorders>
              <w:top w:val="single" w:color="auto" w:sz="4" w:space="0"/>
              <w:left w:val="single" w:color="auto" w:sz="4" w:space="0"/>
              <w:bottom w:val="single" w:color="auto" w:sz="4" w:space="0"/>
              <w:right w:val="single" w:color="auto" w:sz="4" w:space="0"/>
            </w:tcBorders>
            <w:vAlign w:val="center"/>
          </w:tcPr>
          <w:p w14:paraId="2FC4B987">
            <w:pPr>
              <w:snapToGrid w:val="0"/>
              <w:spacing w:before="120" w:beforeLines="50"/>
              <w:jc w:val="center"/>
              <w:rPr>
                <w:rFonts w:hint="eastAsia" w:ascii="宋体" w:hAnsi="宋体"/>
                <w:sz w:val="24"/>
              </w:rPr>
            </w:pPr>
            <w:r>
              <w:rPr>
                <w:rFonts w:hint="eastAsia" w:ascii="宋体" w:hAnsi="宋体"/>
                <w:sz w:val="24"/>
              </w:rPr>
              <w:t>产品质量要求</w:t>
            </w:r>
          </w:p>
        </w:tc>
        <w:tc>
          <w:tcPr>
            <w:tcW w:w="2678" w:type="dxa"/>
            <w:tcBorders>
              <w:top w:val="single" w:color="auto" w:sz="4" w:space="0"/>
              <w:left w:val="single" w:color="auto" w:sz="4" w:space="0"/>
              <w:bottom w:val="single" w:color="auto" w:sz="4" w:space="0"/>
              <w:right w:val="single" w:color="auto" w:sz="4" w:space="0"/>
            </w:tcBorders>
            <w:vAlign w:val="center"/>
          </w:tcPr>
          <w:p w14:paraId="59194142">
            <w:pPr>
              <w:spacing w:line="360" w:lineRule="auto"/>
              <w:rPr>
                <w:rFonts w:ascii="宋体" w:hAnsi="宋体"/>
                <w:sz w:val="24"/>
              </w:rPr>
            </w:pPr>
          </w:p>
        </w:tc>
        <w:tc>
          <w:tcPr>
            <w:tcW w:w="2470" w:type="dxa"/>
            <w:tcBorders>
              <w:top w:val="single" w:color="auto" w:sz="4" w:space="0"/>
              <w:left w:val="single" w:color="auto" w:sz="4" w:space="0"/>
              <w:bottom w:val="single" w:color="auto" w:sz="4" w:space="0"/>
              <w:right w:val="single" w:color="auto" w:sz="4" w:space="0"/>
            </w:tcBorders>
          </w:tcPr>
          <w:p w14:paraId="5122EDC5">
            <w:pPr>
              <w:snapToGrid w:val="0"/>
              <w:spacing w:before="120" w:beforeLines="50"/>
              <w:jc w:val="center"/>
              <w:rPr>
                <w:rFonts w:ascii="宋体" w:hAnsi="宋体"/>
                <w:sz w:val="24"/>
              </w:rPr>
            </w:pPr>
          </w:p>
        </w:tc>
        <w:tc>
          <w:tcPr>
            <w:tcW w:w="2030" w:type="dxa"/>
            <w:tcBorders>
              <w:top w:val="single" w:color="auto" w:sz="4" w:space="0"/>
              <w:left w:val="single" w:color="auto" w:sz="4" w:space="0"/>
              <w:bottom w:val="single" w:color="auto" w:sz="4" w:space="0"/>
              <w:right w:val="single" w:color="auto" w:sz="4" w:space="0"/>
            </w:tcBorders>
          </w:tcPr>
          <w:p w14:paraId="6AAE160F">
            <w:pPr>
              <w:snapToGrid w:val="0"/>
              <w:spacing w:before="120" w:beforeLines="50"/>
              <w:jc w:val="center"/>
              <w:rPr>
                <w:rFonts w:ascii="宋体" w:hAnsi="宋体"/>
                <w:sz w:val="24"/>
              </w:rPr>
            </w:pPr>
          </w:p>
        </w:tc>
      </w:tr>
      <w:tr w14:paraId="42AD06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355" w:type="dxa"/>
            <w:tcBorders>
              <w:top w:val="single" w:color="auto" w:sz="4" w:space="0"/>
              <w:left w:val="single" w:color="auto" w:sz="4" w:space="0"/>
              <w:bottom w:val="single" w:color="auto" w:sz="4" w:space="0"/>
              <w:right w:val="single" w:color="auto" w:sz="4" w:space="0"/>
            </w:tcBorders>
            <w:vAlign w:val="center"/>
          </w:tcPr>
          <w:p w14:paraId="19195855">
            <w:pPr>
              <w:widowControl/>
              <w:spacing w:line="360" w:lineRule="auto"/>
              <w:jc w:val="center"/>
              <w:rPr>
                <w:rFonts w:ascii="宋体" w:hAnsi="宋体" w:cs="宋体"/>
                <w:sz w:val="24"/>
              </w:rPr>
            </w:pPr>
            <w:r>
              <w:rPr>
                <w:rFonts w:ascii="宋体" w:hAnsi="宋体" w:cs="宋体"/>
                <w:sz w:val="24"/>
              </w:rPr>
              <w:t>...</w:t>
            </w:r>
          </w:p>
        </w:tc>
        <w:tc>
          <w:tcPr>
            <w:tcW w:w="2678" w:type="dxa"/>
            <w:tcBorders>
              <w:top w:val="single" w:color="auto" w:sz="4" w:space="0"/>
              <w:left w:val="single" w:color="auto" w:sz="4" w:space="0"/>
              <w:bottom w:val="single" w:color="auto" w:sz="4" w:space="0"/>
              <w:right w:val="single" w:color="auto" w:sz="4" w:space="0"/>
            </w:tcBorders>
            <w:vAlign w:val="center"/>
          </w:tcPr>
          <w:p w14:paraId="09AEE30A">
            <w:pPr>
              <w:widowControl/>
              <w:spacing w:line="360" w:lineRule="auto"/>
              <w:rPr>
                <w:rFonts w:ascii="宋体" w:hAnsi="宋体"/>
                <w:sz w:val="24"/>
              </w:rPr>
            </w:pPr>
          </w:p>
        </w:tc>
        <w:tc>
          <w:tcPr>
            <w:tcW w:w="2470" w:type="dxa"/>
            <w:tcBorders>
              <w:top w:val="single" w:color="auto" w:sz="4" w:space="0"/>
              <w:left w:val="single" w:color="auto" w:sz="4" w:space="0"/>
              <w:bottom w:val="single" w:color="auto" w:sz="4" w:space="0"/>
              <w:right w:val="single" w:color="auto" w:sz="4" w:space="0"/>
            </w:tcBorders>
          </w:tcPr>
          <w:p w14:paraId="15AFCC8E">
            <w:pPr>
              <w:snapToGrid w:val="0"/>
              <w:spacing w:before="120" w:beforeLines="50"/>
              <w:jc w:val="center"/>
              <w:rPr>
                <w:rFonts w:ascii="宋体" w:hAnsi="宋体"/>
                <w:sz w:val="24"/>
              </w:rPr>
            </w:pPr>
          </w:p>
        </w:tc>
        <w:tc>
          <w:tcPr>
            <w:tcW w:w="2030" w:type="dxa"/>
            <w:tcBorders>
              <w:top w:val="single" w:color="auto" w:sz="4" w:space="0"/>
              <w:left w:val="single" w:color="auto" w:sz="4" w:space="0"/>
              <w:bottom w:val="single" w:color="auto" w:sz="4" w:space="0"/>
              <w:right w:val="single" w:color="auto" w:sz="4" w:space="0"/>
            </w:tcBorders>
          </w:tcPr>
          <w:p w14:paraId="46EAECA1">
            <w:pPr>
              <w:snapToGrid w:val="0"/>
              <w:spacing w:before="120" w:beforeLines="50"/>
              <w:jc w:val="center"/>
              <w:rPr>
                <w:rFonts w:ascii="宋体" w:hAnsi="宋体"/>
                <w:sz w:val="24"/>
              </w:rPr>
            </w:pPr>
          </w:p>
        </w:tc>
      </w:tr>
    </w:tbl>
    <w:p w14:paraId="5CCD5793">
      <w:pPr>
        <w:pStyle w:val="10"/>
        <w:rPr>
          <w:rFonts w:ascii="宋体" w:hAnsi="宋体"/>
        </w:rPr>
      </w:pPr>
      <w:r>
        <w:rPr>
          <w:rFonts w:hint="eastAsia" w:ascii="宋体" w:hAnsi="宋体"/>
        </w:rPr>
        <w:t>注：</w:t>
      </w:r>
    </w:p>
    <w:p w14:paraId="3CCC9B4C">
      <w:pPr>
        <w:pStyle w:val="13"/>
        <w:spacing w:line="520" w:lineRule="exact"/>
        <w:ind w:firstLine="464" w:firstLineChars="200"/>
        <w:rPr>
          <w:rFonts w:hAnsi="仿宋_GB2312" w:cs="仿宋_GB2312"/>
          <w:szCs w:val="32"/>
        </w:rPr>
      </w:pPr>
      <w:r>
        <w:rPr>
          <w:rFonts w:hint="eastAsia" w:hAnsi="宋体"/>
          <w:sz w:val="24"/>
          <w:szCs w:val="24"/>
        </w:rPr>
        <w:t>1.</w:t>
      </w:r>
      <w:r>
        <w:rPr>
          <w:rFonts w:hint="eastAsia"/>
        </w:rPr>
        <w:t xml:space="preserve"> </w:t>
      </w:r>
      <w:r>
        <w:rPr>
          <w:rFonts w:hint="eastAsia" w:hAnsi="宋体"/>
          <w:sz w:val="24"/>
          <w:szCs w:val="24"/>
        </w:rPr>
        <w:t>说明：应对照招标文件“第二章 采购需求”中的商务</w:t>
      </w:r>
      <w:r>
        <w:rPr>
          <w:rFonts w:hint="eastAsia" w:hAnsi="宋体"/>
          <w:sz w:val="24"/>
          <w:szCs w:val="24"/>
          <w:lang w:val="en-US" w:eastAsia="zh-CN"/>
        </w:rPr>
        <w:t>条款</w:t>
      </w:r>
      <w:r>
        <w:rPr>
          <w:rFonts w:hint="eastAsia" w:hAnsi="宋体"/>
          <w:sz w:val="24"/>
          <w:szCs w:val="24"/>
        </w:rPr>
        <w:t>要求逐条作明确的投标响应，并作出偏离说明。</w:t>
      </w:r>
    </w:p>
    <w:p w14:paraId="5778157D">
      <w:pPr>
        <w:pStyle w:val="10"/>
        <w:ind w:firstLine="480" w:firstLineChars="200"/>
        <w:rPr>
          <w:rFonts w:ascii="宋体" w:hAnsi="宋体"/>
          <w:b w:val="0"/>
          <w:bCs w:val="0"/>
        </w:rPr>
      </w:pPr>
      <w:r>
        <w:rPr>
          <w:rFonts w:ascii="宋体" w:hAnsi="宋体"/>
          <w:b w:val="0"/>
          <w:bCs w:val="0"/>
        </w:rPr>
        <w:t>2.</w:t>
      </w:r>
      <w:r>
        <w:rPr>
          <w:rFonts w:hint="eastAsia" w:ascii="宋体" w:hAnsi="宋体"/>
          <w:b w:val="0"/>
          <w:bCs w:val="0"/>
        </w:rPr>
        <w:t>投标人应根据自身的承诺，对照招标文件要求在“偏离说明”中注明“</w:t>
      </w:r>
      <w:r>
        <w:rPr>
          <w:rFonts w:hint="eastAsia" w:ascii="宋体" w:hAnsi="宋体"/>
        </w:rPr>
        <w:t>正偏离</w:t>
      </w:r>
      <w:r>
        <w:rPr>
          <w:rFonts w:hint="eastAsia" w:ascii="宋体" w:hAnsi="宋体"/>
          <w:b w:val="0"/>
          <w:bCs w:val="0"/>
        </w:rPr>
        <w:t>”、“</w:t>
      </w:r>
      <w:r>
        <w:rPr>
          <w:rFonts w:hint="eastAsia" w:ascii="宋体" w:hAnsi="宋体"/>
        </w:rPr>
        <w:t>负偏离</w:t>
      </w:r>
      <w:r>
        <w:rPr>
          <w:rFonts w:hint="eastAsia" w:ascii="宋体" w:hAnsi="宋体"/>
          <w:b w:val="0"/>
          <w:bCs w:val="0"/>
        </w:rPr>
        <w:t>”或者“</w:t>
      </w:r>
      <w:r>
        <w:rPr>
          <w:rFonts w:hint="eastAsia" w:ascii="宋体" w:hAnsi="宋体"/>
        </w:rPr>
        <w:t>无偏离</w:t>
      </w:r>
      <w:r>
        <w:rPr>
          <w:rFonts w:hint="eastAsia" w:ascii="宋体" w:hAnsi="宋体"/>
          <w:b w:val="0"/>
          <w:bCs w:val="0"/>
        </w:rPr>
        <w:t>”。既不属于“</w:t>
      </w:r>
      <w:r>
        <w:rPr>
          <w:rFonts w:hint="eastAsia" w:ascii="宋体" w:hAnsi="宋体"/>
        </w:rPr>
        <w:t>正偏离</w:t>
      </w:r>
      <w:r>
        <w:rPr>
          <w:rFonts w:hint="eastAsia" w:ascii="宋体" w:hAnsi="宋体"/>
          <w:b w:val="0"/>
          <w:bCs w:val="0"/>
        </w:rPr>
        <w:t>”也不属于“</w:t>
      </w:r>
      <w:r>
        <w:rPr>
          <w:rFonts w:hint="eastAsia" w:ascii="宋体" w:hAnsi="宋体"/>
        </w:rPr>
        <w:t>负偏离</w:t>
      </w:r>
      <w:r>
        <w:rPr>
          <w:rFonts w:hint="eastAsia" w:ascii="宋体" w:hAnsi="宋体"/>
          <w:b w:val="0"/>
          <w:bCs w:val="0"/>
        </w:rPr>
        <w:t>”即为“</w:t>
      </w:r>
      <w:r>
        <w:rPr>
          <w:rFonts w:hint="eastAsia" w:ascii="宋体" w:hAnsi="宋体"/>
        </w:rPr>
        <w:t>无偏离</w:t>
      </w:r>
      <w:r>
        <w:rPr>
          <w:rFonts w:hint="eastAsia" w:ascii="宋体" w:hAnsi="宋体"/>
          <w:b w:val="0"/>
          <w:bCs w:val="0"/>
        </w:rPr>
        <w:t>”。</w:t>
      </w:r>
    </w:p>
    <w:p w14:paraId="0EBF1655">
      <w:pPr>
        <w:snapToGrid w:val="0"/>
        <w:spacing w:before="50" w:after="50"/>
        <w:rPr>
          <w:rFonts w:ascii="宋体" w:hAnsi="宋体"/>
          <w:sz w:val="24"/>
        </w:rPr>
      </w:pPr>
    </w:p>
    <w:p w14:paraId="4DA90EF4">
      <w:pPr>
        <w:snapToGrid w:val="0"/>
        <w:spacing w:before="120" w:beforeLines="50"/>
        <w:rPr>
          <w:rFonts w:ascii="宋体" w:hAnsi="宋体"/>
          <w:spacing w:val="20"/>
          <w:sz w:val="24"/>
        </w:rPr>
      </w:pPr>
    </w:p>
    <w:p w14:paraId="4B812F6D">
      <w:pPr>
        <w:snapToGrid w:val="0"/>
        <w:spacing w:before="120" w:beforeLines="50"/>
        <w:rPr>
          <w:rFonts w:ascii="宋体" w:hAnsi="宋体"/>
          <w:spacing w:val="20"/>
          <w:sz w:val="24"/>
        </w:rPr>
      </w:pPr>
    </w:p>
    <w:p w14:paraId="52143592">
      <w:pPr>
        <w:snapToGrid w:val="0"/>
        <w:spacing w:before="120" w:beforeLines="50" w:line="360" w:lineRule="auto"/>
        <w:ind w:firstLine="3920" w:firstLineChars="1400"/>
        <w:rPr>
          <w:rFonts w:ascii="宋体" w:hAnsi="宋体"/>
          <w:spacing w:val="20"/>
          <w:sz w:val="24"/>
        </w:rPr>
      </w:pPr>
      <w:r>
        <w:rPr>
          <w:rFonts w:hint="eastAsia" w:ascii="宋体" w:hAnsi="宋体"/>
          <w:spacing w:val="20"/>
          <w:sz w:val="24"/>
        </w:rPr>
        <w:t>投标人名称（电子签章）：</w:t>
      </w:r>
      <w:r>
        <w:rPr>
          <w:rFonts w:hint="eastAsia" w:ascii="宋体" w:hAnsi="宋体"/>
          <w:spacing w:val="20"/>
          <w:sz w:val="24"/>
          <w:u w:val="single"/>
        </w:rPr>
        <w:t xml:space="preserve">            </w:t>
      </w:r>
      <w:r>
        <w:rPr>
          <w:rFonts w:hint="eastAsia" w:ascii="宋体" w:hAnsi="宋体"/>
          <w:spacing w:val="20"/>
          <w:sz w:val="24"/>
        </w:rPr>
        <w:t xml:space="preserve">   </w:t>
      </w:r>
    </w:p>
    <w:p w14:paraId="3829B758">
      <w:pPr>
        <w:snapToGrid w:val="0"/>
        <w:spacing w:before="120" w:beforeLines="50" w:line="360" w:lineRule="auto"/>
        <w:ind w:firstLine="3920" w:firstLineChars="1400"/>
        <w:rPr>
          <w:rFonts w:ascii="宋体" w:hAnsi="宋体"/>
          <w:sz w:val="24"/>
          <w:szCs w:val="20"/>
        </w:rPr>
      </w:pPr>
      <w:r>
        <w:rPr>
          <w:rFonts w:hint="eastAsia" w:ascii="宋体" w:hAnsi="宋体"/>
          <w:spacing w:val="20"/>
          <w:sz w:val="24"/>
        </w:rPr>
        <w:t xml:space="preserve">日  期：    </w:t>
      </w:r>
      <w:r>
        <w:rPr>
          <w:rFonts w:hint="eastAsia" w:ascii="宋体" w:hAnsi="宋体"/>
          <w:sz w:val="24"/>
        </w:rPr>
        <w:t>年    月    日</w:t>
      </w:r>
    </w:p>
    <w:p w14:paraId="2CB4F627">
      <w:pPr>
        <w:snapToGrid w:val="0"/>
        <w:spacing w:before="120" w:beforeLines="50"/>
        <w:rPr>
          <w:rFonts w:ascii="宋体" w:hAnsi="宋体"/>
          <w:sz w:val="24"/>
          <w:szCs w:val="20"/>
        </w:rPr>
      </w:pPr>
    </w:p>
    <w:p w14:paraId="7CF5CB27">
      <w:pPr>
        <w:snapToGrid w:val="0"/>
        <w:spacing w:before="120" w:beforeLines="50" w:after="50"/>
        <w:jc w:val="left"/>
        <w:rPr>
          <w:rFonts w:ascii="宋体" w:hAnsi="宋体"/>
          <w:sz w:val="24"/>
          <w:szCs w:val="20"/>
        </w:rPr>
      </w:pPr>
    </w:p>
    <w:p w14:paraId="7630C649">
      <w:pPr>
        <w:snapToGrid w:val="0"/>
        <w:spacing w:before="120" w:beforeLines="50" w:after="50"/>
        <w:jc w:val="left"/>
        <w:rPr>
          <w:rFonts w:ascii="宋体" w:hAnsi="宋体"/>
          <w:b/>
          <w:sz w:val="24"/>
        </w:rPr>
      </w:pPr>
      <w:r>
        <w:rPr>
          <w:rFonts w:ascii="宋体" w:hAnsi="宋体"/>
          <w:sz w:val="24"/>
          <w:szCs w:val="20"/>
        </w:rPr>
        <w:br w:type="page"/>
      </w:r>
      <w:r>
        <w:rPr>
          <w:rFonts w:hint="eastAsia" w:ascii="宋体" w:hAnsi="宋体"/>
          <w:b/>
          <w:sz w:val="24"/>
        </w:rPr>
        <w:t>7.投标人业绩证明材料</w:t>
      </w:r>
    </w:p>
    <w:p w14:paraId="456E6E87">
      <w:pPr>
        <w:pStyle w:val="22"/>
        <w:snapToGrid w:val="0"/>
        <w:ind w:left="480" w:hanging="480"/>
        <w:rPr>
          <w:rFonts w:ascii="宋体" w:hAnsi="宋体"/>
          <w:sz w:val="24"/>
        </w:rPr>
      </w:pPr>
    </w:p>
    <w:p w14:paraId="597C16EE">
      <w:pPr>
        <w:pStyle w:val="22"/>
        <w:snapToGrid w:val="0"/>
        <w:ind w:left="480" w:hanging="480"/>
        <w:rPr>
          <w:rFonts w:ascii="宋体" w:hAnsi="宋体"/>
          <w:sz w:val="24"/>
        </w:rPr>
      </w:pPr>
      <w:r>
        <w:rPr>
          <w:rFonts w:hint="eastAsia" w:ascii="宋体" w:hAnsi="宋体"/>
          <w:sz w:val="24"/>
        </w:rPr>
        <w:t xml:space="preserve">投标人业绩情况一览表格式： </w:t>
      </w:r>
    </w:p>
    <w:tbl>
      <w:tblPr>
        <w:tblStyle w:val="26"/>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491"/>
        <w:gridCol w:w="2068"/>
        <w:gridCol w:w="2068"/>
        <w:gridCol w:w="3335"/>
      </w:tblGrid>
      <w:tr w14:paraId="7490B0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250" w:type="pct"/>
            <w:vMerge w:val="restart"/>
            <w:tcBorders>
              <w:top w:val="single" w:color="auto" w:sz="4" w:space="0"/>
              <w:left w:val="single" w:color="auto" w:sz="4" w:space="0"/>
              <w:bottom w:val="single" w:color="auto" w:sz="4" w:space="0"/>
              <w:right w:val="single" w:color="auto" w:sz="4" w:space="0"/>
            </w:tcBorders>
            <w:vAlign w:val="center"/>
          </w:tcPr>
          <w:p w14:paraId="29992DA8">
            <w:pPr>
              <w:snapToGrid w:val="0"/>
              <w:spacing w:line="360" w:lineRule="auto"/>
              <w:jc w:val="center"/>
              <w:rPr>
                <w:rFonts w:ascii="宋体" w:hAnsi="宋体"/>
                <w:sz w:val="24"/>
              </w:rPr>
            </w:pPr>
            <w:r>
              <w:rPr>
                <w:rFonts w:hint="eastAsia" w:ascii="宋体" w:hAnsi="宋体"/>
                <w:sz w:val="24"/>
              </w:rPr>
              <w:t>采购人名称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14:paraId="320B024D">
            <w:pPr>
              <w:snapToGrid w:val="0"/>
              <w:spacing w:line="360" w:lineRule="auto"/>
              <w:jc w:val="center"/>
              <w:rPr>
                <w:rFonts w:ascii="宋体" w:hAnsi="宋体"/>
                <w:sz w:val="24"/>
              </w:rPr>
            </w:pPr>
            <w:r>
              <w:rPr>
                <w:rFonts w:hint="eastAsia" w:ascii="宋体" w:hAnsi="宋体"/>
                <w:sz w:val="24"/>
              </w:rPr>
              <w:t>项目名称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14:paraId="1E62C0BF">
            <w:pPr>
              <w:snapToGrid w:val="0"/>
              <w:spacing w:line="360" w:lineRule="auto"/>
              <w:jc w:val="center"/>
              <w:rPr>
                <w:rFonts w:ascii="宋体" w:hAnsi="宋体"/>
                <w:sz w:val="24"/>
              </w:rPr>
            </w:pPr>
            <w:r>
              <w:rPr>
                <w:rFonts w:hint="eastAsia" w:ascii="宋体" w:hAnsi="宋体"/>
                <w:sz w:val="24"/>
              </w:rPr>
              <w:t>合同金额</w:t>
            </w:r>
          </w:p>
          <w:p w14:paraId="251615BE">
            <w:pPr>
              <w:snapToGrid w:val="0"/>
              <w:spacing w:line="360" w:lineRule="auto"/>
              <w:jc w:val="center"/>
              <w:rPr>
                <w:rFonts w:ascii="宋体" w:hAnsi="宋体"/>
                <w:sz w:val="24"/>
              </w:rPr>
            </w:pPr>
            <w:r>
              <w:rPr>
                <w:rFonts w:hint="eastAsia" w:ascii="宋体" w:hAnsi="宋体"/>
                <w:sz w:val="24"/>
              </w:rPr>
              <w:t>（万元）</w:t>
            </w:r>
          </w:p>
        </w:tc>
        <w:tc>
          <w:tcPr>
            <w:tcW w:w="1674" w:type="pct"/>
            <w:vMerge w:val="restart"/>
            <w:tcBorders>
              <w:top w:val="single" w:color="auto" w:sz="4" w:space="0"/>
              <w:left w:val="single" w:color="auto" w:sz="4" w:space="0"/>
              <w:bottom w:val="single" w:color="auto" w:sz="4" w:space="0"/>
              <w:right w:val="single" w:color="auto" w:sz="4" w:space="0"/>
            </w:tcBorders>
            <w:vAlign w:val="center"/>
          </w:tcPr>
          <w:p w14:paraId="3BB068C5">
            <w:pPr>
              <w:snapToGrid w:val="0"/>
              <w:spacing w:line="360" w:lineRule="auto"/>
              <w:jc w:val="center"/>
              <w:rPr>
                <w:rFonts w:ascii="宋体" w:hAnsi="宋体"/>
                <w:sz w:val="24"/>
              </w:rPr>
            </w:pPr>
            <w:r>
              <w:rPr>
                <w:rFonts w:hint="eastAsia" w:ascii="宋体" w:hAnsi="宋体"/>
                <w:sz w:val="24"/>
              </w:rPr>
              <w:t>采购人联系人及</w:t>
            </w:r>
          </w:p>
          <w:p w14:paraId="34D4989A">
            <w:pPr>
              <w:snapToGrid w:val="0"/>
              <w:spacing w:line="360" w:lineRule="auto"/>
              <w:jc w:val="center"/>
              <w:rPr>
                <w:rFonts w:ascii="宋体" w:hAnsi="宋体"/>
                <w:sz w:val="24"/>
              </w:rPr>
            </w:pPr>
            <w:r>
              <w:rPr>
                <w:rFonts w:hint="eastAsia" w:ascii="宋体" w:hAnsi="宋体"/>
                <w:sz w:val="24"/>
              </w:rPr>
              <w:t>联系电话</w:t>
            </w:r>
          </w:p>
        </w:tc>
      </w:tr>
      <w:tr w14:paraId="1E487C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250" w:type="pct"/>
            <w:vMerge w:val="continue"/>
            <w:tcBorders>
              <w:top w:val="single" w:color="auto" w:sz="4" w:space="0"/>
              <w:left w:val="single" w:color="auto" w:sz="4" w:space="0"/>
              <w:bottom w:val="single" w:color="auto" w:sz="4" w:space="0"/>
              <w:right w:val="single" w:color="auto" w:sz="4" w:space="0"/>
            </w:tcBorders>
            <w:vAlign w:val="center"/>
          </w:tcPr>
          <w:p w14:paraId="327E197C">
            <w:pPr>
              <w:jc w:val="left"/>
              <w:rPr>
                <w:rFonts w:ascii="宋体" w:hAnsi="宋体"/>
                <w:sz w:val="24"/>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14:paraId="77D80EE1">
            <w:pPr>
              <w:jc w:val="left"/>
              <w:rPr>
                <w:rFonts w:ascii="宋体" w:hAnsi="宋体"/>
                <w:sz w:val="24"/>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14:paraId="0CA3C2F9">
            <w:pPr>
              <w:jc w:val="left"/>
              <w:rPr>
                <w:rFonts w:ascii="宋体" w:hAnsi="宋体"/>
                <w:sz w:val="24"/>
              </w:rPr>
            </w:pPr>
          </w:p>
        </w:tc>
        <w:tc>
          <w:tcPr>
            <w:tcW w:w="1674" w:type="pct"/>
            <w:vMerge w:val="continue"/>
            <w:tcBorders>
              <w:top w:val="single" w:color="auto" w:sz="4" w:space="0"/>
              <w:left w:val="single" w:color="auto" w:sz="4" w:space="0"/>
              <w:bottom w:val="single" w:color="auto" w:sz="4" w:space="0"/>
              <w:right w:val="single" w:color="auto" w:sz="4" w:space="0"/>
            </w:tcBorders>
            <w:vAlign w:val="center"/>
          </w:tcPr>
          <w:p w14:paraId="5F2914CB">
            <w:pPr>
              <w:jc w:val="left"/>
              <w:rPr>
                <w:rFonts w:ascii="宋体" w:hAnsi="宋体"/>
                <w:sz w:val="24"/>
              </w:rPr>
            </w:pPr>
          </w:p>
        </w:tc>
      </w:tr>
      <w:tr w14:paraId="32E066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250" w:type="pct"/>
            <w:tcBorders>
              <w:top w:val="single" w:color="auto" w:sz="4" w:space="0"/>
              <w:left w:val="single" w:color="auto" w:sz="4" w:space="0"/>
              <w:bottom w:val="single" w:color="auto" w:sz="4" w:space="0"/>
              <w:right w:val="single" w:color="auto" w:sz="4" w:space="0"/>
            </w:tcBorders>
          </w:tcPr>
          <w:p w14:paraId="36D2ECC7">
            <w:pPr>
              <w:snapToGrid w:val="0"/>
              <w:spacing w:line="240" w:lineRule="exact"/>
              <w:jc w:val="left"/>
              <w:rPr>
                <w:rFonts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14:paraId="460BA91B">
            <w:pPr>
              <w:snapToGrid w:val="0"/>
              <w:spacing w:line="240" w:lineRule="exact"/>
              <w:jc w:val="left"/>
              <w:rPr>
                <w:rFonts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14:paraId="6EFEDB62">
            <w:pPr>
              <w:snapToGrid w:val="0"/>
              <w:spacing w:line="240" w:lineRule="exact"/>
              <w:jc w:val="left"/>
              <w:rPr>
                <w:rFonts w:ascii="宋体" w:hAnsi="宋体"/>
                <w:sz w:val="24"/>
              </w:rPr>
            </w:pPr>
          </w:p>
        </w:tc>
        <w:tc>
          <w:tcPr>
            <w:tcW w:w="1674" w:type="pct"/>
            <w:tcBorders>
              <w:top w:val="single" w:color="auto" w:sz="4" w:space="0"/>
              <w:left w:val="single" w:color="auto" w:sz="4" w:space="0"/>
              <w:bottom w:val="single" w:color="auto" w:sz="4" w:space="0"/>
              <w:right w:val="single" w:color="auto" w:sz="4" w:space="0"/>
            </w:tcBorders>
          </w:tcPr>
          <w:p w14:paraId="5131FF6D">
            <w:pPr>
              <w:snapToGrid w:val="0"/>
              <w:spacing w:line="240" w:lineRule="exact"/>
              <w:jc w:val="left"/>
              <w:rPr>
                <w:rFonts w:ascii="宋体" w:hAnsi="宋体"/>
                <w:sz w:val="24"/>
              </w:rPr>
            </w:pPr>
          </w:p>
        </w:tc>
      </w:tr>
      <w:tr w14:paraId="71DCDC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1E2A1D78">
            <w:pPr>
              <w:snapToGrid w:val="0"/>
              <w:spacing w:before="50" w:after="120" w:afterLines="50" w:line="400" w:lineRule="exact"/>
              <w:jc w:val="left"/>
              <w:rPr>
                <w:rFonts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14:paraId="59826126">
            <w:pPr>
              <w:snapToGrid w:val="0"/>
              <w:spacing w:before="50" w:after="120" w:afterLines="50" w:line="400" w:lineRule="exact"/>
              <w:jc w:val="left"/>
              <w:rPr>
                <w:rFonts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14:paraId="04548B8B">
            <w:pPr>
              <w:snapToGrid w:val="0"/>
              <w:spacing w:before="50" w:after="120" w:afterLines="50" w:line="400" w:lineRule="exact"/>
              <w:jc w:val="left"/>
              <w:rPr>
                <w:rFonts w:ascii="宋体" w:hAnsi="宋体"/>
                <w:sz w:val="24"/>
              </w:rPr>
            </w:pPr>
          </w:p>
        </w:tc>
        <w:tc>
          <w:tcPr>
            <w:tcW w:w="1674" w:type="pct"/>
            <w:tcBorders>
              <w:top w:val="single" w:color="auto" w:sz="4" w:space="0"/>
              <w:left w:val="single" w:color="auto" w:sz="4" w:space="0"/>
              <w:bottom w:val="single" w:color="auto" w:sz="4" w:space="0"/>
              <w:right w:val="single" w:color="auto" w:sz="4" w:space="0"/>
            </w:tcBorders>
          </w:tcPr>
          <w:p w14:paraId="5F6812AF">
            <w:pPr>
              <w:snapToGrid w:val="0"/>
              <w:spacing w:before="50" w:after="120" w:afterLines="50" w:line="400" w:lineRule="exact"/>
              <w:jc w:val="left"/>
              <w:rPr>
                <w:rFonts w:ascii="宋体" w:hAnsi="宋体"/>
                <w:sz w:val="24"/>
              </w:rPr>
            </w:pPr>
          </w:p>
        </w:tc>
      </w:tr>
      <w:tr w14:paraId="075939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250" w:type="pct"/>
            <w:tcBorders>
              <w:top w:val="single" w:color="auto" w:sz="4" w:space="0"/>
              <w:left w:val="single" w:color="auto" w:sz="4" w:space="0"/>
              <w:bottom w:val="single" w:color="auto" w:sz="4" w:space="0"/>
              <w:right w:val="single" w:color="auto" w:sz="4" w:space="0"/>
            </w:tcBorders>
          </w:tcPr>
          <w:p w14:paraId="3B4AFD34">
            <w:pPr>
              <w:snapToGrid w:val="0"/>
              <w:spacing w:before="50" w:after="120" w:afterLines="50" w:line="400" w:lineRule="exact"/>
              <w:jc w:val="left"/>
              <w:rPr>
                <w:rFonts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14:paraId="2BCB54BE">
            <w:pPr>
              <w:snapToGrid w:val="0"/>
              <w:spacing w:before="50" w:after="120" w:afterLines="50" w:line="400" w:lineRule="exact"/>
              <w:jc w:val="left"/>
              <w:rPr>
                <w:rFonts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14:paraId="60B080BB">
            <w:pPr>
              <w:snapToGrid w:val="0"/>
              <w:spacing w:before="50" w:after="120" w:afterLines="50" w:line="400" w:lineRule="exact"/>
              <w:jc w:val="left"/>
              <w:rPr>
                <w:rFonts w:ascii="宋体" w:hAnsi="宋体"/>
                <w:sz w:val="24"/>
              </w:rPr>
            </w:pPr>
          </w:p>
        </w:tc>
        <w:tc>
          <w:tcPr>
            <w:tcW w:w="1674" w:type="pct"/>
            <w:tcBorders>
              <w:top w:val="single" w:color="auto" w:sz="4" w:space="0"/>
              <w:left w:val="single" w:color="auto" w:sz="4" w:space="0"/>
              <w:bottom w:val="single" w:color="auto" w:sz="4" w:space="0"/>
              <w:right w:val="single" w:color="auto" w:sz="4" w:space="0"/>
            </w:tcBorders>
          </w:tcPr>
          <w:p w14:paraId="592DE0F8">
            <w:pPr>
              <w:snapToGrid w:val="0"/>
              <w:spacing w:before="50" w:after="120" w:afterLines="50" w:line="400" w:lineRule="exact"/>
              <w:jc w:val="left"/>
              <w:rPr>
                <w:rFonts w:ascii="宋体" w:hAnsi="宋体"/>
                <w:sz w:val="24"/>
              </w:rPr>
            </w:pPr>
          </w:p>
        </w:tc>
      </w:tr>
      <w:tr w14:paraId="311833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550ADB99">
            <w:pPr>
              <w:snapToGrid w:val="0"/>
              <w:spacing w:before="50" w:after="120" w:afterLines="50" w:line="400" w:lineRule="exact"/>
              <w:jc w:val="left"/>
              <w:rPr>
                <w:rFonts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14:paraId="69ACBF68">
            <w:pPr>
              <w:snapToGrid w:val="0"/>
              <w:spacing w:before="50" w:after="120" w:afterLines="50" w:line="400" w:lineRule="exact"/>
              <w:jc w:val="left"/>
              <w:rPr>
                <w:rFonts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14:paraId="746392AC">
            <w:pPr>
              <w:snapToGrid w:val="0"/>
              <w:spacing w:before="50" w:after="120" w:afterLines="50" w:line="400" w:lineRule="exact"/>
              <w:jc w:val="left"/>
              <w:rPr>
                <w:rFonts w:ascii="宋体" w:hAnsi="宋体"/>
                <w:sz w:val="24"/>
              </w:rPr>
            </w:pPr>
          </w:p>
        </w:tc>
        <w:tc>
          <w:tcPr>
            <w:tcW w:w="1674" w:type="pct"/>
            <w:tcBorders>
              <w:top w:val="single" w:color="auto" w:sz="4" w:space="0"/>
              <w:left w:val="single" w:color="auto" w:sz="4" w:space="0"/>
              <w:bottom w:val="single" w:color="auto" w:sz="4" w:space="0"/>
              <w:right w:val="single" w:color="auto" w:sz="4" w:space="0"/>
            </w:tcBorders>
          </w:tcPr>
          <w:p w14:paraId="60B3C37D">
            <w:pPr>
              <w:snapToGrid w:val="0"/>
              <w:spacing w:before="50" w:after="120" w:afterLines="50" w:line="400" w:lineRule="exact"/>
              <w:jc w:val="left"/>
              <w:rPr>
                <w:rFonts w:ascii="宋体" w:hAnsi="宋体"/>
                <w:sz w:val="24"/>
              </w:rPr>
            </w:pPr>
          </w:p>
        </w:tc>
      </w:tr>
      <w:tr w14:paraId="401B13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3D5F4877">
            <w:pPr>
              <w:snapToGrid w:val="0"/>
              <w:spacing w:before="50" w:after="120" w:afterLines="50" w:line="400" w:lineRule="exact"/>
              <w:jc w:val="left"/>
              <w:rPr>
                <w:rFonts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14:paraId="4AB54F30">
            <w:pPr>
              <w:snapToGrid w:val="0"/>
              <w:spacing w:before="50" w:after="120" w:afterLines="50" w:line="400" w:lineRule="exact"/>
              <w:jc w:val="left"/>
              <w:rPr>
                <w:rFonts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14:paraId="6896F0E8">
            <w:pPr>
              <w:snapToGrid w:val="0"/>
              <w:spacing w:before="50" w:after="120" w:afterLines="50" w:line="400" w:lineRule="exact"/>
              <w:jc w:val="left"/>
              <w:rPr>
                <w:rFonts w:ascii="宋体" w:hAnsi="宋体"/>
                <w:sz w:val="24"/>
              </w:rPr>
            </w:pPr>
          </w:p>
        </w:tc>
        <w:tc>
          <w:tcPr>
            <w:tcW w:w="1674" w:type="pct"/>
            <w:tcBorders>
              <w:top w:val="single" w:color="auto" w:sz="4" w:space="0"/>
              <w:left w:val="single" w:color="auto" w:sz="4" w:space="0"/>
              <w:bottom w:val="single" w:color="auto" w:sz="4" w:space="0"/>
              <w:right w:val="single" w:color="auto" w:sz="4" w:space="0"/>
            </w:tcBorders>
          </w:tcPr>
          <w:p w14:paraId="15F0FED2">
            <w:pPr>
              <w:snapToGrid w:val="0"/>
              <w:spacing w:before="50" w:after="120" w:afterLines="50" w:line="400" w:lineRule="exact"/>
              <w:jc w:val="left"/>
              <w:rPr>
                <w:rFonts w:ascii="宋体" w:hAnsi="宋体"/>
                <w:sz w:val="24"/>
              </w:rPr>
            </w:pPr>
          </w:p>
        </w:tc>
      </w:tr>
    </w:tbl>
    <w:p w14:paraId="61AC1012">
      <w:pPr>
        <w:pStyle w:val="8"/>
        <w:spacing w:before="0" w:after="0" w:line="360" w:lineRule="auto"/>
        <w:contextualSpacing/>
        <w:rPr>
          <w:rFonts w:ascii="宋体" w:hAnsi="宋体" w:eastAsia="宋体"/>
          <w:sz w:val="24"/>
          <w:szCs w:val="24"/>
        </w:rPr>
      </w:pPr>
    </w:p>
    <w:p w14:paraId="465F498F">
      <w:pPr>
        <w:pStyle w:val="8"/>
        <w:spacing w:before="0" w:after="0" w:line="360" w:lineRule="auto"/>
        <w:contextualSpacing/>
        <w:rPr>
          <w:rFonts w:ascii="宋体" w:hAnsi="宋体" w:eastAsia="宋体"/>
          <w:sz w:val="24"/>
          <w:szCs w:val="24"/>
        </w:rPr>
      </w:pPr>
      <w:r>
        <w:rPr>
          <w:rFonts w:hint="eastAsia" w:ascii="宋体" w:hAnsi="宋体" w:eastAsia="宋体"/>
          <w:sz w:val="24"/>
          <w:szCs w:val="24"/>
        </w:rPr>
        <w:t>注：</w:t>
      </w:r>
      <w:r>
        <w:rPr>
          <w:rFonts w:hint="eastAsia" w:ascii="宋体" w:hAnsi="宋体"/>
          <w:sz w:val="24"/>
        </w:rPr>
        <w:t>投标人根据评标标准具体要求附业绩证明材料。</w:t>
      </w:r>
    </w:p>
    <w:p w14:paraId="69AF9175">
      <w:pPr>
        <w:pStyle w:val="8"/>
        <w:spacing w:before="0" w:after="0" w:line="360" w:lineRule="auto"/>
        <w:contextualSpacing/>
        <w:jc w:val="left"/>
        <w:rPr>
          <w:rFonts w:ascii="宋体" w:hAnsi="宋体" w:eastAsia="宋体"/>
          <w:sz w:val="24"/>
          <w:szCs w:val="24"/>
        </w:rPr>
      </w:pPr>
    </w:p>
    <w:p w14:paraId="6B8431CE">
      <w:pPr>
        <w:pStyle w:val="8"/>
        <w:spacing w:before="0" w:after="0" w:line="360" w:lineRule="auto"/>
        <w:contextualSpacing/>
        <w:jc w:val="left"/>
        <w:rPr>
          <w:rFonts w:ascii="宋体" w:hAnsi="宋体" w:eastAsia="宋体"/>
          <w:sz w:val="24"/>
          <w:szCs w:val="24"/>
        </w:rPr>
      </w:pPr>
    </w:p>
    <w:p w14:paraId="1DFB86C3">
      <w:pPr>
        <w:spacing w:line="480" w:lineRule="auto"/>
        <w:ind w:left="5749" w:leftChars="2052" w:right="482" w:hanging="1440" w:hangingChars="600"/>
        <w:contextualSpacing/>
        <w:jc w:val="left"/>
        <w:rPr>
          <w:rFonts w:ascii="宋体" w:hAnsi="宋体"/>
          <w:sz w:val="24"/>
          <w:szCs w:val="20"/>
        </w:rPr>
      </w:pPr>
      <w:r>
        <w:rPr>
          <w:rFonts w:hint="eastAsia" w:ascii="宋体" w:hAnsi="宋体" w:cs="Arial"/>
          <w:sz w:val="24"/>
        </w:rPr>
        <w:t xml:space="preserve">投标人名称（电子签章）： </w:t>
      </w:r>
      <w:r>
        <w:rPr>
          <w:rFonts w:hint="eastAsia" w:ascii="宋体" w:hAnsi="宋体"/>
          <w:sz w:val="24"/>
          <w:u w:val="single"/>
        </w:rPr>
        <w:t xml:space="preserve">                </w:t>
      </w:r>
      <w:r>
        <w:rPr>
          <w:rFonts w:hint="eastAsia" w:ascii="宋体" w:hAnsi="宋体"/>
          <w:sz w:val="24"/>
        </w:rPr>
        <w:t xml:space="preserve">                                                              年    月    日</w:t>
      </w:r>
    </w:p>
    <w:p w14:paraId="0758A5F7">
      <w:pPr>
        <w:snapToGrid w:val="0"/>
        <w:spacing w:before="50"/>
        <w:ind w:firstLine="480" w:firstLineChars="200"/>
        <w:jc w:val="left"/>
        <w:rPr>
          <w:rFonts w:ascii="宋体" w:hAnsi="宋体"/>
          <w:sz w:val="24"/>
          <w:szCs w:val="20"/>
        </w:rPr>
      </w:pPr>
    </w:p>
    <w:p w14:paraId="20BF2599">
      <w:pPr>
        <w:snapToGrid w:val="0"/>
        <w:spacing w:line="360" w:lineRule="auto"/>
        <w:ind w:right="480" w:firstLine="240" w:firstLineChars="100"/>
        <w:jc w:val="left"/>
        <w:rPr>
          <w:rFonts w:ascii="宋体" w:hAnsi="宋体"/>
          <w:sz w:val="24"/>
          <w:szCs w:val="20"/>
        </w:rPr>
        <w:sectPr>
          <w:headerReference r:id="rId6" w:type="default"/>
          <w:footerReference r:id="rId7" w:type="default"/>
          <w:pgSz w:w="11906" w:h="16838"/>
          <w:pgMar w:top="1440" w:right="1080" w:bottom="1440" w:left="1080" w:header="851" w:footer="992" w:gutter="0"/>
          <w:cols w:space="720" w:num="1"/>
          <w:docGrid w:linePitch="312" w:charSpace="0"/>
        </w:sectPr>
      </w:pPr>
      <w:r>
        <w:rPr>
          <w:rFonts w:ascii="宋体" w:hAnsi="宋体"/>
          <w:sz w:val="24"/>
        </w:rPr>
        <w:br w:type="page"/>
      </w:r>
    </w:p>
    <w:p w14:paraId="716498E9">
      <w:pPr>
        <w:snapToGrid w:val="0"/>
        <w:spacing w:before="165" w:beforeLines="50" w:after="50"/>
        <w:jc w:val="left"/>
        <w:rPr>
          <w:rFonts w:ascii="宋体" w:hAnsi="宋体"/>
          <w:b/>
          <w:sz w:val="24"/>
        </w:rPr>
      </w:pPr>
      <w:r>
        <w:rPr>
          <w:rFonts w:hint="eastAsia" w:ascii="宋体" w:hAnsi="宋体"/>
          <w:b/>
          <w:sz w:val="24"/>
        </w:rPr>
        <w:t>8. 设备性能配置清单格式</w:t>
      </w:r>
    </w:p>
    <w:p w14:paraId="40D83256">
      <w:pPr>
        <w:snapToGrid w:val="0"/>
        <w:spacing w:before="165" w:beforeLines="50" w:after="50"/>
        <w:ind w:left="142"/>
        <w:jc w:val="left"/>
        <w:rPr>
          <w:rFonts w:ascii="宋体" w:hAnsi="宋体"/>
          <w:b/>
          <w:sz w:val="24"/>
        </w:rPr>
      </w:pPr>
    </w:p>
    <w:p w14:paraId="093CF941">
      <w:pPr>
        <w:snapToGrid w:val="0"/>
        <w:spacing w:before="165" w:beforeLines="50" w:after="50"/>
        <w:ind w:left="142"/>
        <w:jc w:val="center"/>
        <w:rPr>
          <w:rFonts w:ascii="宋体" w:hAnsi="宋体"/>
          <w:b/>
          <w:sz w:val="32"/>
          <w:szCs w:val="32"/>
        </w:rPr>
      </w:pPr>
      <w:r>
        <w:rPr>
          <w:rFonts w:hint="eastAsia" w:ascii="宋体" w:hAnsi="宋体"/>
          <w:b/>
          <w:sz w:val="32"/>
          <w:szCs w:val="32"/>
        </w:rPr>
        <w:t>设备性能配置清单</w:t>
      </w:r>
    </w:p>
    <w:p w14:paraId="287A1102">
      <w:pPr>
        <w:pStyle w:val="16"/>
        <w:rPr>
          <w:sz w:val="24"/>
          <w:szCs w:val="24"/>
        </w:rPr>
      </w:pPr>
    </w:p>
    <w:tbl>
      <w:tblPr>
        <w:tblStyle w:val="26"/>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26"/>
        <w:gridCol w:w="1728"/>
        <w:gridCol w:w="1147"/>
        <w:gridCol w:w="818"/>
        <w:gridCol w:w="1803"/>
        <w:gridCol w:w="1372"/>
        <w:gridCol w:w="812"/>
        <w:gridCol w:w="1648"/>
      </w:tblGrid>
      <w:tr w14:paraId="0D5745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267" w:type="pct"/>
            <w:tcBorders>
              <w:top w:val="single" w:color="auto" w:sz="4" w:space="0"/>
              <w:left w:val="single" w:color="auto" w:sz="4" w:space="0"/>
              <w:bottom w:val="single" w:color="auto" w:sz="4" w:space="0"/>
              <w:right w:val="single" w:color="auto" w:sz="4" w:space="0"/>
            </w:tcBorders>
            <w:vAlign w:val="center"/>
          </w:tcPr>
          <w:p w14:paraId="43515685">
            <w:pPr>
              <w:snapToGrid w:val="0"/>
              <w:spacing w:before="50" w:after="50"/>
              <w:jc w:val="center"/>
              <w:rPr>
                <w:rFonts w:ascii="宋体" w:hAnsi="宋体"/>
                <w:sz w:val="24"/>
              </w:rPr>
            </w:pPr>
            <w:r>
              <w:rPr>
                <w:rFonts w:hint="eastAsia" w:ascii="宋体" w:hAnsi="宋体"/>
                <w:sz w:val="24"/>
              </w:rPr>
              <w:t>序号</w:t>
            </w:r>
          </w:p>
        </w:tc>
        <w:tc>
          <w:tcPr>
            <w:tcW w:w="877" w:type="pct"/>
            <w:tcBorders>
              <w:top w:val="single" w:color="auto" w:sz="4" w:space="0"/>
              <w:left w:val="single" w:color="auto" w:sz="4" w:space="0"/>
              <w:bottom w:val="single" w:color="auto" w:sz="4" w:space="0"/>
              <w:right w:val="single" w:color="auto" w:sz="4" w:space="0"/>
            </w:tcBorders>
            <w:vAlign w:val="center"/>
          </w:tcPr>
          <w:p w14:paraId="3DDD3587">
            <w:pPr>
              <w:snapToGrid w:val="0"/>
              <w:spacing w:before="50" w:after="50"/>
              <w:jc w:val="center"/>
              <w:rPr>
                <w:rFonts w:ascii="宋体" w:hAnsi="宋体"/>
                <w:sz w:val="24"/>
              </w:rPr>
            </w:pPr>
            <w:r>
              <w:rPr>
                <w:rFonts w:hint="eastAsia" w:hAnsi="宋体" w:cs="Courier New"/>
                <w:sz w:val="24"/>
              </w:rPr>
              <w:t>标的的名称</w:t>
            </w:r>
          </w:p>
        </w:tc>
        <w:tc>
          <w:tcPr>
            <w:tcW w:w="582" w:type="pct"/>
            <w:tcBorders>
              <w:top w:val="single" w:color="auto" w:sz="4" w:space="0"/>
              <w:left w:val="single" w:color="auto" w:sz="4" w:space="0"/>
              <w:bottom w:val="single" w:color="auto" w:sz="4" w:space="0"/>
              <w:right w:val="single" w:color="auto" w:sz="4" w:space="0"/>
            </w:tcBorders>
            <w:vAlign w:val="center"/>
          </w:tcPr>
          <w:p w14:paraId="6023CD58">
            <w:pPr>
              <w:snapToGrid w:val="0"/>
              <w:spacing w:before="50" w:after="50"/>
              <w:jc w:val="center"/>
              <w:rPr>
                <w:rFonts w:ascii="宋体" w:hAnsi="宋体"/>
                <w:sz w:val="24"/>
              </w:rPr>
            </w:pPr>
            <w:r>
              <w:rPr>
                <w:rFonts w:hint="eastAsia" w:ascii="宋体" w:hAnsi="宋体"/>
                <w:sz w:val="24"/>
              </w:rPr>
              <w:t>数量及单位</w:t>
            </w:r>
          </w:p>
        </w:tc>
        <w:tc>
          <w:tcPr>
            <w:tcW w:w="415" w:type="pct"/>
            <w:tcBorders>
              <w:top w:val="single" w:color="auto" w:sz="4" w:space="0"/>
              <w:left w:val="single" w:color="auto" w:sz="4" w:space="0"/>
              <w:bottom w:val="single" w:color="auto" w:sz="4" w:space="0"/>
              <w:right w:val="single" w:color="auto" w:sz="4" w:space="0"/>
            </w:tcBorders>
            <w:vAlign w:val="center"/>
          </w:tcPr>
          <w:p w14:paraId="5C3525E3">
            <w:pPr>
              <w:snapToGrid w:val="0"/>
              <w:spacing w:before="50" w:after="50"/>
              <w:jc w:val="center"/>
              <w:rPr>
                <w:rFonts w:ascii="宋体" w:hAnsi="宋体"/>
                <w:sz w:val="24"/>
              </w:rPr>
            </w:pPr>
            <w:r>
              <w:rPr>
                <w:rFonts w:hint="eastAsia" w:ascii="宋体" w:hAnsi="宋体"/>
                <w:sz w:val="24"/>
              </w:rPr>
              <w:t>品牌</w:t>
            </w:r>
          </w:p>
        </w:tc>
        <w:tc>
          <w:tcPr>
            <w:tcW w:w="915" w:type="pct"/>
            <w:tcBorders>
              <w:top w:val="single" w:color="auto" w:sz="4" w:space="0"/>
              <w:left w:val="single" w:color="auto" w:sz="4" w:space="0"/>
              <w:bottom w:val="single" w:color="auto" w:sz="4" w:space="0"/>
              <w:right w:val="single" w:color="auto" w:sz="4" w:space="0"/>
            </w:tcBorders>
          </w:tcPr>
          <w:p w14:paraId="6DEC0FC0">
            <w:pPr>
              <w:snapToGrid w:val="0"/>
              <w:spacing w:before="50" w:after="50"/>
              <w:jc w:val="center"/>
              <w:rPr>
                <w:rFonts w:ascii="宋体" w:hAnsi="宋体"/>
                <w:sz w:val="24"/>
              </w:rPr>
            </w:pPr>
          </w:p>
          <w:p w14:paraId="3E314707">
            <w:pPr>
              <w:snapToGrid w:val="0"/>
              <w:spacing w:before="50" w:after="50"/>
              <w:jc w:val="center"/>
              <w:rPr>
                <w:rFonts w:ascii="宋体" w:hAnsi="宋体"/>
                <w:sz w:val="24"/>
              </w:rPr>
            </w:pPr>
            <w:r>
              <w:rPr>
                <w:rFonts w:hint="eastAsia" w:ascii="宋体" w:hAnsi="宋体"/>
                <w:sz w:val="24"/>
              </w:rPr>
              <w:t>规格型号</w:t>
            </w:r>
          </w:p>
        </w:tc>
        <w:tc>
          <w:tcPr>
            <w:tcW w:w="696" w:type="pct"/>
            <w:tcBorders>
              <w:top w:val="single" w:color="auto" w:sz="4" w:space="0"/>
              <w:left w:val="single" w:color="auto" w:sz="4" w:space="0"/>
              <w:bottom w:val="single" w:color="auto" w:sz="4" w:space="0"/>
              <w:right w:val="single" w:color="auto" w:sz="4" w:space="0"/>
            </w:tcBorders>
            <w:vAlign w:val="center"/>
          </w:tcPr>
          <w:p w14:paraId="26100EBE">
            <w:pPr>
              <w:snapToGrid w:val="0"/>
              <w:spacing w:before="50" w:after="50"/>
              <w:jc w:val="center"/>
              <w:rPr>
                <w:rFonts w:ascii="宋体" w:hAnsi="宋体"/>
                <w:sz w:val="24"/>
              </w:rPr>
            </w:pPr>
            <w:r>
              <w:rPr>
                <w:rFonts w:hint="eastAsia" w:ascii="宋体" w:hAnsi="宋体"/>
                <w:sz w:val="24"/>
              </w:rPr>
              <w:t>制造商</w:t>
            </w:r>
          </w:p>
        </w:tc>
        <w:tc>
          <w:tcPr>
            <w:tcW w:w="412" w:type="pct"/>
            <w:tcBorders>
              <w:top w:val="single" w:color="auto" w:sz="4" w:space="0"/>
              <w:left w:val="single" w:color="auto" w:sz="4" w:space="0"/>
              <w:bottom w:val="single" w:color="auto" w:sz="4" w:space="0"/>
              <w:right w:val="single" w:color="auto" w:sz="4" w:space="0"/>
            </w:tcBorders>
            <w:vAlign w:val="center"/>
          </w:tcPr>
          <w:p w14:paraId="3F25F00B">
            <w:pPr>
              <w:snapToGrid w:val="0"/>
              <w:spacing w:before="50" w:after="50"/>
              <w:jc w:val="center"/>
              <w:rPr>
                <w:rFonts w:ascii="宋体" w:hAnsi="宋体"/>
                <w:sz w:val="24"/>
              </w:rPr>
            </w:pPr>
            <w:r>
              <w:rPr>
                <w:rFonts w:hint="eastAsia" w:ascii="宋体" w:hAnsi="宋体"/>
                <w:sz w:val="24"/>
              </w:rPr>
              <w:t>原产地</w:t>
            </w:r>
          </w:p>
        </w:tc>
        <w:tc>
          <w:tcPr>
            <w:tcW w:w="836" w:type="pct"/>
            <w:tcBorders>
              <w:top w:val="single" w:color="auto" w:sz="4" w:space="0"/>
              <w:left w:val="single" w:color="auto" w:sz="4" w:space="0"/>
              <w:bottom w:val="single" w:color="auto" w:sz="4" w:space="0"/>
              <w:right w:val="single" w:color="auto" w:sz="4" w:space="0"/>
            </w:tcBorders>
            <w:vAlign w:val="center"/>
          </w:tcPr>
          <w:p w14:paraId="5E2BF04D">
            <w:pPr>
              <w:snapToGrid w:val="0"/>
              <w:spacing w:before="50" w:after="50"/>
              <w:jc w:val="center"/>
              <w:rPr>
                <w:rFonts w:ascii="宋体" w:hAnsi="宋体"/>
                <w:sz w:val="24"/>
              </w:rPr>
            </w:pPr>
            <w:r>
              <w:rPr>
                <w:rFonts w:hint="eastAsia" w:ascii="宋体" w:hAnsi="宋体"/>
                <w:sz w:val="24"/>
              </w:rPr>
              <w:t>参数性能、指标及配置</w:t>
            </w:r>
          </w:p>
        </w:tc>
      </w:tr>
      <w:tr w14:paraId="5A3B4E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267" w:type="pct"/>
            <w:tcBorders>
              <w:top w:val="single" w:color="auto" w:sz="4" w:space="0"/>
              <w:left w:val="single" w:color="auto" w:sz="4" w:space="0"/>
              <w:bottom w:val="single" w:color="auto" w:sz="4" w:space="0"/>
              <w:right w:val="single" w:color="auto" w:sz="4" w:space="0"/>
            </w:tcBorders>
            <w:vAlign w:val="center"/>
          </w:tcPr>
          <w:p w14:paraId="03331D74">
            <w:pPr>
              <w:snapToGrid w:val="0"/>
              <w:spacing w:before="50" w:after="50"/>
              <w:jc w:val="center"/>
              <w:rPr>
                <w:rFonts w:ascii="宋体" w:hAnsi="宋体"/>
                <w:sz w:val="24"/>
              </w:rPr>
            </w:pPr>
          </w:p>
        </w:tc>
        <w:tc>
          <w:tcPr>
            <w:tcW w:w="877" w:type="pct"/>
            <w:tcBorders>
              <w:top w:val="single" w:color="auto" w:sz="4" w:space="0"/>
              <w:left w:val="single" w:color="auto" w:sz="4" w:space="0"/>
              <w:bottom w:val="single" w:color="auto" w:sz="4" w:space="0"/>
              <w:right w:val="single" w:color="auto" w:sz="4" w:space="0"/>
            </w:tcBorders>
            <w:vAlign w:val="center"/>
          </w:tcPr>
          <w:p w14:paraId="5F83F82E">
            <w:pPr>
              <w:snapToGrid w:val="0"/>
              <w:spacing w:before="50" w:after="50"/>
              <w:jc w:val="center"/>
              <w:rPr>
                <w:rFonts w:ascii="宋体" w:hAnsi="宋体"/>
                <w:sz w:val="24"/>
              </w:rPr>
            </w:pPr>
          </w:p>
        </w:tc>
        <w:tc>
          <w:tcPr>
            <w:tcW w:w="582" w:type="pct"/>
            <w:tcBorders>
              <w:top w:val="single" w:color="auto" w:sz="4" w:space="0"/>
              <w:left w:val="single" w:color="auto" w:sz="4" w:space="0"/>
              <w:bottom w:val="single" w:color="auto" w:sz="4" w:space="0"/>
              <w:right w:val="single" w:color="auto" w:sz="4" w:space="0"/>
            </w:tcBorders>
            <w:vAlign w:val="center"/>
          </w:tcPr>
          <w:p w14:paraId="2673963D">
            <w:pPr>
              <w:snapToGrid w:val="0"/>
              <w:spacing w:before="50" w:after="50"/>
              <w:jc w:val="center"/>
              <w:rPr>
                <w:rFonts w:ascii="宋体" w:hAnsi="宋体"/>
                <w:sz w:val="24"/>
              </w:rPr>
            </w:pPr>
          </w:p>
        </w:tc>
        <w:tc>
          <w:tcPr>
            <w:tcW w:w="415" w:type="pct"/>
            <w:tcBorders>
              <w:top w:val="single" w:color="auto" w:sz="4" w:space="0"/>
              <w:left w:val="single" w:color="auto" w:sz="4" w:space="0"/>
              <w:bottom w:val="single" w:color="auto" w:sz="4" w:space="0"/>
              <w:right w:val="single" w:color="auto" w:sz="4" w:space="0"/>
            </w:tcBorders>
            <w:vAlign w:val="center"/>
          </w:tcPr>
          <w:p w14:paraId="368292AA">
            <w:pPr>
              <w:snapToGrid w:val="0"/>
              <w:spacing w:before="50" w:after="50"/>
              <w:jc w:val="center"/>
              <w:rPr>
                <w:rFonts w:ascii="宋体" w:hAnsi="宋体"/>
                <w:sz w:val="24"/>
              </w:rPr>
            </w:pPr>
          </w:p>
        </w:tc>
        <w:tc>
          <w:tcPr>
            <w:tcW w:w="915" w:type="pct"/>
            <w:tcBorders>
              <w:top w:val="single" w:color="auto" w:sz="4" w:space="0"/>
              <w:left w:val="single" w:color="auto" w:sz="4" w:space="0"/>
              <w:bottom w:val="single" w:color="auto" w:sz="4" w:space="0"/>
              <w:right w:val="single" w:color="auto" w:sz="4" w:space="0"/>
            </w:tcBorders>
          </w:tcPr>
          <w:p w14:paraId="38A06698">
            <w:pPr>
              <w:snapToGrid w:val="0"/>
              <w:spacing w:before="50" w:after="50"/>
              <w:jc w:val="center"/>
              <w:rPr>
                <w:rFonts w:ascii="宋体" w:hAnsi="宋体"/>
                <w:sz w:val="24"/>
              </w:rPr>
            </w:pPr>
          </w:p>
        </w:tc>
        <w:tc>
          <w:tcPr>
            <w:tcW w:w="696" w:type="pct"/>
            <w:tcBorders>
              <w:top w:val="single" w:color="auto" w:sz="4" w:space="0"/>
              <w:left w:val="single" w:color="auto" w:sz="4" w:space="0"/>
              <w:bottom w:val="single" w:color="auto" w:sz="4" w:space="0"/>
              <w:right w:val="single" w:color="auto" w:sz="4" w:space="0"/>
            </w:tcBorders>
            <w:vAlign w:val="center"/>
          </w:tcPr>
          <w:p w14:paraId="2F797788">
            <w:pPr>
              <w:snapToGrid w:val="0"/>
              <w:spacing w:before="50" w:after="50"/>
              <w:jc w:val="center"/>
              <w:rPr>
                <w:rFonts w:ascii="宋体" w:hAnsi="宋体"/>
                <w:sz w:val="24"/>
              </w:rPr>
            </w:pPr>
          </w:p>
        </w:tc>
        <w:tc>
          <w:tcPr>
            <w:tcW w:w="412" w:type="pct"/>
            <w:tcBorders>
              <w:top w:val="single" w:color="auto" w:sz="4" w:space="0"/>
              <w:left w:val="single" w:color="auto" w:sz="4" w:space="0"/>
              <w:bottom w:val="single" w:color="auto" w:sz="4" w:space="0"/>
              <w:right w:val="single" w:color="auto" w:sz="4" w:space="0"/>
            </w:tcBorders>
            <w:vAlign w:val="center"/>
          </w:tcPr>
          <w:p w14:paraId="690A5FE5">
            <w:pPr>
              <w:snapToGrid w:val="0"/>
              <w:spacing w:before="50" w:after="50"/>
              <w:jc w:val="center"/>
              <w:rPr>
                <w:rFonts w:ascii="宋体" w:hAnsi="宋体"/>
                <w:sz w:val="24"/>
              </w:rPr>
            </w:pPr>
          </w:p>
        </w:tc>
        <w:tc>
          <w:tcPr>
            <w:tcW w:w="836" w:type="pct"/>
            <w:tcBorders>
              <w:top w:val="single" w:color="auto" w:sz="4" w:space="0"/>
              <w:left w:val="single" w:color="auto" w:sz="4" w:space="0"/>
              <w:bottom w:val="single" w:color="auto" w:sz="4" w:space="0"/>
              <w:right w:val="single" w:color="auto" w:sz="4" w:space="0"/>
            </w:tcBorders>
            <w:vAlign w:val="center"/>
          </w:tcPr>
          <w:p w14:paraId="657E868A">
            <w:pPr>
              <w:snapToGrid w:val="0"/>
              <w:spacing w:before="50" w:after="50"/>
              <w:jc w:val="center"/>
              <w:rPr>
                <w:rFonts w:ascii="宋体" w:hAnsi="宋体"/>
                <w:sz w:val="24"/>
              </w:rPr>
            </w:pPr>
          </w:p>
        </w:tc>
      </w:tr>
      <w:tr w14:paraId="4AA91C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267" w:type="pct"/>
            <w:tcBorders>
              <w:top w:val="single" w:color="auto" w:sz="4" w:space="0"/>
              <w:left w:val="single" w:color="auto" w:sz="4" w:space="0"/>
              <w:bottom w:val="single" w:color="auto" w:sz="4" w:space="0"/>
              <w:right w:val="single" w:color="auto" w:sz="4" w:space="0"/>
            </w:tcBorders>
            <w:vAlign w:val="center"/>
          </w:tcPr>
          <w:p w14:paraId="513A54B0">
            <w:pPr>
              <w:snapToGrid w:val="0"/>
              <w:spacing w:before="50" w:after="50"/>
              <w:jc w:val="center"/>
              <w:rPr>
                <w:rFonts w:ascii="宋体" w:hAnsi="宋体"/>
                <w:sz w:val="24"/>
              </w:rPr>
            </w:pPr>
          </w:p>
        </w:tc>
        <w:tc>
          <w:tcPr>
            <w:tcW w:w="877" w:type="pct"/>
            <w:tcBorders>
              <w:top w:val="single" w:color="auto" w:sz="4" w:space="0"/>
              <w:left w:val="single" w:color="auto" w:sz="4" w:space="0"/>
              <w:bottom w:val="single" w:color="auto" w:sz="4" w:space="0"/>
              <w:right w:val="single" w:color="auto" w:sz="4" w:space="0"/>
            </w:tcBorders>
            <w:vAlign w:val="center"/>
          </w:tcPr>
          <w:p w14:paraId="7C9F1B28">
            <w:pPr>
              <w:snapToGrid w:val="0"/>
              <w:spacing w:before="50" w:after="50"/>
              <w:jc w:val="center"/>
              <w:rPr>
                <w:rFonts w:ascii="宋体" w:hAnsi="宋体"/>
                <w:sz w:val="24"/>
              </w:rPr>
            </w:pPr>
          </w:p>
        </w:tc>
        <w:tc>
          <w:tcPr>
            <w:tcW w:w="582" w:type="pct"/>
            <w:tcBorders>
              <w:top w:val="single" w:color="auto" w:sz="4" w:space="0"/>
              <w:left w:val="single" w:color="auto" w:sz="4" w:space="0"/>
              <w:bottom w:val="single" w:color="auto" w:sz="4" w:space="0"/>
              <w:right w:val="single" w:color="auto" w:sz="4" w:space="0"/>
            </w:tcBorders>
            <w:vAlign w:val="center"/>
          </w:tcPr>
          <w:p w14:paraId="429CBC91">
            <w:pPr>
              <w:snapToGrid w:val="0"/>
              <w:spacing w:before="50" w:after="50"/>
              <w:jc w:val="center"/>
              <w:rPr>
                <w:rFonts w:ascii="宋体" w:hAnsi="宋体"/>
                <w:sz w:val="24"/>
              </w:rPr>
            </w:pPr>
          </w:p>
        </w:tc>
        <w:tc>
          <w:tcPr>
            <w:tcW w:w="415" w:type="pct"/>
            <w:tcBorders>
              <w:top w:val="single" w:color="auto" w:sz="4" w:space="0"/>
              <w:left w:val="single" w:color="auto" w:sz="4" w:space="0"/>
              <w:bottom w:val="single" w:color="auto" w:sz="4" w:space="0"/>
              <w:right w:val="single" w:color="auto" w:sz="4" w:space="0"/>
            </w:tcBorders>
            <w:vAlign w:val="center"/>
          </w:tcPr>
          <w:p w14:paraId="2B905240">
            <w:pPr>
              <w:snapToGrid w:val="0"/>
              <w:spacing w:before="50" w:after="50"/>
              <w:jc w:val="center"/>
              <w:rPr>
                <w:rFonts w:ascii="宋体" w:hAnsi="宋体"/>
                <w:sz w:val="24"/>
              </w:rPr>
            </w:pPr>
          </w:p>
        </w:tc>
        <w:tc>
          <w:tcPr>
            <w:tcW w:w="915" w:type="pct"/>
            <w:tcBorders>
              <w:top w:val="single" w:color="auto" w:sz="4" w:space="0"/>
              <w:left w:val="single" w:color="auto" w:sz="4" w:space="0"/>
              <w:bottom w:val="single" w:color="auto" w:sz="4" w:space="0"/>
              <w:right w:val="single" w:color="auto" w:sz="4" w:space="0"/>
            </w:tcBorders>
          </w:tcPr>
          <w:p w14:paraId="5A6CAA58">
            <w:pPr>
              <w:snapToGrid w:val="0"/>
              <w:spacing w:before="50" w:after="50"/>
              <w:jc w:val="center"/>
              <w:rPr>
                <w:rFonts w:ascii="宋体" w:hAnsi="宋体"/>
                <w:sz w:val="24"/>
              </w:rPr>
            </w:pPr>
          </w:p>
        </w:tc>
        <w:tc>
          <w:tcPr>
            <w:tcW w:w="696" w:type="pct"/>
            <w:tcBorders>
              <w:top w:val="single" w:color="auto" w:sz="4" w:space="0"/>
              <w:left w:val="single" w:color="auto" w:sz="4" w:space="0"/>
              <w:bottom w:val="single" w:color="auto" w:sz="4" w:space="0"/>
              <w:right w:val="single" w:color="auto" w:sz="4" w:space="0"/>
            </w:tcBorders>
            <w:vAlign w:val="center"/>
          </w:tcPr>
          <w:p w14:paraId="13B32413">
            <w:pPr>
              <w:snapToGrid w:val="0"/>
              <w:spacing w:before="50" w:after="50"/>
              <w:jc w:val="center"/>
              <w:rPr>
                <w:rFonts w:ascii="宋体" w:hAnsi="宋体"/>
                <w:sz w:val="24"/>
              </w:rPr>
            </w:pPr>
          </w:p>
        </w:tc>
        <w:tc>
          <w:tcPr>
            <w:tcW w:w="412" w:type="pct"/>
            <w:tcBorders>
              <w:top w:val="single" w:color="auto" w:sz="4" w:space="0"/>
              <w:left w:val="single" w:color="auto" w:sz="4" w:space="0"/>
              <w:bottom w:val="single" w:color="auto" w:sz="4" w:space="0"/>
              <w:right w:val="single" w:color="auto" w:sz="4" w:space="0"/>
            </w:tcBorders>
            <w:vAlign w:val="center"/>
          </w:tcPr>
          <w:p w14:paraId="7A675080">
            <w:pPr>
              <w:snapToGrid w:val="0"/>
              <w:spacing w:before="50" w:after="50"/>
              <w:jc w:val="center"/>
              <w:rPr>
                <w:rFonts w:ascii="宋体" w:hAnsi="宋体"/>
                <w:sz w:val="24"/>
              </w:rPr>
            </w:pPr>
          </w:p>
        </w:tc>
        <w:tc>
          <w:tcPr>
            <w:tcW w:w="836" w:type="pct"/>
            <w:tcBorders>
              <w:top w:val="single" w:color="auto" w:sz="4" w:space="0"/>
              <w:left w:val="single" w:color="auto" w:sz="4" w:space="0"/>
              <w:bottom w:val="single" w:color="auto" w:sz="4" w:space="0"/>
              <w:right w:val="single" w:color="auto" w:sz="4" w:space="0"/>
            </w:tcBorders>
            <w:vAlign w:val="center"/>
          </w:tcPr>
          <w:p w14:paraId="261CDCE4">
            <w:pPr>
              <w:snapToGrid w:val="0"/>
              <w:spacing w:before="50" w:after="50"/>
              <w:jc w:val="center"/>
              <w:rPr>
                <w:rFonts w:ascii="宋体" w:hAnsi="宋体"/>
                <w:sz w:val="24"/>
              </w:rPr>
            </w:pPr>
          </w:p>
        </w:tc>
      </w:tr>
      <w:tr w14:paraId="4E34D5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267" w:type="pct"/>
            <w:tcBorders>
              <w:top w:val="single" w:color="auto" w:sz="4" w:space="0"/>
              <w:left w:val="single" w:color="auto" w:sz="4" w:space="0"/>
              <w:bottom w:val="single" w:color="auto" w:sz="4" w:space="0"/>
              <w:right w:val="single" w:color="auto" w:sz="4" w:space="0"/>
            </w:tcBorders>
            <w:vAlign w:val="center"/>
          </w:tcPr>
          <w:p w14:paraId="7EC39D3B">
            <w:pPr>
              <w:snapToGrid w:val="0"/>
              <w:spacing w:before="50" w:after="50"/>
              <w:jc w:val="center"/>
              <w:rPr>
                <w:rFonts w:ascii="宋体" w:hAnsi="宋体"/>
                <w:sz w:val="24"/>
              </w:rPr>
            </w:pPr>
          </w:p>
        </w:tc>
        <w:tc>
          <w:tcPr>
            <w:tcW w:w="877" w:type="pct"/>
            <w:tcBorders>
              <w:top w:val="single" w:color="auto" w:sz="4" w:space="0"/>
              <w:left w:val="single" w:color="auto" w:sz="4" w:space="0"/>
              <w:bottom w:val="single" w:color="auto" w:sz="4" w:space="0"/>
              <w:right w:val="single" w:color="auto" w:sz="4" w:space="0"/>
            </w:tcBorders>
            <w:vAlign w:val="center"/>
          </w:tcPr>
          <w:p w14:paraId="6545159E">
            <w:pPr>
              <w:snapToGrid w:val="0"/>
              <w:spacing w:before="50" w:after="50"/>
              <w:jc w:val="center"/>
              <w:rPr>
                <w:rFonts w:ascii="宋体" w:hAnsi="宋体"/>
                <w:sz w:val="24"/>
              </w:rPr>
            </w:pPr>
          </w:p>
        </w:tc>
        <w:tc>
          <w:tcPr>
            <w:tcW w:w="582" w:type="pct"/>
            <w:tcBorders>
              <w:top w:val="single" w:color="auto" w:sz="4" w:space="0"/>
              <w:left w:val="single" w:color="auto" w:sz="4" w:space="0"/>
              <w:bottom w:val="single" w:color="auto" w:sz="4" w:space="0"/>
              <w:right w:val="single" w:color="auto" w:sz="4" w:space="0"/>
            </w:tcBorders>
            <w:vAlign w:val="center"/>
          </w:tcPr>
          <w:p w14:paraId="3F8D7C66">
            <w:pPr>
              <w:snapToGrid w:val="0"/>
              <w:spacing w:before="50" w:after="50"/>
              <w:jc w:val="center"/>
              <w:rPr>
                <w:rFonts w:ascii="宋体" w:hAnsi="宋体"/>
                <w:sz w:val="24"/>
              </w:rPr>
            </w:pPr>
          </w:p>
        </w:tc>
        <w:tc>
          <w:tcPr>
            <w:tcW w:w="415" w:type="pct"/>
            <w:tcBorders>
              <w:top w:val="single" w:color="auto" w:sz="4" w:space="0"/>
              <w:left w:val="single" w:color="auto" w:sz="4" w:space="0"/>
              <w:bottom w:val="single" w:color="auto" w:sz="4" w:space="0"/>
              <w:right w:val="single" w:color="auto" w:sz="4" w:space="0"/>
            </w:tcBorders>
            <w:vAlign w:val="center"/>
          </w:tcPr>
          <w:p w14:paraId="0B158357">
            <w:pPr>
              <w:snapToGrid w:val="0"/>
              <w:spacing w:before="50" w:after="50"/>
              <w:jc w:val="center"/>
              <w:rPr>
                <w:rFonts w:ascii="宋体" w:hAnsi="宋体"/>
                <w:sz w:val="24"/>
              </w:rPr>
            </w:pPr>
          </w:p>
        </w:tc>
        <w:tc>
          <w:tcPr>
            <w:tcW w:w="915" w:type="pct"/>
            <w:tcBorders>
              <w:top w:val="single" w:color="auto" w:sz="4" w:space="0"/>
              <w:left w:val="single" w:color="auto" w:sz="4" w:space="0"/>
              <w:bottom w:val="single" w:color="auto" w:sz="4" w:space="0"/>
              <w:right w:val="single" w:color="auto" w:sz="4" w:space="0"/>
            </w:tcBorders>
          </w:tcPr>
          <w:p w14:paraId="7316FA6C">
            <w:pPr>
              <w:snapToGrid w:val="0"/>
              <w:spacing w:before="50" w:after="50"/>
              <w:jc w:val="center"/>
              <w:rPr>
                <w:rFonts w:ascii="宋体" w:hAnsi="宋体"/>
                <w:sz w:val="24"/>
              </w:rPr>
            </w:pPr>
          </w:p>
        </w:tc>
        <w:tc>
          <w:tcPr>
            <w:tcW w:w="696" w:type="pct"/>
            <w:tcBorders>
              <w:top w:val="single" w:color="auto" w:sz="4" w:space="0"/>
              <w:left w:val="single" w:color="auto" w:sz="4" w:space="0"/>
              <w:bottom w:val="single" w:color="auto" w:sz="4" w:space="0"/>
              <w:right w:val="single" w:color="auto" w:sz="4" w:space="0"/>
            </w:tcBorders>
            <w:vAlign w:val="center"/>
          </w:tcPr>
          <w:p w14:paraId="58E92B89">
            <w:pPr>
              <w:snapToGrid w:val="0"/>
              <w:spacing w:before="50" w:after="50"/>
              <w:jc w:val="center"/>
              <w:rPr>
                <w:rFonts w:ascii="宋体" w:hAnsi="宋体"/>
                <w:sz w:val="24"/>
              </w:rPr>
            </w:pPr>
          </w:p>
        </w:tc>
        <w:tc>
          <w:tcPr>
            <w:tcW w:w="412" w:type="pct"/>
            <w:tcBorders>
              <w:top w:val="single" w:color="auto" w:sz="4" w:space="0"/>
              <w:left w:val="single" w:color="auto" w:sz="4" w:space="0"/>
              <w:bottom w:val="single" w:color="auto" w:sz="4" w:space="0"/>
              <w:right w:val="single" w:color="auto" w:sz="4" w:space="0"/>
            </w:tcBorders>
            <w:vAlign w:val="center"/>
          </w:tcPr>
          <w:p w14:paraId="09242AAF">
            <w:pPr>
              <w:snapToGrid w:val="0"/>
              <w:spacing w:before="50" w:after="50"/>
              <w:jc w:val="center"/>
              <w:rPr>
                <w:rFonts w:ascii="宋体" w:hAnsi="宋体"/>
                <w:sz w:val="24"/>
              </w:rPr>
            </w:pPr>
          </w:p>
        </w:tc>
        <w:tc>
          <w:tcPr>
            <w:tcW w:w="836" w:type="pct"/>
            <w:tcBorders>
              <w:top w:val="single" w:color="auto" w:sz="4" w:space="0"/>
              <w:left w:val="single" w:color="auto" w:sz="4" w:space="0"/>
              <w:bottom w:val="single" w:color="auto" w:sz="4" w:space="0"/>
              <w:right w:val="single" w:color="auto" w:sz="4" w:space="0"/>
            </w:tcBorders>
            <w:vAlign w:val="center"/>
          </w:tcPr>
          <w:p w14:paraId="30BCC358">
            <w:pPr>
              <w:snapToGrid w:val="0"/>
              <w:spacing w:before="50" w:after="50"/>
              <w:jc w:val="center"/>
              <w:rPr>
                <w:rFonts w:ascii="宋体" w:hAnsi="宋体"/>
                <w:sz w:val="24"/>
              </w:rPr>
            </w:pPr>
          </w:p>
        </w:tc>
      </w:tr>
    </w:tbl>
    <w:p w14:paraId="15496653">
      <w:pPr>
        <w:spacing w:line="360" w:lineRule="auto"/>
        <w:contextualSpacing/>
        <w:rPr>
          <w:rFonts w:ascii="宋体" w:hAnsi="宋体"/>
          <w:sz w:val="24"/>
        </w:rPr>
      </w:pPr>
      <w:r>
        <w:rPr>
          <w:rFonts w:hint="eastAsia" w:ascii="宋体" w:hAnsi="宋体"/>
          <w:sz w:val="24"/>
        </w:rPr>
        <w:t>备注：</w:t>
      </w:r>
    </w:p>
    <w:p w14:paraId="39F9EFA2">
      <w:pPr>
        <w:spacing w:line="360" w:lineRule="auto"/>
        <w:ind w:firstLine="480" w:firstLineChars="200"/>
        <w:contextualSpacing/>
        <w:rPr>
          <w:rFonts w:ascii="宋体" w:hAnsi="宋体"/>
          <w:b/>
          <w:sz w:val="24"/>
        </w:rPr>
      </w:pPr>
      <w:r>
        <w:rPr>
          <w:rFonts w:hint="eastAsia" w:ascii="宋体" w:hAnsi="宋体"/>
          <w:sz w:val="24"/>
        </w:rPr>
        <w:t>以上设备性能配置清单中“标的的名称、数量及单位、品牌、规格型号、制造商、原产地、参数性能、指标及配置”必须如实填写完整，品牌、规格型号没有则填无，填写有缺漏</w:t>
      </w:r>
      <w:r>
        <w:rPr>
          <w:rFonts w:hint="eastAsia" w:ascii="宋体" w:hAnsi="宋体"/>
          <w:bCs/>
          <w:sz w:val="24"/>
        </w:rPr>
        <w:t>的，</w:t>
      </w:r>
      <w:r>
        <w:rPr>
          <w:rFonts w:hint="eastAsia" w:ascii="宋体" w:hAnsi="宋体"/>
          <w:b/>
          <w:sz w:val="24"/>
        </w:rPr>
        <w:t>作无效投标处理。</w:t>
      </w:r>
      <w:r>
        <w:rPr>
          <w:rFonts w:hint="eastAsia" w:hAnsi="宋体" w:cs="Courier New"/>
          <w:sz w:val="24"/>
        </w:rPr>
        <w:t>标的的名称</w:t>
      </w:r>
      <w:r>
        <w:rPr>
          <w:rFonts w:hint="eastAsia" w:ascii="宋体" w:hAnsi="宋体"/>
          <w:sz w:val="24"/>
        </w:rPr>
        <w:t>、数量及单位、品牌必须与“开标一览表”一致，</w:t>
      </w:r>
      <w:r>
        <w:rPr>
          <w:rFonts w:hint="eastAsia" w:ascii="宋体" w:hAnsi="宋体"/>
          <w:b/>
          <w:sz w:val="24"/>
        </w:rPr>
        <w:t>否则按无效投标处理。</w:t>
      </w:r>
    </w:p>
    <w:p w14:paraId="4BC24233">
      <w:pPr>
        <w:spacing w:line="360" w:lineRule="auto"/>
        <w:ind w:firstLine="480" w:firstLineChars="200"/>
        <w:contextualSpacing/>
        <w:rPr>
          <w:rFonts w:ascii="宋体" w:hAnsi="宋体"/>
          <w:sz w:val="24"/>
        </w:rPr>
      </w:pPr>
    </w:p>
    <w:p w14:paraId="19F72322">
      <w:pPr>
        <w:spacing w:line="480" w:lineRule="auto"/>
        <w:ind w:firstLine="3920" w:firstLineChars="1400"/>
        <w:contextualSpacing/>
        <w:rPr>
          <w:rFonts w:ascii="宋体" w:hAnsi="宋体"/>
          <w:spacing w:val="20"/>
          <w:sz w:val="24"/>
        </w:rPr>
      </w:pPr>
      <w:r>
        <w:rPr>
          <w:rFonts w:hint="eastAsia" w:ascii="宋体" w:hAnsi="宋体"/>
          <w:spacing w:val="20"/>
          <w:sz w:val="24"/>
        </w:rPr>
        <w:t>投标人名称（电子签章）：</w:t>
      </w:r>
      <w:r>
        <w:rPr>
          <w:rFonts w:hint="eastAsia" w:ascii="宋体" w:hAnsi="宋体"/>
          <w:spacing w:val="20"/>
          <w:sz w:val="24"/>
          <w:u w:val="single"/>
        </w:rPr>
        <w:t xml:space="preserve">            </w:t>
      </w:r>
      <w:r>
        <w:rPr>
          <w:rFonts w:hint="eastAsia" w:ascii="宋体" w:hAnsi="宋体"/>
          <w:spacing w:val="20"/>
          <w:sz w:val="24"/>
        </w:rPr>
        <w:t xml:space="preserve">              </w:t>
      </w:r>
    </w:p>
    <w:p w14:paraId="198C21D2">
      <w:pPr>
        <w:snapToGrid w:val="0"/>
        <w:spacing w:before="50" w:after="165" w:afterLines="50" w:line="480" w:lineRule="auto"/>
        <w:ind w:firstLine="5280" w:firstLineChars="2200"/>
        <w:jc w:val="left"/>
        <w:rPr>
          <w:rFonts w:ascii="宋体" w:hAnsi="宋体"/>
          <w:sz w:val="24"/>
          <w:szCs w:val="20"/>
        </w:rPr>
      </w:pPr>
      <w:r>
        <w:rPr>
          <w:rFonts w:hint="eastAsia" w:ascii="宋体" w:hAnsi="宋体"/>
          <w:sz w:val="24"/>
        </w:rPr>
        <w:t>年    月    日</w:t>
      </w:r>
    </w:p>
    <w:p w14:paraId="115DDCA5">
      <w:pPr>
        <w:snapToGrid w:val="0"/>
        <w:spacing w:before="50" w:after="165" w:afterLines="50"/>
        <w:jc w:val="left"/>
        <w:rPr>
          <w:rFonts w:ascii="宋体" w:hAnsi="宋体"/>
          <w:sz w:val="24"/>
          <w:szCs w:val="20"/>
        </w:rPr>
      </w:pPr>
    </w:p>
    <w:p w14:paraId="0BDB7ACF">
      <w:pPr>
        <w:snapToGrid w:val="0"/>
        <w:spacing w:before="165" w:beforeLines="50" w:after="50"/>
        <w:ind w:left="142"/>
        <w:jc w:val="left"/>
        <w:rPr>
          <w:rFonts w:ascii="宋体" w:hAnsi="宋体"/>
          <w:b/>
          <w:sz w:val="24"/>
        </w:rPr>
      </w:pPr>
      <w:r>
        <w:rPr>
          <w:rFonts w:ascii="宋体" w:hAnsi="宋体"/>
          <w:b/>
          <w:sz w:val="24"/>
        </w:rPr>
        <w:br w:type="page"/>
      </w:r>
      <w:r>
        <w:rPr>
          <w:rFonts w:hint="eastAsia" w:ascii="宋体" w:hAnsi="宋体"/>
          <w:b/>
          <w:sz w:val="24"/>
        </w:rPr>
        <w:t>9. 技术要求偏离表格式</w:t>
      </w:r>
    </w:p>
    <w:p w14:paraId="222B46C7">
      <w:pPr>
        <w:snapToGrid w:val="0"/>
        <w:spacing w:before="165" w:beforeLines="50" w:after="50"/>
        <w:ind w:left="142"/>
        <w:jc w:val="left"/>
        <w:rPr>
          <w:rFonts w:ascii="宋体" w:hAnsi="宋体"/>
          <w:b/>
          <w:sz w:val="24"/>
        </w:rPr>
      </w:pPr>
    </w:p>
    <w:p w14:paraId="03AB37E7">
      <w:pPr>
        <w:snapToGrid w:val="0"/>
        <w:spacing w:before="165" w:beforeLines="50" w:after="50"/>
        <w:ind w:left="142"/>
        <w:jc w:val="center"/>
        <w:rPr>
          <w:rFonts w:ascii="宋体" w:hAnsi="宋体"/>
          <w:b/>
          <w:sz w:val="32"/>
          <w:szCs w:val="32"/>
        </w:rPr>
      </w:pPr>
      <w:r>
        <w:rPr>
          <w:rFonts w:hint="eastAsia" w:ascii="宋体" w:hAnsi="宋体"/>
          <w:b/>
          <w:sz w:val="32"/>
          <w:szCs w:val="32"/>
        </w:rPr>
        <w:t>技术要求偏离表</w:t>
      </w:r>
    </w:p>
    <w:p w14:paraId="1C77C963">
      <w:pPr>
        <w:pStyle w:val="16"/>
        <w:rPr>
          <w:rFonts w:hAnsi="宋体" w:cs="宋体"/>
          <w:sz w:val="24"/>
          <w:szCs w:val="24"/>
        </w:rPr>
      </w:pPr>
    </w:p>
    <w:tbl>
      <w:tblPr>
        <w:tblStyle w:val="26"/>
        <w:tblW w:w="9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51"/>
        <w:gridCol w:w="708"/>
        <w:gridCol w:w="1843"/>
        <w:gridCol w:w="851"/>
        <w:gridCol w:w="708"/>
        <w:gridCol w:w="1195"/>
        <w:gridCol w:w="1073"/>
        <w:gridCol w:w="1613"/>
      </w:tblGrid>
      <w:tr w14:paraId="37FB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426" w:type="dxa"/>
            <w:vMerge w:val="restart"/>
            <w:tcBorders>
              <w:top w:val="single" w:color="auto" w:sz="4" w:space="0"/>
              <w:left w:val="single" w:color="auto" w:sz="4" w:space="0"/>
              <w:bottom w:val="single" w:color="auto" w:sz="4" w:space="0"/>
              <w:right w:val="single" w:color="auto" w:sz="4" w:space="0"/>
            </w:tcBorders>
            <w:vAlign w:val="center"/>
          </w:tcPr>
          <w:p w14:paraId="29F9BF64">
            <w:pPr>
              <w:rPr>
                <w:rFonts w:ascii="宋体" w:hAnsi="宋体" w:cs="宋体"/>
                <w:szCs w:val="21"/>
              </w:rPr>
            </w:pPr>
            <w:r>
              <w:rPr>
                <w:rFonts w:hint="eastAsia" w:ascii="宋体" w:hAnsi="宋体" w:cs="宋体"/>
                <w:szCs w:val="21"/>
              </w:rPr>
              <w:t>项号</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81A0380">
            <w:pPr>
              <w:jc w:val="center"/>
              <w:rPr>
                <w:rFonts w:hint="eastAsia" w:ascii="宋体" w:hAnsi="宋体" w:eastAsia="宋体" w:cs="宋体"/>
                <w:szCs w:val="21"/>
                <w:lang w:eastAsia="zh-CN"/>
              </w:rPr>
            </w:pPr>
            <w:r>
              <w:rPr>
                <w:rFonts w:hint="eastAsia" w:ascii="宋体" w:hAnsi="宋体" w:cs="宋体"/>
                <w:szCs w:val="21"/>
              </w:rPr>
              <w:t>招标文件技术</w:t>
            </w:r>
            <w:r>
              <w:rPr>
                <w:rFonts w:hint="eastAsia" w:ascii="宋体" w:hAnsi="宋体" w:cs="宋体"/>
                <w:szCs w:val="21"/>
                <w:lang w:val="en-US" w:eastAsia="zh-CN"/>
              </w:rPr>
              <w:t>要求</w:t>
            </w:r>
          </w:p>
        </w:tc>
        <w:tc>
          <w:tcPr>
            <w:tcW w:w="3827" w:type="dxa"/>
            <w:gridSpan w:val="4"/>
            <w:tcBorders>
              <w:top w:val="single" w:color="auto" w:sz="4" w:space="0"/>
              <w:left w:val="single" w:color="auto" w:sz="4" w:space="0"/>
              <w:bottom w:val="single" w:color="auto" w:sz="4" w:space="0"/>
              <w:right w:val="single" w:color="auto" w:sz="4" w:space="0"/>
            </w:tcBorders>
            <w:vAlign w:val="center"/>
          </w:tcPr>
          <w:p w14:paraId="184D5618">
            <w:pPr>
              <w:jc w:val="center"/>
              <w:rPr>
                <w:rFonts w:ascii="宋体" w:hAnsi="宋体" w:cs="宋体"/>
                <w:szCs w:val="21"/>
              </w:rPr>
            </w:pPr>
            <w:r>
              <w:rPr>
                <w:rFonts w:hint="eastAsia" w:ascii="宋体" w:hAnsi="宋体" w:cs="宋体"/>
                <w:szCs w:val="21"/>
              </w:rPr>
              <w:t>投标文件技术参数承诺</w:t>
            </w:r>
          </w:p>
        </w:tc>
        <w:tc>
          <w:tcPr>
            <w:tcW w:w="1613" w:type="dxa"/>
            <w:tcBorders>
              <w:top w:val="single" w:color="auto" w:sz="4" w:space="0"/>
              <w:left w:val="single" w:color="auto" w:sz="4" w:space="0"/>
              <w:bottom w:val="single" w:color="auto" w:sz="4" w:space="0"/>
              <w:right w:val="single" w:color="auto" w:sz="4" w:space="0"/>
            </w:tcBorders>
            <w:vAlign w:val="center"/>
          </w:tcPr>
          <w:p w14:paraId="0AE1F4F8">
            <w:pPr>
              <w:jc w:val="center"/>
              <w:rPr>
                <w:rFonts w:ascii="宋体" w:hAnsi="宋体" w:cs="宋体"/>
                <w:szCs w:val="21"/>
              </w:rPr>
            </w:pPr>
            <w:r>
              <w:rPr>
                <w:rFonts w:hint="eastAsia" w:ascii="宋体" w:hAnsi="宋体" w:cs="宋体"/>
                <w:szCs w:val="21"/>
              </w:rPr>
              <w:t>偏离说明</w:t>
            </w:r>
          </w:p>
        </w:tc>
      </w:tr>
      <w:tr w14:paraId="1AF9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7C30691F">
            <w:pPr>
              <w:widowControl/>
              <w:jc w:val="left"/>
              <w:rPr>
                <w:rFonts w:ascii="宋体" w:hAnsi="宋体" w:cs="宋体"/>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3B80ADED">
            <w:pPr>
              <w:rPr>
                <w:rFonts w:ascii="宋体" w:hAnsi="宋体" w:cs="宋体"/>
                <w:szCs w:val="21"/>
              </w:rPr>
            </w:pPr>
            <w:r>
              <w:rPr>
                <w:rFonts w:hint="eastAsia" w:ascii="宋体" w:hAnsi="宋体" w:cs="宋体"/>
                <w:szCs w:val="21"/>
              </w:rPr>
              <w:t>货物</w:t>
            </w:r>
          </w:p>
          <w:p w14:paraId="4D742F0A">
            <w:pPr>
              <w:rPr>
                <w:rFonts w:ascii="宋体" w:hAnsi="宋体" w:cs="宋体"/>
                <w:szCs w:val="21"/>
              </w:rPr>
            </w:pPr>
            <w:r>
              <w:rPr>
                <w:rFonts w:hint="eastAsia" w:ascii="宋体" w:hAnsi="宋体" w:cs="宋体"/>
                <w:szCs w:val="21"/>
              </w:rPr>
              <w:t>名称</w:t>
            </w:r>
          </w:p>
        </w:tc>
        <w:tc>
          <w:tcPr>
            <w:tcW w:w="708" w:type="dxa"/>
            <w:tcBorders>
              <w:top w:val="single" w:color="auto" w:sz="4" w:space="0"/>
              <w:left w:val="single" w:color="auto" w:sz="4" w:space="0"/>
              <w:bottom w:val="single" w:color="auto" w:sz="4" w:space="0"/>
              <w:right w:val="single" w:color="auto" w:sz="4" w:space="0"/>
            </w:tcBorders>
            <w:vAlign w:val="center"/>
          </w:tcPr>
          <w:p w14:paraId="68509A84">
            <w:pPr>
              <w:rPr>
                <w:rFonts w:ascii="宋体" w:hAnsi="宋体" w:cs="宋体"/>
                <w:szCs w:val="21"/>
              </w:rPr>
            </w:pPr>
            <w:r>
              <w:rPr>
                <w:rFonts w:hint="eastAsia" w:ascii="宋体" w:hAnsi="宋体" w:cs="宋体"/>
                <w:szCs w:val="21"/>
              </w:rPr>
              <w:t>数量</w:t>
            </w:r>
          </w:p>
        </w:tc>
        <w:tc>
          <w:tcPr>
            <w:tcW w:w="1843" w:type="dxa"/>
            <w:tcBorders>
              <w:top w:val="single" w:color="auto" w:sz="4" w:space="0"/>
              <w:left w:val="single" w:color="auto" w:sz="4" w:space="0"/>
              <w:bottom w:val="single" w:color="auto" w:sz="4" w:space="0"/>
              <w:right w:val="single" w:color="auto" w:sz="4" w:space="0"/>
            </w:tcBorders>
            <w:vAlign w:val="center"/>
          </w:tcPr>
          <w:p w14:paraId="272FA845">
            <w:pPr>
              <w:rPr>
                <w:rFonts w:ascii="宋体" w:hAnsi="宋体" w:cs="宋体"/>
                <w:szCs w:val="21"/>
              </w:rPr>
            </w:pPr>
            <w:r>
              <w:rPr>
                <w:rFonts w:hint="eastAsia" w:ascii="宋体" w:hAnsi="宋体" w:cs="宋体"/>
                <w:szCs w:val="21"/>
              </w:rPr>
              <w:t>货物参数要求</w:t>
            </w:r>
          </w:p>
        </w:tc>
        <w:tc>
          <w:tcPr>
            <w:tcW w:w="851" w:type="dxa"/>
            <w:tcBorders>
              <w:top w:val="single" w:color="auto" w:sz="4" w:space="0"/>
              <w:left w:val="single" w:color="auto" w:sz="4" w:space="0"/>
              <w:bottom w:val="single" w:color="auto" w:sz="4" w:space="0"/>
              <w:right w:val="single" w:color="auto" w:sz="4" w:space="0"/>
            </w:tcBorders>
            <w:vAlign w:val="center"/>
          </w:tcPr>
          <w:p w14:paraId="4CEDEEAF">
            <w:pPr>
              <w:jc w:val="center"/>
              <w:rPr>
                <w:rFonts w:ascii="宋体" w:hAnsi="宋体" w:cs="宋体"/>
                <w:szCs w:val="21"/>
              </w:rPr>
            </w:pPr>
            <w:r>
              <w:rPr>
                <w:rFonts w:hint="eastAsia" w:ascii="宋体" w:hAnsi="宋体" w:cs="宋体"/>
                <w:szCs w:val="21"/>
              </w:rPr>
              <w:t>货物</w:t>
            </w:r>
          </w:p>
          <w:p w14:paraId="21B46E28">
            <w:pPr>
              <w:jc w:val="center"/>
              <w:rPr>
                <w:rFonts w:ascii="宋体" w:hAnsi="宋体" w:cs="宋体"/>
                <w:szCs w:val="21"/>
              </w:rPr>
            </w:pPr>
            <w:r>
              <w:rPr>
                <w:rFonts w:hint="eastAsia" w:ascii="宋体" w:hAnsi="宋体" w:cs="宋体"/>
                <w:szCs w:val="21"/>
              </w:rPr>
              <w:t>名称</w:t>
            </w:r>
          </w:p>
        </w:tc>
        <w:tc>
          <w:tcPr>
            <w:tcW w:w="708" w:type="dxa"/>
            <w:tcBorders>
              <w:top w:val="single" w:color="auto" w:sz="4" w:space="0"/>
              <w:left w:val="single" w:color="auto" w:sz="4" w:space="0"/>
              <w:bottom w:val="single" w:color="auto" w:sz="4" w:space="0"/>
              <w:right w:val="single" w:color="auto" w:sz="4" w:space="0"/>
            </w:tcBorders>
            <w:vAlign w:val="center"/>
          </w:tcPr>
          <w:p w14:paraId="7CA2CE80">
            <w:pPr>
              <w:jc w:val="center"/>
              <w:rPr>
                <w:rFonts w:ascii="宋体" w:hAnsi="宋体" w:cs="宋体"/>
                <w:szCs w:val="21"/>
              </w:rPr>
            </w:pPr>
            <w:r>
              <w:rPr>
                <w:rFonts w:hint="eastAsia" w:ascii="宋体" w:hAnsi="宋体" w:cs="宋体"/>
                <w:szCs w:val="21"/>
              </w:rPr>
              <w:t>数量</w:t>
            </w:r>
          </w:p>
        </w:tc>
        <w:tc>
          <w:tcPr>
            <w:tcW w:w="1195" w:type="dxa"/>
            <w:tcBorders>
              <w:top w:val="single" w:color="auto" w:sz="4" w:space="0"/>
              <w:left w:val="single" w:color="auto" w:sz="4" w:space="0"/>
              <w:bottom w:val="single" w:color="auto" w:sz="4" w:space="0"/>
              <w:right w:val="single" w:color="auto" w:sz="4" w:space="0"/>
            </w:tcBorders>
            <w:vAlign w:val="center"/>
          </w:tcPr>
          <w:p w14:paraId="72185624">
            <w:pPr>
              <w:jc w:val="center"/>
              <w:rPr>
                <w:rFonts w:ascii="宋体" w:hAnsi="宋体" w:cs="宋体"/>
                <w:szCs w:val="21"/>
              </w:rPr>
            </w:pPr>
            <w:r>
              <w:rPr>
                <w:rFonts w:hint="eastAsia" w:ascii="宋体" w:hAnsi="宋体" w:cs="宋体"/>
                <w:szCs w:val="21"/>
              </w:rPr>
              <w:t>品牌、</w:t>
            </w:r>
          </w:p>
          <w:p w14:paraId="3878C6A3">
            <w:pPr>
              <w:jc w:val="center"/>
              <w:rPr>
                <w:rFonts w:ascii="宋体" w:hAnsi="宋体" w:cs="宋体"/>
                <w:szCs w:val="21"/>
              </w:rPr>
            </w:pPr>
            <w:r>
              <w:rPr>
                <w:rFonts w:hint="eastAsia" w:ascii="宋体" w:hAnsi="宋体" w:cs="宋体"/>
                <w:szCs w:val="21"/>
              </w:rPr>
              <w:t>规格型号</w:t>
            </w:r>
          </w:p>
        </w:tc>
        <w:tc>
          <w:tcPr>
            <w:tcW w:w="1073" w:type="dxa"/>
            <w:tcBorders>
              <w:top w:val="single" w:color="auto" w:sz="4" w:space="0"/>
              <w:left w:val="single" w:color="auto" w:sz="4" w:space="0"/>
              <w:bottom w:val="single" w:color="auto" w:sz="4" w:space="0"/>
              <w:right w:val="single" w:color="auto" w:sz="4" w:space="0"/>
            </w:tcBorders>
            <w:vAlign w:val="center"/>
          </w:tcPr>
          <w:p w14:paraId="5530D95A">
            <w:pPr>
              <w:rPr>
                <w:rFonts w:ascii="宋体" w:hAnsi="宋体" w:cs="宋体"/>
                <w:szCs w:val="21"/>
              </w:rPr>
            </w:pPr>
            <w:r>
              <w:rPr>
                <w:rFonts w:hint="eastAsia" w:ascii="宋体" w:hAnsi="宋体" w:cs="宋体"/>
                <w:szCs w:val="21"/>
              </w:rPr>
              <w:t>货物参数</w:t>
            </w:r>
          </w:p>
        </w:tc>
        <w:tc>
          <w:tcPr>
            <w:tcW w:w="1613" w:type="dxa"/>
            <w:tcBorders>
              <w:top w:val="single" w:color="auto" w:sz="4" w:space="0"/>
              <w:left w:val="single" w:color="auto" w:sz="4" w:space="0"/>
              <w:bottom w:val="single" w:color="auto" w:sz="4" w:space="0"/>
              <w:right w:val="single" w:color="auto" w:sz="4" w:space="0"/>
            </w:tcBorders>
            <w:vAlign w:val="center"/>
          </w:tcPr>
          <w:p w14:paraId="2DA424BD">
            <w:pPr>
              <w:widowControl/>
              <w:jc w:val="left"/>
              <w:rPr>
                <w:rFonts w:ascii="宋体" w:hAnsi="宋体" w:cs="宋体"/>
                <w:szCs w:val="21"/>
              </w:rPr>
            </w:pPr>
          </w:p>
        </w:tc>
      </w:tr>
      <w:tr w14:paraId="42A8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426" w:type="dxa"/>
            <w:tcBorders>
              <w:top w:val="single" w:color="auto" w:sz="4" w:space="0"/>
              <w:left w:val="single" w:color="auto" w:sz="4" w:space="0"/>
              <w:bottom w:val="single" w:color="auto" w:sz="4" w:space="0"/>
              <w:right w:val="single" w:color="auto" w:sz="4" w:space="0"/>
            </w:tcBorders>
            <w:vAlign w:val="center"/>
          </w:tcPr>
          <w:p w14:paraId="233BDBAF">
            <w:pPr>
              <w:rPr>
                <w:rFonts w:ascii="宋体" w:hAnsi="宋体" w:cs="宋体"/>
                <w:szCs w:val="21"/>
              </w:rPr>
            </w:pPr>
            <w:r>
              <w:rPr>
                <w:rFonts w:hint="eastAsia" w:ascii="宋体" w:hAnsi="宋体" w:cs="宋体"/>
                <w:szCs w:val="21"/>
              </w:rPr>
              <w:t>1</w:t>
            </w:r>
          </w:p>
        </w:tc>
        <w:tc>
          <w:tcPr>
            <w:tcW w:w="851" w:type="dxa"/>
            <w:tcBorders>
              <w:top w:val="single" w:color="auto" w:sz="4" w:space="0"/>
              <w:left w:val="single" w:color="auto" w:sz="4" w:space="0"/>
              <w:bottom w:val="single" w:color="auto" w:sz="4" w:space="0"/>
              <w:right w:val="single" w:color="auto" w:sz="4" w:space="0"/>
            </w:tcBorders>
            <w:vAlign w:val="center"/>
          </w:tcPr>
          <w:p w14:paraId="2806D881">
            <w:pPr>
              <w:rPr>
                <w:rFonts w:ascii="宋体" w:hAnsi="宋体" w:cs="宋体"/>
                <w:szCs w:val="21"/>
              </w:rPr>
            </w:pPr>
            <w:r>
              <w:rPr>
                <w:rFonts w:hint="eastAsia" w:ascii="宋体" w:hAnsi="宋体" w:cs="宋体"/>
                <w:szCs w:val="21"/>
              </w:rPr>
              <w:t>……</w:t>
            </w:r>
          </w:p>
        </w:tc>
        <w:tc>
          <w:tcPr>
            <w:tcW w:w="708" w:type="dxa"/>
            <w:tcBorders>
              <w:top w:val="single" w:color="auto" w:sz="4" w:space="0"/>
              <w:left w:val="single" w:color="auto" w:sz="4" w:space="0"/>
              <w:bottom w:val="single" w:color="auto" w:sz="4" w:space="0"/>
              <w:right w:val="single" w:color="auto" w:sz="4" w:space="0"/>
            </w:tcBorders>
            <w:vAlign w:val="center"/>
          </w:tcPr>
          <w:p w14:paraId="75C7991F">
            <w:pPr>
              <w:rPr>
                <w:rFonts w:ascii="宋体" w:hAnsi="宋体" w:cs="宋体"/>
                <w:szCs w:val="21"/>
              </w:rPr>
            </w:pPr>
            <w:r>
              <w:rPr>
                <w:rFonts w:hint="eastAsia" w:ascii="宋体" w:hAnsi="宋体" w:cs="宋体"/>
                <w:szCs w:val="21"/>
              </w:rPr>
              <w:t>…</w:t>
            </w:r>
          </w:p>
        </w:tc>
        <w:tc>
          <w:tcPr>
            <w:tcW w:w="1843" w:type="dxa"/>
            <w:tcBorders>
              <w:top w:val="single" w:color="auto" w:sz="4" w:space="0"/>
              <w:left w:val="single" w:color="auto" w:sz="4" w:space="0"/>
              <w:bottom w:val="single" w:color="auto" w:sz="4" w:space="0"/>
              <w:right w:val="single" w:color="auto" w:sz="4" w:space="0"/>
            </w:tcBorders>
            <w:vAlign w:val="center"/>
          </w:tcPr>
          <w:p w14:paraId="5320A212">
            <w:pPr>
              <w:rPr>
                <w:rFonts w:ascii="宋体" w:hAnsi="宋体" w:cs="宋体"/>
                <w:szCs w:val="21"/>
              </w:rPr>
            </w:pPr>
            <w:r>
              <w:rPr>
                <w:rFonts w:hint="eastAsia" w:ascii="宋体" w:hAnsi="宋体" w:cs="宋体"/>
                <w:szCs w:val="21"/>
              </w:rPr>
              <w:t>1  ……</w:t>
            </w:r>
          </w:p>
          <w:p w14:paraId="69E62E93">
            <w:pPr>
              <w:rPr>
                <w:rFonts w:ascii="宋体" w:hAnsi="宋体" w:cs="宋体"/>
                <w:szCs w:val="21"/>
              </w:rPr>
            </w:pPr>
            <w:r>
              <w:rPr>
                <w:rFonts w:hint="eastAsia" w:ascii="宋体" w:hAnsi="宋体" w:cs="宋体"/>
                <w:szCs w:val="21"/>
              </w:rPr>
              <w:t>2  ……</w:t>
            </w:r>
          </w:p>
          <w:p w14:paraId="575205AF">
            <w:pPr>
              <w:rPr>
                <w:rFonts w:ascii="宋体" w:hAnsi="宋体" w:cs="宋体"/>
                <w:szCs w:val="21"/>
              </w:rPr>
            </w:pPr>
            <w:r>
              <w:rPr>
                <w:rFonts w:hint="eastAsia" w:ascii="宋体" w:hAnsi="宋体" w:cs="宋体"/>
                <w:szCs w:val="21"/>
              </w:rPr>
              <w:t>3  ……</w:t>
            </w:r>
          </w:p>
          <w:p w14:paraId="7B9591C9">
            <w:pPr>
              <w:rPr>
                <w:rFonts w:ascii="宋体" w:hAnsi="宋体" w:cs="宋体"/>
                <w:szCs w:val="21"/>
              </w:rPr>
            </w:pPr>
            <w:r>
              <w:rPr>
                <w:rFonts w:hint="eastAsia" w:ascii="宋体" w:hAnsi="宋体" w:cs="宋体"/>
                <w:szCs w:val="21"/>
              </w:rPr>
              <w:t>……</w:t>
            </w:r>
          </w:p>
        </w:tc>
        <w:tc>
          <w:tcPr>
            <w:tcW w:w="851" w:type="dxa"/>
            <w:tcBorders>
              <w:top w:val="single" w:color="auto" w:sz="4" w:space="0"/>
              <w:left w:val="single" w:color="auto" w:sz="4" w:space="0"/>
              <w:bottom w:val="single" w:color="auto" w:sz="4" w:space="0"/>
              <w:right w:val="single" w:color="auto" w:sz="4" w:space="0"/>
            </w:tcBorders>
            <w:vAlign w:val="center"/>
          </w:tcPr>
          <w:p w14:paraId="2220288D">
            <w:pPr>
              <w:rPr>
                <w:rFonts w:ascii="宋体" w:hAnsi="宋体" w:cs="宋体"/>
                <w:szCs w:val="21"/>
              </w:rPr>
            </w:pPr>
            <w:r>
              <w:rPr>
                <w:rFonts w:hint="eastAsia" w:ascii="宋体" w:hAnsi="宋体" w:cs="宋体"/>
                <w:szCs w:val="21"/>
              </w:rPr>
              <w:t>……</w:t>
            </w:r>
          </w:p>
        </w:tc>
        <w:tc>
          <w:tcPr>
            <w:tcW w:w="708" w:type="dxa"/>
            <w:tcBorders>
              <w:top w:val="single" w:color="auto" w:sz="4" w:space="0"/>
              <w:left w:val="single" w:color="auto" w:sz="4" w:space="0"/>
              <w:bottom w:val="single" w:color="auto" w:sz="4" w:space="0"/>
              <w:right w:val="single" w:color="auto" w:sz="4" w:space="0"/>
            </w:tcBorders>
            <w:vAlign w:val="center"/>
          </w:tcPr>
          <w:p w14:paraId="1BA186BF">
            <w:pPr>
              <w:rPr>
                <w:rFonts w:ascii="宋体" w:hAnsi="宋体" w:cs="宋体"/>
                <w:szCs w:val="21"/>
              </w:rPr>
            </w:pPr>
            <w:r>
              <w:rPr>
                <w:rFonts w:hint="eastAsia" w:ascii="宋体" w:hAnsi="宋体" w:cs="宋体"/>
                <w:szCs w:val="21"/>
              </w:rPr>
              <w:t>…</w:t>
            </w:r>
          </w:p>
        </w:tc>
        <w:tc>
          <w:tcPr>
            <w:tcW w:w="1195" w:type="dxa"/>
            <w:tcBorders>
              <w:top w:val="single" w:color="auto" w:sz="4" w:space="0"/>
              <w:left w:val="single" w:color="auto" w:sz="4" w:space="0"/>
              <w:bottom w:val="single" w:color="auto" w:sz="4" w:space="0"/>
              <w:right w:val="single" w:color="auto" w:sz="4" w:space="0"/>
            </w:tcBorders>
            <w:vAlign w:val="center"/>
          </w:tcPr>
          <w:p w14:paraId="25E3BEC0">
            <w:pPr>
              <w:rPr>
                <w:rFonts w:ascii="宋体" w:hAnsi="宋体" w:cs="宋体"/>
                <w:szCs w:val="21"/>
              </w:rPr>
            </w:pPr>
          </w:p>
        </w:tc>
        <w:tc>
          <w:tcPr>
            <w:tcW w:w="1073" w:type="dxa"/>
            <w:tcBorders>
              <w:top w:val="single" w:color="auto" w:sz="4" w:space="0"/>
              <w:left w:val="single" w:color="auto" w:sz="4" w:space="0"/>
              <w:bottom w:val="single" w:color="auto" w:sz="4" w:space="0"/>
              <w:right w:val="single" w:color="auto" w:sz="4" w:space="0"/>
            </w:tcBorders>
            <w:vAlign w:val="center"/>
          </w:tcPr>
          <w:p w14:paraId="3BCE6BAF">
            <w:pPr>
              <w:rPr>
                <w:rFonts w:ascii="宋体" w:hAnsi="宋体" w:cs="宋体"/>
                <w:szCs w:val="21"/>
              </w:rPr>
            </w:pPr>
            <w:r>
              <w:rPr>
                <w:rFonts w:hint="eastAsia" w:ascii="宋体" w:hAnsi="宋体" w:cs="宋体"/>
                <w:szCs w:val="21"/>
              </w:rPr>
              <w:t>1  ……</w:t>
            </w:r>
          </w:p>
          <w:p w14:paraId="1205D286">
            <w:pPr>
              <w:rPr>
                <w:rFonts w:ascii="宋体" w:hAnsi="宋体" w:cs="宋体"/>
                <w:szCs w:val="21"/>
              </w:rPr>
            </w:pPr>
            <w:r>
              <w:rPr>
                <w:rFonts w:hint="eastAsia" w:ascii="宋体" w:hAnsi="宋体" w:cs="宋体"/>
                <w:szCs w:val="21"/>
              </w:rPr>
              <w:t>2  ……</w:t>
            </w:r>
          </w:p>
          <w:p w14:paraId="2D32E3E8">
            <w:pPr>
              <w:rPr>
                <w:rFonts w:ascii="宋体" w:hAnsi="宋体" w:cs="宋体"/>
                <w:szCs w:val="21"/>
              </w:rPr>
            </w:pPr>
            <w:r>
              <w:rPr>
                <w:rFonts w:hint="eastAsia" w:ascii="宋体" w:hAnsi="宋体" w:cs="宋体"/>
                <w:szCs w:val="21"/>
              </w:rPr>
              <w:t>3  ……</w:t>
            </w:r>
          </w:p>
          <w:p w14:paraId="49B1F1E1">
            <w:pPr>
              <w:rPr>
                <w:rFonts w:ascii="宋体" w:hAnsi="宋体" w:cs="宋体"/>
                <w:szCs w:val="21"/>
              </w:rPr>
            </w:pPr>
            <w:r>
              <w:rPr>
                <w:rFonts w:hint="eastAsia" w:ascii="宋体" w:hAnsi="宋体" w:cs="宋体"/>
                <w:szCs w:val="21"/>
              </w:rPr>
              <w:t>……</w:t>
            </w:r>
          </w:p>
        </w:tc>
        <w:tc>
          <w:tcPr>
            <w:tcW w:w="1613" w:type="dxa"/>
            <w:tcBorders>
              <w:top w:val="single" w:color="auto" w:sz="4" w:space="0"/>
              <w:left w:val="single" w:color="auto" w:sz="4" w:space="0"/>
              <w:bottom w:val="single" w:color="auto" w:sz="4" w:space="0"/>
              <w:right w:val="single" w:color="auto" w:sz="4" w:space="0"/>
            </w:tcBorders>
            <w:vAlign w:val="center"/>
          </w:tcPr>
          <w:p w14:paraId="29EC7F72">
            <w:pPr>
              <w:rPr>
                <w:rFonts w:ascii="宋体" w:hAnsi="宋体" w:cs="宋体"/>
                <w:szCs w:val="21"/>
              </w:rPr>
            </w:pPr>
          </w:p>
        </w:tc>
      </w:tr>
      <w:tr w14:paraId="494B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426" w:type="dxa"/>
            <w:tcBorders>
              <w:top w:val="single" w:color="auto" w:sz="4" w:space="0"/>
              <w:left w:val="single" w:color="auto" w:sz="4" w:space="0"/>
              <w:bottom w:val="single" w:color="auto" w:sz="4" w:space="0"/>
              <w:right w:val="single" w:color="auto" w:sz="4" w:space="0"/>
            </w:tcBorders>
            <w:vAlign w:val="center"/>
          </w:tcPr>
          <w:p w14:paraId="239607A4">
            <w:pPr>
              <w:rPr>
                <w:rFonts w:ascii="宋体" w:hAnsi="宋体" w:cs="宋体"/>
                <w:szCs w:val="21"/>
              </w:rPr>
            </w:pPr>
            <w:r>
              <w:rPr>
                <w:rFonts w:hint="eastAsia" w:ascii="宋体" w:hAnsi="宋体" w:cs="宋体"/>
                <w:szCs w:val="21"/>
              </w:rPr>
              <w:t>2</w:t>
            </w:r>
          </w:p>
        </w:tc>
        <w:tc>
          <w:tcPr>
            <w:tcW w:w="851" w:type="dxa"/>
            <w:tcBorders>
              <w:top w:val="single" w:color="auto" w:sz="4" w:space="0"/>
              <w:left w:val="single" w:color="auto" w:sz="4" w:space="0"/>
              <w:bottom w:val="single" w:color="auto" w:sz="4" w:space="0"/>
              <w:right w:val="single" w:color="auto" w:sz="4" w:space="0"/>
            </w:tcBorders>
            <w:vAlign w:val="center"/>
          </w:tcPr>
          <w:p w14:paraId="5FE43369">
            <w:pPr>
              <w:rPr>
                <w:rFonts w:ascii="宋体" w:hAnsi="宋体" w:cs="宋体"/>
                <w:szCs w:val="21"/>
              </w:rPr>
            </w:pPr>
            <w:r>
              <w:rPr>
                <w:rFonts w:hint="eastAsia" w:ascii="宋体" w:hAnsi="宋体" w:cs="宋体"/>
                <w:szCs w:val="21"/>
              </w:rPr>
              <w:t>……</w:t>
            </w:r>
          </w:p>
        </w:tc>
        <w:tc>
          <w:tcPr>
            <w:tcW w:w="708" w:type="dxa"/>
            <w:tcBorders>
              <w:top w:val="single" w:color="auto" w:sz="4" w:space="0"/>
              <w:left w:val="single" w:color="auto" w:sz="4" w:space="0"/>
              <w:bottom w:val="single" w:color="auto" w:sz="4" w:space="0"/>
              <w:right w:val="single" w:color="auto" w:sz="4" w:space="0"/>
            </w:tcBorders>
            <w:vAlign w:val="center"/>
          </w:tcPr>
          <w:p w14:paraId="266DB38A">
            <w:pPr>
              <w:rPr>
                <w:rFonts w:ascii="宋体" w:hAnsi="宋体" w:cs="宋体"/>
                <w:szCs w:val="21"/>
              </w:rPr>
            </w:pPr>
            <w:r>
              <w:rPr>
                <w:rFonts w:hint="eastAsia" w:ascii="宋体" w:hAnsi="宋体" w:cs="宋体"/>
                <w:szCs w:val="21"/>
              </w:rPr>
              <w:t>…</w:t>
            </w:r>
          </w:p>
        </w:tc>
        <w:tc>
          <w:tcPr>
            <w:tcW w:w="1843" w:type="dxa"/>
            <w:tcBorders>
              <w:top w:val="single" w:color="auto" w:sz="4" w:space="0"/>
              <w:left w:val="single" w:color="auto" w:sz="4" w:space="0"/>
              <w:bottom w:val="single" w:color="auto" w:sz="4" w:space="0"/>
              <w:right w:val="single" w:color="auto" w:sz="4" w:space="0"/>
            </w:tcBorders>
            <w:vAlign w:val="center"/>
          </w:tcPr>
          <w:p w14:paraId="00D82A71">
            <w:pPr>
              <w:rPr>
                <w:rFonts w:ascii="宋体" w:hAnsi="宋体" w:cs="宋体"/>
                <w:szCs w:val="21"/>
              </w:rPr>
            </w:pPr>
            <w:r>
              <w:rPr>
                <w:rFonts w:hint="eastAsia" w:ascii="宋体" w:hAnsi="宋体" w:cs="宋体"/>
                <w:szCs w:val="21"/>
              </w:rPr>
              <w:t>1  ……</w:t>
            </w:r>
          </w:p>
          <w:p w14:paraId="619D90E5">
            <w:pPr>
              <w:rPr>
                <w:rFonts w:ascii="宋体" w:hAnsi="宋体" w:cs="宋体"/>
                <w:szCs w:val="21"/>
              </w:rPr>
            </w:pPr>
            <w:r>
              <w:rPr>
                <w:rFonts w:hint="eastAsia" w:ascii="宋体" w:hAnsi="宋体" w:cs="宋体"/>
                <w:szCs w:val="21"/>
              </w:rPr>
              <w:t>2  ……</w:t>
            </w:r>
          </w:p>
          <w:p w14:paraId="03D828B3">
            <w:pPr>
              <w:rPr>
                <w:rFonts w:ascii="宋体" w:hAnsi="宋体" w:cs="宋体"/>
                <w:szCs w:val="21"/>
              </w:rPr>
            </w:pPr>
            <w:r>
              <w:rPr>
                <w:rFonts w:hint="eastAsia" w:ascii="宋体" w:hAnsi="宋体" w:cs="宋体"/>
                <w:szCs w:val="21"/>
              </w:rPr>
              <w:t>3  ……</w:t>
            </w:r>
          </w:p>
          <w:p w14:paraId="73ABB140">
            <w:pPr>
              <w:rPr>
                <w:rFonts w:ascii="宋体" w:hAnsi="宋体" w:cs="宋体"/>
                <w:szCs w:val="21"/>
              </w:rPr>
            </w:pPr>
            <w:r>
              <w:rPr>
                <w:rFonts w:hint="eastAsia" w:ascii="宋体" w:hAnsi="宋体" w:cs="宋体"/>
                <w:szCs w:val="21"/>
              </w:rPr>
              <w:t>……</w:t>
            </w:r>
          </w:p>
        </w:tc>
        <w:tc>
          <w:tcPr>
            <w:tcW w:w="851" w:type="dxa"/>
            <w:tcBorders>
              <w:top w:val="single" w:color="auto" w:sz="4" w:space="0"/>
              <w:left w:val="single" w:color="auto" w:sz="4" w:space="0"/>
              <w:bottom w:val="single" w:color="auto" w:sz="4" w:space="0"/>
              <w:right w:val="single" w:color="auto" w:sz="4" w:space="0"/>
            </w:tcBorders>
            <w:vAlign w:val="center"/>
          </w:tcPr>
          <w:p w14:paraId="7572DA77">
            <w:pPr>
              <w:rPr>
                <w:rFonts w:ascii="宋体" w:hAnsi="宋体" w:cs="宋体"/>
                <w:szCs w:val="21"/>
              </w:rPr>
            </w:pPr>
            <w:r>
              <w:rPr>
                <w:rFonts w:hint="eastAsia" w:ascii="宋体" w:hAnsi="宋体" w:cs="宋体"/>
                <w:szCs w:val="21"/>
              </w:rPr>
              <w:t>……</w:t>
            </w:r>
          </w:p>
        </w:tc>
        <w:tc>
          <w:tcPr>
            <w:tcW w:w="708" w:type="dxa"/>
            <w:tcBorders>
              <w:top w:val="single" w:color="auto" w:sz="4" w:space="0"/>
              <w:left w:val="single" w:color="auto" w:sz="4" w:space="0"/>
              <w:bottom w:val="single" w:color="auto" w:sz="4" w:space="0"/>
              <w:right w:val="single" w:color="auto" w:sz="4" w:space="0"/>
            </w:tcBorders>
            <w:vAlign w:val="center"/>
          </w:tcPr>
          <w:p w14:paraId="7F0A6751">
            <w:pPr>
              <w:rPr>
                <w:rFonts w:ascii="宋体" w:hAnsi="宋体" w:cs="宋体"/>
                <w:szCs w:val="21"/>
              </w:rPr>
            </w:pPr>
            <w:r>
              <w:rPr>
                <w:rFonts w:hint="eastAsia" w:ascii="宋体" w:hAnsi="宋体" w:cs="宋体"/>
                <w:szCs w:val="21"/>
              </w:rPr>
              <w:t>…</w:t>
            </w:r>
          </w:p>
        </w:tc>
        <w:tc>
          <w:tcPr>
            <w:tcW w:w="1195" w:type="dxa"/>
            <w:tcBorders>
              <w:top w:val="single" w:color="auto" w:sz="4" w:space="0"/>
              <w:left w:val="single" w:color="auto" w:sz="4" w:space="0"/>
              <w:bottom w:val="single" w:color="auto" w:sz="4" w:space="0"/>
              <w:right w:val="single" w:color="auto" w:sz="4" w:space="0"/>
            </w:tcBorders>
            <w:vAlign w:val="center"/>
          </w:tcPr>
          <w:p w14:paraId="22DC6DE0">
            <w:pPr>
              <w:rPr>
                <w:rFonts w:ascii="宋体" w:hAnsi="宋体" w:cs="宋体"/>
                <w:szCs w:val="21"/>
              </w:rPr>
            </w:pPr>
          </w:p>
        </w:tc>
        <w:tc>
          <w:tcPr>
            <w:tcW w:w="1073" w:type="dxa"/>
            <w:tcBorders>
              <w:top w:val="single" w:color="auto" w:sz="4" w:space="0"/>
              <w:left w:val="single" w:color="auto" w:sz="4" w:space="0"/>
              <w:bottom w:val="single" w:color="auto" w:sz="4" w:space="0"/>
              <w:right w:val="single" w:color="auto" w:sz="4" w:space="0"/>
            </w:tcBorders>
            <w:vAlign w:val="center"/>
          </w:tcPr>
          <w:p w14:paraId="7F64AEBB">
            <w:pPr>
              <w:rPr>
                <w:rFonts w:ascii="宋体" w:hAnsi="宋体" w:cs="宋体"/>
                <w:szCs w:val="21"/>
              </w:rPr>
            </w:pPr>
            <w:r>
              <w:rPr>
                <w:rFonts w:hint="eastAsia" w:ascii="宋体" w:hAnsi="宋体" w:cs="宋体"/>
                <w:szCs w:val="21"/>
              </w:rPr>
              <w:t>1  ……</w:t>
            </w:r>
          </w:p>
          <w:p w14:paraId="441A87B2">
            <w:pPr>
              <w:rPr>
                <w:rFonts w:ascii="宋体" w:hAnsi="宋体" w:cs="宋体"/>
                <w:szCs w:val="21"/>
              </w:rPr>
            </w:pPr>
            <w:r>
              <w:rPr>
                <w:rFonts w:hint="eastAsia" w:ascii="宋体" w:hAnsi="宋体" w:cs="宋体"/>
                <w:szCs w:val="21"/>
              </w:rPr>
              <w:t>2  ……</w:t>
            </w:r>
          </w:p>
          <w:p w14:paraId="5DB23B32">
            <w:pPr>
              <w:rPr>
                <w:rFonts w:ascii="宋体" w:hAnsi="宋体" w:cs="宋体"/>
                <w:szCs w:val="21"/>
              </w:rPr>
            </w:pPr>
            <w:r>
              <w:rPr>
                <w:rFonts w:hint="eastAsia" w:ascii="宋体" w:hAnsi="宋体" w:cs="宋体"/>
                <w:szCs w:val="21"/>
              </w:rPr>
              <w:t>3  ……</w:t>
            </w:r>
          </w:p>
          <w:p w14:paraId="349AC993">
            <w:pPr>
              <w:rPr>
                <w:rFonts w:ascii="宋体" w:hAnsi="宋体" w:cs="宋体"/>
                <w:szCs w:val="21"/>
              </w:rPr>
            </w:pPr>
            <w:r>
              <w:rPr>
                <w:rFonts w:hint="eastAsia" w:ascii="宋体" w:hAnsi="宋体" w:cs="宋体"/>
                <w:szCs w:val="21"/>
              </w:rPr>
              <w:t>……</w:t>
            </w:r>
          </w:p>
        </w:tc>
        <w:tc>
          <w:tcPr>
            <w:tcW w:w="1613" w:type="dxa"/>
            <w:tcBorders>
              <w:top w:val="single" w:color="auto" w:sz="4" w:space="0"/>
              <w:left w:val="single" w:color="auto" w:sz="4" w:space="0"/>
              <w:bottom w:val="single" w:color="auto" w:sz="4" w:space="0"/>
              <w:right w:val="single" w:color="auto" w:sz="4" w:space="0"/>
            </w:tcBorders>
            <w:vAlign w:val="center"/>
          </w:tcPr>
          <w:p w14:paraId="5CE0E520">
            <w:pPr>
              <w:rPr>
                <w:rFonts w:ascii="宋体" w:hAnsi="宋体" w:cs="宋体"/>
                <w:szCs w:val="21"/>
              </w:rPr>
            </w:pPr>
          </w:p>
        </w:tc>
      </w:tr>
      <w:tr w14:paraId="1C2D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26" w:type="dxa"/>
            <w:tcBorders>
              <w:top w:val="single" w:color="auto" w:sz="4" w:space="0"/>
              <w:left w:val="single" w:color="auto" w:sz="4" w:space="0"/>
              <w:bottom w:val="single" w:color="auto" w:sz="4" w:space="0"/>
              <w:right w:val="single" w:color="auto" w:sz="4" w:space="0"/>
            </w:tcBorders>
            <w:vAlign w:val="center"/>
          </w:tcPr>
          <w:p w14:paraId="552830E1">
            <w:pPr>
              <w:rPr>
                <w:rFonts w:ascii="宋体" w:hAnsi="宋体" w:cs="宋体"/>
                <w:szCs w:val="21"/>
              </w:rPr>
            </w:pPr>
            <w:r>
              <w:rPr>
                <w:rFonts w:hint="eastAsia" w:ascii="宋体" w:hAnsi="宋体" w:cs="宋体"/>
                <w:szCs w:val="21"/>
              </w:rPr>
              <w:t>...</w:t>
            </w:r>
          </w:p>
        </w:tc>
        <w:tc>
          <w:tcPr>
            <w:tcW w:w="851" w:type="dxa"/>
            <w:tcBorders>
              <w:top w:val="single" w:color="auto" w:sz="4" w:space="0"/>
              <w:left w:val="single" w:color="auto" w:sz="4" w:space="0"/>
              <w:bottom w:val="single" w:color="auto" w:sz="4" w:space="0"/>
              <w:right w:val="single" w:color="auto" w:sz="4" w:space="0"/>
            </w:tcBorders>
            <w:vAlign w:val="center"/>
          </w:tcPr>
          <w:p w14:paraId="2FCD5DC4">
            <w:pPr>
              <w:rPr>
                <w:rFonts w:ascii="宋体" w:hAnsi="宋体" w:cs="宋体"/>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31DE670F">
            <w:pPr>
              <w:rPr>
                <w:rFonts w:ascii="宋体" w:hAnsi="宋体" w:cs="宋体"/>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426A6AF9">
            <w:pPr>
              <w:rPr>
                <w:rFonts w:ascii="宋体" w:hAnsi="宋体" w:cs="宋体"/>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7FB5D2E8">
            <w:pPr>
              <w:rPr>
                <w:rFonts w:ascii="宋体" w:hAnsi="宋体" w:cs="宋体"/>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39B2D537">
            <w:pPr>
              <w:rPr>
                <w:rFonts w:ascii="宋体" w:hAnsi="宋体" w:cs="宋体"/>
                <w:szCs w:val="21"/>
              </w:rPr>
            </w:pPr>
          </w:p>
        </w:tc>
        <w:tc>
          <w:tcPr>
            <w:tcW w:w="1195" w:type="dxa"/>
            <w:tcBorders>
              <w:top w:val="single" w:color="auto" w:sz="4" w:space="0"/>
              <w:left w:val="single" w:color="auto" w:sz="4" w:space="0"/>
              <w:bottom w:val="single" w:color="auto" w:sz="4" w:space="0"/>
              <w:right w:val="single" w:color="auto" w:sz="4" w:space="0"/>
            </w:tcBorders>
            <w:vAlign w:val="center"/>
          </w:tcPr>
          <w:p w14:paraId="0B647DC1">
            <w:pPr>
              <w:rPr>
                <w:rFonts w:ascii="宋体" w:hAnsi="宋体" w:cs="宋体"/>
                <w:szCs w:val="21"/>
              </w:rPr>
            </w:pPr>
          </w:p>
        </w:tc>
        <w:tc>
          <w:tcPr>
            <w:tcW w:w="1073" w:type="dxa"/>
            <w:tcBorders>
              <w:top w:val="single" w:color="auto" w:sz="4" w:space="0"/>
              <w:left w:val="single" w:color="auto" w:sz="4" w:space="0"/>
              <w:bottom w:val="single" w:color="auto" w:sz="4" w:space="0"/>
              <w:right w:val="single" w:color="auto" w:sz="4" w:space="0"/>
            </w:tcBorders>
            <w:vAlign w:val="center"/>
          </w:tcPr>
          <w:p w14:paraId="6EA7757A">
            <w:pPr>
              <w:rPr>
                <w:rFonts w:ascii="宋体" w:hAnsi="宋体" w:cs="宋体"/>
                <w:szCs w:val="21"/>
              </w:rPr>
            </w:pPr>
          </w:p>
        </w:tc>
        <w:tc>
          <w:tcPr>
            <w:tcW w:w="1613" w:type="dxa"/>
            <w:tcBorders>
              <w:top w:val="single" w:color="auto" w:sz="4" w:space="0"/>
              <w:left w:val="single" w:color="auto" w:sz="4" w:space="0"/>
              <w:bottom w:val="single" w:color="auto" w:sz="4" w:space="0"/>
              <w:right w:val="single" w:color="auto" w:sz="4" w:space="0"/>
            </w:tcBorders>
            <w:vAlign w:val="center"/>
          </w:tcPr>
          <w:p w14:paraId="55DDD5DB">
            <w:pPr>
              <w:rPr>
                <w:rFonts w:ascii="宋体" w:hAnsi="宋体" w:cs="宋体"/>
                <w:szCs w:val="21"/>
              </w:rPr>
            </w:pPr>
          </w:p>
        </w:tc>
      </w:tr>
    </w:tbl>
    <w:p w14:paraId="23C62FFC">
      <w:pPr>
        <w:pStyle w:val="16"/>
        <w:rPr>
          <w:rFonts w:hAnsi="宋体" w:cs="宋体"/>
          <w:sz w:val="24"/>
          <w:szCs w:val="24"/>
        </w:rPr>
      </w:pPr>
    </w:p>
    <w:p w14:paraId="3B56857D">
      <w:pPr>
        <w:pStyle w:val="10"/>
        <w:rPr>
          <w:rFonts w:ascii="宋体" w:hAnsi="宋体" w:cs="宋体"/>
        </w:rPr>
      </w:pPr>
      <w:r>
        <w:rPr>
          <w:rFonts w:hint="eastAsia" w:ascii="宋体" w:hAnsi="宋体" w:cs="宋体"/>
        </w:rPr>
        <w:t>注：</w:t>
      </w:r>
    </w:p>
    <w:p w14:paraId="35E1BBFB">
      <w:pPr>
        <w:pStyle w:val="13"/>
        <w:spacing w:line="360" w:lineRule="auto"/>
        <w:ind w:firstLine="464" w:firstLineChars="200"/>
        <w:rPr>
          <w:rFonts w:hAnsi="宋体" w:cs="宋体"/>
          <w:szCs w:val="32"/>
        </w:rPr>
      </w:pPr>
      <w:r>
        <w:rPr>
          <w:rFonts w:hint="eastAsia" w:hAnsi="宋体" w:cs="宋体"/>
          <w:sz w:val="24"/>
          <w:szCs w:val="24"/>
        </w:rPr>
        <w:t>1. 说明：应对照招标文件“第二章 采购需求”中的“</w:t>
      </w:r>
      <w:r>
        <w:rPr>
          <w:rFonts w:hint="eastAsia" w:hAnsi="宋体" w:cs="宋体"/>
          <w:sz w:val="24"/>
          <w:szCs w:val="24"/>
          <w:lang w:val="en-US" w:eastAsia="zh-CN"/>
        </w:rPr>
        <w:t>技术要求</w:t>
      </w:r>
      <w:r>
        <w:rPr>
          <w:rFonts w:hint="eastAsia" w:hAnsi="宋体" w:cs="宋体"/>
          <w:sz w:val="24"/>
          <w:szCs w:val="24"/>
        </w:rPr>
        <w:t>”逐条作明确的投标响应，并作出偏离说明。</w:t>
      </w:r>
    </w:p>
    <w:p w14:paraId="7B80BF89">
      <w:pPr>
        <w:pStyle w:val="10"/>
        <w:spacing w:line="360" w:lineRule="auto"/>
        <w:ind w:firstLine="480" w:firstLineChars="200"/>
        <w:rPr>
          <w:rFonts w:ascii="宋体" w:hAnsi="宋体" w:cs="宋体"/>
          <w:b w:val="0"/>
          <w:bCs w:val="0"/>
        </w:rPr>
      </w:pPr>
      <w:r>
        <w:rPr>
          <w:rFonts w:hint="eastAsia" w:ascii="宋体" w:hAnsi="宋体" w:cs="宋体"/>
          <w:b w:val="0"/>
          <w:bCs w:val="0"/>
        </w:rPr>
        <w:t>2.投标人根据投标货物的性能指标，对照招标文件技术要求，在“偏离说明”中注明“</w:t>
      </w:r>
      <w:r>
        <w:rPr>
          <w:rFonts w:hint="eastAsia" w:ascii="宋体" w:hAnsi="宋体" w:cs="宋体"/>
        </w:rPr>
        <w:t>正偏离</w:t>
      </w:r>
      <w:r>
        <w:rPr>
          <w:rFonts w:hint="eastAsia" w:ascii="宋体" w:hAnsi="宋体" w:cs="宋体"/>
          <w:b w:val="0"/>
          <w:bCs w:val="0"/>
        </w:rPr>
        <w:t>”、“</w:t>
      </w:r>
      <w:r>
        <w:rPr>
          <w:rFonts w:hint="eastAsia" w:ascii="宋体" w:hAnsi="宋体" w:cs="宋体"/>
        </w:rPr>
        <w:t>负偏离</w:t>
      </w:r>
      <w:r>
        <w:rPr>
          <w:rFonts w:hint="eastAsia" w:ascii="宋体" w:hAnsi="宋体" w:cs="宋体"/>
          <w:b w:val="0"/>
          <w:bCs w:val="0"/>
        </w:rPr>
        <w:t>”或者“</w:t>
      </w:r>
      <w:r>
        <w:rPr>
          <w:rFonts w:hint="eastAsia" w:ascii="宋体" w:hAnsi="宋体" w:cs="宋体"/>
        </w:rPr>
        <w:t>无偏离</w:t>
      </w:r>
      <w:r>
        <w:rPr>
          <w:rFonts w:hint="eastAsia" w:ascii="宋体" w:hAnsi="宋体" w:cs="宋体"/>
          <w:b w:val="0"/>
          <w:bCs w:val="0"/>
        </w:rPr>
        <w:t>”。既不属于“</w:t>
      </w:r>
      <w:r>
        <w:rPr>
          <w:rFonts w:hint="eastAsia" w:ascii="宋体" w:hAnsi="宋体" w:cs="宋体"/>
        </w:rPr>
        <w:t>正偏离</w:t>
      </w:r>
      <w:r>
        <w:rPr>
          <w:rFonts w:hint="eastAsia" w:ascii="宋体" w:hAnsi="宋体" w:cs="宋体"/>
          <w:b w:val="0"/>
          <w:bCs w:val="0"/>
        </w:rPr>
        <w:t>”也不属于“</w:t>
      </w:r>
      <w:r>
        <w:rPr>
          <w:rFonts w:hint="eastAsia" w:ascii="宋体" w:hAnsi="宋体" w:cs="宋体"/>
        </w:rPr>
        <w:t>负偏离</w:t>
      </w:r>
      <w:r>
        <w:rPr>
          <w:rFonts w:hint="eastAsia" w:ascii="宋体" w:hAnsi="宋体" w:cs="宋体"/>
          <w:b w:val="0"/>
          <w:bCs w:val="0"/>
        </w:rPr>
        <w:t>”即为“</w:t>
      </w:r>
      <w:r>
        <w:rPr>
          <w:rFonts w:hint="eastAsia" w:ascii="宋体" w:hAnsi="宋体" w:cs="宋体"/>
        </w:rPr>
        <w:t>无偏离</w:t>
      </w:r>
      <w:r>
        <w:rPr>
          <w:rFonts w:hint="eastAsia" w:ascii="宋体" w:hAnsi="宋体" w:cs="宋体"/>
          <w:b w:val="0"/>
          <w:bCs w:val="0"/>
        </w:rPr>
        <w:t>”。</w:t>
      </w:r>
    </w:p>
    <w:p w14:paraId="2400AF26">
      <w:pPr>
        <w:pStyle w:val="13"/>
        <w:spacing w:line="360" w:lineRule="auto"/>
        <w:ind w:firstLine="464" w:firstLineChars="200"/>
        <w:rPr>
          <w:rFonts w:hAnsi="宋体" w:cs="宋体"/>
          <w:sz w:val="24"/>
          <w:szCs w:val="24"/>
        </w:rPr>
      </w:pPr>
      <w:r>
        <w:rPr>
          <w:rFonts w:hint="eastAsia" w:hAnsi="宋体" w:cs="宋体"/>
          <w:sz w:val="24"/>
          <w:szCs w:val="24"/>
        </w:rPr>
        <w:t>3.投标人认为其投标响应有正偏离的，请在技术要求偏离表中列明，且在投标文件中提供投标产品的彩页或国家认可的有资质的第三方检测机构出具的检测报告复印件或产品生产厂家出具的技术参数说明证明作为佐证，以上佐证材料均需加盖生产厂家或代理商（附生产厂家授权资料）公章。</w:t>
      </w:r>
    </w:p>
    <w:p w14:paraId="023A269A">
      <w:pPr>
        <w:pStyle w:val="13"/>
        <w:spacing w:line="360" w:lineRule="auto"/>
        <w:ind w:firstLine="464" w:firstLineChars="200"/>
        <w:rPr>
          <w:rFonts w:hAnsi="宋体" w:cs="宋体"/>
          <w:sz w:val="24"/>
          <w:szCs w:val="24"/>
        </w:rPr>
      </w:pPr>
      <w:r>
        <w:rPr>
          <w:rFonts w:hint="eastAsia" w:hAnsi="宋体" w:cs="宋体"/>
          <w:sz w:val="24"/>
          <w:szCs w:val="24"/>
        </w:rPr>
        <w:t>4. 如技术要求偏离表中的投标响应与佐证材料不一致的，以佐证材料为准。</w:t>
      </w:r>
    </w:p>
    <w:p w14:paraId="6D7DE7A3">
      <w:pPr>
        <w:snapToGrid w:val="0"/>
        <w:spacing w:before="50" w:after="50" w:line="360" w:lineRule="auto"/>
        <w:rPr>
          <w:rFonts w:ascii="宋体" w:hAnsi="宋体"/>
          <w:sz w:val="24"/>
        </w:rPr>
      </w:pPr>
    </w:p>
    <w:p w14:paraId="1308FDFF">
      <w:pPr>
        <w:snapToGrid w:val="0"/>
        <w:spacing w:before="50" w:after="50" w:line="480" w:lineRule="auto"/>
        <w:ind w:firstLine="3640" w:firstLineChars="1300"/>
        <w:rPr>
          <w:rFonts w:ascii="宋体" w:hAnsi="宋体"/>
          <w:spacing w:val="20"/>
          <w:sz w:val="24"/>
        </w:rPr>
      </w:pPr>
      <w:r>
        <w:rPr>
          <w:rFonts w:hint="eastAsia" w:ascii="宋体" w:hAnsi="宋体"/>
          <w:spacing w:val="20"/>
          <w:sz w:val="24"/>
        </w:rPr>
        <w:t>投标人名称（电子签章）：</w:t>
      </w:r>
      <w:r>
        <w:rPr>
          <w:rFonts w:hint="eastAsia" w:ascii="宋体" w:hAnsi="宋体"/>
          <w:spacing w:val="20"/>
          <w:sz w:val="24"/>
          <w:u w:val="single"/>
        </w:rPr>
        <w:t xml:space="preserve">            </w:t>
      </w:r>
      <w:r>
        <w:rPr>
          <w:rFonts w:hint="eastAsia" w:ascii="宋体" w:hAnsi="宋体"/>
          <w:spacing w:val="20"/>
          <w:sz w:val="24"/>
        </w:rPr>
        <w:t xml:space="preserve">              </w:t>
      </w:r>
    </w:p>
    <w:p w14:paraId="056F4DF4">
      <w:pPr>
        <w:snapToGrid w:val="0"/>
        <w:spacing w:before="50" w:after="165" w:afterLines="50" w:line="480" w:lineRule="auto"/>
        <w:ind w:firstLine="5280" w:firstLineChars="2200"/>
        <w:jc w:val="left"/>
        <w:rPr>
          <w:rFonts w:ascii="宋体" w:hAnsi="宋体"/>
          <w:sz w:val="24"/>
          <w:szCs w:val="20"/>
        </w:rPr>
      </w:pPr>
      <w:r>
        <w:rPr>
          <w:rFonts w:hint="eastAsia" w:ascii="宋体" w:hAnsi="宋体"/>
          <w:sz w:val="24"/>
        </w:rPr>
        <w:t>年    月    日</w:t>
      </w:r>
    </w:p>
    <w:p w14:paraId="410823CE">
      <w:pPr>
        <w:snapToGrid w:val="0"/>
        <w:spacing w:before="50" w:after="50" w:line="360" w:lineRule="auto"/>
        <w:rPr>
          <w:rFonts w:ascii="宋体" w:hAnsi="宋体"/>
          <w:sz w:val="24"/>
          <w:szCs w:val="20"/>
        </w:rPr>
      </w:pPr>
    </w:p>
    <w:p w14:paraId="1BD6F85C">
      <w:pPr>
        <w:snapToGrid w:val="0"/>
        <w:spacing w:before="165" w:beforeLines="50" w:after="50"/>
        <w:ind w:left="142"/>
        <w:jc w:val="left"/>
        <w:rPr>
          <w:rFonts w:ascii="宋体" w:hAnsi="宋体"/>
          <w:b/>
          <w:sz w:val="24"/>
        </w:rPr>
      </w:pPr>
      <w:r>
        <w:rPr>
          <w:rFonts w:ascii="宋体" w:hAnsi="宋体"/>
          <w:b/>
          <w:sz w:val="24"/>
        </w:rPr>
        <w:br w:type="page"/>
      </w:r>
      <w:r>
        <w:rPr>
          <w:rFonts w:hint="eastAsia" w:ascii="宋体" w:hAnsi="宋体"/>
          <w:b/>
          <w:sz w:val="24"/>
        </w:rPr>
        <w:t>10. 项目实施人员一览表格式</w:t>
      </w:r>
    </w:p>
    <w:p w14:paraId="6A8D92F2">
      <w:pPr>
        <w:snapToGrid w:val="0"/>
        <w:spacing w:before="165" w:beforeLines="50" w:after="50"/>
        <w:ind w:left="142"/>
        <w:jc w:val="left"/>
        <w:rPr>
          <w:rFonts w:ascii="宋体" w:hAnsi="宋体"/>
          <w:b/>
          <w:sz w:val="24"/>
        </w:rPr>
      </w:pPr>
    </w:p>
    <w:p w14:paraId="4653EF60">
      <w:pPr>
        <w:snapToGrid w:val="0"/>
        <w:spacing w:before="165" w:beforeLines="50" w:after="50"/>
        <w:ind w:left="142"/>
        <w:jc w:val="center"/>
        <w:rPr>
          <w:rFonts w:ascii="宋体" w:hAnsi="宋体"/>
          <w:b/>
          <w:sz w:val="32"/>
          <w:szCs w:val="32"/>
        </w:rPr>
      </w:pPr>
      <w:r>
        <w:rPr>
          <w:rFonts w:hint="eastAsia" w:ascii="宋体" w:hAnsi="宋体"/>
          <w:b/>
          <w:sz w:val="32"/>
          <w:szCs w:val="32"/>
        </w:rPr>
        <w:t>项目实施人员一览表</w:t>
      </w:r>
    </w:p>
    <w:p w14:paraId="41DEB7D2">
      <w:pPr>
        <w:pStyle w:val="16"/>
        <w:rPr>
          <w:sz w:val="24"/>
          <w:szCs w:val="24"/>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74"/>
        <w:gridCol w:w="2685"/>
        <w:gridCol w:w="1230"/>
        <w:gridCol w:w="2130"/>
        <w:gridCol w:w="2025"/>
      </w:tblGrid>
      <w:tr w14:paraId="6560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34AA9E4">
            <w:pPr>
              <w:snapToGrid w:val="0"/>
              <w:spacing w:before="50" w:after="165" w:afterLines="50"/>
              <w:jc w:val="center"/>
              <w:rPr>
                <w:rFonts w:ascii="宋体" w:hAnsi="宋体"/>
                <w:sz w:val="24"/>
                <w:szCs w:val="20"/>
              </w:rPr>
            </w:pPr>
            <w:r>
              <w:rPr>
                <w:rFonts w:hint="eastAsia" w:ascii="宋体" w:hAnsi="宋体"/>
                <w:sz w:val="24"/>
                <w:szCs w:val="20"/>
              </w:rPr>
              <w:t>姓名</w:t>
            </w:r>
          </w:p>
        </w:tc>
        <w:tc>
          <w:tcPr>
            <w:tcW w:w="874" w:type="dxa"/>
            <w:vAlign w:val="center"/>
          </w:tcPr>
          <w:p w14:paraId="29AAC017">
            <w:pPr>
              <w:snapToGrid w:val="0"/>
              <w:spacing w:before="50" w:after="165" w:afterLines="50"/>
              <w:jc w:val="center"/>
              <w:rPr>
                <w:rFonts w:ascii="宋体" w:hAnsi="宋体"/>
                <w:sz w:val="24"/>
                <w:szCs w:val="20"/>
              </w:rPr>
            </w:pPr>
            <w:r>
              <w:rPr>
                <w:rFonts w:hint="eastAsia" w:ascii="宋体" w:hAnsi="宋体"/>
                <w:sz w:val="24"/>
                <w:szCs w:val="20"/>
              </w:rPr>
              <w:t>职务</w:t>
            </w:r>
          </w:p>
        </w:tc>
        <w:tc>
          <w:tcPr>
            <w:tcW w:w="2685" w:type="dxa"/>
            <w:vAlign w:val="center"/>
          </w:tcPr>
          <w:p w14:paraId="19745D2C">
            <w:pPr>
              <w:snapToGrid w:val="0"/>
              <w:spacing w:before="50" w:after="165" w:afterLines="50"/>
              <w:jc w:val="center"/>
              <w:rPr>
                <w:rFonts w:ascii="宋体" w:hAnsi="宋体"/>
                <w:sz w:val="24"/>
                <w:szCs w:val="20"/>
              </w:rPr>
            </w:pPr>
            <w:r>
              <w:rPr>
                <w:rFonts w:hint="eastAsia" w:ascii="宋体" w:hAnsi="宋体"/>
                <w:sz w:val="24"/>
                <w:szCs w:val="20"/>
              </w:rPr>
              <w:t>专业技术资格（职称）或者职业资格或者执业资格证或者其他证书</w:t>
            </w:r>
          </w:p>
        </w:tc>
        <w:tc>
          <w:tcPr>
            <w:tcW w:w="1230" w:type="dxa"/>
            <w:vAlign w:val="center"/>
          </w:tcPr>
          <w:p w14:paraId="4964BE7E">
            <w:pPr>
              <w:snapToGrid w:val="0"/>
              <w:spacing w:before="50" w:after="165" w:afterLines="50"/>
              <w:jc w:val="center"/>
              <w:rPr>
                <w:rFonts w:ascii="宋体" w:hAnsi="宋体"/>
                <w:sz w:val="24"/>
                <w:szCs w:val="20"/>
              </w:rPr>
            </w:pPr>
            <w:r>
              <w:rPr>
                <w:rFonts w:hint="eastAsia" w:ascii="宋体" w:hAnsi="宋体"/>
                <w:sz w:val="24"/>
                <w:szCs w:val="20"/>
              </w:rPr>
              <w:t>证书编号</w:t>
            </w:r>
          </w:p>
        </w:tc>
        <w:tc>
          <w:tcPr>
            <w:tcW w:w="2130" w:type="dxa"/>
            <w:vAlign w:val="center"/>
          </w:tcPr>
          <w:p w14:paraId="4B5F7A21">
            <w:pPr>
              <w:snapToGrid w:val="0"/>
              <w:spacing w:before="50" w:after="165" w:afterLines="50"/>
              <w:jc w:val="center"/>
              <w:rPr>
                <w:rFonts w:ascii="宋体" w:hAnsi="宋体"/>
                <w:sz w:val="24"/>
                <w:szCs w:val="20"/>
              </w:rPr>
            </w:pPr>
            <w:r>
              <w:rPr>
                <w:rFonts w:hint="eastAsia" w:ascii="宋体" w:hAnsi="宋体"/>
                <w:sz w:val="24"/>
                <w:szCs w:val="20"/>
              </w:rPr>
              <w:t>参加本单位</w:t>
            </w:r>
          </w:p>
          <w:p w14:paraId="25CB6121">
            <w:pPr>
              <w:snapToGrid w:val="0"/>
              <w:spacing w:before="50" w:after="165" w:afterLines="50"/>
              <w:jc w:val="center"/>
              <w:rPr>
                <w:rFonts w:ascii="宋体" w:hAnsi="宋体"/>
                <w:sz w:val="24"/>
                <w:szCs w:val="20"/>
              </w:rPr>
            </w:pPr>
            <w:r>
              <w:rPr>
                <w:rFonts w:hint="eastAsia" w:ascii="宋体" w:hAnsi="宋体"/>
                <w:sz w:val="24"/>
                <w:szCs w:val="20"/>
              </w:rPr>
              <w:t>工作时间</w:t>
            </w:r>
          </w:p>
        </w:tc>
        <w:tc>
          <w:tcPr>
            <w:tcW w:w="2025" w:type="dxa"/>
            <w:vAlign w:val="center"/>
          </w:tcPr>
          <w:p w14:paraId="0CEDA5F6">
            <w:pPr>
              <w:snapToGrid w:val="0"/>
              <w:spacing w:before="50" w:after="165" w:afterLines="50"/>
              <w:jc w:val="center"/>
              <w:rPr>
                <w:rFonts w:ascii="宋体" w:hAnsi="宋体"/>
                <w:sz w:val="24"/>
                <w:szCs w:val="20"/>
              </w:rPr>
            </w:pPr>
            <w:r>
              <w:rPr>
                <w:rFonts w:hint="eastAsia" w:ascii="宋体" w:hAnsi="宋体"/>
                <w:sz w:val="24"/>
                <w:szCs w:val="20"/>
              </w:rPr>
              <w:t>劳动合同编号</w:t>
            </w:r>
          </w:p>
        </w:tc>
      </w:tr>
      <w:tr w14:paraId="15923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C47AA3E">
            <w:pPr>
              <w:snapToGrid w:val="0"/>
              <w:spacing w:before="50" w:after="165" w:afterLines="50"/>
              <w:jc w:val="center"/>
              <w:rPr>
                <w:rFonts w:ascii="宋体" w:hAnsi="宋体"/>
                <w:sz w:val="24"/>
                <w:szCs w:val="20"/>
              </w:rPr>
            </w:pPr>
          </w:p>
        </w:tc>
        <w:tc>
          <w:tcPr>
            <w:tcW w:w="874" w:type="dxa"/>
            <w:vAlign w:val="center"/>
          </w:tcPr>
          <w:p w14:paraId="15DDC777">
            <w:pPr>
              <w:snapToGrid w:val="0"/>
              <w:spacing w:before="50" w:after="165" w:afterLines="50"/>
              <w:jc w:val="center"/>
              <w:rPr>
                <w:rFonts w:ascii="宋体" w:hAnsi="宋体"/>
                <w:sz w:val="24"/>
                <w:szCs w:val="20"/>
              </w:rPr>
            </w:pPr>
          </w:p>
        </w:tc>
        <w:tc>
          <w:tcPr>
            <w:tcW w:w="2685" w:type="dxa"/>
            <w:vAlign w:val="center"/>
          </w:tcPr>
          <w:p w14:paraId="36F58FB1">
            <w:pPr>
              <w:snapToGrid w:val="0"/>
              <w:spacing w:before="50" w:after="165" w:afterLines="50"/>
              <w:jc w:val="center"/>
              <w:rPr>
                <w:rFonts w:ascii="宋体" w:hAnsi="宋体"/>
                <w:sz w:val="24"/>
                <w:szCs w:val="20"/>
              </w:rPr>
            </w:pPr>
          </w:p>
        </w:tc>
        <w:tc>
          <w:tcPr>
            <w:tcW w:w="1230" w:type="dxa"/>
            <w:vAlign w:val="center"/>
          </w:tcPr>
          <w:p w14:paraId="49232F24">
            <w:pPr>
              <w:snapToGrid w:val="0"/>
              <w:spacing w:before="50" w:after="165" w:afterLines="50"/>
              <w:jc w:val="center"/>
              <w:rPr>
                <w:rFonts w:ascii="宋体" w:hAnsi="宋体"/>
                <w:sz w:val="24"/>
                <w:szCs w:val="20"/>
              </w:rPr>
            </w:pPr>
          </w:p>
        </w:tc>
        <w:tc>
          <w:tcPr>
            <w:tcW w:w="2130" w:type="dxa"/>
            <w:vAlign w:val="center"/>
          </w:tcPr>
          <w:p w14:paraId="7B114E11">
            <w:pPr>
              <w:snapToGrid w:val="0"/>
              <w:spacing w:before="50" w:after="165" w:afterLines="50"/>
              <w:jc w:val="center"/>
              <w:rPr>
                <w:rFonts w:ascii="宋体" w:hAnsi="宋体"/>
                <w:sz w:val="24"/>
                <w:szCs w:val="20"/>
              </w:rPr>
            </w:pPr>
          </w:p>
        </w:tc>
        <w:tc>
          <w:tcPr>
            <w:tcW w:w="2025" w:type="dxa"/>
            <w:vAlign w:val="center"/>
          </w:tcPr>
          <w:p w14:paraId="5C66BDEA">
            <w:pPr>
              <w:snapToGrid w:val="0"/>
              <w:spacing w:before="50" w:after="165" w:afterLines="50"/>
              <w:jc w:val="center"/>
              <w:rPr>
                <w:rFonts w:ascii="宋体" w:hAnsi="宋体"/>
                <w:sz w:val="24"/>
                <w:szCs w:val="20"/>
              </w:rPr>
            </w:pPr>
          </w:p>
        </w:tc>
      </w:tr>
      <w:tr w14:paraId="64CE5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EF75986">
            <w:pPr>
              <w:snapToGrid w:val="0"/>
              <w:spacing w:before="50" w:after="165" w:afterLines="50"/>
              <w:jc w:val="center"/>
              <w:rPr>
                <w:rFonts w:ascii="宋体" w:hAnsi="宋体"/>
                <w:sz w:val="24"/>
                <w:szCs w:val="20"/>
              </w:rPr>
            </w:pPr>
          </w:p>
        </w:tc>
        <w:tc>
          <w:tcPr>
            <w:tcW w:w="874" w:type="dxa"/>
            <w:vAlign w:val="center"/>
          </w:tcPr>
          <w:p w14:paraId="5106A85F">
            <w:pPr>
              <w:snapToGrid w:val="0"/>
              <w:spacing w:before="50" w:after="165" w:afterLines="50"/>
              <w:jc w:val="center"/>
              <w:rPr>
                <w:rFonts w:ascii="宋体" w:hAnsi="宋体"/>
                <w:sz w:val="24"/>
                <w:szCs w:val="20"/>
              </w:rPr>
            </w:pPr>
          </w:p>
        </w:tc>
        <w:tc>
          <w:tcPr>
            <w:tcW w:w="2685" w:type="dxa"/>
            <w:vAlign w:val="center"/>
          </w:tcPr>
          <w:p w14:paraId="30170E5C">
            <w:pPr>
              <w:snapToGrid w:val="0"/>
              <w:spacing w:before="50" w:after="165" w:afterLines="50"/>
              <w:jc w:val="center"/>
              <w:rPr>
                <w:rFonts w:ascii="宋体" w:hAnsi="宋体"/>
                <w:sz w:val="24"/>
                <w:szCs w:val="20"/>
              </w:rPr>
            </w:pPr>
          </w:p>
        </w:tc>
        <w:tc>
          <w:tcPr>
            <w:tcW w:w="1230" w:type="dxa"/>
            <w:vAlign w:val="center"/>
          </w:tcPr>
          <w:p w14:paraId="724834F5">
            <w:pPr>
              <w:snapToGrid w:val="0"/>
              <w:spacing w:before="50" w:after="165" w:afterLines="50"/>
              <w:jc w:val="center"/>
              <w:rPr>
                <w:rFonts w:ascii="宋体" w:hAnsi="宋体"/>
                <w:sz w:val="24"/>
                <w:szCs w:val="20"/>
              </w:rPr>
            </w:pPr>
          </w:p>
        </w:tc>
        <w:tc>
          <w:tcPr>
            <w:tcW w:w="2130" w:type="dxa"/>
            <w:vAlign w:val="center"/>
          </w:tcPr>
          <w:p w14:paraId="1435F390">
            <w:pPr>
              <w:snapToGrid w:val="0"/>
              <w:spacing w:before="50" w:after="165" w:afterLines="50"/>
              <w:jc w:val="center"/>
              <w:rPr>
                <w:rFonts w:ascii="宋体" w:hAnsi="宋体"/>
                <w:sz w:val="24"/>
                <w:szCs w:val="20"/>
              </w:rPr>
            </w:pPr>
          </w:p>
        </w:tc>
        <w:tc>
          <w:tcPr>
            <w:tcW w:w="2025" w:type="dxa"/>
            <w:vAlign w:val="center"/>
          </w:tcPr>
          <w:p w14:paraId="62F61ECC">
            <w:pPr>
              <w:snapToGrid w:val="0"/>
              <w:spacing w:before="50" w:after="165" w:afterLines="50"/>
              <w:jc w:val="center"/>
              <w:rPr>
                <w:rFonts w:ascii="宋体" w:hAnsi="宋体"/>
                <w:sz w:val="24"/>
                <w:szCs w:val="20"/>
              </w:rPr>
            </w:pPr>
          </w:p>
        </w:tc>
      </w:tr>
      <w:tr w14:paraId="7586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4B1571A">
            <w:pPr>
              <w:snapToGrid w:val="0"/>
              <w:spacing w:before="50" w:after="165" w:afterLines="50"/>
              <w:jc w:val="center"/>
              <w:rPr>
                <w:rFonts w:ascii="宋体" w:hAnsi="宋体"/>
                <w:sz w:val="24"/>
                <w:szCs w:val="20"/>
              </w:rPr>
            </w:pPr>
          </w:p>
        </w:tc>
        <w:tc>
          <w:tcPr>
            <w:tcW w:w="874" w:type="dxa"/>
            <w:vAlign w:val="center"/>
          </w:tcPr>
          <w:p w14:paraId="0F060AD2">
            <w:pPr>
              <w:snapToGrid w:val="0"/>
              <w:spacing w:before="50" w:after="165" w:afterLines="50"/>
              <w:jc w:val="center"/>
              <w:rPr>
                <w:rFonts w:ascii="宋体" w:hAnsi="宋体"/>
                <w:sz w:val="24"/>
                <w:szCs w:val="20"/>
              </w:rPr>
            </w:pPr>
          </w:p>
        </w:tc>
        <w:tc>
          <w:tcPr>
            <w:tcW w:w="2685" w:type="dxa"/>
            <w:vAlign w:val="center"/>
          </w:tcPr>
          <w:p w14:paraId="36CB999F">
            <w:pPr>
              <w:snapToGrid w:val="0"/>
              <w:spacing w:before="50" w:after="165" w:afterLines="50"/>
              <w:jc w:val="center"/>
              <w:rPr>
                <w:rFonts w:ascii="宋体" w:hAnsi="宋体"/>
                <w:sz w:val="24"/>
                <w:szCs w:val="20"/>
              </w:rPr>
            </w:pPr>
          </w:p>
        </w:tc>
        <w:tc>
          <w:tcPr>
            <w:tcW w:w="1230" w:type="dxa"/>
            <w:vAlign w:val="center"/>
          </w:tcPr>
          <w:p w14:paraId="2F4B9284">
            <w:pPr>
              <w:snapToGrid w:val="0"/>
              <w:spacing w:before="50" w:after="165" w:afterLines="50"/>
              <w:jc w:val="center"/>
              <w:rPr>
                <w:rFonts w:ascii="宋体" w:hAnsi="宋体"/>
                <w:sz w:val="24"/>
                <w:szCs w:val="20"/>
              </w:rPr>
            </w:pPr>
          </w:p>
        </w:tc>
        <w:tc>
          <w:tcPr>
            <w:tcW w:w="2130" w:type="dxa"/>
            <w:vAlign w:val="center"/>
          </w:tcPr>
          <w:p w14:paraId="12538051">
            <w:pPr>
              <w:snapToGrid w:val="0"/>
              <w:spacing w:before="50" w:after="165" w:afterLines="50"/>
              <w:jc w:val="center"/>
              <w:rPr>
                <w:rFonts w:ascii="宋体" w:hAnsi="宋体"/>
                <w:sz w:val="24"/>
                <w:szCs w:val="20"/>
              </w:rPr>
            </w:pPr>
          </w:p>
        </w:tc>
        <w:tc>
          <w:tcPr>
            <w:tcW w:w="2025" w:type="dxa"/>
            <w:vAlign w:val="center"/>
          </w:tcPr>
          <w:p w14:paraId="4ED0C8F7">
            <w:pPr>
              <w:snapToGrid w:val="0"/>
              <w:spacing w:before="50" w:after="165" w:afterLines="50"/>
              <w:jc w:val="center"/>
              <w:rPr>
                <w:rFonts w:ascii="宋体" w:hAnsi="宋体"/>
                <w:sz w:val="24"/>
                <w:szCs w:val="20"/>
              </w:rPr>
            </w:pPr>
          </w:p>
        </w:tc>
      </w:tr>
    </w:tbl>
    <w:p w14:paraId="73D50C70">
      <w:pPr>
        <w:snapToGrid w:val="0"/>
        <w:spacing w:before="50" w:after="165" w:afterLines="50"/>
        <w:jc w:val="left"/>
        <w:rPr>
          <w:rFonts w:ascii="宋体" w:hAnsi="宋体"/>
          <w:sz w:val="24"/>
          <w:szCs w:val="20"/>
        </w:rPr>
      </w:pPr>
    </w:p>
    <w:p w14:paraId="2FAC4CE3">
      <w:pPr>
        <w:spacing w:line="360" w:lineRule="auto"/>
        <w:contextualSpacing/>
        <w:jc w:val="left"/>
        <w:rPr>
          <w:rFonts w:ascii="宋体" w:hAnsi="宋体"/>
          <w:sz w:val="24"/>
          <w:szCs w:val="20"/>
        </w:rPr>
      </w:pPr>
      <w:r>
        <w:rPr>
          <w:rFonts w:hint="eastAsia" w:ascii="宋体" w:hAnsi="宋体"/>
          <w:sz w:val="24"/>
          <w:szCs w:val="20"/>
        </w:rPr>
        <w:t>注：</w:t>
      </w:r>
    </w:p>
    <w:p w14:paraId="72B60487">
      <w:pPr>
        <w:spacing w:line="360" w:lineRule="auto"/>
        <w:contextualSpacing/>
        <w:jc w:val="left"/>
        <w:rPr>
          <w:rFonts w:ascii="宋体" w:hAnsi="宋体"/>
          <w:sz w:val="24"/>
          <w:szCs w:val="20"/>
        </w:rPr>
      </w:pPr>
      <w:r>
        <w:rPr>
          <w:rFonts w:hint="eastAsia" w:ascii="宋体" w:hAnsi="宋体"/>
          <w:sz w:val="24"/>
          <w:szCs w:val="20"/>
        </w:rPr>
        <w:t>1</w:t>
      </w:r>
      <w:r>
        <w:rPr>
          <w:rFonts w:ascii="宋体" w:hAnsi="宋体"/>
          <w:sz w:val="24"/>
          <w:szCs w:val="20"/>
        </w:rPr>
        <w:t>.</w:t>
      </w:r>
      <w:r>
        <w:rPr>
          <w:rFonts w:hint="eastAsia" w:ascii="宋体" w:hAnsi="宋体"/>
          <w:sz w:val="24"/>
          <w:szCs w:val="20"/>
        </w:rPr>
        <w:t>在填写时，如本表格不适合投标单位的实际情况，可根据本表格式自行制表填写。</w:t>
      </w:r>
    </w:p>
    <w:p w14:paraId="1B5BF3C9">
      <w:pPr>
        <w:spacing w:line="360" w:lineRule="auto"/>
        <w:contextualSpacing/>
        <w:jc w:val="left"/>
        <w:rPr>
          <w:rFonts w:ascii="宋体" w:hAnsi="宋体"/>
          <w:sz w:val="24"/>
          <w:szCs w:val="20"/>
        </w:rPr>
      </w:pPr>
      <w:r>
        <w:rPr>
          <w:rFonts w:ascii="宋体" w:hAnsi="宋体"/>
          <w:sz w:val="24"/>
          <w:szCs w:val="20"/>
        </w:rPr>
        <w:t>2.</w:t>
      </w:r>
      <w:r>
        <w:rPr>
          <w:rFonts w:hint="eastAsia" w:ascii="宋体" w:hAnsi="宋体"/>
          <w:sz w:val="24"/>
          <w:szCs w:val="20"/>
        </w:rPr>
        <w:t>投标人应当附本表所列证书的复印件并加盖投标人电子签章。</w:t>
      </w:r>
    </w:p>
    <w:p w14:paraId="44A0D29C">
      <w:pPr>
        <w:spacing w:line="360" w:lineRule="auto"/>
        <w:contextualSpacing/>
        <w:jc w:val="left"/>
        <w:rPr>
          <w:rFonts w:ascii="宋体" w:hAnsi="宋体"/>
          <w:sz w:val="24"/>
          <w:szCs w:val="20"/>
        </w:rPr>
      </w:pPr>
    </w:p>
    <w:p w14:paraId="6AA20194">
      <w:pPr>
        <w:spacing w:line="360" w:lineRule="auto"/>
        <w:contextualSpacing/>
        <w:jc w:val="left"/>
        <w:rPr>
          <w:rFonts w:ascii="宋体" w:hAnsi="宋体"/>
          <w:sz w:val="24"/>
          <w:szCs w:val="20"/>
        </w:rPr>
      </w:pPr>
    </w:p>
    <w:p w14:paraId="1159BD52">
      <w:pPr>
        <w:spacing w:line="480" w:lineRule="auto"/>
        <w:ind w:firstLine="3360" w:firstLineChars="1200"/>
        <w:contextualSpacing/>
        <w:jc w:val="left"/>
        <w:rPr>
          <w:rFonts w:ascii="宋体" w:hAnsi="宋体"/>
          <w:sz w:val="24"/>
        </w:rPr>
      </w:pPr>
      <w:r>
        <w:rPr>
          <w:rFonts w:hint="eastAsia" w:ascii="宋体" w:hAnsi="宋体"/>
          <w:spacing w:val="20"/>
          <w:sz w:val="24"/>
        </w:rPr>
        <w:t>投标人名称（电子签章）：</w:t>
      </w:r>
      <w:r>
        <w:rPr>
          <w:rFonts w:hint="eastAsia" w:ascii="宋体" w:hAnsi="宋体"/>
          <w:spacing w:val="20"/>
          <w:sz w:val="24"/>
          <w:u w:val="single"/>
        </w:rPr>
        <w:t xml:space="preserve">            </w:t>
      </w:r>
      <w:r>
        <w:rPr>
          <w:rFonts w:hint="eastAsia" w:ascii="宋体" w:hAnsi="宋体"/>
          <w:spacing w:val="20"/>
          <w:sz w:val="24"/>
        </w:rPr>
        <w:t xml:space="preserve">              </w:t>
      </w:r>
    </w:p>
    <w:p w14:paraId="0CC4B4DD">
      <w:pPr>
        <w:snapToGrid w:val="0"/>
        <w:spacing w:before="50" w:after="165" w:afterLines="50" w:line="480" w:lineRule="auto"/>
        <w:ind w:firstLine="5280" w:firstLineChars="2200"/>
        <w:jc w:val="left"/>
        <w:rPr>
          <w:rFonts w:ascii="宋体" w:hAnsi="宋体"/>
          <w:sz w:val="24"/>
          <w:szCs w:val="20"/>
        </w:rPr>
      </w:pPr>
      <w:r>
        <w:rPr>
          <w:rFonts w:hint="eastAsia" w:ascii="宋体" w:hAnsi="宋体"/>
          <w:sz w:val="24"/>
        </w:rPr>
        <w:t>年    月    日</w:t>
      </w:r>
    </w:p>
    <w:p w14:paraId="151B8D00">
      <w:pPr>
        <w:snapToGrid w:val="0"/>
        <w:spacing w:before="50" w:after="165" w:afterLines="50"/>
        <w:jc w:val="left"/>
        <w:rPr>
          <w:rFonts w:ascii="宋体" w:hAnsi="宋体"/>
          <w:sz w:val="24"/>
          <w:szCs w:val="20"/>
        </w:rPr>
      </w:pPr>
    </w:p>
    <w:p w14:paraId="7D38BD3C">
      <w:pPr>
        <w:snapToGrid w:val="0"/>
        <w:spacing w:before="165" w:beforeLines="50" w:after="50" w:line="360" w:lineRule="auto"/>
        <w:ind w:left="142"/>
        <w:jc w:val="left"/>
        <w:rPr>
          <w:rFonts w:ascii="宋体" w:hAnsi="宋体"/>
          <w:b/>
          <w:sz w:val="24"/>
        </w:rPr>
      </w:pPr>
      <w:r>
        <w:rPr>
          <w:rFonts w:ascii="宋体" w:hAnsi="宋体"/>
          <w:b/>
          <w:sz w:val="24"/>
        </w:rPr>
        <w:br w:type="page"/>
      </w:r>
      <w:r>
        <w:rPr>
          <w:rFonts w:hint="eastAsia" w:ascii="宋体" w:hAnsi="宋体"/>
          <w:b/>
          <w:sz w:val="24"/>
        </w:rPr>
        <w:t>11. 选配件、专用耗材、售后服务优惠表格式（仅供参考，投标人如有相关优惠可参考下表或自行编制表格进行提交）</w:t>
      </w:r>
    </w:p>
    <w:p w14:paraId="6636C790">
      <w:pPr>
        <w:snapToGrid w:val="0"/>
        <w:spacing w:before="165" w:beforeLines="50" w:after="50"/>
        <w:ind w:left="142"/>
        <w:jc w:val="left"/>
        <w:rPr>
          <w:rFonts w:ascii="宋体" w:hAnsi="宋体"/>
          <w:b/>
          <w:sz w:val="24"/>
        </w:rPr>
      </w:pPr>
    </w:p>
    <w:p w14:paraId="71F67113">
      <w:pPr>
        <w:snapToGrid w:val="0"/>
        <w:spacing w:before="165" w:beforeLines="50" w:after="50" w:line="360" w:lineRule="auto"/>
        <w:ind w:left="142"/>
        <w:jc w:val="center"/>
        <w:rPr>
          <w:rFonts w:ascii="宋体" w:hAnsi="宋体"/>
          <w:b/>
          <w:sz w:val="32"/>
          <w:szCs w:val="32"/>
        </w:rPr>
      </w:pPr>
      <w:r>
        <w:rPr>
          <w:rFonts w:hint="eastAsia" w:ascii="宋体" w:hAnsi="宋体"/>
          <w:b/>
          <w:sz w:val="32"/>
          <w:szCs w:val="32"/>
        </w:rPr>
        <w:t>选配件、专用耗材、售后服务优惠表</w:t>
      </w:r>
    </w:p>
    <w:tbl>
      <w:tblPr>
        <w:tblStyle w:val="26"/>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35"/>
        <w:gridCol w:w="2700"/>
        <w:gridCol w:w="1440"/>
        <w:gridCol w:w="1440"/>
        <w:gridCol w:w="2987"/>
      </w:tblGrid>
      <w:tr w14:paraId="0CE921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73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B7CB2C7">
            <w:pPr>
              <w:pStyle w:val="16"/>
              <w:snapToGrid w:val="0"/>
              <w:spacing w:before="295" w:after="295"/>
              <w:jc w:val="center"/>
              <w:rPr>
                <w:rFonts w:hAnsi="宋体" w:cs="Courier New"/>
                <w:kern w:val="2"/>
                <w:sz w:val="24"/>
                <w:szCs w:val="24"/>
              </w:rPr>
            </w:pPr>
            <w:r>
              <w:rPr>
                <w:rFonts w:hint="eastAsia" w:hAnsi="宋体" w:cs="Courier New"/>
                <w:kern w:val="2"/>
                <w:sz w:val="24"/>
                <w:szCs w:val="24"/>
              </w:rPr>
              <w:t>序号</w:t>
            </w:r>
          </w:p>
        </w:tc>
        <w:tc>
          <w:tcPr>
            <w:tcW w:w="2700" w:type="dxa"/>
            <w:tcBorders>
              <w:top w:val="single" w:color="auto" w:sz="4" w:space="0"/>
              <w:left w:val="single" w:color="auto" w:sz="4" w:space="0"/>
              <w:bottom w:val="single" w:color="auto" w:sz="2" w:space="0"/>
              <w:right w:val="single" w:color="auto" w:sz="4" w:space="0"/>
            </w:tcBorders>
            <w:vAlign w:val="center"/>
          </w:tcPr>
          <w:p w14:paraId="718AD0CC">
            <w:pPr>
              <w:pStyle w:val="16"/>
              <w:snapToGrid w:val="0"/>
              <w:spacing w:before="295" w:after="295"/>
              <w:jc w:val="center"/>
              <w:rPr>
                <w:rFonts w:hAnsi="宋体" w:cs="Courier New"/>
                <w:kern w:val="2"/>
                <w:sz w:val="24"/>
                <w:szCs w:val="24"/>
              </w:rPr>
            </w:pPr>
            <w:r>
              <w:rPr>
                <w:rFonts w:hint="eastAsia" w:hAnsi="宋体" w:cs="Courier New"/>
                <w:kern w:val="2"/>
                <w:sz w:val="24"/>
                <w:szCs w:val="24"/>
              </w:rPr>
              <w:t>优惠内容</w:t>
            </w:r>
          </w:p>
        </w:tc>
        <w:tc>
          <w:tcPr>
            <w:tcW w:w="1440" w:type="dxa"/>
            <w:tcBorders>
              <w:top w:val="single" w:color="auto" w:sz="4" w:space="0"/>
              <w:left w:val="single" w:color="auto" w:sz="4" w:space="0"/>
              <w:bottom w:val="single" w:color="auto" w:sz="2" w:space="0"/>
              <w:right w:val="single" w:color="auto" w:sz="4" w:space="0"/>
            </w:tcBorders>
            <w:vAlign w:val="center"/>
          </w:tcPr>
          <w:p w14:paraId="46B0E625">
            <w:pPr>
              <w:pStyle w:val="16"/>
              <w:snapToGrid w:val="0"/>
              <w:spacing w:before="295" w:after="295"/>
              <w:jc w:val="center"/>
              <w:rPr>
                <w:rFonts w:hAnsi="宋体" w:cs="Courier New"/>
                <w:kern w:val="2"/>
                <w:sz w:val="24"/>
                <w:szCs w:val="24"/>
              </w:rPr>
            </w:pPr>
            <w:r>
              <w:rPr>
                <w:rFonts w:hint="eastAsia" w:hAnsi="宋体" w:cs="Courier New"/>
                <w:kern w:val="2"/>
                <w:sz w:val="24"/>
                <w:szCs w:val="24"/>
              </w:rPr>
              <w:t>适用机型</w:t>
            </w:r>
          </w:p>
        </w:tc>
        <w:tc>
          <w:tcPr>
            <w:tcW w:w="1440" w:type="dxa"/>
            <w:tcBorders>
              <w:top w:val="single" w:color="auto" w:sz="4" w:space="0"/>
              <w:left w:val="single" w:color="auto" w:sz="4" w:space="0"/>
              <w:bottom w:val="single" w:color="auto" w:sz="2" w:space="0"/>
              <w:right w:val="single" w:color="auto" w:sz="4" w:space="0"/>
            </w:tcBorders>
            <w:tcMar>
              <w:top w:w="15" w:type="dxa"/>
              <w:left w:w="15" w:type="dxa"/>
              <w:bottom w:w="0" w:type="dxa"/>
              <w:right w:w="15" w:type="dxa"/>
            </w:tcMar>
            <w:vAlign w:val="center"/>
          </w:tcPr>
          <w:p w14:paraId="41C95286">
            <w:pPr>
              <w:pStyle w:val="16"/>
              <w:snapToGrid w:val="0"/>
              <w:spacing w:before="295" w:after="295"/>
              <w:jc w:val="center"/>
              <w:rPr>
                <w:rFonts w:hAnsi="宋体" w:cs="Courier New"/>
                <w:kern w:val="2"/>
                <w:sz w:val="24"/>
                <w:szCs w:val="24"/>
              </w:rPr>
            </w:pPr>
            <w:r>
              <w:rPr>
                <w:rFonts w:hint="eastAsia" w:hAnsi="宋体" w:cs="Courier New"/>
                <w:kern w:val="2"/>
                <w:sz w:val="24"/>
                <w:szCs w:val="24"/>
              </w:rPr>
              <w:t>单价</w:t>
            </w:r>
          </w:p>
        </w:tc>
        <w:tc>
          <w:tcPr>
            <w:tcW w:w="2987" w:type="dxa"/>
            <w:tcBorders>
              <w:top w:val="single" w:color="auto" w:sz="4" w:space="0"/>
              <w:left w:val="single" w:color="auto" w:sz="4" w:space="0"/>
              <w:bottom w:val="single" w:color="auto" w:sz="2" w:space="0"/>
              <w:right w:val="single" w:color="auto" w:sz="4" w:space="0"/>
            </w:tcBorders>
            <w:vAlign w:val="center"/>
          </w:tcPr>
          <w:p w14:paraId="587F87AF">
            <w:pPr>
              <w:pStyle w:val="16"/>
              <w:snapToGrid w:val="0"/>
              <w:spacing w:before="295" w:after="295"/>
              <w:jc w:val="center"/>
              <w:rPr>
                <w:rFonts w:hAnsi="宋体" w:cs="Courier New"/>
                <w:kern w:val="2"/>
                <w:sz w:val="24"/>
                <w:szCs w:val="24"/>
              </w:rPr>
            </w:pPr>
            <w:r>
              <w:rPr>
                <w:rFonts w:hint="eastAsia" w:hAnsi="宋体" w:cs="Courier New"/>
                <w:kern w:val="2"/>
                <w:sz w:val="24"/>
                <w:szCs w:val="24"/>
              </w:rPr>
              <w:t>比市场价优惠率</w:t>
            </w:r>
          </w:p>
        </w:tc>
      </w:tr>
      <w:tr w14:paraId="6B309D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54AFE60D">
            <w:pPr>
              <w:pStyle w:val="16"/>
              <w:snapToGrid w:val="0"/>
              <w:spacing w:before="295" w:after="295"/>
              <w:jc w:val="center"/>
              <w:rPr>
                <w:rFonts w:hAnsi="宋体"/>
                <w:kern w:val="2"/>
                <w:sz w:val="24"/>
                <w:szCs w:val="24"/>
              </w:rPr>
            </w:pPr>
            <w:r>
              <w:rPr>
                <w:rFonts w:hint="eastAsia" w:hAnsi="宋体"/>
                <w:kern w:val="2"/>
                <w:sz w:val="24"/>
                <w:szCs w:val="24"/>
              </w:rPr>
              <w:t>1</w:t>
            </w:r>
          </w:p>
        </w:tc>
        <w:tc>
          <w:tcPr>
            <w:tcW w:w="2700" w:type="dxa"/>
            <w:tcBorders>
              <w:top w:val="single" w:color="auto" w:sz="2" w:space="0"/>
              <w:left w:val="single" w:color="auto" w:sz="2" w:space="0"/>
              <w:bottom w:val="single" w:color="auto" w:sz="6" w:space="0"/>
              <w:right w:val="single" w:color="auto" w:sz="4" w:space="0"/>
            </w:tcBorders>
            <w:vAlign w:val="center"/>
          </w:tcPr>
          <w:p w14:paraId="366BC44B">
            <w:pPr>
              <w:pStyle w:val="16"/>
              <w:snapToGrid w:val="0"/>
              <w:spacing w:before="295" w:after="295"/>
              <w:jc w:val="center"/>
              <w:rPr>
                <w:rFonts w:hAnsi="宋体"/>
                <w:kern w:val="2"/>
                <w:sz w:val="24"/>
                <w:szCs w:val="24"/>
              </w:rPr>
            </w:pPr>
          </w:p>
        </w:tc>
        <w:tc>
          <w:tcPr>
            <w:tcW w:w="1440" w:type="dxa"/>
            <w:tcBorders>
              <w:top w:val="single" w:color="auto" w:sz="2" w:space="0"/>
              <w:left w:val="single" w:color="auto" w:sz="4" w:space="0"/>
              <w:bottom w:val="single" w:color="auto" w:sz="6" w:space="0"/>
              <w:right w:val="single" w:color="auto" w:sz="6" w:space="0"/>
            </w:tcBorders>
            <w:vAlign w:val="center"/>
          </w:tcPr>
          <w:p w14:paraId="184C1FA4">
            <w:pPr>
              <w:pStyle w:val="16"/>
              <w:snapToGrid w:val="0"/>
              <w:spacing w:before="295" w:after="295"/>
              <w:jc w:val="center"/>
              <w:rPr>
                <w:rFonts w:hAnsi="宋体"/>
                <w:kern w:val="2"/>
                <w:sz w:val="24"/>
                <w:szCs w:val="24"/>
              </w:rPr>
            </w:pPr>
          </w:p>
        </w:tc>
        <w:tc>
          <w:tcPr>
            <w:tcW w:w="1440" w:type="dxa"/>
            <w:tcBorders>
              <w:top w:val="single" w:color="auto" w:sz="2" w:space="0"/>
              <w:left w:val="single" w:color="auto" w:sz="6" w:space="0"/>
              <w:bottom w:val="single" w:color="auto" w:sz="6" w:space="0"/>
              <w:right w:val="single" w:color="auto" w:sz="6" w:space="0"/>
            </w:tcBorders>
            <w:tcMar>
              <w:top w:w="15" w:type="dxa"/>
              <w:left w:w="15" w:type="dxa"/>
              <w:bottom w:w="0" w:type="dxa"/>
              <w:right w:w="15" w:type="dxa"/>
            </w:tcMar>
            <w:vAlign w:val="center"/>
          </w:tcPr>
          <w:p w14:paraId="4BBD203A">
            <w:pPr>
              <w:pStyle w:val="16"/>
              <w:snapToGrid w:val="0"/>
              <w:spacing w:before="295" w:after="295"/>
              <w:jc w:val="center"/>
              <w:rPr>
                <w:rFonts w:hAnsi="宋体"/>
                <w:kern w:val="2"/>
                <w:sz w:val="24"/>
                <w:szCs w:val="24"/>
              </w:rPr>
            </w:pPr>
          </w:p>
        </w:tc>
        <w:tc>
          <w:tcPr>
            <w:tcW w:w="2987" w:type="dxa"/>
            <w:tcBorders>
              <w:top w:val="single" w:color="auto" w:sz="2" w:space="0"/>
              <w:left w:val="single" w:color="auto" w:sz="6" w:space="0"/>
              <w:bottom w:val="single" w:color="auto" w:sz="6" w:space="0"/>
              <w:right w:val="single" w:color="auto" w:sz="2" w:space="0"/>
            </w:tcBorders>
            <w:vAlign w:val="center"/>
          </w:tcPr>
          <w:p w14:paraId="174F4459">
            <w:pPr>
              <w:pStyle w:val="16"/>
              <w:snapToGrid w:val="0"/>
              <w:spacing w:before="295" w:after="295"/>
              <w:jc w:val="center"/>
              <w:rPr>
                <w:rFonts w:hAnsi="宋体"/>
                <w:kern w:val="2"/>
                <w:sz w:val="24"/>
                <w:szCs w:val="24"/>
              </w:rPr>
            </w:pPr>
            <w:r>
              <w:rPr>
                <w:rFonts w:hint="eastAsia" w:hAnsi="宋体"/>
                <w:kern w:val="2"/>
                <w:sz w:val="24"/>
                <w:szCs w:val="24"/>
              </w:rPr>
              <w:t xml:space="preserve"> </w:t>
            </w:r>
            <w:r>
              <w:rPr>
                <w:rFonts w:hint="eastAsia" w:hAnsi="宋体"/>
                <w:kern w:val="2"/>
                <w:sz w:val="24"/>
                <w:szCs w:val="24"/>
                <w:u w:val="single"/>
              </w:rPr>
              <w:t xml:space="preserve">           </w:t>
            </w:r>
            <w:r>
              <w:rPr>
                <w:rFonts w:hint="eastAsia" w:hAnsi="宋体"/>
                <w:kern w:val="2"/>
                <w:sz w:val="24"/>
                <w:szCs w:val="24"/>
              </w:rPr>
              <w:t>%</w:t>
            </w:r>
          </w:p>
        </w:tc>
      </w:tr>
      <w:tr w14:paraId="37F30C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3BF97389">
            <w:pPr>
              <w:pStyle w:val="16"/>
              <w:snapToGrid w:val="0"/>
              <w:spacing w:before="295" w:after="295"/>
              <w:jc w:val="center"/>
              <w:rPr>
                <w:rFonts w:hAnsi="宋体"/>
                <w:kern w:val="2"/>
                <w:sz w:val="24"/>
                <w:szCs w:val="24"/>
              </w:rPr>
            </w:pPr>
            <w:r>
              <w:rPr>
                <w:rFonts w:hint="eastAsia" w:hAnsi="宋体"/>
                <w:kern w:val="2"/>
                <w:sz w:val="24"/>
                <w:szCs w:val="24"/>
              </w:rPr>
              <w:t>2</w:t>
            </w:r>
          </w:p>
        </w:tc>
        <w:tc>
          <w:tcPr>
            <w:tcW w:w="2700" w:type="dxa"/>
            <w:tcBorders>
              <w:top w:val="single" w:color="auto" w:sz="6" w:space="0"/>
              <w:left w:val="single" w:color="auto" w:sz="2" w:space="0"/>
              <w:bottom w:val="single" w:color="auto" w:sz="6" w:space="0"/>
              <w:right w:val="single" w:color="auto" w:sz="4" w:space="0"/>
            </w:tcBorders>
            <w:vAlign w:val="center"/>
          </w:tcPr>
          <w:p w14:paraId="71947942">
            <w:pPr>
              <w:pStyle w:val="16"/>
              <w:snapToGrid w:val="0"/>
              <w:spacing w:before="295" w:after="295"/>
              <w:jc w:val="center"/>
              <w:rPr>
                <w:rFonts w:hAnsi="宋体"/>
                <w:kern w:val="2"/>
                <w:sz w:val="24"/>
                <w:szCs w:val="24"/>
              </w:rPr>
            </w:pPr>
          </w:p>
        </w:tc>
        <w:tc>
          <w:tcPr>
            <w:tcW w:w="1440" w:type="dxa"/>
            <w:tcBorders>
              <w:top w:val="single" w:color="auto" w:sz="6" w:space="0"/>
              <w:left w:val="single" w:color="auto" w:sz="4" w:space="0"/>
              <w:bottom w:val="single" w:color="auto" w:sz="6" w:space="0"/>
              <w:right w:val="single" w:color="auto" w:sz="6" w:space="0"/>
            </w:tcBorders>
            <w:vAlign w:val="center"/>
          </w:tcPr>
          <w:p w14:paraId="632BB60F">
            <w:pPr>
              <w:pStyle w:val="16"/>
              <w:snapToGrid w:val="0"/>
              <w:spacing w:before="295" w:after="295"/>
              <w:jc w:val="center"/>
              <w:rPr>
                <w:rFonts w:hAnsi="宋体"/>
                <w:kern w:val="2"/>
                <w:sz w:val="24"/>
                <w:szCs w:val="24"/>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102E73CB">
            <w:pPr>
              <w:pStyle w:val="16"/>
              <w:snapToGrid w:val="0"/>
              <w:spacing w:before="295" w:after="295"/>
              <w:jc w:val="center"/>
              <w:rPr>
                <w:rFonts w:hAnsi="宋体"/>
                <w:kern w:val="2"/>
                <w:sz w:val="24"/>
                <w:szCs w:val="24"/>
              </w:rPr>
            </w:pPr>
          </w:p>
        </w:tc>
        <w:tc>
          <w:tcPr>
            <w:tcW w:w="2987" w:type="dxa"/>
            <w:tcBorders>
              <w:top w:val="single" w:color="auto" w:sz="6" w:space="0"/>
              <w:left w:val="single" w:color="auto" w:sz="6" w:space="0"/>
              <w:bottom w:val="single" w:color="auto" w:sz="6" w:space="0"/>
              <w:right w:val="single" w:color="auto" w:sz="2" w:space="0"/>
            </w:tcBorders>
            <w:vAlign w:val="center"/>
          </w:tcPr>
          <w:p w14:paraId="14FEE8AC">
            <w:pPr>
              <w:pStyle w:val="16"/>
              <w:snapToGrid w:val="0"/>
              <w:spacing w:before="295" w:after="295"/>
              <w:jc w:val="center"/>
              <w:rPr>
                <w:rFonts w:hAnsi="宋体"/>
                <w:kern w:val="2"/>
                <w:sz w:val="24"/>
                <w:szCs w:val="24"/>
              </w:rPr>
            </w:pPr>
            <w:r>
              <w:rPr>
                <w:rFonts w:hint="eastAsia" w:hAnsi="宋体"/>
                <w:kern w:val="2"/>
                <w:sz w:val="24"/>
                <w:szCs w:val="24"/>
              </w:rPr>
              <w:t xml:space="preserve"> </w:t>
            </w:r>
            <w:r>
              <w:rPr>
                <w:rFonts w:hint="eastAsia" w:hAnsi="宋体"/>
                <w:kern w:val="2"/>
                <w:sz w:val="24"/>
                <w:szCs w:val="24"/>
                <w:u w:val="single"/>
              </w:rPr>
              <w:t xml:space="preserve">           </w:t>
            </w:r>
            <w:r>
              <w:rPr>
                <w:rFonts w:hint="eastAsia" w:hAnsi="宋体"/>
                <w:kern w:val="2"/>
                <w:sz w:val="24"/>
                <w:szCs w:val="24"/>
              </w:rPr>
              <w:t>%</w:t>
            </w:r>
          </w:p>
        </w:tc>
      </w:tr>
      <w:tr w14:paraId="64F7BC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48DCD95F">
            <w:pPr>
              <w:pStyle w:val="16"/>
              <w:snapToGrid w:val="0"/>
              <w:spacing w:before="295" w:after="295"/>
              <w:jc w:val="center"/>
              <w:rPr>
                <w:rFonts w:hAnsi="宋体"/>
                <w:kern w:val="2"/>
                <w:sz w:val="24"/>
                <w:szCs w:val="24"/>
              </w:rPr>
            </w:pPr>
            <w:r>
              <w:rPr>
                <w:rFonts w:hint="eastAsia" w:hAnsi="宋体"/>
                <w:kern w:val="2"/>
                <w:sz w:val="24"/>
                <w:szCs w:val="24"/>
              </w:rPr>
              <w:t>3</w:t>
            </w:r>
          </w:p>
        </w:tc>
        <w:tc>
          <w:tcPr>
            <w:tcW w:w="2700" w:type="dxa"/>
            <w:tcBorders>
              <w:top w:val="single" w:color="auto" w:sz="6" w:space="0"/>
              <w:left w:val="single" w:color="auto" w:sz="2" w:space="0"/>
              <w:bottom w:val="single" w:color="auto" w:sz="6" w:space="0"/>
              <w:right w:val="single" w:color="auto" w:sz="4" w:space="0"/>
            </w:tcBorders>
            <w:vAlign w:val="center"/>
          </w:tcPr>
          <w:p w14:paraId="6007C820">
            <w:pPr>
              <w:pStyle w:val="16"/>
              <w:snapToGrid w:val="0"/>
              <w:spacing w:before="295" w:after="295"/>
              <w:jc w:val="center"/>
              <w:rPr>
                <w:rFonts w:hAnsi="宋体"/>
                <w:kern w:val="2"/>
                <w:sz w:val="24"/>
                <w:szCs w:val="24"/>
              </w:rPr>
            </w:pPr>
          </w:p>
        </w:tc>
        <w:tc>
          <w:tcPr>
            <w:tcW w:w="1440" w:type="dxa"/>
            <w:tcBorders>
              <w:top w:val="single" w:color="auto" w:sz="6" w:space="0"/>
              <w:left w:val="single" w:color="auto" w:sz="4" w:space="0"/>
              <w:bottom w:val="single" w:color="auto" w:sz="6" w:space="0"/>
              <w:right w:val="single" w:color="auto" w:sz="6" w:space="0"/>
            </w:tcBorders>
            <w:vAlign w:val="center"/>
          </w:tcPr>
          <w:p w14:paraId="38ED73B4">
            <w:pPr>
              <w:pStyle w:val="16"/>
              <w:snapToGrid w:val="0"/>
              <w:spacing w:before="295" w:after="295"/>
              <w:jc w:val="center"/>
              <w:rPr>
                <w:rFonts w:hAnsi="宋体"/>
                <w:kern w:val="2"/>
                <w:sz w:val="24"/>
                <w:szCs w:val="24"/>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1D0B5DAB">
            <w:pPr>
              <w:pStyle w:val="16"/>
              <w:snapToGrid w:val="0"/>
              <w:spacing w:before="295" w:after="295"/>
              <w:jc w:val="center"/>
              <w:rPr>
                <w:rFonts w:hAnsi="宋体"/>
                <w:kern w:val="2"/>
                <w:sz w:val="24"/>
                <w:szCs w:val="24"/>
              </w:rPr>
            </w:pPr>
          </w:p>
        </w:tc>
        <w:tc>
          <w:tcPr>
            <w:tcW w:w="2987" w:type="dxa"/>
            <w:tcBorders>
              <w:top w:val="single" w:color="auto" w:sz="6" w:space="0"/>
              <w:left w:val="single" w:color="auto" w:sz="6" w:space="0"/>
              <w:bottom w:val="single" w:color="auto" w:sz="6" w:space="0"/>
              <w:right w:val="single" w:color="auto" w:sz="2" w:space="0"/>
            </w:tcBorders>
            <w:vAlign w:val="center"/>
          </w:tcPr>
          <w:p w14:paraId="449224D6">
            <w:pPr>
              <w:pStyle w:val="16"/>
              <w:snapToGrid w:val="0"/>
              <w:spacing w:before="295" w:after="295"/>
              <w:jc w:val="center"/>
              <w:rPr>
                <w:rFonts w:hAnsi="宋体"/>
                <w:kern w:val="2"/>
                <w:sz w:val="24"/>
                <w:szCs w:val="24"/>
              </w:rPr>
            </w:pPr>
            <w:r>
              <w:rPr>
                <w:rFonts w:hint="eastAsia" w:hAnsi="宋体"/>
                <w:kern w:val="2"/>
                <w:sz w:val="24"/>
                <w:szCs w:val="24"/>
              </w:rPr>
              <w:t xml:space="preserve"> </w:t>
            </w:r>
            <w:r>
              <w:rPr>
                <w:rFonts w:hint="eastAsia" w:hAnsi="宋体"/>
                <w:kern w:val="2"/>
                <w:sz w:val="24"/>
                <w:szCs w:val="24"/>
                <w:u w:val="single"/>
              </w:rPr>
              <w:t xml:space="preserve">           </w:t>
            </w:r>
            <w:r>
              <w:rPr>
                <w:rFonts w:hint="eastAsia" w:hAnsi="宋体"/>
                <w:kern w:val="2"/>
                <w:sz w:val="24"/>
                <w:szCs w:val="24"/>
              </w:rPr>
              <w:t>%</w:t>
            </w:r>
          </w:p>
        </w:tc>
      </w:tr>
    </w:tbl>
    <w:p w14:paraId="797C2F3B">
      <w:pPr>
        <w:spacing w:line="360" w:lineRule="auto"/>
        <w:contextualSpacing/>
        <w:rPr>
          <w:rFonts w:ascii="宋体" w:hAnsi="宋体"/>
          <w:sz w:val="24"/>
        </w:rPr>
      </w:pPr>
    </w:p>
    <w:p w14:paraId="5D8B59A8">
      <w:pPr>
        <w:spacing w:line="360" w:lineRule="auto"/>
        <w:contextualSpacing/>
        <w:jc w:val="left"/>
        <w:rPr>
          <w:rFonts w:ascii="宋体" w:hAnsi="宋体"/>
          <w:spacing w:val="20"/>
          <w:sz w:val="24"/>
        </w:rPr>
      </w:pPr>
    </w:p>
    <w:p w14:paraId="5A221979">
      <w:pPr>
        <w:spacing w:line="360" w:lineRule="auto"/>
        <w:contextualSpacing/>
        <w:jc w:val="left"/>
        <w:rPr>
          <w:rFonts w:ascii="宋体" w:hAnsi="宋体"/>
          <w:spacing w:val="20"/>
          <w:sz w:val="24"/>
        </w:rPr>
      </w:pPr>
    </w:p>
    <w:p w14:paraId="5D19FE87">
      <w:pPr>
        <w:spacing w:line="480" w:lineRule="auto"/>
        <w:ind w:firstLine="3360" w:firstLineChars="1200"/>
        <w:contextualSpacing/>
        <w:jc w:val="left"/>
        <w:rPr>
          <w:rFonts w:ascii="宋体" w:hAnsi="宋体"/>
          <w:sz w:val="24"/>
        </w:rPr>
      </w:pPr>
      <w:r>
        <w:rPr>
          <w:rFonts w:hint="eastAsia" w:ascii="宋体" w:hAnsi="宋体"/>
          <w:spacing w:val="20"/>
          <w:sz w:val="24"/>
        </w:rPr>
        <w:t>标人名称（电子签章）：</w:t>
      </w:r>
      <w:r>
        <w:rPr>
          <w:rFonts w:hint="eastAsia" w:ascii="宋体" w:hAnsi="宋体"/>
          <w:spacing w:val="20"/>
          <w:sz w:val="24"/>
          <w:u w:val="single"/>
        </w:rPr>
        <w:t xml:space="preserve">            </w:t>
      </w:r>
      <w:r>
        <w:rPr>
          <w:rFonts w:hint="eastAsia" w:ascii="宋体" w:hAnsi="宋体"/>
          <w:spacing w:val="20"/>
          <w:sz w:val="24"/>
        </w:rPr>
        <w:t xml:space="preserve">              </w:t>
      </w:r>
    </w:p>
    <w:p w14:paraId="035435F2">
      <w:pPr>
        <w:snapToGrid w:val="0"/>
        <w:spacing w:before="50" w:after="165" w:afterLines="50" w:line="480" w:lineRule="auto"/>
        <w:ind w:firstLine="5280" w:firstLineChars="2200"/>
        <w:jc w:val="left"/>
        <w:rPr>
          <w:rFonts w:ascii="宋体" w:hAnsi="宋体"/>
          <w:sz w:val="24"/>
          <w:szCs w:val="20"/>
        </w:rPr>
      </w:pPr>
      <w:r>
        <w:rPr>
          <w:rFonts w:hint="eastAsia" w:ascii="宋体" w:hAnsi="宋体"/>
          <w:sz w:val="24"/>
        </w:rPr>
        <w:t>年    月    日</w:t>
      </w:r>
    </w:p>
    <w:p w14:paraId="3BF9A8C7">
      <w:pPr>
        <w:snapToGrid w:val="0"/>
        <w:spacing w:before="50" w:after="165" w:afterLines="50"/>
        <w:jc w:val="left"/>
        <w:rPr>
          <w:rFonts w:ascii="宋体" w:hAnsi="宋体"/>
          <w:sz w:val="24"/>
          <w:szCs w:val="20"/>
        </w:rPr>
      </w:pPr>
    </w:p>
    <w:p w14:paraId="1581FEE3">
      <w:pPr>
        <w:rPr>
          <w:b/>
          <w:sz w:val="28"/>
          <w:szCs w:val="28"/>
        </w:rPr>
      </w:pPr>
      <w:r>
        <w:rPr>
          <w:rFonts w:ascii="宋体" w:hAnsi="宋体"/>
          <w:b/>
          <w:bCs/>
          <w:sz w:val="24"/>
        </w:rPr>
        <w:br w:type="page"/>
      </w:r>
      <w:r>
        <w:rPr>
          <w:rFonts w:hint="eastAsia"/>
          <w:b/>
          <w:sz w:val="28"/>
          <w:szCs w:val="28"/>
        </w:rPr>
        <w:t>四、其他文书、文件格式</w:t>
      </w:r>
    </w:p>
    <w:p w14:paraId="5C26375B">
      <w:pPr>
        <w:snapToGrid w:val="0"/>
        <w:spacing w:before="165" w:beforeLines="50" w:after="50"/>
        <w:jc w:val="left"/>
      </w:pPr>
      <w:r>
        <w:rPr>
          <w:rFonts w:hint="eastAsia" w:ascii="宋体" w:hAnsi="宋体"/>
          <w:b/>
          <w:sz w:val="24"/>
        </w:rPr>
        <w:t>1.中小企业声明函格式</w:t>
      </w:r>
    </w:p>
    <w:p w14:paraId="10ECA2FE"/>
    <w:p w14:paraId="185D5512">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中小企业声明函（货物）</w:t>
      </w:r>
    </w:p>
    <w:p w14:paraId="69768266">
      <w:pPr>
        <w:spacing w:before="2" w:line="500" w:lineRule="exact"/>
        <w:rPr>
          <w:rFonts w:ascii="宋体" w:hAnsi="宋体" w:cs="宋体"/>
          <w:b/>
          <w:bCs/>
          <w:sz w:val="27"/>
          <w:szCs w:val="27"/>
        </w:rPr>
      </w:pPr>
    </w:p>
    <w:p w14:paraId="3A7C6267">
      <w:pPr>
        <w:pStyle w:val="11"/>
        <w:spacing w:line="360" w:lineRule="auto"/>
        <w:ind w:left="-426" w:leftChars="-203" w:right="142" w:firstLine="480" w:firstLineChars="200"/>
        <w:contextualSpacing/>
        <w:rPr>
          <w:rFonts w:ascii="宋体" w:hAnsi="宋体"/>
          <w:kern w:val="24"/>
        </w:rPr>
      </w:pPr>
      <w:r>
        <w:rPr>
          <w:rFonts w:ascii="宋体" w:hAnsi="宋体"/>
          <w:kern w:val="24"/>
        </w:rPr>
        <w:t>本公司（联合体）郑重声明，根据《政府采购促进中小企业发展管理办法》（财库﹝2020﹞46号）的规定，本公司（联合体）参加</w:t>
      </w:r>
      <w:r>
        <w:rPr>
          <w:rFonts w:ascii="宋体" w:hAnsi="宋体"/>
          <w:kern w:val="24"/>
          <w:u w:val="single"/>
        </w:rPr>
        <w:t>（单位名称）</w:t>
      </w:r>
      <w:r>
        <w:rPr>
          <w:rFonts w:ascii="宋体" w:hAnsi="宋体"/>
          <w:kern w:val="24"/>
        </w:rPr>
        <w:t>的</w:t>
      </w:r>
      <w:r>
        <w:rPr>
          <w:rFonts w:ascii="宋体" w:hAnsi="宋体"/>
          <w:kern w:val="24"/>
          <w:u w:val="single"/>
        </w:rPr>
        <w:t>（项目名称）</w:t>
      </w:r>
      <w:r>
        <w:rPr>
          <w:rFonts w:ascii="宋体" w:hAnsi="宋体"/>
          <w:kern w:val="24"/>
        </w:rPr>
        <w:t>采购活动，提供的货物全部由符合政策要求的中小企业制造。相关企业（含联合体中的中小企业、签订分包意向协议的中小企业）的具体情况如下：</w:t>
      </w:r>
    </w:p>
    <w:p w14:paraId="2C4098B3">
      <w:pPr>
        <w:tabs>
          <w:tab w:val="left" w:pos="1384"/>
          <w:tab w:val="left" w:pos="4562"/>
          <w:tab w:val="left" w:pos="6803"/>
        </w:tabs>
        <w:spacing w:line="360" w:lineRule="auto"/>
        <w:ind w:left="-426" w:right="-58" w:firstLine="655"/>
        <w:contextualSpacing/>
        <w:rPr>
          <w:rFonts w:ascii="宋体" w:hAnsi="宋体"/>
          <w:kern w:val="24"/>
          <w:sz w:val="24"/>
        </w:rPr>
      </w:pPr>
      <w:r>
        <w:rPr>
          <w:rFonts w:ascii="宋体" w:hAnsi="宋体"/>
          <w:kern w:val="24"/>
          <w:sz w:val="24"/>
        </w:rPr>
        <w:t>1.</w:t>
      </w:r>
      <w:r>
        <w:rPr>
          <w:rFonts w:ascii="宋体" w:hAnsi="宋体"/>
          <w:kern w:val="24"/>
          <w:sz w:val="24"/>
          <w:u w:val="single"/>
        </w:rPr>
        <w:t>（标的名称）</w:t>
      </w:r>
      <w:r>
        <w:rPr>
          <w:rFonts w:ascii="宋体" w:hAnsi="宋体"/>
          <w:kern w:val="24"/>
          <w:sz w:val="24"/>
        </w:rPr>
        <w:t>，属于</w:t>
      </w:r>
      <w:r>
        <w:rPr>
          <w:rFonts w:ascii="宋体" w:hAnsi="宋体"/>
          <w:kern w:val="24"/>
          <w:sz w:val="24"/>
          <w:u w:val="single"/>
        </w:rPr>
        <w:t>（采购文件中明确的所属行业）</w:t>
      </w:r>
      <w:r>
        <w:rPr>
          <w:rFonts w:ascii="宋体" w:hAnsi="宋体"/>
          <w:kern w:val="24"/>
          <w:sz w:val="24"/>
        </w:rPr>
        <w:t>行业；制造商为</w:t>
      </w:r>
      <w:r>
        <w:rPr>
          <w:rFonts w:ascii="宋体" w:hAnsi="宋体"/>
          <w:kern w:val="24"/>
          <w:sz w:val="24"/>
          <w:u w:val="single"/>
        </w:rPr>
        <w:t>（企业名称）</w:t>
      </w:r>
      <w:r>
        <w:rPr>
          <w:rFonts w:ascii="宋体" w:hAnsi="宋体"/>
          <w:kern w:val="24"/>
          <w:sz w:val="24"/>
        </w:rPr>
        <w:t>，从业人员</w:t>
      </w:r>
      <w:r>
        <w:rPr>
          <w:rFonts w:hint="eastAsia" w:ascii="宋体" w:hAnsi="宋体"/>
          <w:kern w:val="24"/>
          <w:sz w:val="24"/>
          <w:u w:val="single"/>
        </w:rPr>
        <w:t xml:space="preserve"> </w:t>
      </w:r>
      <w:r>
        <w:rPr>
          <w:rFonts w:ascii="宋体" w:hAnsi="宋体"/>
          <w:kern w:val="24"/>
          <w:sz w:val="24"/>
          <w:u w:val="single"/>
        </w:rPr>
        <w:t xml:space="preserve">     </w:t>
      </w:r>
      <w:r>
        <w:rPr>
          <w:rFonts w:ascii="宋体" w:hAnsi="宋体"/>
          <w:kern w:val="24"/>
          <w:sz w:val="24"/>
        </w:rPr>
        <w:t>人，营业收入为</w:t>
      </w:r>
      <w:r>
        <w:rPr>
          <w:rFonts w:hint="eastAsia" w:ascii="宋体" w:hAnsi="宋体"/>
          <w:kern w:val="24"/>
          <w:sz w:val="24"/>
          <w:u w:val="single"/>
        </w:rPr>
        <w:t xml:space="preserve"> </w:t>
      </w:r>
      <w:r>
        <w:rPr>
          <w:rFonts w:ascii="宋体" w:hAnsi="宋体"/>
          <w:kern w:val="24"/>
          <w:sz w:val="24"/>
          <w:u w:val="single"/>
        </w:rPr>
        <w:t xml:space="preserve">     </w:t>
      </w:r>
      <w:r>
        <w:rPr>
          <w:rFonts w:ascii="宋体" w:hAnsi="宋体"/>
          <w:kern w:val="24"/>
          <w:sz w:val="24"/>
        </w:rPr>
        <w:t>万元，资产总额为</w:t>
      </w:r>
      <w:r>
        <w:rPr>
          <w:rFonts w:hint="eastAsia" w:ascii="宋体" w:hAnsi="宋体"/>
          <w:kern w:val="24"/>
          <w:sz w:val="24"/>
          <w:u w:val="single"/>
        </w:rPr>
        <w:t xml:space="preserve"> </w:t>
      </w:r>
      <w:r>
        <w:rPr>
          <w:rFonts w:ascii="宋体" w:hAnsi="宋体"/>
          <w:kern w:val="24"/>
          <w:sz w:val="24"/>
          <w:u w:val="single"/>
        </w:rPr>
        <w:t xml:space="preserve">     </w:t>
      </w:r>
      <w:r>
        <w:rPr>
          <w:rFonts w:ascii="宋体" w:hAnsi="宋体"/>
          <w:kern w:val="24"/>
          <w:sz w:val="24"/>
        </w:rPr>
        <w:t>万元，属于</w:t>
      </w:r>
      <w:r>
        <w:rPr>
          <w:rFonts w:ascii="宋体" w:hAnsi="宋体"/>
          <w:kern w:val="24"/>
          <w:sz w:val="24"/>
          <w:u w:val="single"/>
        </w:rPr>
        <w:t>（中型企业、小型企业、微型企业）</w:t>
      </w:r>
      <w:r>
        <w:rPr>
          <w:rFonts w:ascii="宋体" w:hAnsi="宋体"/>
          <w:kern w:val="24"/>
          <w:sz w:val="24"/>
        </w:rPr>
        <w:t>；</w:t>
      </w:r>
    </w:p>
    <w:p w14:paraId="06CAD640">
      <w:pPr>
        <w:tabs>
          <w:tab w:val="left" w:pos="1065"/>
          <w:tab w:val="left" w:pos="6477"/>
        </w:tabs>
        <w:spacing w:line="360" w:lineRule="auto"/>
        <w:ind w:left="-426" w:right="-58" w:firstLine="655"/>
        <w:contextualSpacing/>
        <w:rPr>
          <w:rFonts w:ascii="宋体" w:hAnsi="宋体"/>
          <w:kern w:val="24"/>
          <w:sz w:val="24"/>
        </w:rPr>
      </w:pPr>
      <w:r>
        <w:rPr>
          <w:rFonts w:ascii="宋体" w:hAnsi="宋体"/>
          <w:kern w:val="24"/>
          <w:sz w:val="24"/>
        </w:rPr>
        <w:t>2.</w:t>
      </w:r>
      <w:r>
        <w:rPr>
          <w:rFonts w:ascii="宋体" w:hAnsi="宋体"/>
          <w:kern w:val="24"/>
          <w:sz w:val="24"/>
          <w:u w:val="single"/>
        </w:rPr>
        <w:t>（标的名称）</w:t>
      </w:r>
      <w:r>
        <w:rPr>
          <w:rFonts w:ascii="宋体" w:hAnsi="宋体"/>
          <w:kern w:val="24"/>
          <w:sz w:val="24"/>
        </w:rPr>
        <w:t>，属于</w:t>
      </w:r>
      <w:r>
        <w:rPr>
          <w:rFonts w:ascii="宋体" w:hAnsi="宋体"/>
          <w:kern w:val="24"/>
          <w:sz w:val="24"/>
          <w:u w:val="single"/>
        </w:rPr>
        <w:t>（采购文件中明确的所属行业）</w:t>
      </w:r>
      <w:r>
        <w:rPr>
          <w:rFonts w:ascii="宋体" w:hAnsi="宋体"/>
          <w:kern w:val="24"/>
          <w:sz w:val="24"/>
        </w:rPr>
        <w:t>行业；制造商为</w:t>
      </w:r>
      <w:r>
        <w:rPr>
          <w:rFonts w:ascii="宋体" w:hAnsi="宋体"/>
          <w:kern w:val="24"/>
          <w:sz w:val="24"/>
          <w:u w:val="single"/>
        </w:rPr>
        <w:t>（企业名称）</w:t>
      </w:r>
      <w:r>
        <w:rPr>
          <w:rFonts w:ascii="宋体" w:hAnsi="宋体"/>
          <w:kern w:val="24"/>
          <w:sz w:val="24"/>
        </w:rPr>
        <w:t>，从业人员</w:t>
      </w:r>
      <w:r>
        <w:rPr>
          <w:rFonts w:hint="eastAsia" w:ascii="宋体" w:hAnsi="宋体"/>
          <w:kern w:val="24"/>
          <w:sz w:val="24"/>
          <w:u w:val="single"/>
        </w:rPr>
        <w:t xml:space="preserve"> </w:t>
      </w:r>
      <w:r>
        <w:rPr>
          <w:rFonts w:ascii="宋体" w:hAnsi="宋体"/>
          <w:kern w:val="24"/>
          <w:sz w:val="24"/>
          <w:u w:val="single"/>
        </w:rPr>
        <w:t xml:space="preserve">     </w:t>
      </w:r>
      <w:r>
        <w:rPr>
          <w:rFonts w:ascii="宋体" w:hAnsi="宋体"/>
          <w:kern w:val="24"/>
          <w:sz w:val="24"/>
        </w:rPr>
        <w:t>人，营业收入为</w:t>
      </w:r>
      <w:r>
        <w:rPr>
          <w:rFonts w:hint="eastAsia" w:ascii="宋体" w:hAnsi="宋体"/>
          <w:kern w:val="24"/>
          <w:sz w:val="24"/>
          <w:u w:val="single"/>
        </w:rPr>
        <w:t xml:space="preserve"> </w:t>
      </w:r>
      <w:r>
        <w:rPr>
          <w:rFonts w:ascii="宋体" w:hAnsi="宋体"/>
          <w:kern w:val="24"/>
          <w:sz w:val="24"/>
          <w:u w:val="single"/>
        </w:rPr>
        <w:t xml:space="preserve">     </w:t>
      </w:r>
      <w:r>
        <w:rPr>
          <w:rFonts w:ascii="宋体" w:hAnsi="宋体"/>
          <w:kern w:val="24"/>
          <w:sz w:val="24"/>
        </w:rPr>
        <w:t>万元，资产总额为</w:t>
      </w:r>
      <w:r>
        <w:rPr>
          <w:rFonts w:hint="eastAsia" w:ascii="宋体" w:hAnsi="宋体"/>
          <w:kern w:val="24"/>
          <w:sz w:val="24"/>
          <w:u w:val="single"/>
        </w:rPr>
        <w:t xml:space="preserve"> </w:t>
      </w:r>
      <w:r>
        <w:rPr>
          <w:rFonts w:ascii="宋体" w:hAnsi="宋体"/>
          <w:kern w:val="24"/>
          <w:sz w:val="24"/>
          <w:u w:val="single"/>
        </w:rPr>
        <w:t xml:space="preserve">     </w:t>
      </w:r>
      <w:r>
        <w:rPr>
          <w:rFonts w:ascii="宋体" w:hAnsi="宋体"/>
          <w:kern w:val="24"/>
          <w:sz w:val="24"/>
        </w:rPr>
        <w:t>万元，属于</w:t>
      </w:r>
      <w:r>
        <w:rPr>
          <w:rFonts w:ascii="宋体" w:hAnsi="宋体"/>
          <w:kern w:val="24"/>
          <w:sz w:val="24"/>
          <w:u w:val="single"/>
        </w:rPr>
        <w:t>（中型企业、小型企业、微型企业）</w:t>
      </w:r>
      <w:r>
        <w:rPr>
          <w:rFonts w:ascii="宋体" w:hAnsi="宋体"/>
          <w:kern w:val="24"/>
          <w:sz w:val="24"/>
        </w:rPr>
        <w:t>；</w:t>
      </w:r>
    </w:p>
    <w:p w14:paraId="07629E41">
      <w:pPr>
        <w:pStyle w:val="11"/>
        <w:spacing w:line="360" w:lineRule="auto"/>
        <w:ind w:left="142" w:right="142"/>
        <w:contextualSpacing/>
        <w:rPr>
          <w:rFonts w:ascii="宋体" w:hAnsi="宋体"/>
          <w:kern w:val="24"/>
        </w:rPr>
      </w:pPr>
      <w:r>
        <w:rPr>
          <w:rFonts w:ascii="宋体" w:hAnsi="宋体"/>
          <w:kern w:val="24"/>
        </w:rPr>
        <w:t xml:space="preserve">…… </w:t>
      </w:r>
    </w:p>
    <w:p w14:paraId="42D57F9E">
      <w:pPr>
        <w:pStyle w:val="11"/>
        <w:spacing w:line="360" w:lineRule="auto"/>
        <w:ind w:left="-405" w:leftChars="-193" w:right="142" w:firstLine="453" w:firstLineChars="189"/>
        <w:contextualSpacing/>
        <w:rPr>
          <w:rFonts w:ascii="宋体" w:hAnsi="宋体"/>
          <w:kern w:val="24"/>
        </w:rPr>
      </w:pPr>
      <w:r>
        <w:rPr>
          <w:rFonts w:ascii="宋体" w:hAnsi="宋体"/>
          <w:kern w:val="24"/>
        </w:rPr>
        <w:t>以上企业，不属于大企业的分支机构，不存在控股股东为大企业的情形，也不存在与大企业的负责人为同一人的情形。</w:t>
      </w:r>
    </w:p>
    <w:p w14:paraId="433BBBAE">
      <w:pPr>
        <w:pStyle w:val="11"/>
        <w:spacing w:line="360" w:lineRule="auto"/>
        <w:ind w:left="-426" w:right="142" w:firstLine="567"/>
        <w:contextualSpacing/>
        <w:rPr>
          <w:rFonts w:ascii="宋体" w:hAnsi="宋体"/>
          <w:kern w:val="24"/>
        </w:rPr>
      </w:pPr>
      <w:r>
        <w:rPr>
          <w:rFonts w:ascii="宋体" w:hAnsi="宋体"/>
          <w:kern w:val="24"/>
        </w:rPr>
        <w:t>本企业对上述声明内容的真实性负责。如有虚假，将依法承担相应责任。</w:t>
      </w:r>
    </w:p>
    <w:p w14:paraId="7A434346">
      <w:pPr>
        <w:pStyle w:val="11"/>
        <w:spacing w:line="360" w:lineRule="auto"/>
        <w:ind w:left="3960" w:right="1808"/>
        <w:contextualSpacing/>
        <w:rPr>
          <w:rFonts w:ascii="宋体" w:hAnsi="宋体"/>
          <w:kern w:val="24"/>
        </w:rPr>
      </w:pPr>
    </w:p>
    <w:p w14:paraId="75987950">
      <w:pPr>
        <w:pStyle w:val="11"/>
        <w:spacing w:line="360" w:lineRule="auto"/>
        <w:ind w:left="3960" w:right="1808"/>
        <w:contextualSpacing/>
        <w:rPr>
          <w:rFonts w:ascii="宋体" w:hAnsi="宋体"/>
          <w:kern w:val="24"/>
        </w:rPr>
      </w:pPr>
      <w:r>
        <w:rPr>
          <w:rFonts w:ascii="宋体" w:hAnsi="宋体"/>
          <w:kern w:val="24"/>
        </w:rPr>
        <w:t>企业名称（</w:t>
      </w:r>
      <w:r>
        <w:rPr>
          <w:rFonts w:hint="eastAsia" w:ascii="宋体" w:hAnsi="宋体"/>
          <w:kern w:val="24"/>
        </w:rPr>
        <w:t>电子签章</w:t>
      </w:r>
      <w:r>
        <w:rPr>
          <w:rFonts w:ascii="宋体" w:hAnsi="宋体"/>
          <w:kern w:val="24"/>
        </w:rPr>
        <w:t xml:space="preserve">）： </w:t>
      </w:r>
    </w:p>
    <w:p w14:paraId="6326D8C8">
      <w:pPr>
        <w:pStyle w:val="11"/>
        <w:spacing w:line="360" w:lineRule="auto"/>
        <w:ind w:left="3960" w:right="1808"/>
        <w:contextualSpacing/>
        <w:rPr>
          <w:rFonts w:ascii="宋体" w:hAnsi="宋体"/>
          <w:kern w:val="24"/>
        </w:rPr>
      </w:pPr>
      <w:r>
        <w:rPr>
          <w:rFonts w:ascii="宋体" w:hAnsi="宋体"/>
          <w:kern w:val="24"/>
        </w:rPr>
        <w:t>日</w:t>
      </w:r>
      <w:r>
        <w:rPr>
          <w:rFonts w:hint="eastAsia" w:ascii="宋体" w:hAnsi="宋体"/>
          <w:kern w:val="24"/>
        </w:rPr>
        <w:t xml:space="preserve"> </w:t>
      </w:r>
      <w:r>
        <w:rPr>
          <w:rFonts w:ascii="宋体" w:hAnsi="宋体"/>
          <w:kern w:val="24"/>
        </w:rPr>
        <w:t>期：</w:t>
      </w:r>
    </w:p>
    <w:p w14:paraId="04D99EF8">
      <w:pPr>
        <w:pStyle w:val="11"/>
        <w:spacing w:line="360" w:lineRule="auto"/>
        <w:ind w:left="3960" w:right="1808"/>
        <w:contextualSpacing/>
        <w:rPr>
          <w:rFonts w:ascii="宋体" w:hAnsi="宋体"/>
          <w:kern w:val="24"/>
        </w:rPr>
      </w:pPr>
    </w:p>
    <w:p w14:paraId="4D50831C">
      <w:pPr>
        <w:pStyle w:val="11"/>
        <w:spacing w:line="360" w:lineRule="auto"/>
        <w:ind w:left="3960" w:right="1808"/>
        <w:contextualSpacing/>
        <w:rPr>
          <w:rFonts w:ascii="宋体" w:hAnsi="宋体"/>
          <w:kern w:val="24"/>
        </w:rPr>
      </w:pPr>
    </w:p>
    <w:p w14:paraId="0690728A">
      <w:pPr>
        <w:pStyle w:val="11"/>
        <w:spacing w:line="360" w:lineRule="auto"/>
        <w:ind w:left="-426" w:right="142" w:firstLine="567"/>
        <w:contextualSpacing/>
        <w:rPr>
          <w:rFonts w:ascii="宋体" w:hAnsi="宋体"/>
          <w:kern w:val="24"/>
        </w:rPr>
      </w:pPr>
      <w:r>
        <w:rPr>
          <w:rFonts w:hint="eastAsia" w:ascii="宋体" w:hAnsi="宋体"/>
          <w:kern w:val="24"/>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14:paraId="019E7660">
      <w:pPr>
        <w:snapToGrid w:val="0"/>
        <w:spacing w:before="165" w:beforeLines="50" w:after="50"/>
        <w:ind w:left="142"/>
        <w:jc w:val="left"/>
        <w:rPr>
          <w:rFonts w:ascii="宋体" w:hAnsi="宋体"/>
          <w:b/>
          <w:sz w:val="24"/>
        </w:rPr>
      </w:pPr>
      <w:r>
        <w:rPr>
          <w:rFonts w:ascii="宋体" w:hAnsi="宋体"/>
          <w:b/>
          <w:sz w:val="24"/>
        </w:rPr>
        <w:br w:type="page"/>
      </w:r>
      <w:r>
        <w:rPr>
          <w:rFonts w:hint="eastAsia" w:ascii="宋体" w:hAnsi="宋体"/>
          <w:b/>
          <w:sz w:val="24"/>
        </w:rPr>
        <w:t>2.残疾人福利性单位声明函格式</w:t>
      </w:r>
    </w:p>
    <w:p w14:paraId="0EC93790">
      <w:pPr>
        <w:spacing w:line="588" w:lineRule="exact"/>
        <w:jc w:val="center"/>
        <w:rPr>
          <w:rFonts w:ascii="仿宋_GB2312" w:eastAsia="仿宋_GB2312"/>
          <w:b/>
          <w:spacing w:val="6"/>
          <w:sz w:val="32"/>
          <w:szCs w:val="32"/>
        </w:rPr>
      </w:pPr>
    </w:p>
    <w:p w14:paraId="4203A285">
      <w:pPr>
        <w:spacing w:line="588" w:lineRule="exact"/>
        <w:jc w:val="center"/>
        <w:rPr>
          <w:rFonts w:ascii="方正小标宋简体" w:hAnsi="方正小标宋简体" w:eastAsia="方正小标宋简体" w:cs="方正小标宋简体"/>
          <w:bCs/>
          <w:spacing w:val="6"/>
          <w:sz w:val="44"/>
          <w:szCs w:val="44"/>
        </w:rPr>
      </w:pPr>
      <w:r>
        <w:rPr>
          <w:rFonts w:hint="eastAsia" w:ascii="方正小标宋简体" w:hAnsi="方正小标宋简体" w:eastAsia="方正小标宋简体" w:cs="方正小标宋简体"/>
          <w:bCs/>
          <w:spacing w:val="6"/>
          <w:sz w:val="44"/>
          <w:szCs w:val="44"/>
        </w:rPr>
        <w:t>残疾人福利性单位声明函</w:t>
      </w:r>
    </w:p>
    <w:p w14:paraId="7A2BFAD2">
      <w:pPr>
        <w:spacing w:line="360" w:lineRule="auto"/>
        <w:contextualSpacing/>
        <w:rPr>
          <w:rFonts w:ascii="仿宋_GB2312" w:eastAsia="仿宋_GB2312"/>
          <w:bCs/>
          <w:spacing w:val="6"/>
          <w:sz w:val="30"/>
          <w:szCs w:val="30"/>
        </w:rPr>
      </w:pPr>
    </w:p>
    <w:p w14:paraId="1C331005">
      <w:pPr>
        <w:spacing w:line="360" w:lineRule="auto"/>
        <w:ind w:firstLine="504" w:firstLineChars="200"/>
        <w:contextualSpacing/>
        <w:rPr>
          <w:rFonts w:ascii="宋体" w:hAnsi="宋体"/>
          <w:spacing w:val="6"/>
          <w:sz w:val="24"/>
        </w:rPr>
      </w:pPr>
      <w:r>
        <w:rPr>
          <w:rFonts w:hint="eastAsia" w:ascii="宋体" w:hAnsi="宋体"/>
          <w:spacing w:val="6"/>
          <w:sz w:val="24"/>
        </w:rPr>
        <w:t>本单位郑重声明，根据《财政部 民政部 中国残疾人联合会关于促进残疾人就业政府采购政策的通知》（财库</w:t>
      </w:r>
      <w:r>
        <w:rPr>
          <w:rFonts w:hint="eastAsia" w:ascii="宋体" w:hAnsi="宋体"/>
          <w:sz w:val="24"/>
        </w:rPr>
        <w:t>〔2017〕141</w:t>
      </w:r>
      <w:r>
        <w:rPr>
          <w:rFonts w:hint="eastAsia" w:ascii="宋体" w:hAnsi="宋体"/>
          <w:spacing w:val="6"/>
          <w:sz w:val="24"/>
        </w:rPr>
        <w:t>号）的规定，本单位为符合条件的残疾人福利性单位，且本单位参加______单位的______项目采购活动提供本单位制造的货物（由本单位承担工程/提供服务），或者提供其他残</w:t>
      </w:r>
      <w:r>
        <w:rPr>
          <w:rFonts w:hint="eastAsia" w:ascii="宋体" w:hAnsi="宋体"/>
          <w:spacing w:val="-6"/>
          <w:sz w:val="24"/>
        </w:rPr>
        <w:t>疾人福利性单位制造的货物（不包括使用非残疾人福利性单位注册商标的货物）。</w:t>
      </w:r>
    </w:p>
    <w:p w14:paraId="2491BC66">
      <w:pPr>
        <w:spacing w:line="360" w:lineRule="auto"/>
        <w:ind w:firstLine="504" w:firstLineChars="200"/>
        <w:contextualSpacing/>
        <w:rPr>
          <w:rFonts w:ascii="宋体" w:hAnsi="宋体"/>
          <w:spacing w:val="6"/>
          <w:sz w:val="24"/>
        </w:rPr>
      </w:pPr>
      <w:r>
        <w:rPr>
          <w:rFonts w:hint="eastAsia" w:ascii="宋体" w:hAnsi="宋体"/>
          <w:spacing w:val="6"/>
          <w:sz w:val="24"/>
        </w:rPr>
        <w:t>本单位对上述声明的真实性负责。如有虚假，将依法承担相应责任。</w:t>
      </w:r>
    </w:p>
    <w:p w14:paraId="230FC999">
      <w:pPr>
        <w:spacing w:line="360" w:lineRule="auto"/>
        <w:ind w:firstLine="504" w:firstLineChars="200"/>
        <w:contextualSpacing/>
        <w:rPr>
          <w:rFonts w:ascii="宋体" w:hAnsi="宋体"/>
          <w:spacing w:val="6"/>
          <w:sz w:val="24"/>
        </w:rPr>
      </w:pPr>
    </w:p>
    <w:p w14:paraId="7679F680">
      <w:pPr>
        <w:spacing w:line="360" w:lineRule="auto"/>
        <w:ind w:firstLine="504" w:firstLineChars="200"/>
        <w:contextualSpacing/>
        <w:rPr>
          <w:rFonts w:ascii="宋体" w:hAnsi="宋体"/>
          <w:spacing w:val="6"/>
          <w:sz w:val="24"/>
        </w:rPr>
      </w:pPr>
    </w:p>
    <w:p w14:paraId="64D82185">
      <w:pPr>
        <w:tabs>
          <w:tab w:val="left" w:pos="4860"/>
        </w:tabs>
        <w:spacing w:line="360" w:lineRule="auto"/>
        <w:ind w:right="1560" w:firstLine="504" w:firstLineChars="200"/>
        <w:contextualSpacing/>
        <w:jc w:val="center"/>
        <w:rPr>
          <w:rFonts w:ascii="宋体" w:hAnsi="宋体"/>
          <w:spacing w:val="6"/>
          <w:sz w:val="24"/>
        </w:rPr>
      </w:pPr>
      <w:r>
        <w:rPr>
          <w:rFonts w:hint="eastAsia" w:ascii="宋体" w:hAnsi="宋体"/>
          <w:spacing w:val="6"/>
          <w:sz w:val="24"/>
        </w:rPr>
        <w:t>单位名称（电子签章）：</w:t>
      </w:r>
    </w:p>
    <w:p w14:paraId="393C3684">
      <w:pPr>
        <w:tabs>
          <w:tab w:val="left" w:pos="4860"/>
        </w:tabs>
        <w:spacing w:line="360" w:lineRule="auto"/>
        <w:ind w:right="1560" w:firstLine="504" w:firstLineChars="200"/>
        <w:contextualSpacing/>
        <w:jc w:val="center"/>
        <w:rPr>
          <w:rFonts w:ascii="宋体" w:hAnsi="宋体"/>
          <w:spacing w:val="6"/>
          <w:sz w:val="24"/>
        </w:rPr>
      </w:pPr>
      <w:r>
        <w:rPr>
          <w:rFonts w:hint="eastAsia" w:ascii="宋体" w:hAnsi="宋体"/>
          <w:spacing w:val="6"/>
          <w:sz w:val="24"/>
        </w:rPr>
        <w:t>日  期：</w:t>
      </w:r>
    </w:p>
    <w:p w14:paraId="4FDFF686">
      <w:pPr>
        <w:spacing w:line="360" w:lineRule="auto"/>
        <w:contextualSpacing/>
        <w:rPr>
          <w:rFonts w:ascii="宋体" w:hAnsi="宋体"/>
          <w:sz w:val="24"/>
        </w:rPr>
      </w:pPr>
    </w:p>
    <w:p w14:paraId="02871213">
      <w:pPr>
        <w:spacing w:line="360" w:lineRule="auto"/>
        <w:contextualSpacing/>
        <w:rPr>
          <w:rFonts w:ascii="宋体" w:hAnsi="宋体"/>
          <w:sz w:val="24"/>
        </w:rPr>
      </w:pPr>
    </w:p>
    <w:p w14:paraId="49D9B260">
      <w:pPr>
        <w:spacing w:line="360" w:lineRule="auto"/>
        <w:contextualSpacing/>
        <w:rPr>
          <w:rFonts w:ascii="宋体" w:hAnsi="宋体"/>
          <w:sz w:val="24"/>
        </w:rPr>
      </w:pPr>
    </w:p>
    <w:p w14:paraId="644E2757">
      <w:pPr>
        <w:spacing w:line="360" w:lineRule="auto"/>
        <w:contextualSpacing/>
        <w:rPr>
          <w:rFonts w:ascii="宋体" w:hAnsi="宋体"/>
          <w:sz w:val="24"/>
        </w:rPr>
      </w:pPr>
      <w:r>
        <w:rPr>
          <w:rFonts w:hint="eastAsia" w:ascii="宋体" w:hAnsi="宋体"/>
          <w:sz w:val="24"/>
        </w:rPr>
        <w:t>注：请根据自己的真实情况出具《残疾人福利性单位声明函》。依法享受中小企业优惠政策的，采购人或者采购代理机构在公告中标结果时，同时公告其《残疾人福利性单位声明函》，接受社会监督。</w:t>
      </w:r>
    </w:p>
    <w:p w14:paraId="04A6A524">
      <w:pPr>
        <w:spacing w:line="360" w:lineRule="auto"/>
        <w:jc w:val="left"/>
        <w:rPr>
          <w:rFonts w:ascii="宋体" w:hAnsi="宋体"/>
          <w:sz w:val="24"/>
        </w:rPr>
      </w:pPr>
      <w:r>
        <w:rPr>
          <w:rFonts w:ascii="宋体" w:hAnsi="宋体"/>
          <w:sz w:val="24"/>
        </w:rPr>
        <w:br w:type="page"/>
      </w:r>
      <w:r>
        <w:rPr>
          <w:rFonts w:hint="eastAsia" w:ascii="宋体" w:hAnsi="宋体"/>
          <w:b/>
          <w:sz w:val="24"/>
        </w:rPr>
        <w:t>3.质疑函（格式）</w:t>
      </w:r>
    </w:p>
    <w:p w14:paraId="0C62ACC8">
      <w:pPr>
        <w:spacing w:line="36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质疑函（格式）</w:t>
      </w:r>
    </w:p>
    <w:p w14:paraId="0F098A9F">
      <w:pPr>
        <w:pStyle w:val="16"/>
        <w:snapToGrid w:val="0"/>
        <w:spacing w:line="360" w:lineRule="auto"/>
        <w:ind w:firstLine="482" w:firstLineChars="200"/>
        <w:rPr>
          <w:rFonts w:hAnsi="宋体"/>
          <w:b/>
          <w:bCs/>
          <w:sz w:val="24"/>
          <w:szCs w:val="24"/>
        </w:rPr>
      </w:pPr>
      <w:r>
        <w:rPr>
          <w:rFonts w:hint="eastAsia" w:hAnsi="宋体"/>
          <w:b/>
          <w:bCs/>
          <w:sz w:val="24"/>
          <w:szCs w:val="24"/>
        </w:rPr>
        <w:t>一、质疑供应商基本信息：</w:t>
      </w:r>
    </w:p>
    <w:p w14:paraId="447B4994">
      <w:pPr>
        <w:pStyle w:val="16"/>
        <w:snapToGrid w:val="0"/>
        <w:spacing w:line="360" w:lineRule="auto"/>
        <w:ind w:firstLine="480" w:firstLineChars="200"/>
        <w:rPr>
          <w:rFonts w:hAnsi="宋体"/>
          <w:bCs/>
          <w:sz w:val="24"/>
          <w:szCs w:val="24"/>
          <w:u w:val="single"/>
        </w:rPr>
      </w:pPr>
      <w:r>
        <w:rPr>
          <w:rFonts w:hint="eastAsia" w:hAnsi="宋体"/>
          <w:bCs/>
          <w:sz w:val="24"/>
          <w:szCs w:val="24"/>
        </w:rPr>
        <w:t>质疑供应商：</w:t>
      </w:r>
      <w:r>
        <w:rPr>
          <w:rFonts w:hint="eastAsia" w:hAnsi="宋体"/>
          <w:bCs/>
          <w:sz w:val="24"/>
          <w:szCs w:val="24"/>
          <w:u w:val="single"/>
        </w:rPr>
        <w:t xml:space="preserve">                                       </w:t>
      </w:r>
      <w:r>
        <w:rPr>
          <w:rFonts w:hint="eastAsia" w:hAnsi="宋体"/>
          <w:bCs/>
          <w:sz w:val="24"/>
          <w:szCs w:val="24"/>
        </w:rPr>
        <w:t xml:space="preserve">                 </w:t>
      </w:r>
    </w:p>
    <w:p w14:paraId="3FF1830B">
      <w:pPr>
        <w:pStyle w:val="16"/>
        <w:snapToGrid w:val="0"/>
        <w:spacing w:line="360" w:lineRule="auto"/>
        <w:ind w:firstLine="480" w:firstLineChars="200"/>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25B69562">
      <w:pPr>
        <w:pStyle w:val="16"/>
        <w:snapToGrid w:val="0"/>
        <w:spacing w:line="360" w:lineRule="auto"/>
        <w:ind w:firstLine="480" w:firstLineChars="200"/>
        <w:rPr>
          <w:rFonts w:hAnsi="宋体"/>
          <w:bCs/>
          <w:sz w:val="24"/>
          <w:szCs w:val="24"/>
        </w:rPr>
      </w:pPr>
      <w:r>
        <w:rPr>
          <w:rFonts w:hAnsi="宋体"/>
          <w:bCs/>
          <w:sz w:val="24"/>
          <w:szCs w:val="24"/>
        </w:rPr>
        <w:t>联系人</w:t>
      </w:r>
      <w:r>
        <w:rPr>
          <w:rFonts w:hint="eastAsia" w:hAnsi="宋体"/>
          <w:bCs/>
          <w:sz w:val="24"/>
          <w:szCs w:val="24"/>
        </w:rPr>
        <w:t>：</w:t>
      </w:r>
      <w:r>
        <w:rPr>
          <w:rFonts w:hint="eastAsia" w:hAnsi="宋体"/>
          <w:bCs/>
          <w:sz w:val="24"/>
          <w:szCs w:val="24"/>
          <w:u w:val="single"/>
        </w:rPr>
        <w:t xml:space="preserve">                     </w:t>
      </w: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14:paraId="3CC4C6CE">
      <w:pPr>
        <w:pStyle w:val="16"/>
        <w:snapToGrid w:val="0"/>
        <w:spacing w:line="360" w:lineRule="auto"/>
        <w:ind w:firstLine="480" w:firstLineChars="200"/>
        <w:rPr>
          <w:rFonts w:hAnsi="宋体"/>
          <w:bCs/>
          <w:sz w:val="24"/>
          <w:szCs w:val="24"/>
        </w:rPr>
      </w:pPr>
      <w:r>
        <w:rPr>
          <w:rFonts w:hint="eastAsia" w:hAnsi="宋体"/>
          <w:bCs/>
          <w:sz w:val="24"/>
          <w:szCs w:val="24"/>
        </w:rPr>
        <w:t>授权代表：</w:t>
      </w:r>
      <w:r>
        <w:rPr>
          <w:rFonts w:hint="eastAsia" w:hAnsi="宋体"/>
          <w:bCs/>
          <w:sz w:val="24"/>
          <w:szCs w:val="24"/>
          <w:u w:val="single"/>
        </w:rPr>
        <w:t xml:space="preserve">                      </w:t>
      </w:r>
    </w:p>
    <w:p w14:paraId="27717249">
      <w:pPr>
        <w:pStyle w:val="16"/>
        <w:snapToGrid w:val="0"/>
        <w:spacing w:line="360" w:lineRule="auto"/>
        <w:ind w:firstLine="480" w:firstLineChars="200"/>
        <w:rPr>
          <w:rFonts w:hAnsi="宋体"/>
          <w:bCs/>
          <w:sz w:val="24"/>
          <w:szCs w:val="24"/>
          <w:u w:val="single"/>
        </w:rPr>
      </w:pP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01183746">
      <w:pPr>
        <w:pStyle w:val="16"/>
        <w:snapToGrid w:val="0"/>
        <w:spacing w:line="360" w:lineRule="auto"/>
        <w:ind w:firstLine="480" w:firstLineChars="200"/>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653735F8">
      <w:pPr>
        <w:pStyle w:val="16"/>
        <w:snapToGrid w:val="0"/>
        <w:spacing w:line="360" w:lineRule="auto"/>
        <w:ind w:firstLine="482" w:firstLineChars="200"/>
        <w:rPr>
          <w:rFonts w:hAnsi="宋体"/>
          <w:b/>
          <w:bCs/>
          <w:sz w:val="24"/>
          <w:szCs w:val="24"/>
        </w:rPr>
      </w:pPr>
      <w:r>
        <w:rPr>
          <w:rFonts w:hint="eastAsia" w:hAnsi="宋体"/>
          <w:b/>
          <w:bCs/>
          <w:sz w:val="24"/>
          <w:szCs w:val="24"/>
        </w:rPr>
        <w:t>二、质疑项目基本情况：</w:t>
      </w:r>
    </w:p>
    <w:p w14:paraId="27E4A519">
      <w:pPr>
        <w:pStyle w:val="16"/>
        <w:spacing w:line="360" w:lineRule="auto"/>
        <w:ind w:left="25" w:leftChars="12" w:firstLine="472" w:firstLineChars="197"/>
        <w:rPr>
          <w:rFonts w:hAnsi="宋体"/>
          <w:sz w:val="24"/>
          <w:szCs w:val="24"/>
        </w:rPr>
      </w:pPr>
      <w:r>
        <w:rPr>
          <w:rFonts w:hint="eastAsia" w:hAnsi="宋体"/>
          <w:bCs/>
          <w:sz w:val="24"/>
          <w:szCs w:val="24"/>
        </w:rPr>
        <w:t>质疑</w:t>
      </w:r>
      <w:r>
        <w:rPr>
          <w:rFonts w:hint="eastAsia" w:hAnsi="宋体"/>
          <w:sz w:val="24"/>
          <w:szCs w:val="24"/>
        </w:rPr>
        <w:t>项目的名称：</w:t>
      </w:r>
      <w:r>
        <w:rPr>
          <w:rFonts w:hint="eastAsia" w:hAnsi="宋体"/>
          <w:bCs/>
          <w:sz w:val="24"/>
          <w:szCs w:val="24"/>
          <w:u w:val="single"/>
        </w:rPr>
        <w:t xml:space="preserve">                                     </w:t>
      </w:r>
    </w:p>
    <w:p w14:paraId="3B933BCE">
      <w:pPr>
        <w:pStyle w:val="16"/>
        <w:spacing w:line="360" w:lineRule="auto"/>
        <w:ind w:left="25" w:leftChars="12" w:firstLine="472" w:firstLineChars="197"/>
        <w:rPr>
          <w:rFonts w:hAnsi="宋体"/>
          <w:sz w:val="24"/>
          <w:szCs w:val="24"/>
        </w:rPr>
      </w:pPr>
      <w:r>
        <w:rPr>
          <w:rFonts w:hint="eastAsia" w:hAnsi="宋体"/>
          <w:bCs/>
          <w:sz w:val="24"/>
          <w:szCs w:val="24"/>
        </w:rPr>
        <w:t>质疑</w:t>
      </w:r>
      <w:r>
        <w:rPr>
          <w:rFonts w:hint="eastAsia" w:hAnsi="宋体"/>
          <w:sz w:val="24"/>
          <w:szCs w:val="24"/>
        </w:rPr>
        <w:t>项目的编号：</w:t>
      </w:r>
      <w:r>
        <w:rPr>
          <w:rFonts w:hint="eastAsia" w:hAnsi="宋体"/>
          <w:bCs/>
          <w:sz w:val="24"/>
          <w:szCs w:val="24"/>
          <w:u w:val="single"/>
        </w:rPr>
        <w:t xml:space="preserve">                                     </w:t>
      </w:r>
    </w:p>
    <w:p w14:paraId="7496E29D">
      <w:pPr>
        <w:pStyle w:val="16"/>
        <w:spacing w:line="360" w:lineRule="auto"/>
        <w:ind w:left="25" w:leftChars="12" w:firstLine="472" w:firstLineChars="197"/>
        <w:rPr>
          <w:rFonts w:hAnsi="宋体"/>
          <w:sz w:val="24"/>
          <w:szCs w:val="24"/>
        </w:rPr>
      </w:pPr>
      <w:r>
        <w:rPr>
          <w:rFonts w:hint="eastAsia" w:hAnsi="宋体"/>
          <w:sz w:val="24"/>
          <w:szCs w:val="24"/>
        </w:rPr>
        <w:t>采购人名称：</w:t>
      </w:r>
      <w:r>
        <w:rPr>
          <w:rFonts w:hint="eastAsia" w:hAnsi="宋体"/>
          <w:bCs/>
          <w:sz w:val="24"/>
          <w:szCs w:val="24"/>
          <w:u w:val="single"/>
        </w:rPr>
        <w:t xml:space="preserve">                                         </w:t>
      </w:r>
    </w:p>
    <w:p w14:paraId="1E101AD3">
      <w:pPr>
        <w:pStyle w:val="16"/>
        <w:spacing w:line="360" w:lineRule="auto"/>
        <w:ind w:left="25" w:leftChars="12" w:firstLine="472" w:firstLineChars="197"/>
        <w:rPr>
          <w:rFonts w:hAnsi="宋体"/>
          <w:sz w:val="24"/>
          <w:szCs w:val="24"/>
        </w:rPr>
      </w:pPr>
      <w:r>
        <w:rPr>
          <w:rFonts w:hint="eastAsia" w:hAnsi="宋体"/>
          <w:sz w:val="24"/>
          <w:szCs w:val="24"/>
        </w:rPr>
        <w:t>质疑事项：</w:t>
      </w:r>
    </w:p>
    <w:p w14:paraId="1C045F45">
      <w:pPr>
        <w:pStyle w:val="16"/>
        <w:spacing w:line="360" w:lineRule="auto"/>
        <w:ind w:left="25" w:leftChars="12" w:firstLine="352" w:firstLineChars="147"/>
        <w:rPr>
          <w:rFonts w:hAnsi="宋体"/>
          <w:sz w:val="24"/>
          <w:szCs w:val="24"/>
        </w:rPr>
      </w:pPr>
      <w:r>
        <w:rPr>
          <w:rFonts w:hint="eastAsia" w:hAnsi="宋体"/>
          <w:sz w:val="24"/>
          <w:szCs w:val="24"/>
        </w:rPr>
        <w:t>□招标文件   招标文件获取日期：</w:t>
      </w:r>
      <w:r>
        <w:rPr>
          <w:rFonts w:hint="eastAsia" w:hAnsi="宋体"/>
          <w:bCs/>
          <w:sz w:val="24"/>
          <w:szCs w:val="24"/>
          <w:u w:val="single"/>
        </w:rPr>
        <w:t xml:space="preserve">                                   </w:t>
      </w:r>
    </w:p>
    <w:p w14:paraId="467FCDB7">
      <w:pPr>
        <w:pStyle w:val="16"/>
        <w:spacing w:line="360" w:lineRule="auto"/>
        <w:ind w:left="25" w:leftChars="12" w:firstLine="352" w:firstLineChars="147"/>
        <w:rPr>
          <w:rFonts w:hAnsi="宋体"/>
          <w:sz w:val="24"/>
          <w:szCs w:val="24"/>
        </w:rPr>
      </w:pPr>
      <w:r>
        <w:rPr>
          <w:rFonts w:hint="eastAsia" w:hAnsi="宋体"/>
          <w:sz w:val="24"/>
          <w:szCs w:val="24"/>
        </w:rPr>
        <w:t xml:space="preserve">□招标过程   </w:t>
      </w:r>
    </w:p>
    <w:p w14:paraId="4B461FD4">
      <w:pPr>
        <w:pStyle w:val="16"/>
        <w:spacing w:line="360" w:lineRule="auto"/>
        <w:ind w:left="25" w:leftChars="12" w:firstLine="352" w:firstLineChars="147"/>
        <w:rPr>
          <w:rFonts w:hAnsi="宋体"/>
          <w:bCs/>
          <w:sz w:val="24"/>
          <w:szCs w:val="24"/>
          <w:u w:val="single"/>
        </w:rPr>
      </w:pPr>
      <w:r>
        <w:rPr>
          <w:rFonts w:hint="eastAsia" w:hAnsi="宋体"/>
          <w:sz w:val="24"/>
          <w:szCs w:val="24"/>
        </w:rPr>
        <w:t xml:space="preserve">□招标结果   </w:t>
      </w:r>
    </w:p>
    <w:p w14:paraId="463CE4BA">
      <w:pPr>
        <w:pStyle w:val="16"/>
        <w:spacing w:line="360" w:lineRule="auto"/>
        <w:ind w:left="25" w:leftChars="12" w:firstLine="472" w:firstLineChars="196"/>
        <w:rPr>
          <w:rFonts w:hAnsi="宋体"/>
          <w:b/>
          <w:sz w:val="24"/>
          <w:szCs w:val="24"/>
        </w:rPr>
      </w:pPr>
      <w:r>
        <w:rPr>
          <w:rFonts w:hint="eastAsia" w:hAnsi="宋体"/>
          <w:b/>
          <w:sz w:val="24"/>
          <w:szCs w:val="24"/>
        </w:rPr>
        <w:t>三、质疑事项具体内容</w:t>
      </w:r>
    </w:p>
    <w:p w14:paraId="5A43B633">
      <w:pPr>
        <w:pStyle w:val="16"/>
        <w:spacing w:line="360" w:lineRule="auto"/>
        <w:ind w:left="25" w:leftChars="12" w:firstLine="472" w:firstLineChars="197"/>
        <w:rPr>
          <w:rFonts w:hAnsi="宋体"/>
          <w:sz w:val="24"/>
          <w:szCs w:val="24"/>
        </w:rPr>
      </w:pPr>
      <w:r>
        <w:rPr>
          <w:rFonts w:hint="eastAsia" w:hAnsi="宋体"/>
          <w:sz w:val="24"/>
          <w:szCs w:val="24"/>
        </w:rPr>
        <w:t>质疑事项1：</w:t>
      </w:r>
      <w:r>
        <w:rPr>
          <w:rFonts w:hint="eastAsia" w:hAnsi="宋体"/>
          <w:bCs/>
          <w:sz w:val="24"/>
          <w:szCs w:val="24"/>
          <w:u w:val="single"/>
        </w:rPr>
        <w:t xml:space="preserve">                                                                    </w:t>
      </w:r>
    </w:p>
    <w:p w14:paraId="1DABB565">
      <w:pPr>
        <w:pStyle w:val="16"/>
        <w:spacing w:line="360" w:lineRule="auto"/>
        <w:ind w:left="25" w:leftChars="12" w:firstLine="472" w:firstLineChars="197"/>
        <w:rPr>
          <w:rFonts w:hAnsi="宋体"/>
          <w:sz w:val="24"/>
          <w:szCs w:val="24"/>
        </w:rPr>
      </w:pPr>
      <w:r>
        <w:rPr>
          <w:rFonts w:hint="eastAsia" w:hAnsi="宋体"/>
          <w:sz w:val="24"/>
          <w:szCs w:val="24"/>
        </w:rPr>
        <w:t>事实依据：</w:t>
      </w:r>
      <w:r>
        <w:rPr>
          <w:rFonts w:hint="eastAsia" w:hAnsi="宋体"/>
          <w:bCs/>
          <w:sz w:val="24"/>
          <w:szCs w:val="24"/>
          <w:u w:val="single"/>
        </w:rPr>
        <w:t xml:space="preserve">                                                                      </w:t>
      </w:r>
    </w:p>
    <w:p w14:paraId="6D70EB4C">
      <w:pPr>
        <w:pStyle w:val="16"/>
        <w:spacing w:line="360" w:lineRule="auto"/>
        <w:ind w:left="25" w:leftChars="12" w:firstLine="472" w:firstLineChars="197"/>
        <w:rPr>
          <w:rFonts w:hAnsi="宋体"/>
          <w:sz w:val="24"/>
          <w:szCs w:val="24"/>
        </w:rPr>
      </w:pPr>
      <w:r>
        <w:rPr>
          <w:rFonts w:hint="eastAsia" w:hAnsi="宋体"/>
          <w:sz w:val="24"/>
          <w:szCs w:val="24"/>
        </w:rPr>
        <w:t>法律依据：</w:t>
      </w:r>
      <w:r>
        <w:rPr>
          <w:rFonts w:hint="eastAsia" w:hAnsi="宋体"/>
          <w:sz w:val="24"/>
          <w:szCs w:val="24"/>
          <w:u w:val="single"/>
        </w:rPr>
        <w:t xml:space="preserve">                                                        </w:t>
      </w:r>
      <w:r>
        <w:rPr>
          <w:rFonts w:hint="eastAsia" w:hAnsi="宋体"/>
          <w:bCs/>
          <w:sz w:val="24"/>
          <w:szCs w:val="24"/>
          <w:u w:val="single"/>
        </w:rPr>
        <w:t xml:space="preserve">               </w:t>
      </w:r>
    </w:p>
    <w:p w14:paraId="7BD38FDD">
      <w:pPr>
        <w:pStyle w:val="16"/>
        <w:spacing w:line="360" w:lineRule="auto"/>
        <w:ind w:left="25" w:leftChars="12" w:firstLine="472" w:firstLineChars="197"/>
        <w:rPr>
          <w:rFonts w:hAnsi="宋体"/>
          <w:sz w:val="24"/>
          <w:szCs w:val="24"/>
        </w:rPr>
      </w:pPr>
      <w:r>
        <w:rPr>
          <w:rFonts w:hint="eastAsia" w:hAnsi="宋体"/>
          <w:sz w:val="24"/>
          <w:szCs w:val="24"/>
        </w:rPr>
        <w:t>质疑事项2</w:t>
      </w:r>
    </w:p>
    <w:p w14:paraId="646B9DAA">
      <w:pPr>
        <w:pStyle w:val="16"/>
        <w:spacing w:line="360" w:lineRule="auto"/>
        <w:ind w:left="25" w:leftChars="12" w:firstLine="472" w:firstLineChars="197"/>
        <w:rPr>
          <w:rFonts w:hAnsi="宋体"/>
          <w:sz w:val="24"/>
          <w:szCs w:val="24"/>
        </w:rPr>
      </w:pPr>
      <w:r>
        <w:rPr>
          <w:rFonts w:hAnsi="宋体"/>
          <w:sz w:val="24"/>
          <w:szCs w:val="24"/>
        </w:rPr>
        <w:t>……</w:t>
      </w:r>
    </w:p>
    <w:p w14:paraId="6276A6FB">
      <w:pPr>
        <w:pStyle w:val="16"/>
        <w:spacing w:line="360" w:lineRule="auto"/>
        <w:ind w:left="25" w:leftChars="12" w:firstLine="472" w:firstLineChars="197"/>
        <w:rPr>
          <w:rFonts w:hAnsi="宋体"/>
          <w:sz w:val="24"/>
          <w:szCs w:val="24"/>
        </w:rPr>
      </w:pPr>
      <w:r>
        <w:rPr>
          <w:rFonts w:hint="eastAsia" w:hAnsi="宋体"/>
          <w:sz w:val="24"/>
          <w:szCs w:val="24"/>
        </w:rPr>
        <w:t>四、与质疑事项相关的质疑请求：</w:t>
      </w:r>
    </w:p>
    <w:p w14:paraId="44C984FC">
      <w:pPr>
        <w:pStyle w:val="16"/>
        <w:spacing w:line="360" w:lineRule="auto"/>
        <w:ind w:left="25" w:leftChars="12" w:firstLine="472" w:firstLineChars="197"/>
        <w:rPr>
          <w:rFonts w:hAnsi="宋体"/>
          <w:sz w:val="24"/>
          <w:szCs w:val="24"/>
        </w:rPr>
      </w:pPr>
      <w:r>
        <w:rPr>
          <w:rFonts w:hint="eastAsia" w:hAnsi="宋体"/>
          <w:sz w:val="24"/>
          <w:szCs w:val="24"/>
        </w:rPr>
        <w:t>请求：</w:t>
      </w:r>
      <w:r>
        <w:rPr>
          <w:rFonts w:hint="eastAsia" w:hAnsi="宋体"/>
          <w:bCs/>
          <w:sz w:val="24"/>
          <w:szCs w:val="24"/>
          <w:u w:val="single"/>
        </w:rPr>
        <w:t xml:space="preserve">                                                                </w:t>
      </w:r>
    </w:p>
    <w:p w14:paraId="6EEC8166">
      <w:pPr>
        <w:pStyle w:val="16"/>
        <w:spacing w:line="360" w:lineRule="auto"/>
        <w:ind w:left="25" w:leftChars="12" w:firstLine="352" w:firstLineChars="147"/>
        <w:rPr>
          <w:rFonts w:hAnsi="宋体"/>
          <w:sz w:val="24"/>
          <w:szCs w:val="24"/>
        </w:rPr>
      </w:pPr>
    </w:p>
    <w:p w14:paraId="32547955">
      <w:pPr>
        <w:pStyle w:val="16"/>
        <w:spacing w:line="360" w:lineRule="auto"/>
        <w:ind w:left="25" w:leftChars="12" w:firstLine="472" w:firstLineChars="197"/>
        <w:rPr>
          <w:rFonts w:hAnsi="宋体"/>
          <w:sz w:val="24"/>
          <w:szCs w:val="24"/>
        </w:rPr>
      </w:pPr>
      <w:r>
        <w:rPr>
          <w:rFonts w:hint="eastAsia" w:hAnsi="宋体"/>
          <w:sz w:val="24"/>
          <w:szCs w:val="24"/>
        </w:rPr>
        <w:t>签字（签章）：                                       公章：</w:t>
      </w:r>
    </w:p>
    <w:p w14:paraId="4D02C33C">
      <w:pPr>
        <w:pStyle w:val="16"/>
        <w:spacing w:line="360" w:lineRule="auto"/>
        <w:ind w:left="25" w:leftChars="12" w:firstLine="352" w:firstLineChars="147"/>
        <w:rPr>
          <w:rFonts w:hAnsi="宋体"/>
          <w:sz w:val="24"/>
          <w:szCs w:val="24"/>
        </w:rPr>
      </w:pPr>
    </w:p>
    <w:p w14:paraId="25A7CBC1">
      <w:pPr>
        <w:pStyle w:val="16"/>
        <w:spacing w:line="360" w:lineRule="auto"/>
        <w:ind w:left="25" w:leftChars="12" w:firstLine="472" w:firstLineChars="197"/>
        <w:rPr>
          <w:rFonts w:hAnsi="宋体"/>
          <w:sz w:val="24"/>
          <w:szCs w:val="24"/>
        </w:rPr>
      </w:pPr>
      <w:r>
        <w:rPr>
          <w:rFonts w:hint="eastAsia" w:hAnsi="宋体"/>
          <w:sz w:val="24"/>
          <w:szCs w:val="24"/>
        </w:rPr>
        <w:t>日期：</w:t>
      </w:r>
    </w:p>
    <w:p w14:paraId="2371ADEB">
      <w:pPr>
        <w:pStyle w:val="16"/>
        <w:snapToGrid w:val="0"/>
        <w:spacing w:line="360" w:lineRule="auto"/>
        <w:rPr>
          <w:rFonts w:hAnsi="宋体"/>
          <w:b/>
          <w:sz w:val="24"/>
          <w:szCs w:val="24"/>
        </w:rPr>
      </w:pPr>
    </w:p>
    <w:p w14:paraId="53E82D3A">
      <w:pPr>
        <w:pStyle w:val="16"/>
        <w:snapToGrid w:val="0"/>
        <w:spacing w:line="360" w:lineRule="auto"/>
        <w:rPr>
          <w:rFonts w:hAnsi="宋体"/>
          <w:b/>
          <w:sz w:val="24"/>
          <w:szCs w:val="24"/>
        </w:rPr>
      </w:pPr>
      <w:r>
        <w:rPr>
          <w:rFonts w:hint="eastAsia" w:hAnsi="宋体"/>
          <w:b/>
          <w:sz w:val="24"/>
          <w:szCs w:val="24"/>
        </w:rPr>
        <w:t>说明：</w:t>
      </w:r>
    </w:p>
    <w:p w14:paraId="0F89A328">
      <w:pPr>
        <w:pStyle w:val="16"/>
        <w:spacing w:line="360" w:lineRule="auto"/>
        <w:ind w:left="25" w:leftChars="12" w:firstLine="354" w:firstLineChars="147"/>
        <w:rPr>
          <w:rFonts w:hAnsi="宋体"/>
          <w:b/>
          <w:bCs/>
          <w:sz w:val="24"/>
          <w:szCs w:val="24"/>
        </w:rPr>
      </w:pPr>
      <w:r>
        <w:rPr>
          <w:rFonts w:hint="eastAsia" w:hAnsi="宋体"/>
          <w:b/>
          <w:sz w:val="24"/>
          <w:szCs w:val="24"/>
        </w:rPr>
        <w:t>1.供应商提出质疑时，应提交质疑函和必要的证明材料</w:t>
      </w:r>
      <w:r>
        <w:rPr>
          <w:rFonts w:hint="eastAsia" w:hAnsi="宋体"/>
          <w:b/>
          <w:bCs/>
          <w:sz w:val="24"/>
          <w:szCs w:val="24"/>
        </w:rPr>
        <w:t>。</w:t>
      </w:r>
    </w:p>
    <w:p w14:paraId="7DA812BE">
      <w:pPr>
        <w:pStyle w:val="16"/>
        <w:spacing w:line="360" w:lineRule="auto"/>
        <w:ind w:left="25" w:leftChars="12" w:firstLine="354" w:firstLineChars="147"/>
        <w:rPr>
          <w:rFonts w:hAnsi="宋体"/>
          <w:b/>
          <w:sz w:val="24"/>
          <w:szCs w:val="24"/>
        </w:rPr>
      </w:pPr>
      <w:r>
        <w:rPr>
          <w:rFonts w:hint="eastAsia" w:hAnsi="宋体"/>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F3864A5">
      <w:pPr>
        <w:pStyle w:val="16"/>
        <w:spacing w:line="360" w:lineRule="auto"/>
        <w:ind w:left="25" w:leftChars="12" w:firstLine="354" w:firstLineChars="147"/>
        <w:rPr>
          <w:rFonts w:hAnsi="宋体"/>
          <w:b/>
          <w:sz w:val="24"/>
          <w:szCs w:val="24"/>
        </w:rPr>
      </w:pPr>
      <w:r>
        <w:rPr>
          <w:rFonts w:hint="eastAsia" w:hAnsi="宋体"/>
          <w:b/>
          <w:sz w:val="24"/>
          <w:szCs w:val="24"/>
        </w:rPr>
        <w:t>3.质疑函的质疑事项应具体、明确，并有必要的事实依据和法律依据。</w:t>
      </w:r>
    </w:p>
    <w:p w14:paraId="0BC5C721">
      <w:pPr>
        <w:pStyle w:val="16"/>
        <w:spacing w:line="360" w:lineRule="auto"/>
        <w:ind w:left="25" w:leftChars="12" w:firstLine="354" w:firstLineChars="147"/>
        <w:rPr>
          <w:rFonts w:hAnsi="宋体"/>
          <w:b/>
          <w:sz w:val="24"/>
          <w:szCs w:val="24"/>
        </w:rPr>
      </w:pPr>
      <w:r>
        <w:rPr>
          <w:rFonts w:hint="eastAsia" w:hAnsi="宋体"/>
          <w:b/>
          <w:sz w:val="24"/>
          <w:szCs w:val="24"/>
        </w:rPr>
        <w:t>4.质疑函的质疑请求应与质疑事项相关。</w:t>
      </w:r>
    </w:p>
    <w:p w14:paraId="4B8CC951">
      <w:pPr>
        <w:pStyle w:val="16"/>
        <w:spacing w:line="360" w:lineRule="auto"/>
        <w:ind w:left="25" w:leftChars="12" w:firstLine="354" w:firstLineChars="147"/>
        <w:rPr>
          <w:rFonts w:hAnsi="宋体"/>
          <w:b/>
        </w:rPr>
      </w:pPr>
      <w:r>
        <w:rPr>
          <w:rFonts w:hint="eastAsia" w:hAnsi="宋体"/>
          <w:b/>
          <w:sz w:val="24"/>
          <w:szCs w:val="24"/>
        </w:rPr>
        <w:t>5.质疑供应商为法人或者其他组织的，质疑函应由法定代表人、主要负责人，或者其授权代表签字或者盖章，并加盖公章。</w:t>
      </w:r>
    </w:p>
    <w:p w14:paraId="742BA920">
      <w:pPr>
        <w:pStyle w:val="16"/>
        <w:snapToGrid w:val="0"/>
        <w:rPr>
          <w:b/>
          <w:sz w:val="24"/>
          <w:szCs w:val="24"/>
        </w:rPr>
      </w:pPr>
    </w:p>
    <w:p w14:paraId="11CC6A76">
      <w:pPr>
        <w:spacing w:line="360" w:lineRule="auto"/>
        <w:jc w:val="left"/>
        <w:rPr>
          <w:rFonts w:ascii="宋体" w:hAnsi="宋体"/>
          <w:b/>
          <w:bCs/>
          <w:sz w:val="32"/>
          <w:szCs w:val="32"/>
        </w:rPr>
      </w:pPr>
      <w:r>
        <w:rPr>
          <w:rFonts w:eastAsia="隶书"/>
          <w:sz w:val="44"/>
        </w:rPr>
        <w:br w:type="page"/>
      </w:r>
      <w:r>
        <w:rPr>
          <w:rFonts w:hint="eastAsia" w:ascii="宋体" w:hAnsi="宋体" w:eastAsia="隶书"/>
          <w:b/>
          <w:sz w:val="24"/>
        </w:rPr>
        <w:t>4</w:t>
      </w:r>
      <w:r>
        <w:rPr>
          <w:rFonts w:hint="eastAsia" w:ascii="宋体" w:hAnsi="宋体"/>
          <w:b/>
          <w:sz w:val="24"/>
        </w:rPr>
        <w:t>.投诉书（格式）</w:t>
      </w:r>
    </w:p>
    <w:p w14:paraId="600B20E8">
      <w:pPr>
        <w:spacing w:line="36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投诉书（格式）</w:t>
      </w:r>
    </w:p>
    <w:p w14:paraId="746A79C6">
      <w:pPr>
        <w:pStyle w:val="16"/>
        <w:snapToGrid w:val="0"/>
        <w:spacing w:line="360" w:lineRule="auto"/>
        <w:ind w:firstLine="482" w:firstLineChars="200"/>
        <w:rPr>
          <w:rFonts w:hAnsi="宋体"/>
          <w:b/>
          <w:bCs/>
          <w:sz w:val="24"/>
          <w:szCs w:val="24"/>
        </w:rPr>
      </w:pPr>
      <w:r>
        <w:rPr>
          <w:rFonts w:hint="eastAsia" w:hAnsi="宋体"/>
          <w:b/>
          <w:bCs/>
          <w:sz w:val="24"/>
          <w:szCs w:val="24"/>
        </w:rPr>
        <w:t>一、投诉相关主体基本情况：</w:t>
      </w:r>
    </w:p>
    <w:p w14:paraId="09D7E78C">
      <w:pPr>
        <w:pStyle w:val="16"/>
        <w:snapToGrid w:val="0"/>
        <w:spacing w:line="360" w:lineRule="auto"/>
        <w:ind w:firstLine="480" w:firstLineChars="200"/>
        <w:jc w:val="left"/>
        <w:rPr>
          <w:rFonts w:hAnsi="宋体"/>
          <w:bCs/>
          <w:sz w:val="24"/>
          <w:szCs w:val="24"/>
          <w:u w:val="single"/>
        </w:rPr>
      </w:pPr>
      <w:r>
        <w:rPr>
          <w:rFonts w:hint="eastAsia" w:hAnsi="宋体"/>
          <w:bCs/>
          <w:sz w:val="24"/>
          <w:szCs w:val="24"/>
        </w:rPr>
        <w:t>投标人：</w:t>
      </w:r>
      <w:r>
        <w:rPr>
          <w:rFonts w:hint="eastAsia" w:hAnsi="宋体"/>
          <w:bCs/>
          <w:sz w:val="24"/>
          <w:szCs w:val="24"/>
          <w:u w:val="single"/>
        </w:rPr>
        <w:t xml:space="preserve">                                                                        </w:t>
      </w:r>
      <w:r>
        <w:rPr>
          <w:rFonts w:hint="eastAsia" w:hAnsi="宋体"/>
          <w:bCs/>
          <w:sz w:val="24"/>
          <w:szCs w:val="24"/>
        </w:rPr>
        <w:t xml:space="preserve">                 </w:t>
      </w:r>
    </w:p>
    <w:p w14:paraId="6943F7C1">
      <w:pPr>
        <w:pStyle w:val="16"/>
        <w:snapToGrid w:val="0"/>
        <w:spacing w:line="360" w:lineRule="auto"/>
        <w:ind w:firstLine="480" w:firstLineChars="200"/>
        <w:jc w:val="left"/>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50039E55">
      <w:pPr>
        <w:pStyle w:val="16"/>
        <w:snapToGrid w:val="0"/>
        <w:spacing w:line="360" w:lineRule="auto"/>
        <w:ind w:firstLine="480" w:firstLineChars="200"/>
        <w:jc w:val="left"/>
        <w:rPr>
          <w:rFonts w:hAnsi="宋体"/>
          <w:bCs/>
          <w:sz w:val="24"/>
          <w:szCs w:val="24"/>
          <w:u w:val="single"/>
        </w:rPr>
      </w:pPr>
      <w:r>
        <w:rPr>
          <w:rFonts w:hint="eastAsia" w:hAnsi="宋体"/>
          <w:bCs/>
          <w:sz w:val="24"/>
          <w:szCs w:val="24"/>
        </w:rPr>
        <w:t>法定代表人/主要负责人：</w:t>
      </w:r>
      <w:r>
        <w:rPr>
          <w:rFonts w:hint="eastAsia" w:hAnsi="宋体"/>
          <w:bCs/>
          <w:sz w:val="24"/>
          <w:szCs w:val="24"/>
          <w:u w:val="single"/>
        </w:rPr>
        <w:t xml:space="preserve">                                                         </w:t>
      </w:r>
    </w:p>
    <w:p w14:paraId="5D53A5C9">
      <w:pPr>
        <w:pStyle w:val="16"/>
        <w:snapToGrid w:val="0"/>
        <w:spacing w:line="360" w:lineRule="auto"/>
        <w:ind w:firstLine="480" w:firstLineChars="200"/>
        <w:jc w:val="left"/>
        <w:rPr>
          <w:rFonts w:hAnsi="宋体"/>
          <w:bCs/>
          <w:sz w:val="24"/>
          <w:szCs w:val="24"/>
        </w:rPr>
      </w:pP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14:paraId="2089DC38">
      <w:pPr>
        <w:pStyle w:val="16"/>
        <w:snapToGrid w:val="0"/>
        <w:spacing w:line="360" w:lineRule="auto"/>
        <w:ind w:firstLine="480" w:firstLineChars="200"/>
        <w:jc w:val="left"/>
        <w:rPr>
          <w:rFonts w:hAnsi="宋体"/>
          <w:bCs/>
          <w:sz w:val="24"/>
          <w:szCs w:val="24"/>
          <w:u w:val="single"/>
        </w:rPr>
      </w:pPr>
      <w:r>
        <w:rPr>
          <w:rFonts w:hint="eastAsia" w:hAnsi="宋体"/>
          <w:bCs/>
          <w:sz w:val="24"/>
          <w:szCs w:val="24"/>
        </w:rPr>
        <w:t>授权代表：</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7B936A83">
      <w:pPr>
        <w:pStyle w:val="16"/>
        <w:snapToGrid w:val="0"/>
        <w:spacing w:line="360" w:lineRule="auto"/>
        <w:ind w:firstLine="480" w:firstLineChars="200"/>
        <w:jc w:val="left"/>
        <w:rPr>
          <w:rFonts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p>
    <w:p w14:paraId="3273FDC1">
      <w:pPr>
        <w:pStyle w:val="16"/>
        <w:snapToGrid w:val="0"/>
        <w:spacing w:line="360" w:lineRule="auto"/>
        <w:ind w:firstLine="480" w:firstLineChars="200"/>
        <w:jc w:val="left"/>
        <w:rPr>
          <w:rFonts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135F9587">
      <w:pPr>
        <w:pStyle w:val="16"/>
        <w:snapToGrid w:val="0"/>
        <w:spacing w:line="360" w:lineRule="auto"/>
        <w:ind w:firstLine="480" w:firstLineChars="200"/>
        <w:jc w:val="left"/>
        <w:rPr>
          <w:rFonts w:hAnsi="宋体"/>
          <w:bCs/>
          <w:sz w:val="24"/>
          <w:szCs w:val="24"/>
        </w:rPr>
      </w:pPr>
      <w:r>
        <w:rPr>
          <w:rFonts w:hint="eastAsia" w:hAnsi="宋体"/>
          <w:bCs/>
          <w:sz w:val="24"/>
          <w:szCs w:val="24"/>
        </w:rPr>
        <w:t>被投诉人1：</w:t>
      </w:r>
    </w:p>
    <w:p w14:paraId="4B743B85">
      <w:pPr>
        <w:pStyle w:val="16"/>
        <w:snapToGrid w:val="0"/>
        <w:spacing w:line="360" w:lineRule="auto"/>
        <w:ind w:firstLine="480" w:firstLineChars="200"/>
        <w:jc w:val="left"/>
        <w:rPr>
          <w:rFonts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14:paraId="4392C426">
      <w:pPr>
        <w:pStyle w:val="16"/>
        <w:snapToGrid w:val="0"/>
        <w:spacing w:line="360" w:lineRule="auto"/>
        <w:ind w:firstLine="480" w:firstLineChars="200"/>
        <w:jc w:val="left"/>
        <w:rPr>
          <w:rFonts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7686C123">
      <w:pPr>
        <w:pStyle w:val="16"/>
        <w:snapToGrid w:val="0"/>
        <w:spacing w:line="360" w:lineRule="auto"/>
        <w:ind w:firstLine="480" w:firstLineChars="200"/>
        <w:jc w:val="left"/>
        <w:rPr>
          <w:rFonts w:hAnsi="宋体"/>
          <w:bCs/>
          <w:sz w:val="24"/>
          <w:szCs w:val="24"/>
          <w:u w:val="single"/>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7208F5DF">
      <w:pPr>
        <w:pStyle w:val="16"/>
        <w:snapToGrid w:val="0"/>
        <w:spacing w:line="360" w:lineRule="auto"/>
        <w:ind w:firstLine="480" w:firstLineChars="200"/>
        <w:jc w:val="left"/>
        <w:rPr>
          <w:rFonts w:hAnsi="宋体"/>
          <w:bCs/>
          <w:sz w:val="24"/>
          <w:szCs w:val="24"/>
        </w:rPr>
      </w:pPr>
      <w:r>
        <w:rPr>
          <w:rFonts w:hint="eastAsia" w:hAnsi="宋体"/>
          <w:bCs/>
          <w:sz w:val="24"/>
          <w:szCs w:val="24"/>
        </w:rPr>
        <w:t>被投诉人2：</w:t>
      </w:r>
    </w:p>
    <w:p w14:paraId="22A5B5EB">
      <w:pPr>
        <w:pStyle w:val="16"/>
        <w:snapToGrid w:val="0"/>
        <w:spacing w:line="360" w:lineRule="auto"/>
        <w:ind w:firstLine="480" w:firstLineChars="200"/>
        <w:jc w:val="left"/>
        <w:rPr>
          <w:rFonts w:hAnsi="宋体"/>
          <w:bCs/>
          <w:sz w:val="24"/>
          <w:szCs w:val="24"/>
        </w:rPr>
      </w:pPr>
      <w:r>
        <w:rPr>
          <w:rFonts w:hAnsi="宋体"/>
          <w:bCs/>
          <w:sz w:val="24"/>
          <w:szCs w:val="24"/>
        </w:rPr>
        <w:t>……</w:t>
      </w:r>
    </w:p>
    <w:p w14:paraId="1C2DC6D3">
      <w:pPr>
        <w:pStyle w:val="16"/>
        <w:snapToGrid w:val="0"/>
        <w:spacing w:line="360" w:lineRule="auto"/>
        <w:ind w:firstLine="480" w:firstLineChars="200"/>
        <w:jc w:val="left"/>
        <w:rPr>
          <w:rFonts w:hAnsi="宋体"/>
          <w:bCs/>
          <w:sz w:val="24"/>
          <w:szCs w:val="24"/>
          <w:u w:val="single"/>
        </w:rPr>
      </w:pPr>
      <w:r>
        <w:rPr>
          <w:rFonts w:hint="eastAsia" w:hAnsi="宋体"/>
          <w:bCs/>
          <w:sz w:val="24"/>
          <w:szCs w:val="24"/>
        </w:rPr>
        <w:t>相关供应商：</w:t>
      </w:r>
      <w:r>
        <w:rPr>
          <w:rFonts w:hint="eastAsia" w:hAnsi="宋体"/>
          <w:bCs/>
          <w:sz w:val="24"/>
          <w:szCs w:val="24"/>
          <w:u w:val="single"/>
        </w:rPr>
        <w:t xml:space="preserve">                                                                       </w:t>
      </w:r>
    </w:p>
    <w:p w14:paraId="3AD43974">
      <w:pPr>
        <w:pStyle w:val="16"/>
        <w:snapToGrid w:val="0"/>
        <w:spacing w:line="360" w:lineRule="auto"/>
        <w:ind w:firstLine="480" w:firstLineChars="200"/>
        <w:jc w:val="left"/>
        <w:rPr>
          <w:rFonts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p>
    <w:p w14:paraId="0E2094EF">
      <w:pPr>
        <w:pStyle w:val="16"/>
        <w:snapToGrid w:val="0"/>
        <w:spacing w:line="360" w:lineRule="auto"/>
        <w:ind w:firstLine="480" w:firstLineChars="200"/>
        <w:jc w:val="left"/>
        <w:rPr>
          <w:rFonts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r>
        <w:rPr>
          <w:rFonts w:hint="eastAsia" w:hAnsi="宋体"/>
          <w:bCs/>
          <w:sz w:val="24"/>
          <w:szCs w:val="24"/>
        </w:rPr>
        <w:t xml:space="preserve">                </w:t>
      </w:r>
    </w:p>
    <w:p w14:paraId="4DD3F3A1">
      <w:pPr>
        <w:pStyle w:val="16"/>
        <w:snapToGrid w:val="0"/>
        <w:spacing w:line="360" w:lineRule="auto"/>
        <w:ind w:firstLine="482" w:firstLineChars="200"/>
        <w:rPr>
          <w:rFonts w:hAnsi="宋体"/>
          <w:b/>
          <w:bCs/>
          <w:sz w:val="24"/>
          <w:szCs w:val="24"/>
        </w:rPr>
      </w:pPr>
      <w:r>
        <w:rPr>
          <w:rFonts w:hint="eastAsia" w:hAnsi="宋体"/>
          <w:b/>
          <w:bCs/>
          <w:sz w:val="24"/>
          <w:szCs w:val="24"/>
        </w:rPr>
        <w:t>二、投诉项目基本情况：</w:t>
      </w:r>
    </w:p>
    <w:p w14:paraId="2FF3D6C5">
      <w:pPr>
        <w:pStyle w:val="16"/>
        <w:spacing w:line="360" w:lineRule="auto"/>
        <w:ind w:left="25" w:leftChars="12" w:firstLine="472" w:firstLineChars="197"/>
        <w:rPr>
          <w:rFonts w:hAnsi="宋体"/>
          <w:sz w:val="24"/>
          <w:szCs w:val="24"/>
        </w:rPr>
      </w:pPr>
      <w:r>
        <w:rPr>
          <w:rFonts w:hint="eastAsia" w:hAnsi="宋体"/>
          <w:sz w:val="24"/>
          <w:szCs w:val="24"/>
        </w:rPr>
        <w:t>招标项目的名称：</w:t>
      </w:r>
      <w:r>
        <w:rPr>
          <w:rFonts w:hint="eastAsia" w:hAnsi="宋体"/>
          <w:bCs/>
          <w:sz w:val="24"/>
          <w:szCs w:val="24"/>
          <w:u w:val="single"/>
        </w:rPr>
        <w:t xml:space="preserve">                                                                   </w:t>
      </w:r>
    </w:p>
    <w:p w14:paraId="21C5D08E">
      <w:pPr>
        <w:pStyle w:val="16"/>
        <w:spacing w:line="360" w:lineRule="auto"/>
        <w:ind w:left="25" w:leftChars="12" w:firstLine="472" w:firstLineChars="197"/>
        <w:rPr>
          <w:rFonts w:hAnsi="宋体"/>
          <w:sz w:val="24"/>
          <w:szCs w:val="24"/>
        </w:rPr>
      </w:pPr>
      <w:r>
        <w:rPr>
          <w:rFonts w:hint="eastAsia" w:hAnsi="宋体"/>
          <w:sz w:val="24"/>
          <w:szCs w:val="24"/>
        </w:rPr>
        <w:t>招标项目的编号：</w:t>
      </w:r>
      <w:r>
        <w:rPr>
          <w:rFonts w:hint="eastAsia" w:hAnsi="宋体"/>
          <w:bCs/>
          <w:sz w:val="24"/>
          <w:szCs w:val="24"/>
          <w:u w:val="single"/>
        </w:rPr>
        <w:t xml:space="preserve">                                          </w:t>
      </w:r>
    </w:p>
    <w:p w14:paraId="2A4E8BA0">
      <w:pPr>
        <w:pStyle w:val="16"/>
        <w:spacing w:line="360" w:lineRule="auto"/>
        <w:ind w:left="25" w:leftChars="12" w:firstLine="472" w:firstLineChars="197"/>
        <w:rPr>
          <w:rFonts w:hAnsi="宋体"/>
          <w:bCs/>
          <w:sz w:val="24"/>
          <w:szCs w:val="24"/>
          <w:u w:val="single"/>
        </w:rPr>
      </w:pPr>
      <w:r>
        <w:rPr>
          <w:rFonts w:hint="eastAsia" w:hAnsi="宋体"/>
          <w:sz w:val="24"/>
          <w:szCs w:val="24"/>
        </w:rPr>
        <w:t>采购人名称：</w:t>
      </w:r>
      <w:r>
        <w:rPr>
          <w:rFonts w:hint="eastAsia" w:hAnsi="宋体"/>
          <w:bCs/>
          <w:sz w:val="24"/>
          <w:szCs w:val="24"/>
          <w:u w:val="single"/>
        </w:rPr>
        <w:t xml:space="preserve">                                                                        </w:t>
      </w:r>
    </w:p>
    <w:p w14:paraId="284610C8">
      <w:pPr>
        <w:pStyle w:val="16"/>
        <w:spacing w:line="360" w:lineRule="auto"/>
        <w:ind w:left="25" w:leftChars="12" w:firstLine="472" w:firstLineChars="197"/>
        <w:rPr>
          <w:rFonts w:hAnsi="宋体"/>
          <w:bCs/>
          <w:sz w:val="24"/>
          <w:szCs w:val="24"/>
          <w:u w:val="single"/>
        </w:rPr>
      </w:pPr>
      <w:r>
        <w:rPr>
          <w:rFonts w:hint="eastAsia" w:hAnsi="宋体"/>
          <w:sz w:val="24"/>
          <w:szCs w:val="24"/>
        </w:rPr>
        <w:t>代理机构名称：</w:t>
      </w:r>
      <w:r>
        <w:rPr>
          <w:rFonts w:hint="eastAsia" w:hAnsi="宋体"/>
          <w:bCs/>
          <w:sz w:val="24"/>
          <w:szCs w:val="24"/>
          <w:u w:val="single"/>
        </w:rPr>
        <w:t xml:space="preserve">                                                                      </w:t>
      </w:r>
    </w:p>
    <w:p w14:paraId="57FF5433">
      <w:pPr>
        <w:pStyle w:val="16"/>
        <w:spacing w:line="360" w:lineRule="auto"/>
        <w:ind w:left="25" w:leftChars="12" w:firstLine="472" w:firstLineChars="197"/>
        <w:rPr>
          <w:rFonts w:hAnsi="宋体"/>
          <w:bCs/>
          <w:sz w:val="24"/>
          <w:szCs w:val="24"/>
          <w:u w:val="single"/>
        </w:rPr>
      </w:pPr>
      <w:r>
        <w:rPr>
          <w:rFonts w:hint="eastAsia" w:hAnsi="宋体"/>
          <w:sz w:val="24"/>
          <w:szCs w:val="24"/>
        </w:rPr>
        <w:t>招标</w:t>
      </w:r>
      <w:r>
        <w:rPr>
          <w:rFonts w:hint="eastAsia" w:hAnsi="宋体"/>
          <w:bCs/>
          <w:sz w:val="24"/>
          <w:szCs w:val="24"/>
        </w:rPr>
        <w:t>文件公告：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5D47B432">
      <w:pPr>
        <w:pStyle w:val="16"/>
        <w:spacing w:line="360" w:lineRule="auto"/>
        <w:ind w:left="25" w:leftChars="12" w:firstLine="472" w:firstLineChars="197"/>
        <w:rPr>
          <w:rFonts w:hAnsi="宋体"/>
          <w:b/>
          <w:sz w:val="24"/>
          <w:szCs w:val="24"/>
        </w:rPr>
      </w:pPr>
      <w:r>
        <w:rPr>
          <w:rFonts w:hint="eastAsia" w:hAnsi="宋体"/>
          <w:sz w:val="24"/>
          <w:szCs w:val="24"/>
        </w:rPr>
        <w:t>招标</w:t>
      </w:r>
      <w:r>
        <w:rPr>
          <w:rFonts w:hint="eastAsia" w:hAnsi="宋体"/>
          <w:bCs/>
          <w:sz w:val="24"/>
          <w:szCs w:val="24"/>
        </w:rPr>
        <w:t>结果公告：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1F5A3EFF">
      <w:pPr>
        <w:pStyle w:val="16"/>
        <w:spacing w:line="360" w:lineRule="auto"/>
        <w:ind w:left="25" w:leftChars="12" w:firstLine="472" w:firstLineChars="196"/>
        <w:rPr>
          <w:rFonts w:hAnsi="宋体"/>
          <w:b/>
          <w:sz w:val="24"/>
          <w:szCs w:val="24"/>
        </w:rPr>
      </w:pPr>
      <w:r>
        <w:rPr>
          <w:rFonts w:hint="eastAsia" w:hAnsi="宋体"/>
          <w:b/>
          <w:sz w:val="24"/>
          <w:szCs w:val="24"/>
        </w:rPr>
        <w:t>三、质疑基本情况</w:t>
      </w:r>
    </w:p>
    <w:p w14:paraId="47FC3213">
      <w:pPr>
        <w:pStyle w:val="16"/>
        <w:spacing w:line="360" w:lineRule="auto"/>
        <w:ind w:left="25" w:leftChars="12" w:firstLine="480" w:firstLineChars="200"/>
        <w:rPr>
          <w:rFonts w:hAnsi="宋体"/>
          <w:sz w:val="24"/>
          <w:szCs w:val="24"/>
        </w:rPr>
      </w:pPr>
      <w:r>
        <w:rPr>
          <w:rFonts w:hint="eastAsia" w:hAnsi="宋体"/>
          <w:sz w:val="24"/>
          <w:szCs w:val="24"/>
        </w:rPr>
        <w:t>投诉人于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日，向</w:t>
      </w:r>
      <w:r>
        <w:rPr>
          <w:rFonts w:hint="eastAsia" w:hAnsi="宋体"/>
          <w:sz w:val="24"/>
          <w:szCs w:val="24"/>
          <w:u w:val="single"/>
        </w:rPr>
        <w:t xml:space="preserve">                                </w:t>
      </w:r>
      <w:r>
        <w:rPr>
          <w:rFonts w:hint="eastAsia" w:hAnsi="宋体"/>
          <w:sz w:val="24"/>
          <w:szCs w:val="24"/>
        </w:rPr>
        <w:t>提出质疑，质疑事项为：</w:t>
      </w:r>
    </w:p>
    <w:p w14:paraId="52AFD3FF">
      <w:pPr>
        <w:pStyle w:val="16"/>
        <w:spacing w:line="360" w:lineRule="auto"/>
        <w:ind w:firstLine="241"/>
        <w:rPr>
          <w:rFonts w:hAnsi="宋体"/>
          <w:bCs/>
          <w:sz w:val="24"/>
          <w:szCs w:val="24"/>
          <w:u w:val="single"/>
        </w:rPr>
      </w:pPr>
      <w:r>
        <w:rPr>
          <w:rFonts w:hint="eastAsia" w:hAnsi="宋体"/>
          <w:sz w:val="24"/>
          <w:szCs w:val="24"/>
        </w:rPr>
        <w:t xml:space="preserve">    </w:t>
      </w:r>
      <w:r>
        <w:rPr>
          <w:rFonts w:hint="eastAsia" w:hAnsi="宋体"/>
          <w:bCs/>
          <w:sz w:val="24"/>
          <w:szCs w:val="24"/>
          <w:u w:val="single"/>
        </w:rPr>
        <w:t xml:space="preserve">                                                                                      </w:t>
      </w:r>
    </w:p>
    <w:p w14:paraId="3E5EC49A">
      <w:pPr>
        <w:pStyle w:val="16"/>
        <w:spacing w:line="360" w:lineRule="auto"/>
        <w:ind w:firstLine="241"/>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14:paraId="08A8CA0B">
      <w:pPr>
        <w:pStyle w:val="16"/>
        <w:spacing w:line="360" w:lineRule="auto"/>
        <w:ind w:firstLine="480" w:firstLineChars="200"/>
        <w:rPr>
          <w:rFonts w:hAnsi="宋体"/>
          <w:sz w:val="24"/>
          <w:szCs w:val="24"/>
        </w:rPr>
      </w:pPr>
      <w:r>
        <w:rPr>
          <w:rFonts w:hint="eastAsia" w:hAnsi="宋体"/>
          <w:bCs/>
          <w:sz w:val="24"/>
          <w:szCs w:val="24"/>
          <w:u w:val="single"/>
        </w:rPr>
        <w:t>采购人/代理机构</w:t>
      </w:r>
      <w:r>
        <w:rPr>
          <w:rFonts w:hint="eastAsia" w:hAnsi="宋体"/>
          <w:bCs/>
          <w:sz w:val="24"/>
          <w:szCs w:val="24"/>
        </w:rPr>
        <w:t>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r>
        <w:rPr>
          <w:rFonts w:hint="eastAsia" w:hAnsi="宋体"/>
          <w:bCs/>
          <w:sz w:val="24"/>
          <w:szCs w:val="24"/>
        </w:rPr>
        <w:t xml:space="preserve">就质疑事项作出了答复/没有在法定期限内作出答复。                                                                                             </w:t>
      </w:r>
    </w:p>
    <w:p w14:paraId="5DE5DACF">
      <w:pPr>
        <w:pStyle w:val="16"/>
        <w:spacing w:line="360" w:lineRule="auto"/>
        <w:ind w:left="25" w:leftChars="12" w:firstLine="472" w:firstLineChars="196"/>
        <w:rPr>
          <w:rFonts w:hAnsi="宋体"/>
          <w:b/>
          <w:sz w:val="24"/>
          <w:szCs w:val="24"/>
        </w:rPr>
      </w:pPr>
      <w:r>
        <w:rPr>
          <w:rFonts w:hint="eastAsia" w:hAnsi="宋体"/>
          <w:b/>
          <w:sz w:val="24"/>
          <w:szCs w:val="24"/>
        </w:rPr>
        <w:t>四、投诉事项具体内容</w:t>
      </w:r>
    </w:p>
    <w:p w14:paraId="43DF47F6">
      <w:pPr>
        <w:pStyle w:val="16"/>
        <w:spacing w:line="360" w:lineRule="auto"/>
        <w:ind w:left="25" w:leftChars="12" w:firstLine="472" w:firstLineChars="197"/>
        <w:rPr>
          <w:rFonts w:hAnsi="宋体"/>
          <w:bCs/>
          <w:sz w:val="24"/>
          <w:szCs w:val="24"/>
          <w:u w:val="single"/>
        </w:rPr>
      </w:pPr>
      <w:r>
        <w:rPr>
          <w:rFonts w:hint="eastAsia" w:hAnsi="宋体"/>
          <w:sz w:val="24"/>
          <w:szCs w:val="24"/>
        </w:rPr>
        <w:t>投诉事项1：</w:t>
      </w:r>
      <w:r>
        <w:rPr>
          <w:rFonts w:hint="eastAsia" w:hAnsi="宋体"/>
          <w:bCs/>
          <w:sz w:val="24"/>
          <w:szCs w:val="24"/>
          <w:u w:val="single"/>
        </w:rPr>
        <w:t xml:space="preserve">                                                                           </w:t>
      </w:r>
    </w:p>
    <w:p w14:paraId="0B2C74C8">
      <w:pPr>
        <w:pStyle w:val="16"/>
        <w:spacing w:line="360" w:lineRule="auto"/>
        <w:ind w:firstLine="480" w:firstLineChars="200"/>
        <w:rPr>
          <w:rFonts w:hAnsi="宋体"/>
          <w:bCs/>
          <w:sz w:val="24"/>
          <w:szCs w:val="24"/>
          <w:u w:val="single"/>
        </w:rPr>
      </w:pPr>
      <w:r>
        <w:rPr>
          <w:rFonts w:hint="eastAsia" w:hAnsi="宋体"/>
          <w:bCs/>
          <w:sz w:val="24"/>
          <w:szCs w:val="24"/>
        </w:rPr>
        <w:t>事实依据：</w:t>
      </w:r>
      <w:r>
        <w:rPr>
          <w:rFonts w:hint="eastAsia" w:hAnsi="宋体"/>
          <w:sz w:val="24"/>
          <w:szCs w:val="24"/>
        </w:rPr>
        <w:t xml:space="preserve"> </w:t>
      </w:r>
      <w:r>
        <w:rPr>
          <w:rFonts w:hint="eastAsia" w:hAnsi="宋体"/>
          <w:bCs/>
          <w:sz w:val="24"/>
          <w:szCs w:val="24"/>
          <w:u w:val="single"/>
        </w:rPr>
        <w:t xml:space="preserve">                                                                                      </w:t>
      </w:r>
    </w:p>
    <w:p w14:paraId="54AA95D5">
      <w:pPr>
        <w:pStyle w:val="16"/>
        <w:spacing w:line="360" w:lineRule="auto"/>
        <w:ind w:left="25" w:leftChars="12" w:firstLine="472" w:firstLineChars="197"/>
        <w:rPr>
          <w:rFonts w:hAnsi="宋体"/>
          <w:sz w:val="24"/>
          <w:szCs w:val="24"/>
        </w:rPr>
      </w:pPr>
      <w:r>
        <w:rPr>
          <w:rFonts w:hint="eastAsia" w:hAnsi="宋体"/>
          <w:bCs/>
          <w:sz w:val="24"/>
          <w:szCs w:val="24"/>
          <w:u w:val="single"/>
        </w:rPr>
        <w:t xml:space="preserve">                                                                                        </w:t>
      </w:r>
    </w:p>
    <w:p w14:paraId="67CF245F">
      <w:pPr>
        <w:pStyle w:val="16"/>
        <w:spacing w:line="360" w:lineRule="auto"/>
        <w:ind w:firstLine="480" w:firstLineChars="200"/>
        <w:rPr>
          <w:rFonts w:hAnsi="宋体"/>
          <w:bCs/>
          <w:sz w:val="24"/>
          <w:szCs w:val="24"/>
          <w:u w:val="single"/>
        </w:rPr>
      </w:pPr>
      <w:r>
        <w:rPr>
          <w:rFonts w:hint="eastAsia" w:hAnsi="宋体"/>
          <w:bCs/>
          <w:sz w:val="24"/>
          <w:szCs w:val="24"/>
        </w:rPr>
        <w:t>法律依据：</w:t>
      </w:r>
      <w:r>
        <w:rPr>
          <w:rFonts w:hint="eastAsia" w:hAnsi="宋体"/>
          <w:sz w:val="24"/>
          <w:szCs w:val="24"/>
        </w:rPr>
        <w:t xml:space="preserve"> </w:t>
      </w:r>
      <w:r>
        <w:rPr>
          <w:rFonts w:hint="eastAsia" w:hAnsi="宋体"/>
          <w:bCs/>
          <w:sz w:val="24"/>
          <w:szCs w:val="24"/>
          <w:u w:val="single"/>
        </w:rPr>
        <w:t xml:space="preserve">                                                                                      </w:t>
      </w:r>
    </w:p>
    <w:p w14:paraId="5B9D2411">
      <w:pPr>
        <w:pStyle w:val="16"/>
        <w:spacing w:line="360" w:lineRule="auto"/>
        <w:ind w:left="25" w:leftChars="12" w:firstLine="352" w:firstLineChars="147"/>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14:paraId="0DA58A6D">
      <w:pPr>
        <w:pStyle w:val="16"/>
        <w:spacing w:line="360" w:lineRule="auto"/>
        <w:ind w:left="25" w:leftChars="12" w:firstLine="472" w:firstLineChars="197"/>
        <w:rPr>
          <w:rFonts w:hAnsi="宋体"/>
          <w:bCs/>
          <w:sz w:val="24"/>
          <w:szCs w:val="24"/>
        </w:rPr>
      </w:pPr>
      <w:r>
        <w:rPr>
          <w:rFonts w:hint="eastAsia" w:hAnsi="宋体"/>
          <w:sz w:val="24"/>
          <w:szCs w:val="24"/>
        </w:rPr>
        <w:t xml:space="preserve">投诉事项2  </w:t>
      </w:r>
      <w:r>
        <w:rPr>
          <w:rFonts w:hint="eastAsia" w:hAnsi="宋体"/>
          <w:bCs/>
          <w:sz w:val="24"/>
          <w:szCs w:val="24"/>
        </w:rPr>
        <w:t xml:space="preserve">   </w:t>
      </w:r>
    </w:p>
    <w:p w14:paraId="0DE54BC8">
      <w:pPr>
        <w:pStyle w:val="16"/>
        <w:spacing w:line="360" w:lineRule="auto"/>
        <w:ind w:left="25" w:leftChars="12" w:firstLine="472" w:firstLineChars="197"/>
        <w:rPr>
          <w:rFonts w:hAnsi="宋体"/>
          <w:bCs/>
          <w:sz w:val="24"/>
          <w:szCs w:val="24"/>
        </w:rPr>
      </w:pPr>
      <w:r>
        <w:rPr>
          <w:rFonts w:hAnsi="宋体"/>
          <w:bCs/>
          <w:sz w:val="24"/>
          <w:szCs w:val="24"/>
        </w:rPr>
        <w:t>……</w:t>
      </w:r>
    </w:p>
    <w:p w14:paraId="30064CC1">
      <w:pPr>
        <w:pStyle w:val="16"/>
        <w:spacing w:line="360" w:lineRule="auto"/>
        <w:ind w:left="25" w:leftChars="12" w:firstLine="472" w:firstLineChars="196"/>
        <w:rPr>
          <w:rFonts w:hAnsi="宋体"/>
          <w:b/>
          <w:sz w:val="24"/>
          <w:szCs w:val="24"/>
        </w:rPr>
      </w:pPr>
      <w:r>
        <w:rPr>
          <w:rFonts w:hint="eastAsia" w:hAnsi="宋体"/>
          <w:b/>
          <w:sz w:val="24"/>
          <w:szCs w:val="24"/>
        </w:rPr>
        <w:t>五、与投诉事项相关的投诉请求：</w:t>
      </w:r>
    </w:p>
    <w:p w14:paraId="20F3DB1F">
      <w:pPr>
        <w:pStyle w:val="16"/>
        <w:spacing w:line="360" w:lineRule="auto"/>
        <w:ind w:left="25" w:leftChars="12" w:firstLine="472" w:firstLineChars="197"/>
        <w:rPr>
          <w:rFonts w:hAnsi="宋体"/>
          <w:sz w:val="24"/>
          <w:szCs w:val="24"/>
        </w:rPr>
      </w:pPr>
      <w:r>
        <w:rPr>
          <w:rFonts w:hint="eastAsia" w:hAnsi="宋体"/>
          <w:sz w:val="24"/>
          <w:szCs w:val="24"/>
        </w:rPr>
        <w:t>请求：</w:t>
      </w:r>
      <w:r>
        <w:rPr>
          <w:rFonts w:hint="eastAsia" w:hAnsi="宋体"/>
          <w:bCs/>
          <w:sz w:val="24"/>
          <w:szCs w:val="24"/>
          <w:u w:val="single"/>
        </w:rPr>
        <w:t xml:space="preserve">                                                                                 </w:t>
      </w:r>
    </w:p>
    <w:p w14:paraId="52C06387">
      <w:pPr>
        <w:pStyle w:val="16"/>
        <w:spacing w:line="360" w:lineRule="auto"/>
        <w:ind w:left="25" w:leftChars="12" w:firstLine="352" w:firstLineChars="147"/>
        <w:rPr>
          <w:rFonts w:hAnsi="宋体"/>
          <w:sz w:val="24"/>
          <w:szCs w:val="24"/>
        </w:rPr>
      </w:pPr>
    </w:p>
    <w:p w14:paraId="18363519">
      <w:pPr>
        <w:pStyle w:val="16"/>
        <w:spacing w:line="360" w:lineRule="auto"/>
        <w:ind w:left="25" w:leftChars="12" w:firstLine="472" w:firstLineChars="197"/>
        <w:rPr>
          <w:rFonts w:hAnsi="宋体"/>
          <w:sz w:val="24"/>
          <w:szCs w:val="24"/>
        </w:rPr>
      </w:pPr>
      <w:r>
        <w:rPr>
          <w:rFonts w:hint="eastAsia" w:hAnsi="宋体"/>
          <w:sz w:val="24"/>
          <w:szCs w:val="24"/>
        </w:rPr>
        <w:t>签字（签章）：                                       公章：</w:t>
      </w:r>
    </w:p>
    <w:p w14:paraId="782229E5">
      <w:pPr>
        <w:pStyle w:val="16"/>
        <w:spacing w:line="360" w:lineRule="auto"/>
        <w:ind w:left="25" w:leftChars="12" w:firstLine="352" w:firstLineChars="147"/>
        <w:rPr>
          <w:rFonts w:hAnsi="宋体"/>
          <w:sz w:val="24"/>
          <w:szCs w:val="24"/>
        </w:rPr>
      </w:pPr>
    </w:p>
    <w:p w14:paraId="4F6A3ED0">
      <w:pPr>
        <w:pStyle w:val="16"/>
        <w:spacing w:line="360" w:lineRule="auto"/>
        <w:ind w:left="25" w:leftChars="12" w:firstLine="472" w:firstLineChars="197"/>
        <w:rPr>
          <w:rFonts w:hAnsi="宋体"/>
          <w:sz w:val="24"/>
          <w:szCs w:val="24"/>
        </w:rPr>
      </w:pPr>
      <w:r>
        <w:rPr>
          <w:rFonts w:hint="eastAsia" w:hAnsi="宋体"/>
          <w:sz w:val="24"/>
          <w:szCs w:val="24"/>
        </w:rPr>
        <w:t>日期：</w:t>
      </w:r>
    </w:p>
    <w:p w14:paraId="237DF669">
      <w:pPr>
        <w:pStyle w:val="16"/>
        <w:spacing w:line="360" w:lineRule="auto"/>
        <w:ind w:left="25" w:leftChars="12" w:firstLine="472" w:firstLineChars="197"/>
        <w:rPr>
          <w:rFonts w:hAnsi="宋体"/>
          <w:sz w:val="24"/>
          <w:szCs w:val="24"/>
        </w:rPr>
      </w:pPr>
      <w:r>
        <w:rPr>
          <w:rFonts w:hint="eastAsia" w:hAnsi="宋体"/>
          <w:bCs/>
          <w:sz w:val="24"/>
          <w:szCs w:val="24"/>
        </w:rPr>
        <w:t xml:space="preserve">                                                                              </w:t>
      </w:r>
    </w:p>
    <w:p w14:paraId="66DD018C">
      <w:pPr>
        <w:pStyle w:val="16"/>
        <w:snapToGrid w:val="0"/>
        <w:spacing w:line="360" w:lineRule="auto"/>
        <w:rPr>
          <w:rFonts w:hAnsi="宋体"/>
          <w:b/>
          <w:sz w:val="24"/>
          <w:szCs w:val="24"/>
        </w:rPr>
      </w:pPr>
      <w:r>
        <w:rPr>
          <w:rFonts w:hint="eastAsia" w:hAnsi="宋体"/>
          <w:b/>
          <w:sz w:val="24"/>
          <w:szCs w:val="24"/>
        </w:rPr>
        <w:t>说明：</w:t>
      </w:r>
    </w:p>
    <w:p w14:paraId="616D613E">
      <w:pPr>
        <w:pStyle w:val="16"/>
        <w:spacing w:line="360" w:lineRule="auto"/>
        <w:ind w:left="25" w:leftChars="12" w:firstLine="354" w:firstLineChars="147"/>
        <w:rPr>
          <w:rFonts w:hAnsi="宋体"/>
          <w:b/>
          <w:bCs/>
          <w:sz w:val="24"/>
          <w:szCs w:val="24"/>
        </w:rPr>
      </w:pPr>
      <w:r>
        <w:rPr>
          <w:rFonts w:hint="eastAsia" w:hAnsi="宋体"/>
          <w:b/>
          <w:sz w:val="24"/>
          <w:szCs w:val="24"/>
        </w:rPr>
        <w:t>1.投诉人提起投诉时，应当提交投诉书和必要的证明材料，并按照被投诉人和与投诉事项有关的供应商数量提供投诉书副本</w:t>
      </w:r>
      <w:r>
        <w:rPr>
          <w:rFonts w:hint="eastAsia" w:hAnsi="宋体"/>
          <w:b/>
          <w:bCs/>
          <w:sz w:val="24"/>
          <w:szCs w:val="24"/>
        </w:rPr>
        <w:t>。</w:t>
      </w:r>
    </w:p>
    <w:p w14:paraId="49C8232C">
      <w:pPr>
        <w:pStyle w:val="16"/>
        <w:spacing w:line="360" w:lineRule="auto"/>
        <w:ind w:left="25" w:leftChars="12" w:firstLine="354" w:firstLineChars="147"/>
        <w:rPr>
          <w:rFonts w:hAnsi="宋体"/>
          <w:b/>
          <w:sz w:val="24"/>
          <w:szCs w:val="24"/>
        </w:rPr>
      </w:pPr>
      <w:r>
        <w:rPr>
          <w:rFonts w:hint="eastAsia" w:hAnsi="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BEFFD62">
      <w:pPr>
        <w:pStyle w:val="16"/>
        <w:spacing w:line="360" w:lineRule="auto"/>
        <w:ind w:left="25" w:leftChars="12" w:firstLine="354" w:firstLineChars="147"/>
        <w:rPr>
          <w:rFonts w:hAnsi="宋体"/>
          <w:b/>
          <w:sz w:val="24"/>
          <w:szCs w:val="24"/>
        </w:rPr>
      </w:pPr>
      <w:r>
        <w:rPr>
          <w:rFonts w:hint="eastAsia" w:hAnsi="宋体"/>
          <w:b/>
          <w:sz w:val="24"/>
          <w:szCs w:val="24"/>
        </w:rPr>
        <w:t>3.投诉书应简要列明质疑事项，质疑函、质疑答复等作为附件材料提供。</w:t>
      </w:r>
    </w:p>
    <w:p w14:paraId="7C531F03">
      <w:pPr>
        <w:pStyle w:val="16"/>
        <w:spacing w:line="360" w:lineRule="auto"/>
        <w:ind w:left="25" w:leftChars="12" w:firstLine="354" w:firstLineChars="147"/>
        <w:rPr>
          <w:rFonts w:hAnsi="宋体"/>
          <w:b/>
          <w:sz w:val="24"/>
          <w:szCs w:val="24"/>
        </w:rPr>
      </w:pPr>
      <w:r>
        <w:rPr>
          <w:rFonts w:hint="eastAsia" w:hAnsi="宋体"/>
          <w:b/>
          <w:sz w:val="24"/>
          <w:szCs w:val="24"/>
        </w:rPr>
        <w:t>4.投诉书的投诉事项应具体、明确，并有必要的事实依据和法律依据。</w:t>
      </w:r>
    </w:p>
    <w:p w14:paraId="395E5BA8">
      <w:pPr>
        <w:pStyle w:val="16"/>
        <w:spacing w:line="360" w:lineRule="auto"/>
        <w:ind w:left="25" w:leftChars="12" w:firstLine="354" w:firstLineChars="147"/>
        <w:rPr>
          <w:rFonts w:hAnsi="宋体"/>
          <w:b/>
          <w:sz w:val="24"/>
          <w:szCs w:val="24"/>
        </w:rPr>
      </w:pPr>
      <w:r>
        <w:rPr>
          <w:rFonts w:hint="eastAsia" w:hAnsi="宋体"/>
          <w:b/>
          <w:sz w:val="24"/>
          <w:szCs w:val="24"/>
        </w:rPr>
        <w:t>5.投诉书的投诉请求应与投诉事项相关。</w:t>
      </w:r>
    </w:p>
    <w:p w14:paraId="27FF708F">
      <w:r>
        <w:rPr>
          <w:rFonts w:hint="eastAsia" w:hAnsi="宋体"/>
          <w:b/>
          <w:sz w:val="24"/>
        </w:rPr>
        <w:t>6.投诉人为法人或者其他组织的，投诉书应由法定代表人、主要负责人，或者其授权代表签字或者盖章，并加盖公章。</w:t>
      </w:r>
    </w:p>
    <w:sectPr>
      <w:footerReference r:id="rId10" w:type="first"/>
      <w:footerReference r:id="rId8" w:type="default"/>
      <w:footerReference r:id="rId9" w:type="even"/>
      <w:pgSz w:w="11906" w:h="16838"/>
      <w:pgMar w:top="1134" w:right="1134" w:bottom="1134" w:left="1134"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C227898-FF9B-4B8F-B15F-F7E957AD9DF0}"/>
  </w:font>
  <w:font w:name="黑体">
    <w:panose1 w:val="02010609060101010101"/>
    <w:charset w:val="86"/>
    <w:family w:val="auto"/>
    <w:pitch w:val="default"/>
    <w:sig w:usb0="800002BF" w:usb1="38CF7CFA" w:usb2="00000016" w:usb3="00000000" w:csb0="00040001" w:csb1="00000000"/>
    <w:embedRegular r:id="rId2" w:fontKey="{2BA38CAF-DA61-4D56-9ADE-B911A99BCD93}"/>
  </w:font>
  <w:font w:name="Courier New">
    <w:panose1 w:val="02070309020205020404"/>
    <w:charset w:val="01"/>
    <w:family w:val="modern"/>
    <w:pitch w:val="default"/>
    <w:sig w:usb0="E0002EFF" w:usb1="C0007843" w:usb2="00000009" w:usb3="00000000" w:csb0="400001FF" w:csb1="FFFF0000"/>
    <w:embedRegular r:id="rId3" w:fontKey="{6DA5CFB9-EB37-45AB-889A-B338040B2FB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86"/>
    <w:family w:val="modern"/>
    <w:pitch w:val="default"/>
    <w:sig w:usb0="00000000" w:usb1="00000000" w:usb2="00000000" w:usb3="00000000" w:csb0="00040000" w:csb1="00000000"/>
    <w:embedRegular r:id="rId4" w:fontKey="{2E37E4C4-B51C-47D3-97D1-11592DF152EA}"/>
  </w:font>
  <w:font w:name="仿宋">
    <w:panose1 w:val="02010609060101010101"/>
    <w:charset w:val="86"/>
    <w:family w:val="modern"/>
    <w:pitch w:val="default"/>
    <w:sig w:usb0="800002BF" w:usb1="38CF7CFA" w:usb2="00000016" w:usb3="00000000" w:csb0="00040001" w:csb1="00000000"/>
    <w:embedRegular r:id="rId5" w:fontKey="{FCEF8F03-7E21-465A-B613-4C3CA9B31954}"/>
  </w:font>
  <w:font w:name="微软雅黑">
    <w:panose1 w:val="020B0503020204020204"/>
    <w:charset w:val="86"/>
    <w:family w:val="swiss"/>
    <w:pitch w:val="default"/>
    <w:sig w:usb0="80000287" w:usb1="2ACF3C50" w:usb2="00000016" w:usb3="00000000" w:csb0="0004001F" w:csb1="00000000"/>
    <w:embedRegular r:id="rId6" w:fontKey="{12E6392E-FE04-4642-8D93-72BF81C87AE2}"/>
  </w:font>
  <w:font w:name="新宋体">
    <w:panose1 w:val="02010609030101010101"/>
    <w:charset w:val="86"/>
    <w:family w:val="auto"/>
    <w:pitch w:val="default"/>
    <w:sig w:usb0="00000203" w:usb1="288F0000" w:usb2="00000006" w:usb3="00000000" w:csb0="00040001" w:csb1="00000000"/>
    <w:embedRegular r:id="rId7" w:fontKey="{9612E51F-855D-4129-93CC-7E15F7BB38A2}"/>
  </w:font>
  <w:font w:name="Arial Unicode MS">
    <w:panose1 w:val="020B0604020202020204"/>
    <w:charset w:val="86"/>
    <w:family w:val="roman"/>
    <w:pitch w:val="default"/>
    <w:sig w:usb0="FFFFFFFF" w:usb1="E9FFFFFF" w:usb2="0000003F" w:usb3="00000000" w:csb0="603F01FF" w:csb1="FFFF0000"/>
    <w:embedRegular r:id="rId8" w:fontKey="{64F4EFE1-C63E-4700-ADDA-E3C15744A81C}"/>
  </w:font>
  <w:font w:name="Helvetica">
    <w:altName w:val="Arial"/>
    <w:panose1 w:val="020B0604020202020204"/>
    <w:charset w:val="00"/>
    <w:family w:val="swiss"/>
    <w:pitch w:val="default"/>
    <w:sig w:usb0="00000000" w:usb1="00000000" w:usb2="00000009" w:usb3="00000000" w:csb0="000001FF" w:csb1="00000000"/>
    <w:embedRegular r:id="rId9" w:fontKey="{E25ACD72-271B-4C58-B88C-5E3D06B19D7F}"/>
  </w:font>
  <w:font w:name="方正小标宋简体">
    <w:panose1 w:val="02000000000000000000"/>
    <w:charset w:val="86"/>
    <w:family w:val="script"/>
    <w:pitch w:val="default"/>
    <w:sig w:usb0="00000001" w:usb1="08000000" w:usb2="00000000" w:usb3="00000000" w:csb0="00040000" w:csb1="00000000"/>
    <w:embedRegular r:id="rId10" w:fontKey="{B5CE935A-35B3-4931-90B7-52781A12FCAB}"/>
  </w:font>
  <w:font w:name="隶书">
    <w:panose1 w:val="02010509060101010101"/>
    <w:charset w:val="86"/>
    <w:family w:val="modern"/>
    <w:pitch w:val="default"/>
    <w:sig w:usb0="00000001" w:usb1="080E0000" w:usb2="00000000" w:usb3="00000000" w:csb0="00040000" w:csb1="00000000"/>
    <w:embedRegular r:id="rId11" w:fontKey="{50717C67-5AB5-42BD-9CC2-0BAFAFE019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5E07A">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1FDCE2">
                          <w:pPr>
                            <w:pStyle w:val="1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D1FDCE2">
                    <w:pPr>
                      <w:pStyle w:val="18"/>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CDA34">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BB546">
                          <w:pPr>
                            <w:pStyle w:val="18"/>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94BB546">
                    <w:pPr>
                      <w:pStyle w:val="18"/>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45631">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48BD9">
                          <w:pPr>
                            <w:pStyle w:val="18"/>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1348BD9">
                    <w:pPr>
                      <w:pStyle w:val="18"/>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0A248">
    <w:pPr>
      <w:pStyle w:val="1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82CF4B">
                          <w:pPr>
                            <w:pStyle w:val="18"/>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F82CF4B">
                    <w:pPr>
                      <w:pStyle w:val="18"/>
                    </w:pPr>
                    <w:r>
                      <w:fldChar w:fldCharType="begin"/>
                    </w:r>
                    <w:r>
                      <w:instrText xml:space="preserve"> PAGE  \* MERGEFORMAT </w:instrText>
                    </w:r>
                    <w:r>
                      <w:fldChar w:fldCharType="separate"/>
                    </w:r>
                    <w:r>
                      <w:t>114</w:t>
                    </w:r>
                    <w:r>
                      <w:fldChar w:fldCharType="end"/>
                    </w:r>
                  </w:p>
                </w:txbxContent>
              </v:textbox>
            </v:shape>
          </w:pict>
        </mc:Fallback>
      </mc:AlternateContent>
    </w:r>
  </w:p>
  <w:p w14:paraId="7B246A6E">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73873">
    <w:pPr>
      <w:pStyle w:val="18"/>
      <w:framePr w:wrap="around" w:vAnchor="text" w:hAnchor="margin" w:xAlign="center" w:y="1"/>
      <w:rPr>
        <w:rStyle w:val="29"/>
      </w:rPr>
    </w:pPr>
    <w:r>
      <w:fldChar w:fldCharType="begin"/>
    </w:r>
    <w:r>
      <w:rPr>
        <w:rStyle w:val="29"/>
      </w:rPr>
      <w:instrText xml:space="preserve">PAGE  </w:instrText>
    </w:r>
    <w:r>
      <w:fldChar w:fldCharType="end"/>
    </w:r>
  </w:p>
  <w:p w14:paraId="70208C96">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271BC">
    <w:pPr>
      <w:pStyle w:val="18"/>
      <w:framePr w:wrap="around" w:vAnchor="text" w:hAnchor="margin" w:xAlign="right" w:y="1"/>
      <w:rPr>
        <w:rStyle w:val="29"/>
      </w:rPr>
    </w:pPr>
    <w:r>
      <w:fldChar w:fldCharType="begin"/>
    </w:r>
    <w:r>
      <w:rPr>
        <w:rStyle w:val="29"/>
      </w:rPr>
      <w:instrText xml:space="preserve">PAGE  </w:instrText>
    </w:r>
    <w:r>
      <w:fldChar w:fldCharType="separate"/>
    </w:r>
    <w:r>
      <w:rPr>
        <w:rStyle w:val="29"/>
      </w:rPr>
      <w:t>122</w:t>
    </w:r>
    <w:r>
      <w:fldChar w:fldCharType="end"/>
    </w:r>
  </w:p>
  <w:p w14:paraId="4CFC6FDE">
    <w:pPr>
      <w:pStyle w:val="18"/>
      <w:ind w:right="360"/>
      <w:jc w:val="both"/>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729C3">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7EB89">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A0213"/>
    <w:multiLevelType w:val="singleLevel"/>
    <w:tmpl w:val="850A0213"/>
    <w:lvl w:ilvl="0" w:tentative="0">
      <w:start w:val="1"/>
      <w:numFmt w:val="decimal"/>
      <w:suff w:val="nothing"/>
      <w:lvlText w:val="（%1）"/>
      <w:lvlJc w:val="left"/>
    </w:lvl>
  </w:abstractNum>
  <w:abstractNum w:abstractNumId="1">
    <w:nsid w:val="A15F0C81"/>
    <w:multiLevelType w:val="singleLevel"/>
    <w:tmpl w:val="A15F0C81"/>
    <w:lvl w:ilvl="0" w:tentative="0">
      <w:start w:val="7"/>
      <w:numFmt w:val="decimal"/>
      <w:lvlText w:val="%1."/>
      <w:lvlJc w:val="left"/>
      <w:pPr>
        <w:tabs>
          <w:tab w:val="left" w:pos="312"/>
        </w:tabs>
      </w:pPr>
    </w:lvl>
  </w:abstractNum>
  <w:abstractNum w:abstractNumId="2">
    <w:nsid w:val="CE723BD7"/>
    <w:multiLevelType w:val="singleLevel"/>
    <w:tmpl w:val="CE723BD7"/>
    <w:lvl w:ilvl="0" w:tentative="0">
      <w:start w:val="1"/>
      <w:numFmt w:val="chineseCounting"/>
      <w:suff w:val="space"/>
      <w:lvlText w:val="第%1章"/>
      <w:lvlJc w:val="left"/>
      <w:rPr>
        <w:rFonts w:hint="eastAsia"/>
      </w:rPr>
    </w:lvl>
  </w:abstractNum>
  <w:abstractNum w:abstractNumId="3">
    <w:nsid w:val="021D2661"/>
    <w:multiLevelType w:val="singleLevel"/>
    <w:tmpl w:val="021D2661"/>
    <w:lvl w:ilvl="0" w:tentative="0">
      <w:start w:val="1"/>
      <w:numFmt w:val="decimal"/>
      <w:suff w:val="nothing"/>
      <w:lvlText w:val="%1、"/>
      <w:lvlJc w:val="left"/>
    </w:lvl>
  </w:abstractNum>
  <w:abstractNum w:abstractNumId="4">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
    <w:nsid w:val="4C601917"/>
    <w:multiLevelType w:val="singleLevel"/>
    <w:tmpl w:val="4C601917"/>
    <w:lvl w:ilvl="0" w:tentative="0">
      <w:start w:val="1"/>
      <w:numFmt w:val="decimal"/>
      <w:suff w:val="nothing"/>
      <w:lvlText w:val="（%1）"/>
      <w:lvlJc w:val="left"/>
      <w:pPr>
        <w:ind w:left="-2"/>
      </w:pPr>
    </w:lvl>
  </w:abstractNum>
  <w:abstractNum w:abstractNumId="6">
    <w:nsid w:val="5FABD14B"/>
    <w:multiLevelType w:val="singleLevel"/>
    <w:tmpl w:val="5FABD14B"/>
    <w:lvl w:ilvl="0" w:tentative="0">
      <w:start w:val="1"/>
      <w:numFmt w:val="decimal"/>
      <w:suff w:val="nothing"/>
      <w:lvlText w:val="（%1）"/>
      <w:lvlJc w:val="left"/>
    </w:lvl>
  </w:abstractNum>
  <w:num w:numId="1">
    <w:abstractNumId w:val="2"/>
  </w:num>
  <w:num w:numId="2">
    <w:abstractNumId w:val="1"/>
  </w:num>
  <w:num w:numId="3">
    <w:abstractNumId w:val="0"/>
  </w:num>
  <w:num w:numId="4">
    <w:abstractNumId w:val="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wMzVhNzhlZmQzYzJkYzM4NmFlNGYxMmIxNThlMGUifQ=="/>
  </w:docVars>
  <w:rsids>
    <w:rsidRoot w:val="40556D16"/>
    <w:rsid w:val="003A6B66"/>
    <w:rsid w:val="003C39BD"/>
    <w:rsid w:val="0051187D"/>
    <w:rsid w:val="0091745E"/>
    <w:rsid w:val="00D06B53"/>
    <w:rsid w:val="0176597C"/>
    <w:rsid w:val="01E627AC"/>
    <w:rsid w:val="02837130"/>
    <w:rsid w:val="029E37F3"/>
    <w:rsid w:val="02A00FF1"/>
    <w:rsid w:val="02E84AEB"/>
    <w:rsid w:val="03101E00"/>
    <w:rsid w:val="03BD0823"/>
    <w:rsid w:val="05C17C62"/>
    <w:rsid w:val="07414C7E"/>
    <w:rsid w:val="07F1658B"/>
    <w:rsid w:val="08A37C81"/>
    <w:rsid w:val="093C6E11"/>
    <w:rsid w:val="0BCB1C9E"/>
    <w:rsid w:val="0BD613F8"/>
    <w:rsid w:val="0D2F7FD6"/>
    <w:rsid w:val="0F670FFA"/>
    <w:rsid w:val="101F3682"/>
    <w:rsid w:val="11724BAC"/>
    <w:rsid w:val="11C21AAA"/>
    <w:rsid w:val="1253689B"/>
    <w:rsid w:val="12ED71AE"/>
    <w:rsid w:val="13843C17"/>
    <w:rsid w:val="13CB5FFB"/>
    <w:rsid w:val="16957C0A"/>
    <w:rsid w:val="16A71964"/>
    <w:rsid w:val="195A1261"/>
    <w:rsid w:val="1A7036B3"/>
    <w:rsid w:val="1A8B64E4"/>
    <w:rsid w:val="1B75552A"/>
    <w:rsid w:val="1B7B1751"/>
    <w:rsid w:val="1C4306F9"/>
    <w:rsid w:val="1C4F709D"/>
    <w:rsid w:val="1F850C2D"/>
    <w:rsid w:val="1F9B4EE5"/>
    <w:rsid w:val="208F7F77"/>
    <w:rsid w:val="20E870CE"/>
    <w:rsid w:val="22EC4094"/>
    <w:rsid w:val="23455CF1"/>
    <w:rsid w:val="247B1465"/>
    <w:rsid w:val="24F10788"/>
    <w:rsid w:val="258A24FB"/>
    <w:rsid w:val="25B54415"/>
    <w:rsid w:val="25EB42DB"/>
    <w:rsid w:val="268627FB"/>
    <w:rsid w:val="26BE5232"/>
    <w:rsid w:val="271C3717"/>
    <w:rsid w:val="27487A8B"/>
    <w:rsid w:val="289A78F2"/>
    <w:rsid w:val="297B189A"/>
    <w:rsid w:val="2A67611A"/>
    <w:rsid w:val="2B744A61"/>
    <w:rsid w:val="2F064E9A"/>
    <w:rsid w:val="30683C8B"/>
    <w:rsid w:val="31473CBB"/>
    <w:rsid w:val="315D2D09"/>
    <w:rsid w:val="326E3016"/>
    <w:rsid w:val="32C51A10"/>
    <w:rsid w:val="32E00C87"/>
    <w:rsid w:val="32EE71B8"/>
    <w:rsid w:val="33F8304E"/>
    <w:rsid w:val="36125186"/>
    <w:rsid w:val="36344B3E"/>
    <w:rsid w:val="36ED2000"/>
    <w:rsid w:val="37896E35"/>
    <w:rsid w:val="38AB34E5"/>
    <w:rsid w:val="39C544B4"/>
    <w:rsid w:val="3AD4466F"/>
    <w:rsid w:val="3B644290"/>
    <w:rsid w:val="3B814038"/>
    <w:rsid w:val="3BDF3B42"/>
    <w:rsid w:val="3BF37C74"/>
    <w:rsid w:val="3C5A0F47"/>
    <w:rsid w:val="3C9D60D9"/>
    <w:rsid w:val="3C9E1C4F"/>
    <w:rsid w:val="3E0C63EF"/>
    <w:rsid w:val="40556D16"/>
    <w:rsid w:val="406C31A0"/>
    <w:rsid w:val="418F7DB9"/>
    <w:rsid w:val="441F1FE6"/>
    <w:rsid w:val="44EB286A"/>
    <w:rsid w:val="44F6162D"/>
    <w:rsid w:val="45C32ABC"/>
    <w:rsid w:val="45DB52B3"/>
    <w:rsid w:val="465869CB"/>
    <w:rsid w:val="474E55F8"/>
    <w:rsid w:val="48C42A3E"/>
    <w:rsid w:val="48D43A0A"/>
    <w:rsid w:val="4A7E6C1C"/>
    <w:rsid w:val="4AA16E07"/>
    <w:rsid w:val="4BF27A7E"/>
    <w:rsid w:val="4C227BED"/>
    <w:rsid w:val="4C7A0BA2"/>
    <w:rsid w:val="4CAC7A71"/>
    <w:rsid w:val="4D871895"/>
    <w:rsid w:val="4DC8252A"/>
    <w:rsid w:val="4E2C4104"/>
    <w:rsid w:val="4E7F169D"/>
    <w:rsid w:val="513708FF"/>
    <w:rsid w:val="518D035D"/>
    <w:rsid w:val="52F81C52"/>
    <w:rsid w:val="538D2976"/>
    <w:rsid w:val="53BB67EB"/>
    <w:rsid w:val="54716EC0"/>
    <w:rsid w:val="555C5CD7"/>
    <w:rsid w:val="55C27CE8"/>
    <w:rsid w:val="56300FA1"/>
    <w:rsid w:val="57633422"/>
    <w:rsid w:val="58751885"/>
    <w:rsid w:val="597F5E22"/>
    <w:rsid w:val="5A686910"/>
    <w:rsid w:val="5B321A89"/>
    <w:rsid w:val="5CAD21F6"/>
    <w:rsid w:val="5FC30F01"/>
    <w:rsid w:val="61876A52"/>
    <w:rsid w:val="61DC6344"/>
    <w:rsid w:val="623D0EB4"/>
    <w:rsid w:val="634A0A1E"/>
    <w:rsid w:val="63D0463C"/>
    <w:rsid w:val="63EE0517"/>
    <w:rsid w:val="64147D07"/>
    <w:rsid w:val="647C6246"/>
    <w:rsid w:val="64E11A98"/>
    <w:rsid w:val="65326240"/>
    <w:rsid w:val="65BD523F"/>
    <w:rsid w:val="65D676FC"/>
    <w:rsid w:val="65F76771"/>
    <w:rsid w:val="686C0E4B"/>
    <w:rsid w:val="6A5B0DD5"/>
    <w:rsid w:val="6A6C75A6"/>
    <w:rsid w:val="6C0E4753"/>
    <w:rsid w:val="6D6F26C8"/>
    <w:rsid w:val="6D873B73"/>
    <w:rsid w:val="6F984159"/>
    <w:rsid w:val="70AD5EDA"/>
    <w:rsid w:val="71E3257D"/>
    <w:rsid w:val="74535579"/>
    <w:rsid w:val="74D20734"/>
    <w:rsid w:val="75B6692A"/>
    <w:rsid w:val="775C64F2"/>
    <w:rsid w:val="77632536"/>
    <w:rsid w:val="79984052"/>
    <w:rsid w:val="7C6A17C5"/>
    <w:rsid w:val="7C8E41ED"/>
    <w:rsid w:val="7CA4199D"/>
    <w:rsid w:val="7D6F0234"/>
    <w:rsid w:val="7DC205F3"/>
    <w:rsid w:val="7FE26D2A"/>
    <w:rsid w:val="7FEE7E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9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link w:val="54"/>
    <w:unhideWhenUsed/>
    <w:qFormat/>
    <w:uiPriority w:val="0"/>
    <w:pPr>
      <w:keepNext/>
      <w:keepLines/>
      <w:spacing w:line="600" w:lineRule="exact"/>
      <w:ind w:firstLine="643" w:firstLineChars="200"/>
      <w:outlineLvl w:val="2"/>
    </w:pPr>
    <w:rPr>
      <w:b/>
      <w:bCs/>
      <w:sz w:val="32"/>
      <w:szCs w:val="32"/>
    </w:rPr>
  </w:style>
  <w:style w:type="paragraph" w:styleId="5">
    <w:name w:val="heading 4"/>
    <w:basedOn w:val="1"/>
    <w:next w:val="1"/>
    <w:qFormat/>
    <w:uiPriority w:val="99"/>
    <w:pPr>
      <w:keepNext/>
      <w:keepLines/>
      <w:spacing w:line="360" w:lineRule="auto"/>
      <w:outlineLvl w:val="3"/>
    </w:pPr>
    <w:rPr>
      <w:rFonts w:ascii="Arial" w:hAnsi="Arial"/>
      <w:b/>
      <w:szCs w:val="21"/>
    </w:rPr>
  </w:style>
  <w:style w:type="paragraph" w:styleId="6">
    <w:name w:val="heading 5"/>
    <w:basedOn w:val="1"/>
    <w:next w:val="7"/>
    <w:unhideWhenUsed/>
    <w:qFormat/>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caption"/>
    <w:basedOn w:val="1"/>
    <w:next w:val="1"/>
    <w:qFormat/>
    <w:uiPriority w:val="0"/>
    <w:pPr>
      <w:spacing w:before="152" w:after="160"/>
    </w:pPr>
    <w:rPr>
      <w:rFonts w:ascii="Arial" w:hAnsi="Arial" w:eastAsia="黑体" w:cs="Arial"/>
      <w:sz w:val="20"/>
      <w:szCs w:val="20"/>
    </w:rPr>
  </w:style>
  <w:style w:type="paragraph" w:styleId="9">
    <w:name w:val="annotation text"/>
    <w:basedOn w:val="1"/>
    <w:link w:val="56"/>
    <w:unhideWhenUsed/>
    <w:qFormat/>
    <w:uiPriority w:val="99"/>
    <w:pPr>
      <w:jc w:val="left"/>
    </w:pPr>
  </w:style>
  <w:style w:type="paragraph" w:styleId="10">
    <w:name w:val="Body Text 3"/>
    <w:basedOn w:val="1"/>
    <w:qFormat/>
    <w:uiPriority w:val="0"/>
    <w:pPr>
      <w:spacing w:line="500" w:lineRule="exact"/>
    </w:pPr>
    <w:rPr>
      <w:b/>
      <w:bCs/>
      <w:kern w:val="0"/>
      <w:sz w:val="24"/>
    </w:rPr>
  </w:style>
  <w:style w:type="paragraph" w:styleId="11">
    <w:name w:val="Body Text"/>
    <w:basedOn w:val="1"/>
    <w:next w:val="12"/>
    <w:qFormat/>
    <w:uiPriority w:val="99"/>
    <w:pPr>
      <w:spacing w:line="380" w:lineRule="exact"/>
    </w:pPr>
    <w:rPr>
      <w:kern w:val="0"/>
      <w:sz w:val="24"/>
    </w:rPr>
  </w:style>
  <w:style w:type="paragraph" w:styleId="12">
    <w:name w:val="Title"/>
    <w:basedOn w:val="1"/>
    <w:next w:val="1"/>
    <w:qFormat/>
    <w:uiPriority w:val="10"/>
    <w:pPr>
      <w:contextualSpacing/>
    </w:pPr>
    <w:rPr>
      <w:rFonts w:ascii="Cambria" w:hAnsi="Cambria" w:eastAsia="宋体" w:cs="Times New Roman"/>
      <w:spacing w:val="-10"/>
      <w:kern w:val="28"/>
      <w:sz w:val="56"/>
      <w:szCs w:val="56"/>
    </w:rPr>
  </w:style>
  <w:style w:type="paragraph" w:styleId="13">
    <w:name w:val="Body Text Indent"/>
    <w:basedOn w:val="1"/>
    <w:qFormat/>
    <w:uiPriority w:val="0"/>
    <w:pPr>
      <w:spacing w:line="200" w:lineRule="exact"/>
      <w:ind w:firstLine="301"/>
    </w:pPr>
    <w:rPr>
      <w:rFonts w:ascii="宋体" w:hAnsi="Courier New"/>
      <w:spacing w:val="-4"/>
      <w:sz w:val="18"/>
      <w:szCs w:val="20"/>
    </w:rPr>
  </w:style>
  <w:style w:type="paragraph" w:styleId="14">
    <w:name w:val="Block Text"/>
    <w:basedOn w:val="1"/>
    <w:qFormat/>
    <w:uiPriority w:val="0"/>
    <w:pPr>
      <w:adjustRightInd w:val="0"/>
      <w:ind w:left="420" w:right="33"/>
      <w:jc w:val="left"/>
      <w:textAlignment w:val="baseline"/>
    </w:pPr>
    <w:rPr>
      <w:kern w:val="0"/>
      <w:sz w:val="24"/>
      <w:szCs w:val="20"/>
    </w:rPr>
  </w:style>
  <w:style w:type="paragraph" w:styleId="15">
    <w:name w:val="toc 3"/>
    <w:basedOn w:val="1"/>
    <w:next w:val="1"/>
    <w:qFormat/>
    <w:uiPriority w:val="0"/>
    <w:pPr>
      <w:ind w:left="840" w:leftChars="400"/>
    </w:pPr>
  </w:style>
  <w:style w:type="paragraph" w:styleId="16">
    <w:name w:val="Plain Text"/>
    <w:basedOn w:val="1"/>
    <w:qFormat/>
    <w:uiPriority w:val="0"/>
    <w:rPr>
      <w:rFonts w:ascii="宋体" w:hAnsi="Courier New"/>
      <w:kern w:val="0"/>
      <w:sz w:val="20"/>
      <w:szCs w:val="21"/>
    </w:rPr>
  </w:style>
  <w:style w:type="paragraph" w:styleId="17">
    <w:name w:val="Balloon Text"/>
    <w:basedOn w:val="1"/>
    <w:link w:val="58"/>
    <w:qFormat/>
    <w:uiPriority w:val="0"/>
    <w:rPr>
      <w:sz w:val="18"/>
      <w:szCs w:val="18"/>
    </w:rPr>
  </w:style>
  <w:style w:type="paragraph" w:styleId="18">
    <w:name w:val="footer"/>
    <w:basedOn w:val="1"/>
    <w:unhideWhenUsed/>
    <w:qFormat/>
    <w:uiPriority w:val="99"/>
    <w:pPr>
      <w:tabs>
        <w:tab w:val="center" w:pos="4153"/>
        <w:tab w:val="right" w:pos="8306"/>
      </w:tabs>
      <w:snapToGrid w:val="0"/>
      <w:jc w:val="left"/>
    </w:pPr>
    <w:rPr>
      <w:kern w:val="0"/>
      <w:sz w:val="18"/>
      <w:szCs w:val="18"/>
    </w:rPr>
  </w:style>
  <w:style w:type="paragraph" w:styleId="19">
    <w:name w:val="envelope return"/>
    <w:basedOn w:val="1"/>
    <w:qFormat/>
    <w:uiPriority w:val="0"/>
    <w:pPr>
      <w:adjustRightInd w:val="0"/>
      <w:snapToGrid w:val="0"/>
      <w:spacing w:line="360" w:lineRule="atLeast"/>
      <w:ind w:firstLine="640" w:firstLineChars="200"/>
    </w:pPr>
    <w:rPr>
      <w:rFonts w:ascii="Arial" w:hAnsi="Arial"/>
    </w:rPr>
  </w:style>
  <w:style w:type="paragraph" w:styleId="20">
    <w:name w:val="header"/>
    <w:basedOn w:val="1"/>
    <w:unhideWhenUsed/>
    <w:qFormat/>
    <w:uiPriority w:val="99"/>
    <w:pPr>
      <w:pBdr>
        <w:bottom w:val="single" w:color="auto" w:sz="6" w:space="1"/>
      </w:pBdr>
      <w:tabs>
        <w:tab w:val="center" w:pos="0"/>
        <w:tab w:val="left" w:pos="8306"/>
      </w:tabs>
      <w:snapToGrid w:val="0"/>
      <w:jc w:val="center"/>
    </w:pPr>
    <w:rPr>
      <w:sz w:val="18"/>
      <w:szCs w:val="18"/>
    </w:rPr>
  </w:style>
  <w:style w:type="paragraph" w:styleId="21">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22">
    <w:name w:val="List"/>
    <w:basedOn w:val="1"/>
    <w:qFormat/>
    <w:uiPriority w:val="0"/>
    <w:pPr>
      <w:ind w:left="200" w:hanging="200" w:hangingChars="200"/>
    </w:pPr>
    <w:rPr>
      <w:sz w:val="28"/>
    </w:rPr>
  </w:style>
  <w:style w:type="paragraph" w:styleId="2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4">
    <w:name w:val="index 1"/>
    <w:basedOn w:val="1"/>
    <w:next w:val="1"/>
    <w:qFormat/>
    <w:uiPriority w:val="0"/>
    <w:pPr>
      <w:spacing w:line="400" w:lineRule="exact"/>
      <w:ind w:firstLine="420" w:firstLineChars="200"/>
    </w:pPr>
    <w:rPr>
      <w:rFonts w:ascii="宋体" w:hAnsi="Courier New"/>
      <w:b/>
      <w:szCs w:val="20"/>
    </w:rPr>
  </w:style>
  <w:style w:type="paragraph" w:styleId="25">
    <w:name w:val="annotation subject"/>
    <w:basedOn w:val="9"/>
    <w:next w:val="9"/>
    <w:link w:val="57"/>
    <w:qFormat/>
    <w:uiPriority w:val="0"/>
    <w:rPr>
      <w:b/>
      <w:bCs/>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qFormat/>
    <w:uiPriority w:val="0"/>
  </w:style>
  <w:style w:type="character" w:styleId="30">
    <w:name w:val="FollowedHyperlink"/>
    <w:basedOn w:val="28"/>
    <w:qFormat/>
    <w:uiPriority w:val="0"/>
    <w:rPr>
      <w:color w:val="800080"/>
      <w:u w:val="none"/>
    </w:rPr>
  </w:style>
  <w:style w:type="character" w:styleId="31">
    <w:name w:val="HTML Definition"/>
    <w:basedOn w:val="28"/>
    <w:qFormat/>
    <w:uiPriority w:val="0"/>
  </w:style>
  <w:style w:type="character" w:styleId="32">
    <w:name w:val="HTML Typewriter"/>
    <w:basedOn w:val="28"/>
    <w:qFormat/>
    <w:uiPriority w:val="0"/>
    <w:rPr>
      <w:rFonts w:hint="default" w:ascii="monospace" w:hAnsi="monospace" w:eastAsia="monospace" w:cs="monospace"/>
      <w:sz w:val="20"/>
    </w:rPr>
  </w:style>
  <w:style w:type="character" w:styleId="33">
    <w:name w:val="HTML Acronym"/>
    <w:basedOn w:val="28"/>
    <w:qFormat/>
    <w:uiPriority w:val="0"/>
  </w:style>
  <w:style w:type="character" w:styleId="34">
    <w:name w:val="HTML Variable"/>
    <w:basedOn w:val="28"/>
    <w:qFormat/>
    <w:uiPriority w:val="0"/>
  </w:style>
  <w:style w:type="character" w:styleId="35">
    <w:name w:val="Hyperlink"/>
    <w:qFormat/>
    <w:uiPriority w:val="0"/>
    <w:rPr>
      <w:color w:val="0000FF"/>
      <w:u w:val="single"/>
    </w:rPr>
  </w:style>
  <w:style w:type="character" w:styleId="36">
    <w:name w:val="HTML Code"/>
    <w:basedOn w:val="28"/>
    <w:qFormat/>
    <w:uiPriority w:val="0"/>
    <w:rPr>
      <w:rFonts w:hint="default" w:ascii="monospace" w:hAnsi="monospace" w:eastAsia="monospace" w:cs="monospace"/>
      <w:sz w:val="20"/>
    </w:rPr>
  </w:style>
  <w:style w:type="character" w:styleId="37">
    <w:name w:val="annotation reference"/>
    <w:unhideWhenUsed/>
    <w:qFormat/>
    <w:uiPriority w:val="0"/>
    <w:rPr>
      <w:sz w:val="21"/>
      <w:szCs w:val="21"/>
    </w:rPr>
  </w:style>
  <w:style w:type="character" w:styleId="38">
    <w:name w:val="HTML Cite"/>
    <w:basedOn w:val="28"/>
    <w:qFormat/>
    <w:uiPriority w:val="0"/>
  </w:style>
  <w:style w:type="character" w:styleId="39">
    <w:name w:val="HTML Keyboard"/>
    <w:basedOn w:val="28"/>
    <w:qFormat/>
    <w:uiPriority w:val="0"/>
    <w:rPr>
      <w:rFonts w:ascii="monospace" w:hAnsi="monospace" w:eastAsia="monospace" w:cs="monospace"/>
      <w:sz w:val="20"/>
    </w:rPr>
  </w:style>
  <w:style w:type="character" w:styleId="40">
    <w:name w:val="HTML Sample"/>
    <w:basedOn w:val="28"/>
    <w:qFormat/>
    <w:uiPriority w:val="0"/>
    <w:rPr>
      <w:rFonts w:hint="default" w:ascii="monospace" w:hAnsi="monospace" w:eastAsia="monospace" w:cs="monospace"/>
    </w:rPr>
  </w:style>
  <w:style w:type="paragraph" w:customStyle="1" w:styleId="41">
    <w:name w:val="正文2"/>
    <w:basedOn w:val="1"/>
    <w:qFormat/>
    <w:uiPriority w:val="0"/>
    <w:pPr>
      <w:adjustRightInd w:val="0"/>
      <w:spacing w:before="156" w:line="360" w:lineRule="auto"/>
      <w:ind w:firstLine="510" w:firstLineChars="200"/>
    </w:pPr>
    <w:rPr>
      <w:sz w:val="24"/>
      <w:szCs w:val="20"/>
    </w:rPr>
  </w:style>
  <w:style w:type="paragraph" w:customStyle="1" w:styleId="42">
    <w:name w:val="正文缩进1"/>
    <w:basedOn w:val="1"/>
    <w:next w:val="13"/>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43">
    <w:name w:val="样式5"/>
    <w:basedOn w:val="1"/>
    <w:qFormat/>
    <w:uiPriority w:val="0"/>
    <w:pPr>
      <w:adjustRightInd w:val="0"/>
      <w:spacing w:line="440" w:lineRule="exact"/>
      <w:ind w:left="2" w:firstLine="480" w:firstLineChars="200"/>
    </w:pPr>
    <w:rPr>
      <w:rFonts w:ascii="仿宋_GB2312" w:hAnsi="仿宋" w:eastAsia="仿宋_GB2312"/>
      <w:sz w:val="24"/>
    </w:rPr>
  </w:style>
  <w:style w:type="character" w:customStyle="1" w:styleId="44">
    <w:name w:val="font171"/>
    <w:basedOn w:val="28"/>
    <w:qFormat/>
    <w:uiPriority w:val="0"/>
    <w:rPr>
      <w:rFonts w:hint="eastAsia" w:ascii="宋体" w:hAnsi="宋体" w:eastAsia="宋体" w:cs="宋体"/>
      <w:color w:val="000000"/>
      <w:sz w:val="20"/>
      <w:szCs w:val="20"/>
      <w:u w:val="none"/>
      <w:vertAlign w:val="superscript"/>
    </w:rPr>
  </w:style>
  <w:style w:type="character" w:customStyle="1" w:styleId="45">
    <w:name w:val="font181"/>
    <w:basedOn w:val="28"/>
    <w:qFormat/>
    <w:uiPriority w:val="0"/>
    <w:rPr>
      <w:rFonts w:hint="eastAsia" w:ascii="宋体" w:hAnsi="宋体" w:eastAsia="宋体" w:cs="宋体"/>
      <w:color w:val="000000"/>
      <w:sz w:val="20"/>
      <w:szCs w:val="20"/>
      <w:u w:val="none"/>
      <w:vertAlign w:val="subscript"/>
    </w:rPr>
  </w:style>
  <w:style w:type="character" w:customStyle="1" w:styleId="46">
    <w:name w:val="font21"/>
    <w:basedOn w:val="28"/>
    <w:qFormat/>
    <w:uiPriority w:val="0"/>
    <w:rPr>
      <w:rFonts w:hint="eastAsia" w:ascii="宋体" w:hAnsi="宋体" w:eastAsia="宋体" w:cs="宋体"/>
      <w:color w:val="000000"/>
      <w:sz w:val="20"/>
      <w:szCs w:val="20"/>
      <w:u w:val="none"/>
    </w:rPr>
  </w:style>
  <w:style w:type="character" w:customStyle="1" w:styleId="47">
    <w:name w:val="font131"/>
    <w:basedOn w:val="28"/>
    <w:qFormat/>
    <w:uiPriority w:val="0"/>
    <w:rPr>
      <w:rFonts w:ascii="Calibri" w:hAnsi="Calibri" w:cs="Calibri"/>
      <w:color w:val="000000"/>
      <w:sz w:val="21"/>
      <w:szCs w:val="21"/>
      <w:u w:val="none"/>
    </w:rPr>
  </w:style>
  <w:style w:type="character" w:customStyle="1" w:styleId="48">
    <w:name w:val="font121"/>
    <w:basedOn w:val="28"/>
    <w:qFormat/>
    <w:uiPriority w:val="0"/>
    <w:rPr>
      <w:rFonts w:hint="eastAsia" w:ascii="宋体" w:hAnsi="宋体" w:eastAsia="宋体" w:cs="宋体"/>
      <w:color w:val="000000"/>
      <w:sz w:val="21"/>
      <w:szCs w:val="21"/>
      <w:u w:val="none"/>
    </w:rPr>
  </w:style>
  <w:style w:type="character" w:customStyle="1" w:styleId="49">
    <w:name w:val="font191"/>
    <w:basedOn w:val="28"/>
    <w:qFormat/>
    <w:uiPriority w:val="0"/>
    <w:rPr>
      <w:rFonts w:hint="default" w:ascii="Calibri" w:hAnsi="Calibri" w:cs="Calibri"/>
      <w:color w:val="000000"/>
      <w:sz w:val="21"/>
      <w:szCs w:val="21"/>
      <w:u w:val="none"/>
      <w:vertAlign w:val="superscript"/>
    </w:rPr>
  </w:style>
  <w:style w:type="paragraph" w:customStyle="1" w:styleId="50">
    <w:name w:val="表格文字"/>
    <w:basedOn w:val="1"/>
    <w:next w:val="11"/>
    <w:qFormat/>
    <w:uiPriority w:val="0"/>
    <w:pPr>
      <w:adjustRightInd w:val="0"/>
      <w:spacing w:line="420" w:lineRule="atLeast"/>
      <w:jc w:val="left"/>
      <w:textAlignment w:val="baseline"/>
    </w:pPr>
    <w:rPr>
      <w:kern w:val="0"/>
    </w:rPr>
  </w:style>
  <w:style w:type="character" w:customStyle="1" w:styleId="51">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paragraph" w:customStyle="1" w:styleId="52">
    <w:name w:val="Default"/>
    <w:next w:val="1"/>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3">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54">
    <w:name w:val="标题 3 字符"/>
    <w:link w:val="4"/>
    <w:qFormat/>
    <w:uiPriority w:val="0"/>
    <w:rPr>
      <w:b/>
      <w:bCs/>
      <w:sz w:val="32"/>
      <w:szCs w:val="32"/>
    </w:rPr>
  </w:style>
  <w:style w:type="paragraph" w:customStyle="1" w:styleId="55">
    <w:name w:val="Table Text"/>
    <w:basedOn w:val="1"/>
    <w:semiHidden/>
    <w:qFormat/>
    <w:uiPriority w:val="0"/>
    <w:rPr>
      <w:rFonts w:ascii="宋体" w:hAnsi="宋体" w:cs="宋体"/>
      <w:szCs w:val="21"/>
      <w:lang w:eastAsia="en-US"/>
    </w:rPr>
  </w:style>
  <w:style w:type="character" w:customStyle="1" w:styleId="56">
    <w:name w:val="批注文字 字符"/>
    <w:basedOn w:val="28"/>
    <w:link w:val="9"/>
    <w:qFormat/>
    <w:uiPriority w:val="99"/>
    <w:rPr>
      <w:kern w:val="2"/>
      <w:sz w:val="21"/>
      <w:szCs w:val="24"/>
    </w:rPr>
  </w:style>
  <w:style w:type="character" w:customStyle="1" w:styleId="57">
    <w:name w:val="批注主题 字符"/>
    <w:basedOn w:val="56"/>
    <w:link w:val="25"/>
    <w:qFormat/>
    <w:uiPriority w:val="0"/>
    <w:rPr>
      <w:b/>
      <w:bCs/>
      <w:kern w:val="2"/>
      <w:sz w:val="21"/>
      <w:szCs w:val="24"/>
    </w:rPr>
  </w:style>
  <w:style w:type="character" w:customStyle="1" w:styleId="58">
    <w:name w:val="批注框文本 字符"/>
    <w:basedOn w:val="28"/>
    <w:link w:val="17"/>
    <w:qFormat/>
    <w:uiPriority w:val="0"/>
    <w:rPr>
      <w:kern w:val="2"/>
      <w:sz w:val="18"/>
      <w:szCs w:val="18"/>
    </w:rPr>
  </w:style>
  <w:style w:type="character" w:customStyle="1" w:styleId="59">
    <w:name w:val="layui-layer-tabnow"/>
    <w:basedOn w:val="28"/>
    <w:qFormat/>
    <w:uiPriority w:val="0"/>
    <w:rPr>
      <w:bdr w:val="single" w:color="CCCCCC" w:sz="6" w:space="0"/>
      <w:shd w:val="clear" w:fill="FFFFFF"/>
    </w:rPr>
  </w:style>
  <w:style w:type="character" w:customStyle="1" w:styleId="60">
    <w:name w:val="first-child"/>
    <w:basedOn w:val="28"/>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Organization</Company>
  <Pages>105</Pages>
  <Words>60585</Words>
  <Characters>67841</Characters>
  <Lines>671</Lines>
  <Paragraphs>189</Paragraphs>
  <TotalTime>44</TotalTime>
  <ScaleCrop>false</ScaleCrop>
  <LinksUpToDate>false</LinksUpToDate>
  <CharactersWithSpaces>75743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2024-10-09T02:09:00Z</dcterms:created>
  <dc:creator>aaDD</dc:creator>
  <cp:lastModifiedBy>aaDD</cp:lastModifiedBy>
  <dcterms:modified xsi:type="dcterms:W3CDTF">2025-05-18T09:27:23Z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BA658920696B47C3A7A968566BAC81EB_13</vt:lpwstr>
  </property>
  <property fmtid="{D5CDD505-2E9C-101B-9397-08002B2CF9AE}" pid="4" name="KSOTemplateDocerSaveRecord">
    <vt:lpwstr>eyJoZGlkIjoiYmQwMzVhNzhlZmQzYzJkYzM4NmFlNGYxMmIxNThlMGUiLCJ1c2VySWQiOiIxMTc3NTc3MzIxIn0=</vt:lpwstr>
  </property>
</Properties>
</file>