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DCC30C">
      <w:pPr>
        <w:spacing w:before="156" w:beforeLines="50" w:line="360" w:lineRule="auto"/>
        <w:jc w:val="center"/>
        <w:rPr>
          <w:rFonts w:hint="eastAsia" w:ascii="宋体" w:hAnsi="宋体" w:eastAsia="宋体" w:cs="宋体"/>
          <w:b/>
          <w:bCs/>
          <w:color w:val="000000"/>
          <w:sz w:val="52"/>
          <w:szCs w:val="52"/>
          <w:lang w:eastAsia="zh-CN"/>
        </w:rPr>
      </w:pPr>
      <w:bookmarkStart w:id="0" w:name="_Toc90289780"/>
      <w:r>
        <w:rPr>
          <w:rFonts w:hint="eastAsia" w:ascii="宋体" w:hAnsi="宋体" w:eastAsia="宋体" w:cs="宋体"/>
          <w:b/>
          <w:bCs/>
          <w:color w:val="000000"/>
          <w:sz w:val="52"/>
          <w:szCs w:val="52"/>
          <w:lang w:eastAsia="zh-CN"/>
        </w:rPr>
        <w:drawing>
          <wp:inline distT="0" distB="0" distL="114300" distR="114300">
            <wp:extent cx="5951855" cy="8418830"/>
            <wp:effectExtent l="0" t="0" r="10795" b="1270"/>
            <wp:docPr id="4" name="图片 4" descr="SCAN0010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SCAN0010_01"/>
                    <pic:cNvPicPr>
                      <a:picLocks noChangeAspect="1"/>
                    </pic:cNvPicPr>
                  </pic:nvPicPr>
                  <pic:blipFill>
                    <a:blip r:embed="rId11"/>
                    <a:stretch>
                      <a:fillRect/>
                    </a:stretch>
                  </pic:blipFill>
                  <pic:spPr>
                    <a:xfrm>
                      <a:off x="0" y="0"/>
                      <a:ext cx="5951855" cy="8418830"/>
                    </a:xfrm>
                    <a:prstGeom prst="rect">
                      <a:avLst/>
                    </a:prstGeom>
                  </pic:spPr>
                </pic:pic>
              </a:graphicData>
            </a:graphic>
          </wp:inline>
        </w:drawing>
      </w:r>
    </w:p>
    <w:p w14:paraId="6C22413F">
      <w:pPr>
        <w:spacing w:before="156" w:beforeLines="50" w:line="360" w:lineRule="auto"/>
        <w:jc w:val="center"/>
        <w:rPr>
          <w:rFonts w:hint="eastAsia" w:ascii="宋体" w:hAnsi="宋体" w:cs="宋体"/>
          <w:b/>
          <w:bCs/>
          <w:color w:val="000000"/>
          <w:sz w:val="52"/>
          <w:szCs w:val="52"/>
        </w:rPr>
      </w:pPr>
    </w:p>
    <w:p w14:paraId="15336E71">
      <w:pPr>
        <w:spacing w:before="156" w:beforeLines="50" w:line="360" w:lineRule="auto"/>
        <w:jc w:val="center"/>
        <w:rPr>
          <w:rFonts w:hint="eastAsia" w:ascii="宋体" w:hAnsi="宋体" w:cs="宋体"/>
          <w:b/>
          <w:bCs/>
          <w:color w:val="000000"/>
          <w:sz w:val="52"/>
          <w:szCs w:val="52"/>
        </w:rPr>
      </w:pPr>
      <w:r>
        <w:rPr>
          <w:rFonts w:hint="eastAsia" w:ascii="宋体" w:hAnsi="宋体" w:cs="宋体"/>
          <w:b/>
          <w:bCs/>
          <w:color w:val="000000"/>
          <w:sz w:val="52"/>
          <w:szCs w:val="52"/>
        </w:rPr>
        <w:t>防城港市本级政府采购</w:t>
      </w:r>
    </w:p>
    <w:p w14:paraId="712098AC">
      <w:pPr>
        <w:spacing w:before="156" w:beforeLines="50" w:line="360" w:lineRule="auto"/>
        <w:jc w:val="center"/>
        <w:rPr>
          <w:rFonts w:hint="eastAsia" w:ascii="宋体" w:hAnsi="宋体" w:cs="宋体"/>
          <w:b/>
          <w:bCs/>
          <w:color w:val="000000"/>
        </w:rPr>
      </w:pPr>
      <w:r>
        <w:rPr>
          <w:rFonts w:hint="eastAsia" w:ascii="宋体" w:hAnsi="宋体" w:cs="宋体"/>
          <w:b/>
          <w:bCs/>
          <w:color w:val="000000"/>
          <w:sz w:val="52"/>
          <w:szCs w:val="52"/>
        </w:rPr>
        <w:t>（货物）</w:t>
      </w:r>
    </w:p>
    <w:p w14:paraId="0A8E0476">
      <w:pPr>
        <w:pStyle w:val="10"/>
        <w:ind w:firstLine="803"/>
        <w:jc w:val="center"/>
        <w:rPr>
          <w:rFonts w:hint="eastAsia" w:ascii="宋体" w:hAnsi="宋体" w:cs="宋体"/>
          <w:b/>
          <w:bCs/>
          <w:color w:val="000000"/>
        </w:rPr>
      </w:pPr>
    </w:p>
    <w:p w14:paraId="054DCDA8">
      <w:pPr>
        <w:pStyle w:val="10"/>
        <w:ind w:firstLine="803"/>
        <w:jc w:val="center"/>
        <w:rPr>
          <w:rFonts w:hint="eastAsia" w:ascii="宋体" w:hAnsi="宋体" w:cs="宋体"/>
          <w:b/>
          <w:bCs/>
          <w:color w:val="000000"/>
          <w:sz w:val="72"/>
          <w:szCs w:val="144"/>
        </w:rPr>
      </w:pPr>
    </w:p>
    <w:p w14:paraId="14D74EA5">
      <w:pPr>
        <w:pStyle w:val="10"/>
        <w:jc w:val="center"/>
        <w:rPr>
          <w:rFonts w:hint="eastAsia" w:ascii="宋体" w:hAnsi="宋体" w:cs="宋体"/>
          <w:b/>
          <w:bCs/>
          <w:color w:val="000000"/>
          <w:sz w:val="72"/>
          <w:szCs w:val="72"/>
        </w:rPr>
      </w:pPr>
      <w:r>
        <w:rPr>
          <w:rFonts w:hint="eastAsia" w:ascii="宋体" w:hAnsi="宋体" w:cs="宋体"/>
          <w:b/>
          <w:bCs/>
          <w:color w:val="000000"/>
          <w:sz w:val="72"/>
          <w:szCs w:val="72"/>
        </w:rPr>
        <w:t>竞争性谈判文件</w:t>
      </w:r>
    </w:p>
    <w:p w14:paraId="22F0D4A7">
      <w:pPr>
        <w:pStyle w:val="10"/>
        <w:jc w:val="center"/>
        <w:rPr>
          <w:rFonts w:hint="eastAsia" w:ascii="宋体" w:hAnsi="宋体" w:cs="宋体"/>
          <w:b/>
          <w:bCs/>
          <w:color w:val="000000"/>
        </w:rPr>
      </w:pPr>
    </w:p>
    <w:p w14:paraId="0C1AD3CD">
      <w:pPr>
        <w:pStyle w:val="10"/>
        <w:jc w:val="center"/>
        <w:rPr>
          <w:rFonts w:hint="eastAsia" w:ascii="宋体" w:hAnsi="宋体" w:cs="宋体"/>
          <w:b/>
          <w:bCs/>
          <w:color w:val="000000"/>
          <w:sz w:val="28"/>
          <w:szCs w:val="28"/>
        </w:rPr>
      </w:pPr>
      <w:r>
        <w:rPr>
          <w:rFonts w:hint="eastAsia" w:ascii="宋体" w:hAnsi="宋体" w:cs="宋体"/>
          <w:b/>
          <w:bCs/>
          <w:color w:val="000000"/>
          <w:sz w:val="28"/>
          <w:szCs w:val="28"/>
        </w:rPr>
        <w:t>（全流程电子化评标）</w:t>
      </w:r>
    </w:p>
    <w:p w14:paraId="7C3C1DBC">
      <w:pPr>
        <w:pStyle w:val="10"/>
        <w:ind w:firstLine="803"/>
        <w:jc w:val="center"/>
        <w:rPr>
          <w:rFonts w:hint="eastAsia" w:ascii="宋体" w:hAnsi="宋体" w:cs="宋体"/>
          <w:color w:val="000000"/>
        </w:rPr>
      </w:pPr>
    </w:p>
    <w:p w14:paraId="294DB354">
      <w:pPr>
        <w:spacing w:line="360" w:lineRule="auto"/>
        <w:ind w:left="2699" w:leftChars="568" w:hanging="1506" w:hangingChars="500"/>
        <w:jc w:val="center"/>
        <w:rPr>
          <w:rFonts w:hint="eastAsia" w:ascii="宋体" w:hAnsi="宋体" w:cs="宋体"/>
          <w:b/>
          <w:color w:val="000000"/>
          <w:sz w:val="30"/>
          <w:szCs w:val="30"/>
        </w:rPr>
      </w:pPr>
    </w:p>
    <w:p w14:paraId="24E56513">
      <w:pPr>
        <w:spacing w:line="360" w:lineRule="auto"/>
        <w:jc w:val="center"/>
        <w:rPr>
          <w:rFonts w:hint="eastAsia" w:ascii="宋体" w:hAnsi="宋体" w:cs="宋体"/>
          <w:b/>
          <w:color w:val="000000"/>
          <w:sz w:val="30"/>
          <w:szCs w:val="30"/>
        </w:rPr>
      </w:pPr>
    </w:p>
    <w:p w14:paraId="0F634F4A">
      <w:pPr>
        <w:spacing w:line="360" w:lineRule="auto"/>
        <w:jc w:val="center"/>
        <w:rPr>
          <w:rFonts w:hint="eastAsia" w:ascii="宋体" w:hAnsi="宋体" w:cs="宋体"/>
          <w:b/>
          <w:color w:val="000000"/>
          <w:kern w:val="0"/>
          <w:sz w:val="28"/>
          <w:szCs w:val="28"/>
          <w:highlight w:val="none"/>
        </w:rPr>
      </w:pPr>
      <w:r>
        <w:rPr>
          <w:rFonts w:hint="eastAsia" w:ascii="宋体" w:hAnsi="宋体" w:cs="宋体"/>
          <w:b/>
          <w:color w:val="000000"/>
          <w:kern w:val="0"/>
          <w:sz w:val="28"/>
          <w:szCs w:val="28"/>
        </w:rPr>
        <w:t xml:space="preserve"> </w:t>
      </w:r>
      <w:r>
        <w:rPr>
          <w:rFonts w:hint="eastAsia" w:ascii="宋体" w:hAnsi="宋体" w:cs="宋体"/>
          <w:b/>
          <w:color w:val="000000"/>
          <w:kern w:val="0"/>
          <w:sz w:val="28"/>
          <w:szCs w:val="28"/>
          <w:highlight w:val="none"/>
        </w:rPr>
        <w:t>项目名称：防城港市妇幼保健院设备采购项目</w:t>
      </w:r>
    </w:p>
    <w:p w14:paraId="6FE58500">
      <w:pPr>
        <w:spacing w:line="360" w:lineRule="auto"/>
        <w:ind w:firstLine="1405" w:firstLineChars="500"/>
        <w:rPr>
          <w:rFonts w:hint="eastAsia" w:ascii="宋体" w:hAnsi="宋体" w:cs="宋体"/>
          <w:b/>
          <w:color w:val="000000"/>
          <w:sz w:val="28"/>
          <w:szCs w:val="28"/>
          <w:highlight w:val="none"/>
        </w:rPr>
      </w:pPr>
      <w:r>
        <w:rPr>
          <w:rFonts w:hint="eastAsia" w:ascii="宋体" w:hAnsi="宋体" w:cs="宋体"/>
          <w:b/>
          <w:color w:val="000000"/>
          <w:sz w:val="28"/>
          <w:szCs w:val="28"/>
          <w:highlight w:val="none"/>
        </w:rPr>
        <w:t>项目编号：FCZC2025-J1-990185-ZTZX</w:t>
      </w:r>
    </w:p>
    <w:p w14:paraId="532C36E7">
      <w:pPr>
        <w:spacing w:line="360" w:lineRule="auto"/>
        <w:ind w:firstLine="1687" w:firstLineChars="600"/>
        <w:jc w:val="center"/>
        <w:rPr>
          <w:rFonts w:hint="eastAsia" w:ascii="宋体" w:hAnsi="宋体" w:cs="宋体"/>
          <w:b/>
          <w:sz w:val="28"/>
          <w:szCs w:val="28"/>
          <w:highlight w:val="yellow"/>
        </w:rPr>
      </w:pPr>
    </w:p>
    <w:p w14:paraId="624316F4">
      <w:pPr>
        <w:spacing w:line="360" w:lineRule="auto"/>
        <w:jc w:val="center"/>
        <w:rPr>
          <w:rFonts w:hint="eastAsia" w:ascii="宋体" w:hAnsi="宋体" w:cs="宋体"/>
          <w:b/>
          <w:color w:val="000000"/>
          <w:sz w:val="28"/>
          <w:szCs w:val="28"/>
        </w:rPr>
      </w:pPr>
    </w:p>
    <w:p w14:paraId="42D48314">
      <w:pPr>
        <w:spacing w:line="360" w:lineRule="auto"/>
        <w:ind w:firstLine="1687" w:firstLineChars="600"/>
        <w:rPr>
          <w:rFonts w:hint="eastAsia" w:ascii="宋体" w:hAnsi="宋体"/>
          <w:b/>
          <w:sz w:val="28"/>
          <w:szCs w:val="28"/>
        </w:rPr>
      </w:pPr>
      <w:r>
        <w:rPr>
          <w:rFonts w:hint="eastAsia" w:ascii="宋体" w:hAnsi="宋体" w:cs="宋体"/>
          <w:b/>
          <w:color w:val="000000"/>
          <w:sz w:val="28"/>
          <w:szCs w:val="28"/>
        </w:rPr>
        <w:t>采 购 人：防城港市妇幼保健院</w:t>
      </w:r>
    </w:p>
    <w:p w14:paraId="6DB57A71">
      <w:pPr>
        <w:spacing w:line="360" w:lineRule="auto"/>
        <w:jc w:val="center"/>
        <w:rPr>
          <w:rFonts w:hint="eastAsia" w:ascii="宋体" w:hAnsi="宋体" w:cs="宋体"/>
          <w:b/>
          <w:color w:val="000000"/>
          <w:sz w:val="28"/>
          <w:szCs w:val="28"/>
        </w:rPr>
      </w:pPr>
      <w:r>
        <w:rPr>
          <w:rFonts w:hint="eastAsia" w:ascii="宋体" w:hAnsi="宋体" w:cs="宋体"/>
          <w:b/>
          <w:color w:val="000000"/>
          <w:kern w:val="0"/>
          <w:sz w:val="28"/>
          <w:szCs w:val="28"/>
        </w:rPr>
        <w:t xml:space="preserve"> 采购代理机构：</w:t>
      </w:r>
      <w:r>
        <w:rPr>
          <w:rFonts w:hint="eastAsia" w:ascii="宋体" w:hAnsi="宋体" w:cs="宋体"/>
          <w:b/>
          <w:sz w:val="28"/>
          <w:szCs w:val="28"/>
        </w:rPr>
        <w:t>广西政投项目咨询有限公司</w:t>
      </w:r>
    </w:p>
    <w:p w14:paraId="66273BA2">
      <w:pPr>
        <w:spacing w:line="360" w:lineRule="auto"/>
        <w:ind w:firstLine="2530" w:firstLineChars="900"/>
        <w:jc w:val="center"/>
        <w:rPr>
          <w:rFonts w:hint="eastAsia" w:ascii="宋体" w:hAnsi="宋体" w:cs="宋体"/>
          <w:b/>
          <w:color w:val="000000"/>
          <w:kern w:val="0"/>
          <w:sz w:val="28"/>
          <w:szCs w:val="28"/>
        </w:rPr>
      </w:pPr>
    </w:p>
    <w:p w14:paraId="0A2795FD">
      <w:pPr>
        <w:spacing w:line="360" w:lineRule="auto"/>
        <w:jc w:val="center"/>
        <w:rPr>
          <w:rFonts w:hint="eastAsia" w:ascii="宋体" w:hAnsi="宋体" w:cs="宋体"/>
          <w:b/>
          <w:bCs/>
          <w:color w:val="000000"/>
          <w:kern w:val="0"/>
          <w:sz w:val="28"/>
          <w:szCs w:val="28"/>
        </w:rPr>
        <w:sectPr>
          <w:headerReference r:id="rId4" w:type="first"/>
          <w:footerReference r:id="rId6" w:type="first"/>
          <w:headerReference r:id="rId3" w:type="default"/>
          <w:footerReference r:id="rId5" w:type="default"/>
          <w:pgSz w:w="11906" w:h="16838"/>
          <w:pgMar w:top="1440" w:right="1800" w:bottom="1440" w:left="1800" w:header="851" w:footer="992" w:gutter="0"/>
          <w:pgNumType w:start="0"/>
          <w:cols w:space="720" w:num="1"/>
          <w:titlePg/>
          <w:docGrid w:type="lines" w:linePitch="312" w:charSpace="0"/>
        </w:sectPr>
      </w:pPr>
      <w:r>
        <w:rPr>
          <w:rFonts w:hint="eastAsia" w:ascii="宋体" w:hAnsi="宋体" w:cs="宋体"/>
          <w:b/>
          <w:color w:val="000000"/>
          <w:kern w:val="0"/>
          <w:sz w:val="28"/>
          <w:szCs w:val="28"/>
        </w:rPr>
        <w:t>2025年</w:t>
      </w:r>
      <w:r>
        <w:rPr>
          <w:rFonts w:hint="eastAsia" w:ascii="宋体" w:hAnsi="宋体" w:cs="宋体"/>
          <w:b/>
          <w:color w:val="000000"/>
          <w:kern w:val="0"/>
          <w:sz w:val="28"/>
          <w:szCs w:val="28"/>
          <w:lang w:val="en-US" w:eastAsia="zh-CN"/>
        </w:rPr>
        <w:t>12</w:t>
      </w:r>
      <w:r>
        <w:rPr>
          <w:rFonts w:hint="eastAsia" w:ascii="宋体" w:hAnsi="宋体" w:cs="宋体"/>
          <w:b/>
          <w:color w:val="000000"/>
          <w:kern w:val="0"/>
          <w:sz w:val="28"/>
          <w:szCs w:val="28"/>
        </w:rPr>
        <w:t>月</w:t>
      </w:r>
      <w:r>
        <w:rPr>
          <w:rFonts w:hint="eastAsia" w:ascii="宋体" w:hAnsi="宋体" w:cs="宋体"/>
          <w:b/>
          <w:color w:val="000000"/>
          <w:kern w:val="0"/>
          <w:sz w:val="28"/>
          <w:szCs w:val="28"/>
          <w:lang w:val="en-US" w:eastAsia="zh-CN"/>
        </w:rPr>
        <w:t>3</w:t>
      </w:r>
      <w:r>
        <w:rPr>
          <w:rFonts w:hint="eastAsia" w:ascii="宋体" w:hAnsi="宋体" w:cs="宋体"/>
          <w:b/>
          <w:color w:val="000000"/>
          <w:kern w:val="0"/>
          <w:sz w:val="28"/>
          <w:szCs w:val="28"/>
        </w:rPr>
        <w:t>日</w:t>
      </w:r>
    </w:p>
    <w:p w14:paraId="2BB1C01C">
      <w:pPr>
        <w:spacing w:line="360" w:lineRule="auto"/>
        <w:jc w:val="center"/>
      </w:pPr>
      <w:r>
        <w:rPr>
          <w:rFonts w:hint="eastAsia" w:ascii="宋体" w:hAnsi="宋体" w:cs="宋体"/>
          <w:b/>
          <w:color w:val="000000"/>
          <w:sz w:val="30"/>
          <w:szCs w:val="30"/>
        </w:rPr>
        <w:t>目   录</w:t>
      </w:r>
      <w:r>
        <w:rPr>
          <w:rFonts w:hint="eastAsia"/>
        </w:rPr>
        <w:tab/>
      </w:r>
    </w:p>
    <w:sdt>
      <w:sdtPr>
        <w:rPr>
          <w:rFonts w:ascii="宋体" w:hAnsi="宋体"/>
        </w:rPr>
        <w:id w:val="147476289"/>
        <w15:color w:val="DBDBDB"/>
        <w:docPartObj>
          <w:docPartGallery w:val="Table of Contents"/>
          <w:docPartUnique/>
        </w:docPartObj>
      </w:sdtPr>
      <w:sdtEndPr>
        <w:rPr>
          <w:rFonts w:hint="eastAsia" w:ascii="Times New Roman" w:hAnsi="Times New Roman"/>
          <w:sz w:val="28"/>
          <w:szCs w:val="28"/>
        </w:rPr>
      </w:sdtEndPr>
      <w:sdtContent>
        <w:p w14:paraId="5D23CAA9">
          <w:pPr>
            <w:jc w:val="center"/>
          </w:pPr>
        </w:p>
        <w:p w14:paraId="4122A317">
          <w:pPr>
            <w:pStyle w:val="21"/>
            <w:tabs>
              <w:tab w:val="right" w:leader="dot" w:pos="8879"/>
            </w:tabs>
            <w:rPr>
              <w:sz w:val="28"/>
              <w:szCs w:val="28"/>
            </w:rPr>
          </w:pPr>
          <w:r>
            <w:rPr>
              <w:rFonts w:hint="eastAsia"/>
              <w:sz w:val="28"/>
              <w:szCs w:val="28"/>
            </w:rPr>
            <w:fldChar w:fldCharType="begin"/>
          </w:r>
          <w:r>
            <w:rPr>
              <w:rFonts w:hint="eastAsia"/>
              <w:sz w:val="28"/>
              <w:szCs w:val="28"/>
            </w:rPr>
            <w:instrText xml:space="preserve">TOC \o "1-3" \h \u </w:instrText>
          </w:r>
          <w:r>
            <w:rPr>
              <w:rFonts w:hint="eastAsia"/>
              <w:sz w:val="28"/>
              <w:szCs w:val="28"/>
            </w:rPr>
            <w:fldChar w:fldCharType="separate"/>
          </w:r>
          <w:r>
            <w:fldChar w:fldCharType="begin"/>
          </w:r>
          <w:r>
            <w:instrText xml:space="preserve"> HYPERLINK \l "_Toc3405" </w:instrText>
          </w:r>
          <w:r>
            <w:fldChar w:fldCharType="separate"/>
          </w:r>
          <w:r>
            <w:rPr>
              <w:rFonts w:hint="eastAsia" w:ascii="宋体" w:hAnsi="宋体" w:cs="宋体"/>
              <w:bCs/>
              <w:sz w:val="28"/>
              <w:szCs w:val="28"/>
            </w:rPr>
            <w:t>第一章 竞争性谈判公告</w:t>
          </w:r>
          <w:r>
            <w:rPr>
              <w:sz w:val="28"/>
              <w:szCs w:val="28"/>
            </w:rPr>
            <w:tab/>
          </w:r>
          <w:r>
            <w:rPr>
              <w:sz w:val="28"/>
              <w:szCs w:val="28"/>
            </w:rPr>
            <w:fldChar w:fldCharType="begin"/>
          </w:r>
          <w:r>
            <w:rPr>
              <w:sz w:val="28"/>
              <w:szCs w:val="28"/>
            </w:rPr>
            <w:instrText xml:space="preserve"> PAGEREF _Toc3405 \h </w:instrText>
          </w:r>
          <w:r>
            <w:rPr>
              <w:sz w:val="28"/>
              <w:szCs w:val="28"/>
            </w:rPr>
            <w:fldChar w:fldCharType="separate"/>
          </w:r>
          <w:r>
            <w:rPr>
              <w:sz w:val="28"/>
              <w:szCs w:val="28"/>
            </w:rPr>
            <w:t>1</w:t>
          </w:r>
          <w:r>
            <w:rPr>
              <w:sz w:val="28"/>
              <w:szCs w:val="28"/>
            </w:rPr>
            <w:fldChar w:fldCharType="end"/>
          </w:r>
          <w:r>
            <w:rPr>
              <w:sz w:val="28"/>
              <w:szCs w:val="28"/>
            </w:rPr>
            <w:fldChar w:fldCharType="end"/>
          </w:r>
        </w:p>
        <w:p w14:paraId="68D78032">
          <w:pPr>
            <w:pStyle w:val="21"/>
            <w:tabs>
              <w:tab w:val="right" w:leader="dot" w:pos="8879"/>
            </w:tabs>
            <w:rPr>
              <w:sz w:val="28"/>
              <w:szCs w:val="28"/>
            </w:rPr>
          </w:pPr>
          <w:r>
            <w:fldChar w:fldCharType="begin"/>
          </w:r>
          <w:r>
            <w:instrText xml:space="preserve"> HYPERLINK \l "_Toc17825" </w:instrText>
          </w:r>
          <w:r>
            <w:fldChar w:fldCharType="separate"/>
          </w:r>
          <w:r>
            <w:rPr>
              <w:rFonts w:hint="eastAsia"/>
              <w:sz w:val="28"/>
              <w:szCs w:val="28"/>
            </w:rPr>
            <w:t>第二章 供应商须知</w:t>
          </w:r>
          <w:r>
            <w:rPr>
              <w:sz w:val="28"/>
              <w:szCs w:val="28"/>
            </w:rPr>
            <w:tab/>
          </w:r>
          <w:r>
            <w:rPr>
              <w:sz w:val="28"/>
              <w:szCs w:val="28"/>
            </w:rPr>
            <w:fldChar w:fldCharType="begin"/>
          </w:r>
          <w:r>
            <w:rPr>
              <w:sz w:val="28"/>
              <w:szCs w:val="28"/>
            </w:rPr>
            <w:instrText xml:space="preserve"> PAGEREF _Toc17825 \h </w:instrText>
          </w:r>
          <w:r>
            <w:rPr>
              <w:sz w:val="28"/>
              <w:szCs w:val="28"/>
            </w:rPr>
            <w:fldChar w:fldCharType="separate"/>
          </w:r>
          <w:r>
            <w:rPr>
              <w:sz w:val="28"/>
              <w:szCs w:val="28"/>
            </w:rPr>
            <w:t>5</w:t>
          </w:r>
          <w:r>
            <w:rPr>
              <w:sz w:val="28"/>
              <w:szCs w:val="28"/>
            </w:rPr>
            <w:fldChar w:fldCharType="end"/>
          </w:r>
          <w:r>
            <w:rPr>
              <w:sz w:val="28"/>
              <w:szCs w:val="28"/>
            </w:rPr>
            <w:fldChar w:fldCharType="end"/>
          </w:r>
        </w:p>
        <w:p w14:paraId="2E5DEC03">
          <w:pPr>
            <w:pStyle w:val="21"/>
            <w:tabs>
              <w:tab w:val="right" w:leader="dot" w:pos="8879"/>
            </w:tabs>
            <w:rPr>
              <w:sz w:val="28"/>
              <w:szCs w:val="28"/>
            </w:rPr>
          </w:pPr>
          <w:r>
            <w:fldChar w:fldCharType="begin"/>
          </w:r>
          <w:r>
            <w:instrText xml:space="preserve"> HYPERLINK \l "_Toc26466" </w:instrText>
          </w:r>
          <w:r>
            <w:fldChar w:fldCharType="separate"/>
          </w:r>
          <w:r>
            <w:rPr>
              <w:rFonts w:hint="eastAsia"/>
              <w:sz w:val="28"/>
              <w:szCs w:val="28"/>
            </w:rPr>
            <w:t>第三章 采购需求</w:t>
          </w:r>
          <w:r>
            <w:rPr>
              <w:sz w:val="28"/>
              <w:szCs w:val="28"/>
            </w:rPr>
            <w:tab/>
          </w:r>
          <w:r>
            <w:rPr>
              <w:sz w:val="28"/>
              <w:szCs w:val="28"/>
            </w:rPr>
            <w:fldChar w:fldCharType="begin"/>
          </w:r>
          <w:r>
            <w:rPr>
              <w:sz w:val="28"/>
              <w:szCs w:val="28"/>
            </w:rPr>
            <w:instrText xml:space="preserve"> PAGEREF _Toc26466 \h </w:instrText>
          </w:r>
          <w:r>
            <w:rPr>
              <w:sz w:val="28"/>
              <w:szCs w:val="28"/>
            </w:rPr>
            <w:fldChar w:fldCharType="separate"/>
          </w:r>
          <w:r>
            <w:rPr>
              <w:sz w:val="28"/>
              <w:szCs w:val="28"/>
            </w:rPr>
            <w:t>21</w:t>
          </w:r>
          <w:r>
            <w:rPr>
              <w:sz w:val="28"/>
              <w:szCs w:val="28"/>
            </w:rPr>
            <w:fldChar w:fldCharType="end"/>
          </w:r>
          <w:r>
            <w:rPr>
              <w:sz w:val="28"/>
              <w:szCs w:val="28"/>
            </w:rPr>
            <w:fldChar w:fldCharType="end"/>
          </w:r>
        </w:p>
        <w:p w14:paraId="6433ED81">
          <w:pPr>
            <w:pStyle w:val="21"/>
            <w:tabs>
              <w:tab w:val="right" w:leader="dot" w:pos="8879"/>
            </w:tabs>
            <w:rPr>
              <w:sz w:val="28"/>
              <w:szCs w:val="28"/>
            </w:rPr>
          </w:pPr>
          <w:r>
            <w:fldChar w:fldCharType="begin"/>
          </w:r>
          <w:r>
            <w:instrText xml:space="preserve"> HYPERLINK \l "_Toc1725" </w:instrText>
          </w:r>
          <w:r>
            <w:fldChar w:fldCharType="separate"/>
          </w:r>
          <w:r>
            <w:rPr>
              <w:rFonts w:hint="eastAsia"/>
              <w:sz w:val="28"/>
              <w:szCs w:val="28"/>
            </w:rPr>
            <w:t>第四章  评审程序、评审方法和成交标准</w:t>
          </w:r>
          <w:r>
            <w:rPr>
              <w:sz w:val="28"/>
              <w:szCs w:val="28"/>
            </w:rPr>
            <w:tab/>
          </w:r>
          <w:r>
            <w:rPr>
              <w:sz w:val="28"/>
              <w:szCs w:val="28"/>
            </w:rPr>
            <w:fldChar w:fldCharType="begin"/>
          </w:r>
          <w:r>
            <w:rPr>
              <w:sz w:val="28"/>
              <w:szCs w:val="28"/>
            </w:rPr>
            <w:instrText xml:space="preserve"> PAGEREF _Toc1725 \h </w:instrText>
          </w:r>
          <w:r>
            <w:rPr>
              <w:sz w:val="28"/>
              <w:szCs w:val="28"/>
            </w:rPr>
            <w:fldChar w:fldCharType="separate"/>
          </w:r>
          <w:r>
            <w:rPr>
              <w:sz w:val="28"/>
              <w:szCs w:val="28"/>
            </w:rPr>
            <w:t>37</w:t>
          </w:r>
          <w:r>
            <w:rPr>
              <w:sz w:val="28"/>
              <w:szCs w:val="28"/>
            </w:rPr>
            <w:fldChar w:fldCharType="end"/>
          </w:r>
          <w:r>
            <w:rPr>
              <w:sz w:val="28"/>
              <w:szCs w:val="28"/>
            </w:rPr>
            <w:fldChar w:fldCharType="end"/>
          </w:r>
        </w:p>
        <w:p w14:paraId="372B5378">
          <w:pPr>
            <w:pStyle w:val="21"/>
            <w:tabs>
              <w:tab w:val="right" w:leader="dot" w:pos="8879"/>
            </w:tabs>
            <w:rPr>
              <w:sz w:val="28"/>
              <w:szCs w:val="28"/>
            </w:rPr>
          </w:pPr>
          <w:r>
            <w:fldChar w:fldCharType="begin"/>
          </w:r>
          <w:r>
            <w:instrText xml:space="preserve"> HYPERLINK \l "_Toc24679" </w:instrText>
          </w:r>
          <w:r>
            <w:fldChar w:fldCharType="separate"/>
          </w:r>
          <w:r>
            <w:rPr>
              <w:rFonts w:hint="eastAsia" w:ascii="宋体" w:hAnsi="宋体" w:cs="宋体"/>
              <w:sz w:val="28"/>
              <w:szCs w:val="28"/>
            </w:rPr>
            <w:t>第五章 响应文件格式</w:t>
          </w:r>
          <w:r>
            <w:rPr>
              <w:sz w:val="28"/>
              <w:szCs w:val="28"/>
            </w:rPr>
            <w:tab/>
          </w:r>
          <w:r>
            <w:rPr>
              <w:sz w:val="28"/>
              <w:szCs w:val="28"/>
            </w:rPr>
            <w:fldChar w:fldCharType="begin"/>
          </w:r>
          <w:r>
            <w:rPr>
              <w:sz w:val="28"/>
              <w:szCs w:val="28"/>
            </w:rPr>
            <w:instrText xml:space="preserve"> PAGEREF _Toc24679 \h </w:instrText>
          </w:r>
          <w:r>
            <w:rPr>
              <w:sz w:val="28"/>
              <w:szCs w:val="28"/>
            </w:rPr>
            <w:fldChar w:fldCharType="separate"/>
          </w:r>
          <w:r>
            <w:rPr>
              <w:sz w:val="28"/>
              <w:szCs w:val="28"/>
            </w:rPr>
            <w:t>40</w:t>
          </w:r>
          <w:r>
            <w:rPr>
              <w:sz w:val="28"/>
              <w:szCs w:val="28"/>
            </w:rPr>
            <w:fldChar w:fldCharType="end"/>
          </w:r>
          <w:r>
            <w:rPr>
              <w:sz w:val="28"/>
              <w:szCs w:val="28"/>
            </w:rPr>
            <w:fldChar w:fldCharType="end"/>
          </w:r>
        </w:p>
        <w:p w14:paraId="142DE1C3">
          <w:pPr>
            <w:pStyle w:val="21"/>
            <w:tabs>
              <w:tab w:val="right" w:leader="dot" w:pos="8879"/>
            </w:tabs>
            <w:rPr>
              <w:sz w:val="28"/>
              <w:szCs w:val="28"/>
            </w:rPr>
          </w:pPr>
          <w:r>
            <w:fldChar w:fldCharType="begin"/>
          </w:r>
          <w:r>
            <w:instrText xml:space="preserve"> HYPERLINK \l "_Toc883" </w:instrText>
          </w:r>
          <w:r>
            <w:fldChar w:fldCharType="separate"/>
          </w:r>
          <w:r>
            <w:rPr>
              <w:rFonts w:hint="eastAsia"/>
              <w:sz w:val="28"/>
              <w:szCs w:val="28"/>
            </w:rPr>
            <w:t>第六章 拟签订的合同文本</w:t>
          </w:r>
          <w:r>
            <w:rPr>
              <w:sz w:val="28"/>
              <w:szCs w:val="28"/>
            </w:rPr>
            <w:tab/>
          </w:r>
          <w:r>
            <w:rPr>
              <w:sz w:val="28"/>
              <w:szCs w:val="28"/>
            </w:rPr>
            <w:fldChar w:fldCharType="begin"/>
          </w:r>
          <w:r>
            <w:rPr>
              <w:sz w:val="28"/>
              <w:szCs w:val="28"/>
            </w:rPr>
            <w:instrText xml:space="preserve"> PAGEREF _Toc883 \h </w:instrText>
          </w:r>
          <w:r>
            <w:rPr>
              <w:sz w:val="28"/>
              <w:szCs w:val="28"/>
            </w:rPr>
            <w:fldChar w:fldCharType="separate"/>
          </w:r>
          <w:r>
            <w:rPr>
              <w:sz w:val="28"/>
              <w:szCs w:val="28"/>
            </w:rPr>
            <w:t>66</w:t>
          </w:r>
          <w:r>
            <w:rPr>
              <w:sz w:val="28"/>
              <w:szCs w:val="28"/>
            </w:rPr>
            <w:fldChar w:fldCharType="end"/>
          </w:r>
          <w:r>
            <w:rPr>
              <w:sz w:val="28"/>
              <w:szCs w:val="28"/>
            </w:rPr>
            <w:fldChar w:fldCharType="end"/>
          </w:r>
        </w:p>
        <w:p w14:paraId="3F3AAE09">
          <w:pPr>
            <w:pStyle w:val="8"/>
            <w:spacing w:line="360" w:lineRule="auto"/>
            <w:rPr>
              <w:sz w:val="28"/>
              <w:szCs w:val="28"/>
            </w:rPr>
          </w:pPr>
          <w:r>
            <w:rPr>
              <w:rFonts w:hint="eastAsia"/>
              <w:sz w:val="28"/>
              <w:szCs w:val="28"/>
            </w:rPr>
            <w:fldChar w:fldCharType="end"/>
          </w:r>
        </w:p>
      </w:sdtContent>
    </w:sdt>
    <w:p w14:paraId="493371F3">
      <w:pPr>
        <w:sectPr>
          <w:pgSz w:w="11906" w:h="16838"/>
          <w:pgMar w:top="1440" w:right="1440" w:bottom="1440" w:left="1587" w:header="851" w:footer="992" w:gutter="0"/>
          <w:pgNumType w:start="0"/>
          <w:cols w:space="720" w:num="1"/>
          <w:titlePg/>
          <w:docGrid w:type="lines" w:linePitch="312" w:charSpace="0"/>
        </w:sectPr>
      </w:pPr>
    </w:p>
    <w:p w14:paraId="55A75995">
      <w:pPr>
        <w:pStyle w:val="2"/>
        <w:spacing w:line="340" w:lineRule="exact"/>
        <w:jc w:val="center"/>
        <w:rPr>
          <w:rFonts w:hint="eastAsia" w:ascii="宋体" w:hAnsi="宋体" w:cs="宋体"/>
          <w:color w:val="000000"/>
          <w:sz w:val="32"/>
          <w:szCs w:val="32"/>
        </w:rPr>
      </w:pPr>
      <w:bookmarkStart w:id="1" w:name="_Toc3405"/>
      <w:bookmarkStart w:id="2" w:name="_Toc90289779"/>
      <w:r>
        <w:rPr>
          <w:rFonts w:hint="eastAsia" w:ascii="宋体" w:hAnsi="宋体" w:cs="宋体"/>
          <w:color w:val="000000"/>
          <w:sz w:val="32"/>
          <w:szCs w:val="32"/>
        </w:rPr>
        <w:t>第一章 竞争性谈判公告</w:t>
      </w:r>
      <w:bookmarkEnd w:id="1"/>
      <w:bookmarkEnd w:id="2"/>
      <w:bookmarkStart w:id="3" w:name="_Toc44229878"/>
      <w:bookmarkStart w:id="4" w:name="_Toc35393798"/>
      <w:bookmarkStart w:id="5" w:name="_Toc28359004"/>
      <w:bookmarkStart w:id="6" w:name="_Toc35393629"/>
      <w:bookmarkStart w:id="7" w:name="_Toc35393623"/>
      <w:bookmarkStart w:id="8" w:name="_Toc28359089"/>
      <w:bookmarkStart w:id="9" w:name="_Toc28359081"/>
      <w:bookmarkStart w:id="10" w:name="_Toc35393792"/>
      <w:bookmarkStart w:id="11" w:name="_Toc28359012"/>
    </w:p>
    <w:bookmarkEnd w:id="3"/>
    <w:bookmarkEnd w:id="4"/>
    <w:bookmarkEnd w:id="5"/>
    <w:bookmarkEnd w:id="6"/>
    <w:bookmarkEnd w:id="7"/>
    <w:bookmarkEnd w:id="8"/>
    <w:bookmarkEnd w:id="9"/>
    <w:bookmarkEnd w:id="10"/>
    <w:bookmarkEnd w:id="11"/>
    <w:p w14:paraId="10248EF6">
      <w:pPr>
        <w:ind w:firstLine="321" w:firstLineChars="100"/>
        <w:jc w:val="center"/>
        <w:rPr>
          <w:b/>
          <w:bCs/>
        </w:rPr>
      </w:pPr>
      <w:r>
        <w:rPr>
          <w:rFonts w:hint="eastAsia" w:ascii="宋体" w:hAnsi="宋体" w:cs="宋体"/>
          <w:b/>
          <w:bCs/>
          <w:color w:val="000000"/>
          <w:sz w:val="32"/>
          <w:szCs w:val="32"/>
        </w:rPr>
        <w:t>广西政投项目咨询有限公司关于防城港市妇幼保健院设备采购项目的竞争性谈判公告</w:t>
      </w:r>
    </w:p>
    <w:tbl>
      <w:tblPr>
        <w:tblStyle w:val="24"/>
        <w:tblW w:w="0" w:type="auto"/>
        <w:tblInd w:w="5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93"/>
      </w:tblGrid>
      <w:tr w14:paraId="4F4FA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9" w:hRule="atLeast"/>
        </w:trPr>
        <w:tc>
          <w:tcPr>
            <w:tcW w:w="9193" w:type="dxa"/>
            <w:vAlign w:val="center"/>
          </w:tcPr>
          <w:p w14:paraId="658D2112">
            <w:pPr>
              <w:spacing w:line="336" w:lineRule="auto"/>
              <w:rPr>
                <w:rFonts w:hint="eastAsia" w:ascii="宋体" w:hAnsi="宋体" w:cs="宋体"/>
                <w:szCs w:val="21"/>
              </w:rPr>
            </w:pPr>
            <w:r>
              <w:rPr>
                <w:rFonts w:hint="eastAsia" w:ascii="宋体" w:hAnsi="宋体" w:cs="宋体"/>
                <w:szCs w:val="21"/>
              </w:rPr>
              <w:t>项目概况</w:t>
            </w:r>
          </w:p>
          <w:p w14:paraId="723AA819">
            <w:pPr>
              <w:spacing w:line="336" w:lineRule="auto"/>
              <w:ind w:firstLine="420" w:firstLineChars="200"/>
              <w:rPr>
                <w:rFonts w:hint="eastAsia" w:ascii="宋体" w:hAnsi="宋体" w:cs="宋体"/>
                <w:szCs w:val="21"/>
              </w:rPr>
            </w:pPr>
            <w:r>
              <w:rPr>
                <w:rFonts w:hint="eastAsia" w:ascii="宋体" w:hAnsi="宋体" w:cs="宋体"/>
                <w:szCs w:val="21"/>
                <w:u w:val="single"/>
              </w:rPr>
              <w:t>防城港市妇幼保健院设备采购项目</w:t>
            </w:r>
            <w:r>
              <w:rPr>
                <w:rFonts w:hint="eastAsia" w:ascii="宋体" w:hAnsi="宋体" w:cs="宋体"/>
                <w:szCs w:val="21"/>
              </w:rPr>
              <w:t>的潜在供应商应在广西政府采购云平台（https://www.gcy.zfcg.gxzf.gov.cn/）获取（下载）获取竞争性谈判文件，并于</w:t>
            </w:r>
            <w:r>
              <w:rPr>
                <w:rFonts w:hint="eastAsia" w:ascii="宋体" w:hAnsi="宋体" w:cs="宋体"/>
                <w:szCs w:val="21"/>
                <w:u w:val="single"/>
              </w:rPr>
              <w:t>2025年</w:t>
            </w:r>
            <w:r>
              <w:rPr>
                <w:rFonts w:hint="eastAsia" w:ascii="宋体" w:hAnsi="宋体" w:cs="宋体"/>
                <w:szCs w:val="21"/>
                <w:u w:val="single"/>
                <w:lang w:val="en-US" w:eastAsia="zh-CN"/>
              </w:rPr>
              <w:t>12</w:t>
            </w:r>
            <w:r>
              <w:rPr>
                <w:rFonts w:hint="eastAsia" w:ascii="宋体" w:hAnsi="宋体" w:cs="宋体"/>
                <w:szCs w:val="21"/>
                <w:u w:val="single"/>
              </w:rPr>
              <w:t>月</w:t>
            </w:r>
            <w:r>
              <w:rPr>
                <w:rFonts w:hint="eastAsia" w:ascii="宋体" w:hAnsi="宋体" w:cs="宋体"/>
                <w:szCs w:val="21"/>
                <w:u w:val="single"/>
                <w:lang w:val="en-US" w:eastAsia="zh-CN"/>
              </w:rPr>
              <w:t>9</w:t>
            </w:r>
            <w:r>
              <w:rPr>
                <w:rFonts w:hint="eastAsia" w:ascii="宋体" w:hAnsi="宋体" w:cs="宋体"/>
                <w:szCs w:val="21"/>
                <w:u w:val="single"/>
              </w:rPr>
              <w:t>日</w:t>
            </w:r>
            <w:bookmarkStart w:id="54" w:name="_GoBack"/>
            <w:r>
              <w:rPr>
                <w:rFonts w:hint="eastAsia" w:ascii="宋体" w:hAnsi="宋体" w:cs="宋体"/>
                <w:szCs w:val="21"/>
                <w:highlight w:val="none"/>
                <w:u w:val="single"/>
                <w:lang w:val="en-US" w:eastAsia="zh-CN"/>
              </w:rPr>
              <w:t>13</w:t>
            </w:r>
            <w:r>
              <w:rPr>
                <w:rFonts w:hint="eastAsia" w:ascii="宋体" w:hAnsi="宋体" w:cs="宋体"/>
                <w:szCs w:val="21"/>
                <w:highlight w:val="none"/>
                <w:u w:val="single"/>
              </w:rPr>
              <w:t>时30 分</w:t>
            </w:r>
            <w:r>
              <w:rPr>
                <w:rFonts w:hint="eastAsia" w:ascii="宋体" w:hAnsi="宋体" w:cs="宋体"/>
                <w:szCs w:val="21"/>
                <w:highlight w:val="none"/>
              </w:rPr>
              <w:t>（北京时间）前提交响应文件。</w:t>
            </w:r>
            <w:bookmarkEnd w:id="54"/>
          </w:p>
        </w:tc>
      </w:tr>
    </w:tbl>
    <w:p w14:paraId="3E5B9E35">
      <w:pPr>
        <w:spacing w:line="336" w:lineRule="auto"/>
        <w:rPr>
          <w:rFonts w:hint="eastAsia" w:ascii="宋体" w:hAnsi="宋体" w:cs="宋体"/>
          <w:b/>
          <w:bCs/>
          <w:szCs w:val="21"/>
        </w:rPr>
      </w:pPr>
      <w:r>
        <w:rPr>
          <w:rFonts w:hint="eastAsia" w:ascii="宋体" w:hAnsi="宋体" w:cs="宋体"/>
          <w:b/>
          <w:bCs/>
          <w:szCs w:val="21"/>
        </w:rPr>
        <w:t>一、项目基本情况</w:t>
      </w:r>
    </w:p>
    <w:p w14:paraId="0689B109">
      <w:pPr>
        <w:spacing w:line="336" w:lineRule="auto"/>
        <w:ind w:firstLine="420" w:firstLineChars="200"/>
        <w:rPr>
          <w:rFonts w:hint="eastAsia" w:ascii="宋体" w:hAnsi="宋体" w:cs="宋体"/>
          <w:szCs w:val="21"/>
          <w:highlight w:val="none"/>
        </w:rPr>
      </w:pPr>
      <w:r>
        <w:rPr>
          <w:rFonts w:hint="eastAsia" w:ascii="宋体" w:hAnsi="宋体" w:cs="宋体"/>
          <w:szCs w:val="21"/>
          <w:highlight w:val="none"/>
        </w:rPr>
        <w:t>项目编号：FCZC2025-J1-990185-ZTZX</w:t>
      </w:r>
    </w:p>
    <w:p w14:paraId="019D6B2E">
      <w:pPr>
        <w:spacing w:line="336" w:lineRule="auto"/>
        <w:ind w:firstLine="420" w:firstLineChars="200"/>
        <w:rPr>
          <w:rFonts w:hint="eastAsia" w:ascii="宋体" w:hAnsi="宋体" w:cs="宋体"/>
          <w:szCs w:val="21"/>
          <w:highlight w:val="none"/>
        </w:rPr>
      </w:pPr>
      <w:r>
        <w:rPr>
          <w:rFonts w:hint="eastAsia" w:ascii="宋体" w:hAnsi="宋体" w:cs="宋体"/>
          <w:szCs w:val="21"/>
          <w:highlight w:val="none"/>
        </w:rPr>
        <w:t>项目名称：防城港市妇幼保健院设备采购项目</w:t>
      </w:r>
    </w:p>
    <w:p w14:paraId="0F258773">
      <w:pPr>
        <w:spacing w:line="336" w:lineRule="auto"/>
        <w:ind w:firstLine="420" w:firstLineChars="200"/>
        <w:rPr>
          <w:rFonts w:hint="eastAsia" w:ascii="宋体" w:hAnsi="宋体" w:cs="宋体"/>
          <w:szCs w:val="21"/>
        </w:rPr>
      </w:pPr>
      <w:r>
        <w:rPr>
          <w:rFonts w:hint="eastAsia" w:ascii="宋体" w:hAnsi="宋体" w:cs="宋体"/>
          <w:szCs w:val="21"/>
        </w:rPr>
        <w:t>采购方式：竞争性谈判 </w:t>
      </w:r>
    </w:p>
    <w:p w14:paraId="2DCA020C">
      <w:pPr>
        <w:spacing w:line="336" w:lineRule="auto"/>
        <w:ind w:firstLine="420" w:firstLineChars="200"/>
        <w:rPr>
          <w:rFonts w:hint="eastAsia" w:ascii="宋体" w:hAnsi="宋体" w:cs="宋体"/>
          <w:szCs w:val="21"/>
        </w:rPr>
      </w:pPr>
      <w:r>
        <w:rPr>
          <w:rFonts w:hint="eastAsia" w:ascii="宋体" w:hAnsi="宋体" w:cs="宋体"/>
          <w:szCs w:val="21"/>
        </w:rPr>
        <w:t>预算金额：1000000.00元</w:t>
      </w:r>
    </w:p>
    <w:p w14:paraId="39BD5F56">
      <w:pPr>
        <w:spacing w:line="336" w:lineRule="auto"/>
        <w:ind w:firstLine="420" w:firstLineChars="200"/>
        <w:rPr>
          <w:rFonts w:hint="eastAsia" w:ascii="宋体" w:hAnsi="宋体" w:cs="宋体"/>
          <w:highlight w:val="yellow"/>
        </w:rPr>
      </w:pPr>
      <w:r>
        <w:rPr>
          <w:rFonts w:hint="eastAsia" w:ascii="宋体" w:hAnsi="宋体" w:cs="宋体"/>
          <w:szCs w:val="21"/>
        </w:rPr>
        <w:t>最高限价：1000000.00元</w:t>
      </w:r>
    </w:p>
    <w:p w14:paraId="30FF47B0">
      <w:pPr>
        <w:spacing w:line="336" w:lineRule="auto"/>
        <w:ind w:firstLine="420" w:firstLineChars="200"/>
        <w:rPr>
          <w:rFonts w:hint="eastAsia" w:ascii="宋体" w:hAnsi="宋体" w:cs="宋体"/>
          <w:szCs w:val="21"/>
        </w:rPr>
      </w:pPr>
      <w:r>
        <w:rPr>
          <w:rFonts w:hint="eastAsia" w:ascii="宋体" w:hAnsi="宋体" w:cs="宋体"/>
          <w:szCs w:val="21"/>
        </w:rPr>
        <w:t>采购需求：</w:t>
      </w:r>
    </w:p>
    <w:tbl>
      <w:tblPr>
        <w:tblStyle w:val="24"/>
        <w:tblW w:w="87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2811"/>
        <w:gridCol w:w="1600"/>
        <w:gridCol w:w="3499"/>
      </w:tblGrid>
      <w:tr w14:paraId="47DBA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7" w:type="dxa"/>
            <w:tcBorders>
              <w:top w:val="single" w:color="auto" w:sz="4" w:space="0"/>
              <w:left w:val="single" w:color="auto" w:sz="4" w:space="0"/>
              <w:bottom w:val="single" w:color="auto" w:sz="4" w:space="0"/>
              <w:right w:val="single" w:color="auto" w:sz="4" w:space="0"/>
            </w:tcBorders>
            <w:vAlign w:val="center"/>
          </w:tcPr>
          <w:p w14:paraId="4C6DFA36">
            <w:pPr>
              <w:spacing w:line="360" w:lineRule="auto"/>
              <w:jc w:val="center"/>
              <w:rPr>
                <w:rFonts w:hint="eastAsia" w:ascii="宋体" w:hAnsi="宋体" w:cs="宋体"/>
                <w:szCs w:val="21"/>
              </w:rPr>
            </w:pPr>
            <w:r>
              <w:rPr>
                <w:rFonts w:hint="eastAsia" w:ascii="宋体" w:hAnsi="宋体" w:cs="宋体"/>
                <w:szCs w:val="21"/>
              </w:rPr>
              <w:t>序号</w:t>
            </w:r>
          </w:p>
        </w:tc>
        <w:tc>
          <w:tcPr>
            <w:tcW w:w="2811" w:type="dxa"/>
            <w:tcBorders>
              <w:top w:val="single" w:color="auto" w:sz="4" w:space="0"/>
              <w:left w:val="single" w:color="auto" w:sz="4" w:space="0"/>
              <w:bottom w:val="single" w:color="auto" w:sz="4" w:space="0"/>
              <w:right w:val="single" w:color="auto" w:sz="4" w:space="0"/>
            </w:tcBorders>
            <w:vAlign w:val="center"/>
          </w:tcPr>
          <w:p w14:paraId="3224CA33">
            <w:pPr>
              <w:spacing w:line="360" w:lineRule="auto"/>
              <w:jc w:val="center"/>
              <w:rPr>
                <w:rFonts w:hint="eastAsia" w:ascii="宋体" w:hAnsi="宋体" w:cs="宋体"/>
                <w:szCs w:val="21"/>
              </w:rPr>
            </w:pPr>
            <w:r>
              <w:rPr>
                <w:rFonts w:hint="eastAsia" w:ascii="宋体" w:hAnsi="宋体" w:cs="宋体"/>
                <w:szCs w:val="21"/>
              </w:rPr>
              <w:t>货物名称</w:t>
            </w:r>
          </w:p>
        </w:tc>
        <w:tc>
          <w:tcPr>
            <w:tcW w:w="1600" w:type="dxa"/>
            <w:tcBorders>
              <w:top w:val="single" w:color="auto" w:sz="4" w:space="0"/>
              <w:left w:val="single" w:color="auto" w:sz="4" w:space="0"/>
              <w:bottom w:val="single" w:color="auto" w:sz="4" w:space="0"/>
              <w:right w:val="single" w:color="auto" w:sz="4" w:space="0"/>
            </w:tcBorders>
            <w:vAlign w:val="center"/>
          </w:tcPr>
          <w:p w14:paraId="486DE589">
            <w:pPr>
              <w:spacing w:line="360" w:lineRule="auto"/>
              <w:jc w:val="center"/>
              <w:rPr>
                <w:rFonts w:hint="eastAsia" w:ascii="宋体" w:hAnsi="宋体" w:cs="宋体"/>
                <w:szCs w:val="21"/>
              </w:rPr>
            </w:pPr>
            <w:r>
              <w:rPr>
                <w:rFonts w:hint="eastAsia" w:ascii="宋体" w:hAnsi="宋体" w:cs="宋体"/>
                <w:szCs w:val="21"/>
              </w:rPr>
              <w:t>单位及数量</w:t>
            </w:r>
          </w:p>
        </w:tc>
        <w:tc>
          <w:tcPr>
            <w:tcW w:w="3499" w:type="dxa"/>
            <w:tcBorders>
              <w:top w:val="single" w:color="auto" w:sz="4" w:space="0"/>
              <w:left w:val="single" w:color="auto" w:sz="4" w:space="0"/>
              <w:bottom w:val="single" w:color="auto" w:sz="4" w:space="0"/>
              <w:right w:val="single" w:color="auto" w:sz="4" w:space="0"/>
            </w:tcBorders>
            <w:vAlign w:val="center"/>
          </w:tcPr>
          <w:p w14:paraId="3B0B9EE6">
            <w:pPr>
              <w:spacing w:line="360" w:lineRule="auto"/>
              <w:jc w:val="center"/>
              <w:rPr>
                <w:rFonts w:hint="eastAsia" w:ascii="宋体" w:hAnsi="宋体" w:cs="宋体"/>
                <w:szCs w:val="21"/>
              </w:rPr>
            </w:pPr>
            <w:r>
              <w:rPr>
                <w:rFonts w:hint="eastAsia" w:ascii="宋体" w:hAnsi="宋体" w:cs="宋体"/>
                <w:szCs w:val="21"/>
              </w:rPr>
              <w:t>技术参数要求</w:t>
            </w:r>
          </w:p>
        </w:tc>
      </w:tr>
      <w:tr w14:paraId="2B6A3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7" w:type="dxa"/>
            <w:tcBorders>
              <w:top w:val="single" w:color="auto" w:sz="4" w:space="0"/>
              <w:left w:val="single" w:color="auto" w:sz="4" w:space="0"/>
              <w:bottom w:val="single" w:color="auto" w:sz="4" w:space="0"/>
              <w:right w:val="single" w:color="auto" w:sz="4" w:space="0"/>
            </w:tcBorders>
            <w:vAlign w:val="center"/>
          </w:tcPr>
          <w:p w14:paraId="50A7AB6D">
            <w:pPr>
              <w:widowControl/>
              <w:jc w:val="center"/>
              <w:textAlignment w:val="center"/>
              <w:rPr>
                <w:rFonts w:hint="eastAsia" w:ascii="宋体" w:hAnsi="宋体" w:cs="宋体"/>
                <w:szCs w:val="21"/>
              </w:rPr>
            </w:pPr>
            <w:r>
              <w:rPr>
                <w:rFonts w:hint="eastAsia" w:ascii="宋体" w:hAnsi="宋体" w:cs="宋体"/>
                <w:color w:val="000000"/>
                <w:kern w:val="0"/>
                <w:szCs w:val="21"/>
                <w:lang w:bidi="ar"/>
              </w:rPr>
              <w:t>1</w:t>
            </w:r>
          </w:p>
        </w:tc>
        <w:tc>
          <w:tcPr>
            <w:tcW w:w="2811" w:type="dxa"/>
            <w:tcBorders>
              <w:top w:val="single" w:color="auto" w:sz="4" w:space="0"/>
              <w:left w:val="single" w:color="auto" w:sz="4" w:space="0"/>
              <w:bottom w:val="single" w:color="auto" w:sz="4" w:space="0"/>
              <w:right w:val="single" w:color="auto" w:sz="4" w:space="0"/>
            </w:tcBorders>
            <w:vAlign w:val="center"/>
          </w:tcPr>
          <w:p w14:paraId="4B6859E6">
            <w:pPr>
              <w:widowControl/>
              <w:jc w:val="center"/>
              <w:textAlignment w:val="center"/>
              <w:rPr>
                <w:rFonts w:hint="eastAsia" w:ascii="宋体" w:hAnsi="宋体" w:cs="宋体"/>
                <w:szCs w:val="21"/>
              </w:rPr>
            </w:pPr>
            <w:r>
              <w:rPr>
                <w:rFonts w:hint="eastAsia" w:ascii="宋体" w:hAnsi="宋体" w:cs="宋体"/>
                <w:szCs w:val="21"/>
              </w:rPr>
              <w:t>生物电反馈刺激仪</w:t>
            </w:r>
          </w:p>
        </w:tc>
        <w:tc>
          <w:tcPr>
            <w:tcW w:w="1600" w:type="dxa"/>
            <w:tcBorders>
              <w:top w:val="single" w:color="auto" w:sz="4" w:space="0"/>
              <w:left w:val="single" w:color="auto" w:sz="4" w:space="0"/>
              <w:bottom w:val="single" w:color="auto" w:sz="4" w:space="0"/>
              <w:right w:val="single" w:color="auto" w:sz="4" w:space="0"/>
            </w:tcBorders>
            <w:vAlign w:val="center"/>
          </w:tcPr>
          <w:p w14:paraId="7D4DBC92">
            <w:pPr>
              <w:widowControl/>
              <w:jc w:val="center"/>
              <w:textAlignment w:val="center"/>
              <w:rPr>
                <w:rFonts w:hint="eastAsia" w:ascii="宋体" w:hAnsi="宋体" w:cs="宋体"/>
                <w:szCs w:val="21"/>
              </w:rPr>
            </w:pPr>
            <w:r>
              <w:rPr>
                <w:rFonts w:hint="eastAsia" w:ascii="宋体" w:hAnsi="宋体" w:cs="宋体"/>
                <w:color w:val="000000"/>
                <w:kern w:val="0"/>
                <w:szCs w:val="21"/>
                <w:lang w:bidi="ar"/>
              </w:rPr>
              <w:t>1台</w:t>
            </w:r>
          </w:p>
        </w:tc>
        <w:tc>
          <w:tcPr>
            <w:tcW w:w="3499" w:type="dxa"/>
            <w:tcBorders>
              <w:top w:val="single" w:color="auto" w:sz="4" w:space="0"/>
              <w:left w:val="single" w:color="auto" w:sz="4" w:space="0"/>
              <w:bottom w:val="single" w:color="auto" w:sz="4" w:space="0"/>
              <w:right w:val="single" w:color="auto" w:sz="4" w:space="0"/>
            </w:tcBorders>
            <w:vAlign w:val="center"/>
          </w:tcPr>
          <w:p w14:paraId="2A481C16">
            <w:pPr>
              <w:spacing w:line="360" w:lineRule="auto"/>
              <w:jc w:val="center"/>
              <w:rPr>
                <w:rFonts w:hint="eastAsia" w:ascii="宋体" w:hAnsi="宋体" w:cs="宋体"/>
                <w:szCs w:val="21"/>
              </w:rPr>
            </w:pPr>
            <w:r>
              <w:rPr>
                <w:rFonts w:hint="eastAsia" w:ascii="宋体" w:hAnsi="宋体" w:cs="宋体"/>
                <w:color w:val="000000"/>
                <w:szCs w:val="21"/>
              </w:rPr>
              <w:t>具体详见 采购需求。</w:t>
            </w:r>
          </w:p>
        </w:tc>
      </w:tr>
      <w:tr w14:paraId="52147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827" w:type="dxa"/>
            <w:tcBorders>
              <w:top w:val="single" w:color="auto" w:sz="4" w:space="0"/>
              <w:left w:val="single" w:color="auto" w:sz="4" w:space="0"/>
              <w:bottom w:val="single" w:color="auto" w:sz="4" w:space="0"/>
              <w:right w:val="single" w:color="auto" w:sz="4" w:space="0"/>
            </w:tcBorders>
            <w:vAlign w:val="center"/>
          </w:tcPr>
          <w:p w14:paraId="2431DF56">
            <w:pPr>
              <w:widowControl/>
              <w:jc w:val="center"/>
              <w:textAlignment w:val="center"/>
              <w:rPr>
                <w:rFonts w:hint="eastAsia" w:ascii="宋体" w:hAnsi="宋体" w:cs="宋体"/>
                <w:szCs w:val="21"/>
              </w:rPr>
            </w:pPr>
            <w:r>
              <w:rPr>
                <w:rFonts w:hint="eastAsia" w:ascii="宋体" w:hAnsi="宋体" w:cs="宋体"/>
                <w:color w:val="000000"/>
                <w:kern w:val="0"/>
                <w:szCs w:val="21"/>
                <w:lang w:bidi="ar"/>
              </w:rPr>
              <w:t>2</w:t>
            </w:r>
          </w:p>
        </w:tc>
        <w:tc>
          <w:tcPr>
            <w:tcW w:w="2811" w:type="dxa"/>
            <w:tcBorders>
              <w:top w:val="single" w:color="auto" w:sz="4" w:space="0"/>
              <w:left w:val="single" w:color="auto" w:sz="4" w:space="0"/>
              <w:bottom w:val="single" w:color="auto" w:sz="4" w:space="0"/>
              <w:right w:val="single" w:color="auto" w:sz="4" w:space="0"/>
            </w:tcBorders>
            <w:vAlign w:val="center"/>
          </w:tcPr>
          <w:p w14:paraId="2851A329">
            <w:pPr>
              <w:widowControl/>
              <w:jc w:val="center"/>
              <w:textAlignment w:val="center"/>
              <w:rPr>
                <w:rFonts w:hint="eastAsia" w:ascii="宋体" w:hAnsi="宋体" w:cs="宋体"/>
                <w:szCs w:val="21"/>
              </w:rPr>
            </w:pPr>
            <w:r>
              <w:rPr>
                <w:rFonts w:ascii="宋体" w:hAnsi="宋体" w:cs="宋体"/>
                <w:szCs w:val="21"/>
              </w:rPr>
              <w:t>颅磁刺激治疗仪</w:t>
            </w:r>
          </w:p>
        </w:tc>
        <w:tc>
          <w:tcPr>
            <w:tcW w:w="1600" w:type="dxa"/>
            <w:tcBorders>
              <w:top w:val="single" w:color="auto" w:sz="4" w:space="0"/>
              <w:left w:val="single" w:color="auto" w:sz="4" w:space="0"/>
              <w:bottom w:val="single" w:color="auto" w:sz="4" w:space="0"/>
              <w:right w:val="single" w:color="auto" w:sz="4" w:space="0"/>
            </w:tcBorders>
            <w:vAlign w:val="center"/>
          </w:tcPr>
          <w:p w14:paraId="5EED2938">
            <w:pPr>
              <w:widowControl/>
              <w:jc w:val="center"/>
              <w:textAlignment w:val="center"/>
              <w:rPr>
                <w:rFonts w:hint="eastAsia" w:ascii="宋体" w:hAnsi="宋体" w:cs="宋体"/>
                <w:szCs w:val="21"/>
              </w:rPr>
            </w:pPr>
            <w:r>
              <w:rPr>
                <w:rFonts w:hint="eastAsia" w:ascii="宋体" w:hAnsi="宋体" w:cs="宋体"/>
                <w:color w:val="000000"/>
                <w:kern w:val="0"/>
                <w:szCs w:val="21"/>
                <w:lang w:bidi="ar"/>
              </w:rPr>
              <w:t>1台</w:t>
            </w:r>
          </w:p>
        </w:tc>
        <w:tc>
          <w:tcPr>
            <w:tcW w:w="3499" w:type="dxa"/>
            <w:tcBorders>
              <w:top w:val="single" w:color="auto" w:sz="4" w:space="0"/>
              <w:left w:val="single" w:color="auto" w:sz="4" w:space="0"/>
              <w:bottom w:val="single" w:color="auto" w:sz="4" w:space="0"/>
              <w:right w:val="single" w:color="auto" w:sz="4" w:space="0"/>
            </w:tcBorders>
            <w:vAlign w:val="center"/>
          </w:tcPr>
          <w:p w14:paraId="4B533491">
            <w:pPr>
              <w:spacing w:line="360" w:lineRule="auto"/>
              <w:jc w:val="center"/>
              <w:rPr>
                <w:rFonts w:hint="eastAsia" w:ascii="宋体" w:hAnsi="宋体" w:cs="宋体"/>
                <w:szCs w:val="21"/>
              </w:rPr>
            </w:pPr>
            <w:r>
              <w:rPr>
                <w:rFonts w:hint="eastAsia" w:ascii="宋体" w:hAnsi="宋体" w:cs="宋体"/>
                <w:color w:val="000000"/>
                <w:szCs w:val="21"/>
              </w:rPr>
              <w:t>具体详见 采购需求。</w:t>
            </w:r>
          </w:p>
        </w:tc>
      </w:tr>
      <w:tr w14:paraId="59C3A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7" w:type="dxa"/>
            <w:tcBorders>
              <w:top w:val="single" w:color="auto" w:sz="4" w:space="0"/>
              <w:left w:val="single" w:color="auto" w:sz="4" w:space="0"/>
              <w:bottom w:val="single" w:color="auto" w:sz="4" w:space="0"/>
              <w:right w:val="single" w:color="auto" w:sz="4" w:space="0"/>
            </w:tcBorders>
            <w:vAlign w:val="center"/>
          </w:tcPr>
          <w:p w14:paraId="75F5D668">
            <w:pPr>
              <w:widowControl/>
              <w:jc w:val="center"/>
              <w:textAlignment w:val="center"/>
              <w:rPr>
                <w:rFonts w:hint="eastAsia" w:ascii="宋体" w:hAnsi="宋体" w:cs="宋体"/>
                <w:szCs w:val="21"/>
              </w:rPr>
            </w:pPr>
            <w:r>
              <w:rPr>
                <w:rFonts w:hint="eastAsia" w:ascii="宋体" w:hAnsi="宋体" w:cs="宋体"/>
                <w:color w:val="000000"/>
                <w:kern w:val="0"/>
                <w:szCs w:val="21"/>
                <w:lang w:bidi="ar"/>
              </w:rPr>
              <w:t>3</w:t>
            </w:r>
          </w:p>
        </w:tc>
        <w:tc>
          <w:tcPr>
            <w:tcW w:w="2811" w:type="dxa"/>
            <w:tcBorders>
              <w:top w:val="single" w:color="auto" w:sz="4" w:space="0"/>
              <w:left w:val="single" w:color="auto" w:sz="4" w:space="0"/>
              <w:bottom w:val="single" w:color="auto" w:sz="4" w:space="0"/>
              <w:right w:val="single" w:color="auto" w:sz="4" w:space="0"/>
            </w:tcBorders>
            <w:shd w:val="clear" w:color="auto" w:fill="FFFFFF"/>
            <w:vAlign w:val="center"/>
          </w:tcPr>
          <w:p w14:paraId="732F528F">
            <w:pPr>
              <w:widowControl/>
              <w:jc w:val="center"/>
              <w:textAlignment w:val="center"/>
              <w:rPr>
                <w:rFonts w:hint="eastAsia" w:ascii="宋体" w:hAnsi="宋体" w:cs="宋体"/>
                <w:color w:val="000000"/>
                <w:szCs w:val="21"/>
              </w:rPr>
            </w:pPr>
            <w:r>
              <w:rPr>
                <w:rFonts w:hint="eastAsia" w:ascii="宋体" w:hAnsi="宋体" w:cs="宋体"/>
                <w:color w:val="000000"/>
                <w:szCs w:val="21"/>
              </w:rPr>
              <w:t>脑电图机</w:t>
            </w:r>
          </w:p>
        </w:tc>
        <w:tc>
          <w:tcPr>
            <w:tcW w:w="1600" w:type="dxa"/>
            <w:tcBorders>
              <w:top w:val="single" w:color="auto" w:sz="4" w:space="0"/>
              <w:left w:val="single" w:color="auto" w:sz="4" w:space="0"/>
              <w:bottom w:val="single" w:color="auto" w:sz="4" w:space="0"/>
              <w:right w:val="single" w:color="auto" w:sz="4" w:space="0"/>
            </w:tcBorders>
            <w:vAlign w:val="center"/>
          </w:tcPr>
          <w:p w14:paraId="797F1EAC">
            <w:pPr>
              <w:widowControl/>
              <w:jc w:val="center"/>
              <w:textAlignment w:val="center"/>
              <w:rPr>
                <w:rFonts w:hint="eastAsia" w:ascii="宋体" w:hAnsi="宋体" w:cs="宋体"/>
                <w:szCs w:val="21"/>
              </w:rPr>
            </w:pPr>
            <w:r>
              <w:rPr>
                <w:rFonts w:hint="eastAsia" w:ascii="宋体" w:hAnsi="宋体" w:cs="宋体"/>
                <w:color w:val="000000"/>
                <w:kern w:val="0"/>
                <w:szCs w:val="21"/>
                <w:lang w:bidi="ar"/>
              </w:rPr>
              <w:t>1套</w:t>
            </w:r>
          </w:p>
        </w:tc>
        <w:tc>
          <w:tcPr>
            <w:tcW w:w="3499" w:type="dxa"/>
            <w:tcBorders>
              <w:top w:val="single" w:color="auto" w:sz="4" w:space="0"/>
              <w:left w:val="single" w:color="auto" w:sz="4" w:space="0"/>
              <w:bottom w:val="single" w:color="auto" w:sz="4" w:space="0"/>
              <w:right w:val="single" w:color="auto" w:sz="4" w:space="0"/>
            </w:tcBorders>
            <w:vAlign w:val="center"/>
          </w:tcPr>
          <w:p w14:paraId="1CC8ADE3">
            <w:pPr>
              <w:spacing w:line="360" w:lineRule="auto"/>
              <w:jc w:val="center"/>
              <w:rPr>
                <w:rFonts w:hint="eastAsia" w:ascii="宋体" w:hAnsi="宋体" w:cs="宋体"/>
                <w:szCs w:val="21"/>
              </w:rPr>
            </w:pPr>
            <w:r>
              <w:rPr>
                <w:rFonts w:hint="eastAsia" w:ascii="宋体" w:hAnsi="宋体" w:cs="宋体"/>
                <w:color w:val="000000"/>
                <w:szCs w:val="21"/>
              </w:rPr>
              <w:t>具体详见 采购需求。</w:t>
            </w:r>
          </w:p>
        </w:tc>
      </w:tr>
    </w:tbl>
    <w:p w14:paraId="429B912F">
      <w:pPr>
        <w:spacing w:line="336" w:lineRule="auto"/>
        <w:ind w:firstLine="420" w:firstLineChars="200"/>
        <w:rPr>
          <w:rFonts w:hint="eastAsia" w:ascii="宋体" w:hAnsi="宋体" w:cs="宋体"/>
          <w:szCs w:val="21"/>
          <w:highlight w:val="none"/>
          <w:u w:val="single"/>
        </w:rPr>
      </w:pPr>
      <w:r>
        <w:rPr>
          <w:rFonts w:hint="eastAsia" w:ascii="宋体" w:hAnsi="宋体" w:cs="宋体"/>
          <w:szCs w:val="21"/>
        </w:rPr>
        <w:t>合同履行期限</w:t>
      </w:r>
      <w:r>
        <w:rPr>
          <w:rFonts w:hint="eastAsia" w:ascii="宋体" w:hAnsi="宋体" w:cs="宋体"/>
          <w:szCs w:val="21"/>
          <w:highlight w:val="none"/>
        </w:rPr>
        <w:t>：自签订合同之日起30日内交货安装调试完毕并交付使用。</w:t>
      </w:r>
    </w:p>
    <w:p w14:paraId="651D882C">
      <w:pPr>
        <w:spacing w:line="336" w:lineRule="auto"/>
        <w:ind w:firstLine="420" w:firstLineChars="200"/>
        <w:rPr>
          <w:rFonts w:hint="eastAsia" w:ascii="宋体" w:hAnsi="宋体" w:cs="宋体"/>
          <w:b/>
          <w:bCs/>
          <w:highlight w:val="none"/>
        </w:rPr>
      </w:pPr>
      <w:r>
        <w:rPr>
          <w:rFonts w:hint="eastAsia" w:ascii="宋体" w:hAnsi="宋体" w:cs="宋体"/>
          <w:szCs w:val="21"/>
          <w:highlight w:val="none"/>
        </w:rPr>
        <w:t>本项目不接受联合体。</w:t>
      </w:r>
    </w:p>
    <w:p w14:paraId="38FDE07E">
      <w:pPr>
        <w:spacing w:line="336" w:lineRule="auto"/>
        <w:rPr>
          <w:rFonts w:hint="eastAsia" w:ascii="宋体" w:hAnsi="宋体" w:cs="宋体"/>
          <w:b/>
          <w:bCs/>
        </w:rPr>
      </w:pPr>
      <w:r>
        <w:rPr>
          <w:rFonts w:hint="eastAsia" w:ascii="宋体" w:hAnsi="宋体" w:cs="宋体"/>
          <w:b/>
          <w:bCs/>
        </w:rPr>
        <w:t>二、申请人的资格要求：</w:t>
      </w:r>
    </w:p>
    <w:p w14:paraId="7E9A19D0">
      <w:pPr>
        <w:spacing w:line="336" w:lineRule="auto"/>
        <w:ind w:firstLine="420" w:firstLineChars="200"/>
        <w:rPr>
          <w:rFonts w:hint="eastAsia" w:ascii="宋体" w:hAnsi="宋体" w:cs="宋体"/>
        </w:rPr>
      </w:pPr>
      <w:r>
        <w:rPr>
          <w:rFonts w:hint="eastAsia" w:ascii="宋体" w:hAnsi="宋体" w:cs="宋体"/>
        </w:rPr>
        <w:t>1.满足《中华人民共和国政府采购法》第二十二条规定。</w:t>
      </w:r>
    </w:p>
    <w:p w14:paraId="78DD2ACF">
      <w:pPr>
        <w:spacing w:line="336" w:lineRule="auto"/>
        <w:ind w:firstLine="420" w:firstLineChars="200"/>
        <w:rPr>
          <w:rFonts w:hint="eastAsia" w:ascii="宋体" w:hAnsi="宋体" w:cs="宋体"/>
        </w:rPr>
      </w:pPr>
      <w:r>
        <w:rPr>
          <w:rFonts w:hint="eastAsia" w:ascii="宋体" w:hAnsi="宋体" w:cs="宋体"/>
        </w:rPr>
        <w:t>2.落实政府采购政策需满足的资格要求：专门面向中小企业采购的项目（</w:t>
      </w:r>
      <w:r>
        <w:rPr>
          <w:rFonts w:hint="eastAsia" w:ascii="宋体" w:hAnsi="宋体" w:cs="宋体"/>
          <w:lang w:val="en-US" w:eastAsia="zh-CN"/>
        </w:rPr>
        <w:t>其中“生物电反馈刺激仪”</w:t>
      </w:r>
      <w:r>
        <w:rPr>
          <w:rFonts w:hint="eastAsia" w:ascii="宋体" w:hAnsi="宋体" w:cs="宋体"/>
        </w:rPr>
        <w:t>货物应为中小微企业、监狱企业、残疾人福利性单位制造</w:t>
      </w:r>
      <w:r>
        <w:rPr>
          <w:rFonts w:hint="eastAsia" w:ascii="宋体" w:hAnsi="宋体" w:cs="宋体"/>
          <w:lang w:eastAsia="zh-CN"/>
        </w:rPr>
        <w:t>；“</w:t>
      </w:r>
      <w:r>
        <w:rPr>
          <w:rFonts w:hint="eastAsia" w:ascii="宋体" w:hAnsi="宋体" w:cs="宋体"/>
        </w:rPr>
        <w:t>颅磁刺激治疗仪</w:t>
      </w:r>
      <w:r>
        <w:rPr>
          <w:rFonts w:hint="eastAsia" w:ascii="宋体" w:hAnsi="宋体" w:cs="宋体"/>
          <w:lang w:eastAsia="zh-CN"/>
        </w:rPr>
        <w:t>、</w:t>
      </w:r>
      <w:r>
        <w:rPr>
          <w:rFonts w:hint="eastAsia" w:ascii="宋体" w:hAnsi="宋体" w:cs="宋体"/>
        </w:rPr>
        <w:t>脑电图机</w:t>
      </w:r>
      <w:r>
        <w:rPr>
          <w:rFonts w:hint="eastAsia" w:ascii="宋体" w:hAnsi="宋体" w:cs="宋体"/>
          <w:lang w:eastAsia="zh-CN"/>
        </w:rPr>
        <w:t>”</w:t>
      </w:r>
      <w:r>
        <w:rPr>
          <w:rFonts w:hint="eastAsia" w:ascii="宋体" w:hAnsi="宋体" w:cs="宋体"/>
        </w:rPr>
        <w:t>货物</w:t>
      </w:r>
      <w:r>
        <w:rPr>
          <w:rFonts w:hint="eastAsia" w:ascii="宋体" w:hAnsi="宋体" w:cs="宋体"/>
          <w:lang w:val="en-US" w:eastAsia="zh-CN"/>
        </w:rPr>
        <w:t>应为小微企业、监狱企业、残疾人福利性单位制造</w:t>
      </w:r>
      <w:r>
        <w:rPr>
          <w:rFonts w:hint="eastAsia" w:ascii="宋体" w:hAnsi="宋体" w:cs="宋体"/>
        </w:rPr>
        <w:t>)。</w:t>
      </w:r>
    </w:p>
    <w:p w14:paraId="57C036EB">
      <w:pPr>
        <w:spacing w:line="336" w:lineRule="auto"/>
        <w:ind w:firstLine="420" w:firstLineChars="200"/>
        <w:rPr>
          <w:rFonts w:hint="eastAsia" w:ascii="宋体" w:hAnsi="宋体" w:cs="宋体"/>
        </w:rPr>
      </w:pPr>
      <w:r>
        <w:rPr>
          <w:rFonts w:hint="eastAsia" w:ascii="宋体" w:hAnsi="宋体" w:cs="宋体"/>
        </w:rPr>
        <w:t>3.本项目的特定资格要求：供应商按《医疗器械监督管理条例》（国务院令第739号）医疗器械分类管理要求具备有效的医疗器械经营备案凭证，且经营范围必须包含采购标的[符合《医疗器械监督管理条例》第四十一条第二款规定的除外]；或者供应商具有《医疗器械监督管理条例》第四十三条规定的注册人凭证。</w:t>
      </w:r>
    </w:p>
    <w:p w14:paraId="0407A89F">
      <w:pPr>
        <w:spacing w:line="336" w:lineRule="auto"/>
        <w:rPr>
          <w:rFonts w:hint="eastAsia" w:ascii="宋体" w:hAnsi="宋体" w:cs="宋体"/>
          <w:b/>
          <w:bCs/>
          <w:szCs w:val="21"/>
        </w:rPr>
      </w:pPr>
      <w:r>
        <w:rPr>
          <w:rFonts w:hint="eastAsia" w:ascii="宋体" w:hAnsi="宋体" w:cs="宋体"/>
          <w:b/>
          <w:bCs/>
          <w:szCs w:val="21"/>
        </w:rPr>
        <w:t>三、获取竞争性谈判文件</w:t>
      </w:r>
    </w:p>
    <w:p w14:paraId="34DC87AC">
      <w:pPr>
        <w:snapToGrid w:val="0"/>
        <w:spacing w:line="336" w:lineRule="auto"/>
        <w:ind w:firstLine="420" w:firstLineChars="200"/>
        <w:rPr>
          <w:rFonts w:hint="eastAsia" w:ascii="宋体" w:hAnsi="宋体" w:cs="宋体"/>
          <w:szCs w:val="21"/>
        </w:rPr>
      </w:pPr>
      <w:bookmarkStart w:id="12" w:name="_Toc35393793"/>
      <w:bookmarkStart w:id="13" w:name="_Toc28359082"/>
      <w:bookmarkStart w:id="14" w:name="_Toc35393624"/>
      <w:bookmarkStart w:id="15" w:name="_Toc28359005"/>
      <w:r>
        <w:rPr>
          <w:rFonts w:hint="eastAsia" w:ascii="宋体" w:hAnsi="宋体" w:cs="宋体"/>
          <w:szCs w:val="21"/>
        </w:rPr>
        <w:t>时间：2025年</w:t>
      </w:r>
      <w:r>
        <w:rPr>
          <w:rFonts w:hint="eastAsia" w:ascii="宋体" w:hAnsi="宋体" w:cs="宋体"/>
          <w:szCs w:val="21"/>
          <w:lang w:val="en-US" w:eastAsia="zh-CN"/>
        </w:rPr>
        <w:t>12</w:t>
      </w:r>
      <w:r>
        <w:rPr>
          <w:rFonts w:hint="eastAsia" w:ascii="宋体" w:hAnsi="宋体" w:cs="宋体"/>
          <w:szCs w:val="21"/>
        </w:rPr>
        <w:t xml:space="preserve">月 </w:t>
      </w:r>
      <w:r>
        <w:rPr>
          <w:rFonts w:hint="eastAsia" w:ascii="宋体" w:hAnsi="宋体" w:cs="宋体"/>
          <w:szCs w:val="21"/>
          <w:lang w:val="en-US" w:eastAsia="zh-CN"/>
        </w:rPr>
        <w:t>3</w:t>
      </w:r>
      <w:r>
        <w:rPr>
          <w:rFonts w:hint="eastAsia" w:ascii="宋体" w:hAnsi="宋体" w:cs="宋体"/>
          <w:szCs w:val="21"/>
        </w:rPr>
        <w:t>日至2025年</w:t>
      </w:r>
      <w:r>
        <w:rPr>
          <w:rFonts w:hint="eastAsia" w:ascii="宋体" w:hAnsi="宋体" w:cs="宋体"/>
          <w:szCs w:val="21"/>
          <w:lang w:val="en-US" w:eastAsia="zh-CN"/>
        </w:rPr>
        <w:t>12</w:t>
      </w:r>
      <w:r>
        <w:rPr>
          <w:rFonts w:hint="eastAsia" w:ascii="宋体" w:hAnsi="宋体" w:cs="宋体"/>
          <w:szCs w:val="21"/>
        </w:rPr>
        <w:t>月</w:t>
      </w:r>
      <w:r>
        <w:rPr>
          <w:rFonts w:hint="eastAsia" w:ascii="宋体" w:hAnsi="宋体" w:cs="宋体"/>
          <w:szCs w:val="21"/>
          <w:lang w:val="en-US" w:eastAsia="zh-CN"/>
        </w:rPr>
        <w:t>8</w:t>
      </w:r>
      <w:r>
        <w:rPr>
          <w:rFonts w:hint="eastAsia" w:ascii="宋体" w:hAnsi="宋体" w:cs="宋体"/>
          <w:szCs w:val="21"/>
        </w:rPr>
        <w:t>日，每天上午08:30至12：00，下午12:01至18:00。</w:t>
      </w:r>
    </w:p>
    <w:p w14:paraId="0B4D95E6">
      <w:pPr>
        <w:snapToGrid w:val="0"/>
        <w:spacing w:line="336" w:lineRule="auto"/>
        <w:ind w:firstLine="420" w:firstLineChars="200"/>
        <w:rPr>
          <w:rFonts w:hint="eastAsia" w:ascii="宋体" w:hAnsi="宋体" w:cs="宋体"/>
          <w:szCs w:val="21"/>
        </w:rPr>
      </w:pPr>
      <w:r>
        <w:rPr>
          <w:rFonts w:hint="eastAsia" w:ascii="宋体" w:hAnsi="宋体" w:cs="宋体"/>
          <w:szCs w:val="21"/>
        </w:rPr>
        <w:t>地点：广西政府采购云平台（https://www.gcy.zfcg.gxzf.gov.cn/）  </w:t>
      </w:r>
    </w:p>
    <w:p w14:paraId="3A7C45D0">
      <w:pPr>
        <w:spacing w:line="336" w:lineRule="auto"/>
        <w:ind w:firstLine="420" w:firstLineChars="200"/>
        <w:rPr>
          <w:rFonts w:hint="eastAsia" w:ascii="宋体" w:hAnsi="宋体" w:cs="宋体"/>
          <w:szCs w:val="21"/>
        </w:rPr>
      </w:pPr>
      <w:r>
        <w:rPr>
          <w:rFonts w:hint="eastAsia" w:ascii="宋体" w:hAnsi="宋体" w:cs="宋体"/>
          <w:szCs w:val="21"/>
        </w:rPr>
        <w:t>获取方式:</w:t>
      </w:r>
      <w:r>
        <w:rPr>
          <w:rFonts w:hint="eastAsia" w:ascii="宋体" w:hAnsi="宋体" w:cs="宋体"/>
        </w:rPr>
        <w:t>网上下载。本项目不发放纸质采购文件，供应商可自行在“</w:t>
      </w:r>
      <w:r>
        <w:rPr>
          <w:rFonts w:hint="eastAsia" w:ascii="宋体" w:hAnsi="宋体" w:cs="宋体"/>
          <w:szCs w:val="21"/>
        </w:rPr>
        <w:t>广西政府采购云平台”</w:t>
      </w:r>
      <w:r>
        <w:rPr>
          <w:rFonts w:hint="eastAsia" w:ascii="宋体" w:hAnsi="宋体" w:cs="宋体"/>
        </w:rPr>
        <w:t>下载采购文件（操作路径：登录“</w:t>
      </w:r>
      <w:r>
        <w:rPr>
          <w:rFonts w:hint="eastAsia" w:ascii="宋体" w:hAnsi="宋体" w:cs="宋体"/>
          <w:szCs w:val="21"/>
        </w:rPr>
        <w:t>广西政府采购云平台</w:t>
      </w:r>
      <w:r>
        <w:rPr>
          <w:rFonts w:hint="eastAsia" w:ascii="宋体" w:hAnsi="宋体" w:cs="宋体"/>
        </w:rPr>
        <w:t>”项目采购-获取采购文件-找到本项目-点击“申请获取采购文件”），电子响应文件制作需要基于“</w:t>
      </w:r>
      <w:r>
        <w:rPr>
          <w:rFonts w:hint="eastAsia" w:ascii="宋体" w:hAnsi="宋体" w:cs="宋体"/>
          <w:szCs w:val="21"/>
        </w:rPr>
        <w:t>广西政府采购云平台”</w:t>
      </w:r>
      <w:r>
        <w:rPr>
          <w:rFonts w:hint="eastAsia" w:ascii="宋体" w:hAnsi="宋体" w:cs="宋体"/>
        </w:rPr>
        <w:t>获取的采购文件编制。</w:t>
      </w:r>
    </w:p>
    <w:p w14:paraId="4C8F0B50">
      <w:pPr>
        <w:snapToGrid w:val="0"/>
        <w:spacing w:line="336" w:lineRule="auto"/>
        <w:ind w:firstLine="420" w:firstLineChars="200"/>
        <w:rPr>
          <w:rFonts w:hint="eastAsia" w:ascii="宋体" w:hAnsi="宋体" w:cs="宋体"/>
          <w:szCs w:val="21"/>
        </w:rPr>
      </w:pPr>
      <w:r>
        <w:rPr>
          <w:rFonts w:hint="eastAsia" w:ascii="宋体" w:hAnsi="宋体" w:cs="宋体"/>
          <w:szCs w:val="21"/>
        </w:rPr>
        <w:t>售价：0元。</w:t>
      </w:r>
    </w:p>
    <w:p w14:paraId="26B1D23B">
      <w:pPr>
        <w:spacing w:line="336" w:lineRule="auto"/>
        <w:rPr>
          <w:rFonts w:hint="eastAsia" w:ascii="宋体" w:hAnsi="宋体" w:cs="宋体"/>
          <w:b/>
          <w:bCs/>
          <w:szCs w:val="21"/>
        </w:rPr>
      </w:pPr>
      <w:r>
        <w:rPr>
          <w:rFonts w:hint="eastAsia" w:ascii="宋体" w:hAnsi="宋体" w:cs="宋体"/>
          <w:b/>
          <w:bCs/>
          <w:szCs w:val="21"/>
        </w:rPr>
        <w:t>四、</w:t>
      </w:r>
      <w:bookmarkEnd w:id="12"/>
      <w:bookmarkEnd w:id="13"/>
      <w:bookmarkEnd w:id="14"/>
      <w:bookmarkEnd w:id="15"/>
      <w:r>
        <w:rPr>
          <w:rFonts w:hint="eastAsia" w:ascii="宋体" w:hAnsi="宋体" w:cs="宋体"/>
          <w:b/>
          <w:bCs/>
          <w:szCs w:val="21"/>
        </w:rPr>
        <w:t>响应文件提交</w:t>
      </w:r>
    </w:p>
    <w:p w14:paraId="0EDAF6EE">
      <w:pPr>
        <w:spacing w:line="336" w:lineRule="auto"/>
        <w:ind w:firstLine="420" w:firstLineChars="200"/>
        <w:rPr>
          <w:rFonts w:hint="eastAsia" w:ascii="宋体" w:hAnsi="宋体" w:cs="宋体"/>
          <w:szCs w:val="21"/>
        </w:rPr>
      </w:pPr>
      <w:r>
        <w:rPr>
          <w:rFonts w:hint="eastAsia" w:ascii="宋体" w:hAnsi="宋体" w:cs="宋体"/>
          <w:szCs w:val="21"/>
        </w:rPr>
        <w:t>截止时间</w:t>
      </w:r>
      <w:r>
        <w:rPr>
          <w:rFonts w:hint="eastAsia" w:ascii="宋体" w:hAnsi="宋体" w:cs="宋体"/>
          <w:bCs/>
          <w:szCs w:val="21"/>
        </w:rPr>
        <w:t>：</w:t>
      </w:r>
      <w:r>
        <w:rPr>
          <w:rFonts w:hint="eastAsia" w:ascii="宋体" w:hAnsi="宋体" w:cs="宋体"/>
          <w:szCs w:val="21"/>
        </w:rPr>
        <w:t>2025年</w:t>
      </w:r>
      <w:r>
        <w:rPr>
          <w:rFonts w:hint="eastAsia" w:ascii="宋体" w:hAnsi="宋体" w:cs="宋体"/>
          <w:szCs w:val="21"/>
          <w:lang w:val="en-US" w:eastAsia="zh-CN"/>
        </w:rPr>
        <w:t>12</w:t>
      </w:r>
      <w:r>
        <w:rPr>
          <w:rFonts w:hint="eastAsia" w:ascii="宋体" w:hAnsi="宋体" w:cs="宋体"/>
          <w:szCs w:val="21"/>
        </w:rPr>
        <w:t>月</w:t>
      </w:r>
      <w:r>
        <w:rPr>
          <w:rFonts w:hint="eastAsia" w:ascii="宋体" w:hAnsi="宋体" w:cs="宋体"/>
          <w:szCs w:val="21"/>
          <w:lang w:val="en-US" w:eastAsia="zh-CN"/>
        </w:rPr>
        <w:t>9</w:t>
      </w:r>
      <w:r>
        <w:rPr>
          <w:rFonts w:hint="eastAsia" w:ascii="宋体" w:hAnsi="宋体" w:cs="宋体"/>
          <w:szCs w:val="21"/>
        </w:rPr>
        <w:t xml:space="preserve"> 日</w:t>
      </w:r>
      <w:r>
        <w:rPr>
          <w:rFonts w:hint="eastAsia" w:ascii="宋体" w:hAnsi="宋体" w:cs="宋体"/>
          <w:szCs w:val="21"/>
          <w:lang w:val="en-US" w:eastAsia="zh-CN"/>
        </w:rPr>
        <w:t>13</w:t>
      </w:r>
      <w:r>
        <w:rPr>
          <w:rFonts w:hint="eastAsia" w:ascii="宋体" w:hAnsi="宋体" w:cs="宋体"/>
          <w:szCs w:val="21"/>
        </w:rPr>
        <w:t>时</w:t>
      </w:r>
      <w:r>
        <w:rPr>
          <w:rFonts w:hint="eastAsia" w:ascii="宋体" w:hAnsi="宋体" w:cs="宋体"/>
          <w:szCs w:val="21"/>
          <w:lang w:val="en-US" w:eastAsia="zh-CN"/>
        </w:rPr>
        <w:t>30</w:t>
      </w:r>
      <w:r>
        <w:rPr>
          <w:rFonts w:hint="eastAsia" w:ascii="宋体" w:hAnsi="宋体" w:cs="宋体"/>
          <w:szCs w:val="21"/>
        </w:rPr>
        <w:t>分（北京时间）</w:t>
      </w:r>
    </w:p>
    <w:p w14:paraId="013FC59B">
      <w:pPr>
        <w:spacing w:line="336" w:lineRule="auto"/>
        <w:ind w:firstLine="420" w:firstLineChars="200"/>
        <w:rPr>
          <w:rFonts w:hint="eastAsia" w:ascii="宋体" w:hAnsi="宋体" w:cs="宋体"/>
          <w:szCs w:val="21"/>
        </w:rPr>
      </w:pPr>
      <w:r>
        <w:rPr>
          <w:rFonts w:hint="eastAsia" w:ascii="宋体" w:hAnsi="宋体" w:cs="宋体"/>
          <w:szCs w:val="21"/>
        </w:rPr>
        <w:t>地点：</w:t>
      </w:r>
      <w:r>
        <w:rPr>
          <w:rFonts w:ascii="宋体" w:hAnsi="宋体"/>
          <w:szCs w:val="21"/>
        </w:rPr>
        <w:t>广西政府采购云平台</w:t>
      </w:r>
      <w:r>
        <w:rPr>
          <w:rFonts w:hint="eastAsia" w:ascii="宋体" w:hAnsi="宋体"/>
          <w:szCs w:val="21"/>
        </w:rPr>
        <w:t>（</w:t>
      </w:r>
      <w:r>
        <w:rPr>
          <w:rFonts w:ascii="宋体" w:hAnsi="宋体"/>
          <w:bCs/>
          <w:szCs w:val="21"/>
        </w:rPr>
        <w:t>https://www.gcy.zfcg.gxzf.gov.cn/</w:t>
      </w:r>
      <w:r>
        <w:rPr>
          <w:rFonts w:hint="eastAsia" w:ascii="宋体" w:hAnsi="宋体"/>
          <w:szCs w:val="21"/>
        </w:rPr>
        <w:t>）</w:t>
      </w:r>
    </w:p>
    <w:p w14:paraId="068C872E">
      <w:pPr>
        <w:spacing w:line="336" w:lineRule="auto"/>
        <w:rPr>
          <w:rFonts w:hint="eastAsia" w:ascii="宋体" w:hAnsi="宋体" w:cs="宋体"/>
          <w:b/>
          <w:bCs/>
          <w:szCs w:val="21"/>
        </w:rPr>
      </w:pPr>
      <w:r>
        <w:rPr>
          <w:rFonts w:hint="eastAsia" w:ascii="宋体" w:hAnsi="宋体" w:cs="宋体"/>
          <w:b/>
          <w:bCs/>
          <w:szCs w:val="21"/>
        </w:rPr>
        <w:t>五、响应文件开启</w:t>
      </w:r>
    </w:p>
    <w:p w14:paraId="582AA835">
      <w:pPr>
        <w:spacing w:line="336" w:lineRule="auto"/>
        <w:ind w:firstLine="420" w:firstLineChars="200"/>
        <w:rPr>
          <w:rFonts w:hint="eastAsia" w:ascii="宋体" w:hAnsi="宋体" w:cs="宋体"/>
          <w:bCs/>
          <w:szCs w:val="21"/>
        </w:rPr>
      </w:pPr>
      <w:r>
        <w:rPr>
          <w:rFonts w:hint="eastAsia" w:ascii="宋体" w:hAnsi="宋体" w:cs="宋体"/>
          <w:szCs w:val="21"/>
        </w:rPr>
        <w:t>开启时间：2025年</w:t>
      </w:r>
      <w:r>
        <w:rPr>
          <w:rFonts w:hint="eastAsia" w:ascii="宋体" w:hAnsi="宋体" w:cs="宋体"/>
          <w:szCs w:val="21"/>
          <w:lang w:val="en-US" w:eastAsia="zh-CN"/>
        </w:rPr>
        <w:t>12</w:t>
      </w:r>
      <w:r>
        <w:rPr>
          <w:rFonts w:hint="eastAsia" w:ascii="宋体" w:hAnsi="宋体" w:cs="宋体"/>
          <w:szCs w:val="21"/>
        </w:rPr>
        <w:t>月</w:t>
      </w:r>
      <w:r>
        <w:rPr>
          <w:rFonts w:hint="eastAsia" w:ascii="宋体" w:hAnsi="宋体" w:cs="宋体"/>
          <w:szCs w:val="21"/>
          <w:lang w:val="en-US" w:eastAsia="zh-CN"/>
        </w:rPr>
        <w:t>9</w:t>
      </w:r>
      <w:r>
        <w:rPr>
          <w:rFonts w:hint="eastAsia" w:ascii="宋体" w:hAnsi="宋体" w:cs="宋体"/>
          <w:szCs w:val="21"/>
        </w:rPr>
        <w:t xml:space="preserve"> 日</w:t>
      </w:r>
      <w:r>
        <w:rPr>
          <w:rFonts w:hint="eastAsia" w:ascii="宋体" w:hAnsi="宋体" w:cs="宋体"/>
          <w:szCs w:val="21"/>
          <w:lang w:val="en-US" w:eastAsia="zh-CN"/>
        </w:rPr>
        <w:t>13</w:t>
      </w:r>
      <w:r>
        <w:rPr>
          <w:rFonts w:hint="eastAsia" w:ascii="宋体" w:hAnsi="宋体" w:cs="宋体"/>
          <w:szCs w:val="21"/>
        </w:rPr>
        <w:t>时</w:t>
      </w:r>
      <w:r>
        <w:rPr>
          <w:rFonts w:hint="eastAsia" w:ascii="宋体" w:hAnsi="宋体" w:cs="宋体"/>
          <w:szCs w:val="21"/>
          <w:lang w:val="en-US" w:eastAsia="zh-CN"/>
        </w:rPr>
        <w:t>30</w:t>
      </w:r>
      <w:r>
        <w:rPr>
          <w:rFonts w:hint="eastAsia" w:ascii="宋体" w:hAnsi="宋体" w:cs="宋体"/>
          <w:szCs w:val="21"/>
        </w:rPr>
        <w:t>分（北京时间）</w:t>
      </w:r>
    </w:p>
    <w:p w14:paraId="7783DCF0">
      <w:pPr>
        <w:spacing w:line="336" w:lineRule="auto"/>
        <w:ind w:firstLine="420" w:firstLineChars="200"/>
        <w:rPr>
          <w:rFonts w:hint="eastAsia" w:ascii="宋体" w:hAnsi="宋体" w:cs="宋体"/>
          <w:bCs/>
          <w:szCs w:val="21"/>
        </w:rPr>
      </w:pPr>
      <w:r>
        <w:rPr>
          <w:rFonts w:hint="eastAsia" w:ascii="宋体" w:hAnsi="宋体" w:cs="宋体"/>
          <w:szCs w:val="21"/>
        </w:rPr>
        <w:t>地点</w:t>
      </w:r>
      <w:r>
        <w:rPr>
          <w:rFonts w:hint="eastAsia" w:ascii="宋体" w:hAnsi="宋体" w:cs="宋体"/>
          <w:bCs/>
          <w:szCs w:val="21"/>
        </w:rPr>
        <w:t>：广西壮族自治区防城港市开标室</w:t>
      </w:r>
      <w:r>
        <w:rPr>
          <w:rFonts w:hint="eastAsia" w:ascii="宋体" w:hAnsi="宋体" w:cs="宋体"/>
          <w:bCs/>
          <w:szCs w:val="21"/>
          <w:lang w:val="en-US" w:eastAsia="zh-CN"/>
        </w:rPr>
        <w:t>2</w:t>
      </w:r>
      <w:r>
        <w:rPr>
          <w:rFonts w:hint="eastAsia" w:ascii="宋体" w:hAnsi="宋体" w:cs="宋体"/>
          <w:bCs/>
          <w:szCs w:val="21"/>
        </w:rPr>
        <w:t>政府采购开标室</w:t>
      </w:r>
      <w:r>
        <w:rPr>
          <w:rFonts w:hint="eastAsia" w:ascii="宋体" w:hAnsi="宋体" w:cs="宋体"/>
          <w:bCs/>
          <w:szCs w:val="21"/>
          <w:lang w:val="en-US" w:eastAsia="zh-CN"/>
        </w:rPr>
        <w:t>2</w:t>
      </w:r>
      <w:r>
        <w:rPr>
          <w:rFonts w:hint="eastAsia" w:ascii="宋体" w:hAnsi="宋体" w:cs="宋体"/>
          <w:bCs/>
          <w:szCs w:val="21"/>
        </w:rPr>
        <w:t>。</w:t>
      </w:r>
    </w:p>
    <w:p w14:paraId="18BFE26B">
      <w:pPr>
        <w:spacing w:line="336" w:lineRule="auto"/>
        <w:rPr>
          <w:rFonts w:hint="eastAsia" w:ascii="宋体" w:hAnsi="宋体" w:cs="宋体"/>
          <w:b/>
          <w:bCs/>
          <w:szCs w:val="21"/>
        </w:rPr>
      </w:pPr>
      <w:bookmarkStart w:id="16" w:name="_Toc35393794"/>
      <w:bookmarkStart w:id="17" w:name="_Toc28359007"/>
      <w:bookmarkStart w:id="18" w:name="_Toc35393625"/>
      <w:bookmarkStart w:id="19" w:name="_Toc28359084"/>
      <w:r>
        <w:rPr>
          <w:rFonts w:hint="eastAsia" w:ascii="宋体" w:hAnsi="宋体" w:cs="宋体"/>
          <w:b/>
          <w:bCs/>
          <w:szCs w:val="21"/>
        </w:rPr>
        <w:t>六、公告期限</w:t>
      </w:r>
      <w:bookmarkEnd w:id="16"/>
      <w:bookmarkEnd w:id="17"/>
      <w:bookmarkEnd w:id="18"/>
      <w:bookmarkEnd w:id="19"/>
    </w:p>
    <w:p w14:paraId="145DE6D6">
      <w:pPr>
        <w:spacing w:line="336" w:lineRule="auto"/>
        <w:ind w:firstLine="420" w:firstLineChars="200"/>
        <w:rPr>
          <w:rFonts w:hint="eastAsia" w:ascii="宋体" w:hAnsi="宋体" w:cs="宋体"/>
          <w:kern w:val="0"/>
          <w:szCs w:val="21"/>
        </w:rPr>
      </w:pPr>
      <w:r>
        <w:rPr>
          <w:rFonts w:hint="eastAsia" w:ascii="宋体" w:hAnsi="宋体" w:cs="宋体"/>
          <w:kern w:val="0"/>
          <w:szCs w:val="21"/>
        </w:rPr>
        <w:t>自本公告发布之日起3个工作日。</w:t>
      </w:r>
    </w:p>
    <w:p w14:paraId="716D498D">
      <w:pPr>
        <w:spacing w:line="336" w:lineRule="auto"/>
        <w:rPr>
          <w:rFonts w:hint="eastAsia" w:ascii="宋体" w:hAnsi="宋体" w:cs="宋体"/>
          <w:b/>
          <w:bCs/>
          <w:szCs w:val="21"/>
        </w:rPr>
      </w:pPr>
      <w:bookmarkStart w:id="20" w:name="_Toc35393795"/>
      <w:bookmarkStart w:id="21" w:name="_Toc35393626"/>
      <w:r>
        <w:rPr>
          <w:rFonts w:hint="eastAsia" w:ascii="宋体" w:hAnsi="宋体" w:cs="宋体"/>
          <w:b/>
          <w:bCs/>
          <w:szCs w:val="21"/>
        </w:rPr>
        <w:t>七、其他补充事宜</w:t>
      </w:r>
      <w:bookmarkEnd w:id="20"/>
      <w:bookmarkEnd w:id="21"/>
    </w:p>
    <w:p w14:paraId="08AB8DB4">
      <w:pPr>
        <w:spacing w:line="336" w:lineRule="auto"/>
        <w:ind w:firstLine="420" w:firstLineChars="200"/>
        <w:rPr>
          <w:rFonts w:hint="eastAsia" w:ascii="宋体" w:hAnsi="宋体" w:cs="宋体"/>
          <w:kern w:val="0"/>
          <w:szCs w:val="21"/>
        </w:rPr>
      </w:pPr>
      <w:r>
        <w:rPr>
          <w:rFonts w:hint="eastAsia" w:ascii="宋体" w:hAnsi="宋体" w:cs="宋体"/>
          <w:kern w:val="0"/>
          <w:szCs w:val="21"/>
        </w:rPr>
        <w:t>1.</w:t>
      </w:r>
      <w:r>
        <w:rPr>
          <w:rFonts w:hint="eastAsia" w:ascii="宋体" w:hAnsi="宋体" w:cs="宋体"/>
          <w:szCs w:val="21"/>
          <w:shd w:val="clear" w:color="auto" w:fill="FFFFFF"/>
        </w:rPr>
        <w:t>谈判保证金：本项目不收取谈判保证金。</w:t>
      </w:r>
    </w:p>
    <w:p w14:paraId="3867E006">
      <w:pPr>
        <w:spacing w:line="336" w:lineRule="auto"/>
        <w:ind w:firstLine="420" w:firstLineChars="200"/>
        <w:rPr>
          <w:rFonts w:hint="eastAsia" w:ascii="宋体" w:hAnsi="宋体" w:cs="宋体"/>
          <w:kern w:val="0"/>
          <w:szCs w:val="21"/>
        </w:rPr>
      </w:pPr>
      <w:r>
        <w:rPr>
          <w:rFonts w:hint="eastAsia" w:ascii="宋体" w:hAnsi="宋体" w:cs="宋体"/>
          <w:kern w:val="0"/>
          <w:szCs w:val="21"/>
        </w:rPr>
        <w:t>2.网上查询地址：中国政府采购网、广西政府采购网、全国公共资源交易平台（广西· 防城港）。</w:t>
      </w:r>
      <w:bookmarkStart w:id="22" w:name="_Hlk37429585"/>
      <w:bookmarkStart w:id="23" w:name="_Hlk37429595"/>
    </w:p>
    <w:bookmarkEnd w:id="22"/>
    <w:bookmarkEnd w:id="23"/>
    <w:p w14:paraId="040A1169">
      <w:pPr>
        <w:spacing w:line="336" w:lineRule="auto"/>
        <w:ind w:firstLine="420" w:firstLineChars="200"/>
        <w:rPr>
          <w:rFonts w:hint="eastAsia" w:ascii="宋体" w:hAnsi="宋体" w:cs="宋体"/>
          <w:kern w:val="0"/>
          <w:szCs w:val="21"/>
        </w:rPr>
      </w:pPr>
      <w:bookmarkStart w:id="24" w:name="_Hlk37429674"/>
      <w:r>
        <w:rPr>
          <w:rFonts w:hint="eastAsia" w:ascii="宋体" w:hAnsi="宋体" w:cs="宋体"/>
          <w:kern w:val="0"/>
          <w:szCs w:val="21"/>
        </w:rPr>
        <w:t>3</w:t>
      </w:r>
      <w:r>
        <w:rPr>
          <w:rFonts w:hint="eastAsia" w:ascii="宋体" w:hAnsi="宋体" w:cs="宋体"/>
          <w:szCs w:val="21"/>
        </w:rPr>
        <w:t xml:space="preserve">. </w:t>
      </w:r>
      <w:r>
        <w:rPr>
          <w:rFonts w:hint="eastAsia" w:ascii="宋体" w:hAnsi="宋体" w:cs="宋体"/>
          <w:kern w:val="0"/>
          <w:szCs w:val="21"/>
        </w:rPr>
        <w:t>本项目需要落实的政府采购政策</w:t>
      </w:r>
    </w:p>
    <w:bookmarkEnd w:id="24"/>
    <w:p w14:paraId="114AAAB6">
      <w:pPr>
        <w:spacing w:line="336" w:lineRule="auto"/>
        <w:ind w:firstLine="420" w:firstLineChars="200"/>
        <w:rPr>
          <w:rFonts w:hint="eastAsia" w:ascii="宋体" w:hAnsi="宋体" w:cs="宋体"/>
          <w:kern w:val="0"/>
          <w:szCs w:val="21"/>
        </w:rPr>
      </w:pPr>
      <w:r>
        <w:rPr>
          <w:rFonts w:hint="eastAsia" w:ascii="宋体" w:hAnsi="宋体" w:cs="宋体"/>
          <w:kern w:val="0"/>
          <w:szCs w:val="21"/>
        </w:rPr>
        <w:t>（1）政府采购促进中小企业发展。</w:t>
      </w:r>
    </w:p>
    <w:p w14:paraId="7883B91E">
      <w:pPr>
        <w:spacing w:line="336" w:lineRule="auto"/>
        <w:ind w:firstLine="420" w:firstLineChars="200"/>
        <w:rPr>
          <w:rFonts w:hint="eastAsia" w:ascii="宋体" w:hAnsi="宋体" w:cs="宋体"/>
          <w:kern w:val="0"/>
          <w:szCs w:val="21"/>
        </w:rPr>
      </w:pPr>
      <w:r>
        <w:rPr>
          <w:rFonts w:hint="eastAsia" w:ascii="宋体" w:hAnsi="宋体" w:cs="宋体"/>
          <w:kern w:val="0"/>
          <w:szCs w:val="21"/>
        </w:rPr>
        <w:t>（2）政府采购支持采用本国产品的政策。</w:t>
      </w:r>
    </w:p>
    <w:p w14:paraId="7061AC28">
      <w:pPr>
        <w:spacing w:line="336" w:lineRule="auto"/>
        <w:ind w:firstLine="420" w:firstLineChars="200"/>
        <w:rPr>
          <w:rFonts w:hint="eastAsia" w:ascii="宋体" w:hAnsi="宋体" w:cs="宋体"/>
          <w:kern w:val="0"/>
          <w:szCs w:val="21"/>
        </w:rPr>
      </w:pPr>
      <w:r>
        <w:rPr>
          <w:rFonts w:hint="eastAsia" w:ascii="宋体" w:hAnsi="宋体" w:cs="宋体"/>
          <w:kern w:val="0"/>
          <w:szCs w:val="21"/>
        </w:rPr>
        <w:t>（3）强制采购节能产品；优先采购节能产品、环境标志产品。</w:t>
      </w:r>
    </w:p>
    <w:p w14:paraId="6E1668E6">
      <w:pPr>
        <w:spacing w:line="336" w:lineRule="auto"/>
        <w:ind w:firstLine="420" w:firstLineChars="200"/>
        <w:rPr>
          <w:rFonts w:hint="eastAsia" w:ascii="宋体" w:hAnsi="宋体" w:cs="宋体"/>
          <w:kern w:val="0"/>
          <w:szCs w:val="21"/>
        </w:rPr>
      </w:pPr>
      <w:r>
        <w:rPr>
          <w:rFonts w:hint="eastAsia" w:ascii="宋体" w:hAnsi="宋体" w:cs="宋体"/>
          <w:kern w:val="0"/>
          <w:szCs w:val="21"/>
        </w:rPr>
        <w:t>（4）政府采购促进残疾人就业政策。</w:t>
      </w:r>
    </w:p>
    <w:p w14:paraId="6CC32ED2">
      <w:pPr>
        <w:spacing w:line="336" w:lineRule="auto"/>
        <w:ind w:firstLine="420" w:firstLineChars="200"/>
        <w:rPr>
          <w:rFonts w:hint="eastAsia" w:ascii="宋体" w:hAnsi="宋体" w:cs="宋体"/>
          <w:kern w:val="0"/>
          <w:szCs w:val="21"/>
        </w:rPr>
      </w:pPr>
      <w:r>
        <w:rPr>
          <w:rFonts w:hint="eastAsia" w:ascii="宋体" w:hAnsi="宋体" w:cs="宋体"/>
          <w:kern w:val="0"/>
          <w:szCs w:val="21"/>
        </w:rPr>
        <w:t>（5）政府采购支持监狱企业发展。</w:t>
      </w:r>
    </w:p>
    <w:p w14:paraId="16E82474">
      <w:pPr>
        <w:spacing w:line="336" w:lineRule="auto"/>
        <w:ind w:firstLine="420" w:firstLineChars="200"/>
        <w:rPr>
          <w:rFonts w:hint="eastAsia" w:ascii="宋体" w:hAnsi="宋体" w:cs="宋体"/>
          <w:kern w:val="0"/>
          <w:szCs w:val="21"/>
        </w:rPr>
      </w:pPr>
      <w:r>
        <w:rPr>
          <w:rFonts w:hint="eastAsia" w:ascii="宋体" w:hAnsi="宋体" w:cs="宋体"/>
          <w:kern w:val="0"/>
          <w:szCs w:val="21"/>
        </w:rPr>
        <w:t>4. 其他注意事项</w:t>
      </w:r>
    </w:p>
    <w:p w14:paraId="62CB3AD9">
      <w:pPr>
        <w:spacing w:line="336" w:lineRule="auto"/>
        <w:ind w:firstLine="420" w:firstLineChars="200"/>
        <w:rPr>
          <w:rFonts w:hint="eastAsia" w:ascii="宋体" w:hAnsi="宋体" w:cs="宋体"/>
          <w:kern w:val="0"/>
          <w:szCs w:val="21"/>
        </w:rPr>
      </w:pPr>
      <w:r>
        <w:rPr>
          <w:rFonts w:hint="eastAsia" w:ascii="宋体" w:hAnsi="宋体" w:cs="宋体"/>
          <w:kern w:val="0"/>
          <w:szCs w:val="21"/>
        </w:rPr>
        <w:t>（1）本项目为全流程电子化采购项目，通过广西政府采购云平台（https://www.gcy.zfcg.gxzf.gov.cn/）实行在线电子投标，供应商应按照本项目竞争性谈判文件和广西政府采购云平台的要求编制、加密后在响应文件递交截止时间前通过网络上传至广西政府采购云平台（加密的电子投标文件是指后缀名为“jmbs”的文件），</w:t>
      </w:r>
      <w:r>
        <w:rPr>
          <w:rFonts w:hint="eastAsia" w:ascii="宋体" w:hAnsi="宋体" w:cs="宋体"/>
          <w:b/>
          <w:bCs/>
          <w:kern w:val="0"/>
          <w:szCs w:val="21"/>
        </w:rPr>
        <w:t>供应商在广西政府采购云平台提交电子响应文件时，请填写参加远程开标活动经办人联系方式。</w:t>
      </w:r>
      <w:r>
        <w:rPr>
          <w:rFonts w:hint="eastAsia" w:ascii="宋体" w:hAnsi="宋体" w:cs="宋体"/>
          <w:kern w:val="0"/>
          <w:szCs w:val="21"/>
        </w:rPr>
        <w:t>供应商登录广西政府采购云平台，依次进入“服务中心-项目采购-操作流程-电子招投标-政府采购项目电子交易管理操作指南-供应商”查看电子投标具体操作流程。</w:t>
      </w:r>
    </w:p>
    <w:p w14:paraId="299D8654">
      <w:pPr>
        <w:spacing w:line="336" w:lineRule="auto"/>
        <w:ind w:firstLine="420" w:firstLineChars="200"/>
        <w:rPr>
          <w:rFonts w:hint="eastAsia" w:ascii="宋体" w:hAnsi="宋体" w:cs="宋体"/>
          <w:kern w:val="0"/>
          <w:szCs w:val="21"/>
        </w:rPr>
      </w:pPr>
      <w:r>
        <w:rPr>
          <w:rFonts w:hint="eastAsia" w:ascii="宋体" w:hAnsi="宋体" w:cs="宋体"/>
          <w:kern w:val="0"/>
          <w:szCs w:val="21"/>
        </w:rPr>
        <w:t>（2）未进行网上注册并办理数字证书（CA认证）的供应商将无法参与本项目政府采购活动，竞标供应商应当在投标截止时间前，完成电子交易平台上的CA数字证书办理及响应文件的提交（供应商可登录“广西政府采购网”，依次进入“办事服务-下载专区”或者登录广西政府采购云平台，依次进入“服务中心-入驻与配置”中查看CA数字证书办理操作流程。如在操作过程中遇到问题或者需要技术支持，请致电客服热线：95763）。</w:t>
      </w:r>
    </w:p>
    <w:p w14:paraId="1B3702C9">
      <w:pPr>
        <w:spacing w:line="336" w:lineRule="auto"/>
        <w:ind w:firstLine="420" w:firstLineChars="200"/>
        <w:rPr>
          <w:rFonts w:hint="eastAsia" w:ascii="宋体" w:hAnsi="宋体" w:cs="宋体"/>
          <w:kern w:val="0"/>
          <w:szCs w:val="21"/>
        </w:rPr>
      </w:pPr>
      <w:r>
        <w:rPr>
          <w:rFonts w:hint="eastAsia" w:ascii="宋体" w:hAnsi="宋体" w:cs="宋体"/>
          <w:kern w:val="0"/>
          <w:szCs w:val="21"/>
        </w:rPr>
        <w:t>（3）CA证书在线解密：供应商竞标时，需凭制作响应文件时用来加密的有效数字证书（CA认证）登录广西政府采购云平台电子开标大厅现场按规定时间对加密的响应文件进行解密，否则后果自负。</w:t>
      </w:r>
    </w:p>
    <w:p w14:paraId="28728A53">
      <w:pPr>
        <w:spacing w:line="336" w:lineRule="auto"/>
        <w:ind w:firstLine="420" w:firstLineChars="200"/>
        <w:rPr>
          <w:rFonts w:hint="eastAsia" w:ascii="宋体" w:hAnsi="宋体" w:cs="宋体"/>
          <w:kern w:val="0"/>
          <w:szCs w:val="21"/>
        </w:rPr>
      </w:pPr>
      <w:r>
        <w:rPr>
          <w:rFonts w:hint="eastAsia" w:ascii="宋体" w:hAnsi="宋体" w:cs="宋体"/>
          <w:kern w:val="0"/>
          <w:szCs w:val="21"/>
        </w:rPr>
        <w:t>注：1）为确保网上操作合法、有效和安全，请供应商确保在电子竞标过程中能够对相关数据电文进行加密和使用电子签章，妥善保管CA数字证书并使用有效的CA数字证书参与整个竞标活动。2）供应商应当在响应文件递交截止时间前完成电子响应文件的上传、提交，响应文件递交截止时间前可以补充、修改或者撤回响应文件。补充或者修改响应文件的，应当先行撤回原响应文件，补充、修改后重新上传、提交，响应文件递交截止时间前未完成上传、提交的，视为撤回响应文件。响应文件递交截止时间以后上传递交的响应文件，广西政府采购云平台将予以拒收。</w:t>
      </w:r>
    </w:p>
    <w:p w14:paraId="4D31598F">
      <w:pPr>
        <w:spacing w:line="336" w:lineRule="auto"/>
        <w:ind w:firstLine="420" w:firstLineChars="200"/>
        <w:rPr>
          <w:rFonts w:hint="eastAsia" w:ascii="宋体" w:hAnsi="宋体" w:cs="宋体"/>
          <w:kern w:val="0"/>
          <w:szCs w:val="21"/>
        </w:rPr>
      </w:pPr>
      <w:r>
        <w:rPr>
          <w:rFonts w:hint="eastAsia" w:ascii="宋体" w:hAnsi="宋体" w:cs="宋体"/>
          <w:kern w:val="0"/>
          <w:szCs w:val="21"/>
        </w:rPr>
        <w:t>5.若对项目采购电子交易系统操作有疑问，可登录“</w:t>
      </w:r>
      <w:r>
        <w:rPr>
          <w:rFonts w:hint="eastAsia" w:ascii="宋体" w:hAnsi="宋体" w:cs="宋体"/>
          <w:szCs w:val="21"/>
        </w:rPr>
        <w:t>广西政府采购云平台”</w:t>
      </w:r>
      <w:r>
        <w:rPr>
          <w:rFonts w:hint="eastAsia" w:ascii="宋体" w:hAnsi="宋体" w:cs="宋体"/>
          <w:kern w:val="0"/>
          <w:szCs w:val="21"/>
        </w:rPr>
        <w:t>，点击右侧咨询小采，获取采小蜜智能服务管家帮助，或拨打服务热线95763获取热线服务帮助。</w:t>
      </w:r>
    </w:p>
    <w:p w14:paraId="7945A0C2">
      <w:pPr>
        <w:spacing w:line="336" w:lineRule="auto"/>
        <w:ind w:firstLine="420" w:firstLineChars="200"/>
        <w:rPr>
          <w:rFonts w:hint="eastAsia" w:ascii="宋体" w:hAnsi="宋体" w:cs="宋体"/>
          <w:kern w:val="0"/>
          <w:szCs w:val="21"/>
        </w:rPr>
      </w:pPr>
      <w:r>
        <w:rPr>
          <w:rFonts w:hint="eastAsia" w:ascii="宋体" w:hAnsi="宋体" w:cs="宋体"/>
          <w:kern w:val="0"/>
          <w:szCs w:val="21"/>
        </w:rPr>
        <w:t>6.监督部门</w:t>
      </w:r>
    </w:p>
    <w:p w14:paraId="7F351C32">
      <w:pPr>
        <w:spacing w:line="336" w:lineRule="auto"/>
        <w:ind w:firstLine="420" w:firstLineChars="200"/>
        <w:rPr>
          <w:rFonts w:hint="eastAsia" w:ascii="宋体" w:hAnsi="宋体" w:cs="宋体"/>
          <w:kern w:val="0"/>
          <w:szCs w:val="21"/>
        </w:rPr>
      </w:pPr>
      <w:r>
        <w:rPr>
          <w:rFonts w:hint="eastAsia" w:ascii="宋体" w:hAnsi="宋体" w:cs="宋体"/>
          <w:kern w:val="0"/>
          <w:szCs w:val="21"/>
        </w:rPr>
        <w:t xml:space="preserve">名称：防城港市财政局 </w:t>
      </w:r>
    </w:p>
    <w:p w14:paraId="3387B5C2">
      <w:pPr>
        <w:spacing w:line="336" w:lineRule="auto"/>
        <w:ind w:firstLine="420" w:firstLineChars="200"/>
        <w:rPr>
          <w:rFonts w:hint="default" w:ascii="宋体" w:hAnsi="宋体" w:eastAsia="宋体" w:cs="宋体"/>
          <w:kern w:val="0"/>
          <w:szCs w:val="21"/>
          <w:lang w:val="en-US" w:eastAsia="zh-CN"/>
        </w:rPr>
      </w:pPr>
      <w:r>
        <w:rPr>
          <w:rFonts w:hint="eastAsia" w:ascii="宋体" w:hAnsi="宋体" w:cs="宋体"/>
          <w:kern w:val="0"/>
          <w:szCs w:val="21"/>
        </w:rPr>
        <w:t>电话：0770-61023</w:t>
      </w:r>
      <w:r>
        <w:rPr>
          <w:rFonts w:hint="eastAsia" w:ascii="宋体" w:hAnsi="宋体" w:cs="宋体"/>
          <w:kern w:val="0"/>
          <w:szCs w:val="21"/>
          <w:lang w:val="en-US" w:eastAsia="zh-CN"/>
        </w:rPr>
        <w:t>23</w:t>
      </w:r>
    </w:p>
    <w:p w14:paraId="7854963C">
      <w:pPr>
        <w:spacing w:line="336" w:lineRule="auto"/>
        <w:rPr>
          <w:rFonts w:hint="eastAsia" w:ascii="宋体" w:hAnsi="宋体" w:cs="宋体"/>
          <w:bCs/>
          <w:szCs w:val="21"/>
        </w:rPr>
      </w:pPr>
      <w:r>
        <w:rPr>
          <w:rFonts w:hint="eastAsia" w:ascii="宋体" w:hAnsi="宋体" w:cs="宋体"/>
          <w:b/>
          <w:kern w:val="44"/>
          <w:szCs w:val="21"/>
        </w:rPr>
        <w:t>八、凡对本次采购提出询问，请按以下方式联系</w:t>
      </w:r>
    </w:p>
    <w:p w14:paraId="601475EE">
      <w:pPr>
        <w:spacing w:line="336" w:lineRule="auto"/>
        <w:ind w:firstLine="420" w:firstLineChars="200"/>
        <w:rPr>
          <w:rFonts w:hint="eastAsia" w:ascii="宋体" w:hAnsi="宋体" w:cs="宋体"/>
          <w:szCs w:val="21"/>
        </w:rPr>
      </w:pPr>
      <w:r>
        <w:rPr>
          <w:rFonts w:hint="eastAsia" w:ascii="宋体" w:hAnsi="宋体" w:cs="宋体"/>
          <w:szCs w:val="21"/>
        </w:rPr>
        <w:t>1.采购人信息</w:t>
      </w:r>
    </w:p>
    <w:p w14:paraId="0BFD084D">
      <w:pPr>
        <w:spacing w:line="336" w:lineRule="auto"/>
        <w:ind w:firstLine="420" w:firstLineChars="200"/>
        <w:rPr>
          <w:rFonts w:hint="eastAsia" w:ascii="宋体" w:hAnsi="宋体" w:cs="宋体"/>
          <w:szCs w:val="21"/>
          <w:u w:val="single"/>
        </w:rPr>
      </w:pPr>
      <w:r>
        <w:rPr>
          <w:rFonts w:hint="eastAsia" w:ascii="宋体" w:hAnsi="宋体" w:cs="宋体"/>
          <w:szCs w:val="21"/>
        </w:rPr>
        <w:t>名称：防城港市妇幼保健院</w:t>
      </w:r>
    </w:p>
    <w:p w14:paraId="0534277A">
      <w:pPr>
        <w:spacing w:line="336" w:lineRule="auto"/>
        <w:ind w:firstLine="420" w:firstLineChars="200"/>
        <w:rPr>
          <w:rFonts w:hint="eastAsia" w:ascii="宋体" w:hAnsi="宋体" w:cs="宋体"/>
          <w:szCs w:val="21"/>
        </w:rPr>
      </w:pPr>
      <w:r>
        <w:rPr>
          <w:rFonts w:hint="eastAsia" w:ascii="宋体" w:hAnsi="宋体" w:cs="宋体"/>
          <w:szCs w:val="21"/>
        </w:rPr>
        <w:t>地址：防城港市港口区长山新区赤港街北侧</w:t>
      </w:r>
    </w:p>
    <w:p w14:paraId="3CDB1AF5">
      <w:pPr>
        <w:spacing w:line="336" w:lineRule="auto"/>
        <w:ind w:firstLine="420" w:firstLineChars="200"/>
        <w:rPr>
          <w:rFonts w:hint="eastAsia" w:ascii="宋体" w:hAnsi="宋体" w:cs="宋体"/>
          <w:szCs w:val="21"/>
        </w:rPr>
      </w:pPr>
      <w:r>
        <w:rPr>
          <w:rFonts w:hint="eastAsia" w:ascii="宋体" w:hAnsi="宋体" w:cs="宋体"/>
          <w:szCs w:val="21"/>
        </w:rPr>
        <w:t>联系方式：苗任贤</w:t>
      </w:r>
      <w:r>
        <w:rPr>
          <w:rFonts w:hint="eastAsia" w:ascii="宋体" w:hAnsi="宋体" w:cs="宋体"/>
          <w:szCs w:val="21"/>
          <w:highlight w:val="none"/>
        </w:rPr>
        <w:t xml:space="preserve">  077</w:t>
      </w:r>
      <w:r>
        <w:rPr>
          <w:rFonts w:hint="eastAsia" w:ascii="宋体" w:hAnsi="宋体" w:cs="宋体"/>
          <w:szCs w:val="21"/>
        </w:rPr>
        <w:t xml:space="preserve">0-2882110  </w:t>
      </w:r>
    </w:p>
    <w:p w14:paraId="3CA60637">
      <w:pPr>
        <w:spacing w:line="336" w:lineRule="auto"/>
        <w:ind w:firstLine="420" w:firstLineChars="200"/>
        <w:rPr>
          <w:rFonts w:hint="eastAsia" w:ascii="宋体" w:hAnsi="宋体" w:cs="宋体"/>
          <w:szCs w:val="21"/>
        </w:rPr>
      </w:pPr>
      <w:r>
        <w:rPr>
          <w:rFonts w:hint="eastAsia" w:ascii="宋体" w:hAnsi="宋体" w:cs="宋体"/>
          <w:szCs w:val="21"/>
        </w:rPr>
        <w:t>2.采购代理机构信息</w:t>
      </w:r>
    </w:p>
    <w:p w14:paraId="48494452">
      <w:pPr>
        <w:spacing w:line="336" w:lineRule="auto"/>
        <w:ind w:firstLine="420" w:firstLineChars="200"/>
        <w:rPr>
          <w:rFonts w:hint="eastAsia" w:ascii="宋体" w:hAnsi="宋体" w:cs="宋体"/>
          <w:szCs w:val="21"/>
        </w:rPr>
      </w:pPr>
      <w:r>
        <w:rPr>
          <w:rFonts w:hint="eastAsia" w:ascii="宋体" w:hAnsi="宋体" w:cs="宋体"/>
          <w:szCs w:val="21"/>
        </w:rPr>
        <w:t>名称：广西政投项目咨询有限公司</w:t>
      </w:r>
    </w:p>
    <w:p w14:paraId="3DCEDD8C">
      <w:pPr>
        <w:spacing w:line="336" w:lineRule="auto"/>
        <w:ind w:firstLine="420" w:firstLineChars="200"/>
        <w:rPr>
          <w:rFonts w:hint="eastAsia" w:ascii="宋体" w:hAnsi="宋体" w:cs="宋体"/>
          <w:szCs w:val="21"/>
        </w:rPr>
      </w:pPr>
      <w:r>
        <w:rPr>
          <w:rFonts w:hint="eastAsia" w:ascii="宋体" w:hAnsi="宋体" w:cs="宋体"/>
          <w:szCs w:val="21"/>
        </w:rPr>
        <w:t>地址：中国（广西）自由贸易试验区南宁片区凯旋路16号广西裕达集团南宁五象总部基地广东大厦二十六层2602、2603、2605号房</w:t>
      </w:r>
    </w:p>
    <w:p w14:paraId="441622F2">
      <w:pPr>
        <w:spacing w:line="336" w:lineRule="auto"/>
        <w:ind w:firstLine="420" w:firstLineChars="200"/>
        <w:rPr>
          <w:rFonts w:hint="eastAsia" w:ascii="宋体" w:hAnsi="宋体" w:cs="宋体"/>
          <w:szCs w:val="21"/>
        </w:rPr>
      </w:pPr>
      <w:r>
        <w:rPr>
          <w:rFonts w:hint="eastAsia" w:ascii="宋体" w:hAnsi="宋体" w:cs="宋体"/>
          <w:szCs w:val="21"/>
        </w:rPr>
        <w:t>项目联系人：0771-5891216</w:t>
      </w:r>
    </w:p>
    <w:p w14:paraId="204764A6">
      <w:pPr>
        <w:pStyle w:val="3"/>
        <w:spacing w:before="0" w:after="0" w:line="336" w:lineRule="auto"/>
        <w:rPr>
          <w:rFonts w:hint="eastAsia" w:ascii="宋体" w:hAnsi="宋体" w:cs="宋体"/>
          <w:b w:val="0"/>
          <w:bCs w:val="0"/>
          <w:sz w:val="21"/>
          <w:szCs w:val="21"/>
        </w:rPr>
      </w:pPr>
      <w:r>
        <w:rPr>
          <w:rFonts w:hint="eastAsia" w:ascii="宋体" w:hAnsi="宋体" w:cs="宋体"/>
          <w:b w:val="0"/>
          <w:bCs w:val="0"/>
          <w:sz w:val="21"/>
          <w:szCs w:val="21"/>
        </w:rPr>
        <w:t xml:space="preserve">   </w:t>
      </w:r>
      <w:bookmarkStart w:id="25" w:name="_Toc9359"/>
      <w:bookmarkStart w:id="26" w:name="_Toc32306"/>
      <w:bookmarkStart w:id="27" w:name="_Toc5813"/>
      <w:bookmarkStart w:id="28" w:name="_Toc7377"/>
      <w:r>
        <w:rPr>
          <w:rFonts w:hint="eastAsia" w:ascii="宋体" w:hAnsi="宋体" w:cs="宋体"/>
          <w:b w:val="0"/>
          <w:bCs w:val="0"/>
          <w:sz w:val="21"/>
          <w:szCs w:val="21"/>
        </w:rPr>
        <w:t>3.项目联系方式</w:t>
      </w:r>
      <w:bookmarkEnd w:id="25"/>
      <w:bookmarkEnd w:id="26"/>
      <w:bookmarkEnd w:id="27"/>
      <w:bookmarkEnd w:id="28"/>
    </w:p>
    <w:p w14:paraId="6DECF9C3">
      <w:pPr>
        <w:pStyle w:val="18"/>
        <w:spacing w:line="336" w:lineRule="auto"/>
        <w:rPr>
          <w:rFonts w:hint="eastAsia" w:hAnsi="宋体" w:cs="宋体"/>
          <w:sz w:val="21"/>
        </w:rPr>
      </w:pPr>
      <w:r>
        <w:rPr>
          <w:rFonts w:hint="eastAsia" w:hAnsi="宋体" w:cs="宋体"/>
          <w:sz w:val="21"/>
        </w:rPr>
        <w:t xml:space="preserve">    项目联系人：玉积         </w:t>
      </w:r>
    </w:p>
    <w:p w14:paraId="3736964A">
      <w:pPr>
        <w:spacing w:line="336" w:lineRule="auto"/>
        <w:ind w:firstLine="420"/>
        <w:rPr>
          <w:rFonts w:hint="eastAsia" w:ascii="宋体" w:hAnsi="宋体" w:cs="宋体"/>
          <w:szCs w:val="21"/>
        </w:rPr>
      </w:pPr>
      <w:r>
        <w:rPr>
          <w:rFonts w:hint="eastAsia" w:ascii="宋体" w:hAnsi="宋体" w:cs="宋体"/>
          <w:szCs w:val="21"/>
        </w:rPr>
        <w:t>电话：0771-5891216</w:t>
      </w:r>
    </w:p>
    <w:p w14:paraId="443076D0">
      <w:pPr>
        <w:pStyle w:val="8"/>
        <w:ind w:firstLine="420"/>
      </w:pPr>
    </w:p>
    <w:p w14:paraId="124AF2EA"/>
    <w:p w14:paraId="6055BD51"/>
    <w:p w14:paraId="544CC31C"/>
    <w:p w14:paraId="1FE5FE96">
      <w:pPr>
        <w:pStyle w:val="10"/>
        <w:spacing w:line="480" w:lineRule="auto"/>
        <w:ind w:firstLine="420" w:firstLineChars="200"/>
        <w:jc w:val="right"/>
        <w:rPr>
          <w:rFonts w:hint="eastAsia" w:ascii="宋体" w:hAnsi="宋体" w:cs="宋体"/>
          <w:szCs w:val="21"/>
        </w:rPr>
      </w:pPr>
      <w:r>
        <w:rPr>
          <w:rFonts w:hint="eastAsia" w:ascii="宋体" w:hAnsi="宋体" w:cs="宋体"/>
          <w:szCs w:val="21"/>
        </w:rPr>
        <w:t xml:space="preserve">                                           采购人：防城港市妇幼保健院</w:t>
      </w:r>
    </w:p>
    <w:p w14:paraId="55648C2B">
      <w:pPr>
        <w:spacing w:line="480" w:lineRule="auto"/>
        <w:jc w:val="right"/>
        <w:rPr>
          <w:rFonts w:hint="eastAsia" w:ascii="宋体" w:hAnsi="宋体" w:cs="宋体"/>
          <w:szCs w:val="21"/>
        </w:rPr>
      </w:pPr>
      <w:r>
        <w:rPr>
          <w:rFonts w:hint="eastAsia" w:ascii="宋体" w:hAnsi="宋体" w:cs="宋体"/>
          <w:szCs w:val="21"/>
        </w:rPr>
        <w:t>采购代理机构：广西政投项目咨询有限公司</w:t>
      </w:r>
    </w:p>
    <w:p w14:paraId="0D6238FF">
      <w:pPr>
        <w:spacing w:line="480" w:lineRule="auto"/>
        <w:ind w:firstLine="420" w:firstLineChars="200"/>
        <w:jc w:val="right"/>
        <w:rPr>
          <w:rFonts w:hint="eastAsia" w:ascii="宋体" w:hAnsi="宋体" w:cs="宋体"/>
          <w:highlight w:val="none"/>
        </w:rPr>
      </w:pPr>
      <w:r>
        <w:rPr>
          <w:rFonts w:hint="eastAsia" w:ascii="宋体" w:hAnsi="宋体" w:cs="宋体"/>
          <w:szCs w:val="21"/>
        </w:rPr>
        <w:t xml:space="preserve">                                                 2025年</w:t>
      </w:r>
      <w:r>
        <w:rPr>
          <w:rFonts w:hint="eastAsia" w:ascii="宋体" w:hAnsi="宋体" w:cs="宋体"/>
          <w:szCs w:val="21"/>
          <w:highlight w:val="none"/>
          <w:lang w:val="en-US" w:eastAsia="zh-CN"/>
        </w:rPr>
        <w:t>12</w:t>
      </w:r>
      <w:r>
        <w:rPr>
          <w:rFonts w:hint="eastAsia" w:ascii="宋体" w:hAnsi="宋体" w:cs="宋体"/>
          <w:szCs w:val="21"/>
          <w:highlight w:val="none"/>
        </w:rPr>
        <w:t>月</w:t>
      </w:r>
      <w:r>
        <w:rPr>
          <w:rFonts w:hint="eastAsia" w:ascii="宋体" w:hAnsi="宋体" w:cs="宋体"/>
          <w:szCs w:val="21"/>
          <w:highlight w:val="none"/>
          <w:lang w:val="en-US" w:eastAsia="zh-CN"/>
        </w:rPr>
        <w:t>3</w:t>
      </w:r>
      <w:r>
        <w:rPr>
          <w:rFonts w:hint="eastAsia" w:ascii="宋体" w:hAnsi="宋体" w:cs="宋体"/>
          <w:szCs w:val="21"/>
          <w:highlight w:val="none"/>
        </w:rPr>
        <w:t>日</w:t>
      </w:r>
    </w:p>
    <w:p w14:paraId="0C314D48">
      <w:pPr>
        <w:rPr>
          <w:rFonts w:hint="eastAsia" w:ascii="宋体" w:hAnsi="宋体" w:cs="宋体"/>
          <w:color w:val="000000"/>
          <w:sz w:val="32"/>
          <w:szCs w:val="32"/>
        </w:rPr>
      </w:pPr>
      <w:r>
        <w:rPr>
          <w:rFonts w:hint="eastAsia" w:ascii="宋体" w:hAnsi="宋体" w:cs="宋体"/>
          <w:color w:val="000000"/>
          <w:sz w:val="32"/>
          <w:szCs w:val="32"/>
        </w:rPr>
        <w:br w:type="page"/>
      </w:r>
    </w:p>
    <w:p w14:paraId="5A6E70F0">
      <w:pPr>
        <w:pStyle w:val="2"/>
        <w:spacing w:line="240" w:lineRule="auto"/>
        <w:jc w:val="center"/>
      </w:pPr>
      <w:bookmarkStart w:id="29" w:name="_Toc74322009"/>
      <w:bookmarkStart w:id="30" w:name="_Toc17825"/>
      <w:r>
        <w:rPr>
          <w:rFonts w:hint="eastAsia"/>
        </w:rPr>
        <w:t>第二章 供应商须知</w:t>
      </w:r>
      <w:bookmarkEnd w:id="29"/>
      <w:bookmarkEnd w:id="30"/>
    </w:p>
    <w:p w14:paraId="59EF805A">
      <w:pPr>
        <w:spacing w:line="400" w:lineRule="exact"/>
        <w:jc w:val="center"/>
        <w:rPr>
          <w:rFonts w:hint="eastAsia" w:ascii="宋体" w:hAnsi="宋体"/>
          <w:b/>
          <w:sz w:val="32"/>
          <w:szCs w:val="32"/>
        </w:rPr>
      </w:pPr>
      <w:r>
        <w:rPr>
          <w:rFonts w:hint="eastAsia" w:ascii="宋体" w:hAnsi="宋体"/>
          <w:b/>
          <w:sz w:val="32"/>
          <w:szCs w:val="32"/>
        </w:rPr>
        <w:t>供应商须知前附表</w:t>
      </w:r>
    </w:p>
    <w:tbl>
      <w:tblPr>
        <w:tblStyle w:val="24"/>
        <w:tblW w:w="943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2"/>
        <w:gridCol w:w="8442"/>
      </w:tblGrid>
      <w:tr w14:paraId="43BE66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Pr>
          <w:p w14:paraId="541BDC61">
            <w:pPr>
              <w:spacing w:line="360" w:lineRule="auto"/>
              <w:jc w:val="center"/>
              <w:rPr>
                <w:rFonts w:hint="eastAsia" w:ascii="宋体" w:hAnsi="宋体" w:cs="宋体"/>
                <w:b/>
                <w:szCs w:val="21"/>
              </w:rPr>
            </w:pPr>
            <w:r>
              <w:rPr>
                <w:rFonts w:hint="eastAsia" w:ascii="宋体" w:hAnsi="宋体" w:cs="宋体"/>
                <w:b/>
                <w:szCs w:val="21"/>
              </w:rPr>
              <w:t>条款号</w:t>
            </w:r>
          </w:p>
        </w:tc>
        <w:tc>
          <w:tcPr>
            <w:tcW w:w="8442" w:type="dxa"/>
          </w:tcPr>
          <w:p w14:paraId="4BE24D5B">
            <w:pPr>
              <w:spacing w:line="360" w:lineRule="auto"/>
              <w:jc w:val="center"/>
              <w:rPr>
                <w:rFonts w:hint="eastAsia" w:ascii="宋体" w:hAnsi="宋体" w:cs="宋体"/>
                <w:b/>
                <w:szCs w:val="21"/>
              </w:rPr>
            </w:pPr>
            <w:r>
              <w:rPr>
                <w:rFonts w:hint="eastAsia" w:ascii="宋体" w:hAnsi="宋体" w:cs="宋体"/>
                <w:b/>
                <w:szCs w:val="21"/>
              </w:rPr>
              <w:t>内    容</w:t>
            </w:r>
          </w:p>
        </w:tc>
      </w:tr>
      <w:tr w14:paraId="5B1206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A7EE417">
            <w:pPr>
              <w:spacing w:line="360" w:lineRule="auto"/>
              <w:jc w:val="center"/>
              <w:rPr>
                <w:rFonts w:hint="eastAsia" w:ascii="宋体" w:hAnsi="宋体" w:cs="宋体"/>
                <w:szCs w:val="21"/>
              </w:rPr>
            </w:pPr>
            <w:r>
              <w:rPr>
                <w:rFonts w:hint="eastAsia" w:ascii="宋体" w:hAnsi="宋体" w:cs="宋体"/>
                <w:szCs w:val="21"/>
              </w:rPr>
              <w:t>3</w:t>
            </w:r>
          </w:p>
        </w:tc>
        <w:tc>
          <w:tcPr>
            <w:tcW w:w="8442" w:type="dxa"/>
            <w:vAlign w:val="center"/>
          </w:tcPr>
          <w:p w14:paraId="71013253">
            <w:pPr>
              <w:spacing w:line="360" w:lineRule="auto"/>
              <w:rPr>
                <w:rFonts w:hint="eastAsia" w:ascii="宋体" w:hAnsi="宋体" w:cs="宋体"/>
                <w:szCs w:val="21"/>
              </w:rPr>
            </w:pPr>
            <w:r>
              <w:rPr>
                <w:rFonts w:hint="eastAsia" w:ascii="宋体" w:hAnsi="宋体" w:cs="宋体"/>
                <w:szCs w:val="21"/>
              </w:rPr>
              <w:t>1.供应商的资格条件：详见竞争性谈判公告</w:t>
            </w:r>
          </w:p>
          <w:p w14:paraId="55F4909D">
            <w:pPr>
              <w:spacing w:line="360" w:lineRule="auto"/>
              <w:rPr>
                <w:rFonts w:hint="eastAsia" w:ascii="宋体" w:hAnsi="宋体" w:cs="宋体"/>
                <w:szCs w:val="21"/>
              </w:rPr>
            </w:pPr>
            <w:r>
              <w:rPr>
                <w:rFonts w:hint="eastAsia" w:ascii="宋体" w:hAnsi="宋体" w:cs="宋体"/>
                <w:szCs w:val="21"/>
              </w:rPr>
              <w:t>2.</w:t>
            </w:r>
            <w:r>
              <w:rPr>
                <w:rFonts w:hint="eastAsia" w:ascii="宋体" w:hAnsi="宋体" w:cs="宋体"/>
                <w:bCs/>
                <w:szCs w:val="21"/>
              </w:rPr>
              <w:t>供应商</w:t>
            </w:r>
            <w:r>
              <w:rPr>
                <w:rFonts w:hint="eastAsia" w:ascii="宋体" w:hAnsi="宋体" w:cs="宋体"/>
                <w:szCs w:val="21"/>
              </w:rPr>
              <w:t>出现下列情形之一的，不得参加政府采购活动：</w:t>
            </w:r>
          </w:p>
          <w:p w14:paraId="225CB79F">
            <w:pPr>
              <w:spacing w:line="360" w:lineRule="auto"/>
              <w:rPr>
                <w:rFonts w:hint="eastAsia" w:ascii="宋体" w:hAnsi="宋体" w:cs="宋体"/>
                <w:szCs w:val="21"/>
              </w:rPr>
            </w:pPr>
            <w:r>
              <w:rPr>
                <w:rFonts w:hint="eastAsia" w:ascii="宋体" w:hAnsi="宋体" w:cs="宋体"/>
                <w:szCs w:val="21"/>
              </w:rPr>
              <w:t>2.1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59FD0768">
            <w:pPr>
              <w:spacing w:line="360" w:lineRule="auto"/>
              <w:rPr>
                <w:rFonts w:hint="eastAsia" w:ascii="宋体" w:hAnsi="宋体" w:cs="宋体"/>
                <w:szCs w:val="21"/>
              </w:rPr>
            </w:pPr>
            <w:r>
              <w:rPr>
                <w:rFonts w:hint="eastAsia" w:ascii="宋体" w:hAnsi="宋体" w:cs="宋体"/>
                <w:szCs w:val="21"/>
              </w:rPr>
              <w:t>2.2对在“信用中国”网站（www.creditchina.gov.cn）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tc>
      </w:tr>
      <w:tr w14:paraId="4B43B9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5D9FE239">
            <w:pPr>
              <w:spacing w:line="360" w:lineRule="auto"/>
              <w:jc w:val="center"/>
              <w:rPr>
                <w:rFonts w:hint="eastAsia" w:ascii="宋体" w:hAnsi="宋体" w:cs="宋体"/>
                <w:szCs w:val="21"/>
              </w:rPr>
            </w:pPr>
            <w:r>
              <w:rPr>
                <w:rFonts w:hint="eastAsia" w:ascii="宋体" w:hAnsi="宋体" w:cs="宋体"/>
                <w:szCs w:val="21"/>
              </w:rPr>
              <w:t>5.1</w:t>
            </w:r>
          </w:p>
        </w:tc>
        <w:tc>
          <w:tcPr>
            <w:tcW w:w="8442" w:type="dxa"/>
            <w:vAlign w:val="center"/>
          </w:tcPr>
          <w:p w14:paraId="59B68CC8">
            <w:pPr>
              <w:spacing w:line="360" w:lineRule="auto"/>
              <w:rPr>
                <w:rFonts w:hint="eastAsia" w:ascii="宋体" w:hAnsi="宋体" w:cs="宋体"/>
                <w:szCs w:val="21"/>
              </w:rPr>
            </w:pPr>
            <w:r>
              <w:rPr>
                <w:rFonts w:hint="eastAsia" w:ascii="宋体" w:hAnsi="宋体" w:cs="宋体"/>
                <w:szCs w:val="21"/>
              </w:rPr>
              <w:t>是否接受联合体竞标: 详见竞争性谈判公告</w:t>
            </w:r>
          </w:p>
        </w:tc>
      </w:tr>
      <w:tr w14:paraId="6E1BCB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0041DC07">
            <w:pPr>
              <w:spacing w:line="360" w:lineRule="auto"/>
              <w:jc w:val="center"/>
              <w:rPr>
                <w:rFonts w:hint="eastAsia" w:ascii="宋体" w:hAnsi="宋体" w:cs="宋体"/>
                <w:szCs w:val="21"/>
              </w:rPr>
            </w:pPr>
            <w:r>
              <w:rPr>
                <w:rFonts w:hint="eastAsia" w:ascii="宋体" w:hAnsi="宋体" w:cs="宋体"/>
                <w:szCs w:val="21"/>
              </w:rPr>
              <w:t>6.2</w:t>
            </w:r>
          </w:p>
        </w:tc>
        <w:tc>
          <w:tcPr>
            <w:tcW w:w="8442" w:type="dxa"/>
            <w:vAlign w:val="center"/>
          </w:tcPr>
          <w:p w14:paraId="79A29ADB">
            <w:pPr>
              <w:pStyle w:val="10"/>
              <w:spacing w:line="340" w:lineRule="exact"/>
              <w:rPr>
                <w:szCs w:val="21"/>
                <w:u w:val="single"/>
              </w:rPr>
            </w:pPr>
            <w:r>
              <w:rPr>
                <w:rFonts w:hint="eastAsia"/>
                <w:szCs w:val="21"/>
              </w:rPr>
              <w:t>不允许分包。</w:t>
            </w:r>
          </w:p>
        </w:tc>
      </w:tr>
      <w:tr w14:paraId="11B0CF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3B4BA34D">
            <w:pPr>
              <w:spacing w:line="360" w:lineRule="auto"/>
              <w:jc w:val="center"/>
              <w:rPr>
                <w:rFonts w:hint="eastAsia" w:ascii="宋体" w:hAnsi="宋体" w:cs="宋体"/>
                <w:szCs w:val="21"/>
              </w:rPr>
            </w:pPr>
            <w:r>
              <w:rPr>
                <w:rFonts w:hint="eastAsia" w:ascii="宋体" w:hAnsi="宋体" w:cs="宋体"/>
                <w:szCs w:val="21"/>
              </w:rPr>
              <w:t>7.1</w:t>
            </w:r>
          </w:p>
        </w:tc>
        <w:tc>
          <w:tcPr>
            <w:tcW w:w="8442" w:type="dxa"/>
            <w:vAlign w:val="center"/>
          </w:tcPr>
          <w:p w14:paraId="5FC48861">
            <w:pPr>
              <w:autoSpaceDE w:val="0"/>
              <w:autoSpaceDN w:val="0"/>
              <w:snapToGrid w:val="0"/>
              <w:spacing w:line="360" w:lineRule="auto"/>
              <w:textAlignment w:val="bottom"/>
              <w:rPr>
                <w:rFonts w:hint="eastAsia" w:ascii="宋体" w:hAnsi="宋体"/>
                <w:szCs w:val="21"/>
              </w:rPr>
            </w:pPr>
            <w:r>
              <w:rPr>
                <w:rFonts w:hint="eastAsia" w:ascii="宋体" w:hAnsi="宋体"/>
                <w:szCs w:val="21"/>
              </w:rPr>
              <w:t>提供相同品牌产品（非单一产品采购项目的，指核心产品）的不同供应商最后报价相同时，按照随机抽取的方式确定一个供应商获得成交人推荐资格。</w:t>
            </w:r>
          </w:p>
        </w:tc>
      </w:tr>
      <w:tr w14:paraId="51402C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4703E915">
            <w:pPr>
              <w:spacing w:line="360" w:lineRule="auto"/>
              <w:jc w:val="center"/>
              <w:rPr>
                <w:rFonts w:hint="eastAsia" w:ascii="宋体" w:hAnsi="宋体" w:cs="宋体"/>
                <w:szCs w:val="21"/>
              </w:rPr>
            </w:pPr>
            <w:r>
              <w:rPr>
                <w:rFonts w:hint="eastAsia" w:ascii="宋体" w:hAnsi="宋体" w:cs="宋体"/>
                <w:szCs w:val="21"/>
              </w:rPr>
              <w:t>12.1</w:t>
            </w:r>
            <w:r>
              <w:rPr>
                <w:rFonts w:ascii="宋体" w:hAnsi="宋体" w:cs="宋体"/>
                <w:szCs w:val="21"/>
              </w:rPr>
              <w:t>.1</w:t>
            </w:r>
          </w:p>
        </w:tc>
        <w:tc>
          <w:tcPr>
            <w:tcW w:w="8442" w:type="dxa"/>
            <w:vAlign w:val="center"/>
          </w:tcPr>
          <w:p w14:paraId="7C11AFC7">
            <w:pPr>
              <w:snapToGrid w:val="0"/>
              <w:spacing w:line="360" w:lineRule="auto"/>
              <w:jc w:val="left"/>
              <w:rPr>
                <w:rFonts w:hint="eastAsia" w:ascii="宋体" w:hAnsi="宋体" w:cs="宋体"/>
                <w:b/>
                <w:szCs w:val="21"/>
              </w:rPr>
            </w:pPr>
            <w:r>
              <w:rPr>
                <w:rFonts w:hint="eastAsia" w:ascii="宋体" w:hAnsi="宋体" w:cs="宋体"/>
                <w:b/>
                <w:szCs w:val="21"/>
              </w:rPr>
              <w:t>资格证明文件</w:t>
            </w:r>
          </w:p>
          <w:p w14:paraId="4D916DBD">
            <w:pPr>
              <w:pStyle w:val="10"/>
              <w:spacing w:line="360" w:lineRule="auto"/>
              <w:rPr>
                <w:rFonts w:hint="eastAsia" w:ascii="宋体" w:hAnsi="宋体" w:cs="宋体"/>
                <w:color w:val="000000"/>
                <w:szCs w:val="21"/>
              </w:rPr>
            </w:pPr>
            <w:r>
              <w:rPr>
                <w:rFonts w:hint="eastAsia" w:ascii="宋体" w:hAnsi="宋体" w:cs="宋体"/>
                <w:color w:val="000000"/>
                <w:szCs w:val="21"/>
              </w:rPr>
              <w:t>1.供应商为法人或者其他组织的提供其营业执照等证明文件（如营业执照或者事业单位法人证书或者执业许可证等），供应商为自然人的提供其身份证复印件；</w:t>
            </w:r>
            <w:r>
              <w:rPr>
                <w:rFonts w:hint="eastAsia" w:ascii="宋体" w:hAnsi="宋体" w:cs="宋体"/>
                <w:b/>
                <w:bCs/>
                <w:color w:val="000000"/>
                <w:szCs w:val="21"/>
              </w:rPr>
              <w:t>（必须提供，否则响应文件按无效响应处理）</w:t>
            </w:r>
          </w:p>
          <w:p w14:paraId="5F2BBCA8">
            <w:pPr>
              <w:snapToGrid w:val="0"/>
              <w:spacing w:line="360" w:lineRule="auto"/>
              <w:jc w:val="left"/>
              <w:rPr>
                <w:rFonts w:hint="eastAsia" w:ascii="宋体" w:hAnsi="宋体" w:cs="宋体"/>
                <w:b/>
                <w:color w:val="000000"/>
                <w:szCs w:val="21"/>
              </w:rPr>
            </w:pPr>
            <w:r>
              <w:rPr>
                <w:rFonts w:hint="eastAsia" w:ascii="宋体" w:hAnsi="宋体" w:cs="宋体"/>
                <w:color w:val="000000"/>
                <w:szCs w:val="21"/>
              </w:rPr>
              <w:t>2.</w:t>
            </w:r>
            <w:r>
              <w:rPr>
                <w:rFonts w:hint="eastAsia" w:ascii="宋体" w:hAnsi="宋体" w:cs="宋体"/>
                <w:szCs w:val="21"/>
              </w:rPr>
              <w:t>供应商根据防财监〔2023〕58 号文要求提供的《防城港市政府采购供应商信用承诺函》（格式附后）；（</w:t>
            </w:r>
            <w:r>
              <w:rPr>
                <w:rFonts w:hint="eastAsia" w:ascii="宋体" w:hAnsi="宋体" w:cs="宋体"/>
                <w:b/>
                <w:szCs w:val="21"/>
              </w:rPr>
              <w:t>必须提供，否则响应文件按无效响应处理</w:t>
            </w:r>
            <w:r>
              <w:rPr>
                <w:rFonts w:hint="eastAsia" w:ascii="宋体" w:hAnsi="宋体" w:cs="宋体"/>
                <w:szCs w:val="21"/>
              </w:rPr>
              <w:t>）</w:t>
            </w:r>
          </w:p>
          <w:p w14:paraId="2BF1606F">
            <w:pPr>
              <w:snapToGrid w:val="0"/>
              <w:spacing w:line="360" w:lineRule="auto"/>
              <w:jc w:val="left"/>
              <w:rPr>
                <w:rFonts w:hint="eastAsia" w:ascii="宋体" w:hAnsi="宋体" w:cs="宋体"/>
                <w:color w:val="000000"/>
                <w:szCs w:val="21"/>
              </w:rPr>
            </w:pPr>
            <w:r>
              <w:rPr>
                <w:rFonts w:hint="eastAsia" w:ascii="宋体" w:hAnsi="宋体" w:cs="宋体"/>
                <w:color w:val="000000"/>
                <w:szCs w:val="21"/>
              </w:rPr>
              <w:t>3.供应商直接控股、管理关系信息表（格式后附）；</w:t>
            </w:r>
            <w:r>
              <w:rPr>
                <w:rFonts w:hint="eastAsia" w:ascii="宋体" w:hAnsi="宋体" w:cs="宋体"/>
                <w:b/>
                <w:bCs/>
                <w:color w:val="000000"/>
                <w:szCs w:val="21"/>
              </w:rPr>
              <w:t>（必须提供，否则响应文件按无效响应处理）</w:t>
            </w:r>
          </w:p>
          <w:p w14:paraId="660D4F46">
            <w:pPr>
              <w:spacing w:line="360" w:lineRule="auto"/>
              <w:rPr>
                <w:rFonts w:hint="eastAsia" w:ascii="宋体" w:hAnsi="宋体" w:cs="宋体"/>
                <w:b/>
                <w:bCs/>
                <w:color w:val="000000"/>
                <w:szCs w:val="21"/>
              </w:rPr>
            </w:pPr>
            <w:r>
              <w:rPr>
                <w:rFonts w:hint="eastAsia" w:ascii="宋体" w:hAnsi="宋体" w:cs="宋体"/>
                <w:color w:val="000000"/>
                <w:szCs w:val="21"/>
              </w:rPr>
              <w:t>4.竞标声明（格式后附）；</w:t>
            </w:r>
            <w:r>
              <w:rPr>
                <w:rFonts w:hint="eastAsia" w:ascii="宋体" w:hAnsi="宋体" w:cs="宋体"/>
                <w:b/>
                <w:bCs/>
                <w:color w:val="000000"/>
                <w:szCs w:val="21"/>
              </w:rPr>
              <w:t>（必须提供，否则响应文件按无效处理）</w:t>
            </w:r>
          </w:p>
          <w:p w14:paraId="735659EB">
            <w:pPr>
              <w:keepNext w:val="0"/>
              <w:keepLines w:val="0"/>
              <w:pageBreakBefore w:val="0"/>
              <w:kinsoku/>
              <w:wordWrap/>
              <w:overflowPunct/>
              <w:topLinePunct w:val="0"/>
              <w:autoSpaceDE/>
              <w:autoSpaceDN/>
              <w:bidi w:val="0"/>
              <w:adjustRightInd/>
              <w:snapToGrid/>
              <w:spacing w:line="360" w:lineRule="auto"/>
              <w:ind w:firstLine="0" w:firstLineChars="0"/>
              <w:textAlignment w:val="auto"/>
              <w:outlineLvl w:val="9"/>
              <w:rPr>
                <w:rFonts w:hint="eastAsia" w:ascii="宋体" w:hAnsi="宋体" w:eastAsia="宋体" w:cs="宋体"/>
                <w:color w:val="auto"/>
                <w:sz w:val="21"/>
                <w:szCs w:val="21"/>
                <w:highlight w:val="none"/>
                <w:lang w:val="en-US" w:eastAsia="zh-CN"/>
              </w:rPr>
            </w:pPr>
            <w:r>
              <w:rPr>
                <w:rFonts w:hint="eastAsia" w:ascii="宋体" w:hAnsi="宋体" w:cs="宋体"/>
                <w:b w:val="0"/>
                <w:bCs w:val="0"/>
                <w:color w:val="000000"/>
                <w:szCs w:val="21"/>
                <w:lang w:val="en-US" w:eastAsia="zh-CN"/>
              </w:rPr>
              <w:t>5.</w:t>
            </w:r>
            <w:r>
              <w:rPr>
                <w:rFonts w:hint="eastAsia" w:ascii="宋体" w:hAnsi="宋体" w:eastAsia="宋体" w:cs="宋体"/>
                <w:color w:val="auto"/>
                <w:sz w:val="21"/>
                <w:szCs w:val="21"/>
                <w:highlight w:val="none"/>
              </w:rPr>
              <w:t>本次</w:t>
            </w:r>
            <w:r>
              <w:rPr>
                <w:rFonts w:hint="eastAsia" w:ascii="宋体" w:hAnsi="宋体" w:eastAsia="宋体" w:cs="宋体"/>
                <w:color w:val="auto"/>
                <w:sz w:val="21"/>
                <w:szCs w:val="21"/>
                <w:highlight w:val="none"/>
                <w:lang w:eastAsia="zh-CN"/>
              </w:rPr>
              <w:t>采购</w:t>
            </w:r>
            <w:r>
              <w:rPr>
                <w:rFonts w:hint="eastAsia" w:ascii="宋体" w:hAnsi="宋体" w:eastAsia="宋体" w:cs="宋体"/>
                <w:color w:val="auto"/>
                <w:sz w:val="21"/>
                <w:szCs w:val="21"/>
                <w:highlight w:val="none"/>
              </w:rPr>
              <w:t>要求</w:t>
            </w:r>
            <w:r>
              <w:rPr>
                <w:rFonts w:hint="eastAsia" w:ascii="宋体" w:hAnsi="宋体" w:eastAsia="宋体" w:cs="宋体"/>
                <w:color w:val="auto"/>
                <w:sz w:val="21"/>
                <w:szCs w:val="21"/>
                <w:highlight w:val="none"/>
                <w:lang w:eastAsia="zh-CN"/>
              </w:rPr>
              <w:t>：</w:t>
            </w:r>
            <w:r>
              <w:rPr>
                <w:rFonts w:hint="eastAsia" w:ascii="宋体" w:hAnsi="宋体" w:cs="宋体"/>
              </w:rPr>
              <w:t>供应商按《医疗器械监督管理条例》（国务院令第739号）医疗器械分类管理要求具备有效的医疗器械经营备案凭证，且经营范围必须包含采购标的[符合《医疗器械监督管理条例》第四十一条第二款规定的除外]；或者供应商具有《医疗器械监督管理条例》第四十三条规定的注册人凭证</w:t>
            </w:r>
            <w:r>
              <w:rPr>
                <w:rFonts w:hint="eastAsia" w:ascii="宋体" w:hAnsi="宋体" w:cs="宋体"/>
                <w:lang w:eastAsia="zh-CN"/>
              </w:rPr>
              <w:t>。</w:t>
            </w:r>
            <w:r>
              <w:rPr>
                <w:rFonts w:hint="eastAsia" w:ascii="宋体" w:hAnsi="宋体" w:eastAsia="宋体" w:cs="宋体"/>
                <w:color w:val="auto"/>
                <w:sz w:val="21"/>
                <w:szCs w:val="21"/>
                <w:highlight w:val="none"/>
              </w:rPr>
              <w:t>（</w:t>
            </w:r>
            <w:r>
              <w:rPr>
                <w:rFonts w:hint="eastAsia" w:ascii="宋体" w:hAnsi="宋体" w:eastAsia="宋体" w:cs="宋体"/>
                <w:b/>
                <w:color w:val="auto"/>
                <w:sz w:val="21"/>
                <w:szCs w:val="21"/>
                <w:highlight w:val="none"/>
              </w:rPr>
              <w:t>必须提供，否则响应文件按无效响应处理</w:t>
            </w:r>
            <w:r>
              <w:rPr>
                <w:rFonts w:hint="eastAsia" w:ascii="宋体" w:hAnsi="宋体" w:eastAsia="宋体" w:cs="宋体"/>
                <w:color w:val="auto"/>
                <w:sz w:val="21"/>
                <w:szCs w:val="21"/>
                <w:highlight w:val="none"/>
              </w:rPr>
              <w:t>）</w:t>
            </w:r>
          </w:p>
          <w:p w14:paraId="27A71F2D">
            <w:pPr>
              <w:spacing w:line="360" w:lineRule="auto"/>
              <w:rPr>
                <w:rFonts w:hint="eastAsia" w:ascii="宋体" w:hAnsi="宋体" w:cs="宋体"/>
                <w:bCs/>
                <w:color w:val="000000"/>
                <w:szCs w:val="21"/>
              </w:rPr>
            </w:pPr>
            <w:r>
              <w:rPr>
                <w:rFonts w:hint="eastAsia" w:ascii="宋体" w:hAnsi="宋体" w:cs="宋体"/>
                <w:bCs/>
                <w:color w:val="000000"/>
                <w:szCs w:val="21"/>
                <w:lang w:val="en-US" w:eastAsia="zh-CN"/>
              </w:rPr>
              <w:t>6</w:t>
            </w:r>
            <w:r>
              <w:rPr>
                <w:rFonts w:hint="eastAsia" w:ascii="宋体" w:hAnsi="宋体" w:cs="宋体"/>
                <w:bCs/>
                <w:color w:val="000000"/>
                <w:szCs w:val="21"/>
              </w:rPr>
              <w:t>.</w:t>
            </w:r>
            <w:r>
              <w:rPr>
                <w:rFonts w:hint="eastAsia" w:ascii="宋体" w:hAnsi="宋体" w:cs="宋体"/>
                <w:szCs w:val="21"/>
              </w:rPr>
              <w:t>中小企业声明函或残疾人福利性单位声明函或竞标人属于监狱企业的证明材料；</w:t>
            </w:r>
            <w:r>
              <w:rPr>
                <w:rFonts w:hint="eastAsia" w:ascii="宋体" w:hAnsi="宋体" w:cs="宋体"/>
                <w:b/>
                <w:bCs/>
                <w:color w:val="000000"/>
                <w:szCs w:val="21"/>
              </w:rPr>
              <w:t>（必须提供，否则响应文件按无效处理）</w:t>
            </w:r>
          </w:p>
          <w:p w14:paraId="5163C6A8">
            <w:pPr>
              <w:spacing w:line="360" w:lineRule="auto"/>
              <w:rPr>
                <w:rFonts w:hint="eastAsia" w:ascii="宋体" w:hAnsi="宋体" w:cs="宋体"/>
                <w:bCs/>
                <w:color w:val="000000"/>
                <w:szCs w:val="21"/>
              </w:rPr>
            </w:pPr>
            <w:r>
              <w:rPr>
                <w:rFonts w:hint="eastAsia" w:ascii="宋体" w:hAnsi="宋体" w:cs="宋体"/>
                <w:bCs/>
                <w:color w:val="000000"/>
                <w:szCs w:val="21"/>
                <w:lang w:val="en-US" w:eastAsia="zh-CN"/>
              </w:rPr>
              <w:t>7</w:t>
            </w:r>
            <w:r>
              <w:rPr>
                <w:rFonts w:hint="eastAsia" w:ascii="宋体" w:hAnsi="宋体" w:cs="宋体"/>
                <w:bCs/>
                <w:color w:val="000000"/>
                <w:szCs w:val="21"/>
              </w:rPr>
              <w:t>.除谈判文件规定必须提供以外，供应商认为需要提供的其他证明材料。</w:t>
            </w:r>
          </w:p>
          <w:p w14:paraId="7BC8F58B">
            <w:pPr>
              <w:snapToGrid w:val="0"/>
              <w:spacing w:line="360" w:lineRule="auto"/>
              <w:jc w:val="left"/>
              <w:rPr>
                <w:rFonts w:hint="eastAsia" w:ascii="宋体" w:hAnsi="宋体" w:cs="宋体"/>
                <w:b/>
                <w:szCs w:val="21"/>
              </w:rPr>
            </w:pPr>
            <w:r>
              <w:rPr>
                <w:rFonts w:hint="eastAsia" w:ascii="宋体" w:hAnsi="宋体" w:cs="宋体"/>
                <w:b/>
                <w:szCs w:val="21"/>
              </w:rPr>
              <w:t>注：</w:t>
            </w:r>
          </w:p>
          <w:p w14:paraId="6780BF84">
            <w:pPr>
              <w:snapToGrid w:val="0"/>
              <w:spacing w:line="360" w:lineRule="auto"/>
              <w:ind w:firstLine="413" w:firstLineChars="196"/>
              <w:jc w:val="left"/>
              <w:rPr>
                <w:rFonts w:hint="eastAsia" w:ascii="宋体" w:hAnsi="宋体" w:cs="宋体"/>
                <w:b/>
                <w:szCs w:val="21"/>
              </w:rPr>
            </w:pPr>
            <w:r>
              <w:rPr>
                <w:rFonts w:hint="eastAsia" w:ascii="宋体" w:hAnsi="宋体" w:cs="宋体"/>
                <w:b/>
                <w:szCs w:val="21"/>
              </w:rPr>
              <w:t>以上标明“必须提供”的材料属于复印件的，必须加盖供应商</w:t>
            </w:r>
            <w:r>
              <w:rPr>
                <w:rFonts w:hint="eastAsia"/>
                <w:b/>
                <w:szCs w:val="21"/>
              </w:rPr>
              <w:t>电子签章</w:t>
            </w:r>
            <w:r>
              <w:rPr>
                <w:rFonts w:hint="eastAsia" w:ascii="宋体" w:hAnsi="宋体" w:cs="宋体"/>
                <w:b/>
                <w:szCs w:val="21"/>
              </w:rPr>
              <w:t>，否则响应文件按无效处理。</w:t>
            </w:r>
          </w:p>
        </w:tc>
      </w:tr>
      <w:tr w14:paraId="17706B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992" w:type="dxa"/>
            <w:vAlign w:val="center"/>
          </w:tcPr>
          <w:p w14:paraId="25E6EDA7">
            <w:pPr>
              <w:spacing w:line="360" w:lineRule="auto"/>
              <w:jc w:val="center"/>
              <w:rPr>
                <w:rFonts w:hint="eastAsia" w:ascii="宋体" w:hAnsi="宋体" w:cs="宋体"/>
                <w:szCs w:val="21"/>
              </w:rPr>
            </w:pPr>
            <w:r>
              <w:rPr>
                <w:rFonts w:hint="eastAsia" w:ascii="宋体" w:hAnsi="宋体" w:cs="宋体"/>
                <w:szCs w:val="21"/>
              </w:rPr>
              <w:t>12.1.2</w:t>
            </w:r>
          </w:p>
        </w:tc>
        <w:tc>
          <w:tcPr>
            <w:tcW w:w="8442" w:type="dxa"/>
            <w:vAlign w:val="center"/>
          </w:tcPr>
          <w:p w14:paraId="2737EDF8">
            <w:pPr>
              <w:spacing w:line="360" w:lineRule="auto"/>
              <w:rPr>
                <w:rFonts w:hint="eastAsia" w:ascii="宋体" w:hAnsi="宋体" w:cs="宋体"/>
                <w:b/>
                <w:bCs/>
                <w:szCs w:val="21"/>
              </w:rPr>
            </w:pPr>
            <w:r>
              <w:rPr>
                <w:rFonts w:hint="eastAsia" w:ascii="宋体" w:hAnsi="宋体" w:cs="宋体"/>
                <w:b/>
                <w:bCs/>
                <w:szCs w:val="21"/>
              </w:rPr>
              <w:t>报价文件</w:t>
            </w:r>
          </w:p>
          <w:p w14:paraId="27B115D1">
            <w:pPr>
              <w:spacing w:line="360" w:lineRule="auto"/>
              <w:rPr>
                <w:rFonts w:hint="eastAsia" w:ascii="宋体" w:hAnsi="宋体" w:cs="宋体"/>
                <w:szCs w:val="21"/>
              </w:rPr>
            </w:pPr>
            <w:r>
              <w:rPr>
                <w:rFonts w:hint="eastAsia" w:ascii="宋体" w:hAnsi="宋体" w:cs="宋体"/>
                <w:szCs w:val="21"/>
              </w:rPr>
              <w:t>1.竞标报价表（格式后附）；（</w:t>
            </w:r>
            <w:r>
              <w:rPr>
                <w:rFonts w:hint="eastAsia" w:ascii="宋体" w:hAnsi="宋体" w:cs="宋体"/>
                <w:b/>
                <w:szCs w:val="21"/>
              </w:rPr>
              <w:t>必须提供，否则响应文件按无效处理</w:t>
            </w:r>
            <w:r>
              <w:rPr>
                <w:rFonts w:hint="eastAsia" w:ascii="宋体" w:hAnsi="宋体" w:cs="宋体"/>
                <w:szCs w:val="21"/>
              </w:rPr>
              <w:t>）</w:t>
            </w:r>
          </w:p>
          <w:p w14:paraId="4F9EBAC8">
            <w:pPr>
              <w:spacing w:line="360" w:lineRule="auto"/>
              <w:rPr>
                <w:rFonts w:hint="eastAsia" w:ascii="宋体" w:hAnsi="宋体" w:cs="宋体"/>
                <w:szCs w:val="21"/>
              </w:rPr>
            </w:pPr>
            <w:r>
              <w:rPr>
                <w:rFonts w:hint="eastAsia" w:ascii="宋体" w:hAnsi="宋体" w:cs="宋体"/>
                <w:szCs w:val="21"/>
              </w:rPr>
              <w:t>2.供应商认为需要提供的其他有关资料。</w:t>
            </w:r>
          </w:p>
        </w:tc>
      </w:tr>
      <w:tr w14:paraId="550B66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59" w:hRule="atLeast"/>
          <w:jc w:val="center"/>
        </w:trPr>
        <w:tc>
          <w:tcPr>
            <w:tcW w:w="992" w:type="dxa"/>
            <w:vAlign w:val="center"/>
          </w:tcPr>
          <w:p w14:paraId="4EE8C101">
            <w:pPr>
              <w:spacing w:line="360" w:lineRule="auto"/>
              <w:jc w:val="center"/>
              <w:rPr>
                <w:rFonts w:hint="eastAsia" w:ascii="宋体" w:hAnsi="宋体" w:cs="宋体"/>
                <w:szCs w:val="21"/>
              </w:rPr>
            </w:pPr>
            <w:r>
              <w:rPr>
                <w:rFonts w:hint="eastAsia" w:ascii="宋体" w:hAnsi="宋体" w:cs="宋体"/>
                <w:szCs w:val="21"/>
              </w:rPr>
              <w:t>12.</w:t>
            </w:r>
            <w:r>
              <w:rPr>
                <w:rFonts w:ascii="宋体" w:hAnsi="宋体" w:cs="宋体"/>
                <w:szCs w:val="21"/>
              </w:rPr>
              <w:t>1.</w:t>
            </w:r>
            <w:r>
              <w:rPr>
                <w:rFonts w:hint="eastAsia" w:ascii="宋体" w:hAnsi="宋体" w:cs="宋体"/>
                <w:szCs w:val="21"/>
              </w:rPr>
              <w:t>3</w:t>
            </w:r>
          </w:p>
        </w:tc>
        <w:tc>
          <w:tcPr>
            <w:tcW w:w="8442" w:type="dxa"/>
            <w:vAlign w:val="center"/>
          </w:tcPr>
          <w:p w14:paraId="52412AC3">
            <w:pPr>
              <w:spacing w:line="360" w:lineRule="auto"/>
              <w:rPr>
                <w:rFonts w:hint="eastAsia" w:ascii="宋体" w:hAnsi="宋体" w:cs="宋体"/>
                <w:b/>
                <w:bCs/>
                <w:szCs w:val="21"/>
              </w:rPr>
            </w:pPr>
            <w:r>
              <w:rPr>
                <w:rFonts w:hint="eastAsia" w:ascii="宋体" w:hAnsi="宋体" w:cs="宋体"/>
                <w:b/>
                <w:bCs/>
                <w:szCs w:val="21"/>
              </w:rPr>
              <w:t>商务技术文件</w:t>
            </w:r>
          </w:p>
          <w:p w14:paraId="29126E28">
            <w:pPr>
              <w:spacing w:line="360" w:lineRule="auto"/>
              <w:rPr>
                <w:rFonts w:hint="eastAsia" w:ascii="宋体" w:hAnsi="宋体" w:cs="宋体"/>
                <w:szCs w:val="21"/>
              </w:rPr>
            </w:pPr>
            <w:r>
              <w:rPr>
                <w:rFonts w:hint="eastAsia" w:ascii="宋体" w:hAnsi="宋体" w:cs="宋体"/>
                <w:szCs w:val="21"/>
              </w:rPr>
              <w:t>1.无串通竞标行为的承诺函（格式后附）；（</w:t>
            </w:r>
            <w:r>
              <w:rPr>
                <w:rFonts w:hint="eastAsia" w:ascii="宋体" w:hAnsi="宋体" w:cs="宋体"/>
                <w:b/>
                <w:szCs w:val="21"/>
              </w:rPr>
              <w:t>必须提供，否则响应文件按无效处理</w:t>
            </w:r>
            <w:r>
              <w:rPr>
                <w:rFonts w:hint="eastAsia" w:ascii="宋体" w:hAnsi="宋体" w:cs="宋体"/>
                <w:szCs w:val="21"/>
              </w:rPr>
              <w:t>）</w:t>
            </w:r>
          </w:p>
          <w:p w14:paraId="4318BCEA">
            <w:pPr>
              <w:snapToGrid w:val="0"/>
              <w:spacing w:line="360" w:lineRule="auto"/>
              <w:jc w:val="left"/>
              <w:rPr>
                <w:rFonts w:hint="eastAsia" w:ascii="宋体" w:hAnsi="宋体" w:cs="宋体"/>
                <w:szCs w:val="21"/>
              </w:rPr>
            </w:pPr>
            <w:r>
              <w:rPr>
                <w:rFonts w:hint="eastAsia" w:ascii="宋体" w:hAnsi="宋体" w:cs="宋体"/>
                <w:szCs w:val="21"/>
              </w:rPr>
              <w:t>2.法定代表人身份证明书及法定代表人有效身份证正反面复印件（格式后附）；（</w:t>
            </w:r>
            <w:r>
              <w:rPr>
                <w:rFonts w:hint="eastAsia" w:ascii="宋体" w:hAnsi="宋体" w:cs="宋体"/>
                <w:b/>
                <w:szCs w:val="21"/>
              </w:rPr>
              <w:t>必须提供，否则响应文件按无效处理</w:t>
            </w:r>
            <w:r>
              <w:rPr>
                <w:rFonts w:hint="eastAsia" w:ascii="宋体" w:hAnsi="宋体" w:cs="宋体"/>
                <w:szCs w:val="21"/>
              </w:rPr>
              <w:t>）</w:t>
            </w:r>
          </w:p>
          <w:p w14:paraId="27142251">
            <w:pPr>
              <w:spacing w:line="360" w:lineRule="auto"/>
              <w:rPr>
                <w:rFonts w:hint="eastAsia" w:ascii="宋体" w:hAnsi="宋体" w:cs="宋体"/>
                <w:b/>
                <w:szCs w:val="21"/>
              </w:rPr>
            </w:pPr>
            <w:r>
              <w:rPr>
                <w:rFonts w:hint="eastAsia" w:ascii="宋体" w:hAnsi="宋体" w:cs="宋体"/>
                <w:szCs w:val="21"/>
              </w:rPr>
              <w:t>3.法定代表人授权委托书及委托代理人有效身份证正反面复印件（格式后附）；（</w:t>
            </w:r>
            <w:r>
              <w:rPr>
                <w:rFonts w:hint="eastAsia" w:ascii="宋体" w:hAnsi="宋体" w:cs="宋体"/>
                <w:b/>
                <w:szCs w:val="21"/>
              </w:rPr>
              <w:t>委托时必须提供，否则响应文件按无效处理</w:t>
            </w:r>
            <w:r>
              <w:rPr>
                <w:rFonts w:hint="eastAsia" w:ascii="宋体" w:hAnsi="宋体" w:cs="宋体"/>
                <w:szCs w:val="21"/>
              </w:rPr>
              <w:t>）</w:t>
            </w:r>
          </w:p>
          <w:p w14:paraId="4A7557F0">
            <w:pPr>
              <w:spacing w:line="360" w:lineRule="auto"/>
              <w:rPr>
                <w:rFonts w:hint="eastAsia" w:ascii="宋体" w:hAnsi="宋体" w:cs="宋体"/>
                <w:szCs w:val="21"/>
              </w:rPr>
            </w:pPr>
            <w:r>
              <w:rPr>
                <w:rFonts w:hint="eastAsia" w:ascii="宋体" w:hAnsi="宋体" w:cs="宋体"/>
                <w:szCs w:val="21"/>
              </w:rPr>
              <w:t>4.商务要求偏离表（格式后附）；（</w:t>
            </w:r>
            <w:r>
              <w:rPr>
                <w:rFonts w:hint="eastAsia" w:ascii="宋体" w:hAnsi="宋体" w:cs="宋体"/>
                <w:b/>
                <w:szCs w:val="21"/>
              </w:rPr>
              <w:t>必须提供，否则响应文件按无效处理</w:t>
            </w:r>
            <w:r>
              <w:rPr>
                <w:rFonts w:hint="eastAsia" w:ascii="宋体" w:hAnsi="宋体" w:cs="宋体"/>
                <w:szCs w:val="21"/>
              </w:rPr>
              <w:t>）</w:t>
            </w:r>
          </w:p>
          <w:p w14:paraId="12BB7C37">
            <w:pPr>
              <w:spacing w:line="360" w:lineRule="auto"/>
              <w:rPr>
                <w:rFonts w:hint="eastAsia" w:ascii="宋体" w:hAnsi="宋体" w:cs="宋体"/>
                <w:szCs w:val="21"/>
              </w:rPr>
            </w:pPr>
            <w:r>
              <w:rPr>
                <w:rFonts w:hint="eastAsia" w:ascii="宋体" w:hAnsi="宋体" w:cs="宋体"/>
                <w:szCs w:val="21"/>
              </w:rPr>
              <w:t>5.售后服务方案（格式自拟）；（</w:t>
            </w:r>
            <w:r>
              <w:rPr>
                <w:rFonts w:hint="eastAsia" w:ascii="宋体" w:hAnsi="宋体" w:cs="宋体"/>
                <w:b/>
                <w:szCs w:val="21"/>
              </w:rPr>
              <w:t>必须提供，否则响应文件按无效处理</w:t>
            </w:r>
            <w:r>
              <w:rPr>
                <w:rFonts w:hint="eastAsia" w:ascii="宋体" w:hAnsi="宋体" w:cs="宋体"/>
                <w:szCs w:val="21"/>
              </w:rPr>
              <w:t>）</w:t>
            </w:r>
          </w:p>
          <w:p w14:paraId="3D98FE48">
            <w:pPr>
              <w:spacing w:line="360" w:lineRule="auto"/>
              <w:rPr>
                <w:rFonts w:hint="eastAsia" w:ascii="宋体" w:hAnsi="宋体" w:cs="宋体"/>
                <w:szCs w:val="21"/>
              </w:rPr>
            </w:pPr>
            <w:r>
              <w:rPr>
                <w:rFonts w:hint="eastAsia" w:ascii="宋体" w:hAnsi="宋体" w:cs="宋体"/>
                <w:szCs w:val="21"/>
              </w:rPr>
              <w:t>6.货物配置清单（均不含报价）（格式后附）；（</w:t>
            </w:r>
            <w:r>
              <w:rPr>
                <w:rFonts w:hint="eastAsia" w:ascii="宋体" w:hAnsi="宋体" w:cs="宋体"/>
                <w:b/>
                <w:szCs w:val="21"/>
              </w:rPr>
              <w:t>必须提供，否则响应文件按无效处理</w:t>
            </w:r>
            <w:r>
              <w:rPr>
                <w:rFonts w:hint="eastAsia" w:ascii="宋体" w:hAnsi="宋体" w:cs="宋体"/>
                <w:szCs w:val="21"/>
              </w:rPr>
              <w:t>）</w:t>
            </w:r>
          </w:p>
          <w:p w14:paraId="315FE1C1">
            <w:pPr>
              <w:spacing w:line="360" w:lineRule="auto"/>
              <w:rPr>
                <w:rFonts w:hint="eastAsia" w:ascii="宋体" w:hAnsi="宋体" w:cs="宋体"/>
                <w:szCs w:val="21"/>
              </w:rPr>
            </w:pPr>
            <w:r>
              <w:rPr>
                <w:rFonts w:hint="eastAsia" w:ascii="宋体" w:hAnsi="宋体" w:cs="宋体"/>
                <w:szCs w:val="21"/>
              </w:rPr>
              <w:t>7.技术要求偏离表（格式后附）；（</w:t>
            </w:r>
            <w:r>
              <w:rPr>
                <w:rFonts w:hint="eastAsia" w:ascii="宋体" w:hAnsi="宋体" w:cs="宋体"/>
                <w:b/>
                <w:szCs w:val="21"/>
              </w:rPr>
              <w:t>必须提供，否则响应文件按无效处理</w:t>
            </w:r>
            <w:r>
              <w:rPr>
                <w:rFonts w:hint="eastAsia" w:ascii="宋体" w:hAnsi="宋体" w:cs="宋体"/>
                <w:szCs w:val="21"/>
              </w:rPr>
              <w:t>）</w:t>
            </w:r>
          </w:p>
          <w:p w14:paraId="46647B89">
            <w:pPr>
              <w:spacing w:line="360" w:lineRule="auto"/>
              <w:rPr>
                <w:rFonts w:hint="eastAsia" w:ascii="宋体" w:hAnsi="宋体" w:cs="宋体"/>
                <w:szCs w:val="21"/>
              </w:rPr>
            </w:pPr>
            <w:r>
              <w:rPr>
                <w:rFonts w:hint="eastAsia" w:ascii="宋体" w:hAnsi="宋体" w:cs="宋体"/>
                <w:szCs w:val="21"/>
              </w:rPr>
              <w:t>8.对应采购需求的技术要求、商务要求提供的其他文件资料（格式自拟）；</w:t>
            </w:r>
          </w:p>
          <w:p w14:paraId="17E4091E">
            <w:pPr>
              <w:spacing w:line="360" w:lineRule="auto"/>
              <w:rPr>
                <w:rFonts w:hint="eastAsia" w:ascii="宋体" w:hAnsi="宋体" w:cs="宋体"/>
                <w:szCs w:val="21"/>
              </w:rPr>
            </w:pPr>
            <w:r>
              <w:rPr>
                <w:rFonts w:hint="eastAsia" w:ascii="宋体" w:hAnsi="宋体" w:cs="宋体"/>
                <w:szCs w:val="21"/>
              </w:rPr>
              <w:t>9.供应商认为需要提供的其他有关资料。</w:t>
            </w:r>
          </w:p>
          <w:p w14:paraId="223E8F47">
            <w:pPr>
              <w:snapToGrid w:val="0"/>
              <w:spacing w:line="360" w:lineRule="auto"/>
              <w:jc w:val="left"/>
              <w:rPr>
                <w:rFonts w:hint="eastAsia" w:ascii="宋体" w:hAnsi="宋体" w:cs="宋体"/>
                <w:b/>
                <w:szCs w:val="21"/>
              </w:rPr>
            </w:pPr>
            <w:r>
              <w:rPr>
                <w:rFonts w:hint="eastAsia" w:ascii="宋体" w:hAnsi="宋体" w:cs="宋体"/>
                <w:b/>
                <w:szCs w:val="21"/>
              </w:rPr>
              <w:t>注：以上标明“必须提供”材料复印件的，必须加盖供应商</w:t>
            </w:r>
            <w:r>
              <w:rPr>
                <w:rFonts w:hint="eastAsia" w:ascii="宋体" w:hAnsi="宋体"/>
                <w:b/>
                <w:bCs/>
                <w:szCs w:val="21"/>
              </w:rPr>
              <w:t>电子签章</w:t>
            </w:r>
            <w:r>
              <w:rPr>
                <w:rFonts w:hint="eastAsia" w:ascii="宋体" w:hAnsi="宋体" w:cs="宋体"/>
                <w:b/>
                <w:szCs w:val="21"/>
              </w:rPr>
              <w:t>，否则响应文件按无效处理。</w:t>
            </w:r>
          </w:p>
        </w:tc>
      </w:tr>
      <w:tr w14:paraId="0D8E4A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7" w:hRule="atLeast"/>
          <w:jc w:val="center"/>
        </w:trPr>
        <w:tc>
          <w:tcPr>
            <w:tcW w:w="992" w:type="dxa"/>
            <w:vAlign w:val="center"/>
          </w:tcPr>
          <w:p w14:paraId="31601A5F">
            <w:pPr>
              <w:spacing w:line="360" w:lineRule="auto"/>
              <w:jc w:val="center"/>
              <w:rPr>
                <w:rFonts w:hint="eastAsia" w:ascii="宋体" w:hAnsi="宋体" w:cs="宋体"/>
                <w:szCs w:val="21"/>
              </w:rPr>
            </w:pPr>
            <w:r>
              <w:rPr>
                <w:rFonts w:hint="eastAsia" w:ascii="宋体" w:hAnsi="宋体" w:cs="宋体"/>
                <w:szCs w:val="21"/>
              </w:rPr>
              <w:t>15.2</w:t>
            </w:r>
          </w:p>
        </w:tc>
        <w:tc>
          <w:tcPr>
            <w:tcW w:w="8442" w:type="dxa"/>
            <w:vAlign w:val="center"/>
          </w:tcPr>
          <w:p w14:paraId="4EE08128">
            <w:pPr>
              <w:snapToGrid w:val="0"/>
              <w:spacing w:line="360" w:lineRule="auto"/>
              <w:jc w:val="left"/>
              <w:rPr>
                <w:rFonts w:hint="eastAsia" w:ascii="宋体" w:hAnsi="宋体" w:cs="宋体"/>
                <w:b/>
                <w:szCs w:val="21"/>
              </w:rPr>
            </w:pPr>
            <w:r>
              <w:rPr>
                <w:rFonts w:hint="eastAsia" w:ascii="宋体" w:hAnsi="宋体" w:cs="宋体"/>
                <w:b/>
                <w:szCs w:val="21"/>
              </w:rPr>
              <w:t>1.竞标报价为采购人指定地点的现场交货价，包括：</w:t>
            </w:r>
          </w:p>
          <w:p w14:paraId="15C7C2C9">
            <w:pPr>
              <w:snapToGrid w:val="0"/>
              <w:spacing w:line="360" w:lineRule="auto"/>
              <w:jc w:val="left"/>
              <w:rPr>
                <w:rFonts w:hint="eastAsia" w:ascii="宋体" w:hAnsi="宋体" w:cs="宋体"/>
                <w:b/>
                <w:szCs w:val="21"/>
              </w:rPr>
            </w:pPr>
            <w:r>
              <w:rPr>
                <w:rFonts w:hint="eastAsia" w:ascii="宋体" w:hAnsi="宋体" w:cs="宋体"/>
                <w:b/>
                <w:szCs w:val="21"/>
              </w:rPr>
              <w:t>（1）货物的价格；</w:t>
            </w:r>
          </w:p>
          <w:p w14:paraId="2B885809">
            <w:pPr>
              <w:snapToGrid w:val="0"/>
              <w:spacing w:line="360" w:lineRule="auto"/>
              <w:jc w:val="left"/>
              <w:rPr>
                <w:rFonts w:hint="eastAsia" w:ascii="宋体" w:hAnsi="宋体" w:cs="宋体"/>
                <w:b/>
                <w:szCs w:val="21"/>
              </w:rPr>
            </w:pPr>
            <w:r>
              <w:rPr>
                <w:rFonts w:hint="eastAsia" w:ascii="宋体" w:hAnsi="宋体" w:cs="宋体"/>
                <w:b/>
                <w:szCs w:val="21"/>
              </w:rPr>
              <w:t>（2）货物涉及的所有设备、标准附件、备品备件、专用工具的价格；</w:t>
            </w:r>
          </w:p>
          <w:p w14:paraId="28A621E5">
            <w:pPr>
              <w:snapToGrid w:val="0"/>
              <w:spacing w:line="360" w:lineRule="auto"/>
              <w:jc w:val="left"/>
              <w:rPr>
                <w:rFonts w:hint="eastAsia" w:ascii="宋体" w:hAnsi="宋体" w:cs="宋体"/>
                <w:b/>
                <w:szCs w:val="21"/>
              </w:rPr>
            </w:pPr>
            <w:r>
              <w:rPr>
                <w:rFonts w:hint="eastAsia" w:ascii="宋体" w:hAnsi="宋体" w:cs="宋体"/>
                <w:b/>
                <w:szCs w:val="21"/>
              </w:rPr>
              <w:t>（3）运输、装卸、调试、培训、技术支持、组织验收、售后服务等费用；</w:t>
            </w:r>
          </w:p>
          <w:p w14:paraId="086F12C1">
            <w:pPr>
              <w:snapToGrid w:val="0"/>
              <w:spacing w:line="360" w:lineRule="auto"/>
              <w:jc w:val="left"/>
              <w:rPr>
                <w:rFonts w:hint="eastAsia" w:ascii="宋体" w:hAnsi="宋体" w:cs="宋体"/>
                <w:b/>
                <w:szCs w:val="21"/>
              </w:rPr>
            </w:pPr>
            <w:r>
              <w:rPr>
                <w:rFonts w:hint="eastAsia" w:ascii="宋体" w:hAnsi="宋体" w:cs="宋体"/>
                <w:b/>
                <w:szCs w:val="21"/>
              </w:rPr>
              <w:t>（4）必要的保险费用和各项税费；</w:t>
            </w:r>
          </w:p>
          <w:p w14:paraId="282F314F">
            <w:pPr>
              <w:snapToGrid w:val="0"/>
              <w:spacing w:line="360" w:lineRule="auto"/>
              <w:jc w:val="left"/>
              <w:rPr>
                <w:rFonts w:hint="eastAsia" w:ascii="宋体" w:hAnsi="宋体" w:cs="宋体"/>
                <w:b/>
                <w:szCs w:val="21"/>
              </w:rPr>
            </w:pPr>
            <w:r>
              <w:rPr>
                <w:rFonts w:hint="eastAsia" w:ascii="宋体" w:hAnsi="宋体" w:cs="宋体"/>
                <w:b/>
                <w:szCs w:val="21"/>
              </w:rPr>
              <w:t>（5）安装费用等所有费用。</w:t>
            </w:r>
          </w:p>
          <w:p w14:paraId="35836A35">
            <w:pPr>
              <w:snapToGrid w:val="0"/>
              <w:spacing w:line="360" w:lineRule="auto"/>
              <w:jc w:val="left"/>
              <w:rPr>
                <w:rFonts w:hint="eastAsia" w:ascii="宋体" w:hAnsi="宋体" w:cs="宋体"/>
                <w:szCs w:val="21"/>
              </w:rPr>
            </w:pPr>
            <w:r>
              <w:rPr>
                <w:rFonts w:hint="eastAsia" w:ascii="宋体" w:hAnsi="宋体" w:cs="宋体"/>
                <w:b/>
                <w:bCs/>
                <w:szCs w:val="21"/>
              </w:rPr>
              <w:t>2.如供应商做最终报价时改变原竞标报价的，请在广西政采云系统最终报价模块附件上传变更后的报价明细。</w:t>
            </w:r>
          </w:p>
        </w:tc>
      </w:tr>
      <w:tr w14:paraId="705745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26C04870">
            <w:pPr>
              <w:spacing w:line="360" w:lineRule="auto"/>
              <w:jc w:val="center"/>
              <w:rPr>
                <w:rFonts w:hint="eastAsia" w:ascii="宋体" w:hAnsi="宋体" w:cs="宋体"/>
                <w:szCs w:val="21"/>
              </w:rPr>
            </w:pPr>
            <w:r>
              <w:rPr>
                <w:rFonts w:hint="eastAsia" w:ascii="宋体" w:hAnsi="宋体" w:cs="宋体"/>
                <w:szCs w:val="21"/>
              </w:rPr>
              <w:t>16.</w:t>
            </w:r>
            <w:r>
              <w:rPr>
                <w:rFonts w:ascii="宋体" w:hAnsi="宋体" w:cs="宋体"/>
                <w:szCs w:val="21"/>
              </w:rPr>
              <w:t>2</w:t>
            </w:r>
          </w:p>
        </w:tc>
        <w:tc>
          <w:tcPr>
            <w:tcW w:w="8442" w:type="dxa"/>
            <w:vAlign w:val="center"/>
          </w:tcPr>
          <w:p w14:paraId="39A7AAFC">
            <w:pPr>
              <w:pStyle w:val="9"/>
              <w:numPr>
                <w:ilvl w:val="0"/>
                <w:numId w:val="0"/>
              </w:numPr>
              <w:tabs>
                <w:tab w:val="left" w:pos="720"/>
                <w:tab w:val="left" w:pos="840"/>
                <w:tab w:val="clear" w:pos="360"/>
              </w:tabs>
              <w:snapToGrid w:val="0"/>
              <w:spacing w:line="360" w:lineRule="auto"/>
              <w:ind w:left="-283" w:leftChars="-135" w:firstLine="210" w:firstLineChars="100"/>
              <w:rPr>
                <w:rFonts w:hint="eastAsia" w:ascii="宋体" w:hAnsi="宋体" w:cs="宋体"/>
                <w:szCs w:val="21"/>
              </w:rPr>
            </w:pPr>
            <w:r>
              <w:rPr>
                <w:rFonts w:hint="eastAsia" w:ascii="宋体" w:hAnsi="宋体" w:cs="宋体"/>
                <w:szCs w:val="21"/>
              </w:rPr>
              <w:t>竞标有效期：自首次响应文件提交截止之日起</w:t>
            </w:r>
            <w:r>
              <w:rPr>
                <w:rFonts w:hint="eastAsia" w:ascii="宋体" w:hAnsi="宋体" w:cs="宋体"/>
                <w:szCs w:val="21"/>
                <w:u w:val="single"/>
              </w:rPr>
              <w:t>90</w:t>
            </w:r>
            <w:r>
              <w:rPr>
                <w:rFonts w:hint="eastAsia" w:ascii="宋体" w:hAnsi="宋体" w:cs="宋体"/>
                <w:szCs w:val="21"/>
              </w:rPr>
              <w:t>日。</w:t>
            </w:r>
          </w:p>
        </w:tc>
      </w:tr>
      <w:tr w14:paraId="0AAAC9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992" w:type="dxa"/>
            <w:vAlign w:val="center"/>
          </w:tcPr>
          <w:p w14:paraId="5F0517E6">
            <w:pPr>
              <w:spacing w:line="360" w:lineRule="auto"/>
              <w:jc w:val="center"/>
              <w:rPr>
                <w:rFonts w:hint="eastAsia" w:ascii="宋体" w:hAnsi="宋体" w:cs="宋体"/>
                <w:szCs w:val="21"/>
              </w:rPr>
            </w:pPr>
            <w:r>
              <w:rPr>
                <w:rFonts w:hint="eastAsia" w:ascii="宋体" w:hAnsi="宋体" w:cs="宋体"/>
                <w:szCs w:val="21"/>
              </w:rPr>
              <w:t>17.1</w:t>
            </w:r>
          </w:p>
        </w:tc>
        <w:tc>
          <w:tcPr>
            <w:tcW w:w="8442" w:type="dxa"/>
            <w:vAlign w:val="center"/>
          </w:tcPr>
          <w:p w14:paraId="6172C2DF">
            <w:pPr>
              <w:autoSpaceDE w:val="0"/>
              <w:autoSpaceDN w:val="0"/>
              <w:snapToGrid w:val="0"/>
              <w:spacing w:line="360" w:lineRule="auto"/>
              <w:textAlignment w:val="bottom"/>
              <w:rPr>
                <w:rFonts w:hint="eastAsia" w:ascii="宋体" w:hAnsi="宋体"/>
                <w:szCs w:val="21"/>
              </w:rPr>
            </w:pPr>
            <w:r>
              <w:rPr>
                <w:rFonts w:hint="eastAsia" w:ascii="宋体" w:hAnsi="宋体"/>
                <w:szCs w:val="21"/>
              </w:rPr>
              <w:t>本项目不收取竞标保证金。</w:t>
            </w:r>
          </w:p>
        </w:tc>
      </w:tr>
      <w:tr w14:paraId="4DEC12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5503905F">
            <w:pPr>
              <w:spacing w:line="360" w:lineRule="auto"/>
              <w:jc w:val="center"/>
              <w:rPr>
                <w:rFonts w:hint="eastAsia" w:ascii="宋体" w:hAnsi="宋体" w:cs="宋体"/>
                <w:szCs w:val="21"/>
              </w:rPr>
            </w:pPr>
            <w:r>
              <w:rPr>
                <w:rFonts w:hint="eastAsia" w:ascii="宋体" w:hAnsi="宋体" w:cs="宋体"/>
                <w:szCs w:val="21"/>
              </w:rPr>
              <w:t>19</w:t>
            </w:r>
          </w:p>
        </w:tc>
        <w:tc>
          <w:tcPr>
            <w:tcW w:w="8442" w:type="dxa"/>
            <w:vAlign w:val="center"/>
          </w:tcPr>
          <w:p w14:paraId="04C67E68">
            <w:pPr>
              <w:autoSpaceDE w:val="0"/>
              <w:autoSpaceDN w:val="0"/>
              <w:snapToGrid w:val="0"/>
              <w:spacing w:line="360" w:lineRule="auto"/>
              <w:textAlignment w:val="bottom"/>
              <w:rPr>
                <w:rFonts w:hint="eastAsia" w:ascii="宋体" w:hAnsi="宋体"/>
                <w:szCs w:val="21"/>
              </w:rPr>
            </w:pPr>
            <w:r>
              <w:rPr>
                <w:rFonts w:hint="eastAsia" w:ascii="宋体" w:hAnsi="宋体"/>
                <w:szCs w:val="21"/>
              </w:rPr>
              <w:t>本项目不接受</w:t>
            </w:r>
            <w:r>
              <w:rPr>
                <w:rFonts w:hint="eastAsia"/>
                <w:szCs w:val="21"/>
              </w:rPr>
              <w:t>电子</w:t>
            </w:r>
            <w:r>
              <w:rPr>
                <w:rFonts w:hint="eastAsia" w:ascii="宋体" w:hAnsi="宋体"/>
                <w:szCs w:val="21"/>
              </w:rPr>
              <w:t>备份响应文件</w:t>
            </w:r>
          </w:p>
        </w:tc>
      </w:tr>
      <w:tr w14:paraId="2F9B93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49C2270">
            <w:pPr>
              <w:spacing w:line="360" w:lineRule="auto"/>
              <w:jc w:val="center"/>
              <w:rPr>
                <w:rFonts w:hint="eastAsia" w:ascii="宋体" w:hAnsi="宋体" w:cs="宋体"/>
                <w:szCs w:val="21"/>
              </w:rPr>
            </w:pPr>
            <w:r>
              <w:rPr>
                <w:rFonts w:hint="eastAsia" w:ascii="宋体" w:hAnsi="宋体" w:cs="宋体"/>
                <w:szCs w:val="21"/>
              </w:rPr>
              <w:t>20.1</w:t>
            </w:r>
          </w:p>
        </w:tc>
        <w:tc>
          <w:tcPr>
            <w:tcW w:w="8442" w:type="dxa"/>
            <w:vAlign w:val="center"/>
          </w:tcPr>
          <w:p w14:paraId="24E21C73">
            <w:pPr>
              <w:spacing w:line="360" w:lineRule="auto"/>
              <w:contextualSpacing/>
              <w:jc w:val="left"/>
              <w:rPr>
                <w:rFonts w:hint="eastAsia" w:ascii="宋体" w:hAnsi="宋体" w:cs="宋体"/>
                <w:szCs w:val="21"/>
                <w:u w:val="single"/>
              </w:rPr>
            </w:pPr>
            <w:r>
              <w:rPr>
                <w:rFonts w:hint="eastAsia" w:ascii="宋体" w:hAnsi="宋体" w:cs="宋体"/>
                <w:szCs w:val="21"/>
              </w:rPr>
              <w:t>响应文件提交截止时间：详见竞争性谈判公告。</w:t>
            </w:r>
          </w:p>
          <w:p w14:paraId="116A21B3">
            <w:pPr>
              <w:spacing w:line="360" w:lineRule="auto"/>
              <w:contextualSpacing/>
              <w:jc w:val="left"/>
              <w:rPr>
                <w:rFonts w:hint="eastAsia" w:ascii="宋体" w:hAnsi="宋体" w:cs="宋体"/>
                <w:szCs w:val="21"/>
              </w:rPr>
            </w:pPr>
            <w:r>
              <w:rPr>
                <w:rFonts w:hint="eastAsia" w:ascii="宋体" w:hAnsi="宋体" w:cs="宋体"/>
                <w:szCs w:val="21"/>
              </w:rPr>
              <w:t>响应文件提交地点：详见竞争性谈判公告。</w:t>
            </w:r>
          </w:p>
        </w:tc>
      </w:tr>
      <w:tr w14:paraId="63940F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E698281">
            <w:pPr>
              <w:spacing w:line="360" w:lineRule="auto"/>
              <w:jc w:val="center"/>
              <w:rPr>
                <w:rFonts w:hint="eastAsia" w:ascii="宋体" w:hAnsi="宋体" w:cs="宋体"/>
                <w:szCs w:val="21"/>
              </w:rPr>
            </w:pPr>
            <w:r>
              <w:rPr>
                <w:rFonts w:hint="eastAsia" w:ascii="宋体" w:hAnsi="宋体" w:cs="宋体"/>
                <w:szCs w:val="21"/>
              </w:rPr>
              <w:t>24.1</w:t>
            </w:r>
          </w:p>
        </w:tc>
        <w:tc>
          <w:tcPr>
            <w:tcW w:w="8442" w:type="dxa"/>
            <w:vAlign w:val="center"/>
          </w:tcPr>
          <w:p w14:paraId="30C07D4F">
            <w:pPr>
              <w:snapToGrid w:val="0"/>
              <w:spacing w:line="360" w:lineRule="auto"/>
              <w:jc w:val="left"/>
              <w:rPr>
                <w:rFonts w:hint="eastAsia" w:ascii="宋体" w:hAnsi="宋体" w:cs="宋体"/>
                <w:szCs w:val="21"/>
                <w:u w:val="single"/>
              </w:rPr>
            </w:pPr>
            <w:r>
              <w:rPr>
                <w:rFonts w:hint="eastAsia" w:ascii="宋体" w:hAnsi="宋体" w:cs="宋体"/>
                <w:szCs w:val="21"/>
              </w:rPr>
              <w:t>谈判小组的人数：</w:t>
            </w:r>
            <w:r>
              <w:rPr>
                <w:rFonts w:hint="eastAsia" w:ascii="宋体" w:hAnsi="宋体" w:cs="宋体"/>
                <w:szCs w:val="21"/>
                <w:u w:val="single"/>
              </w:rPr>
              <w:t>3</w:t>
            </w:r>
            <w:r>
              <w:rPr>
                <w:rFonts w:hint="eastAsia" w:ascii="宋体" w:hAnsi="宋体" w:cs="宋体"/>
                <w:szCs w:val="21"/>
              </w:rPr>
              <w:t>人。</w:t>
            </w:r>
          </w:p>
        </w:tc>
      </w:tr>
      <w:tr w14:paraId="7DD4A1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422925E0">
            <w:pPr>
              <w:spacing w:line="360" w:lineRule="auto"/>
              <w:jc w:val="center"/>
              <w:rPr>
                <w:rFonts w:hint="eastAsia" w:ascii="宋体" w:hAnsi="宋体" w:cs="宋体"/>
                <w:szCs w:val="21"/>
              </w:rPr>
            </w:pPr>
            <w:r>
              <w:rPr>
                <w:rFonts w:hint="eastAsia" w:ascii="宋体" w:hAnsi="宋体" w:cs="宋体"/>
                <w:szCs w:val="21"/>
              </w:rPr>
              <w:t>2</w:t>
            </w:r>
            <w:r>
              <w:rPr>
                <w:rFonts w:ascii="宋体" w:hAnsi="宋体" w:cs="宋体"/>
                <w:szCs w:val="21"/>
              </w:rPr>
              <w:t>5</w:t>
            </w:r>
          </w:p>
        </w:tc>
        <w:tc>
          <w:tcPr>
            <w:tcW w:w="8442" w:type="dxa"/>
            <w:vAlign w:val="center"/>
          </w:tcPr>
          <w:p w14:paraId="3F9EE2A9">
            <w:pPr>
              <w:snapToGrid w:val="0"/>
              <w:spacing w:line="360" w:lineRule="auto"/>
              <w:jc w:val="left"/>
              <w:rPr>
                <w:rFonts w:hint="eastAsia" w:ascii="宋体" w:hAnsi="宋体" w:cs="宋体"/>
                <w:szCs w:val="21"/>
              </w:rPr>
            </w:pPr>
            <w:r>
              <w:rPr>
                <w:rFonts w:hint="eastAsia" w:ascii="宋体" w:hAnsi="宋体" w:cs="宋体"/>
                <w:szCs w:val="21"/>
              </w:rPr>
              <w:t>首次响应文件开启时间详见“竞争性谈判公告”</w:t>
            </w:r>
          </w:p>
          <w:p w14:paraId="4D6A3088">
            <w:pPr>
              <w:snapToGrid w:val="0"/>
              <w:spacing w:line="360" w:lineRule="auto"/>
              <w:jc w:val="left"/>
              <w:rPr>
                <w:rFonts w:hint="eastAsia" w:ascii="宋体" w:hAnsi="宋体" w:cs="宋体"/>
                <w:szCs w:val="21"/>
              </w:rPr>
            </w:pPr>
            <w:r>
              <w:rPr>
                <w:rFonts w:hint="eastAsia" w:ascii="宋体" w:hAnsi="宋体" w:cs="宋体"/>
                <w:szCs w:val="21"/>
              </w:rPr>
              <w:t>首次响应文件解密时间：</w:t>
            </w:r>
            <w:r>
              <w:rPr>
                <w:rFonts w:hint="eastAsia" w:ascii="宋体" w:hAnsi="宋体"/>
                <w:szCs w:val="21"/>
              </w:rPr>
              <w:t>30分钟</w:t>
            </w:r>
          </w:p>
        </w:tc>
      </w:tr>
      <w:tr w14:paraId="63E871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992" w:type="dxa"/>
            <w:vMerge w:val="restart"/>
            <w:vAlign w:val="center"/>
          </w:tcPr>
          <w:p w14:paraId="614A721C">
            <w:pPr>
              <w:spacing w:line="360" w:lineRule="auto"/>
              <w:jc w:val="center"/>
              <w:rPr>
                <w:rFonts w:hint="eastAsia" w:ascii="宋体" w:hAnsi="宋体" w:cs="宋体"/>
                <w:szCs w:val="21"/>
              </w:rPr>
            </w:pPr>
            <w:r>
              <w:rPr>
                <w:rFonts w:ascii="宋体" w:hAnsi="宋体" w:cs="宋体"/>
                <w:szCs w:val="21"/>
              </w:rPr>
              <w:t>26</w:t>
            </w:r>
          </w:p>
        </w:tc>
        <w:tc>
          <w:tcPr>
            <w:tcW w:w="8442" w:type="dxa"/>
            <w:vAlign w:val="center"/>
          </w:tcPr>
          <w:p w14:paraId="0008927D">
            <w:pPr>
              <w:spacing w:line="360" w:lineRule="auto"/>
              <w:contextualSpacing/>
              <w:rPr>
                <w:rFonts w:hint="eastAsia" w:ascii="宋体" w:hAnsi="宋体" w:cs="宋体"/>
                <w:szCs w:val="21"/>
              </w:rPr>
            </w:pPr>
            <w:r>
              <w:rPr>
                <w:rFonts w:hint="eastAsia" w:ascii="宋体" w:hAnsi="宋体" w:cs="宋体"/>
                <w:szCs w:val="21"/>
              </w:rPr>
              <w:t>评审价相同时，按照最后报价由低到高顺序依次推荐；</w:t>
            </w:r>
          </w:p>
        </w:tc>
      </w:tr>
      <w:tr w14:paraId="72C002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Merge w:val="continue"/>
            <w:vAlign w:val="center"/>
          </w:tcPr>
          <w:p w14:paraId="675B9AAE">
            <w:pPr>
              <w:spacing w:line="360" w:lineRule="auto"/>
              <w:jc w:val="center"/>
              <w:rPr>
                <w:rFonts w:hint="eastAsia" w:ascii="宋体" w:hAnsi="宋体" w:cs="宋体"/>
                <w:szCs w:val="21"/>
              </w:rPr>
            </w:pPr>
          </w:p>
        </w:tc>
        <w:tc>
          <w:tcPr>
            <w:tcW w:w="8442" w:type="dxa"/>
            <w:vAlign w:val="center"/>
          </w:tcPr>
          <w:p w14:paraId="4049FC59">
            <w:pPr>
              <w:snapToGrid w:val="0"/>
              <w:spacing w:line="360" w:lineRule="auto"/>
              <w:rPr>
                <w:rFonts w:hint="eastAsia" w:ascii="宋体" w:hAnsi="宋体" w:cs="宋体"/>
                <w:szCs w:val="21"/>
              </w:rPr>
            </w:pPr>
            <w:r>
              <w:rPr>
                <w:rFonts w:hint="eastAsia" w:ascii="宋体" w:hAnsi="宋体" w:cs="宋体"/>
                <w:szCs w:val="21"/>
              </w:rPr>
              <w:t>商务要求评审中允许负偏离的条款数为</w:t>
            </w:r>
            <w:r>
              <w:rPr>
                <w:rFonts w:hint="eastAsia" w:ascii="宋体" w:hAnsi="宋体" w:cs="宋体"/>
                <w:szCs w:val="21"/>
                <w:u w:val="single"/>
              </w:rPr>
              <w:t xml:space="preserve"> 0</w:t>
            </w:r>
            <w:r>
              <w:rPr>
                <w:rFonts w:hint="eastAsia" w:ascii="宋体" w:hAnsi="宋体" w:cs="宋体"/>
                <w:szCs w:val="21"/>
              </w:rPr>
              <w:t>项。</w:t>
            </w:r>
          </w:p>
          <w:p w14:paraId="7162B4D3">
            <w:pPr>
              <w:snapToGrid w:val="0"/>
              <w:spacing w:line="360" w:lineRule="auto"/>
              <w:rPr>
                <w:rFonts w:hint="eastAsia" w:ascii="宋体" w:hAnsi="宋体" w:cs="宋体"/>
                <w:szCs w:val="21"/>
              </w:rPr>
            </w:pPr>
            <w:r>
              <w:rPr>
                <w:rFonts w:hint="eastAsia" w:ascii="宋体" w:hAnsi="宋体" w:cs="宋体"/>
                <w:color w:val="auto"/>
                <w:szCs w:val="21"/>
              </w:rPr>
              <w:t>技术要求评审中不带“▲”的参数及要求允许负偏离的条款数为</w:t>
            </w:r>
            <w:r>
              <w:rPr>
                <w:rFonts w:hint="eastAsia" w:ascii="宋体" w:hAnsi="宋体" w:cs="宋体"/>
                <w:color w:val="auto"/>
                <w:szCs w:val="21"/>
                <w:u w:val="single"/>
              </w:rPr>
              <w:t>3</w:t>
            </w:r>
            <w:r>
              <w:rPr>
                <w:rFonts w:hint="eastAsia" w:ascii="宋体" w:hAnsi="宋体" w:cs="宋体"/>
                <w:color w:val="auto"/>
                <w:szCs w:val="21"/>
              </w:rPr>
              <w:t>项。</w:t>
            </w:r>
          </w:p>
        </w:tc>
      </w:tr>
      <w:tr w14:paraId="1D9610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4B263E23">
            <w:pPr>
              <w:spacing w:line="360" w:lineRule="auto"/>
              <w:jc w:val="center"/>
              <w:rPr>
                <w:rFonts w:hint="eastAsia" w:ascii="宋体" w:hAnsi="宋体" w:cs="宋体"/>
                <w:szCs w:val="21"/>
              </w:rPr>
            </w:pPr>
            <w:r>
              <w:rPr>
                <w:rFonts w:ascii="宋体" w:hAnsi="宋体" w:cs="宋体"/>
                <w:szCs w:val="21"/>
              </w:rPr>
              <w:t>28.1</w:t>
            </w:r>
          </w:p>
        </w:tc>
        <w:tc>
          <w:tcPr>
            <w:tcW w:w="8442" w:type="dxa"/>
            <w:vAlign w:val="center"/>
          </w:tcPr>
          <w:p w14:paraId="152A94AB">
            <w:pPr>
              <w:autoSpaceDE w:val="0"/>
              <w:autoSpaceDN w:val="0"/>
              <w:snapToGrid w:val="0"/>
              <w:spacing w:line="360" w:lineRule="auto"/>
              <w:textAlignment w:val="bottom"/>
              <w:rPr>
                <w:rFonts w:hint="eastAsia" w:ascii="宋体" w:hAnsi="宋体"/>
                <w:szCs w:val="21"/>
              </w:rPr>
            </w:pPr>
            <w:r>
              <w:rPr>
                <w:rFonts w:hint="eastAsia" w:ascii="宋体" w:hAnsi="宋体" w:cs="宋体"/>
                <w:szCs w:val="21"/>
              </w:rPr>
              <w:t>本项目履约保证金：不收取</w:t>
            </w:r>
          </w:p>
        </w:tc>
      </w:tr>
      <w:tr w14:paraId="400A86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4" w:hRule="atLeast"/>
          <w:jc w:val="center"/>
        </w:trPr>
        <w:tc>
          <w:tcPr>
            <w:tcW w:w="992" w:type="dxa"/>
            <w:vAlign w:val="center"/>
          </w:tcPr>
          <w:p w14:paraId="20FD46CD">
            <w:pPr>
              <w:spacing w:line="360" w:lineRule="auto"/>
              <w:jc w:val="center"/>
              <w:rPr>
                <w:rFonts w:hint="eastAsia" w:ascii="宋体" w:hAnsi="宋体" w:cs="宋体"/>
                <w:szCs w:val="21"/>
              </w:rPr>
            </w:pPr>
            <w:r>
              <w:rPr>
                <w:rFonts w:ascii="宋体" w:hAnsi="宋体" w:cs="宋体"/>
                <w:szCs w:val="21"/>
              </w:rPr>
              <w:t>29</w:t>
            </w:r>
            <w:r>
              <w:rPr>
                <w:rFonts w:hint="eastAsia" w:ascii="宋体" w:hAnsi="宋体" w:cs="宋体"/>
                <w:szCs w:val="21"/>
              </w:rPr>
              <w:t>.1</w:t>
            </w:r>
          </w:p>
        </w:tc>
        <w:tc>
          <w:tcPr>
            <w:tcW w:w="8442" w:type="dxa"/>
            <w:vAlign w:val="center"/>
          </w:tcPr>
          <w:p w14:paraId="2F91E99C">
            <w:pPr>
              <w:autoSpaceDE w:val="0"/>
              <w:autoSpaceDN w:val="0"/>
              <w:snapToGrid w:val="0"/>
              <w:spacing w:line="360" w:lineRule="auto"/>
              <w:textAlignment w:val="bottom"/>
              <w:rPr>
                <w:rFonts w:hint="eastAsia" w:ascii="宋体" w:hAnsi="宋体"/>
                <w:szCs w:val="21"/>
              </w:rPr>
            </w:pPr>
            <w:r>
              <w:rPr>
                <w:rFonts w:hint="eastAsia" w:ascii="宋体" w:hAnsi="宋体"/>
                <w:szCs w:val="21"/>
              </w:rPr>
              <w:t xml:space="preserve">签订合同携带的证明材料： </w:t>
            </w:r>
          </w:p>
          <w:p w14:paraId="0BBBD5EC">
            <w:pPr>
              <w:snapToGrid w:val="0"/>
              <w:spacing w:line="360" w:lineRule="auto"/>
              <w:rPr>
                <w:rFonts w:hint="eastAsia" w:ascii="宋体" w:hAnsi="宋体" w:cs="宋体"/>
                <w:szCs w:val="21"/>
              </w:rPr>
            </w:pPr>
            <w:r>
              <w:rPr>
                <w:rFonts w:hint="eastAsia" w:ascii="宋体" w:hAnsi="宋体" w:cs="宋体"/>
                <w:color w:val="000000"/>
                <w:szCs w:val="21"/>
              </w:rPr>
              <w:t>使用的有效CA证书加盖单位电子公章</w:t>
            </w:r>
          </w:p>
        </w:tc>
      </w:tr>
      <w:tr w14:paraId="6F7538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6EE2CFB9">
            <w:pPr>
              <w:spacing w:line="360" w:lineRule="auto"/>
              <w:jc w:val="center"/>
              <w:rPr>
                <w:rFonts w:hint="eastAsia" w:ascii="宋体" w:hAnsi="宋体" w:cs="宋体"/>
                <w:szCs w:val="21"/>
              </w:rPr>
            </w:pPr>
            <w:r>
              <w:rPr>
                <w:rFonts w:hint="eastAsia" w:ascii="宋体" w:hAnsi="宋体" w:cs="宋体"/>
                <w:szCs w:val="21"/>
              </w:rPr>
              <w:t>3</w:t>
            </w:r>
            <w:r>
              <w:rPr>
                <w:rFonts w:ascii="宋体" w:hAnsi="宋体" w:cs="宋体"/>
                <w:szCs w:val="21"/>
              </w:rPr>
              <w:t>1.2</w:t>
            </w:r>
          </w:p>
        </w:tc>
        <w:tc>
          <w:tcPr>
            <w:tcW w:w="8442" w:type="dxa"/>
            <w:vAlign w:val="center"/>
          </w:tcPr>
          <w:p w14:paraId="0E47D735">
            <w:pPr>
              <w:snapToGrid w:val="0"/>
              <w:spacing w:line="360" w:lineRule="auto"/>
              <w:rPr>
                <w:rFonts w:hint="eastAsia" w:ascii="宋体" w:hAnsi="宋体" w:cs="宋体"/>
                <w:szCs w:val="21"/>
              </w:rPr>
            </w:pPr>
            <w:r>
              <w:rPr>
                <w:rFonts w:hint="eastAsia" w:ascii="宋体" w:hAnsi="宋体" w:cs="宋体"/>
                <w:szCs w:val="21"/>
              </w:rPr>
              <w:t>接收质疑函方式：以书面形式。</w:t>
            </w:r>
          </w:p>
          <w:p w14:paraId="7517CE6A">
            <w:pPr>
              <w:pStyle w:val="18"/>
              <w:snapToGrid w:val="0"/>
              <w:spacing w:line="360" w:lineRule="auto"/>
              <w:rPr>
                <w:rFonts w:hint="eastAsia" w:hAnsi="宋体" w:cs="宋体"/>
                <w:kern w:val="2"/>
                <w:sz w:val="21"/>
              </w:rPr>
            </w:pPr>
            <w:r>
              <w:rPr>
                <w:rFonts w:hint="eastAsia" w:hAnsi="宋体" w:cs="宋体"/>
                <w:kern w:val="2"/>
                <w:sz w:val="21"/>
              </w:rPr>
              <w:t>质疑联系部门及联系方式：</w:t>
            </w:r>
            <w:r>
              <w:rPr>
                <w:rFonts w:hint="eastAsia" w:hAnsi="宋体" w:cs="宋体"/>
                <w:kern w:val="2"/>
                <w:sz w:val="21"/>
                <w:u w:val="single"/>
              </w:rPr>
              <w:t>广西政投项目咨询有限公司</w:t>
            </w:r>
            <w:r>
              <w:rPr>
                <w:rFonts w:hint="eastAsia" w:hAnsi="宋体" w:cs="宋体"/>
                <w:kern w:val="2"/>
                <w:sz w:val="21"/>
              </w:rPr>
              <w:t>，联系电话：0771-5891216，通讯地址：中国（广西）自由贸易试验区南宁片区凯旋路16号广西裕达集团南宁五象总部基地广东大厦二十六层2602、2603、2605号房。</w:t>
            </w:r>
          </w:p>
          <w:p w14:paraId="2D56A142">
            <w:pPr>
              <w:pStyle w:val="18"/>
              <w:snapToGrid w:val="0"/>
              <w:spacing w:line="360" w:lineRule="auto"/>
              <w:rPr>
                <w:rFonts w:hint="eastAsia" w:hAnsi="宋体" w:cs="宋体"/>
                <w:kern w:val="2"/>
                <w:sz w:val="21"/>
              </w:rPr>
            </w:pPr>
            <w:r>
              <w:rPr>
                <w:rFonts w:hint="eastAsia" w:hAnsi="宋体" w:cs="宋体"/>
                <w:sz w:val="21"/>
              </w:rPr>
              <w:t>业务时间：工作日每天9时00分到12时00分，15时00分到18时 00分。</w:t>
            </w:r>
          </w:p>
        </w:tc>
      </w:tr>
      <w:tr w14:paraId="53CFAB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F0239BC">
            <w:pPr>
              <w:spacing w:line="360" w:lineRule="auto"/>
              <w:jc w:val="center"/>
              <w:rPr>
                <w:rFonts w:hint="eastAsia" w:ascii="宋体" w:hAnsi="宋体" w:cs="宋体"/>
                <w:szCs w:val="21"/>
              </w:rPr>
            </w:pPr>
            <w:r>
              <w:rPr>
                <w:rFonts w:hint="eastAsia" w:ascii="宋体" w:hAnsi="宋体" w:cs="宋体"/>
                <w:szCs w:val="21"/>
              </w:rPr>
              <w:t>3</w:t>
            </w:r>
            <w:r>
              <w:rPr>
                <w:rFonts w:ascii="宋体" w:hAnsi="宋体" w:cs="宋体"/>
                <w:szCs w:val="21"/>
              </w:rPr>
              <w:t>2</w:t>
            </w:r>
            <w:r>
              <w:rPr>
                <w:rFonts w:hint="eastAsia" w:ascii="宋体" w:hAnsi="宋体" w:cs="宋体"/>
                <w:szCs w:val="21"/>
              </w:rPr>
              <w:t>.1</w:t>
            </w:r>
          </w:p>
        </w:tc>
        <w:tc>
          <w:tcPr>
            <w:tcW w:w="8442" w:type="dxa"/>
            <w:vAlign w:val="center"/>
          </w:tcPr>
          <w:p w14:paraId="136DCBA0">
            <w:pPr>
              <w:pStyle w:val="18"/>
              <w:snapToGrid w:val="0"/>
              <w:spacing w:line="360" w:lineRule="auto"/>
              <w:rPr>
                <w:rFonts w:hint="eastAsia" w:hAnsi="宋体" w:cs="宋体"/>
                <w:sz w:val="21"/>
              </w:rPr>
            </w:pPr>
            <w:r>
              <w:rPr>
                <w:rFonts w:hint="eastAsia" w:hAnsi="宋体" w:cs="宋体"/>
                <w:sz w:val="21"/>
              </w:rPr>
              <w:t>1.采购代理费支付方式：</w:t>
            </w:r>
          </w:p>
          <w:p w14:paraId="76296302">
            <w:pPr>
              <w:pStyle w:val="18"/>
              <w:snapToGrid w:val="0"/>
              <w:spacing w:line="360" w:lineRule="auto"/>
              <w:rPr>
                <w:rFonts w:hint="eastAsia" w:hAnsi="宋体" w:cs="宋体"/>
                <w:sz w:val="21"/>
              </w:rPr>
            </w:pPr>
            <w:r>
              <w:rPr>
                <w:rFonts w:hint="eastAsia" w:hAnsi="宋体" w:cs="宋体"/>
                <w:sz w:val="21"/>
              </w:rPr>
              <w:t>本项目代理服务费按如下规定由</w:t>
            </w:r>
            <w:r>
              <w:rPr>
                <w:rFonts w:hint="eastAsia" w:hAnsi="宋体" w:cs="宋体"/>
                <w:sz w:val="21"/>
                <w:u w:val="single"/>
              </w:rPr>
              <w:t>成交供应商</w:t>
            </w:r>
            <w:r>
              <w:rPr>
                <w:rFonts w:hint="eastAsia" w:hAnsi="宋体" w:cs="宋体"/>
                <w:sz w:val="21"/>
              </w:rPr>
              <w:t>在领取成交通知书前，一次性向采购代理机构支付。</w:t>
            </w:r>
          </w:p>
          <w:p w14:paraId="173991F0">
            <w:pPr>
              <w:pStyle w:val="18"/>
              <w:snapToGrid w:val="0"/>
              <w:spacing w:line="360" w:lineRule="auto"/>
              <w:rPr>
                <w:rFonts w:hint="eastAsia" w:hAnsi="宋体" w:cs="宋体"/>
                <w:sz w:val="21"/>
              </w:rPr>
            </w:pPr>
            <w:r>
              <w:rPr>
                <w:rFonts w:hint="eastAsia" w:hAnsi="宋体" w:cs="宋体"/>
                <w:sz w:val="21"/>
              </w:rPr>
              <w:t>2.采购代理费收取标准：</w:t>
            </w:r>
            <w:r>
              <w:rPr>
                <w:rFonts w:hint="eastAsia" w:hAnsi="宋体" w:cs="宋体"/>
                <w:sz w:val="21"/>
                <w:lang w:val="en-US" w:eastAsia="zh-CN"/>
              </w:rPr>
              <w:t>按</w:t>
            </w:r>
            <w:r>
              <w:rPr>
                <w:rFonts w:hint="eastAsia" w:hAnsi="宋体" w:cs="宋体"/>
                <w:sz w:val="21"/>
                <w:lang w:val="zh-CN"/>
              </w:rPr>
              <w:t>原国家发展计划委员会《招标代理服务费管理暂行办法》 (计价格[2002]1980号)规定收费标准</w:t>
            </w:r>
            <w:r>
              <w:rPr>
                <w:rFonts w:hint="eastAsia" w:hAnsi="宋体" w:cs="宋体"/>
                <w:sz w:val="21"/>
                <w:lang w:val="zh-CN" w:eastAsia="zh-CN"/>
              </w:rPr>
              <w:t>（货物招标）</w:t>
            </w:r>
            <w:r>
              <w:rPr>
                <w:rFonts w:hint="eastAsia" w:hAnsi="宋体" w:cs="宋体"/>
                <w:sz w:val="21"/>
                <w:lang w:val="zh-CN"/>
              </w:rPr>
              <w:t>收取，收费标准以</w:t>
            </w:r>
            <w:r>
              <w:rPr>
                <w:rFonts w:hint="eastAsia" w:hAnsi="宋体" w:cs="宋体"/>
                <w:sz w:val="21"/>
                <w:lang w:val="en-US" w:eastAsia="zh-CN"/>
              </w:rPr>
              <w:t>成交金额</w:t>
            </w:r>
            <w:r>
              <w:rPr>
                <w:rFonts w:hint="eastAsia" w:hAnsi="宋体" w:cs="宋体"/>
                <w:sz w:val="21"/>
                <w:lang w:val="zh-CN"/>
              </w:rPr>
              <w:t>为计算基数</w:t>
            </w:r>
            <w:r>
              <w:rPr>
                <w:rFonts w:hint="eastAsia" w:hAnsi="宋体" w:cs="宋体"/>
                <w:sz w:val="21"/>
              </w:rPr>
              <w:t>。</w:t>
            </w:r>
          </w:p>
          <w:p w14:paraId="16A05066">
            <w:pPr>
              <w:pStyle w:val="18"/>
              <w:snapToGrid w:val="0"/>
              <w:spacing w:line="360" w:lineRule="auto"/>
              <w:rPr>
                <w:rFonts w:hint="eastAsia" w:hAnsi="宋体" w:cs="宋体"/>
                <w:sz w:val="21"/>
              </w:rPr>
            </w:pPr>
            <w:r>
              <w:rPr>
                <w:rFonts w:hint="eastAsia" w:hAnsi="宋体" w:cs="宋体"/>
                <w:sz w:val="21"/>
              </w:rPr>
              <w:t>3. 采购代理费收取银行账户</w:t>
            </w:r>
          </w:p>
          <w:p w14:paraId="1F3912FA">
            <w:pPr>
              <w:pStyle w:val="18"/>
              <w:spacing w:line="360" w:lineRule="auto"/>
              <w:rPr>
                <w:rFonts w:hint="eastAsia" w:hAnsi="宋体" w:cs="宋体"/>
                <w:sz w:val="21"/>
              </w:rPr>
            </w:pPr>
            <w:r>
              <w:rPr>
                <w:rFonts w:hint="eastAsia" w:hAnsi="宋体" w:cs="宋体"/>
                <w:sz w:val="21"/>
              </w:rPr>
              <w:t>账户名称：广西政投项目咨询有限公司</w:t>
            </w:r>
          </w:p>
          <w:p w14:paraId="6B99C3F4">
            <w:pPr>
              <w:pStyle w:val="18"/>
              <w:spacing w:line="360" w:lineRule="auto"/>
              <w:rPr>
                <w:rFonts w:hint="eastAsia" w:hAnsi="宋体" w:cs="宋体"/>
                <w:sz w:val="21"/>
              </w:rPr>
            </w:pPr>
            <w:r>
              <w:rPr>
                <w:rFonts w:hint="eastAsia" w:hAnsi="宋体" w:cs="宋体"/>
                <w:sz w:val="21"/>
              </w:rPr>
              <w:t>开户银行： 中国工商银行股份有限公司南宁市民族支行</w:t>
            </w:r>
          </w:p>
          <w:p w14:paraId="04FF5E42">
            <w:pPr>
              <w:pStyle w:val="18"/>
              <w:snapToGrid w:val="0"/>
              <w:spacing w:line="360" w:lineRule="auto"/>
              <w:rPr>
                <w:rFonts w:hint="eastAsia" w:hAnsi="宋体" w:cs="宋体"/>
                <w:sz w:val="21"/>
                <w:u w:val="single"/>
              </w:rPr>
            </w:pPr>
            <w:r>
              <w:rPr>
                <w:rFonts w:hint="eastAsia" w:hAnsi="宋体" w:cs="宋体"/>
                <w:sz w:val="21"/>
              </w:rPr>
              <w:t>银行账号：2102109009300404148</w:t>
            </w:r>
          </w:p>
        </w:tc>
      </w:tr>
      <w:tr w14:paraId="51809F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60FD7B55">
            <w:pPr>
              <w:spacing w:line="360" w:lineRule="auto"/>
              <w:jc w:val="center"/>
              <w:rPr>
                <w:rFonts w:hint="eastAsia" w:ascii="宋体" w:hAnsi="宋体" w:cs="宋体"/>
                <w:szCs w:val="21"/>
              </w:rPr>
            </w:pPr>
            <w:r>
              <w:rPr>
                <w:rFonts w:hint="eastAsia" w:ascii="宋体" w:hAnsi="宋体" w:cs="宋体"/>
                <w:szCs w:val="21"/>
              </w:rPr>
              <w:t>3</w:t>
            </w:r>
            <w:r>
              <w:rPr>
                <w:rFonts w:ascii="宋体" w:hAnsi="宋体" w:cs="宋体"/>
                <w:szCs w:val="21"/>
              </w:rPr>
              <w:t>3.1</w:t>
            </w:r>
          </w:p>
        </w:tc>
        <w:tc>
          <w:tcPr>
            <w:tcW w:w="8442" w:type="dxa"/>
            <w:vAlign w:val="center"/>
          </w:tcPr>
          <w:p w14:paraId="777152C1">
            <w:pPr>
              <w:pStyle w:val="18"/>
              <w:snapToGrid w:val="0"/>
              <w:spacing w:line="360" w:lineRule="auto"/>
              <w:rPr>
                <w:rFonts w:hint="eastAsia" w:hAnsi="宋体" w:cs="宋体"/>
                <w:sz w:val="21"/>
              </w:rPr>
            </w:pPr>
            <w:r>
              <w:rPr>
                <w:rFonts w:hint="eastAsia" w:hAnsi="宋体" w:cs="宋体"/>
                <w:sz w:val="21"/>
              </w:rPr>
              <w:t>解释：</w:t>
            </w:r>
            <w:r>
              <w:rPr>
                <w:rFonts w:hAnsi="宋体" w:cs="宋体"/>
                <w:sz w:val="21"/>
              </w:rPr>
              <w:t>构成本</w:t>
            </w:r>
            <w:r>
              <w:rPr>
                <w:rFonts w:hint="eastAsia" w:hAnsi="宋体" w:cs="宋体"/>
                <w:sz w:val="21"/>
              </w:rPr>
              <w:t>谈判文件</w:t>
            </w:r>
            <w:r>
              <w:rPr>
                <w:rFonts w:hAnsi="宋体" w:cs="宋体"/>
                <w:sz w:val="21"/>
              </w:rPr>
              <w:t>的各个组成文件应互为解释，互为说明；除</w:t>
            </w:r>
            <w:r>
              <w:rPr>
                <w:rFonts w:hint="eastAsia" w:hAnsi="宋体" w:cs="宋体"/>
                <w:sz w:val="21"/>
              </w:rPr>
              <w:t>谈判文件</w:t>
            </w:r>
            <w:r>
              <w:rPr>
                <w:rFonts w:hAnsi="宋体" w:cs="宋体"/>
                <w:sz w:val="21"/>
              </w:rPr>
              <w:t>中有特别规定外，仅适用于</w:t>
            </w:r>
            <w:r>
              <w:rPr>
                <w:rFonts w:hint="eastAsia" w:hAnsi="宋体" w:cs="宋体"/>
                <w:sz w:val="21"/>
              </w:rPr>
              <w:t>竞标</w:t>
            </w:r>
            <w:r>
              <w:rPr>
                <w:rFonts w:hAnsi="宋体" w:cs="宋体"/>
                <w:sz w:val="21"/>
              </w:rPr>
              <w:t>阶段的规定，按</w:t>
            </w:r>
            <w:r>
              <w:rPr>
                <w:rFonts w:hint="eastAsia" w:hAnsi="宋体" w:cs="宋体"/>
                <w:sz w:val="21"/>
              </w:rPr>
              <w:t>更正公告（澄清公告）</w:t>
            </w:r>
            <w:r>
              <w:rPr>
                <w:rFonts w:hAnsi="宋体" w:cs="宋体"/>
                <w:sz w:val="21"/>
              </w:rPr>
              <w:t>、</w:t>
            </w:r>
            <w:r>
              <w:rPr>
                <w:rFonts w:hint="eastAsia" w:hAnsi="宋体" w:cs="宋体"/>
                <w:sz w:val="21"/>
              </w:rPr>
              <w:t>竞争性谈判</w:t>
            </w:r>
            <w:r>
              <w:rPr>
                <w:rFonts w:hAnsi="宋体" w:cs="宋体"/>
                <w:sz w:val="21"/>
              </w:rPr>
              <w:t>公告、</w:t>
            </w:r>
            <w:r>
              <w:rPr>
                <w:rFonts w:hint="eastAsia" w:hAnsi="宋体" w:cs="宋体"/>
                <w:sz w:val="21"/>
              </w:rPr>
              <w:t>供应商</w:t>
            </w:r>
            <w:r>
              <w:rPr>
                <w:rFonts w:hAnsi="宋体" w:cs="宋体"/>
                <w:sz w:val="21"/>
              </w:rPr>
              <w:t>须知</w:t>
            </w:r>
            <w:r>
              <w:rPr>
                <w:rFonts w:hint="eastAsia" w:hAnsi="宋体" w:cs="宋体"/>
                <w:sz w:val="21"/>
              </w:rPr>
              <w:t>、采购需求</w:t>
            </w:r>
            <w:r>
              <w:rPr>
                <w:rFonts w:hAnsi="宋体" w:cs="宋体"/>
                <w:sz w:val="21"/>
              </w:rPr>
              <w:t>、</w:t>
            </w:r>
            <w:r>
              <w:rPr>
                <w:rFonts w:hint="eastAsia" w:hAnsi="宋体" w:cs="宋体"/>
                <w:sz w:val="21"/>
              </w:rPr>
              <w:t>评审程序和评定成交的标准</w:t>
            </w:r>
            <w:r>
              <w:rPr>
                <w:rFonts w:hAnsi="宋体" w:cs="宋体"/>
                <w:sz w:val="21"/>
              </w:rPr>
              <w:t>、</w:t>
            </w:r>
            <w:r>
              <w:rPr>
                <w:rFonts w:hint="eastAsia" w:hAnsi="宋体" w:cs="宋体"/>
                <w:sz w:val="21"/>
              </w:rPr>
              <w:t>响应</w:t>
            </w:r>
            <w:r>
              <w:rPr>
                <w:rFonts w:hAnsi="宋体" w:cs="宋体"/>
                <w:sz w:val="21"/>
              </w:rPr>
              <w:t>文件格式</w:t>
            </w:r>
            <w:r>
              <w:rPr>
                <w:rFonts w:hint="eastAsia" w:hAnsi="宋体" w:cs="宋体"/>
                <w:sz w:val="21"/>
              </w:rPr>
              <w:t>、合同文本</w:t>
            </w:r>
            <w:r>
              <w:rPr>
                <w:rFonts w:hAnsi="宋体" w:cs="宋体"/>
                <w:sz w:val="21"/>
              </w:rPr>
              <w:t>的先后顺序解释；同一组成文件中就同一事项的规定或约定不一致的，以编排顺序在后者为准；同一组成文件不同版本之间有不一致的，以形成时间在后者为准；</w:t>
            </w:r>
            <w:r>
              <w:rPr>
                <w:rFonts w:hint="eastAsia" w:hAnsi="宋体" w:cs="宋体"/>
                <w:sz w:val="21"/>
              </w:rPr>
              <w:t>更正公告（澄清公告）</w:t>
            </w:r>
            <w:r>
              <w:rPr>
                <w:rFonts w:hAnsi="宋体" w:cs="宋体"/>
                <w:sz w:val="21"/>
              </w:rPr>
              <w:t>与同步更新的</w:t>
            </w:r>
            <w:r>
              <w:rPr>
                <w:rFonts w:hint="eastAsia" w:hAnsi="宋体" w:cs="宋体"/>
                <w:sz w:val="21"/>
              </w:rPr>
              <w:t>谈判文件</w:t>
            </w:r>
            <w:r>
              <w:rPr>
                <w:rFonts w:hAnsi="宋体" w:cs="宋体"/>
                <w:sz w:val="21"/>
              </w:rPr>
              <w:t>不一致时以</w:t>
            </w:r>
            <w:r>
              <w:rPr>
                <w:rFonts w:hint="eastAsia" w:hAnsi="宋体" w:cs="宋体"/>
                <w:sz w:val="21"/>
              </w:rPr>
              <w:t>更正公告（澄清公告）</w:t>
            </w:r>
            <w:r>
              <w:rPr>
                <w:rFonts w:hAnsi="宋体" w:cs="宋体"/>
                <w:sz w:val="21"/>
              </w:rPr>
              <w:t>为准。按本款前述规定仍不能形成结论的，由</w:t>
            </w:r>
            <w:r>
              <w:rPr>
                <w:rFonts w:hint="eastAsia" w:hAnsi="宋体" w:cs="宋体"/>
                <w:sz w:val="21"/>
              </w:rPr>
              <w:t>采购</w:t>
            </w:r>
            <w:r>
              <w:rPr>
                <w:rFonts w:hAnsi="宋体" w:cs="宋体"/>
                <w:sz w:val="21"/>
              </w:rPr>
              <w:t>人</w:t>
            </w:r>
            <w:r>
              <w:rPr>
                <w:rFonts w:hint="eastAsia" w:hAnsi="宋体" w:cs="宋体"/>
                <w:sz w:val="21"/>
              </w:rPr>
              <w:t>或者采购代理机构</w:t>
            </w:r>
            <w:r>
              <w:rPr>
                <w:rFonts w:hAnsi="宋体" w:cs="宋体"/>
                <w:sz w:val="21"/>
              </w:rPr>
              <w:t>负责解释。</w:t>
            </w:r>
          </w:p>
        </w:tc>
      </w:tr>
      <w:tr w14:paraId="36835E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4E611B51">
            <w:pPr>
              <w:spacing w:line="360" w:lineRule="auto"/>
              <w:jc w:val="center"/>
              <w:rPr>
                <w:rFonts w:hint="eastAsia" w:ascii="宋体" w:hAnsi="宋体" w:cs="宋体"/>
                <w:szCs w:val="21"/>
              </w:rPr>
            </w:pPr>
            <w:r>
              <w:rPr>
                <w:rFonts w:hint="eastAsia" w:ascii="宋体" w:hAnsi="宋体" w:cs="宋体"/>
                <w:szCs w:val="21"/>
              </w:rPr>
              <w:t>3</w:t>
            </w:r>
            <w:r>
              <w:rPr>
                <w:rFonts w:ascii="宋体" w:hAnsi="宋体" w:cs="宋体"/>
                <w:szCs w:val="21"/>
              </w:rPr>
              <w:t>3.2</w:t>
            </w:r>
          </w:p>
        </w:tc>
        <w:tc>
          <w:tcPr>
            <w:tcW w:w="8442" w:type="dxa"/>
            <w:vAlign w:val="center"/>
          </w:tcPr>
          <w:p w14:paraId="7E61DB79">
            <w:pPr>
              <w:pStyle w:val="18"/>
              <w:snapToGrid w:val="0"/>
              <w:spacing w:line="360" w:lineRule="auto"/>
              <w:rPr>
                <w:rFonts w:hint="eastAsia" w:hAnsi="宋体" w:cs="宋体"/>
                <w:sz w:val="21"/>
              </w:rPr>
            </w:pPr>
            <w:r>
              <w:rPr>
                <w:rFonts w:hint="eastAsia" w:hAnsi="宋体" w:cs="宋体"/>
                <w:sz w:val="21"/>
              </w:rPr>
              <w:t>1.本谈判文件中描述供应商的“公章”是指根据我国对公章的管理规定，用供应商法定主体行为名称制作的印章，除本谈判文件有特殊规定外，供应商的财务章、部门章、分公司章、工会章、合同章、竞标专用章、业务专用章及银行的转账章、现金收讫章、现金付讫章等其他形式印章均不能代替公章。</w:t>
            </w:r>
          </w:p>
          <w:p w14:paraId="0B2DA420">
            <w:pPr>
              <w:pStyle w:val="18"/>
              <w:snapToGrid w:val="0"/>
              <w:spacing w:line="360" w:lineRule="auto"/>
              <w:rPr>
                <w:rFonts w:hint="eastAsia" w:hAnsi="宋体" w:cs="宋体"/>
                <w:bCs/>
                <w:sz w:val="21"/>
              </w:rPr>
            </w:pPr>
            <w:r>
              <w:rPr>
                <w:rFonts w:hint="eastAsia" w:hAnsi="宋体" w:cs="宋体"/>
                <w:bCs/>
                <w:sz w:val="21"/>
              </w:rPr>
              <w:t>2.本谈判文件所称的“</w:t>
            </w:r>
            <w:r>
              <w:rPr>
                <w:rFonts w:hint="eastAsia" w:hAnsi="宋体"/>
                <w:sz w:val="21"/>
              </w:rPr>
              <w:t>电子签章</w:t>
            </w:r>
            <w:r>
              <w:rPr>
                <w:rFonts w:hint="eastAsia" w:hAnsi="宋体" w:cs="宋体"/>
                <w:bCs/>
                <w:sz w:val="21"/>
              </w:rPr>
              <w:t>”、“电子签名”</w:t>
            </w:r>
            <w:r>
              <w:rPr>
                <w:rFonts w:hint="eastAsia" w:hAnsi="宋体"/>
                <w:sz w:val="21"/>
              </w:rPr>
              <w:t>，是指经“政采云”平台认可的CA认证的电子签名数据为表现形式的印章，可用于签署电子响应文件，电子印章与实物印章具有同等法律效力，不因其采用电子化表现形式而否定其法律效力。</w:t>
            </w:r>
          </w:p>
          <w:p w14:paraId="70FE1A24">
            <w:pPr>
              <w:pStyle w:val="18"/>
              <w:snapToGrid w:val="0"/>
              <w:spacing w:line="360" w:lineRule="auto"/>
              <w:rPr>
                <w:rFonts w:hint="eastAsia" w:hAnsi="宋体" w:cs="宋体"/>
                <w:bCs/>
                <w:sz w:val="21"/>
              </w:rPr>
            </w:pPr>
            <w:r>
              <w:rPr>
                <w:rFonts w:hint="eastAsia" w:hAnsi="宋体" w:cs="宋体"/>
                <w:sz w:val="21"/>
              </w:rPr>
              <w:t>3.供应商为其他组织或者自然人时，本谈判文件规定的法定代表人指负责人或者自然人。本谈判文件所称负责人是指参加竞标的其他组织</w:t>
            </w:r>
            <w:r>
              <w:rPr>
                <w:rFonts w:hint="eastAsia" w:hAnsi="宋体" w:cs="宋体"/>
                <w:bCs/>
                <w:sz w:val="21"/>
              </w:rPr>
              <w:t>营业执照或者执业许可证等证照上</w:t>
            </w:r>
            <w:r>
              <w:rPr>
                <w:rFonts w:hint="eastAsia" w:hAnsi="宋体" w:cs="宋体"/>
                <w:sz w:val="21"/>
              </w:rPr>
              <w:t>的负责人，本谈判文件所称自然人指参与竞标的自然人本人，</w:t>
            </w:r>
            <w:r>
              <w:rPr>
                <w:rFonts w:hint="eastAsia" w:hAnsi="宋体" w:cs="宋体"/>
                <w:bCs/>
                <w:sz w:val="21"/>
              </w:rPr>
              <w:t>且应具备独立承担民事责任能力，自然人应当为年满18岁以上成年人（十六周岁以上的未成年人，以自己的劳动收入为主要生活来源的，视为完全民事行为能力人）。</w:t>
            </w:r>
          </w:p>
          <w:p w14:paraId="5F3DD1F5">
            <w:pPr>
              <w:pStyle w:val="18"/>
              <w:snapToGrid w:val="0"/>
              <w:spacing w:line="360" w:lineRule="auto"/>
              <w:rPr>
                <w:rFonts w:hint="eastAsia" w:hAnsi="宋体" w:cs="宋体"/>
                <w:sz w:val="21"/>
              </w:rPr>
            </w:pPr>
            <w:r>
              <w:rPr>
                <w:rFonts w:hint="eastAsia" w:hAnsi="宋体" w:cs="宋体"/>
                <w:sz w:val="21"/>
              </w:rPr>
              <w:t>4.本谈判文件中描述供应商的“签字”是指供应商的法定代表人或者委托代理人亲自在文件规定签署处亲笔写上个人的名字的行为，私章、签字章、印鉴、影印等其他形式均不能代替亲笔签字。</w:t>
            </w:r>
          </w:p>
          <w:p w14:paraId="61ACA002">
            <w:pPr>
              <w:pStyle w:val="18"/>
              <w:snapToGrid w:val="0"/>
              <w:spacing w:line="360" w:lineRule="auto"/>
              <w:rPr>
                <w:rFonts w:hint="eastAsia" w:hAnsi="宋体" w:cs="宋体"/>
                <w:sz w:val="21"/>
              </w:rPr>
            </w:pPr>
            <w:r>
              <w:rPr>
                <w:rFonts w:hAnsi="宋体" w:cs="宋体"/>
                <w:sz w:val="21"/>
              </w:rPr>
              <w:t>5.</w:t>
            </w:r>
            <w:r>
              <w:rPr>
                <w:rFonts w:hint="eastAsia" w:hAnsi="宋体" w:cs="宋体"/>
                <w:sz w:val="21"/>
              </w:rPr>
              <w:t>本谈判文件所称的“以上”“以下”“以内”“届满”，包括本数；所称的“不满”“超过”“以外”，不包括本数。</w:t>
            </w:r>
          </w:p>
        </w:tc>
      </w:tr>
    </w:tbl>
    <w:p w14:paraId="68C0719C">
      <w:pPr>
        <w:spacing w:line="400" w:lineRule="exact"/>
        <w:jc w:val="center"/>
        <w:rPr>
          <w:rFonts w:hint="eastAsia" w:ascii="宋体" w:hAnsi="宋体"/>
          <w:b/>
          <w:sz w:val="32"/>
          <w:szCs w:val="32"/>
        </w:rPr>
      </w:pPr>
      <w:r>
        <w:rPr>
          <w:rFonts w:ascii="宋体" w:hAnsi="宋体"/>
          <w:b/>
          <w:sz w:val="32"/>
          <w:szCs w:val="32"/>
        </w:rPr>
        <w:br w:type="page"/>
      </w:r>
      <w:r>
        <w:rPr>
          <w:rFonts w:hint="eastAsia" w:ascii="宋体" w:hAnsi="宋体"/>
          <w:b/>
          <w:sz w:val="32"/>
          <w:szCs w:val="32"/>
        </w:rPr>
        <w:t>供应商须知正文</w:t>
      </w:r>
    </w:p>
    <w:p w14:paraId="39D34D48">
      <w:pPr>
        <w:spacing w:line="400" w:lineRule="exact"/>
        <w:jc w:val="center"/>
        <w:rPr>
          <w:rFonts w:hint="eastAsia" w:ascii="宋体" w:hAnsi="宋体"/>
          <w:b/>
          <w:sz w:val="32"/>
          <w:szCs w:val="32"/>
        </w:rPr>
      </w:pPr>
    </w:p>
    <w:p w14:paraId="7A48944D">
      <w:pPr>
        <w:spacing w:line="400" w:lineRule="exact"/>
        <w:jc w:val="center"/>
        <w:rPr>
          <w:rFonts w:hint="eastAsia" w:ascii="宋体" w:hAnsi="宋体"/>
          <w:b/>
          <w:sz w:val="32"/>
          <w:szCs w:val="32"/>
        </w:rPr>
      </w:pPr>
      <w:r>
        <w:rPr>
          <w:rFonts w:hint="eastAsia" w:ascii="宋体" w:hAnsi="宋体"/>
          <w:b/>
          <w:sz w:val="32"/>
          <w:szCs w:val="32"/>
        </w:rPr>
        <w:t>一、总则</w:t>
      </w:r>
    </w:p>
    <w:p w14:paraId="4D6E434F">
      <w:pPr>
        <w:spacing w:line="400" w:lineRule="exact"/>
        <w:rPr>
          <w:rFonts w:hint="eastAsia" w:ascii="宋体" w:hAnsi="宋体"/>
          <w:szCs w:val="21"/>
        </w:rPr>
      </w:pPr>
    </w:p>
    <w:p w14:paraId="1A1918ED">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1. 适用范围</w:t>
      </w:r>
    </w:p>
    <w:p w14:paraId="4FDDECCD">
      <w:pPr>
        <w:spacing w:line="360" w:lineRule="auto"/>
        <w:ind w:firstLine="420" w:firstLineChars="200"/>
        <w:rPr>
          <w:rFonts w:hint="eastAsia" w:ascii="宋体" w:hAnsi="宋体" w:cs="宋体"/>
          <w:szCs w:val="21"/>
        </w:rPr>
      </w:pPr>
      <w:r>
        <w:rPr>
          <w:rFonts w:hint="eastAsia" w:ascii="宋体" w:hAnsi="宋体" w:cs="宋体"/>
          <w:szCs w:val="21"/>
        </w:rPr>
        <w:t>1.1适用法律：本项目采购人、采购代理机构、供应商、谈判小组的相关行为均受《中华人民共和国政府采购法》《中华人民共和国政府采购法实施条例》《政府采购非招标采购方式管理办法》及本项目本级和上级财政部门政府采购有关规定的约束和保护。</w:t>
      </w:r>
    </w:p>
    <w:p w14:paraId="0FD250DD">
      <w:pPr>
        <w:spacing w:line="360" w:lineRule="auto"/>
        <w:ind w:firstLine="420" w:firstLineChars="200"/>
        <w:rPr>
          <w:rFonts w:hint="eastAsia" w:ascii="宋体" w:hAnsi="宋体" w:cs="宋体"/>
          <w:szCs w:val="21"/>
        </w:rPr>
      </w:pPr>
      <w:r>
        <w:rPr>
          <w:rFonts w:hint="eastAsia" w:ascii="宋体" w:hAnsi="宋体" w:cs="宋体"/>
          <w:szCs w:val="21"/>
        </w:rPr>
        <w:t>1.2</w:t>
      </w:r>
      <w:r>
        <w:rPr>
          <w:rFonts w:hint="eastAsia" w:ascii="宋体" w:hAnsi="宋体" w:cs="宋体"/>
          <w:spacing w:val="-6"/>
          <w:szCs w:val="21"/>
        </w:rPr>
        <w:t>本竞争性谈判文件（以下简称谈判文件）适用于本项目的所有采购程序和环节（法律、法规另有规定的，从其规定）。</w:t>
      </w:r>
    </w:p>
    <w:p w14:paraId="1274E057">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2. 定义</w:t>
      </w:r>
    </w:p>
    <w:p w14:paraId="28CF29F8">
      <w:pPr>
        <w:spacing w:line="360" w:lineRule="auto"/>
        <w:ind w:firstLine="420" w:firstLineChars="200"/>
        <w:rPr>
          <w:rFonts w:hint="eastAsia" w:ascii="宋体" w:hAnsi="宋体" w:cs="宋体"/>
          <w:szCs w:val="21"/>
        </w:rPr>
      </w:pPr>
      <w:r>
        <w:rPr>
          <w:rFonts w:hint="eastAsia" w:ascii="宋体" w:hAnsi="宋体" w:cs="宋体"/>
          <w:szCs w:val="21"/>
        </w:rPr>
        <w:t>2.1“采购人”是指依法进行采购的国家机关、事业单位、团体组织。</w:t>
      </w:r>
    </w:p>
    <w:p w14:paraId="2E89EA0F">
      <w:pPr>
        <w:spacing w:line="360" w:lineRule="auto"/>
        <w:ind w:firstLine="420" w:firstLineChars="200"/>
        <w:rPr>
          <w:rFonts w:hint="eastAsia" w:ascii="宋体" w:hAnsi="宋体"/>
          <w:b/>
          <w:szCs w:val="21"/>
        </w:rPr>
      </w:pPr>
      <w:r>
        <w:rPr>
          <w:rFonts w:hint="eastAsia" w:ascii="宋体" w:hAnsi="宋体" w:cs="宋体"/>
          <w:szCs w:val="21"/>
        </w:rPr>
        <w:t>2.2“采购代理机构”</w:t>
      </w:r>
      <w:r>
        <w:rPr>
          <w:rFonts w:hint="eastAsia" w:ascii="宋体" w:hAnsi="宋体"/>
          <w:b/>
          <w:szCs w:val="21"/>
        </w:rPr>
        <w:t>是指政府采购集中采购机构和集中采购机构以外的采购代理机构。</w:t>
      </w:r>
    </w:p>
    <w:p w14:paraId="7BE5088E">
      <w:pPr>
        <w:spacing w:line="360" w:lineRule="auto"/>
        <w:ind w:firstLine="420" w:firstLineChars="200"/>
        <w:rPr>
          <w:rFonts w:hint="eastAsia" w:ascii="宋体" w:hAnsi="宋体" w:cs="宋体"/>
          <w:szCs w:val="21"/>
        </w:rPr>
      </w:pPr>
      <w:r>
        <w:rPr>
          <w:rFonts w:hint="eastAsia" w:ascii="宋体" w:hAnsi="宋体" w:cs="宋体"/>
          <w:szCs w:val="21"/>
        </w:rPr>
        <w:t>2.3“供应商”是指向采购人提供货物、工程或者服务的法人、其他组织或者自然人。</w:t>
      </w:r>
    </w:p>
    <w:p w14:paraId="1C8617E3">
      <w:pPr>
        <w:spacing w:line="360" w:lineRule="auto"/>
        <w:ind w:firstLine="420" w:firstLineChars="200"/>
        <w:rPr>
          <w:rFonts w:hint="eastAsia" w:ascii="宋体" w:hAnsi="宋体" w:cs="宋体"/>
          <w:szCs w:val="21"/>
        </w:rPr>
      </w:pPr>
      <w:r>
        <w:rPr>
          <w:rFonts w:hint="eastAsia" w:ascii="宋体" w:hAnsi="宋体" w:cs="宋体"/>
          <w:szCs w:val="21"/>
        </w:rPr>
        <w:t>2.4“货物”是指各种形态和种类的物品，包括原材料、燃料、设备、产品等。</w:t>
      </w:r>
    </w:p>
    <w:p w14:paraId="5F4F334F">
      <w:pPr>
        <w:spacing w:line="360" w:lineRule="auto"/>
        <w:ind w:firstLine="420" w:firstLineChars="200"/>
        <w:rPr>
          <w:rFonts w:hint="eastAsia" w:ascii="宋体" w:hAnsi="宋体" w:cs="宋体"/>
          <w:szCs w:val="21"/>
        </w:rPr>
      </w:pPr>
      <w:r>
        <w:rPr>
          <w:rFonts w:hint="eastAsia" w:ascii="宋体" w:hAnsi="宋体" w:cs="宋体"/>
          <w:szCs w:val="21"/>
        </w:rPr>
        <w:t>2.5“竞标”是指按照本项目竞争性谈判公告规定的方式供应商获取谈判文件、提交响应文件并希望获得标的的行为。</w:t>
      </w:r>
    </w:p>
    <w:p w14:paraId="7C70415A">
      <w:pPr>
        <w:spacing w:line="360" w:lineRule="auto"/>
        <w:ind w:firstLine="420" w:firstLineChars="200"/>
        <w:rPr>
          <w:rFonts w:hint="eastAsia" w:ascii="宋体" w:hAnsi="宋体" w:cs="宋体"/>
          <w:szCs w:val="21"/>
        </w:rPr>
      </w:pPr>
      <w:r>
        <w:rPr>
          <w:rFonts w:hint="eastAsia" w:ascii="宋体" w:hAnsi="宋体" w:cs="宋体"/>
          <w:szCs w:val="21"/>
        </w:rPr>
        <w:t>2.6“售后服务” 是指包含但不限于供应商须承担的备品备件、包装、运输、装卸、保险、货到就位以及安装、调试、培训、保修和其他类似的义务。</w:t>
      </w:r>
    </w:p>
    <w:p w14:paraId="798809DC">
      <w:pPr>
        <w:spacing w:line="360" w:lineRule="auto"/>
        <w:ind w:firstLine="420" w:firstLineChars="200"/>
        <w:rPr>
          <w:rFonts w:hint="eastAsia" w:ascii="宋体" w:hAnsi="宋体" w:cs="宋体"/>
          <w:szCs w:val="21"/>
        </w:rPr>
      </w:pPr>
      <w:r>
        <w:rPr>
          <w:rFonts w:hint="eastAsia" w:ascii="宋体" w:hAnsi="宋体" w:cs="宋体"/>
          <w:szCs w:val="21"/>
        </w:rPr>
        <w:t>2.7“书面形式”是指合同书、信件和数据电文（包括电报、电传、传真、电子数据交换和电子邮件）等可以有形地表现所载内容的形式。</w:t>
      </w:r>
    </w:p>
    <w:p w14:paraId="72EF39F9">
      <w:pPr>
        <w:spacing w:line="360" w:lineRule="auto"/>
        <w:ind w:firstLine="420" w:firstLineChars="200"/>
        <w:rPr>
          <w:rFonts w:hint="eastAsia" w:ascii="宋体" w:hAnsi="宋体" w:cs="宋体"/>
          <w:szCs w:val="21"/>
        </w:rPr>
      </w:pPr>
      <w:r>
        <w:rPr>
          <w:rFonts w:hint="eastAsia" w:ascii="宋体" w:hAnsi="宋体" w:cs="宋体"/>
          <w:szCs w:val="21"/>
        </w:rPr>
        <w:t>2.8“响应文件”</w:t>
      </w:r>
      <w:r>
        <w:rPr>
          <w:rFonts w:hint="eastAsia" w:ascii="宋体" w:hAnsi="宋体" w:cs="宋体"/>
          <w:spacing w:val="-6"/>
          <w:szCs w:val="21"/>
        </w:rPr>
        <w:t>是指：供应商根据本谈判文件要求，编制包含资格证明、报价、商务技术等所有内容的文件。</w:t>
      </w:r>
    </w:p>
    <w:p w14:paraId="5E900BCD">
      <w:pPr>
        <w:spacing w:line="360" w:lineRule="auto"/>
        <w:ind w:firstLine="420" w:firstLineChars="200"/>
        <w:rPr>
          <w:rFonts w:hint="eastAsia" w:ascii="宋体" w:hAnsi="宋体" w:cs="宋体"/>
          <w:szCs w:val="21"/>
        </w:rPr>
      </w:pPr>
      <w:r>
        <w:rPr>
          <w:rFonts w:hint="eastAsia" w:ascii="宋体" w:hAnsi="宋体" w:cs="宋体"/>
          <w:szCs w:val="21"/>
        </w:rPr>
        <w:t>2.9 “实质性要求”是指采购需求中带“▲”的条款或者不能负偏离的条款或者已经指明不满足按响应文件按无效处理的条款。</w:t>
      </w:r>
    </w:p>
    <w:p w14:paraId="5721AB89">
      <w:pPr>
        <w:spacing w:line="360" w:lineRule="auto"/>
        <w:ind w:firstLine="420" w:firstLineChars="200"/>
        <w:rPr>
          <w:rFonts w:hint="eastAsia" w:ascii="宋体" w:hAnsi="宋体" w:cs="宋体"/>
          <w:szCs w:val="21"/>
        </w:rPr>
      </w:pPr>
      <w:r>
        <w:rPr>
          <w:rFonts w:hint="eastAsia" w:ascii="宋体" w:hAnsi="宋体" w:cs="宋体"/>
          <w:szCs w:val="21"/>
        </w:rPr>
        <w:t>2.10“正偏离”，是指响应文件对谈判文件“采购需求”中有关条款作出优于条款要求并有利于采购人的响应情形；</w:t>
      </w:r>
    </w:p>
    <w:p w14:paraId="41BE8E78">
      <w:pPr>
        <w:spacing w:line="360" w:lineRule="auto"/>
        <w:ind w:firstLine="420" w:firstLineChars="200"/>
        <w:rPr>
          <w:rFonts w:hint="eastAsia" w:ascii="宋体" w:hAnsi="宋体" w:cs="宋体"/>
          <w:szCs w:val="21"/>
        </w:rPr>
      </w:pPr>
      <w:r>
        <w:rPr>
          <w:rFonts w:hint="eastAsia" w:ascii="宋体" w:hAnsi="宋体" w:cs="宋体"/>
          <w:szCs w:val="21"/>
        </w:rPr>
        <w:t>2.11“负偏离”，是指响应文件对谈判文件“采购需求”中有关条款作出的响应不满足条款要求，导致采购人要求不能得到满足的情形。</w:t>
      </w:r>
    </w:p>
    <w:p w14:paraId="466C7A6B">
      <w:pPr>
        <w:spacing w:line="360" w:lineRule="auto"/>
        <w:ind w:firstLine="420" w:firstLineChars="200"/>
        <w:rPr>
          <w:rFonts w:hint="eastAsia" w:ascii="宋体" w:hAnsi="宋体" w:cs="宋体"/>
          <w:szCs w:val="21"/>
        </w:rPr>
      </w:pPr>
      <w:r>
        <w:rPr>
          <w:rFonts w:hint="eastAsia" w:ascii="宋体" w:hAnsi="宋体" w:cs="宋体"/>
          <w:szCs w:val="21"/>
        </w:rPr>
        <w:t>2.12“允许负偏离的条款”是指采购需求中的不属于“实质性要求”的条款。</w:t>
      </w:r>
    </w:p>
    <w:p w14:paraId="4AA13921">
      <w:pPr>
        <w:spacing w:line="360" w:lineRule="auto"/>
        <w:ind w:firstLine="420" w:firstLineChars="200"/>
        <w:rPr>
          <w:rFonts w:hint="eastAsia" w:ascii="宋体" w:hAnsi="宋体" w:cs="宋体"/>
          <w:szCs w:val="21"/>
        </w:rPr>
      </w:pPr>
      <w:r>
        <w:rPr>
          <w:rFonts w:hint="eastAsia" w:ascii="宋体" w:hAnsi="宋体" w:cs="宋体"/>
          <w:szCs w:val="21"/>
        </w:rPr>
        <w:t>2.13“首次报价”是指供应商提交的首次响应文件中的竞标报价。</w:t>
      </w:r>
    </w:p>
    <w:p w14:paraId="26199429">
      <w:pPr>
        <w:spacing w:line="360" w:lineRule="auto"/>
        <w:ind w:firstLine="482" w:firstLineChars="200"/>
        <w:contextualSpacing/>
        <w:rPr>
          <w:rFonts w:hint="eastAsia" w:ascii="黑体" w:hAnsi="黑体" w:eastAsia="黑体" w:cs="宋体"/>
          <w:b/>
          <w:bCs/>
          <w:sz w:val="24"/>
        </w:rPr>
      </w:pPr>
      <w:r>
        <w:rPr>
          <w:rFonts w:hint="eastAsia" w:ascii="黑体" w:hAnsi="黑体" w:eastAsia="黑体" w:cs="宋体"/>
          <w:b/>
          <w:bCs/>
          <w:sz w:val="24"/>
        </w:rPr>
        <w:t>3. 供应商的资格条件</w:t>
      </w:r>
    </w:p>
    <w:p w14:paraId="3E55B552">
      <w:pPr>
        <w:spacing w:line="360" w:lineRule="auto"/>
        <w:ind w:firstLine="420" w:firstLineChars="200"/>
        <w:contextualSpacing/>
        <w:rPr>
          <w:rFonts w:hint="eastAsia" w:ascii="宋体" w:hAnsi="宋体" w:cs="宋体"/>
          <w:szCs w:val="21"/>
        </w:rPr>
      </w:pPr>
      <w:r>
        <w:rPr>
          <w:rFonts w:hint="eastAsia" w:ascii="宋体" w:hAnsi="宋体" w:cs="宋体"/>
          <w:szCs w:val="21"/>
        </w:rPr>
        <w:t>供应商的资格条件详见“供应商须知前附表”。</w:t>
      </w:r>
    </w:p>
    <w:p w14:paraId="7919EF1D">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4. 竞标费用</w:t>
      </w:r>
    </w:p>
    <w:p w14:paraId="72F7340D">
      <w:pPr>
        <w:spacing w:line="360" w:lineRule="auto"/>
        <w:ind w:firstLine="420" w:firstLineChars="200"/>
        <w:rPr>
          <w:rFonts w:hint="eastAsia" w:ascii="宋体" w:hAnsi="宋体" w:cs="宋体"/>
          <w:szCs w:val="21"/>
        </w:rPr>
      </w:pPr>
      <w:r>
        <w:rPr>
          <w:rFonts w:hint="eastAsia" w:ascii="宋体" w:hAnsi="宋体" w:cs="宋体"/>
          <w:szCs w:val="21"/>
        </w:rPr>
        <w:t>竞标费用：供应商应承担参与本次采购活动有关的所有费用，包括但不限于获取谈判文件、勘查现场、编制和提交响应文件、参加谈判与应答、签订合同等，不论竞标结果如何，均应自行承担。</w:t>
      </w:r>
    </w:p>
    <w:p w14:paraId="1094D521">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5.联合体竞标</w:t>
      </w:r>
    </w:p>
    <w:p w14:paraId="38C116F3">
      <w:pPr>
        <w:spacing w:line="360" w:lineRule="auto"/>
        <w:ind w:firstLine="420" w:firstLineChars="200"/>
        <w:rPr>
          <w:rFonts w:hint="eastAsia" w:ascii="宋体" w:hAnsi="宋体" w:cs="宋体"/>
          <w:szCs w:val="21"/>
        </w:rPr>
      </w:pPr>
      <w:r>
        <w:rPr>
          <w:rFonts w:hint="eastAsia" w:ascii="宋体" w:hAnsi="宋体" w:cs="宋体"/>
          <w:szCs w:val="21"/>
        </w:rPr>
        <w:t>5.1本项目是否接受联合体竞标，详见“供应商须知前附表”。</w:t>
      </w:r>
    </w:p>
    <w:p w14:paraId="629A3873">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 xml:space="preserve">6.转包与分包             </w:t>
      </w:r>
    </w:p>
    <w:p w14:paraId="51747B41">
      <w:pPr>
        <w:pStyle w:val="6"/>
        <w:keepNext w:val="0"/>
        <w:keepLines w:val="0"/>
        <w:spacing w:before="0" w:after="0" w:line="360" w:lineRule="auto"/>
        <w:ind w:left="420" w:leftChars="200"/>
        <w:rPr>
          <w:rFonts w:hint="eastAsia" w:ascii="宋体" w:hAnsi="宋体"/>
          <w:b w:val="0"/>
          <w:sz w:val="21"/>
          <w:szCs w:val="21"/>
        </w:rPr>
      </w:pPr>
      <w:r>
        <w:rPr>
          <w:rFonts w:hint="eastAsia" w:ascii="宋体" w:hAnsi="宋体"/>
          <w:b w:val="0"/>
          <w:sz w:val="21"/>
          <w:szCs w:val="21"/>
        </w:rPr>
        <w:t>6.1本项目不允许转包。</w:t>
      </w:r>
    </w:p>
    <w:p w14:paraId="7CA94088">
      <w:pPr>
        <w:pStyle w:val="6"/>
        <w:keepNext w:val="0"/>
        <w:keepLines w:val="0"/>
        <w:spacing w:before="0" w:after="0" w:line="360" w:lineRule="auto"/>
        <w:ind w:firstLine="315" w:firstLineChars="150"/>
        <w:rPr>
          <w:rFonts w:hint="eastAsia" w:ascii="宋体" w:hAnsi="宋体"/>
          <w:b w:val="0"/>
          <w:sz w:val="21"/>
          <w:szCs w:val="21"/>
        </w:rPr>
      </w:pPr>
      <w:r>
        <w:rPr>
          <w:rFonts w:hint="eastAsia" w:ascii="宋体" w:hAnsi="宋体"/>
          <w:b w:val="0"/>
          <w:sz w:val="21"/>
          <w:szCs w:val="21"/>
        </w:rPr>
        <w:t xml:space="preserve"> 6.2本项目是否允许分包详见“供应商须知前附表”，本项目不允许违法分包。允许分包的非主体、非关键性工作，根据法律法规规定承担该工作需要行政许可的，如该工作由供应商自行承担，供应商应具备相应的行政许可，如供应商不具备相应的行政许可必须采用分包的方式，但分包供应商应具备相应行政许可。</w:t>
      </w:r>
    </w:p>
    <w:p w14:paraId="041D8C08">
      <w:pPr>
        <w:pStyle w:val="6"/>
        <w:keepNext w:val="0"/>
        <w:keepLines w:val="0"/>
        <w:spacing w:before="0" w:after="0" w:line="360" w:lineRule="auto"/>
        <w:ind w:firstLine="315" w:firstLineChars="150"/>
        <w:rPr>
          <w:rFonts w:hint="eastAsia" w:ascii="宋体" w:hAnsi="宋体"/>
          <w:b w:val="0"/>
          <w:sz w:val="21"/>
          <w:szCs w:val="21"/>
        </w:rPr>
      </w:pPr>
      <w:r>
        <w:rPr>
          <w:rFonts w:hint="eastAsia" w:ascii="宋体" w:hAnsi="宋体"/>
          <w:b w:val="0"/>
          <w:sz w:val="21"/>
          <w:szCs w:val="21"/>
        </w:rPr>
        <w:t xml:space="preserve"> 6.3供应商根据谈判文件的规定和采购项目的实际情况，拟在成交后将成交项目的非主体、非关键性工作分包的，应当在响应文件中载明分包承担主体，分包承担主体应当具备相应资质条件且不得再次分包。</w:t>
      </w:r>
    </w:p>
    <w:p w14:paraId="7C91D4A9">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7.特别说明</w:t>
      </w:r>
    </w:p>
    <w:p w14:paraId="01985BB9">
      <w:pPr>
        <w:spacing w:line="360" w:lineRule="auto"/>
        <w:ind w:firstLine="420" w:firstLineChars="200"/>
        <w:rPr>
          <w:rFonts w:hint="eastAsia" w:ascii="宋体" w:hAnsi="宋体" w:cs="宋体"/>
          <w:szCs w:val="21"/>
        </w:rPr>
      </w:pPr>
      <w:r>
        <w:fldChar w:fldCharType="begin"/>
      </w:r>
      <w:r>
        <w:instrText xml:space="preserve"> HYPERLINK \l "_8.1" </w:instrText>
      </w:r>
      <w:r>
        <w:fldChar w:fldCharType="separate"/>
      </w:r>
      <w:r>
        <w:rPr>
          <w:rFonts w:hint="eastAsia" w:ascii="宋体" w:hAnsi="宋体" w:cs="宋体"/>
          <w:szCs w:val="21"/>
        </w:rPr>
        <w:t>7.1</w:t>
      </w:r>
      <w:r>
        <w:rPr>
          <w:rFonts w:hint="eastAsia" w:ascii="宋体" w:hAnsi="宋体" w:cs="宋体"/>
          <w:szCs w:val="21"/>
        </w:rPr>
        <w:fldChar w:fldCharType="end"/>
      </w:r>
      <w:r>
        <w:rPr>
          <w:rFonts w:hint="eastAsia" w:ascii="宋体" w:hAnsi="宋体" w:cs="宋体"/>
          <w:szCs w:val="21"/>
        </w:rPr>
        <w:t>提供相同品牌产品的不同供应商参加同一合同项下竞标的，以其中通过资格审查、符合性审查、谈判且最后报价最低的参加报价评审；最后报价相同的，由采购人或者采购人委托谈判小组按照“供应商须知前附表”规定的方式确定一个供应商获得成交人推荐资格，其他响应文件按无效处理。</w:t>
      </w:r>
    </w:p>
    <w:p w14:paraId="4D03734A">
      <w:pPr>
        <w:spacing w:line="360" w:lineRule="auto"/>
        <w:ind w:firstLine="420" w:firstLineChars="200"/>
        <w:rPr>
          <w:rFonts w:hint="eastAsia" w:ascii="宋体" w:hAnsi="宋体" w:cs="宋体"/>
          <w:szCs w:val="21"/>
        </w:rPr>
      </w:pPr>
      <w:r>
        <w:rPr>
          <w:rFonts w:hint="eastAsia" w:ascii="宋体" w:hAnsi="宋体" w:cs="宋体"/>
          <w:szCs w:val="21"/>
        </w:rPr>
        <w:t>非单一产品采购项目，多家供应商提供的核心产品品牌相同的，按前款规定处理。</w:t>
      </w:r>
    </w:p>
    <w:p w14:paraId="186AC8BC">
      <w:pPr>
        <w:spacing w:line="360" w:lineRule="auto"/>
        <w:ind w:firstLine="420" w:firstLineChars="200"/>
        <w:rPr>
          <w:rFonts w:hint="eastAsia" w:ascii="宋体" w:hAnsi="宋体" w:cs="宋体"/>
          <w:szCs w:val="21"/>
        </w:rPr>
      </w:pPr>
      <w:r>
        <w:rPr>
          <w:rFonts w:hint="eastAsia" w:ascii="宋体" w:hAnsi="宋体" w:cs="宋体"/>
          <w:szCs w:val="21"/>
        </w:rPr>
        <w:t>7.2</w:t>
      </w:r>
      <w:r>
        <w:rPr>
          <w:rFonts w:hint="eastAsia" w:ascii="宋体" w:hAnsi="宋体"/>
          <w:szCs w:val="21"/>
        </w:rPr>
        <w:t xml:space="preserve">如果本谈判文件要求提供供应商或制造商的资格、信誉、荣誉、业绩与企业认证等材料的，资格、信誉、荣誉、业绩与企业认证等必须为供应商或者制造商所拥有或自身获得 </w:t>
      </w:r>
      <w:r>
        <w:rPr>
          <w:rFonts w:hint="eastAsia" w:ascii="宋体" w:hAnsi="宋体" w:cs="宋体"/>
          <w:szCs w:val="21"/>
        </w:rPr>
        <w:t>。</w:t>
      </w:r>
    </w:p>
    <w:p w14:paraId="53A393FC">
      <w:pPr>
        <w:spacing w:line="360" w:lineRule="auto"/>
        <w:ind w:firstLine="420" w:firstLineChars="200"/>
        <w:rPr>
          <w:rFonts w:hint="eastAsia" w:ascii="宋体" w:hAnsi="宋体" w:cs="宋体"/>
          <w:szCs w:val="21"/>
        </w:rPr>
      </w:pPr>
      <w:r>
        <w:rPr>
          <w:rFonts w:hint="eastAsia" w:ascii="宋体" w:hAnsi="宋体" w:cs="宋体"/>
          <w:szCs w:val="21"/>
        </w:rPr>
        <w:t>7.3供应商应仔细阅读谈判文件的所有内容，按照谈判文件的要求提交响应文件，并对所提供的全部资料的真实性承担法律责任。</w:t>
      </w:r>
    </w:p>
    <w:p w14:paraId="45711385">
      <w:pPr>
        <w:spacing w:line="360" w:lineRule="auto"/>
        <w:ind w:firstLine="420" w:firstLineChars="200"/>
        <w:rPr>
          <w:rFonts w:hint="eastAsia" w:ascii="宋体" w:hAnsi="宋体" w:cs="宋体"/>
          <w:szCs w:val="21"/>
        </w:rPr>
      </w:pPr>
      <w:r>
        <w:rPr>
          <w:rFonts w:hint="eastAsia" w:ascii="宋体" w:hAnsi="宋体" w:cs="宋体"/>
          <w:szCs w:val="21"/>
        </w:rPr>
        <w:t>7.4供应商在竞标活动中提供任何虚假材料，其响应文件按无效处理，并报监管部门查处；签订合同后发现的，成交供应商须依照《中华人民共和国消费者权益保护法》规定赔偿采购人，且民事赔偿并不免除违法供应商的行政与刑事责任。</w:t>
      </w:r>
    </w:p>
    <w:p w14:paraId="1E06C184">
      <w:pPr>
        <w:spacing w:line="360" w:lineRule="auto"/>
        <w:ind w:firstLine="420" w:firstLineChars="200"/>
        <w:rPr>
          <w:rFonts w:hint="eastAsia" w:ascii="宋体" w:hAnsi="宋体" w:cs="宋体"/>
          <w:szCs w:val="21"/>
        </w:rPr>
      </w:pPr>
      <w:r>
        <w:rPr>
          <w:rFonts w:hint="eastAsia" w:ascii="宋体" w:hAnsi="宋体" w:cs="宋体"/>
          <w:szCs w:val="21"/>
        </w:rPr>
        <w:t>7.5在政府采购活动中，采购人员及相关人员与供应商有下列利害关系之一的，应当回避：</w:t>
      </w:r>
    </w:p>
    <w:p w14:paraId="043AA386">
      <w:pPr>
        <w:spacing w:line="360" w:lineRule="auto"/>
        <w:ind w:firstLine="420" w:firstLineChars="200"/>
        <w:rPr>
          <w:rFonts w:hint="eastAsia" w:ascii="宋体" w:hAnsi="宋体" w:cs="宋体"/>
          <w:szCs w:val="21"/>
        </w:rPr>
      </w:pPr>
      <w:r>
        <w:rPr>
          <w:rFonts w:hint="eastAsia" w:ascii="宋体" w:hAnsi="宋体" w:cs="宋体"/>
          <w:szCs w:val="21"/>
        </w:rPr>
        <w:t>（1）参加采购活动前3年内与供应商存在劳动关系；</w:t>
      </w:r>
    </w:p>
    <w:p w14:paraId="589FF27E">
      <w:pPr>
        <w:spacing w:line="360" w:lineRule="auto"/>
        <w:ind w:firstLine="420" w:firstLineChars="200"/>
        <w:rPr>
          <w:rFonts w:hint="eastAsia" w:ascii="宋体" w:hAnsi="宋体" w:cs="宋体"/>
          <w:szCs w:val="21"/>
        </w:rPr>
      </w:pPr>
      <w:r>
        <w:rPr>
          <w:rFonts w:hint="eastAsia" w:ascii="宋体" w:hAnsi="宋体" w:cs="宋体"/>
          <w:szCs w:val="21"/>
        </w:rPr>
        <w:t>（2）参加采购活动前3年内担任供应商的董事、监事；</w:t>
      </w:r>
    </w:p>
    <w:p w14:paraId="0B26A910">
      <w:pPr>
        <w:spacing w:line="360" w:lineRule="auto"/>
        <w:ind w:firstLine="420" w:firstLineChars="200"/>
        <w:rPr>
          <w:rFonts w:hint="eastAsia" w:ascii="宋体" w:hAnsi="宋体" w:cs="宋体"/>
          <w:szCs w:val="21"/>
        </w:rPr>
      </w:pPr>
      <w:r>
        <w:rPr>
          <w:rFonts w:hint="eastAsia" w:ascii="宋体" w:hAnsi="宋体" w:cs="宋体"/>
          <w:szCs w:val="21"/>
        </w:rPr>
        <w:t>（3）参加采购活动前3年内是供应商的控股股东或者实际控制人；</w:t>
      </w:r>
    </w:p>
    <w:p w14:paraId="653083C2">
      <w:pPr>
        <w:spacing w:line="360" w:lineRule="auto"/>
        <w:ind w:firstLine="420" w:firstLineChars="200"/>
        <w:rPr>
          <w:rFonts w:hint="eastAsia" w:ascii="宋体" w:hAnsi="宋体" w:cs="宋体"/>
          <w:szCs w:val="21"/>
        </w:rPr>
      </w:pPr>
      <w:r>
        <w:rPr>
          <w:rFonts w:hint="eastAsia" w:ascii="宋体" w:hAnsi="宋体" w:cs="宋体"/>
          <w:szCs w:val="21"/>
        </w:rPr>
        <w:t>（4）与供应商的法定代表人或者负责人有夫妻、直系血亲、三代以内旁系血亲或者近姻亲关系；</w:t>
      </w:r>
    </w:p>
    <w:p w14:paraId="113B851E">
      <w:pPr>
        <w:spacing w:line="360" w:lineRule="auto"/>
        <w:ind w:firstLine="420" w:firstLineChars="200"/>
        <w:rPr>
          <w:rFonts w:hint="eastAsia" w:ascii="宋体" w:hAnsi="宋体" w:cs="宋体"/>
          <w:szCs w:val="21"/>
        </w:rPr>
      </w:pPr>
      <w:r>
        <w:rPr>
          <w:rFonts w:hint="eastAsia" w:ascii="宋体" w:hAnsi="宋体" w:cs="宋体"/>
          <w:szCs w:val="21"/>
        </w:rPr>
        <w:t>（5）与供应商有其他可能影响政府采购活动公平、公正进行的关系。</w:t>
      </w:r>
    </w:p>
    <w:p w14:paraId="336E88FF">
      <w:pPr>
        <w:spacing w:line="360" w:lineRule="auto"/>
        <w:ind w:firstLine="420" w:firstLineChars="200"/>
        <w:rPr>
          <w:rFonts w:hint="eastAsia" w:ascii="宋体" w:hAnsi="宋体" w:cs="宋体"/>
          <w:szCs w:val="21"/>
        </w:rPr>
      </w:pPr>
      <w:r>
        <w:rPr>
          <w:rFonts w:hint="eastAsia" w:ascii="宋体" w:hAnsi="宋体" w:cs="宋体"/>
          <w:szCs w:val="21"/>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328A61D9">
      <w:pPr>
        <w:spacing w:line="360" w:lineRule="auto"/>
        <w:ind w:firstLine="420" w:firstLineChars="200"/>
        <w:rPr>
          <w:rFonts w:hint="eastAsia" w:ascii="宋体" w:hAnsi="宋体" w:cs="宋体"/>
          <w:szCs w:val="21"/>
        </w:rPr>
      </w:pPr>
      <w:r>
        <w:rPr>
          <w:rFonts w:hint="eastAsia" w:ascii="宋体" w:hAnsi="宋体" w:cs="宋体"/>
          <w:szCs w:val="21"/>
        </w:rPr>
        <w:t>7.6有下列情形之一的视为供应商相互串通竞标，响应文件将被视为无效：</w:t>
      </w:r>
    </w:p>
    <w:p w14:paraId="01D8990D">
      <w:pPr>
        <w:spacing w:line="360" w:lineRule="auto"/>
        <w:ind w:firstLine="420" w:firstLineChars="200"/>
        <w:rPr>
          <w:rFonts w:hint="eastAsia" w:ascii="宋体" w:hAnsi="宋体" w:cs="宋体"/>
          <w:szCs w:val="21"/>
        </w:rPr>
      </w:pPr>
      <w:r>
        <w:rPr>
          <w:rFonts w:hint="eastAsia" w:ascii="宋体" w:hAnsi="宋体" w:cs="宋体"/>
          <w:szCs w:val="21"/>
        </w:rPr>
        <w:t>（1）不同供应商的响应文件由同一单位或者个人编制；</w:t>
      </w:r>
    </w:p>
    <w:p w14:paraId="6D744BAE">
      <w:pPr>
        <w:spacing w:line="360" w:lineRule="auto"/>
        <w:ind w:firstLine="420" w:firstLineChars="200"/>
        <w:rPr>
          <w:rFonts w:hint="eastAsia" w:ascii="宋体" w:hAnsi="宋体" w:cs="宋体"/>
          <w:szCs w:val="21"/>
        </w:rPr>
      </w:pPr>
      <w:r>
        <w:rPr>
          <w:rFonts w:hint="eastAsia" w:ascii="宋体" w:hAnsi="宋体" w:cs="宋体"/>
          <w:szCs w:val="21"/>
        </w:rPr>
        <w:t>（2）不同供应商委托同一单位或者个人办理竞标事宜；</w:t>
      </w:r>
    </w:p>
    <w:p w14:paraId="218848C1">
      <w:pPr>
        <w:spacing w:line="360" w:lineRule="auto"/>
        <w:ind w:firstLine="420" w:firstLineChars="200"/>
        <w:rPr>
          <w:rFonts w:hint="eastAsia" w:ascii="宋体" w:hAnsi="宋体" w:cs="宋体"/>
          <w:szCs w:val="21"/>
        </w:rPr>
      </w:pPr>
      <w:r>
        <w:rPr>
          <w:rFonts w:hint="eastAsia" w:ascii="宋体" w:hAnsi="宋体" w:cs="宋体"/>
          <w:szCs w:val="21"/>
        </w:rPr>
        <w:t>（3）不同的供应商的响应文件载明的项目管理员为同一个人；</w:t>
      </w:r>
    </w:p>
    <w:p w14:paraId="045BC5F2">
      <w:pPr>
        <w:spacing w:line="360" w:lineRule="auto"/>
        <w:ind w:firstLine="420" w:firstLineChars="200"/>
        <w:rPr>
          <w:rFonts w:hint="eastAsia" w:ascii="宋体" w:hAnsi="宋体" w:cs="宋体"/>
          <w:szCs w:val="21"/>
        </w:rPr>
      </w:pPr>
      <w:r>
        <w:rPr>
          <w:rFonts w:hint="eastAsia" w:ascii="宋体" w:hAnsi="宋体" w:cs="宋体"/>
          <w:szCs w:val="21"/>
        </w:rPr>
        <w:t>（4）不同供应商的响应文件异常一致或者报价呈规律性差异；</w:t>
      </w:r>
    </w:p>
    <w:p w14:paraId="4FC5805F">
      <w:pPr>
        <w:spacing w:line="360" w:lineRule="auto"/>
        <w:ind w:firstLine="420" w:firstLineChars="200"/>
        <w:rPr>
          <w:rFonts w:hint="eastAsia" w:ascii="宋体" w:hAnsi="宋体" w:cs="宋体"/>
          <w:szCs w:val="21"/>
        </w:rPr>
      </w:pPr>
      <w:r>
        <w:rPr>
          <w:rFonts w:hint="eastAsia" w:ascii="宋体" w:hAnsi="宋体" w:cs="宋体"/>
          <w:szCs w:val="21"/>
        </w:rPr>
        <w:t>（5）不同供应商的响应文件相互混装；</w:t>
      </w:r>
    </w:p>
    <w:p w14:paraId="66DAA3D6">
      <w:pPr>
        <w:spacing w:line="360" w:lineRule="auto"/>
        <w:ind w:firstLine="420" w:firstLineChars="200"/>
        <w:rPr>
          <w:rFonts w:hint="eastAsia" w:ascii="宋体" w:hAnsi="宋体" w:cs="宋体"/>
          <w:szCs w:val="21"/>
        </w:rPr>
      </w:pPr>
      <w:r>
        <w:rPr>
          <w:rFonts w:hint="eastAsia" w:ascii="宋体" w:hAnsi="宋体" w:cs="宋体"/>
          <w:szCs w:val="21"/>
        </w:rPr>
        <w:t>7.7供应商有下列情形之一的，属于恶意串通行为，将报同级监督管理部门：</w:t>
      </w:r>
    </w:p>
    <w:p w14:paraId="6CCC3516">
      <w:pPr>
        <w:spacing w:line="360" w:lineRule="auto"/>
        <w:ind w:firstLine="420" w:firstLineChars="200"/>
        <w:rPr>
          <w:rFonts w:hint="eastAsia" w:ascii="宋体" w:hAnsi="宋体" w:cs="宋体"/>
          <w:szCs w:val="21"/>
        </w:rPr>
      </w:pPr>
      <w:r>
        <w:rPr>
          <w:rFonts w:hint="eastAsia" w:ascii="宋体" w:hAnsi="宋体" w:cs="宋体"/>
          <w:szCs w:val="21"/>
        </w:rPr>
        <w:t>（1）供应商直接或者间接从采购人或者采购代理机构处获得其他供应商的相关信息并修改其响应文件；</w:t>
      </w:r>
    </w:p>
    <w:p w14:paraId="711D7FDB">
      <w:pPr>
        <w:spacing w:line="360" w:lineRule="auto"/>
        <w:ind w:firstLine="420" w:firstLineChars="200"/>
        <w:rPr>
          <w:rFonts w:hint="eastAsia" w:ascii="宋体" w:hAnsi="宋体" w:cs="宋体"/>
          <w:szCs w:val="21"/>
        </w:rPr>
      </w:pPr>
      <w:r>
        <w:rPr>
          <w:rFonts w:hint="eastAsia" w:ascii="宋体" w:hAnsi="宋体" w:cs="宋体"/>
          <w:szCs w:val="21"/>
        </w:rPr>
        <w:t>（2）供应商按照采购人或者采购代理机构的授意撤换、修改响应文件；</w:t>
      </w:r>
    </w:p>
    <w:p w14:paraId="13BEDFEF">
      <w:pPr>
        <w:spacing w:line="360" w:lineRule="auto"/>
        <w:ind w:firstLine="420" w:firstLineChars="200"/>
        <w:rPr>
          <w:rFonts w:hint="eastAsia" w:ascii="宋体" w:hAnsi="宋体" w:cs="宋体"/>
          <w:szCs w:val="21"/>
        </w:rPr>
      </w:pPr>
      <w:r>
        <w:rPr>
          <w:rFonts w:hint="eastAsia" w:ascii="宋体" w:hAnsi="宋体" w:cs="宋体"/>
          <w:szCs w:val="21"/>
        </w:rPr>
        <w:t>（3）供应商之间协商报价、技术方案等响应文件或者响应文件的实质性内容；</w:t>
      </w:r>
    </w:p>
    <w:p w14:paraId="1CA1928B">
      <w:pPr>
        <w:spacing w:line="360" w:lineRule="auto"/>
        <w:ind w:firstLine="420" w:firstLineChars="200"/>
        <w:rPr>
          <w:rFonts w:hint="eastAsia" w:ascii="宋体" w:hAnsi="宋体" w:cs="宋体"/>
          <w:szCs w:val="21"/>
        </w:rPr>
      </w:pPr>
      <w:r>
        <w:rPr>
          <w:rFonts w:hint="eastAsia" w:ascii="宋体" w:hAnsi="宋体" w:cs="宋体"/>
          <w:szCs w:val="21"/>
        </w:rPr>
        <w:t>（4）属于同一集团、协会、商会等组织成员的供应商按照该组织要求协同参加政府采购活动；</w:t>
      </w:r>
    </w:p>
    <w:p w14:paraId="7D7F933E">
      <w:pPr>
        <w:spacing w:line="360" w:lineRule="auto"/>
        <w:ind w:firstLine="420" w:firstLineChars="200"/>
        <w:rPr>
          <w:rFonts w:hint="eastAsia" w:ascii="宋体" w:hAnsi="宋体" w:cs="宋体"/>
          <w:szCs w:val="21"/>
        </w:rPr>
      </w:pPr>
      <w:r>
        <w:rPr>
          <w:rFonts w:hint="eastAsia" w:ascii="宋体" w:hAnsi="宋体" w:cs="宋体"/>
          <w:szCs w:val="21"/>
        </w:rPr>
        <w:t>（5）供应商之间事先约定一致抬高或者压低报价，或者在政府采购活动中事先约定轮流以高价位或者低价位成交，或者事先约定由某一特定供应商成交，然后再参加竞标；</w:t>
      </w:r>
    </w:p>
    <w:p w14:paraId="2240ACEF">
      <w:pPr>
        <w:spacing w:line="360" w:lineRule="auto"/>
        <w:ind w:firstLine="420" w:firstLineChars="200"/>
        <w:rPr>
          <w:rFonts w:hint="eastAsia" w:ascii="宋体" w:hAnsi="宋体" w:cs="宋体"/>
          <w:szCs w:val="21"/>
        </w:rPr>
      </w:pPr>
      <w:r>
        <w:rPr>
          <w:rFonts w:hint="eastAsia" w:ascii="宋体" w:hAnsi="宋体" w:cs="宋体"/>
          <w:szCs w:val="21"/>
        </w:rPr>
        <w:t>（6）供应商之间商定部分供应商放弃参加政府采购活动或者放弃成交；</w:t>
      </w:r>
    </w:p>
    <w:p w14:paraId="26370699">
      <w:pPr>
        <w:spacing w:line="360" w:lineRule="auto"/>
        <w:ind w:firstLine="420" w:firstLineChars="200"/>
        <w:rPr>
          <w:rFonts w:hint="eastAsia" w:ascii="宋体" w:hAnsi="宋体" w:cs="宋体"/>
          <w:szCs w:val="21"/>
        </w:rPr>
      </w:pPr>
      <w:r>
        <w:rPr>
          <w:rFonts w:hint="eastAsia" w:ascii="宋体" w:hAnsi="宋体" w:cs="宋体"/>
          <w:szCs w:val="21"/>
        </w:rPr>
        <w:t>（7）供应商与采购人或者采购代理机构之间、供应商相互之间，为谋求特定供应商成交或者排斥其他供应商的其他串通行为。</w:t>
      </w:r>
    </w:p>
    <w:p w14:paraId="2804D0C8">
      <w:pPr>
        <w:spacing w:line="360" w:lineRule="auto"/>
        <w:ind w:left="1" w:firstLine="417" w:firstLineChars="199"/>
        <w:jc w:val="center"/>
        <w:rPr>
          <w:rFonts w:hint="eastAsia" w:ascii="宋体" w:hAnsi="宋体"/>
        </w:rPr>
      </w:pPr>
    </w:p>
    <w:p w14:paraId="5BCA6125">
      <w:pPr>
        <w:spacing w:line="360" w:lineRule="auto"/>
        <w:jc w:val="center"/>
        <w:rPr>
          <w:rFonts w:hint="eastAsia" w:ascii="宋体" w:hAnsi="宋体"/>
          <w:b/>
          <w:sz w:val="32"/>
          <w:szCs w:val="32"/>
        </w:rPr>
      </w:pPr>
      <w:r>
        <w:rPr>
          <w:rFonts w:hint="eastAsia" w:ascii="宋体" w:hAnsi="宋体"/>
          <w:b/>
          <w:sz w:val="32"/>
          <w:szCs w:val="32"/>
        </w:rPr>
        <w:t>二、谈判文件</w:t>
      </w:r>
    </w:p>
    <w:p w14:paraId="7DFDB622">
      <w:pPr>
        <w:spacing w:line="360" w:lineRule="auto"/>
        <w:jc w:val="center"/>
        <w:rPr>
          <w:rFonts w:hint="eastAsia" w:ascii="宋体" w:hAnsi="宋体"/>
          <w:szCs w:val="21"/>
        </w:rPr>
      </w:pPr>
    </w:p>
    <w:p w14:paraId="0941338F">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8.谈判文件的构成</w:t>
      </w:r>
    </w:p>
    <w:p w14:paraId="2563BC82">
      <w:pPr>
        <w:spacing w:line="360" w:lineRule="auto"/>
        <w:ind w:firstLine="420" w:firstLineChars="200"/>
        <w:jc w:val="left"/>
        <w:rPr>
          <w:rFonts w:hint="eastAsia" w:ascii="宋体" w:hAnsi="宋体"/>
          <w:szCs w:val="21"/>
        </w:rPr>
      </w:pPr>
      <w:r>
        <w:rPr>
          <w:rFonts w:hint="eastAsia" w:ascii="宋体" w:hAnsi="宋体"/>
          <w:szCs w:val="21"/>
        </w:rPr>
        <w:t>（1）竞争性谈判公告</w:t>
      </w:r>
    </w:p>
    <w:p w14:paraId="7E438C9B">
      <w:pPr>
        <w:spacing w:line="360" w:lineRule="auto"/>
        <w:ind w:firstLine="420" w:firstLineChars="200"/>
        <w:jc w:val="left"/>
        <w:rPr>
          <w:rFonts w:hint="eastAsia" w:ascii="宋体" w:hAnsi="宋体"/>
          <w:szCs w:val="21"/>
        </w:rPr>
      </w:pPr>
      <w:r>
        <w:rPr>
          <w:rFonts w:hint="eastAsia" w:ascii="宋体" w:hAnsi="宋体"/>
          <w:szCs w:val="21"/>
        </w:rPr>
        <w:t xml:space="preserve">（2）供应商须知； </w:t>
      </w:r>
    </w:p>
    <w:p w14:paraId="00761E28">
      <w:pPr>
        <w:spacing w:line="360" w:lineRule="auto"/>
        <w:ind w:firstLine="420" w:firstLineChars="200"/>
        <w:jc w:val="left"/>
        <w:rPr>
          <w:rFonts w:hint="eastAsia" w:ascii="宋体" w:hAnsi="宋体"/>
          <w:szCs w:val="21"/>
        </w:rPr>
      </w:pPr>
      <w:r>
        <w:rPr>
          <w:rFonts w:hint="eastAsia" w:ascii="宋体" w:hAnsi="宋体"/>
          <w:szCs w:val="21"/>
        </w:rPr>
        <w:t>（3）采购需求；</w:t>
      </w:r>
    </w:p>
    <w:p w14:paraId="4E6FA425">
      <w:pPr>
        <w:spacing w:line="360" w:lineRule="auto"/>
        <w:ind w:firstLine="420" w:firstLineChars="200"/>
        <w:jc w:val="left"/>
        <w:rPr>
          <w:rFonts w:hint="eastAsia" w:ascii="宋体" w:hAnsi="宋体"/>
          <w:szCs w:val="21"/>
        </w:rPr>
      </w:pPr>
      <w:r>
        <w:rPr>
          <w:rFonts w:hint="eastAsia" w:ascii="宋体" w:hAnsi="宋体"/>
          <w:szCs w:val="21"/>
        </w:rPr>
        <w:t>（4）响应文件格式</w:t>
      </w:r>
    </w:p>
    <w:p w14:paraId="2BF90173">
      <w:pPr>
        <w:spacing w:line="360" w:lineRule="auto"/>
        <w:ind w:firstLine="420" w:firstLineChars="200"/>
        <w:jc w:val="left"/>
        <w:rPr>
          <w:rFonts w:hint="eastAsia" w:ascii="宋体" w:hAnsi="宋体"/>
          <w:szCs w:val="21"/>
        </w:rPr>
      </w:pPr>
      <w:r>
        <w:rPr>
          <w:rFonts w:hint="eastAsia" w:ascii="宋体" w:hAnsi="宋体"/>
          <w:szCs w:val="21"/>
        </w:rPr>
        <w:t>（5）合同文本；</w:t>
      </w:r>
    </w:p>
    <w:p w14:paraId="0AB96E33">
      <w:pPr>
        <w:spacing w:line="360" w:lineRule="auto"/>
        <w:ind w:firstLine="420" w:firstLineChars="200"/>
        <w:jc w:val="left"/>
        <w:rPr>
          <w:rFonts w:hint="eastAsia" w:ascii="宋体" w:hAnsi="宋体"/>
          <w:szCs w:val="21"/>
        </w:rPr>
      </w:pPr>
      <w:r>
        <w:rPr>
          <w:rFonts w:hint="eastAsia" w:ascii="宋体" w:hAnsi="宋体"/>
          <w:szCs w:val="21"/>
        </w:rPr>
        <w:t>（6）评审程序和评定成交的标准；</w:t>
      </w:r>
    </w:p>
    <w:p w14:paraId="06C550B4">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9.供应商的询问</w:t>
      </w:r>
    </w:p>
    <w:p w14:paraId="5AB5C961">
      <w:pPr>
        <w:spacing w:line="360" w:lineRule="auto"/>
        <w:ind w:firstLine="420" w:firstLineChars="200"/>
        <w:rPr>
          <w:rFonts w:hint="eastAsia" w:ascii="宋体" w:hAnsi="宋体"/>
          <w:szCs w:val="21"/>
        </w:rPr>
      </w:pPr>
      <w:r>
        <w:rPr>
          <w:rFonts w:hint="eastAsia" w:ascii="宋体" w:hAnsi="宋体"/>
          <w:szCs w:val="21"/>
        </w:rPr>
        <w:t>供应商应认真阅读谈判文件的采购需求，如供应商对谈判文件有疑问的，如要求采购人作出澄清或者修改的，供应商尽可能在</w:t>
      </w:r>
      <w:r>
        <w:rPr>
          <w:rFonts w:ascii="宋体" w:hAnsi="宋体"/>
          <w:szCs w:val="21"/>
        </w:rPr>
        <w:t>提交首次响应文件截止之日前</w:t>
      </w:r>
      <w:r>
        <w:rPr>
          <w:rFonts w:hint="eastAsia" w:ascii="宋体" w:hAnsi="宋体"/>
          <w:szCs w:val="21"/>
        </w:rPr>
        <w:t>，以书面形式向</w:t>
      </w:r>
      <w:r>
        <w:rPr>
          <w:rFonts w:ascii="宋体" w:hAnsi="宋体"/>
          <w:szCs w:val="21"/>
        </w:rPr>
        <w:t>采购人、采购代理机构</w:t>
      </w:r>
      <w:r>
        <w:rPr>
          <w:rFonts w:hint="eastAsia" w:ascii="宋体" w:hAnsi="宋体"/>
          <w:szCs w:val="21"/>
        </w:rPr>
        <w:t>提出。</w:t>
      </w:r>
    </w:p>
    <w:p w14:paraId="0AFB6CBA">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10.谈判文件的澄清和修改</w:t>
      </w:r>
    </w:p>
    <w:p w14:paraId="6A86D0EB">
      <w:pPr>
        <w:spacing w:line="360" w:lineRule="auto"/>
        <w:ind w:firstLine="420" w:firstLineChars="200"/>
        <w:rPr>
          <w:rFonts w:hint="eastAsia" w:ascii="宋体" w:hAnsi="宋体"/>
          <w:szCs w:val="21"/>
        </w:rPr>
      </w:pPr>
      <w:r>
        <w:rPr>
          <w:rFonts w:ascii="宋体" w:hAnsi="宋体"/>
          <w:szCs w:val="21"/>
        </w:rPr>
        <w:t>提交首次响应文件截止之日前，采购人、采购代理机构或者谈判小组可以对已发出的谈判文件进行必要的澄清或者修改，澄清或者修改的内容作为谈判文件的组成部分。澄清或者修改的内容可能影响响应文件编制的，采购人、采购代理机构或者谈判小组应当在提交首次响应文件截止之日3个工作日前，以书面形式通知所有接收谈判文件的供应商，不足3个工作日的，应当顺延提交首次响应文件截止之日。</w:t>
      </w:r>
    </w:p>
    <w:p w14:paraId="5109ADCC">
      <w:pPr>
        <w:spacing w:line="360" w:lineRule="auto"/>
        <w:rPr>
          <w:rFonts w:hint="eastAsia" w:ascii="宋体" w:hAnsi="宋体"/>
          <w:szCs w:val="21"/>
        </w:rPr>
      </w:pPr>
    </w:p>
    <w:p w14:paraId="7B5D508F">
      <w:pPr>
        <w:spacing w:line="360" w:lineRule="auto"/>
        <w:jc w:val="center"/>
        <w:rPr>
          <w:rFonts w:hint="eastAsia" w:ascii="宋体" w:hAnsi="宋体"/>
          <w:b/>
          <w:szCs w:val="21"/>
        </w:rPr>
      </w:pPr>
      <w:r>
        <w:rPr>
          <w:rFonts w:hint="eastAsia" w:ascii="宋体" w:hAnsi="宋体"/>
          <w:b/>
          <w:sz w:val="32"/>
          <w:szCs w:val="32"/>
        </w:rPr>
        <w:t>三、响应文件的编制</w:t>
      </w:r>
    </w:p>
    <w:p w14:paraId="45E87BE7">
      <w:pPr>
        <w:spacing w:line="360" w:lineRule="auto"/>
        <w:rPr>
          <w:rFonts w:hint="eastAsia" w:ascii="宋体" w:hAnsi="宋体"/>
          <w:szCs w:val="21"/>
        </w:rPr>
      </w:pPr>
    </w:p>
    <w:p w14:paraId="02E633CC">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11.响应文件的编制原则</w:t>
      </w:r>
    </w:p>
    <w:p w14:paraId="545DDBA5">
      <w:pPr>
        <w:spacing w:line="360" w:lineRule="auto"/>
        <w:ind w:firstLine="420" w:firstLineChars="200"/>
        <w:rPr>
          <w:rFonts w:hint="eastAsia" w:ascii="宋体" w:hAnsi="宋体" w:cs="宋体"/>
          <w:szCs w:val="21"/>
        </w:rPr>
      </w:pPr>
      <w:r>
        <w:rPr>
          <w:rFonts w:hint="eastAsia" w:ascii="宋体" w:hAnsi="宋体" w:cs="宋体"/>
          <w:szCs w:val="21"/>
        </w:rPr>
        <w:t>供应商必须按照谈判文件的要求编制响应文件，并对其提交的响应文件的真实性、合法性承担法律责任。响应文件必须对谈判文件作出实质性响应。</w:t>
      </w:r>
    </w:p>
    <w:p w14:paraId="2FC02E2C">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12.响应文件的组成</w:t>
      </w:r>
    </w:p>
    <w:p w14:paraId="7AB827AC">
      <w:pPr>
        <w:spacing w:line="360" w:lineRule="auto"/>
        <w:ind w:firstLine="420" w:firstLineChars="200"/>
        <w:rPr>
          <w:rFonts w:hint="eastAsia" w:ascii="宋体" w:hAnsi="宋体" w:cs="宋体"/>
          <w:szCs w:val="21"/>
        </w:rPr>
      </w:pPr>
      <w:r>
        <w:rPr>
          <w:rFonts w:hint="eastAsia" w:ascii="宋体" w:hAnsi="宋体" w:cs="宋体"/>
          <w:szCs w:val="21"/>
        </w:rPr>
        <w:t>1</w:t>
      </w:r>
      <w:r>
        <w:rPr>
          <w:rFonts w:ascii="宋体" w:hAnsi="宋体" w:cs="宋体"/>
          <w:szCs w:val="21"/>
        </w:rPr>
        <w:t>2.1</w:t>
      </w:r>
      <w:r>
        <w:rPr>
          <w:rFonts w:hint="eastAsia" w:ascii="宋体" w:hAnsi="宋体" w:cs="宋体"/>
          <w:szCs w:val="21"/>
        </w:rPr>
        <w:t>响应文件由资格证明文件、报价文件、商务技术文件三部分组成。</w:t>
      </w:r>
    </w:p>
    <w:p w14:paraId="05D6DB96">
      <w:pPr>
        <w:spacing w:line="360" w:lineRule="auto"/>
        <w:ind w:left="840" w:leftChars="200" w:hanging="420" w:hangingChars="200"/>
        <w:rPr>
          <w:rFonts w:hint="eastAsia" w:ascii="宋体" w:hAnsi="宋体" w:cs="宋体"/>
          <w:szCs w:val="21"/>
        </w:rPr>
      </w:pPr>
      <w:r>
        <w:rPr>
          <w:rFonts w:hint="eastAsia" w:ascii="宋体" w:hAnsi="宋体" w:cs="宋体"/>
          <w:szCs w:val="21"/>
        </w:rPr>
        <w:t>12.1</w:t>
      </w:r>
      <w:r>
        <w:rPr>
          <w:rFonts w:ascii="宋体" w:hAnsi="宋体" w:cs="宋体"/>
          <w:szCs w:val="21"/>
        </w:rPr>
        <w:t>.1</w:t>
      </w:r>
      <w:r>
        <w:rPr>
          <w:rFonts w:hint="eastAsia" w:ascii="宋体" w:hAnsi="宋体" w:cs="宋体"/>
          <w:szCs w:val="21"/>
        </w:rPr>
        <w:t>资格证明文件：详见“供应商须知前附表”</w:t>
      </w:r>
    </w:p>
    <w:p w14:paraId="1EB2C4C3">
      <w:pPr>
        <w:spacing w:line="360" w:lineRule="auto"/>
        <w:ind w:left="840" w:leftChars="200" w:hanging="420" w:hangingChars="200"/>
        <w:rPr>
          <w:rFonts w:hint="eastAsia" w:ascii="宋体" w:hAnsi="宋体" w:cs="宋体"/>
          <w:szCs w:val="21"/>
        </w:rPr>
      </w:pPr>
      <w:r>
        <w:rPr>
          <w:rFonts w:hint="eastAsia" w:ascii="宋体" w:hAnsi="宋体" w:cs="宋体"/>
          <w:szCs w:val="21"/>
        </w:rPr>
        <w:t>12.</w:t>
      </w:r>
      <w:r>
        <w:rPr>
          <w:rFonts w:ascii="宋体" w:hAnsi="宋体" w:cs="宋体"/>
          <w:szCs w:val="21"/>
        </w:rPr>
        <w:t>1.</w:t>
      </w:r>
      <w:r>
        <w:rPr>
          <w:rFonts w:hint="eastAsia" w:ascii="宋体" w:hAnsi="宋体" w:cs="宋体"/>
          <w:szCs w:val="21"/>
        </w:rPr>
        <w:t>2报价文件：详见“供应商须知前附表”</w:t>
      </w:r>
    </w:p>
    <w:p w14:paraId="4B333A51">
      <w:pPr>
        <w:spacing w:line="360" w:lineRule="auto"/>
        <w:ind w:left="840" w:leftChars="200" w:hanging="420" w:hangingChars="200"/>
        <w:rPr>
          <w:rFonts w:hint="eastAsia" w:ascii="宋体" w:hAnsi="宋体" w:cs="宋体"/>
          <w:szCs w:val="21"/>
        </w:rPr>
      </w:pPr>
      <w:r>
        <w:rPr>
          <w:rFonts w:hint="eastAsia" w:ascii="宋体" w:hAnsi="宋体" w:cs="宋体"/>
          <w:szCs w:val="21"/>
        </w:rPr>
        <w:t>12.1.3商务技术文件：详见“供应商须知前附表”</w:t>
      </w:r>
    </w:p>
    <w:p w14:paraId="0751083A">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13.计量单位</w:t>
      </w:r>
    </w:p>
    <w:p w14:paraId="4AB54188">
      <w:pPr>
        <w:spacing w:line="360" w:lineRule="auto"/>
        <w:ind w:firstLine="420" w:firstLineChars="200"/>
        <w:rPr>
          <w:rFonts w:hint="eastAsia" w:ascii="宋体" w:hAnsi="宋体" w:cs="宋体"/>
          <w:szCs w:val="21"/>
        </w:rPr>
      </w:pPr>
      <w:r>
        <w:rPr>
          <w:rFonts w:hint="eastAsia" w:ascii="宋体" w:hAnsi="宋体" w:cs="宋体"/>
          <w:szCs w:val="21"/>
        </w:rPr>
        <w:t>谈判文件已有明确规定的，使用谈判文件规定的计量单位；谈判文件没有规定的，应采用中华人民共和国法定计量单位，货币种类为人民币，否则视同未响应。</w:t>
      </w:r>
    </w:p>
    <w:p w14:paraId="269FDB8B">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14.竞标的风险</w:t>
      </w:r>
    </w:p>
    <w:p w14:paraId="5DB634DE">
      <w:pPr>
        <w:spacing w:line="360" w:lineRule="auto"/>
        <w:ind w:firstLine="420" w:firstLineChars="200"/>
        <w:rPr>
          <w:rFonts w:hint="eastAsia" w:ascii="宋体" w:hAnsi="宋体" w:cs="宋体"/>
          <w:szCs w:val="21"/>
        </w:rPr>
      </w:pPr>
      <w:r>
        <w:rPr>
          <w:rFonts w:hint="eastAsia" w:ascii="宋体" w:hAnsi="宋体" w:cs="宋体"/>
          <w:szCs w:val="21"/>
        </w:rPr>
        <w:t>供应商没有按照谈判文件要求提供全部资料，或者供应商没有对谈判文件在各方面作出实质性响应可能导致其响应文件按无效处理，是供应商应当考虑的风险。</w:t>
      </w:r>
    </w:p>
    <w:p w14:paraId="32170C87">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15.竞标报价</w:t>
      </w:r>
    </w:p>
    <w:p w14:paraId="394875C1">
      <w:pPr>
        <w:spacing w:line="360" w:lineRule="auto"/>
        <w:ind w:firstLine="420" w:firstLineChars="200"/>
        <w:rPr>
          <w:rFonts w:hint="eastAsia" w:ascii="宋体" w:hAnsi="宋体" w:cs="宋体"/>
          <w:szCs w:val="21"/>
        </w:rPr>
      </w:pPr>
      <w:r>
        <w:rPr>
          <w:rFonts w:hint="eastAsia" w:ascii="宋体" w:hAnsi="宋体" w:cs="宋体"/>
          <w:szCs w:val="21"/>
        </w:rPr>
        <w:t>15.1竞标报价应按谈判文件中“竞标报价表”格式填写。</w:t>
      </w:r>
    </w:p>
    <w:p w14:paraId="2BDA375E">
      <w:pPr>
        <w:tabs>
          <w:tab w:val="left" w:pos="2492"/>
        </w:tabs>
        <w:spacing w:line="360" w:lineRule="auto"/>
        <w:ind w:firstLine="420" w:firstLineChars="200"/>
        <w:rPr>
          <w:rFonts w:hint="eastAsia" w:ascii="宋体" w:hAnsi="宋体" w:cs="宋体"/>
          <w:szCs w:val="21"/>
        </w:rPr>
      </w:pPr>
      <w:r>
        <w:rPr>
          <w:rFonts w:hint="eastAsia" w:ascii="宋体" w:hAnsi="宋体" w:cs="宋体"/>
          <w:szCs w:val="21"/>
        </w:rPr>
        <w:t>15.2竞标报价的内容详见“供应商须知前附表”。</w:t>
      </w:r>
    </w:p>
    <w:p w14:paraId="6D8AEB36">
      <w:pPr>
        <w:spacing w:line="360" w:lineRule="auto"/>
        <w:ind w:left="426" w:leftChars="203"/>
        <w:rPr>
          <w:rFonts w:hint="eastAsia" w:ascii="宋体" w:hAnsi="宋体" w:cs="宋体"/>
          <w:szCs w:val="21"/>
        </w:rPr>
      </w:pPr>
      <w:r>
        <w:rPr>
          <w:rFonts w:hint="eastAsia" w:ascii="宋体" w:hAnsi="宋体" w:cs="宋体"/>
          <w:szCs w:val="21"/>
        </w:rPr>
        <w:t>15.3竞标报价要求</w:t>
      </w:r>
    </w:p>
    <w:p w14:paraId="056E5D33">
      <w:pPr>
        <w:spacing w:line="360" w:lineRule="auto"/>
        <w:ind w:firstLine="420" w:firstLineChars="200"/>
        <w:rPr>
          <w:rFonts w:hint="eastAsia" w:ascii="宋体" w:hAnsi="宋体" w:cs="宋体"/>
          <w:szCs w:val="21"/>
        </w:rPr>
      </w:pPr>
      <w:r>
        <w:rPr>
          <w:rFonts w:hint="eastAsia" w:ascii="宋体" w:hAnsi="宋体" w:cs="宋体"/>
          <w:szCs w:val="21"/>
        </w:rPr>
        <w:t>1</w:t>
      </w:r>
      <w:r>
        <w:rPr>
          <w:rFonts w:ascii="宋体" w:hAnsi="宋体" w:cs="宋体"/>
          <w:szCs w:val="21"/>
        </w:rPr>
        <w:t>5.3.1</w:t>
      </w:r>
      <w:r>
        <w:rPr>
          <w:rFonts w:hint="eastAsia" w:ascii="宋体" w:hAnsi="宋体" w:cs="宋体"/>
          <w:szCs w:val="21"/>
        </w:rPr>
        <w:t>供应商的竞标报价应符合以下要求，否则响应文件按无效响应处理：</w:t>
      </w:r>
    </w:p>
    <w:p w14:paraId="75FA1443">
      <w:pPr>
        <w:spacing w:line="360" w:lineRule="auto"/>
        <w:ind w:left="420" w:leftChars="200"/>
        <w:rPr>
          <w:rFonts w:hint="eastAsia" w:ascii="宋体" w:hAnsi="宋体" w:cs="宋体"/>
          <w:szCs w:val="21"/>
        </w:rPr>
      </w:pPr>
      <w:r>
        <w:rPr>
          <w:rFonts w:hint="eastAsia" w:ascii="宋体" w:hAnsi="宋体" w:cs="宋体"/>
          <w:szCs w:val="21"/>
        </w:rPr>
        <w:t>（1）供应商必须就“采购需求”中所竞标项目的全部内容分别作完整唯一总价报价，</w:t>
      </w:r>
    </w:p>
    <w:p w14:paraId="15E84B06">
      <w:pPr>
        <w:spacing w:line="360" w:lineRule="auto"/>
        <w:rPr>
          <w:rFonts w:hint="eastAsia" w:ascii="宋体" w:hAnsi="宋体" w:cs="宋体"/>
          <w:szCs w:val="21"/>
        </w:rPr>
      </w:pPr>
      <w:r>
        <w:rPr>
          <w:rFonts w:hint="eastAsia" w:ascii="宋体" w:hAnsi="宋体" w:cs="宋体"/>
          <w:szCs w:val="21"/>
        </w:rPr>
        <w:t>不得存在漏项报价；</w:t>
      </w:r>
    </w:p>
    <w:p w14:paraId="0B92E240">
      <w:pPr>
        <w:spacing w:line="360" w:lineRule="auto"/>
        <w:ind w:firstLine="420" w:firstLineChars="200"/>
        <w:rPr>
          <w:rFonts w:hint="eastAsia" w:ascii="宋体" w:hAnsi="宋体" w:cs="宋体"/>
          <w:szCs w:val="21"/>
        </w:rPr>
      </w:pPr>
      <w:r>
        <w:rPr>
          <w:rFonts w:hint="eastAsia" w:ascii="宋体" w:hAnsi="宋体" w:cs="宋体"/>
          <w:szCs w:val="21"/>
        </w:rPr>
        <w:t>（</w:t>
      </w:r>
      <w:r>
        <w:rPr>
          <w:rFonts w:ascii="宋体" w:hAnsi="宋体" w:cs="宋体"/>
          <w:szCs w:val="21"/>
        </w:rPr>
        <w:t>2</w:t>
      </w:r>
      <w:r>
        <w:rPr>
          <w:rFonts w:hint="eastAsia" w:ascii="宋体" w:hAnsi="宋体" w:cs="宋体"/>
          <w:szCs w:val="21"/>
        </w:rPr>
        <w:t>）供应商必须就所竞标项目的单项内容作唯一报价。</w:t>
      </w:r>
    </w:p>
    <w:p w14:paraId="1CFE6627">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16.竞标有效期</w:t>
      </w:r>
    </w:p>
    <w:p w14:paraId="66A1A2C8">
      <w:pPr>
        <w:spacing w:line="360" w:lineRule="auto"/>
        <w:ind w:firstLine="420" w:firstLineChars="200"/>
        <w:rPr>
          <w:rFonts w:hint="eastAsia" w:ascii="宋体" w:hAnsi="宋体" w:cs="宋体"/>
          <w:szCs w:val="21"/>
        </w:rPr>
      </w:pPr>
      <w:r>
        <w:rPr>
          <w:rFonts w:hint="eastAsia" w:ascii="宋体" w:hAnsi="宋体" w:cs="宋体"/>
          <w:szCs w:val="21"/>
        </w:rPr>
        <w:t>16.1竞标有效期是指为保证采购人有足够的时间在提交响应文件后完成评审、确定成交供应商、合同签订等工作而要求供应商提交的响应文件在一定时间内保持有效的期限。</w:t>
      </w:r>
    </w:p>
    <w:p w14:paraId="61EED0D5">
      <w:pPr>
        <w:spacing w:line="360" w:lineRule="auto"/>
        <w:ind w:firstLine="420" w:firstLineChars="200"/>
        <w:rPr>
          <w:rFonts w:hint="eastAsia" w:ascii="宋体" w:hAnsi="宋体" w:cs="宋体"/>
          <w:szCs w:val="21"/>
        </w:rPr>
      </w:pPr>
      <w:r>
        <w:rPr>
          <w:rFonts w:hint="eastAsia" w:ascii="宋体" w:hAnsi="宋体" w:cs="宋体"/>
          <w:szCs w:val="21"/>
        </w:rPr>
        <w:t>16.2 竞标有效期应由供应商按“供应商须知前附表”规定的期限作出响应。</w:t>
      </w:r>
    </w:p>
    <w:p w14:paraId="21CE7716">
      <w:pPr>
        <w:spacing w:line="360" w:lineRule="auto"/>
        <w:ind w:firstLine="420" w:firstLineChars="200"/>
        <w:rPr>
          <w:rFonts w:hint="eastAsia" w:ascii="宋体" w:hAnsi="宋体" w:cs="宋体"/>
          <w:szCs w:val="21"/>
        </w:rPr>
      </w:pPr>
      <w:r>
        <w:rPr>
          <w:rFonts w:hint="eastAsia" w:ascii="宋体" w:hAnsi="宋体" w:cs="宋体"/>
          <w:szCs w:val="21"/>
        </w:rPr>
        <w:t>16.3供应商的响应文件在竞标有效期内均保持有效。</w:t>
      </w:r>
    </w:p>
    <w:p w14:paraId="08BB5C90">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17.竞标保证金：本项目不收取竞争保证金。</w:t>
      </w:r>
    </w:p>
    <w:p w14:paraId="16DAC46D">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18. 响应文件编制的要求</w:t>
      </w:r>
    </w:p>
    <w:p w14:paraId="61AE4158">
      <w:pPr>
        <w:spacing w:line="360" w:lineRule="auto"/>
        <w:ind w:firstLine="420" w:firstLineChars="200"/>
        <w:rPr>
          <w:rFonts w:hint="eastAsia" w:ascii="宋体" w:hAnsi="宋体" w:cs="宋体"/>
          <w:szCs w:val="21"/>
        </w:rPr>
      </w:pPr>
      <w:r>
        <w:rPr>
          <w:rFonts w:hint="eastAsia" w:ascii="宋体" w:hAnsi="宋体" w:cs="宋体"/>
          <w:szCs w:val="21"/>
        </w:rPr>
        <w:t>18.1供应商应先安装“广西政府采购云平台电子交易客户端”（请自行前往广西政府采购云平台进行下载），并按照本项目谈判文件规定的格式和顺序和广西政府采购云平台的要求编制并加密。响应文件内容不完整、编排混乱导致响应文件被误读、漏读或者查找不到相关内容的，由此引发的后果由供应商承担。</w:t>
      </w:r>
    </w:p>
    <w:p w14:paraId="750DAC33">
      <w:pPr>
        <w:spacing w:line="360" w:lineRule="auto"/>
        <w:ind w:firstLine="420" w:firstLineChars="200"/>
        <w:rPr>
          <w:rFonts w:hint="eastAsia" w:ascii="宋体" w:hAnsi="宋体" w:cs="宋体"/>
          <w:szCs w:val="21"/>
        </w:rPr>
      </w:pPr>
      <w:r>
        <w:rPr>
          <w:rFonts w:hint="eastAsia" w:ascii="宋体" w:hAnsi="宋体" w:cs="宋体"/>
          <w:szCs w:val="21"/>
        </w:rPr>
        <w:t>18.2为确保网上操作合法、有效和安全，供应商应当在提交响应文件截止时间前完成在广西政府采购云平台的身份认证，确保在电子竞标过程中能够对相关数据电文进行加密和使用电子签章。</w:t>
      </w:r>
    </w:p>
    <w:p w14:paraId="28941B90">
      <w:pPr>
        <w:spacing w:line="360" w:lineRule="auto"/>
        <w:ind w:firstLine="420" w:firstLineChars="200"/>
        <w:rPr>
          <w:rFonts w:hint="eastAsia" w:ascii="宋体" w:hAnsi="宋体" w:cs="宋体"/>
          <w:szCs w:val="21"/>
        </w:rPr>
      </w:pPr>
      <w:r>
        <w:rPr>
          <w:rFonts w:hint="eastAsia" w:ascii="宋体" w:hAnsi="宋体" w:cs="宋体"/>
          <w:szCs w:val="21"/>
        </w:rPr>
        <w:t>18.3响应文件须由供应商在规定位置签字、盖章（具体以供应商须知前附表或响应文件格式规定为准），否则按无效响应处理。</w:t>
      </w:r>
    </w:p>
    <w:p w14:paraId="54F220AE">
      <w:pPr>
        <w:spacing w:line="360" w:lineRule="auto"/>
        <w:ind w:firstLine="420" w:firstLineChars="200"/>
        <w:rPr>
          <w:rFonts w:hint="eastAsia" w:ascii="宋体" w:hAnsi="宋体" w:cs="宋体"/>
          <w:szCs w:val="21"/>
        </w:rPr>
      </w:pPr>
      <w:r>
        <w:rPr>
          <w:rFonts w:hint="eastAsia" w:ascii="宋体" w:hAnsi="宋体" w:cs="宋体"/>
          <w:szCs w:val="21"/>
        </w:rPr>
        <w:t>18.4响应文件中标注的供应商名称应与主体资格证明（如营业执照或者事业单位法人证书或者执业许可证或者登记证书等）及公章一致，供应商为自然人的，标注的供应商名称应与身份证姓名及签名一致，否则其响应文件按无效响应处理。</w:t>
      </w:r>
    </w:p>
    <w:p w14:paraId="67DC83FB">
      <w:pPr>
        <w:spacing w:line="360" w:lineRule="auto"/>
        <w:ind w:firstLine="420" w:firstLineChars="200"/>
        <w:rPr>
          <w:rFonts w:hint="eastAsia" w:ascii="宋体" w:hAnsi="宋体" w:cs="宋体"/>
          <w:szCs w:val="21"/>
        </w:rPr>
      </w:pPr>
      <w:r>
        <w:rPr>
          <w:rFonts w:hint="eastAsia" w:ascii="宋体" w:hAnsi="宋体" w:cs="宋体"/>
          <w:szCs w:val="21"/>
        </w:rPr>
        <w:t>18.5响应文件应尽量避免涂改、行间插字或者删除。如果出现上述情况，改动之处应由供应商的法定代表人或者其委托代理人签字（或者电子签名）或者加盖公章或者加盖电子签章。响应文件因涂改、行间插字或者删除导致字迹潦草或者表达不清所引起的后果由供应商承担。</w:t>
      </w:r>
    </w:p>
    <w:p w14:paraId="11C02D0C">
      <w:pPr>
        <w:spacing w:line="360" w:lineRule="auto"/>
        <w:ind w:firstLine="482" w:firstLineChars="200"/>
        <w:rPr>
          <w:rFonts w:hint="eastAsia" w:ascii="黑体" w:hAnsi="黑体" w:eastAsia="黑体"/>
          <w:sz w:val="24"/>
        </w:rPr>
      </w:pPr>
      <w:r>
        <w:rPr>
          <w:rFonts w:hint="eastAsia" w:ascii="黑体" w:hAnsi="黑体" w:eastAsia="黑体" w:cs="宋体"/>
          <w:b/>
          <w:bCs/>
          <w:sz w:val="24"/>
        </w:rPr>
        <w:t>19.电子</w:t>
      </w:r>
      <w:r>
        <w:rPr>
          <w:rFonts w:hint="eastAsia" w:ascii="黑体" w:hAnsi="黑体" w:eastAsia="黑体"/>
          <w:b/>
          <w:sz w:val="24"/>
        </w:rPr>
        <w:t>备份响应文件</w:t>
      </w:r>
    </w:p>
    <w:p w14:paraId="148CD850">
      <w:pPr>
        <w:spacing w:line="360" w:lineRule="auto"/>
        <w:ind w:firstLine="420" w:firstLineChars="200"/>
      </w:pPr>
      <w:r>
        <w:rPr>
          <w:rFonts w:hint="eastAsia"/>
        </w:rPr>
        <w:t>电子备份响应文件是指通过“广西政府采购云平台电子投标客户端”在线编制生成且后缀名为“</w:t>
      </w:r>
      <w:r>
        <w:t>bfbs</w:t>
      </w:r>
      <w:r>
        <w:rPr>
          <w:rFonts w:hint="eastAsia"/>
        </w:rPr>
        <w:t>”的文件，是否接受电子备份响应文件</w:t>
      </w:r>
      <w:r>
        <w:rPr>
          <w:rFonts w:hint="eastAsia"/>
          <w:bCs/>
        </w:rPr>
        <w:t>详见在“供应商须知前附表”。</w:t>
      </w:r>
    </w:p>
    <w:p w14:paraId="7A533C51">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20.响应文件的提交</w:t>
      </w:r>
    </w:p>
    <w:p w14:paraId="663DE5A9">
      <w:pPr>
        <w:spacing w:line="360" w:lineRule="auto"/>
        <w:ind w:firstLine="420" w:firstLineChars="200"/>
        <w:rPr>
          <w:rFonts w:hint="eastAsia" w:hAnsi="宋体"/>
          <w:b/>
        </w:rPr>
      </w:pPr>
      <w:r>
        <w:rPr>
          <w:rFonts w:hint="eastAsia" w:hAnsi="宋体"/>
          <w:bCs/>
          <w:szCs w:val="21"/>
        </w:rPr>
        <w:t>20.1供应商必须按“供应商须知前附表”规定的</w:t>
      </w:r>
      <w:r>
        <w:rPr>
          <w:rFonts w:hint="eastAsia" w:ascii="宋体" w:hAnsi="宋体" w:cs="宋体"/>
          <w:szCs w:val="21"/>
        </w:rPr>
        <w:t>时间</w:t>
      </w:r>
      <w:r>
        <w:rPr>
          <w:rFonts w:hint="eastAsia" w:ascii="宋体" w:hAnsi="宋体"/>
          <w:szCs w:val="21"/>
        </w:rPr>
        <w:t>及</w:t>
      </w:r>
      <w:r>
        <w:rPr>
          <w:rFonts w:hint="eastAsia" w:hAnsi="宋体"/>
          <w:bCs/>
          <w:szCs w:val="21"/>
        </w:rPr>
        <w:t>地点提交响应文件。电子响应文件应在制作完成后，</w:t>
      </w:r>
      <w:r>
        <w:rPr>
          <w:rFonts w:hAnsi="宋体"/>
          <w:bCs/>
          <w:szCs w:val="21"/>
        </w:rPr>
        <w:t>在</w:t>
      </w:r>
      <w:r>
        <w:rPr>
          <w:rFonts w:hint="eastAsia" w:hAnsi="宋体"/>
          <w:bCs/>
          <w:szCs w:val="21"/>
        </w:rPr>
        <w:t>提交响应文件截止</w:t>
      </w:r>
      <w:r>
        <w:rPr>
          <w:rFonts w:hAnsi="宋体"/>
          <w:bCs/>
          <w:szCs w:val="21"/>
        </w:rPr>
        <w:t>时间前</w:t>
      </w:r>
      <w:r>
        <w:rPr>
          <w:rFonts w:hint="eastAsia" w:hAnsi="宋体"/>
          <w:bCs/>
          <w:szCs w:val="21"/>
        </w:rPr>
        <w:t>通过有效数字证书（CA认证锁）进行电子签章、加密，然后通过网络将加密的电子响应文件提交至</w:t>
      </w:r>
      <w:r>
        <w:rPr>
          <w:rFonts w:hint="eastAsia" w:ascii="宋体" w:hAnsi="宋体"/>
          <w:szCs w:val="21"/>
        </w:rPr>
        <w:t>广西政府采购云平台</w:t>
      </w:r>
      <w:r>
        <w:rPr>
          <w:rFonts w:hint="eastAsia" w:hAnsi="宋体"/>
          <w:bCs/>
          <w:szCs w:val="21"/>
        </w:rPr>
        <w:t xml:space="preserve">。 </w:t>
      </w:r>
      <w:r>
        <w:rPr>
          <w:rFonts w:hint="eastAsia" w:hAnsi="宋体"/>
          <w:b/>
        </w:rPr>
        <w:t xml:space="preserve"> </w:t>
      </w:r>
    </w:p>
    <w:p w14:paraId="6FA07682">
      <w:pPr>
        <w:spacing w:line="360" w:lineRule="auto"/>
        <w:ind w:firstLine="422" w:firstLineChars="200"/>
        <w:rPr>
          <w:rFonts w:hint="eastAsia" w:ascii="宋体" w:hAnsi="宋体" w:cs="宋体"/>
          <w:szCs w:val="21"/>
        </w:rPr>
      </w:pPr>
      <w:r>
        <w:rPr>
          <w:rFonts w:hint="eastAsia" w:ascii="宋体" w:hAnsi="宋体"/>
          <w:b/>
          <w:szCs w:val="21"/>
        </w:rPr>
        <w:t>20.</w:t>
      </w:r>
      <w:r>
        <w:rPr>
          <w:rFonts w:ascii="宋体" w:hAnsi="宋体"/>
          <w:b/>
          <w:szCs w:val="21"/>
        </w:rPr>
        <w:t>2</w:t>
      </w:r>
      <w:r>
        <w:rPr>
          <w:rFonts w:hint="eastAsia" w:ascii="宋体" w:hAnsi="宋体"/>
          <w:b/>
          <w:szCs w:val="21"/>
        </w:rPr>
        <w:t>未在规定时间内提交或者未按照谈判文件要求加密的电子响应文件，广西政府采购云平台将拒收。</w:t>
      </w:r>
    </w:p>
    <w:p w14:paraId="79EF4B90">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21.首次响应文件的补充、修改与撤回</w:t>
      </w:r>
    </w:p>
    <w:p w14:paraId="6C32DAB5">
      <w:pPr>
        <w:spacing w:line="360" w:lineRule="auto"/>
        <w:ind w:firstLine="420" w:firstLineChars="200"/>
        <w:rPr>
          <w:rFonts w:hint="eastAsia" w:ascii="宋体" w:hAnsi="宋体" w:cs="宋体"/>
          <w:szCs w:val="21"/>
        </w:rPr>
      </w:pPr>
      <w:bookmarkStart w:id="31" w:name="_Toc254970684"/>
      <w:bookmarkStart w:id="32" w:name="_Toc254970543"/>
      <w:r>
        <w:rPr>
          <w:rFonts w:hint="eastAsia" w:ascii="宋体" w:hAnsi="宋体" w:cs="宋体"/>
          <w:szCs w:val="21"/>
        </w:rPr>
        <w:t>21.1</w:t>
      </w:r>
      <w:bookmarkEnd w:id="31"/>
      <w:bookmarkEnd w:id="32"/>
      <w:r>
        <w:rPr>
          <w:rFonts w:hint="eastAsia" w:ascii="宋体" w:hAnsi="宋体" w:cs="宋体"/>
          <w:szCs w:val="21"/>
        </w:rPr>
        <w:t>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广西政府采购云平台将予以拒收。（补充、修改或者撤回方式可登录广西政府采购云平台，进入“服务中心”中查看 “电子投标文件制作与投送教程”）</w:t>
      </w:r>
    </w:p>
    <w:p w14:paraId="75FD3448">
      <w:pPr>
        <w:spacing w:line="360" w:lineRule="auto"/>
        <w:ind w:firstLine="420" w:firstLineChars="200"/>
        <w:rPr>
          <w:rFonts w:hint="eastAsia" w:ascii="宋体" w:hAnsi="宋体" w:cs="宋体"/>
          <w:szCs w:val="21"/>
        </w:rPr>
      </w:pPr>
      <w:r>
        <w:rPr>
          <w:rFonts w:hint="eastAsia" w:ascii="宋体" w:hAnsi="宋体" w:cs="宋体"/>
          <w:szCs w:val="21"/>
        </w:rPr>
        <w:t>21.2在提交响应文件截止时间前，除供应商补充、修改或者撤回响应文件外，任何单位和个人不得解密或提取响应文件。</w:t>
      </w:r>
    </w:p>
    <w:p w14:paraId="0DCBA8F8">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22.响应文件的退回</w:t>
      </w:r>
    </w:p>
    <w:p w14:paraId="591DDA7B">
      <w:pPr>
        <w:spacing w:line="360" w:lineRule="auto"/>
        <w:ind w:firstLine="420" w:firstLineChars="200"/>
        <w:rPr>
          <w:rFonts w:hint="eastAsia" w:ascii="宋体" w:hAnsi="宋体" w:cs="宋体"/>
          <w:szCs w:val="21"/>
        </w:rPr>
      </w:pPr>
      <w:r>
        <w:rPr>
          <w:rFonts w:hint="eastAsia" w:ascii="宋体" w:hAnsi="宋体" w:cs="宋体"/>
          <w:szCs w:val="21"/>
        </w:rPr>
        <w:t>采购人和采购代理机构对已提交的响应文件概不退回。</w:t>
      </w:r>
    </w:p>
    <w:p w14:paraId="695376D9">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23.截止时间后的撤回</w:t>
      </w:r>
    </w:p>
    <w:p w14:paraId="42035EB0">
      <w:pPr>
        <w:spacing w:line="360" w:lineRule="auto"/>
        <w:ind w:firstLine="420" w:firstLineChars="200"/>
        <w:rPr>
          <w:rFonts w:hint="eastAsia" w:ascii="宋体" w:hAnsi="宋体"/>
          <w:szCs w:val="21"/>
        </w:rPr>
      </w:pPr>
      <w:r>
        <w:rPr>
          <w:rFonts w:hint="eastAsia" w:ascii="宋体" w:hAnsi="宋体" w:cs="宋体"/>
          <w:szCs w:val="21"/>
        </w:rPr>
        <w:t>供应商在响应文件提交截止时间后向采购人、采购代理机构书面申请撤回响应文件的，采购人和采购代理机构对已提交的响应文件概不退回。</w:t>
      </w:r>
    </w:p>
    <w:p w14:paraId="16546972">
      <w:pPr>
        <w:spacing w:line="360" w:lineRule="auto"/>
        <w:jc w:val="center"/>
        <w:rPr>
          <w:rFonts w:hint="eastAsia" w:ascii="宋体" w:hAnsi="宋体"/>
          <w:b/>
          <w:sz w:val="32"/>
          <w:szCs w:val="32"/>
        </w:rPr>
      </w:pPr>
      <w:r>
        <w:rPr>
          <w:rFonts w:hint="eastAsia" w:ascii="宋体" w:hAnsi="宋体"/>
          <w:b/>
          <w:sz w:val="32"/>
          <w:szCs w:val="32"/>
        </w:rPr>
        <w:t>四、评审及谈判</w:t>
      </w:r>
    </w:p>
    <w:p w14:paraId="3F5DF648">
      <w:pPr>
        <w:spacing w:line="360" w:lineRule="auto"/>
        <w:ind w:left="420" w:firstLine="420"/>
        <w:rPr>
          <w:rFonts w:hint="eastAsia" w:ascii="宋体" w:hAnsi="宋体"/>
          <w:szCs w:val="21"/>
        </w:rPr>
      </w:pPr>
    </w:p>
    <w:p w14:paraId="12BE0705">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24.谈判小组成立</w:t>
      </w:r>
    </w:p>
    <w:p w14:paraId="1F1FFCA5">
      <w:pPr>
        <w:spacing w:line="360" w:lineRule="auto"/>
        <w:ind w:firstLine="420" w:firstLineChars="200"/>
        <w:rPr>
          <w:rFonts w:hint="eastAsia" w:ascii="宋体" w:hAnsi="宋体" w:cs="宋体"/>
          <w:szCs w:val="21"/>
        </w:rPr>
      </w:pPr>
      <w:r>
        <w:rPr>
          <w:rFonts w:hint="eastAsia" w:ascii="宋体" w:hAnsi="宋体" w:cs="宋体"/>
          <w:szCs w:val="21"/>
        </w:rPr>
        <w:t>24.1谈判小组由采购人代表和评审专家共3人以上单数组成，具体人数详见“供应商须知前附表”，其中评审专家人数不得少于竞争性谈判小组成员总数的2/3。采购人不得以评审专家身份参加本部门或者本单位采购项目的评审。采购代理机构人员不得参加本机构代理的采购项目的评审。达到公开招标数额标准的货物或者服务采购项目，或者达到招标规模标准的政府采购工程，竞争性谈判小组应当由5人以上单数组成。</w:t>
      </w:r>
    </w:p>
    <w:p w14:paraId="292C17C4">
      <w:pPr>
        <w:spacing w:line="360" w:lineRule="auto"/>
        <w:ind w:firstLine="420" w:firstLineChars="200"/>
        <w:rPr>
          <w:rFonts w:hint="eastAsia" w:ascii="宋体" w:hAnsi="宋体" w:cs="宋体"/>
          <w:szCs w:val="21"/>
        </w:rPr>
      </w:pPr>
      <w:r>
        <w:rPr>
          <w:rFonts w:hint="eastAsia" w:ascii="宋体" w:hAnsi="宋体" w:cs="宋体"/>
          <w:szCs w:val="21"/>
        </w:rPr>
        <w:t>24.2评审专家应当从政府采购评审专家库内相关专业的专家名单中随机抽取。技术复杂、专业性强的竞争性谈判采购项目，通过随机方式难以确定合适的评审专家的，经主管预算单位同意，可以自行选定评审专家。技术复杂、专业性强的竞争性谈判采购项目，评审专家中应当包含1名法律专家。</w:t>
      </w:r>
    </w:p>
    <w:p w14:paraId="1B987B2B">
      <w:pPr>
        <w:spacing w:line="360" w:lineRule="auto"/>
        <w:ind w:firstLine="420" w:firstLineChars="200"/>
        <w:rPr>
          <w:rFonts w:hint="eastAsia" w:ascii="宋体" w:hAnsi="宋体" w:cs="宋体"/>
          <w:szCs w:val="21"/>
        </w:rPr>
      </w:pPr>
      <w:r>
        <w:rPr>
          <w:rFonts w:hint="eastAsia" w:ascii="宋体" w:hAnsi="宋体" w:cs="宋体"/>
          <w:szCs w:val="21"/>
        </w:rPr>
        <w:t>24.3</w:t>
      </w:r>
      <w:r>
        <w:rPr>
          <w:rFonts w:hint="eastAsia" w:hAnsi="宋体"/>
          <w:bCs/>
          <w:szCs w:val="21"/>
        </w:rPr>
        <w:t>采购代理机构</w:t>
      </w:r>
      <w:r>
        <w:rPr>
          <w:rFonts w:hint="eastAsia" w:hAnsi="宋体"/>
          <w:bCs/>
        </w:rPr>
        <w:t>应当</w:t>
      </w:r>
      <w:r>
        <w:rPr>
          <w:rFonts w:hint="eastAsia" w:hAnsi="宋体"/>
          <w:bCs/>
          <w:szCs w:val="21"/>
        </w:rPr>
        <w:t>基于广西政府采购云平台</w:t>
      </w:r>
      <w:r>
        <w:rPr>
          <w:rFonts w:hint="eastAsia" w:hAnsi="宋体"/>
          <w:bCs/>
        </w:rPr>
        <w:t>抽（选）取</w:t>
      </w:r>
      <w:r>
        <w:rPr>
          <w:rFonts w:hint="eastAsia" w:hAnsi="宋体"/>
          <w:bCs/>
          <w:szCs w:val="21"/>
        </w:rPr>
        <w:t>评审专家。</w:t>
      </w:r>
    </w:p>
    <w:p w14:paraId="43B9E69B">
      <w:pPr>
        <w:spacing w:line="360" w:lineRule="auto"/>
        <w:ind w:firstLine="482" w:firstLineChars="200"/>
        <w:rPr>
          <w:rFonts w:hint="eastAsia" w:ascii="黑体" w:hAnsi="黑体" w:eastAsia="黑体" w:cs="宋体"/>
          <w:b/>
          <w:bCs/>
          <w:sz w:val="24"/>
        </w:rPr>
      </w:pPr>
      <w:r>
        <w:rPr>
          <w:rFonts w:ascii="黑体" w:hAnsi="黑体" w:eastAsia="黑体" w:cs="宋体"/>
          <w:b/>
          <w:bCs/>
          <w:sz w:val="24"/>
        </w:rPr>
        <w:t>25.</w:t>
      </w:r>
      <w:r>
        <w:rPr>
          <w:rFonts w:hint="eastAsia" w:ascii="黑体" w:hAnsi="黑体" w:eastAsia="黑体" w:cs="宋体"/>
          <w:b/>
          <w:bCs/>
          <w:sz w:val="24"/>
        </w:rPr>
        <w:t xml:space="preserve"> 首次响应文件的开启和解密</w:t>
      </w:r>
    </w:p>
    <w:p w14:paraId="4DD094CF">
      <w:pPr>
        <w:spacing w:line="360" w:lineRule="auto"/>
        <w:ind w:firstLine="420" w:firstLineChars="200"/>
        <w:rPr>
          <w:rFonts w:hint="eastAsia" w:ascii="宋体" w:hAnsi="宋体" w:cs="宋体"/>
          <w:szCs w:val="21"/>
        </w:rPr>
      </w:pPr>
      <w:r>
        <w:rPr>
          <w:rFonts w:hint="eastAsia" w:hAnsi="宋体"/>
          <w:bCs/>
        </w:rPr>
        <w:t>采购代理机构将在“供应商须知前附表”规定的时</w:t>
      </w:r>
      <w:r>
        <w:rPr>
          <w:rFonts w:hint="eastAsia" w:hAnsi="宋体"/>
        </w:rPr>
        <w:t>间通过电子交易平台组织响应文件开启，供应商的法定代表人或其委托代理人须携带加密时所用的CA锁，按平台提示和谈判文件的规定登录到</w:t>
      </w:r>
      <w:r>
        <w:rPr>
          <w:rFonts w:hint="eastAsia" w:ascii="宋体" w:hAnsi="宋体"/>
          <w:szCs w:val="21"/>
        </w:rPr>
        <w:t>广西政府采购云平台</w:t>
      </w:r>
      <w:r>
        <w:rPr>
          <w:rFonts w:hint="eastAsia" w:hAnsi="宋体"/>
        </w:rPr>
        <w:t>电子开标大厅签到，</w:t>
      </w:r>
      <w:r>
        <w:rPr>
          <w:rFonts w:hint="eastAsia"/>
        </w:rPr>
        <w:t>采购代理机构依托</w:t>
      </w:r>
      <w:r>
        <w:rPr>
          <w:rFonts w:hint="eastAsia" w:ascii="宋体" w:hAnsi="宋体"/>
          <w:szCs w:val="21"/>
        </w:rPr>
        <w:t>广西政府采购云平台</w:t>
      </w:r>
      <w:r>
        <w:rPr>
          <w:rFonts w:hint="eastAsia"/>
        </w:rPr>
        <w:t>向各供应商发出电子加密响应文件【开始解密】通知，由供应商按</w:t>
      </w:r>
      <w:r>
        <w:rPr>
          <w:rFonts w:hint="eastAsia" w:hAnsi="宋体"/>
          <w:bCs/>
          <w:szCs w:val="21"/>
        </w:rPr>
        <w:t>“供应商须知前附表”</w:t>
      </w:r>
      <w:r>
        <w:rPr>
          <w:rFonts w:hint="eastAsia"/>
        </w:rPr>
        <w:t>规定的时间内自行进行响应文件解密</w:t>
      </w:r>
      <w:r>
        <w:rPr>
          <w:rFonts w:hint="eastAsia" w:hAnsi="宋体"/>
        </w:rPr>
        <w:t>。</w:t>
      </w:r>
      <w:r>
        <w:rPr>
          <w:rFonts w:hint="eastAsia"/>
          <w:b/>
        </w:rPr>
        <w:t>供应商未在</w:t>
      </w:r>
      <w:r>
        <w:rPr>
          <w:b/>
        </w:rPr>
        <w:t>规定的时间内解密</w:t>
      </w:r>
      <w:r>
        <w:rPr>
          <w:rFonts w:hint="eastAsia"/>
          <w:b/>
        </w:rPr>
        <w:t>响应文件</w:t>
      </w:r>
      <w:r>
        <w:rPr>
          <w:b/>
        </w:rPr>
        <w:t>或</w:t>
      </w:r>
      <w:r>
        <w:rPr>
          <w:rFonts w:hint="eastAsia"/>
          <w:b/>
        </w:rPr>
        <w:t>者</w:t>
      </w:r>
      <w:r>
        <w:rPr>
          <w:b/>
        </w:rPr>
        <w:t>解密失败的</w:t>
      </w:r>
      <w:r>
        <w:rPr>
          <w:rFonts w:hint="eastAsia"/>
          <w:b/>
        </w:rPr>
        <w:t>，供应商</w:t>
      </w:r>
      <w:r>
        <w:rPr>
          <w:rFonts w:hint="eastAsia" w:ascii="宋体" w:hAnsi="宋体"/>
          <w:b/>
          <w:szCs w:val="21"/>
        </w:rPr>
        <w:t>的响应文件作无效处理</w:t>
      </w:r>
      <w:r>
        <w:rPr>
          <w:b/>
        </w:rPr>
        <w:t>。</w:t>
      </w:r>
    </w:p>
    <w:p w14:paraId="55E9B47F">
      <w:pPr>
        <w:spacing w:line="360" w:lineRule="auto"/>
        <w:ind w:firstLine="482" w:firstLineChars="200"/>
        <w:rPr>
          <w:rFonts w:hint="eastAsia" w:ascii="黑体" w:hAnsi="黑体" w:eastAsia="黑体" w:cs="宋体"/>
          <w:b/>
          <w:bCs/>
          <w:sz w:val="24"/>
        </w:rPr>
      </w:pPr>
      <w:r>
        <w:rPr>
          <w:rFonts w:ascii="黑体" w:hAnsi="黑体" w:eastAsia="黑体" w:cs="宋体"/>
          <w:b/>
          <w:bCs/>
          <w:sz w:val="24"/>
        </w:rPr>
        <w:t>26</w:t>
      </w:r>
      <w:r>
        <w:rPr>
          <w:rFonts w:hint="eastAsia" w:ascii="黑体" w:hAnsi="黑体" w:eastAsia="黑体" w:cs="宋体"/>
          <w:b/>
          <w:bCs/>
          <w:sz w:val="24"/>
        </w:rPr>
        <w:t>. 评审程序和评定成交的标准</w:t>
      </w:r>
    </w:p>
    <w:p w14:paraId="01BE4A2D">
      <w:pPr>
        <w:spacing w:line="360" w:lineRule="auto"/>
        <w:ind w:firstLine="420" w:firstLineChars="200"/>
      </w:pPr>
      <w:r>
        <w:rPr>
          <w:rFonts w:hint="eastAsia"/>
        </w:rPr>
        <w:t>26.1谈判小组按照“第四章  评审程序和评定成交的标准”规定的评审程序对响应文件进行评审，并按照评定成交的标准推荐成交候选供应商。评审价相同时，成交候选供应商推荐顺序见</w:t>
      </w:r>
      <w:r>
        <w:rPr>
          <w:rFonts w:hint="eastAsia" w:ascii="宋体" w:hAnsi="宋体"/>
          <w:szCs w:val="21"/>
        </w:rPr>
        <w:t>“供应商须知前附表”。</w:t>
      </w:r>
    </w:p>
    <w:p w14:paraId="7C30523F">
      <w:pPr>
        <w:spacing w:line="360" w:lineRule="auto"/>
        <w:ind w:firstLine="420" w:firstLineChars="200"/>
        <w:rPr>
          <w:rFonts w:hint="eastAsia" w:ascii="宋体" w:hAnsi="宋体"/>
          <w:szCs w:val="21"/>
        </w:rPr>
      </w:pPr>
      <w:r>
        <w:rPr>
          <w:rFonts w:hint="eastAsia" w:ascii="宋体" w:hAnsi="宋体"/>
          <w:szCs w:val="21"/>
        </w:rPr>
        <w:t>2</w:t>
      </w:r>
      <w:r>
        <w:rPr>
          <w:rFonts w:ascii="宋体" w:hAnsi="宋体"/>
          <w:szCs w:val="21"/>
        </w:rPr>
        <w:t xml:space="preserve">6.2 </w:t>
      </w:r>
      <w:r>
        <w:rPr>
          <w:rFonts w:hint="eastAsia" w:ascii="宋体" w:hAnsi="宋体"/>
          <w:szCs w:val="21"/>
        </w:rPr>
        <w:t>商务/技术要求允许负偏离的条款数详见“供应商须知前附表”。</w:t>
      </w:r>
    </w:p>
    <w:p w14:paraId="64D03A0A">
      <w:pPr>
        <w:spacing w:line="360" w:lineRule="auto"/>
        <w:ind w:firstLine="420" w:firstLineChars="200"/>
        <w:rPr>
          <w:rFonts w:hint="eastAsia" w:ascii="宋体" w:hAnsi="宋体"/>
          <w:szCs w:val="21"/>
        </w:rPr>
      </w:pPr>
      <w:r>
        <w:rPr>
          <w:rFonts w:hint="eastAsia" w:ascii="宋体" w:hAnsi="宋体" w:cs="宋体"/>
        </w:rPr>
        <w:t>26.3谈判小组成员要依法独立评审，并对评审意见承担个人责任。谈判小组成员对需要共同认定的事项存在争议的，按照少数服从多数的原则做出结论。持不同意见的谈判小组成员应当在评审报告上签署不同意见并说明理由，否则视为同意。</w:t>
      </w:r>
    </w:p>
    <w:p w14:paraId="234F8BD8">
      <w:pPr>
        <w:spacing w:line="360" w:lineRule="auto"/>
        <w:ind w:firstLine="420" w:firstLineChars="200"/>
        <w:rPr>
          <w:rFonts w:hint="eastAsia" w:hAnsi="宋体"/>
        </w:rPr>
      </w:pPr>
      <w:r>
        <w:rPr>
          <w:rFonts w:hint="eastAsia" w:ascii="宋体" w:hAnsi="宋体"/>
        </w:rPr>
        <w:t>2</w:t>
      </w:r>
      <w:r>
        <w:rPr>
          <w:rFonts w:ascii="宋体" w:hAnsi="宋体"/>
        </w:rPr>
        <w:t>6.</w:t>
      </w:r>
      <w:r>
        <w:rPr>
          <w:rFonts w:hint="eastAsia" w:ascii="宋体" w:hAnsi="宋体"/>
        </w:rPr>
        <w:t>4</w:t>
      </w:r>
      <w:r>
        <w:rPr>
          <w:rFonts w:hint="eastAsia" w:hAnsi="宋体"/>
        </w:rPr>
        <w:t>电子交易活动的中止。采购过程中出现以下情形，导致电子交易平台无法正常运行，或者无法保证电子交易的公平、公正和安全时，采购机构可中止电子交易活动：</w:t>
      </w:r>
    </w:p>
    <w:p w14:paraId="3DB49AC3">
      <w:pPr>
        <w:spacing w:line="360" w:lineRule="auto"/>
        <w:ind w:firstLine="420" w:firstLineChars="200"/>
        <w:rPr>
          <w:rFonts w:hint="eastAsia" w:hAnsi="宋体"/>
        </w:rPr>
      </w:pPr>
      <w:r>
        <w:rPr>
          <w:rFonts w:hint="eastAsia" w:hAnsi="宋体"/>
        </w:rPr>
        <w:t xml:space="preserve">（1）电子交易平台发生故障而无法登录访问的； </w:t>
      </w:r>
    </w:p>
    <w:p w14:paraId="54A1F4A5">
      <w:pPr>
        <w:spacing w:line="360" w:lineRule="auto"/>
        <w:ind w:firstLine="420" w:firstLineChars="200"/>
        <w:rPr>
          <w:rFonts w:hint="eastAsia" w:hAnsi="宋体"/>
        </w:rPr>
      </w:pPr>
      <w:r>
        <w:rPr>
          <w:rFonts w:hint="eastAsia" w:hAnsi="宋体"/>
        </w:rPr>
        <w:t>（2）电子交易平台应用或数据库出现错误，不能进行正常操作的；</w:t>
      </w:r>
    </w:p>
    <w:p w14:paraId="6433348E">
      <w:pPr>
        <w:spacing w:line="360" w:lineRule="auto"/>
        <w:ind w:firstLine="420" w:firstLineChars="200"/>
        <w:rPr>
          <w:rFonts w:hint="eastAsia" w:hAnsi="宋体"/>
        </w:rPr>
      </w:pPr>
      <w:r>
        <w:rPr>
          <w:rFonts w:hint="eastAsia" w:hAnsi="宋体"/>
        </w:rPr>
        <w:t>（3）电子交易平台发现严重安全漏洞，有潜在泄密危险的；</w:t>
      </w:r>
    </w:p>
    <w:p w14:paraId="1B742AE4">
      <w:pPr>
        <w:spacing w:line="360" w:lineRule="auto"/>
        <w:ind w:firstLine="420" w:firstLineChars="200"/>
        <w:rPr>
          <w:rFonts w:hint="eastAsia" w:hAnsi="宋体"/>
        </w:rPr>
      </w:pPr>
      <w:r>
        <w:rPr>
          <w:rFonts w:hint="eastAsia" w:hAnsi="宋体"/>
        </w:rPr>
        <w:t xml:space="preserve">（4）病毒发作导致不能进行正常操作的； </w:t>
      </w:r>
    </w:p>
    <w:p w14:paraId="529E379B">
      <w:pPr>
        <w:spacing w:line="360" w:lineRule="auto"/>
        <w:ind w:firstLine="420" w:firstLineChars="200"/>
        <w:rPr>
          <w:rFonts w:hint="eastAsia" w:hAnsi="宋体"/>
        </w:rPr>
      </w:pPr>
      <w:r>
        <w:rPr>
          <w:rFonts w:hint="eastAsia" w:hAnsi="宋体"/>
        </w:rPr>
        <w:t>（5）其他无法保证电子交易的公平、公正和安全的情况。</w:t>
      </w:r>
    </w:p>
    <w:p w14:paraId="1AC819CA">
      <w:pPr>
        <w:spacing w:line="360" w:lineRule="auto"/>
        <w:ind w:firstLine="420" w:firstLineChars="200"/>
        <w:rPr>
          <w:rFonts w:hint="eastAsia" w:hAnsi="宋体"/>
        </w:rPr>
      </w:pPr>
      <w:r>
        <w:rPr>
          <w:rFonts w:hint="eastAsia" w:ascii="宋体" w:hAnsi="宋体"/>
        </w:rPr>
        <w:t>26.</w:t>
      </w:r>
      <w:r>
        <w:rPr>
          <w:rFonts w:ascii="宋体" w:hAnsi="宋体"/>
        </w:rPr>
        <w:t>5</w:t>
      </w:r>
      <w:r>
        <w:rPr>
          <w:rFonts w:hint="eastAsia" w:hAnsi="宋体"/>
        </w:rPr>
        <w:t>出现以上情形，不影响采购公平、公正性的，采购组织机构可以待上述情形消除后继续组织电子交易活动；影响或可能影响采购公平、公正性的，经采购代理机构确认，报采购人同意后，应当重新采购。采购代理机构必须对原有的资料及信息作出妥善保密处理，并报财政部门备案。</w:t>
      </w:r>
    </w:p>
    <w:p w14:paraId="0992241E">
      <w:pPr>
        <w:spacing w:line="360" w:lineRule="auto"/>
        <w:ind w:firstLine="482" w:firstLineChars="200"/>
        <w:rPr>
          <w:rFonts w:hint="eastAsia" w:ascii="黑体" w:hAnsi="黑体" w:eastAsia="黑体" w:cs="宋体"/>
          <w:b/>
          <w:bCs/>
          <w:sz w:val="24"/>
        </w:rPr>
      </w:pPr>
      <w:r>
        <w:rPr>
          <w:rFonts w:ascii="黑体" w:hAnsi="黑体" w:eastAsia="黑体" w:cs="宋体"/>
          <w:b/>
          <w:bCs/>
          <w:sz w:val="24"/>
        </w:rPr>
        <w:t>27</w:t>
      </w:r>
      <w:r>
        <w:rPr>
          <w:rFonts w:hint="eastAsia" w:ascii="黑体" w:hAnsi="黑体" w:eastAsia="黑体" w:cs="宋体"/>
          <w:b/>
          <w:bCs/>
          <w:sz w:val="24"/>
        </w:rPr>
        <w:t>.确定成交供应商及结果公告</w:t>
      </w:r>
    </w:p>
    <w:p w14:paraId="46803C2F">
      <w:pPr>
        <w:spacing w:line="360" w:lineRule="auto"/>
        <w:ind w:firstLine="420" w:firstLineChars="200"/>
        <w:rPr>
          <w:rFonts w:hint="eastAsia" w:ascii="宋体" w:hAnsi="宋体" w:cs="宋体"/>
          <w:szCs w:val="21"/>
        </w:rPr>
      </w:pPr>
      <w:r>
        <w:rPr>
          <w:rFonts w:ascii="宋体" w:hAnsi="宋体" w:cs="宋体"/>
          <w:szCs w:val="21"/>
        </w:rPr>
        <w:t>27</w:t>
      </w:r>
      <w:r>
        <w:rPr>
          <w:rFonts w:hint="eastAsia" w:ascii="宋体" w:hAnsi="宋体" w:cs="宋体"/>
          <w:szCs w:val="21"/>
        </w:rPr>
        <w:t>.1</w:t>
      </w:r>
      <w:r>
        <w:rPr>
          <w:rFonts w:hint="eastAsia" w:ascii="宋体" w:hAnsi="宋体" w:cs="宋体"/>
          <w:kern w:val="0"/>
          <w:szCs w:val="21"/>
        </w:rPr>
        <w:t xml:space="preserve"> 采购</w:t>
      </w:r>
      <w:r>
        <w:rPr>
          <w:rFonts w:hint="eastAsia" w:ascii="宋体" w:hAnsi="宋体" w:cs="宋体"/>
          <w:szCs w:val="21"/>
        </w:rPr>
        <w:t>代理</w:t>
      </w:r>
      <w:r>
        <w:rPr>
          <w:rFonts w:hint="eastAsia" w:ascii="宋体" w:hAnsi="宋体" w:cs="宋体"/>
          <w:kern w:val="0"/>
          <w:szCs w:val="21"/>
        </w:rPr>
        <w:t>机构应当在评审结束后2个工作日内将评审报告送采购人确认。采购人应当在收到评审报告后5个工作日内，将评审报告提出的排名第一的成交候选人确定为成交供应商，也可以书面授权谈判小组直接确定成交供应商。采购人逾期未确定成交供应商且不提出异议的，视为确定评审报告提出的排名第一的成交候选人为成交供应商。</w:t>
      </w:r>
    </w:p>
    <w:p w14:paraId="4091B423">
      <w:pPr>
        <w:pStyle w:val="10"/>
        <w:spacing w:line="360" w:lineRule="auto"/>
        <w:ind w:firstLine="420" w:firstLineChars="200"/>
        <w:rPr>
          <w:rFonts w:hint="eastAsia" w:ascii="宋体" w:hAnsi="宋体" w:cs="宋体"/>
          <w:kern w:val="0"/>
          <w:szCs w:val="21"/>
        </w:rPr>
      </w:pPr>
      <w:r>
        <w:rPr>
          <w:rFonts w:ascii="宋体" w:hAnsi="宋体" w:cs="宋体"/>
          <w:kern w:val="0"/>
          <w:szCs w:val="21"/>
        </w:rPr>
        <w:t>27</w:t>
      </w:r>
      <w:r>
        <w:rPr>
          <w:rFonts w:hint="eastAsia" w:ascii="宋体" w:hAnsi="宋体" w:cs="宋体"/>
          <w:kern w:val="0"/>
          <w:szCs w:val="21"/>
        </w:rPr>
        <w:t>.2采购代理机构应当在成交供应商确定后2个工作日内，在省级以上财政部门指定的媒体上公告成交结果，同时向成交供应商发出成交通知书。采购人或者采购代理机构发出成交通知书前，应当对成交供应商信用进行查询，对列入失信被执行人、重大税收违法案件当事人名单、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上信息查询记录及相关证据与谈判文件一并保存。</w:t>
      </w:r>
      <w:r>
        <w:rPr>
          <w:rFonts w:hint="eastAsia" w:ascii="宋体" w:hAnsi="宋体" w:cs="Courier New"/>
          <w:szCs w:val="21"/>
        </w:rPr>
        <w:t>成交供应商享受《政府采购促进中小企业发展管理办法》（财库〔2020〕46号）规定的中小企业扶持政策的，采购人、采购代理机构应当随成交结果公开成交供应商的《中小企业声明函》。</w:t>
      </w:r>
    </w:p>
    <w:p w14:paraId="30B86D1F">
      <w:pPr>
        <w:pStyle w:val="10"/>
        <w:spacing w:line="360" w:lineRule="auto"/>
        <w:ind w:firstLine="420" w:firstLineChars="200"/>
        <w:rPr>
          <w:rFonts w:hint="eastAsia" w:ascii="宋体" w:hAnsi="宋体"/>
          <w:bCs/>
          <w:szCs w:val="21"/>
        </w:rPr>
      </w:pPr>
      <w:r>
        <w:rPr>
          <w:rFonts w:hint="eastAsia" w:ascii="宋体" w:hAnsi="宋体"/>
          <w:bCs/>
          <w:szCs w:val="21"/>
        </w:rPr>
        <w:t>27.3出现下列情形之一的，采购人或者采购代理机构应当终止竞争性谈判采购活动，发布项目终止公告并说明原因，重新开展采购活动：</w:t>
      </w:r>
    </w:p>
    <w:p w14:paraId="2E3EFFE6">
      <w:pPr>
        <w:pStyle w:val="10"/>
        <w:spacing w:line="360" w:lineRule="auto"/>
        <w:ind w:firstLine="420" w:firstLineChars="200"/>
        <w:rPr>
          <w:rFonts w:hint="eastAsia" w:ascii="宋体" w:hAnsi="宋体"/>
          <w:bCs/>
          <w:szCs w:val="21"/>
        </w:rPr>
      </w:pPr>
      <w:r>
        <w:rPr>
          <w:rFonts w:hint="eastAsia" w:ascii="宋体" w:hAnsi="宋体"/>
          <w:bCs/>
          <w:szCs w:val="21"/>
        </w:rPr>
        <w:t>（1）因情况变化，不再符合规定的竞争性谈判采购方式适用情形的；</w:t>
      </w:r>
    </w:p>
    <w:p w14:paraId="41EBF8E4">
      <w:pPr>
        <w:pStyle w:val="10"/>
        <w:spacing w:line="360" w:lineRule="auto"/>
        <w:ind w:firstLine="420" w:firstLineChars="200"/>
        <w:rPr>
          <w:rFonts w:hint="eastAsia" w:ascii="宋体" w:hAnsi="宋体"/>
          <w:bCs/>
          <w:szCs w:val="21"/>
        </w:rPr>
      </w:pPr>
      <w:r>
        <w:rPr>
          <w:rFonts w:hint="eastAsia" w:ascii="宋体" w:hAnsi="宋体"/>
          <w:bCs/>
          <w:szCs w:val="21"/>
        </w:rPr>
        <w:t>（2）出现影响采购公正的违法、违规行为的；</w:t>
      </w:r>
    </w:p>
    <w:p w14:paraId="14B8109B">
      <w:pPr>
        <w:pStyle w:val="10"/>
        <w:spacing w:line="360" w:lineRule="auto"/>
        <w:ind w:firstLine="420" w:firstLineChars="200"/>
        <w:rPr>
          <w:rFonts w:hint="eastAsia" w:ascii="宋体" w:hAnsi="宋体"/>
          <w:bCs/>
          <w:szCs w:val="21"/>
        </w:rPr>
      </w:pPr>
      <w:r>
        <w:rPr>
          <w:rFonts w:hint="eastAsia" w:ascii="宋体" w:hAnsi="宋体"/>
          <w:bCs/>
          <w:szCs w:val="21"/>
        </w:rPr>
        <w:t>（3）在采购过程中符合竞争要求的供应商或者报价未超过采购预算的供应商不足3家的，但“第四章 评审程序和评定成交的标准”第3.7条规定的情形除外。</w:t>
      </w:r>
    </w:p>
    <w:p w14:paraId="7461D29D">
      <w:pPr>
        <w:pStyle w:val="10"/>
        <w:spacing w:line="360" w:lineRule="auto"/>
        <w:ind w:firstLine="420" w:firstLineChars="200"/>
        <w:rPr>
          <w:rFonts w:hint="eastAsia" w:ascii="宋体" w:hAnsi="宋体"/>
          <w:bCs/>
          <w:szCs w:val="21"/>
        </w:rPr>
      </w:pPr>
      <w:r>
        <w:rPr>
          <w:rFonts w:hint="eastAsia" w:ascii="宋体" w:hAnsi="宋体"/>
          <w:bCs/>
          <w:szCs w:val="21"/>
        </w:rPr>
        <w:t>27.4在采购活动中因重大变故，采购任务取消的，采购人或者采购代理机构应当终止采购活动，通知所有参加采购活动的供应商，并将项目实施情况和采购任务取消原因报送本级财政部门。</w:t>
      </w:r>
    </w:p>
    <w:p w14:paraId="67D9B5BD">
      <w:pPr>
        <w:spacing w:line="360" w:lineRule="auto"/>
        <w:ind w:firstLine="482" w:firstLineChars="200"/>
        <w:rPr>
          <w:rFonts w:hint="eastAsia" w:ascii="黑体" w:hAnsi="黑体" w:eastAsia="黑体" w:cs="宋体"/>
          <w:b/>
          <w:bCs/>
          <w:sz w:val="24"/>
        </w:rPr>
      </w:pPr>
      <w:r>
        <w:rPr>
          <w:rFonts w:ascii="黑体" w:hAnsi="黑体" w:eastAsia="黑体" w:cs="宋体"/>
          <w:b/>
          <w:bCs/>
          <w:sz w:val="24"/>
        </w:rPr>
        <w:t>28</w:t>
      </w:r>
      <w:r>
        <w:rPr>
          <w:rFonts w:hint="eastAsia" w:ascii="黑体" w:hAnsi="黑体" w:eastAsia="黑体" w:cs="宋体"/>
          <w:b/>
          <w:bCs/>
          <w:sz w:val="24"/>
        </w:rPr>
        <w:t>.履约保证金：本项目不收取履约保证金。</w:t>
      </w:r>
    </w:p>
    <w:p w14:paraId="261DF24C">
      <w:pPr>
        <w:spacing w:line="360" w:lineRule="auto"/>
        <w:ind w:firstLine="482" w:firstLineChars="200"/>
        <w:rPr>
          <w:rFonts w:hint="eastAsia" w:ascii="黑体" w:hAnsi="黑体" w:eastAsia="黑体" w:cs="宋体"/>
          <w:b/>
          <w:bCs/>
          <w:sz w:val="24"/>
        </w:rPr>
      </w:pPr>
      <w:r>
        <w:rPr>
          <w:rFonts w:ascii="黑体" w:hAnsi="黑体" w:eastAsia="黑体" w:cs="宋体"/>
          <w:b/>
          <w:bCs/>
          <w:sz w:val="24"/>
        </w:rPr>
        <w:t>29</w:t>
      </w:r>
      <w:r>
        <w:rPr>
          <w:rFonts w:hint="eastAsia" w:ascii="黑体" w:hAnsi="黑体" w:eastAsia="黑体" w:cs="宋体"/>
          <w:b/>
          <w:bCs/>
          <w:sz w:val="24"/>
        </w:rPr>
        <w:t>.签订合同</w:t>
      </w:r>
    </w:p>
    <w:p w14:paraId="65E510E5">
      <w:pPr>
        <w:spacing w:line="360" w:lineRule="auto"/>
        <w:ind w:firstLine="424" w:firstLineChars="202"/>
        <w:rPr>
          <w:rFonts w:hint="eastAsia" w:ascii="宋体" w:hAnsi="宋体" w:cs="宋体"/>
          <w:szCs w:val="21"/>
        </w:rPr>
      </w:pPr>
      <w:r>
        <w:rPr>
          <w:rFonts w:hint="eastAsia" w:ascii="宋体" w:hAnsi="宋体" w:cs="宋体"/>
          <w:szCs w:val="21"/>
        </w:rPr>
        <w:t>29.1签订电子采购合同：成交供应商领取电子成交通知书后，在</w:t>
      </w:r>
      <w:r>
        <w:rPr>
          <w:rFonts w:hint="eastAsia" w:ascii="宋体" w:hAnsi="宋体" w:cs="宋体"/>
          <w:szCs w:val="21"/>
          <w:lang w:val="zh-CN"/>
        </w:rPr>
        <w:t>规定的日期、时间、地点，由法定代表人或其授权代表与采购人代表签订电子采购合同。如成交供应商为联合体的，由联合体成员各方法定代表人或其授权代表与采购人代表签订合同。</w:t>
      </w:r>
    </w:p>
    <w:p w14:paraId="1FC5FF61">
      <w:pPr>
        <w:spacing w:line="360" w:lineRule="auto"/>
        <w:ind w:firstLine="424" w:firstLineChars="202"/>
        <w:rPr>
          <w:rFonts w:hint="eastAsia" w:ascii="宋体" w:hAnsi="宋体" w:cs="宋体"/>
          <w:szCs w:val="21"/>
        </w:rPr>
      </w:pPr>
      <w:r>
        <w:rPr>
          <w:rFonts w:hint="eastAsia" w:ascii="宋体" w:hAnsi="宋体" w:cs="宋体"/>
          <w:szCs w:val="21"/>
        </w:rPr>
        <w:t>29.2签订合同时间：按成交通知书规定的时间与采购人签订合同。</w:t>
      </w:r>
    </w:p>
    <w:p w14:paraId="09E2EC15">
      <w:pPr>
        <w:spacing w:line="360" w:lineRule="auto"/>
        <w:ind w:firstLine="424" w:firstLineChars="202"/>
        <w:rPr>
          <w:rFonts w:hint="eastAsia" w:ascii="宋体" w:hAnsi="宋体" w:cs="宋体"/>
          <w:szCs w:val="21"/>
        </w:rPr>
      </w:pPr>
      <w:r>
        <w:rPr>
          <w:rFonts w:hint="eastAsia" w:ascii="宋体" w:hAnsi="宋体" w:cs="宋体"/>
          <w:szCs w:val="21"/>
        </w:rPr>
        <w:t>29.</w:t>
      </w:r>
      <w:r>
        <w:rPr>
          <w:rFonts w:ascii="宋体" w:hAnsi="宋体" w:cs="宋体"/>
          <w:szCs w:val="21"/>
        </w:rPr>
        <w:t>3</w:t>
      </w:r>
      <w:r>
        <w:rPr>
          <w:rFonts w:hint="eastAsia" w:ascii="宋体" w:hAnsi="宋体" w:cs="宋体"/>
          <w:szCs w:val="21"/>
        </w:rPr>
        <w:t>成交供应商拒绝签订政府采购合同（包括但不限于放弃成交、因不可抗力不能履行合同而放弃签订合同），采购人可以按照评审报告推荐的成交候选人名单排序，确定下一候选人为成交供应商，也可以重新开展政府采购活动。如采购人无正当理由拒签合同的，给成交供应商造成损失的，成交供应商可追究采购人承担相应的法律责任。</w:t>
      </w:r>
    </w:p>
    <w:p w14:paraId="61878BD0">
      <w:pPr>
        <w:spacing w:line="360" w:lineRule="auto"/>
        <w:ind w:firstLine="424" w:firstLineChars="202"/>
        <w:rPr>
          <w:rFonts w:hint="eastAsia" w:ascii="宋体" w:hAnsi="宋体" w:cs="宋体"/>
          <w:szCs w:val="21"/>
        </w:rPr>
      </w:pPr>
      <w:r>
        <w:rPr>
          <w:rFonts w:hint="eastAsia" w:ascii="宋体" w:hAnsi="宋体" w:cs="宋体"/>
          <w:szCs w:val="21"/>
        </w:rPr>
        <w:t>29.4政府采购合同是政府采购项目验收的依据，成交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280B8E85">
      <w:pPr>
        <w:spacing w:line="360" w:lineRule="auto"/>
        <w:ind w:firstLine="424" w:firstLineChars="202"/>
        <w:rPr>
          <w:rFonts w:hint="eastAsia" w:ascii="宋体" w:hAnsi="宋体" w:cs="宋体"/>
          <w:szCs w:val="21"/>
        </w:rPr>
      </w:pPr>
      <w:r>
        <w:rPr>
          <w:rFonts w:hint="eastAsia" w:ascii="宋体" w:hAnsi="宋体" w:cs="宋体"/>
          <w:szCs w:val="21"/>
        </w:rPr>
        <w:t>29.5采购人或成交供应商不得单方面向合同另一方提出任何谈判文件没有约定的条件或不合理的要求，作为签订合同的条件；也不得协商另行订立背离谈判文件和合同实质性内容的协议。</w:t>
      </w:r>
    </w:p>
    <w:p w14:paraId="5E6743A1">
      <w:pPr>
        <w:spacing w:line="360" w:lineRule="auto"/>
        <w:ind w:firstLine="424" w:firstLineChars="202"/>
        <w:rPr>
          <w:rFonts w:hint="eastAsia" w:ascii="宋体" w:hAnsi="宋体" w:cs="宋体"/>
          <w:szCs w:val="21"/>
        </w:rPr>
      </w:pPr>
      <w:r>
        <w:rPr>
          <w:rFonts w:hint="eastAsia" w:ascii="宋体" w:hAnsi="宋体" w:cs="宋体"/>
          <w:szCs w:val="21"/>
        </w:rPr>
        <w:t>29.6如签订合同并生效后，供应商无故拒绝或延期，除按照合同条款处理外，将承担相应的法律责任。</w:t>
      </w:r>
    </w:p>
    <w:p w14:paraId="3A9A63FC">
      <w:pPr>
        <w:spacing w:line="360" w:lineRule="auto"/>
        <w:ind w:firstLine="424" w:firstLineChars="202"/>
        <w:rPr>
          <w:rFonts w:hint="eastAsia" w:ascii="宋体" w:hAnsi="宋体" w:cs="宋体"/>
          <w:szCs w:val="21"/>
        </w:rPr>
      </w:pPr>
      <w:r>
        <w:rPr>
          <w:rFonts w:hint="eastAsia" w:ascii="宋体" w:hAnsi="宋体" w:cs="宋体"/>
          <w:szCs w:val="21"/>
        </w:rPr>
        <w:t>29.7政府采购合同履行中，采购人需追加与合同标的相同的货物、工程或者服务的，在不改变合同其他条款的前提下，可以与供应商协商签订补充合同，但所有补充合同的采购金额不得超过原合同采购金额的10%。</w:t>
      </w:r>
    </w:p>
    <w:p w14:paraId="4FFA94FC">
      <w:pPr>
        <w:spacing w:line="360" w:lineRule="auto"/>
        <w:ind w:firstLine="482" w:firstLineChars="200"/>
        <w:rPr>
          <w:rFonts w:hint="eastAsia" w:ascii="黑体" w:hAnsi="黑体" w:eastAsia="黑体" w:cs="宋体"/>
          <w:b/>
          <w:bCs/>
          <w:sz w:val="24"/>
        </w:rPr>
      </w:pPr>
      <w:r>
        <w:rPr>
          <w:rFonts w:ascii="黑体" w:hAnsi="黑体" w:eastAsia="黑体" w:cs="宋体"/>
          <w:b/>
          <w:bCs/>
          <w:sz w:val="24"/>
        </w:rPr>
        <w:t>30</w:t>
      </w:r>
      <w:r>
        <w:rPr>
          <w:rFonts w:hint="eastAsia" w:ascii="黑体" w:hAnsi="黑体" w:eastAsia="黑体" w:cs="宋体"/>
          <w:b/>
          <w:bCs/>
          <w:sz w:val="24"/>
        </w:rPr>
        <w:t>.政府采购合同公告</w:t>
      </w:r>
    </w:p>
    <w:p w14:paraId="5B326A9A">
      <w:pPr>
        <w:spacing w:line="360" w:lineRule="auto"/>
        <w:ind w:firstLine="420" w:firstLineChars="200"/>
        <w:rPr>
          <w:rFonts w:hint="eastAsia" w:ascii="宋体" w:hAnsi="宋体" w:cs="宋体"/>
          <w:szCs w:val="21"/>
        </w:rPr>
      </w:pPr>
      <w:r>
        <w:rPr>
          <w:rFonts w:hint="eastAsia" w:ascii="宋体" w:hAnsi="宋体" w:cs="宋体"/>
          <w:szCs w:val="21"/>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383074BB">
      <w:pPr>
        <w:spacing w:line="360" w:lineRule="auto"/>
        <w:ind w:firstLine="482" w:firstLineChars="200"/>
        <w:rPr>
          <w:rFonts w:hint="eastAsia" w:ascii="黑体" w:hAnsi="黑体" w:eastAsia="黑体" w:cs="宋体"/>
          <w:b/>
          <w:bCs/>
          <w:sz w:val="24"/>
        </w:rPr>
      </w:pPr>
      <w:r>
        <w:rPr>
          <w:rFonts w:ascii="黑体" w:hAnsi="黑体" w:eastAsia="黑体" w:cs="宋体"/>
          <w:b/>
          <w:bCs/>
          <w:sz w:val="24"/>
        </w:rPr>
        <w:t>31</w:t>
      </w:r>
      <w:r>
        <w:rPr>
          <w:rFonts w:hint="eastAsia" w:ascii="黑体" w:hAnsi="黑体" w:eastAsia="黑体" w:cs="宋体"/>
          <w:b/>
          <w:bCs/>
          <w:sz w:val="24"/>
        </w:rPr>
        <w:t>. 询问、质疑和投诉</w:t>
      </w:r>
    </w:p>
    <w:p w14:paraId="35FAFB28">
      <w:pPr>
        <w:pStyle w:val="7"/>
        <w:spacing w:after="120" w:line="360" w:lineRule="auto"/>
        <w:rPr>
          <w:rFonts w:hint="eastAsia" w:ascii="宋体" w:hAnsi="宋体"/>
          <w:szCs w:val="21"/>
        </w:rPr>
      </w:pPr>
      <w:r>
        <w:rPr>
          <w:rFonts w:ascii="宋体" w:hAnsi="宋体" w:cs="宋体"/>
        </w:rPr>
        <w:t>31</w:t>
      </w:r>
      <w:r>
        <w:rPr>
          <w:rFonts w:hint="eastAsia" w:ascii="宋体" w:hAnsi="宋体" w:cs="宋体"/>
        </w:rPr>
        <w:t>.1供应商对政府采购活动事项有疑问的，可以向采购人、采购代理机构提出询问，采购人或者采购代理机构应当在3个工作日内对供应商依法提出的询问作出答复，</w:t>
      </w:r>
      <w:r>
        <w:rPr>
          <w:rFonts w:hint="eastAsia" w:ascii="宋体" w:hAnsi="宋体"/>
          <w:szCs w:val="21"/>
        </w:rPr>
        <w:t>但答复的内容不得涉及商业秘密。</w:t>
      </w:r>
    </w:p>
    <w:p w14:paraId="78820379">
      <w:pPr>
        <w:spacing w:line="360" w:lineRule="auto"/>
        <w:ind w:firstLine="420" w:firstLineChars="200"/>
        <w:rPr>
          <w:rFonts w:hint="eastAsia" w:ascii="宋体" w:hAnsi="宋体" w:cs="宋体"/>
        </w:rPr>
      </w:pPr>
      <w:r>
        <w:rPr>
          <w:rFonts w:ascii="宋体" w:hAnsi="宋体" w:cs="宋体"/>
        </w:rPr>
        <w:t>31</w:t>
      </w:r>
      <w:r>
        <w:rPr>
          <w:rFonts w:hint="eastAsia" w:ascii="宋体" w:hAnsi="宋体" w:cs="宋体"/>
        </w:rPr>
        <w:t>.2供应商认为谈判文件、采购过程或者成交结果使自己的合法权益受到损害的，应当在知道或者应知其权益受到损害之日起7个工作日内，以书面形式向采购人、采购代理机构提出质疑，</w:t>
      </w:r>
      <w:r>
        <w:rPr>
          <w:rFonts w:ascii="Arial" w:hAnsi="Arial" w:cs="Arial"/>
          <w:shd w:val="clear" w:color="auto" w:fill="FFFFFF"/>
        </w:rPr>
        <w:t>接收质疑函的方式、联系部门、联系电话和通讯地址等信息</w:t>
      </w:r>
      <w:r>
        <w:rPr>
          <w:rFonts w:hint="eastAsia" w:ascii="宋体" w:hAnsi="宋体" w:cs="宋体"/>
          <w:szCs w:val="21"/>
        </w:rPr>
        <w:t>详见“供应商须知前附表”</w:t>
      </w:r>
      <w:r>
        <w:rPr>
          <w:rFonts w:hint="eastAsia" w:ascii="宋体" w:hAnsi="宋体" w:cs="宋体"/>
        </w:rPr>
        <w:t>。具体质疑起算时间如下：</w:t>
      </w:r>
    </w:p>
    <w:p w14:paraId="2ECC1FE9">
      <w:pPr>
        <w:spacing w:line="360" w:lineRule="auto"/>
        <w:ind w:firstLine="420" w:firstLineChars="200"/>
        <w:rPr>
          <w:rFonts w:hint="eastAsia" w:ascii="宋体" w:hAnsi="宋体" w:cs="宋体"/>
        </w:rPr>
      </w:pPr>
      <w:r>
        <w:rPr>
          <w:rFonts w:hint="eastAsia" w:ascii="宋体" w:hAnsi="宋体" w:cs="宋体"/>
        </w:rPr>
        <w:t>（1）对可以质疑的谈判文件提出质疑的，为获取谈判文件之日；</w:t>
      </w:r>
    </w:p>
    <w:p w14:paraId="67F0F74C">
      <w:pPr>
        <w:spacing w:line="360" w:lineRule="auto"/>
        <w:ind w:firstLine="420" w:firstLineChars="200"/>
        <w:rPr>
          <w:rFonts w:hint="eastAsia" w:ascii="宋体" w:hAnsi="宋体" w:cs="宋体"/>
        </w:rPr>
      </w:pPr>
      <w:r>
        <w:rPr>
          <w:rFonts w:hint="eastAsia" w:ascii="宋体" w:hAnsi="宋体" w:cs="宋体"/>
        </w:rPr>
        <w:t>（2）对采购过程提出质疑的，为各采购程序环节结束之日；</w:t>
      </w:r>
    </w:p>
    <w:p w14:paraId="224C0DA8">
      <w:pPr>
        <w:spacing w:line="360" w:lineRule="auto"/>
        <w:ind w:firstLine="420" w:firstLineChars="200"/>
        <w:rPr>
          <w:rFonts w:hint="eastAsia" w:ascii="宋体" w:hAnsi="宋体" w:cs="宋体"/>
        </w:rPr>
      </w:pPr>
      <w:r>
        <w:rPr>
          <w:rFonts w:hint="eastAsia" w:ascii="宋体" w:hAnsi="宋体" w:cs="宋体"/>
        </w:rPr>
        <w:t>（3）对成交结果提出质疑的，为成交结果公告期限届满之日。</w:t>
      </w:r>
    </w:p>
    <w:p w14:paraId="5AB4A0D9">
      <w:pPr>
        <w:spacing w:line="360" w:lineRule="auto"/>
        <w:ind w:firstLine="420" w:firstLineChars="200"/>
        <w:rPr>
          <w:rFonts w:hint="eastAsia" w:ascii="宋体" w:hAnsi="宋体" w:cs="宋体"/>
        </w:rPr>
      </w:pPr>
      <w:r>
        <w:rPr>
          <w:rFonts w:ascii="宋体" w:hAnsi="宋体" w:cs="宋体"/>
        </w:rPr>
        <w:t>31</w:t>
      </w:r>
      <w:r>
        <w:rPr>
          <w:rFonts w:hint="eastAsia" w:ascii="宋体" w:hAnsi="宋体" w:cs="宋体"/>
        </w:rPr>
        <w:t>.3供应商提出的询问或者质疑超出采购人对采购代理机构委托授权范围的，采购代理机构应当告知供应商向采购人提出。政府采购评审专家应当配合采购人或者采购代理机构答复供应商的询问和质疑。</w:t>
      </w:r>
    </w:p>
    <w:p w14:paraId="5E8B9539">
      <w:pPr>
        <w:spacing w:line="360" w:lineRule="auto"/>
        <w:ind w:firstLine="420" w:firstLineChars="200"/>
        <w:rPr>
          <w:rFonts w:hint="eastAsia" w:ascii="宋体" w:hAnsi="宋体" w:cs="宋体"/>
        </w:rPr>
      </w:pPr>
      <w:r>
        <w:rPr>
          <w:rFonts w:ascii="宋体" w:hAnsi="宋体" w:cs="宋体"/>
        </w:rPr>
        <w:t>31</w:t>
      </w:r>
      <w:r>
        <w:rPr>
          <w:rFonts w:hint="eastAsia" w:ascii="宋体" w:hAnsi="宋体" w:cs="宋体"/>
        </w:rPr>
        <w:t>.4供应商提出质疑应当提交质疑函和必要的证明材料，针对同一采购程序环节的质疑必须在法定质疑期内一次性提出。质疑函应当包括下列内容</w:t>
      </w:r>
      <w:r>
        <w:rPr>
          <w:rFonts w:hint="eastAsia" w:hAnsi="宋体"/>
          <w:bCs/>
        </w:rPr>
        <w:t>（质疑函格式后附）</w:t>
      </w:r>
      <w:r>
        <w:rPr>
          <w:rFonts w:hint="eastAsia" w:ascii="宋体" w:hAnsi="宋体" w:cs="宋体"/>
        </w:rPr>
        <w:t>：</w:t>
      </w:r>
    </w:p>
    <w:p w14:paraId="2BE8973B">
      <w:pPr>
        <w:spacing w:line="360" w:lineRule="auto"/>
        <w:ind w:firstLine="420" w:firstLineChars="200"/>
        <w:rPr>
          <w:rFonts w:hint="eastAsia" w:ascii="宋体" w:hAnsi="宋体" w:cs="宋体"/>
        </w:rPr>
      </w:pPr>
      <w:r>
        <w:rPr>
          <w:rFonts w:hint="eastAsia" w:ascii="宋体" w:hAnsi="宋体" w:cs="宋体"/>
        </w:rPr>
        <w:t>（1）供应商的姓名或者名称、地址、邮编、联系人及联系电话；</w:t>
      </w:r>
    </w:p>
    <w:p w14:paraId="14FE7F03">
      <w:pPr>
        <w:spacing w:line="360" w:lineRule="auto"/>
        <w:ind w:firstLine="420" w:firstLineChars="200"/>
        <w:rPr>
          <w:rFonts w:hint="eastAsia" w:ascii="宋体" w:hAnsi="宋体" w:cs="宋体"/>
        </w:rPr>
      </w:pPr>
      <w:r>
        <w:rPr>
          <w:rFonts w:hint="eastAsia" w:ascii="宋体" w:hAnsi="宋体" w:cs="宋体"/>
        </w:rPr>
        <w:t>（2）质疑项目的名称、编号；</w:t>
      </w:r>
    </w:p>
    <w:p w14:paraId="025B61FF">
      <w:pPr>
        <w:spacing w:line="360" w:lineRule="auto"/>
        <w:ind w:firstLine="420" w:firstLineChars="200"/>
        <w:rPr>
          <w:rFonts w:hint="eastAsia" w:ascii="宋体" w:hAnsi="宋体" w:cs="宋体"/>
        </w:rPr>
      </w:pPr>
      <w:r>
        <w:rPr>
          <w:rFonts w:hint="eastAsia" w:ascii="宋体" w:hAnsi="宋体" w:cs="宋体"/>
        </w:rPr>
        <w:t>（3）具体、明确的质疑事项和与质疑事项相关的请求；</w:t>
      </w:r>
    </w:p>
    <w:p w14:paraId="06CB2731">
      <w:pPr>
        <w:spacing w:line="360" w:lineRule="auto"/>
        <w:ind w:firstLine="420" w:firstLineChars="200"/>
        <w:rPr>
          <w:rFonts w:hint="eastAsia" w:ascii="宋体" w:hAnsi="宋体" w:cs="宋体"/>
        </w:rPr>
      </w:pPr>
      <w:r>
        <w:rPr>
          <w:rFonts w:hint="eastAsia" w:ascii="宋体" w:hAnsi="宋体" w:cs="宋体"/>
        </w:rPr>
        <w:t>（4）事实依据；</w:t>
      </w:r>
    </w:p>
    <w:p w14:paraId="3AAB3515">
      <w:pPr>
        <w:spacing w:line="360" w:lineRule="auto"/>
        <w:ind w:firstLine="420" w:firstLineChars="200"/>
        <w:rPr>
          <w:rFonts w:hint="eastAsia" w:ascii="宋体" w:hAnsi="宋体" w:cs="宋体"/>
        </w:rPr>
      </w:pPr>
      <w:r>
        <w:rPr>
          <w:rFonts w:hint="eastAsia" w:ascii="宋体" w:hAnsi="宋体" w:cs="宋体"/>
        </w:rPr>
        <w:t>（5）必要的法律依据；</w:t>
      </w:r>
    </w:p>
    <w:p w14:paraId="55202C87">
      <w:pPr>
        <w:spacing w:line="360" w:lineRule="auto"/>
        <w:ind w:firstLine="420" w:firstLineChars="200"/>
        <w:rPr>
          <w:rFonts w:hint="eastAsia" w:ascii="宋体" w:hAnsi="宋体" w:cs="宋体"/>
        </w:rPr>
      </w:pPr>
      <w:r>
        <w:rPr>
          <w:rFonts w:hint="eastAsia" w:ascii="宋体" w:hAnsi="宋体" w:cs="宋体"/>
        </w:rPr>
        <w:t>（6）提出质疑的日期。</w:t>
      </w:r>
    </w:p>
    <w:p w14:paraId="4E5913A7">
      <w:pPr>
        <w:spacing w:line="360" w:lineRule="auto"/>
        <w:ind w:firstLine="420" w:firstLineChars="200"/>
        <w:rPr>
          <w:rFonts w:hint="eastAsia" w:ascii="宋体" w:hAnsi="宋体" w:cs="宋体"/>
        </w:rPr>
      </w:pPr>
      <w:r>
        <w:rPr>
          <w:rFonts w:hint="eastAsia" w:ascii="宋体" w:hAnsi="宋体" w:cs="宋体"/>
        </w:rPr>
        <w:t>供应商为自然人的，应当由本人签字；供应商为法人或者其他组织的，应当由法定代表人、主要负责人，或者其委托代理人签字或者盖章，并加盖公章。</w:t>
      </w:r>
    </w:p>
    <w:p w14:paraId="4A53DAFD">
      <w:pPr>
        <w:spacing w:line="360" w:lineRule="auto"/>
        <w:ind w:firstLine="420" w:firstLineChars="200"/>
        <w:rPr>
          <w:rFonts w:hint="eastAsia" w:ascii="宋体" w:hAnsi="宋体" w:cs="宋体"/>
        </w:rPr>
      </w:pPr>
      <w:r>
        <w:rPr>
          <w:rFonts w:hint="eastAsia" w:ascii="宋体" w:hAnsi="宋体" w:cs="宋体"/>
        </w:rPr>
        <w:t>3</w:t>
      </w:r>
      <w:r>
        <w:rPr>
          <w:rFonts w:ascii="宋体" w:hAnsi="宋体" w:cs="宋体"/>
        </w:rPr>
        <w:t>1.5</w:t>
      </w:r>
      <w:r>
        <w:rPr>
          <w:rFonts w:hint="eastAsia" w:ascii="宋体" w:hAnsi="宋体" w:cs="宋体"/>
        </w:rPr>
        <w:t>采购人、采购代理机构认为供应商质疑不成立，或者成立但未对成交结果构成影响的，继续开展采购活动；认为供应商质疑成立且影响或者可能影响成交结果的，按照下列情况处理：</w:t>
      </w:r>
    </w:p>
    <w:p w14:paraId="0E04F647">
      <w:pPr>
        <w:spacing w:line="360" w:lineRule="auto"/>
        <w:ind w:firstLine="420" w:firstLineChars="200"/>
        <w:rPr>
          <w:rFonts w:hint="eastAsia" w:ascii="宋体" w:hAnsi="宋体" w:cs="宋体"/>
        </w:rPr>
      </w:pPr>
      <w:r>
        <w:rPr>
          <w:rFonts w:hint="eastAsia" w:ascii="宋体" w:hAnsi="宋体" w:cs="宋体"/>
        </w:rPr>
        <w:t>（一）对采购文件提出的质疑，依法通过澄清或者修改可以继续开展采购活动的，澄清或者修改采购文件后继续开展采购活动；否则应当修改采购文件后重新开展采购活动。</w:t>
      </w:r>
    </w:p>
    <w:p w14:paraId="6F68B784">
      <w:pPr>
        <w:spacing w:line="360" w:lineRule="auto"/>
        <w:ind w:firstLine="420" w:firstLineChars="200"/>
        <w:rPr>
          <w:rFonts w:hint="eastAsia" w:ascii="宋体" w:hAnsi="宋体" w:cs="宋体"/>
        </w:rPr>
      </w:pPr>
      <w:r>
        <w:rPr>
          <w:rFonts w:hint="eastAsia" w:ascii="宋体" w:hAnsi="宋体" w:cs="宋体"/>
        </w:rPr>
        <w:t>（二）对采购过程或者成交结果提出的质疑，合格供应商符合法定数量时，可以从合格的成交候选人中另行确定成交供应商的，应当依法另行确定成交供应商；否则应当重新开展采购活动。</w:t>
      </w:r>
    </w:p>
    <w:p w14:paraId="1F5525DC">
      <w:pPr>
        <w:spacing w:line="360" w:lineRule="auto"/>
        <w:ind w:firstLine="420" w:firstLineChars="200"/>
        <w:rPr>
          <w:rFonts w:hint="eastAsia" w:ascii="宋体" w:hAnsi="宋体" w:cs="宋体"/>
        </w:rPr>
      </w:pPr>
      <w:r>
        <w:rPr>
          <w:rFonts w:hint="eastAsia" w:ascii="宋体" w:hAnsi="宋体" w:cs="宋体"/>
        </w:rPr>
        <w:t>质疑答复导致成交结果改变的，采购人或者采购代理机构应当将有关情况书面报告本级财政部门。</w:t>
      </w:r>
    </w:p>
    <w:p w14:paraId="209A39C6">
      <w:pPr>
        <w:spacing w:line="360" w:lineRule="auto"/>
        <w:ind w:firstLine="420" w:firstLineChars="200"/>
        <w:rPr>
          <w:rFonts w:hint="eastAsia" w:ascii="宋体" w:hAnsi="宋体" w:cs="宋体"/>
          <w:b/>
          <w:bCs/>
          <w:szCs w:val="21"/>
        </w:rPr>
      </w:pPr>
      <w:r>
        <w:rPr>
          <w:rFonts w:ascii="宋体" w:hAnsi="宋体" w:cs="宋体"/>
        </w:rPr>
        <w:t>31</w:t>
      </w:r>
      <w:r>
        <w:rPr>
          <w:rFonts w:hint="eastAsia" w:ascii="宋体" w:hAnsi="宋体" w:cs="宋体"/>
        </w:rPr>
        <w:t>.</w:t>
      </w:r>
      <w:r>
        <w:rPr>
          <w:rFonts w:ascii="宋体" w:hAnsi="宋体" w:cs="宋体"/>
        </w:rPr>
        <w:t>6</w:t>
      </w:r>
      <w:r>
        <w:rPr>
          <w:rFonts w:hint="eastAsia" w:ascii="宋体" w:hAnsi="宋体" w:cs="宋体"/>
        </w:rPr>
        <w:t>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57A71408">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3</w:t>
      </w:r>
      <w:r>
        <w:rPr>
          <w:rFonts w:ascii="黑体" w:hAnsi="黑体" w:eastAsia="黑体" w:cs="宋体"/>
          <w:b/>
          <w:bCs/>
          <w:sz w:val="24"/>
        </w:rPr>
        <w:t>2.</w:t>
      </w:r>
      <w:r>
        <w:rPr>
          <w:rFonts w:hint="eastAsia" w:ascii="黑体" w:hAnsi="黑体" w:eastAsia="黑体" w:cs="宋体"/>
          <w:b/>
          <w:bCs/>
          <w:sz w:val="24"/>
        </w:rPr>
        <w:t>其他内容</w:t>
      </w:r>
    </w:p>
    <w:p w14:paraId="3FB84C1A">
      <w:pPr>
        <w:tabs>
          <w:tab w:val="left" w:pos="2835"/>
        </w:tabs>
        <w:spacing w:line="360" w:lineRule="auto"/>
        <w:ind w:firstLine="420" w:firstLineChars="200"/>
        <w:rPr>
          <w:rFonts w:hint="eastAsia" w:ascii="宋体" w:hAnsi="宋体" w:cs="宋体"/>
          <w:szCs w:val="21"/>
        </w:rPr>
      </w:pPr>
      <w:r>
        <w:rPr>
          <w:rFonts w:ascii="宋体" w:hAnsi="宋体" w:cs="宋体"/>
          <w:szCs w:val="21"/>
        </w:rPr>
        <w:t>32</w:t>
      </w:r>
      <w:r>
        <w:rPr>
          <w:rFonts w:hint="eastAsia" w:ascii="宋体" w:hAnsi="宋体" w:cs="宋体"/>
          <w:szCs w:val="21"/>
        </w:rPr>
        <w:t>.1代理服务收取标准详见“供应商须知前附表”，供应商为联合体的，可以由联合体中的一方或者多方共同交纳代理服务费：</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532"/>
        <w:gridCol w:w="1984"/>
      </w:tblGrid>
      <w:tr w14:paraId="7EA29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Borders>
              <w:tl2br w:val="single" w:color="auto" w:sz="4" w:space="0"/>
            </w:tcBorders>
          </w:tcPr>
          <w:p w14:paraId="1C4C4914">
            <w:pPr>
              <w:spacing w:line="360" w:lineRule="auto"/>
              <w:rPr>
                <w:rFonts w:hint="eastAsia" w:ascii="宋体" w:hAnsi="宋体" w:cs="宋体"/>
                <w:szCs w:val="21"/>
              </w:rPr>
            </w:pPr>
            <w:r>
              <w:rPr>
                <w:rFonts w:hint="eastAsia" w:ascii="宋体" w:hAnsi="宋体" w:cs="宋体"/>
                <w:szCs w:val="21"/>
              </w:rPr>
              <w:t xml:space="preserve">               费率</w:t>
            </w:r>
          </w:p>
          <w:p w14:paraId="359C509E">
            <w:pPr>
              <w:spacing w:line="360" w:lineRule="auto"/>
              <w:rPr>
                <w:rFonts w:hint="eastAsia" w:ascii="宋体" w:hAnsi="宋体" w:cs="宋体"/>
                <w:szCs w:val="21"/>
              </w:rPr>
            </w:pPr>
            <w:r>
              <w:rPr>
                <w:rFonts w:hint="eastAsia" w:ascii="宋体" w:hAnsi="宋体" w:cs="宋体"/>
                <w:szCs w:val="21"/>
              </w:rPr>
              <w:t>金额</w:t>
            </w:r>
          </w:p>
        </w:tc>
        <w:tc>
          <w:tcPr>
            <w:tcW w:w="1659" w:type="dxa"/>
            <w:vAlign w:val="center"/>
          </w:tcPr>
          <w:p w14:paraId="48CD9AC2">
            <w:pPr>
              <w:spacing w:line="360" w:lineRule="auto"/>
              <w:ind w:firstLine="105" w:firstLineChars="50"/>
              <w:jc w:val="center"/>
              <w:rPr>
                <w:rFonts w:hint="eastAsia" w:ascii="宋体" w:hAnsi="宋体" w:cs="宋体"/>
                <w:szCs w:val="21"/>
              </w:rPr>
            </w:pPr>
            <w:r>
              <w:rPr>
                <w:rFonts w:hint="eastAsia" w:ascii="宋体" w:hAnsi="宋体" w:cs="宋体"/>
                <w:szCs w:val="21"/>
              </w:rPr>
              <w:t>货物类</w:t>
            </w:r>
          </w:p>
        </w:tc>
        <w:tc>
          <w:tcPr>
            <w:tcW w:w="1532" w:type="dxa"/>
            <w:vAlign w:val="center"/>
          </w:tcPr>
          <w:p w14:paraId="12B6EAC2">
            <w:pPr>
              <w:spacing w:line="360" w:lineRule="auto"/>
              <w:jc w:val="center"/>
              <w:rPr>
                <w:rFonts w:hint="eastAsia" w:ascii="宋体" w:hAnsi="宋体" w:cs="宋体"/>
                <w:szCs w:val="21"/>
              </w:rPr>
            </w:pPr>
            <w:r>
              <w:rPr>
                <w:rFonts w:hint="eastAsia" w:ascii="宋体" w:hAnsi="宋体" w:cs="宋体"/>
                <w:szCs w:val="21"/>
              </w:rPr>
              <w:t>服务类</w:t>
            </w:r>
          </w:p>
        </w:tc>
        <w:tc>
          <w:tcPr>
            <w:tcW w:w="1984" w:type="dxa"/>
            <w:vAlign w:val="center"/>
          </w:tcPr>
          <w:p w14:paraId="0E58C5A2">
            <w:pPr>
              <w:spacing w:line="360" w:lineRule="auto"/>
              <w:jc w:val="center"/>
              <w:rPr>
                <w:rFonts w:hint="eastAsia" w:ascii="宋体" w:hAnsi="宋体" w:cs="宋体"/>
                <w:szCs w:val="21"/>
              </w:rPr>
            </w:pPr>
            <w:r>
              <w:rPr>
                <w:rFonts w:hint="eastAsia" w:ascii="宋体" w:hAnsi="宋体" w:cs="宋体"/>
                <w:szCs w:val="21"/>
              </w:rPr>
              <w:t>工程类</w:t>
            </w:r>
          </w:p>
        </w:tc>
      </w:tr>
      <w:tr w14:paraId="25CE2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3DADDCD8">
            <w:pPr>
              <w:spacing w:line="360" w:lineRule="auto"/>
              <w:rPr>
                <w:rFonts w:hint="eastAsia" w:ascii="宋体" w:hAnsi="宋体" w:cs="宋体"/>
                <w:szCs w:val="21"/>
              </w:rPr>
            </w:pPr>
            <w:r>
              <w:rPr>
                <w:rFonts w:hint="eastAsia" w:ascii="宋体" w:hAnsi="宋体" w:cs="宋体"/>
                <w:szCs w:val="21"/>
              </w:rPr>
              <w:t>100万元以下</w:t>
            </w:r>
          </w:p>
        </w:tc>
        <w:tc>
          <w:tcPr>
            <w:tcW w:w="1659" w:type="dxa"/>
          </w:tcPr>
          <w:p w14:paraId="51FE0D3B">
            <w:pPr>
              <w:spacing w:line="360" w:lineRule="auto"/>
              <w:jc w:val="center"/>
              <w:rPr>
                <w:rFonts w:hint="eastAsia" w:ascii="宋体" w:hAnsi="宋体" w:cs="宋体"/>
                <w:szCs w:val="21"/>
              </w:rPr>
            </w:pPr>
            <w:r>
              <w:rPr>
                <w:rFonts w:hint="eastAsia" w:ascii="宋体" w:hAnsi="宋体" w:cs="宋体"/>
                <w:kern w:val="0"/>
                <w:szCs w:val="21"/>
              </w:rPr>
              <w:t>1.5%</w:t>
            </w:r>
          </w:p>
        </w:tc>
        <w:tc>
          <w:tcPr>
            <w:tcW w:w="1532" w:type="dxa"/>
          </w:tcPr>
          <w:p w14:paraId="1A4E6435">
            <w:pPr>
              <w:spacing w:line="360" w:lineRule="auto"/>
              <w:ind w:firstLine="210" w:firstLineChars="100"/>
              <w:jc w:val="center"/>
              <w:rPr>
                <w:rFonts w:hint="eastAsia" w:ascii="宋体" w:hAnsi="宋体" w:cs="宋体"/>
                <w:szCs w:val="21"/>
              </w:rPr>
            </w:pPr>
            <w:r>
              <w:rPr>
                <w:rFonts w:hint="eastAsia" w:ascii="宋体" w:hAnsi="宋体" w:cs="宋体"/>
                <w:kern w:val="0"/>
                <w:szCs w:val="21"/>
              </w:rPr>
              <w:t>1.5%</w:t>
            </w:r>
          </w:p>
        </w:tc>
        <w:tc>
          <w:tcPr>
            <w:tcW w:w="1984" w:type="dxa"/>
          </w:tcPr>
          <w:p w14:paraId="4C66FB94">
            <w:pPr>
              <w:spacing w:line="360" w:lineRule="auto"/>
              <w:ind w:firstLine="210" w:firstLineChars="100"/>
              <w:jc w:val="center"/>
              <w:rPr>
                <w:rFonts w:hint="eastAsia" w:ascii="宋体" w:hAnsi="宋体" w:cs="宋体"/>
                <w:szCs w:val="21"/>
              </w:rPr>
            </w:pPr>
            <w:r>
              <w:rPr>
                <w:rFonts w:hint="eastAsia" w:ascii="宋体" w:hAnsi="宋体" w:cs="宋体"/>
                <w:kern w:val="0"/>
                <w:szCs w:val="21"/>
              </w:rPr>
              <w:t>1.0%</w:t>
            </w:r>
          </w:p>
        </w:tc>
      </w:tr>
      <w:tr w14:paraId="2AC19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71489E8A">
            <w:pPr>
              <w:spacing w:line="360" w:lineRule="auto"/>
              <w:rPr>
                <w:rFonts w:hint="eastAsia" w:ascii="宋体" w:hAnsi="宋体" w:cs="宋体"/>
                <w:szCs w:val="21"/>
              </w:rPr>
            </w:pPr>
            <w:r>
              <w:rPr>
                <w:rFonts w:hint="eastAsia" w:ascii="宋体" w:hAnsi="宋体" w:cs="宋体"/>
                <w:szCs w:val="21"/>
              </w:rPr>
              <w:t>100～500万元</w:t>
            </w:r>
          </w:p>
        </w:tc>
        <w:tc>
          <w:tcPr>
            <w:tcW w:w="1659" w:type="dxa"/>
          </w:tcPr>
          <w:p w14:paraId="09F716F6">
            <w:pPr>
              <w:spacing w:line="360" w:lineRule="auto"/>
              <w:ind w:firstLine="210" w:firstLineChars="100"/>
              <w:jc w:val="center"/>
              <w:rPr>
                <w:rFonts w:hint="eastAsia" w:ascii="宋体" w:hAnsi="宋体" w:cs="宋体"/>
                <w:szCs w:val="21"/>
              </w:rPr>
            </w:pPr>
            <w:r>
              <w:rPr>
                <w:rFonts w:hint="eastAsia" w:ascii="宋体" w:hAnsi="宋体" w:cs="宋体"/>
                <w:kern w:val="0"/>
                <w:szCs w:val="21"/>
              </w:rPr>
              <w:t>1.1%</w:t>
            </w:r>
          </w:p>
        </w:tc>
        <w:tc>
          <w:tcPr>
            <w:tcW w:w="1532" w:type="dxa"/>
          </w:tcPr>
          <w:p w14:paraId="67389489">
            <w:pPr>
              <w:spacing w:line="360" w:lineRule="auto"/>
              <w:ind w:firstLine="210" w:firstLineChars="100"/>
              <w:jc w:val="center"/>
              <w:rPr>
                <w:rFonts w:hint="eastAsia" w:ascii="宋体" w:hAnsi="宋体" w:cs="宋体"/>
                <w:szCs w:val="21"/>
              </w:rPr>
            </w:pPr>
            <w:r>
              <w:rPr>
                <w:rFonts w:hint="eastAsia" w:ascii="宋体" w:hAnsi="宋体" w:cs="宋体"/>
                <w:kern w:val="0"/>
                <w:szCs w:val="21"/>
              </w:rPr>
              <w:t>0.8%</w:t>
            </w:r>
          </w:p>
        </w:tc>
        <w:tc>
          <w:tcPr>
            <w:tcW w:w="1984" w:type="dxa"/>
          </w:tcPr>
          <w:p w14:paraId="00A73C51">
            <w:pPr>
              <w:spacing w:line="360" w:lineRule="auto"/>
              <w:ind w:firstLine="210" w:firstLineChars="100"/>
              <w:jc w:val="center"/>
              <w:rPr>
                <w:rFonts w:hint="eastAsia" w:ascii="宋体" w:hAnsi="宋体" w:cs="宋体"/>
                <w:szCs w:val="21"/>
              </w:rPr>
            </w:pPr>
            <w:r>
              <w:rPr>
                <w:rFonts w:hint="eastAsia" w:ascii="宋体" w:hAnsi="宋体" w:cs="宋体"/>
                <w:kern w:val="0"/>
                <w:szCs w:val="21"/>
              </w:rPr>
              <w:t>0.7%</w:t>
            </w:r>
          </w:p>
        </w:tc>
      </w:tr>
      <w:tr w14:paraId="03B52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6090953B">
            <w:pPr>
              <w:spacing w:line="360" w:lineRule="auto"/>
              <w:rPr>
                <w:rFonts w:hint="eastAsia" w:ascii="宋体" w:hAnsi="宋体" w:cs="宋体"/>
                <w:szCs w:val="21"/>
              </w:rPr>
            </w:pPr>
            <w:r>
              <w:rPr>
                <w:rFonts w:hint="eastAsia" w:ascii="宋体" w:hAnsi="宋体" w:cs="宋体"/>
                <w:szCs w:val="21"/>
              </w:rPr>
              <w:t>500～1000万元</w:t>
            </w:r>
          </w:p>
        </w:tc>
        <w:tc>
          <w:tcPr>
            <w:tcW w:w="1659" w:type="dxa"/>
          </w:tcPr>
          <w:p w14:paraId="25B9D097">
            <w:pPr>
              <w:spacing w:line="360" w:lineRule="auto"/>
              <w:jc w:val="center"/>
              <w:rPr>
                <w:rFonts w:hint="eastAsia" w:ascii="宋体" w:hAnsi="宋体" w:cs="宋体"/>
                <w:szCs w:val="21"/>
              </w:rPr>
            </w:pPr>
            <w:r>
              <w:rPr>
                <w:rFonts w:hint="eastAsia" w:ascii="宋体" w:hAnsi="宋体" w:cs="宋体"/>
                <w:kern w:val="0"/>
                <w:szCs w:val="21"/>
              </w:rPr>
              <w:t>0.8%</w:t>
            </w:r>
          </w:p>
        </w:tc>
        <w:tc>
          <w:tcPr>
            <w:tcW w:w="1532" w:type="dxa"/>
          </w:tcPr>
          <w:p w14:paraId="6483EC0C">
            <w:pPr>
              <w:spacing w:line="360" w:lineRule="auto"/>
              <w:ind w:firstLine="210" w:firstLineChars="100"/>
              <w:jc w:val="center"/>
              <w:rPr>
                <w:rFonts w:hint="eastAsia" w:ascii="宋体" w:hAnsi="宋体" w:cs="宋体"/>
                <w:szCs w:val="21"/>
              </w:rPr>
            </w:pPr>
            <w:r>
              <w:rPr>
                <w:rFonts w:hint="eastAsia" w:ascii="宋体" w:hAnsi="宋体" w:cs="宋体"/>
                <w:kern w:val="0"/>
                <w:szCs w:val="21"/>
              </w:rPr>
              <w:t>0.45%</w:t>
            </w:r>
          </w:p>
        </w:tc>
        <w:tc>
          <w:tcPr>
            <w:tcW w:w="1984" w:type="dxa"/>
          </w:tcPr>
          <w:p w14:paraId="3403753B">
            <w:pPr>
              <w:spacing w:line="360" w:lineRule="auto"/>
              <w:ind w:firstLine="210" w:firstLineChars="100"/>
              <w:jc w:val="center"/>
              <w:rPr>
                <w:rFonts w:hint="eastAsia" w:ascii="宋体" w:hAnsi="宋体" w:cs="宋体"/>
                <w:szCs w:val="21"/>
              </w:rPr>
            </w:pPr>
            <w:r>
              <w:rPr>
                <w:rFonts w:hint="eastAsia" w:ascii="宋体" w:hAnsi="宋体" w:cs="宋体"/>
                <w:kern w:val="0"/>
                <w:szCs w:val="21"/>
              </w:rPr>
              <w:t>0.55%</w:t>
            </w:r>
          </w:p>
        </w:tc>
      </w:tr>
      <w:tr w14:paraId="4706B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58E65E25">
            <w:pPr>
              <w:spacing w:line="360" w:lineRule="auto"/>
              <w:rPr>
                <w:rFonts w:hint="eastAsia" w:ascii="宋体" w:hAnsi="宋体" w:cs="宋体"/>
                <w:szCs w:val="21"/>
              </w:rPr>
            </w:pPr>
            <w:r>
              <w:rPr>
                <w:rFonts w:hint="eastAsia" w:ascii="宋体" w:hAnsi="宋体" w:cs="宋体"/>
                <w:szCs w:val="21"/>
              </w:rPr>
              <w:t>1000～5000万元</w:t>
            </w:r>
          </w:p>
        </w:tc>
        <w:tc>
          <w:tcPr>
            <w:tcW w:w="1659" w:type="dxa"/>
          </w:tcPr>
          <w:p w14:paraId="18B6921A">
            <w:pPr>
              <w:spacing w:line="360" w:lineRule="auto"/>
              <w:ind w:firstLine="210" w:firstLineChars="100"/>
              <w:jc w:val="center"/>
              <w:rPr>
                <w:rFonts w:hint="eastAsia" w:ascii="宋体" w:hAnsi="宋体" w:cs="宋体"/>
                <w:szCs w:val="21"/>
              </w:rPr>
            </w:pPr>
            <w:r>
              <w:rPr>
                <w:rFonts w:hint="eastAsia" w:ascii="宋体" w:hAnsi="宋体" w:cs="宋体"/>
                <w:kern w:val="0"/>
                <w:szCs w:val="21"/>
              </w:rPr>
              <w:t>0.5%</w:t>
            </w:r>
          </w:p>
        </w:tc>
        <w:tc>
          <w:tcPr>
            <w:tcW w:w="1532" w:type="dxa"/>
          </w:tcPr>
          <w:p w14:paraId="2F0FAF10">
            <w:pPr>
              <w:spacing w:line="360" w:lineRule="auto"/>
              <w:ind w:firstLine="210" w:firstLineChars="100"/>
              <w:jc w:val="center"/>
              <w:rPr>
                <w:rFonts w:hint="eastAsia" w:ascii="宋体" w:hAnsi="宋体" w:cs="宋体"/>
                <w:szCs w:val="21"/>
              </w:rPr>
            </w:pPr>
            <w:r>
              <w:rPr>
                <w:rFonts w:hint="eastAsia" w:ascii="宋体" w:hAnsi="宋体" w:cs="宋体"/>
                <w:kern w:val="0"/>
                <w:szCs w:val="21"/>
              </w:rPr>
              <w:t>0.25%</w:t>
            </w:r>
          </w:p>
        </w:tc>
        <w:tc>
          <w:tcPr>
            <w:tcW w:w="1984" w:type="dxa"/>
          </w:tcPr>
          <w:p w14:paraId="07BBB476">
            <w:pPr>
              <w:spacing w:line="360" w:lineRule="auto"/>
              <w:ind w:firstLine="210" w:firstLineChars="100"/>
              <w:jc w:val="center"/>
              <w:rPr>
                <w:rFonts w:hint="eastAsia" w:ascii="宋体" w:hAnsi="宋体" w:cs="宋体"/>
                <w:szCs w:val="21"/>
              </w:rPr>
            </w:pPr>
            <w:r>
              <w:rPr>
                <w:rFonts w:hint="eastAsia" w:ascii="宋体" w:hAnsi="宋体" w:cs="宋体"/>
                <w:kern w:val="0"/>
                <w:szCs w:val="21"/>
              </w:rPr>
              <w:t>0.35%</w:t>
            </w:r>
          </w:p>
        </w:tc>
      </w:tr>
      <w:tr w14:paraId="4B6AC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67928B0E">
            <w:pPr>
              <w:spacing w:line="360" w:lineRule="auto"/>
              <w:rPr>
                <w:rFonts w:hint="eastAsia" w:ascii="宋体" w:hAnsi="宋体" w:cs="宋体"/>
                <w:szCs w:val="21"/>
              </w:rPr>
            </w:pPr>
            <w:r>
              <w:rPr>
                <w:rFonts w:hint="eastAsia" w:ascii="宋体" w:hAnsi="宋体" w:cs="宋体"/>
                <w:szCs w:val="21"/>
              </w:rPr>
              <w:t>5000万元～1亿元</w:t>
            </w:r>
          </w:p>
        </w:tc>
        <w:tc>
          <w:tcPr>
            <w:tcW w:w="1659" w:type="dxa"/>
          </w:tcPr>
          <w:p w14:paraId="7BED8F25">
            <w:pPr>
              <w:spacing w:line="360" w:lineRule="auto"/>
              <w:ind w:firstLine="210" w:firstLineChars="100"/>
              <w:jc w:val="center"/>
              <w:rPr>
                <w:rFonts w:hint="eastAsia" w:ascii="宋体" w:hAnsi="宋体" w:cs="宋体"/>
                <w:szCs w:val="21"/>
              </w:rPr>
            </w:pPr>
            <w:r>
              <w:rPr>
                <w:rFonts w:hint="eastAsia" w:ascii="宋体" w:hAnsi="宋体" w:cs="宋体"/>
                <w:kern w:val="0"/>
                <w:szCs w:val="21"/>
              </w:rPr>
              <w:t>0.25%</w:t>
            </w:r>
          </w:p>
        </w:tc>
        <w:tc>
          <w:tcPr>
            <w:tcW w:w="1532" w:type="dxa"/>
          </w:tcPr>
          <w:p w14:paraId="63997055">
            <w:pPr>
              <w:spacing w:line="360" w:lineRule="auto"/>
              <w:ind w:firstLine="210" w:firstLineChars="100"/>
              <w:jc w:val="center"/>
              <w:rPr>
                <w:rFonts w:hint="eastAsia" w:ascii="宋体" w:hAnsi="宋体" w:cs="宋体"/>
                <w:szCs w:val="21"/>
              </w:rPr>
            </w:pPr>
            <w:r>
              <w:rPr>
                <w:rFonts w:hint="eastAsia" w:ascii="宋体" w:hAnsi="宋体" w:cs="宋体"/>
                <w:kern w:val="0"/>
                <w:szCs w:val="21"/>
              </w:rPr>
              <w:t>0.1%</w:t>
            </w:r>
          </w:p>
        </w:tc>
        <w:tc>
          <w:tcPr>
            <w:tcW w:w="1984" w:type="dxa"/>
          </w:tcPr>
          <w:p w14:paraId="10774A51">
            <w:pPr>
              <w:spacing w:line="360" w:lineRule="auto"/>
              <w:ind w:firstLine="210" w:firstLineChars="100"/>
              <w:jc w:val="center"/>
              <w:rPr>
                <w:rFonts w:hint="eastAsia" w:ascii="宋体" w:hAnsi="宋体" w:cs="宋体"/>
                <w:szCs w:val="21"/>
              </w:rPr>
            </w:pPr>
            <w:r>
              <w:rPr>
                <w:rFonts w:hint="eastAsia" w:ascii="宋体" w:hAnsi="宋体" w:cs="宋体"/>
                <w:kern w:val="0"/>
                <w:szCs w:val="21"/>
              </w:rPr>
              <w:t>0.2%</w:t>
            </w:r>
          </w:p>
        </w:tc>
      </w:tr>
      <w:tr w14:paraId="226A7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5B2CC618">
            <w:pPr>
              <w:spacing w:line="360" w:lineRule="auto"/>
              <w:rPr>
                <w:rFonts w:hint="eastAsia" w:ascii="宋体" w:hAnsi="宋体" w:cs="宋体"/>
                <w:szCs w:val="21"/>
              </w:rPr>
            </w:pPr>
            <w:r>
              <w:rPr>
                <w:rFonts w:hint="eastAsia" w:ascii="宋体" w:hAnsi="宋体" w:cs="宋体"/>
                <w:szCs w:val="21"/>
              </w:rPr>
              <w:t>1～5亿元</w:t>
            </w:r>
          </w:p>
        </w:tc>
        <w:tc>
          <w:tcPr>
            <w:tcW w:w="1659" w:type="dxa"/>
          </w:tcPr>
          <w:p w14:paraId="5FB866ED">
            <w:pPr>
              <w:spacing w:line="360" w:lineRule="auto"/>
              <w:ind w:firstLine="210" w:firstLineChars="100"/>
              <w:jc w:val="center"/>
              <w:rPr>
                <w:rFonts w:hint="eastAsia" w:ascii="宋体" w:hAnsi="宋体" w:cs="宋体"/>
                <w:szCs w:val="21"/>
              </w:rPr>
            </w:pPr>
            <w:r>
              <w:rPr>
                <w:rFonts w:hint="eastAsia" w:ascii="宋体" w:hAnsi="宋体" w:cs="宋体"/>
                <w:szCs w:val="21"/>
              </w:rPr>
              <w:t>0.05%</w:t>
            </w:r>
          </w:p>
        </w:tc>
        <w:tc>
          <w:tcPr>
            <w:tcW w:w="1532" w:type="dxa"/>
          </w:tcPr>
          <w:p w14:paraId="405174A1">
            <w:pPr>
              <w:spacing w:line="360" w:lineRule="auto"/>
              <w:jc w:val="center"/>
              <w:rPr>
                <w:rFonts w:hint="eastAsia" w:ascii="宋体" w:hAnsi="宋体" w:cs="宋体"/>
                <w:szCs w:val="21"/>
              </w:rPr>
            </w:pPr>
            <w:r>
              <w:rPr>
                <w:rFonts w:hint="eastAsia" w:ascii="宋体" w:hAnsi="宋体" w:cs="宋体"/>
                <w:szCs w:val="21"/>
              </w:rPr>
              <w:t>0.05%</w:t>
            </w:r>
          </w:p>
        </w:tc>
        <w:tc>
          <w:tcPr>
            <w:tcW w:w="1984" w:type="dxa"/>
          </w:tcPr>
          <w:p w14:paraId="0FF418DC">
            <w:pPr>
              <w:spacing w:line="360" w:lineRule="auto"/>
              <w:jc w:val="center"/>
              <w:rPr>
                <w:rFonts w:hint="eastAsia" w:ascii="宋体" w:hAnsi="宋体" w:cs="宋体"/>
                <w:szCs w:val="21"/>
              </w:rPr>
            </w:pPr>
            <w:r>
              <w:rPr>
                <w:rFonts w:hint="eastAsia" w:ascii="宋体" w:hAnsi="宋体" w:cs="宋体"/>
                <w:szCs w:val="21"/>
              </w:rPr>
              <w:t>0.05%</w:t>
            </w:r>
          </w:p>
        </w:tc>
      </w:tr>
      <w:tr w14:paraId="2C077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697C2ECE">
            <w:pPr>
              <w:spacing w:line="360" w:lineRule="auto"/>
              <w:rPr>
                <w:rFonts w:hint="eastAsia" w:ascii="宋体" w:hAnsi="宋体" w:cs="宋体"/>
                <w:szCs w:val="21"/>
              </w:rPr>
            </w:pPr>
            <w:r>
              <w:rPr>
                <w:rFonts w:hint="eastAsia" w:ascii="宋体" w:hAnsi="宋体" w:cs="宋体"/>
                <w:szCs w:val="21"/>
              </w:rPr>
              <w:t>5～10亿元</w:t>
            </w:r>
          </w:p>
        </w:tc>
        <w:tc>
          <w:tcPr>
            <w:tcW w:w="1659" w:type="dxa"/>
          </w:tcPr>
          <w:p w14:paraId="5C1C9470">
            <w:pPr>
              <w:spacing w:line="360" w:lineRule="auto"/>
              <w:ind w:firstLine="105" w:firstLineChars="50"/>
              <w:jc w:val="center"/>
              <w:rPr>
                <w:rFonts w:hint="eastAsia" w:ascii="宋体" w:hAnsi="宋体" w:cs="宋体"/>
                <w:szCs w:val="21"/>
              </w:rPr>
            </w:pPr>
            <w:r>
              <w:rPr>
                <w:rFonts w:hint="eastAsia" w:ascii="宋体" w:hAnsi="宋体" w:cs="宋体"/>
                <w:szCs w:val="21"/>
              </w:rPr>
              <w:t>0.035%</w:t>
            </w:r>
          </w:p>
        </w:tc>
        <w:tc>
          <w:tcPr>
            <w:tcW w:w="1532" w:type="dxa"/>
          </w:tcPr>
          <w:p w14:paraId="4F777357">
            <w:pPr>
              <w:spacing w:line="360" w:lineRule="auto"/>
              <w:jc w:val="center"/>
              <w:rPr>
                <w:rFonts w:hint="eastAsia" w:ascii="宋体" w:hAnsi="宋体" w:cs="宋体"/>
                <w:szCs w:val="21"/>
              </w:rPr>
            </w:pPr>
            <w:r>
              <w:rPr>
                <w:rFonts w:hint="eastAsia" w:ascii="宋体" w:hAnsi="宋体" w:cs="宋体"/>
                <w:szCs w:val="21"/>
              </w:rPr>
              <w:t>0.035%</w:t>
            </w:r>
          </w:p>
        </w:tc>
        <w:tc>
          <w:tcPr>
            <w:tcW w:w="1984" w:type="dxa"/>
          </w:tcPr>
          <w:p w14:paraId="3490A49A">
            <w:pPr>
              <w:spacing w:line="360" w:lineRule="auto"/>
              <w:ind w:firstLine="105" w:firstLineChars="50"/>
              <w:jc w:val="center"/>
              <w:rPr>
                <w:rFonts w:hint="eastAsia" w:ascii="宋体" w:hAnsi="宋体" w:cs="宋体"/>
                <w:szCs w:val="21"/>
              </w:rPr>
            </w:pPr>
            <w:r>
              <w:rPr>
                <w:rFonts w:hint="eastAsia" w:ascii="宋体" w:hAnsi="宋体" w:cs="宋体"/>
                <w:szCs w:val="21"/>
              </w:rPr>
              <w:t>0.035%</w:t>
            </w:r>
          </w:p>
        </w:tc>
      </w:tr>
      <w:tr w14:paraId="3D57C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34DA46E9">
            <w:pPr>
              <w:spacing w:line="360" w:lineRule="auto"/>
              <w:rPr>
                <w:rFonts w:hint="eastAsia" w:ascii="宋体" w:hAnsi="宋体" w:cs="宋体"/>
                <w:szCs w:val="21"/>
              </w:rPr>
            </w:pPr>
            <w:r>
              <w:rPr>
                <w:rFonts w:hint="eastAsia" w:ascii="宋体" w:hAnsi="宋体" w:cs="宋体"/>
                <w:szCs w:val="21"/>
              </w:rPr>
              <w:t>10～50亿元</w:t>
            </w:r>
          </w:p>
        </w:tc>
        <w:tc>
          <w:tcPr>
            <w:tcW w:w="1659" w:type="dxa"/>
          </w:tcPr>
          <w:p w14:paraId="34DF3003">
            <w:pPr>
              <w:spacing w:line="360" w:lineRule="auto"/>
              <w:ind w:firstLine="105" w:firstLineChars="50"/>
              <w:jc w:val="center"/>
              <w:rPr>
                <w:rFonts w:hint="eastAsia" w:ascii="宋体" w:hAnsi="宋体" w:cs="宋体"/>
                <w:szCs w:val="21"/>
              </w:rPr>
            </w:pPr>
            <w:r>
              <w:rPr>
                <w:rFonts w:hint="eastAsia" w:ascii="宋体" w:hAnsi="宋体" w:cs="宋体"/>
                <w:szCs w:val="21"/>
              </w:rPr>
              <w:t>0.008%</w:t>
            </w:r>
          </w:p>
        </w:tc>
        <w:tc>
          <w:tcPr>
            <w:tcW w:w="1532" w:type="dxa"/>
          </w:tcPr>
          <w:p w14:paraId="7141B4FC">
            <w:pPr>
              <w:spacing w:line="360" w:lineRule="auto"/>
              <w:ind w:firstLine="210" w:firstLineChars="100"/>
              <w:jc w:val="center"/>
              <w:rPr>
                <w:rFonts w:hint="eastAsia" w:ascii="宋体" w:hAnsi="宋体" w:cs="宋体"/>
                <w:szCs w:val="21"/>
              </w:rPr>
            </w:pPr>
            <w:r>
              <w:rPr>
                <w:rFonts w:hint="eastAsia" w:ascii="宋体" w:hAnsi="宋体" w:cs="宋体"/>
                <w:szCs w:val="21"/>
              </w:rPr>
              <w:t>0.008%</w:t>
            </w:r>
          </w:p>
        </w:tc>
        <w:tc>
          <w:tcPr>
            <w:tcW w:w="1984" w:type="dxa"/>
          </w:tcPr>
          <w:p w14:paraId="00C915D8">
            <w:pPr>
              <w:spacing w:line="360" w:lineRule="auto"/>
              <w:ind w:firstLine="105" w:firstLineChars="50"/>
              <w:jc w:val="center"/>
              <w:rPr>
                <w:rFonts w:hint="eastAsia" w:ascii="宋体" w:hAnsi="宋体" w:cs="宋体"/>
                <w:szCs w:val="21"/>
              </w:rPr>
            </w:pPr>
            <w:r>
              <w:rPr>
                <w:rFonts w:hint="eastAsia" w:ascii="宋体" w:hAnsi="宋体" w:cs="宋体"/>
                <w:szCs w:val="21"/>
              </w:rPr>
              <w:t>0.008%</w:t>
            </w:r>
          </w:p>
        </w:tc>
      </w:tr>
      <w:tr w14:paraId="66C07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6AA0A6C1">
            <w:pPr>
              <w:spacing w:line="360" w:lineRule="auto"/>
              <w:rPr>
                <w:rFonts w:hint="eastAsia" w:ascii="宋体" w:hAnsi="宋体" w:cs="宋体"/>
                <w:szCs w:val="21"/>
              </w:rPr>
            </w:pPr>
            <w:r>
              <w:rPr>
                <w:rFonts w:hint="eastAsia" w:ascii="宋体" w:hAnsi="宋体" w:cs="宋体"/>
                <w:szCs w:val="21"/>
              </w:rPr>
              <w:t>50～100亿元</w:t>
            </w:r>
          </w:p>
        </w:tc>
        <w:tc>
          <w:tcPr>
            <w:tcW w:w="1659" w:type="dxa"/>
          </w:tcPr>
          <w:p w14:paraId="302A2D5B">
            <w:pPr>
              <w:spacing w:line="360" w:lineRule="auto"/>
              <w:jc w:val="center"/>
              <w:rPr>
                <w:rFonts w:hint="eastAsia" w:ascii="宋体" w:hAnsi="宋体" w:cs="宋体"/>
                <w:szCs w:val="21"/>
              </w:rPr>
            </w:pPr>
            <w:r>
              <w:rPr>
                <w:rFonts w:hint="eastAsia" w:ascii="宋体" w:hAnsi="宋体" w:cs="宋体"/>
                <w:szCs w:val="21"/>
              </w:rPr>
              <w:t>0.006%</w:t>
            </w:r>
          </w:p>
        </w:tc>
        <w:tc>
          <w:tcPr>
            <w:tcW w:w="1532" w:type="dxa"/>
          </w:tcPr>
          <w:p w14:paraId="5D1ABD78">
            <w:pPr>
              <w:spacing w:line="360" w:lineRule="auto"/>
              <w:ind w:firstLine="210" w:firstLineChars="100"/>
              <w:jc w:val="center"/>
              <w:rPr>
                <w:rFonts w:hint="eastAsia" w:ascii="宋体" w:hAnsi="宋体" w:cs="宋体"/>
                <w:szCs w:val="21"/>
              </w:rPr>
            </w:pPr>
            <w:r>
              <w:rPr>
                <w:rFonts w:hint="eastAsia" w:ascii="宋体" w:hAnsi="宋体" w:cs="宋体"/>
                <w:szCs w:val="21"/>
              </w:rPr>
              <w:t>0.006%</w:t>
            </w:r>
          </w:p>
        </w:tc>
        <w:tc>
          <w:tcPr>
            <w:tcW w:w="1984" w:type="dxa"/>
          </w:tcPr>
          <w:p w14:paraId="65E39463">
            <w:pPr>
              <w:spacing w:line="360" w:lineRule="auto"/>
              <w:ind w:firstLine="105" w:firstLineChars="50"/>
              <w:jc w:val="center"/>
              <w:rPr>
                <w:rFonts w:hint="eastAsia" w:ascii="宋体" w:hAnsi="宋体" w:cs="宋体"/>
                <w:szCs w:val="21"/>
              </w:rPr>
            </w:pPr>
            <w:r>
              <w:rPr>
                <w:rFonts w:hint="eastAsia" w:ascii="宋体" w:hAnsi="宋体" w:cs="宋体"/>
                <w:szCs w:val="21"/>
              </w:rPr>
              <w:t>0.006%</w:t>
            </w:r>
          </w:p>
        </w:tc>
      </w:tr>
      <w:tr w14:paraId="7A576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0032F6FF">
            <w:pPr>
              <w:spacing w:line="360" w:lineRule="auto"/>
              <w:rPr>
                <w:rFonts w:hint="eastAsia" w:ascii="宋体" w:hAnsi="宋体" w:cs="宋体"/>
                <w:szCs w:val="21"/>
              </w:rPr>
            </w:pPr>
            <w:r>
              <w:rPr>
                <w:rFonts w:hint="eastAsia" w:ascii="宋体" w:hAnsi="宋体" w:cs="宋体"/>
                <w:szCs w:val="21"/>
              </w:rPr>
              <w:t>100亿以上</w:t>
            </w:r>
          </w:p>
        </w:tc>
        <w:tc>
          <w:tcPr>
            <w:tcW w:w="1659" w:type="dxa"/>
          </w:tcPr>
          <w:p w14:paraId="3E3A372E">
            <w:pPr>
              <w:spacing w:line="360" w:lineRule="auto"/>
              <w:jc w:val="center"/>
              <w:rPr>
                <w:rFonts w:hint="eastAsia" w:ascii="宋体" w:hAnsi="宋体" w:cs="宋体"/>
                <w:szCs w:val="21"/>
              </w:rPr>
            </w:pPr>
            <w:r>
              <w:rPr>
                <w:rFonts w:hint="eastAsia" w:ascii="宋体" w:hAnsi="宋体" w:cs="宋体"/>
                <w:szCs w:val="21"/>
              </w:rPr>
              <w:t>0.004%</w:t>
            </w:r>
          </w:p>
        </w:tc>
        <w:tc>
          <w:tcPr>
            <w:tcW w:w="1532" w:type="dxa"/>
          </w:tcPr>
          <w:p w14:paraId="5A63AF6F">
            <w:pPr>
              <w:spacing w:line="360" w:lineRule="auto"/>
              <w:ind w:firstLine="210" w:firstLineChars="100"/>
              <w:jc w:val="center"/>
              <w:rPr>
                <w:rFonts w:hint="eastAsia" w:ascii="宋体" w:hAnsi="宋体" w:cs="宋体"/>
                <w:szCs w:val="21"/>
              </w:rPr>
            </w:pPr>
            <w:r>
              <w:rPr>
                <w:rFonts w:hint="eastAsia" w:ascii="宋体" w:hAnsi="宋体" w:cs="宋体"/>
                <w:szCs w:val="21"/>
              </w:rPr>
              <w:t>0.004%</w:t>
            </w:r>
          </w:p>
        </w:tc>
        <w:tc>
          <w:tcPr>
            <w:tcW w:w="1984" w:type="dxa"/>
          </w:tcPr>
          <w:p w14:paraId="3D4E27BD">
            <w:pPr>
              <w:spacing w:line="360" w:lineRule="auto"/>
              <w:ind w:firstLine="105" w:firstLineChars="50"/>
              <w:jc w:val="center"/>
              <w:rPr>
                <w:rFonts w:hint="eastAsia" w:ascii="宋体" w:hAnsi="宋体" w:cs="宋体"/>
                <w:szCs w:val="21"/>
              </w:rPr>
            </w:pPr>
            <w:r>
              <w:rPr>
                <w:rFonts w:hint="eastAsia" w:ascii="宋体" w:hAnsi="宋体" w:cs="宋体"/>
                <w:szCs w:val="21"/>
              </w:rPr>
              <w:t>0.004%</w:t>
            </w:r>
          </w:p>
        </w:tc>
      </w:tr>
    </w:tbl>
    <w:p w14:paraId="05DE22FE">
      <w:pPr>
        <w:spacing w:line="351" w:lineRule="auto"/>
        <w:ind w:firstLine="420" w:firstLineChars="200"/>
        <w:contextualSpacing/>
        <w:rPr>
          <w:rFonts w:hint="eastAsia" w:ascii="宋体" w:hAnsi="宋体" w:cs="宋体"/>
        </w:rPr>
      </w:pPr>
      <w:r>
        <w:rPr>
          <w:rFonts w:ascii="宋体" w:hAnsi="宋体" w:cs="宋体"/>
        </w:rPr>
        <w:t xml:space="preserve">注： </w:t>
      </w:r>
    </w:p>
    <w:p w14:paraId="35F11A01">
      <w:pPr>
        <w:spacing w:line="351" w:lineRule="auto"/>
        <w:ind w:firstLine="420" w:firstLineChars="200"/>
        <w:contextualSpacing/>
        <w:rPr>
          <w:rFonts w:hint="eastAsia" w:ascii="宋体" w:hAnsi="宋体" w:cs="宋体"/>
        </w:rPr>
      </w:pPr>
      <w:r>
        <w:rPr>
          <w:rFonts w:hint="eastAsia" w:ascii="宋体" w:hAnsi="宋体" w:cs="宋体"/>
        </w:rPr>
        <w:t>（1）</w:t>
      </w:r>
      <w:r>
        <w:rPr>
          <w:rFonts w:ascii="宋体" w:hAnsi="宋体" w:cs="宋体"/>
        </w:rPr>
        <w:t>按本表费率计算的收费为</w:t>
      </w:r>
      <w:r>
        <w:rPr>
          <w:rFonts w:hint="eastAsia" w:ascii="宋体" w:hAnsi="宋体" w:cs="宋体"/>
        </w:rPr>
        <w:t>采购</w:t>
      </w:r>
      <w:r>
        <w:rPr>
          <w:rFonts w:ascii="宋体" w:hAnsi="宋体" w:cs="宋体"/>
        </w:rPr>
        <w:t>代理的收费基准价格</w:t>
      </w:r>
      <w:r>
        <w:rPr>
          <w:rFonts w:hint="eastAsia" w:ascii="宋体" w:hAnsi="宋体" w:cs="宋体"/>
        </w:rPr>
        <w:t>；</w:t>
      </w:r>
    </w:p>
    <w:p w14:paraId="7D7F66E2">
      <w:pPr>
        <w:spacing w:line="351" w:lineRule="auto"/>
        <w:ind w:firstLine="420" w:firstLineChars="200"/>
        <w:contextualSpacing/>
        <w:rPr>
          <w:rFonts w:hint="eastAsia" w:ascii="宋体" w:hAnsi="宋体" w:cs="宋体"/>
        </w:rPr>
      </w:pPr>
      <w:r>
        <w:rPr>
          <w:rFonts w:hint="eastAsia" w:ascii="宋体" w:hAnsi="宋体" w:cs="宋体"/>
        </w:rPr>
        <w:t>（2）采购</w:t>
      </w:r>
      <w:r>
        <w:rPr>
          <w:rFonts w:ascii="宋体" w:hAnsi="宋体" w:cs="宋体"/>
        </w:rPr>
        <w:t>代理收费按差额定率累进法计算。</w:t>
      </w:r>
    </w:p>
    <w:p w14:paraId="1B9AFA18">
      <w:pPr>
        <w:spacing w:line="351" w:lineRule="auto"/>
        <w:ind w:firstLine="420" w:firstLineChars="200"/>
        <w:contextualSpacing/>
        <w:rPr>
          <w:rFonts w:hint="eastAsia" w:ascii="宋体" w:hAnsi="宋体" w:cs="宋体"/>
        </w:rPr>
      </w:pPr>
      <w:r>
        <w:rPr>
          <w:rFonts w:ascii="宋体" w:hAnsi="宋体" w:cs="宋体"/>
        </w:rPr>
        <w:t>例如：某</w:t>
      </w:r>
      <w:r>
        <w:rPr>
          <w:rFonts w:hint="eastAsia" w:ascii="宋体" w:hAnsi="宋体" w:cs="宋体"/>
        </w:rPr>
        <w:t>货物采购</w:t>
      </w:r>
      <w:r>
        <w:rPr>
          <w:rFonts w:ascii="宋体" w:hAnsi="宋体" w:cs="宋体"/>
        </w:rPr>
        <w:t>代理业务</w:t>
      </w:r>
      <w:r>
        <w:rPr>
          <w:rFonts w:hint="eastAsia" w:ascii="宋体" w:hAnsi="宋体" w:cs="宋体"/>
        </w:rPr>
        <w:t>成交</w:t>
      </w:r>
      <w:r>
        <w:rPr>
          <w:rFonts w:ascii="宋体" w:hAnsi="宋体" w:cs="宋体"/>
        </w:rPr>
        <w:t>金额</w:t>
      </w:r>
      <w:r>
        <w:rPr>
          <w:rFonts w:hint="eastAsia" w:ascii="宋体" w:hAnsi="宋体" w:cs="宋体"/>
        </w:rPr>
        <w:t>或者暂定价</w:t>
      </w:r>
      <w:r>
        <w:rPr>
          <w:rFonts w:ascii="宋体" w:hAnsi="宋体" w:cs="宋体"/>
        </w:rPr>
        <w:t>为150万元，计算</w:t>
      </w:r>
      <w:r>
        <w:rPr>
          <w:rFonts w:hint="eastAsia" w:ascii="宋体" w:hAnsi="宋体" w:cs="宋体"/>
        </w:rPr>
        <w:t>采购</w:t>
      </w:r>
      <w:r>
        <w:rPr>
          <w:rFonts w:ascii="宋体" w:hAnsi="宋体" w:cs="宋体"/>
        </w:rPr>
        <w:t>代理收费额如下：</w:t>
      </w:r>
    </w:p>
    <w:p w14:paraId="2379264A">
      <w:pPr>
        <w:spacing w:line="351" w:lineRule="auto"/>
        <w:ind w:firstLine="420" w:firstLineChars="200"/>
        <w:contextualSpacing/>
        <w:rPr>
          <w:rFonts w:hint="eastAsia" w:ascii="宋体" w:hAnsi="宋体" w:cs="宋体"/>
        </w:rPr>
      </w:pPr>
      <w:r>
        <w:rPr>
          <w:rFonts w:ascii="宋体" w:hAnsi="宋体" w:cs="宋体"/>
        </w:rPr>
        <w:t>100 万元 ×l.5 %＝ 1.5 万元</w:t>
      </w:r>
    </w:p>
    <w:p w14:paraId="79BEA7DE">
      <w:pPr>
        <w:spacing w:line="351" w:lineRule="auto"/>
        <w:ind w:firstLine="420" w:firstLineChars="200"/>
        <w:contextualSpacing/>
        <w:rPr>
          <w:rFonts w:hint="eastAsia" w:ascii="宋体" w:hAnsi="宋体" w:cs="宋体"/>
        </w:rPr>
      </w:pPr>
      <w:r>
        <w:rPr>
          <w:rFonts w:ascii="宋体" w:hAnsi="宋体" w:cs="宋体"/>
        </w:rPr>
        <w:t>（ 150 － 100 ）万元 ×1.1%＝ 0.55 万元</w:t>
      </w:r>
    </w:p>
    <w:p w14:paraId="223AD853">
      <w:pPr>
        <w:spacing w:line="351" w:lineRule="auto"/>
        <w:ind w:firstLine="420" w:firstLineChars="200"/>
        <w:contextualSpacing/>
        <w:rPr>
          <w:rFonts w:hint="eastAsia" w:ascii="宋体" w:hAnsi="宋体" w:cs="宋体"/>
        </w:rPr>
      </w:pPr>
      <w:r>
        <w:rPr>
          <w:rFonts w:ascii="宋体" w:hAnsi="宋体" w:cs="宋体"/>
        </w:rPr>
        <w:t>合计收费＝ 1.5 ＋ 0.55＝ 2.05 （万元）</w:t>
      </w:r>
    </w:p>
    <w:p w14:paraId="4689B88D">
      <w:pPr>
        <w:spacing w:line="351" w:lineRule="auto"/>
        <w:ind w:firstLine="482" w:firstLineChars="200"/>
        <w:contextualSpacing/>
        <w:rPr>
          <w:rFonts w:hint="eastAsia" w:ascii="黑体" w:hAnsi="黑体" w:eastAsia="黑体" w:cs="宋体"/>
          <w:b/>
          <w:bCs/>
          <w:sz w:val="24"/>
        </w:rPr>
      </w:pPr>
      <w:r>
        <w:rPr>
          <w:rFonts w:ascii="黑体" w:hAnsi="黑体" w:eastAsia="黑体" w:cs="宋体"/>
          <w:b/>
          <w:bCs/>
          <w:sz w:val="24"/>
        </w:rPr>
        <w:t>33. 需要补充的其他内容</w:t>
      </w:r>
    </w:p>
    <w:p w14:paraId="2C79CF3E">
      <w:pPr>
        <w:pStyle w:val="18"/>
        <w:spacing w:line="351" w:lineRule="auto"/>
        <w:ind w:firstLine="420" w:firstLineChars="200"/>
        <w:contextualSpacing/>
        <w:rPr>
          <w:rFonts w:hint="eastAsia" w:hAnsi="宋体"/>
          <w:sz w:val="21"/>
        </w:rPr>
      </w:pPr>
      <w:r>
        <w:rPr>
          <w:rFonts w:hAnsi="宋体"/>
          <w:sz w:val="21"/>
        </w:rPr>
        <w:t>33.1</w:t>
      </w:r>
      <w:r>
        <w:rPr>
          <w:rFonts w:hint="eastAsia" w:hAnsi="宋体" w:cs="宋体"/>
          <w:sz w:val="21"/>
        </w:rPr>
        <w:t>本谈判文件解释规则详见</w:t>
      </w:r>
      <w:r>
        <w:rPr>
          <w:rFonts w:hint="eastAsia" w:hAnsi="宋体"/>
          <w:sz w:val="21"/>
        </w:rPr>
        <w:t>“供应商须知前附表”。</w:t>
      </w:r>
    </w:p>
    <w:p w14:paraId="58104514">
      <w:pPr>
        <w:spacing w:line="351" w:lineRule="auto"/>
        <w:ind w:firstLine="420" w:firstLineChars="200"/>
        <w:contextualSpacing/>
        <w:rPr>
          <w:rFonts w:hint="eastAsia" w:hAnsi="宋体"/>
        </w:rPr>
      </w:pPr>
      <w:r>
        <w:rPr>
          <w:rFonts w:ascii="宋体" w:hAnsi="宋体" w:cs="宋体"/>
          <w:kern w:val="0"/>
          <w:szCs w:val="21"/>
        </w:rPr>
        <w:t>33.2</w:t>
      </w:r>
      <w:r>
        <w:rPr>
          <w:rFonts w:hint="eastAsia" w:ascii="宋体" w:hAnsi="宋体" w:cs="宋体"/>
          <w:kern w:val="0"/>
          <w:szCs w:val="21"/>
        </w:rPr>
        <w:t xml:space="preserve"> 其他事</w:t>
      </w:r>
      <w:r>
        <w:rPr>
          <w:rFonts w:hint="eastAsia" w:hAnsi="宋体"/>
        </w:rPr>
        <w:t>项详见“供应商须知前附表”。</w:t>
      </w:r>
    </w:p>
    <w:p w14:paraId="0336FC04">
      <w:pPr>
        <w:pStyle w:val="18"/>
        <w:spacing w:line="351" w:lineRule="auto"/>
        <w:ind w:firstLine="400" w:firstLineChars="200"/>
        <w:contextualSpacing/>
        <w:rPr>
          <w:rFonts w:hint="eastAsia" w:hAnsi="宋体"/>
          <w:sz w:val="21"/>
        </w:rPr>
      </w:pPr>
      <w:r>
        <w:rPr>
          <w:rFonts w:hint="eastAsia" w:hAnsi="宋体"/>
        </w:rPr>
        <w:t>3</w:t>
      </w:r>
      <w:r>
        <w:rPr>
          <w:rFonts w:hAnsi="宋体"/>
        </w:rPr>
        <w:t>3.3</w:t>
      </w:r>
      <w:r>
        <w:rPr>
          <w:rFonts w:hint="eastAsia" w:hAnsi="宋体"/>
          <w:sz w:val="21"/>
        </w:rPr>
        <w:t>本谈判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谈判文件规定的中小企业扶持政策：</w:t>
      </w:r>
    </w:p>
    <w:p w14:paraId="6F6EE092">
      <w:pPr>
        <w:pStyle w:val="18"/>
        <w:spacing w:line="351" w:lineRule="auto"/>
        <w:ind w:firstLine="420" w:firstLineChars="200"/>
        <w:contextualSpacing/>
        <w:rPr>
          <w:rFonts w:hint="eastAsia" w:hAnsi="宋体"/>
          <w:sz w:val="21"/>
        </w:rPr>
      </w:pPr>
      <w:r>
        <w:rPr>
          <w:rFonts w:hint="eastAsia" w:hAnsi="宋体"/>
          <w:sz w:val="21"/>
        </w:rPr>
        <w:t>（1）在货物采购项目中，货物由中小企业制造，即货物由中小企业生产且使用该中小企业商号或者注册商标，不对其中涉及的工程承建商和服务的承接商作出要求；</w:t>
      </w:r>
    </w:p>
    <w:p w14:paraId="0BAA26F3">
      <w:pPr>
        <w:pStyle w:val="18"/>
        <w:spacing w:line="351" w:lineRule="auto"/>
        <w:ind w:firstLine="420" w:firstLineChars="200"/>
        <w:contextualSpacing/>
        <w:rPr>
          <w:rFonts w:hint="eastAsia" w:hAnsi="宋体"/>
          <w:sz w:val="21"/>
        </w:rPr>
      </w:pPr>
      <w:r>
        <w:rPr>
          <w:rFonts w:hint="eastAsia" w:hAnsi="宋体"/>
          <w:sz w:val="21"/>
        </w:rPr>
        <w:t>（2）在工程采购项目中，工程由中小企业承建，即工程施工单位为中小企业，不对其中涉及的货物的制造商和服务的承接商作出要求；</w:t>
      </w:r>
    </w:p>
    <w:p w14:paraId="19A4DDAB">
      <w:pPr>
        <w:pStyle w:val="18"/>
        <w:spacing w:line="351" w:lineRule="auto"/>
        <w:ind w:firstLine="420" w:firstLineChars="200"/>
        <w:contextualSpacing/>
        <w:rPr>
          <w:rFonts w:hint="eastAsia" w:hAnsi="宋体"/>
          <w:sz w:val="21"/>
        </w:rPr>
      </w:pPr>
      <w:r>
        <w:rPr>
          <w:rFonts w:hint="eastAsia" w:hAnsi="宋体"/>
          <w:sz w:val="21"/>
        </w:rPr>
        <w:t>（3）在服务采购项目中，服务由中小企业承接，即提供服务的人员为中小企业依照《中华人民共和国劳动合同法》订立劳动合同的从业人员，不对其中涉及的货物的制造商和工程承建商作出要求。</w:t>
      </w:r>
    </w:p>
    <w:p w14:paraId="64D8B519">
      <w:pPr>
        <w:pStyle w:val="18"/>
        <w:spacing w:line="351" w:lineRule="auto"/>
        <w:ind w:firstLine="420" w:firstLineChars="200"/>
        <w:contextualSpacing/>
        <w:rPr>
          <w:rFonts w:hint="eastAsia" w:hAnsi="宋体"/>
          <w:sz w:val="21"/>
        </w:rPr>
      </w:pPr>
      <w:r>
        <w:rPr>
          <w:rFonts w:hint="eastAsia" w:hAnsi="宋体"/>
          <w:sz w:val="21"/>
        </w:rPr>
        <w:t>在货物采购项目中，供应商提供的货物既有中小企业制造货物，也有大型企业制造货物的，不享受本谈判文件规定的中小企业扶持政策。以联合体形式参加政府采购活动，联合体各方均为中小企业的，联合体视同中小企业。其中，联合体各方均为小微企业的，联合体视同小微企业。</w:t>
      </w:r>
    </w:p>
    <w:p w14:paraId="68A860F6">
      <w:pPr>
        <w:spacing w:line="351" w:lineRule="auto"/>
        <w:ind w:firstLine="420" w:firstLineChars="200"/>
        <w:contextualSpacing/>
        <w:rPr>
          <w:rFonts w:hint="eastAsia" w:hAnsi="宋体"/>
        </w:rPr>
      </w:pPr>
      <w:r>
        <w:rPr>
          <w:rFonts w:hint="eastAsia" w:hAnsi="宋体"/>
        </w:rPr>
        <w:t>依据本谈判文件规定享受扶持政策获得政府采购合同的，小微企业不得将合同分包给大中型企业，中型企业不得将合同分包给大型企业。</w:t>
      </w:r>
    </w:p>
    <w:p w14:paraId="1E9CB840">
      <w:pPr>
        <w:snapToGrid w:val="0"/>
        <w:spacing w:line="340" w:lineRule="exact"/>
        <w:rPr>
          <w:rFonts w:hint="eastAsia" w:ascii="宋体" w:hAnsi="宋体"/>
          <w:kern w:val="0"/>
          <w:sz w:val="20"/>
          <w:szCs w:val="21"/>
        </w:rPr>
      </w:pPr>
      <w:r>
        <w:rPr>
          <w:rFonts w:hint="eastAsia" w:ascii="黑体" w:hAnsi="黑体" w:eastAsia="黑体" w:cs="黑体"/>
          <w:bCs/>
          <w:kern w:val="0"/>
          <w:sz w:val="32"/>
          <w:szCs w:val="32"/>
        </w:rPr>
        <w:t>附件1：</w:t>
      </w:r>
    </w:p>
    <w:p w14:paraId="7D5544E4">
      <w:pPr>
        <w:widowControl/>
        <w:shd w:val="clear" w:color="auto" w:fill="FFFFFF"/>
        <w:spacing w:line="480" w:lineRule="atLeast"/>
        <w:jc w:val="center"/>
        <w:rPr>
          <w:rFonts w:hint="eastAsia" w:ascii="仿宋" w:hAnsi="仿宋" w:eastAsia="仿宋" w:cs="宋体"/>
          <w:kern w:val="0"/>
          <w:sz w:val="32"/>
          <w:szCs w:val="32"/>
        </w:rPr>
      </w:pPr>
      <w:r>
        <w:rPr>
          <w:rFonts w:hint="eastAsia" w:ascii="宋体" w:hAnsi="宋体" w:cs="宋体"/>
          <w:b/>
          <w:bCs/>
          <w:kern w:val="0"/>
          <w:sz w:val="32"/>
          <w:szCs w:val="32"/>
        </w:rPr>
        <w:t>广西壮族自治区政府采购项目合同验收书（格式）</w:t>
      </w:r>
    </w:p>
    <w:p w14:paraId="4B40D045">
      <w:pPr>
        <w:widowControl/>
        <w:shd w:val="clear" w:color="auto" w:fill="FFFFFF"/>
        <w:spacing w:line="480" w:lineRule="atLeast"/>
        <w:jc w:val="center"/>
        <w:rPr>
          <w:rFonts w:hint="eastAsia" w:ascii="仿宋" w:hAnsi="仿宋" w:eastAsia="仿宋" w:cs="宋体"/>
          <w:kern w:val="0"/>
          <w:sz w:val="32"/>
          <w:szCs w:val="32"/>
        </w:rPr>
      </w:pPr>
    </w:p>
    <w:p w14:paraId="1082C135">
      <w:pPr>
        <w:widowControl/>
        <w:shd w:val="clear" w:color="auto" w:fill="FFFFFF"/>
        <w:snapToGrid w:val="0"/>
        <w:spacing w:line="320" w:lineRule="atLeast"/>
        <w:ind w:firstLine="480"/>
        <w:jc w:val="left"/>
        <w:rPr>
          <w:rFonts w:hint="eastAsia" w:ascii="仿宋" w:hAnsi="仿宋" w:eastAsia="仿宋" w:cs="宋体"/>
          <w:kern w:val="0"/>
          <w:szCs w:val="21"/>
        </w:rPr>
      </w:pPr>
      <w:r>
        <w:rPr>
          <w:rFonts w:hint="eastAsia" w:ascii="仿宋" w:hAnsi="仿宋" w:eastAsia="仿宋" w:cs="宋体"/>
          <w:kern w:val="0"/>
          <w:szCs w:val="21"/>
        </w:rPr>
        <w:t>根据政府采购项目（</w:t>
      </w:r>
      <w:r>
        <w:rPr>
          <w:rFonts w:hint="eastAsia" w:ascii="仿宋" w:hAnsi="仿宋" w:eastAsia="仿宋" w:cs="宋体"/>
          <w:kern w:val="0"/>
          <w:szCs w:val="21"/>
          <w:u w:val="single"/>
        </w:rPr>
        <w:t>采购合同编号：</w:t>
      </w:r>
      <w:r>
        <w:rPr>
          <w:rFonts w:hint="eastAsia" w:ascii="仿宋" w:hAnsi="仿宋" w:eastAsia="仿宋" w:cs="宋体"/>
          <w:kern w:val="0"/>
          <w:szCs w:val="21"/>
          <w:u w:val="single"/>
        </w:rPr>
        <w:softHyphen/>
      </w:r>
      <w:r>
        <w:rPr>
          <w:rFonts w:hint="eastAsia" w:ascii="仿宋" w:hAnsi="仿宋" w:eastAsia="仿宋" w:cs="宋体"/>
          <w:kern w:val="0"/>
          <w:szCs w:val="21"/>
          <w:u w:val="single"/>
        </w:rPr>
        <w:t xml:space="preserve"> </w:t>
      </w:r>
      <w:r>
        <w:rPr>
          <w:rFonts w:hint="eastAsia" w:ascii="仿宋" w:hAnsi="仿宋" w:eastAsia="仿宋" w:cs="宋体"/>
          <w:kern w:val="0"/>
          <w:szCs w:val="21"/>
        </w:rPr>
        <w:t>）的约定，我单位对（</w:t>
      </w:r>
      <w:r>
        <w:rPr>
          <w:rFonts w:hint="eastAsia" w:ascii="仿宋" w:hAnsi="仿宋" w:eastAsia="仿宋" w:cs="宋体"/>
          <w:kern w:val="0"/>
          <w:szCs w:val="21"/>
          <w:u w:val="single"/>
        </w:rPr>
        <w:t xml:space="preserve"> 项目名称 </w:t>
      </w:r>
      <w:r>
        <w:rPr>
          <w:rFonts w:hint="eastAsia" w:ascii="仿宋" w:hAnsi="仿宋" w:eastAsia="仿宋" w:cs="宋体"/>
          <w:kern w:val="0"/>
          <w:szCs w:val="21"/>
        </w:rPr>
        <w:t>） 政府采购项目成交供应商（</w:t>
      </w:r>
      <w:r>
        <w:rPr>
          <w:rFonts w:hint="eastAsia" w:ascii="仿宋" w:hAnsi="仿宋" w:eastAsia="仿宋" w:cs="宋体"/>
          <w:kern w:val="0"/>
          <w:szCs w:val="21"/>
          <w:u w:val="single"/>
        </w:rPr>
        <w:t xml:space="preserve"> 公司名称 </w:t>
      </w:r>
      <w:r>
        <w:rPr>
          <w:rFonts w:hint="eastAsia" w:ascii="仿宋" w:hAnsi="仿宋" w:eastAsia="仿宋" w:cs="宋体"/>
          <w:kern w:val="0"/>
          <w:szCs w:val="21"/>
        </w:rPr>
        <w:t>） 提供的货物（或者工程、服务）进行了验收，验收情况如下：</w:t>
      </w:r>
    </w:p>
    <w:tbl>
      <w:tblPr>
        <w:tblStyle w:val="24"/>
        <w:tblW w:w="0" w:type="auto"/>
        <w:jc w:val="center"/>
        <w:tblLayout w:type="fixed"/>
        <w:tblCellMar>
          <w:top w:w="0" w:type="dxa"/>
          <w:left w:w="0" w:type="dxa"/>
          <w:bottom w:w="0" w:type="dxa"/>
          <w:right w:w="0" w:type="dxa"/>
        </w:tblCellMar>
      </w:tblPr>
      <w:tblGrid>
        <w:gridCol w:w="804"/>
        <w:gridCol w:w="825"/>
        <w:gridCol w:w="1623"/>
        <w:gridCol w:w="798"/>
        <w:gridCol w:w="102"/>
        <w:gridCol w:w="2002"/>
        <w:gridCol w:w="178"/>
        <w:gridCol w:w="1191"/>
        <w:gridCol w:w="1428"/>
      </w:tblGrid>
      <w:tr w14:paraId="3BD980F2">
        <w:tblPrEx>
          <w:tblCellMar>
            <w:top w:w="0" w:type="dxa"/>
            <w:left w:w="0" w:type="dxa"/>
            <w:bottom w:w="0" w:type="dxa"/>
            <w:right w:w="0" w:type="dxa"/>
          </w:tblCellMar>
        </w:tblPrEx>
        <w:trPr>
          <w:trHeight w:val="497" w:hRule="atLeast"/>
          <w:jc w:val="center"/>
        </w:trPr>
        <w:tc>
          <w:tcPr>
            <w:tcW w:w="3252" w:type="dxa"/>
            <w:gridSpan w:val="3"/>
            <w:tcBorders>
              <w:top w:val="single" w:color="auto" w:sz="8" w:space="0"/>
              <w:left w:val="single" w:color="auto" w:sz="8" w:space="0"/>
              <w:bottom w:val="single" w:color="auto" w:sz="8" w:space="0"/>
              <w:right w:val="single" w:color="auto" w:sz="8" w:space="0"/>
            </w:tcBorders>
            <w:vAlign w:val="center"/>
          </w:tcPr>
          <w:p w14:paraId="033AD571">
            <w:pPr>
              <w:widowControl/>
              <w:snapToGrid w:val="0"/>
              <w:spacing w:before="100" w:beforeAutospacing="1" w:after="100" w:afterAutospacing="1" w:line="320" w:lineRule="atLeast"/>
              <w:ind w:firstLine="5"/>
              <w:jc w:val="center"/>
              <w:rPr>
                <w:rFonts w:ascii="Verdana" w:hAnsi="Verdana" w:cs="宋体"/>
                <w:kern w:val="0"/>
                <w:szCs w:val="21"/>
              </w:rPr>
            </w:pPr>
            <w:r>
              <w:rPr>
                <w:rFonts w:ascii="Verdana" w:hAnsi="Verdana" w:cs="宋体"/>
                <w:kern w:val="0"/>
                <w:szCs w:val="21"/>
              </w:rPr>
              <w:t>验收方式：</w:t>
            </w:r>
          </w:p>
        </w:tc>
        <w:tc>
          <w:tcPr>
            <w:tcW w:w="5699" w:type="dxa"/>
            <w:gridSpan w:val="6"/>
            <w:tcBorders>
              <w:top w:val="single" w:color="auto" w:sz="8" w:space="0"/>
              <w:left w:val="nil"/>
              <w:bottom w:val="single" w:color="auto" w:sz="8" w:space="0"/>
              <w:right w:val="single" w:color="auto" w:sz="8" w:space="0"/>
            </w:tcBorders>
            <w:vAlign w:val="center"/>
          </w:tcPr>
          <w:p w14:paraId="031AF299">
            <w:pPr>
              <w:widowControl/>
              <w:snapToGrid w:val="0"/>
              <w:spacing w:before="100" w:beforeAutospacing="1" w:after="100" w:afterAutospacing="1" w:line="320" w:lineRule="atLeast"/>
              <w:jc w:val="center"/>
              <w:rPr>
                <w:rFonts w:ascii="Verdana" w:hAnsi="Verdana" w:cs="宋体"/>
                <w:kern w:val="0"/>
                <w:szCs w:val="21"/>
              </w:rPr>
            </w:pPr>
            <w:r>
              <w:rPr>
                <w:rFonts w:ascii="Verdana" w:hAnsi="Verdana" w:cs="宋体"/>
                <w:kern w:val="0"/>
                <w:szCs w:val="21"/>
              </w:rPr>
              <w:t>□自行验收 □委托验收</w:t>
            </w:r>
          </w:p>
        </w:tc>
      </w:tr>
      <w:tr w14:paraId="7CC52792">
        <w:tblPrEx>
          <w:tblCellMar>
            <w:top w:w="0" w:type="dxa"/>
            <w:left w:w="0" w:type="dxa"/>
            <w:bottom w:w="0" w:type="dxa"/>
            <w:right w:w="0" w:type="dxa"/>
          </w:tblCellMar>
        </w:tblPrEx>
        <w:trPr>
          <w:trHeight w:val="622" w:hRule="atLeast"/>
          <w:jc w:val="center"/>
        </w:trPr>
        <w:tc>
          <w:tcPr>
            <w:tcW w:w="804" w:type="dxa"/>
            <w:tcBorders>
              <w:top w:val="nil"/>
              <w:left w:val="single" w:color="auto" w:sz="8" w:space="0"/>
              <w:bottom w:val="single" w:color="auto" w:sz="8" w:space="0"/>
              <w:right w:val="single" w:color="auto" w:sz="8" w:space="0"/>
            </w:tcBorders>
            <w:vAlign w:val="center"/>
          </w:tcPr>
          <w:p w14:paraId="22349895">
            <w:pPr>
              <w:widowControl/>
              <w:snapToGrid w:val="0"/>
              <w:spacing w:before="100" w:beforeAutospacing="1" w:after="100" w:afterAutospacing="1" w:line="320" w:lineRule="atLeast"/>
              <w:ind w:firstLine="2"/>
              <w:jc w:val="center"/>
              <w:rPr>
                <w:rFonts w:ascii="Verdana" w:hAnsi="Verdana" w:cs="宋体"/>
                <w:kern w:val="0"/>
                <w:szCs w:val="21"/>
              </w:rPr>
            </w:pPr>
            <w:r>
              <w:rPr>
                <w:rFonts w:ascii="Verdana" w:hAnsi="Verdana" w:cs="宋体"/>
                <w:kern w:val="0"/>
                <w:szCs w:val="21"/>
              </w:rPr>
              <w:t>序号</w:t>
            </w:r>
          </w:p>
        </w:tc>
        <w:tc>
          <w:tcPr>
            <w:tcW w:w="2448" w:type="dxa"/>
            <w:gridSpan w:val="2"/>
            <w:tcBorders>
              <w:top w:val="nil"/>
              <w:left w:val="nil"/>
              <w:bottom w:val="single" w:color="auto" w:sz="8" w:space="0"/>
              <w:right w:val="single" w:color="auto" w:sz="8" w:space="0"/>
            </w:tcBorders>
            <w:vAlign w:val="center"/>
          </w:tcPr>
          <w:p w14:paraId="56CE41B4">
            <w:pPr>
              <w:widowControl/>
              <w:snapToGrid w:val="0"/>
              <w:spacing w:before="100" w:beforeAutospacing="1" w:after="100" w:afterAutospacing="1" w:line="320" w:lineRule="atLeast"/>
              <w:ind w:firstLine="2"/>
              <w:jc w:val="center"/>
              <w:rPr>
                <w:rFonts w:ascii="Verdana" w:hAnsi="Verdana" w:cs="宋体"/>
                <w:kern w:val="0"/>
                <w:szCs w:val="21"/>
              </w:rPr>
            </w:pPr>
            <w:r>
              <w:rPr>
                <w:rFonts w:ascii="Verdana" w:hAnsi="Verdana" w:cs="宋体"/>
                <w:kern w:val="0"/>
                <w:szCs w:val="21"/>
              </w:rPr>
              <w:t>名称</w:t>
            </w:r>
          </w:p>
        </w:tc>
        <w:tc>
          <w:tcPr>
            <w:tcW w:w="2902" w:type="dxa"/>
            <w:gridSpan w:val="3"/>
            <w:tcBorders>
              <w:top w:val="nil"/>
              <w:left w:val="nil"/>
              <w:bottom w:val="single" w:color="auto" w:sz="8" w:space="0"/>
              <w:right w:val="single" w:color="auto" w:sz="8" w:space="0"/>
            </w:tcBorders>
            <w:vAlign w:val="center"/>
          </w:tcPr>
          <w:p w14:paraId="41BB6B5C">
            <w:pPr>
              <w:widowControl/>
              <w:snapToGrid w:val="0"/>
              <w:spacing w:before="100" w:beforeAutospacing="1" w:after="100" w:afterAutospacing="1" w:line="320" w:lineRule="atLeast"/>
              <w:ind w:firstLine="2"/>
              <w:jc w:val="center"/>
              <w:rPr>
                <w:rFonts w:ascii="Verdana" w:hAnsi="Verdana" w:cs="宋体"/>
                <w:kern w:val="0"/>
                <w:szCs w:val="21"/>
              </w:rPr>
            </w:pPr>
            <w:r>
              <w:rPr>
                <w:rFonts w:ascii="Verdana" w:hAnsi="Verdana" w:cs="宋体"/>
                <w:kern w:val="0"/>
                <w:szCs w:val="21"/>
              </w:rPr>
              <w:t>货物型号规格、标准及配置等（或者服务内容、标准）</w:t>
            </w:r>
          </w:p>
        </w:tc>
        <w:tc>
          <w:tcPr>
            <w:tcW w:w="1369" w:type="dxa"/>
            <w:gridSpan w:val="2"/>
            <w:tcBorders>
              <w:top w:val="nil"/>
              <w:left w:val="nil"/>
              <w:bottom w:val="single" w:color="auto" w:sz="8" w:space="0"/>
              <w:right w:val="single" w:color="auto" w:sz="8" w:space="0"/>
            </w:tcBorders>
            <w:vAlign w:val="center"/>
          </w:tcPr>
          <w:p w14:paraId="4E128183">
            <w:pPr>
              <w:widowControl/>
              <w:snapToGrid w:val="0"/>
              <w:spacing w:before="100" w:beforeAutospacing="1" w:after="100" w:afterAutospacing="1" w:line="320" w:lineRule="atLeast"/>
              <w:jc w:val="center"/>
              <w:rPr>
                <w:rFonts w:ascii="Verdana" w:hAnsi="Verdana" w:cs="宋体"/>
                <w:kern w:val="0"/>
                <w:szCs w:val="21"/>
              </w:rPr>
            </w:pPr>
            <w:r>
              <w:rPr>
                <w:rFonts w:ascii="Verdana" w:hAnsi="Verdana" w:cs="宋体"/>
                <w:kern w:val="0"/>
                <w:szCs w:val="21"/>
              </w:rPr>
              <w:t>数量</w:t>
            </w:r>
          </w:p>
        </w:tc>
        <w:tc>
          <w:tcPr>
            <w:tcW w:w="1428" w:type="dxa"/>
            <w:tcBorders>
              <w:top w:val="nil"/>
              <w:left w:val="nil"/>
              <w:bottom w:val="single" w:color="auto" w:sz="8" w:space="0"/>
              <w:right w:val="single" w:color="auto" w:sz="8" w:space="0"/>
            </w:tcBorders>
            <w:vAlign w:val="center"/>
          </w:tcPr>
          <w:p w14:paraId="36FF574E">
            <w:pPr>
              <w:widowControl/>
              <w:snapToGrid w:val="0"/>
              <w:spacing w:before="100" w:beforeAutospacing="1" w:after="100" w:afterAutospacing="1" w:line="320" w:lineRule="atLeast"/>
              <w:ind w:firstLine="2"/>
              <w:jc w:val="center"/>
              <w:rPr>
                <w:rFonts w:ascii="Verdana" w:hAnsi="Verdana" w:cs="宋体"/>
                <w:kern w:val="0"/>
                <w:szCs w:val="21"/>
              </w:rPr>
            </w:pPr>
            <w:r>
              <w:rPr>
                <w:rFonts w:ascii="Verdana" w:hAnsi="Verdana" w:cs="宋体"/>
                <w:kern w:val="0"/>
                <w:szCs w:val="21"/>
              </w:rPr>
              <w:t>金额</w:t>
            </w:r>
          </w:p>
        </w:tc>
      </w:tr>
      <w:tr w14:paraId="2585CD45">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vAlign w:val="center"/>
          </w:tcPr>
          <w:p w14:paraId="328BFCE2">
            <w:pPr>
              <w:widowControl/>
              <w:spacing w:before="100" w:beforeAutospacing="1" w:after="100" w:afterAutospacing="1" w:line="240" w:lineRule="atLeast"/>
              <w:jc w:val="center"/>
              <w:rPr>
                <w:rFonts w:ascii="Verdana" w:hAnsi="Verdana" w:cs="宋体"/>
                <w:kern w:val="0"/>
                <w:szCs w:val="21"/>
              </w:rPr>
            </w:pPr>
          </w:p>
        </w:tc>
        <w:tc>
          <w:tcPr>
            <w:tcW w:w="2448" w:type="dxa"/>
            <w:gridSpan w:val="2"/>
            <w:tcBorders>
              <w:top w:val="nil"/>
              <w:left w:val="nil"/>
              <w:bottom w:val="single" w:color="auto" w:sz="8" w:space="0"/>
              <w:right w:val="single" w:color="auto" w:sz="8" w:space="0"/>
            </w:tcBorders>
            <w:vAlign w:val="center"/>
          </w:tcPr>
          <w:p w14:paraId="3F7132DB">
            <w:pPr>
              <w:widowControl/>
              <w:spacing w:before="100" w:beforeAutospacing="1" w:after="100" w:afterAutospacing="1" w:line="240" w:lineRule="atLeast"/>
              <w:jc w:val="center"/>
              <w:rPr>
                <w:rFonts w:ascii="Verdana" w:hAnsi="Verdana" w:cs="宋体"/>
                <w:kern w:val="0"/>
                <w:szCs w:val="21"/>
              </w:rPr>
            </w:pPr>
          </w:p>
        </w:tc>
        <w:tc>
          <w:tcPr>
            <w:tcW w:w="2902" w:type="dxa"/>
            <w:gridSpan w:val="3"/>
            <w:tcBorders>
              <w:top w:val="nil"/>
              <w:left w:val="nil"/>
              <w:bottom w:val="single" w:color="auto" w:sz="8" w:space="0"/>
              <w:right w:val="single" w:color="auto" w:sz="8" w:space="0"/>
            </w:tcBorders>
            <w:vAlign w:val="center"/>
          </w:tcPr>
          <w:p w14:paraId="74B8E3B5">
            <w:pPr>
              <w:widowControl/>
              <w:spacing w:before="100" w:beforeAutospacing="1" w:after="100" w:afterAutospacing="1" w:line="240" w:lineRule="atLeast"/>
              <w:jc w:val="center"/>
              <w:rPr>
                <w:rFonts w:ascii="Verdana" w:hAnsi="Verdana" w:cs="宋体"/>
                <w:kern w:val="0"/>
                <w:szCs w:val="21"/>
              </w:rPr>
            </w:pPr>
          </w:p>
        </w:tc>
        <w:tc>
          <w:tcPr>
            <w:tcW w:w="1369" w:type="dxa"/>
            <w:gridSpan w:val="2"/>
            <w:tcBorders>
              <w:top w:val="nil"/>
              <w:left w:val="nil"/>
              <w:bottom w:val="single" w:color="auto" w:sz="8" w:space="0"/>
              <w:right w:val="single" w:color="auto" w:sz="8" w:space="0"/>
            </w:tcBorders>
            <w:vAlign w:val="center"/>
          </w:tcPr>
          <w:p w14:paraId="74048306">
            <w:pPr>
              <w:widowControl/>
              <w:spacing w:before="100" w:beforeAutospacing="1" w:after="100" w:afterAutospacing="1" w:line="240" w:lineRule="atLeast"/>
              <w:jc w:val="center"/>
              <w:rPr>
                <w:rFonts w:ascii="Verdana" w:hAnsi="Verdana" w:cs="宋体"/>
                <w:kern w:val="0"/>
                <w:szCs w:val="21"/>
              </w:rPr>
            </w:pPr>
          </w:p>
        </w:tc>
        <w:tc>
          <w:tcPr>
            <w:tcW w:w="1428" w:type="dxa"/>
            <w:tcBorders>
              <w:top w:val="nil"/>
              <w:left w:val="nil"/>
              <w:bottom w:val="single" w:color="auto" w:sz="8" w:space="0"/>
              <w:right w:val="single" w:color="auto" w:sz="8" w:space="0"/>
            </w:tcBorders>
            <w:vAlign w:val="center"/>
          </w:tcPr>
          <w:p w14:paraId="6C236926">
            <w:pPr>
              <w:widowControl/>
              <w:spacing w:before="100" w:beforeAutospacing="1" w:after="100" w:afterAutospacing="1" w:line="240" w:lineRule="atLeast"/>
              <w:jc w:val="center"/>
              <w:rPr>
                <w:rFonts w:ascii="Verdana" w:hAnsi="Verdana" w:cs="宋体"/>
                <w:kern w:val="0"/>
                <w:szCs w:val="21"/>
              </w:rPr>
            </w:pPr>
          </w:p>
        </w:tc>
      </w:tr>
      <w:tr w14:paraId="287D5645">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vAlign w:val="center"/>
          </w:tcPr>
          <w:p w14:paraId="19208A4A">
            <w:pPr>
              <w:widowControl/>
              <w:spacing w:before="100" w:beforeAutospacing="1" w:after="100" w:afterAutospacing="1" w:line="240" w:lineRule="atLeast"/>
              <w:jc w:val="center"/>
              <w:rPr>
                <w:rFonts w:ascii="Verdana" w:hAnsi="Verdana" w:cs="宋体"/>
                <w:kern w:val="0"/>
                <w:szCs w:val="21"/>
              </w:rPr>
            </w:pPr>
          </w:p>
        </w:tc>
        <w:tc>
          <w:tcPr>
            <w:tcW w:w="2448" w:type="dxa"/>
            <w:gridSpan w:val="2"/>
            <w:tcBorders>
              <w:top w:val="nil"/>
              <w:left w:val="nil"/>
              <w:bottom w:val="single" w:color="auto" w:sz="8" w:space="0"/>
              <w:right w:val="single" w:color="auto" w:sz="8" w:space="0"/>
            </w:tcBorders>
            <w:vAlign w:val="center"/>
          </w:tcPr>
          <w:p w14:paraId="1065F188">
            <w:pPr>
              <w:widowControl/>
              <w:spacing w:before="100" w:beforeAutospacing="1" w:after="100" w:afterAutospacing="1" w:line="240" w:lineRule="atLeast"/>
              <w:jc w:val="center"/>
              <w:rPr>
                <w:rFonts w:ascii="Verdana" w:hAnsi="Verdana" w:cs="宋体"/>
                <w:kern w:val="0"/>
                <w:szCs w:val="21"/>
              </w:rPr>
            </w:pPr>
          </w:p>
        </w:tc>
        <w:tc>
          <w:tcPr>
            <w:tcW w:w="2902" w:type="dxa"/>
            <w:gridSpan w:val="3"/>
            <w:tcBorders>
              <w:top w:val="nil"/>
              <w:left w:val="nil"/>
              <w:bottom w:val="single" w:color="auto" w:sz="8" w:space="0"/>
              <w:right w:val="single" w:color="auto" w:sz="8" w:space="0"/>
            </w:tcBorders>
            <w:vAlign w:val="center"/>
          </w:tcPr>
          <w:p w14:paraId="31EFAE2C">
            <w:pPr>
              <w:widowControl/>
              <w:spacing w:before="100" w:beforeAutospacing="1" w:after="100" w:afterAutospacing="1" w:line="240" w:lineRule="atLeast"/>
              <w:jc w:val="center"/>
              <w:rPr>
                <w:rFonts w:ascii="Verdana" w:hAnsi="Verdana" w:cs="宋体"/>
                <w:kern w:val="0"/>
                <w:szCs w:val="21"/>
              </w:rPr>
            </w:pPr>
          </w:p>
        </w:tc>
        <w:tc>
          <w:tcPr>
            <w:tcW w:w="1369" w:type="dxa"/>
            <w:gridSpan w:val="2"/>
            <w:tcBorders>
              <w:top w:val="nil"/>
              <w:left w:val="nil"/>
              <w:bottom w:val="single" w:color="auto" w:sz="8" w:space="0"/>
              <w:right w:val="single" w:color="auto" w:sz="8" w:space="0"/>
            </w:tcBorders>
            <w:vAlign w:val="center"/>
          </w:tcPr>
          <w:p w14:paraId="52F99790">
            <w:pPr>
              <w:widowControl/>
              <w:spacing w:before="100" w:beforeAutospacing="1" w:after="100" w:afterAutospacing="1" w:line="240" w:lineRule="atLeast"/>
              <w:jc w:val="center"/>
              <w:rPr>
                <w:rFonts w:ascii="Verdana" w:hAnsi="Verdana" w:cs="宋体"/>
                <w:kern w:val="0"/>
                <w:szCs w:val="21"/>
              </w:rPr>
            </w:pPr>
          </w:p>
        </w:tc>
        <w:tc>
          <w:tcPr>
            <w:tcW w:w="1428" w:type="dxa"/>
            <w:tcBorders>
              <w:top w:val="nil"/>
              <w:left w:val="nil"/>
              <w:bottom w:val="single" w:color="auto" w:sz="8" w:space="0"/>
              <w:right w:val="single" w:color="auto" w:sz="8" w:space="0"/>
            </w:tcBorders>
            <w:vAlign w:val="center"/>
          </w:tcPr>
          <w:p w14:paraId="4C385763">
            <w:pPr>
              <w:widowControl/>
              <w:spacing w:before="100" w:beforeAutospacing="1" w:after="100" w:afterAutospacing="1" w:line="240" w:lineRule="atLeast"/>
              <w:jc w:val="center"/>
              <w:rPr>
                <w:rFonts w:ascii="Verdana" w:hAnsi="Verdana" w:cs="宋体"/>
                <w:kern w:val="0"/>
                <w:szCs w:val="21"/>
              </w:rPr>
            </w:pPr>
          </w:p>
        </w:tc>
      </w:tr>
      <w:tr w14:paraId="07DC2E67">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vAlign w:val="center"/>
          </w:tcPr>
          <w:p w14:paraId="6B635EB8">
            <w:pPr>
              <w:widowControl/>
              <w:spacing w:before="100" w:beforeAutospacing="1" w:after="100" w:afterAutospacing="1" w:line="240" w:lineRule="atLeast"/>
              <w:jc w:val="center"/>
              <w:rPr>
                <w:rFonts w:ascii="Verdana" w:hAnsi="Verdana" w:cs="宋体"/>
                <w:kern w:val="0"/>
                <w:szCs w:val="21"/>
              </w:rPr>
            </w:pPr>
          </w:p>
        </w:tc>
        <w:tc>
          <w:tcPr>
            <w:tcW w:w="2448" w:type="dxa"/>
            <w:gridSpan w:val="2"/>
            <w:tcBorders>
              <w:top w:val="nil"/>
              <w:left w:val="nil"/>
              <w:bottom w:val="single" w:color="auto" w:sz="8" w:space="0"/>
              <w:right w:val="single" w:color="auto" w:sz="8" w:space="0"/>
            </w:tcBorders>
            <w:vAlign w:val="center"/>
          </w:tcPr>
          <w:p w14:paraId="5E35A7E3">
            <w:pPr>
              <w:widowControl/>
              <w:spacing w:before="100" w:beforeAutospacing="1" w:after="100" w:afterAutospacing="1" w:line="240" w:lineRule="atLeast"/>
              <w:jc w:val="center"/>
              <w:rPr>
                <w:rFonts w:ascii="Verdana" w:hAnsi="Verdana" w:cs="宋体"/>
                <w:kern w:val="0"/>
                <w:szCs w:val="21"/>
              </w:rPr>
            </w:pPr>
          </w:p>
        </w:tc>
        <w:tc>
          <w:tcPr>
            <w:tcW w:w="2902" w:type="dxa"/>
            <w:gridSpan w:val="3"/>
            <w:tcBorders>
              <w:top w:val="nil"/>
              <w:left w:val="nil"/>
              <w:bottom w:val="single" w:color="auto" w:sz="8" w:space="0"/>
              <w:right w:val="single" w:color="auto" w:sz="8" w:space="0"/>
            </w:tcBorders>
            <w:vAlign w:val="center"/>
          </w:tcPr>
          <w:p w14:paraId="4B7690CC">
            <w:pPr>
              <w:widowControl/>
              <w:spacing w:before="100" w:beforeAutospacing="1" w:after="100" w:afterAutospacing="1" w:line="240" w:lineRule="atLeast"/>
              <w:jc w:val="center"/>
              <w:rPr>
                <w:rFonts w:ascii="Verdana" w:hAnsi="Verdana" w:cs="宋体"/>
                <w:kern w:val="0"/>
                <w:szCs w:val="21"/>
              </w:rPr>
            </w:pPr>
          </w:p>
        </w:tc>
        <w:tc>
          <w:tcPr>
            <w:tcW w:w="1369" w:type="dxa"/>
            <w:gridSpan w:val="2"/>
            <w:tcBorders>
              <w:top w:val="nil"/>
              <w:left w:val="nil"/>
              <w:bottom w:val="single" w:color="auto" w:sz="8" w:space="0"/>
              <w:right w:val="single" w:color="auto" w:sz="8" w:space="0"/>
            </w:tcBorders>
            <w:vAlign w:val="center"/>
          </w:tcPr>
          <w:p w14:paraId="1E9DBA14">
            <w:pPr>
              <w:widowControl/>
              <w:spacing w:before="100" w:beforeAutospacing="1" w:after="100" w:afterAutospacing="1" w:line="240" w:lineRule="atLeast"/>
              <w:jc w:val="center"/>
              <w:rPr>
                <w:rFonts w:ascii="Verdana" w:hAnsi="Verdana" w:cs="宋体"/>
                <w:kern w:val="0"/>
                <w:szCs w:val="21"/>
              </w:rPr>
            </w:pPr>
          </w:p>
        </w:tc>
        <w:tc>
          <w:tcPr>
            <w:tcW w:w="1428" w:type="dxa"/>
            <w:tcBorders>
              <w:top w:val="nil"/>
              <w:left w:val="nil"/>
              <w:bottom w:val="single" w:color="auto" w:sz="8" w:space="0"/>
              <w:right w:val="single" w:color="auto" w:sz="8" w:space="0"/>
            </w:tcBorders>
            <w:vAlign w:val="center"/>
          </w:tcPr>
          <w:p w14:paraId="23F84E2F">
            <w:pPr>
              <w:widowControl/>
              <w:spacing w:before="100" w:beforeAutospacing="1" w:after="100" w:afterAutospacing="1" w:line="240" w:lineRule="atLeast"/>
              <w:jc w:val="center"/>
              <w:rPr>
                <w:rFonts w:ascii="Verdana" w:hAnsi="Verdana" w:cs="宋体"/>
                <w:kern w:val="0"/>
                <w:szCs w:val="21"/>
              </w:rPr>
            </w:pPr>
          </w:p>
        </w:tc>
      </w:tr>
      <w:tr w14:paraId="16280F1E">
        <w:tblPrEx>
          <w:tblCellMar>
            <w:top w:w="0" w:type="dxa"/>
            <w:left w:w="0" w:type="dxa"/>
            <w:bottom w:w="0" w:type="dxa"/>
            <w:right w:w="0" w:type="dxa"/>
          </w:tblCellMar>
        </w:tblPrEx>
        <w:trPr>
          <w:trHeight w:val="487" w:hRule="atLeast"/>
          <w:jc w:val="center"/>
        </w:trPr>
        <w:tc>
          <w:tcPr>
            <w:tcW w:w="6154" w:type="dxa"/>
            <w:gridSpan w:val="6"/>
            <w:tcBorders>
              <w:top w:val="nil"/>
              <w:left w:val="single" w:color="auto" w:sz="8" w:space="0"/>
              <w:bottom w:val="single" w:color="auto" w:sz="8" w:space="0"/>
              <w:right w:val="single" w:color="auto" w:sz="8" w:space="0"/>
            </w:tcBorders>
            <w:vAlign w:val="center"/>
          </w:tcPr>
          <w:p w14:paraId="24ECEA47">
            <w:pPr>
              <w:widowControl/>
              <w:snapToGrid w:val="0"/>
              <w:spacing w:before="100" w:beforeAutospacing="1" w:after="100" w:afterAutospacing="1" w:line="320" w:lineRule="atLeast"/>
              <w:ind w:firstLine="5"/>
              <w:jc w:val="center"/>
              <w:rPr>
                <w:rFonts w:ascii="Verdana" w:hAnsi="Verdana" w:cs="宋体"/>
                <w:kern w:val="0"/>
                <w:szCs w:val="21"/>
              </w:rPr>
            </w:pPr>
            <w:r>
              <w:rPr>
                <w:rFonts w:ascii="Verdana" w:hAnsi="Verdana" w:cs="宋体"/>
                <w:kern w:val="0"/>
                <w:szCs w:val="21"/>
              </w:rPr>
              <w:t>合 计</w:t>
            </w:r>
          </w:p>
        </w:tc>
        <w:tc>
          <w:tcPr>
            <w:tcW w:w="1369" w:type="dxa"/>
            <w:gridSpan w:val="2"/>
            <w:tcBorders>
              <w:top w:val="nil"/>
              <w:left w:val="nil"/>
              <w:bottom w:val="single" w:color="auto" w:sz="8" w:space="0"/>
              <w:right w:val="single" w:color="auto" w:sz="8" w:space="0"/>
            </w:tcBorders>
            <w:vAlign w:val="center"/>
          </w:tcPr>
          <w:p w14:paraId="2FE47CDC">
            <w:pPr>
              <w:widowControl/>
              <w:spacing w:before="100" w:beforeAutospacing="1" w:after="100" w:afterAutospacing="1" w:line="240" w:lineRule="atLeast"/>
              <w:jc w:val="center"/>
              <w:rPr>
                <w:rFonts w:ascii="Verdana" w:hAnsi="Verdana" w:cs="宋体"/>
                <w:kern w:val="0"/>
                <w:szCs w:val="21"/>
              </w:rPr>
            </w:pPr>
          </w:p>
        </w:tc>
        <w:tc>
          <w:tcPr>
            <w:tcW w:w="1428" w:type="dxa"/>
            <w:tcBorders>
              <w:top w:val="nil"/>
              <w:left w:val="nil"/>
              <w:bottom w:val="single" w:color="auto" w:sz="8" w:space="0"/>
              <w:right w:val="single" w:color="auto" w:sz="8" w:space="0"/>
            </w:tcBorders>
            <w:vAlign w:val="center"/>
          </w:tcPr>
          <w:p w14:paraId="6B96E04E">
            <w:pPr>
              <w:widowControl/>
              <w:spacing w:before="100" w:beforeAutospacing="1" w:after="100" w:afterAutospacing="1" w:line="240" w:lineRule="atLeast"/>
              <w:jc w:val="center"/>
              <w:rPr>
                <w:rFonts w:ascii="Verdana" w:hAnsi="Verdana" w:cs="宋体"/>
                <w:kern w:val="0"/>
                <w:szCs w:val="21"/>
              </w:rPr>
            </w:pPr>
          </w:p>
        </w:tc>
      </w:tr>
      <w:tr w14:paraId="293B8F4E">
        <w:tblPrEx>
          <w:tblCellMar>
            <w:top w:w="0" w:type="dxa"/>
            <w:left w:w="0" w:type="dxa"/>
            <w:bottom w:w="0" w:type="dxa"/>
            <w:right w:w="0" w:type="dxa"/>
          </w:tblCellMar>
        </w:tblPrEx>
        <w:trPr>
          <w:trHeight w:val="641" w:hRule="atLeast"/>
          <w:jc w:val="center"/>
        </w:trPr>
        <w:tc>
          <w:tcPr>
            <w:tcW w:w="8951" w:type="dxa"/>
            <w:gridSpan w:val="9"/>
            <w:tcBorders>
              <w:top w:val="nil"/>
              <w:left w:val="single" w:color="auto" w:sz="8" w:space="0"/>
              <w:bottom w:val="single" w:color="auto" w:sz="8" w:space="0"/>
              <w:right w:val="single" w:color="auto" w:sz="8" w:space="0"/>
            </w:tcBorders>
            <w:vAlign w:val="center"/>
          </w:tcPr>
          <w:p w14:paraId="19D8B244">
            <w:pPr>
              <w:widowControl/>
              <w:snapToGrid w:val="0"/>
              <w:spacing w:before="100" w:beforeAutospacing="1" w:after="100" w:afterAutospacing="1" w:line="320" w:lineRule="atLeast"/>
              <w:ind w:firstLine="210" w:firstLineChars="100"/>
              <w:jc w:val="left"/>
              <w:rPr>
                <w:rFonts w:ascii="Verdana" w:hAnsi="Verdana" w:cs="宋体"/>
                <w:kern w:val="0"/>
                <w:szCs w:val="21"/>
              </w:rPr>
            </w:pPr>
            <w:r>
              <w:rPr>
                <w:rFonts w:ascii="Verdana" w:hAnsi="Verdana" w:cs="宋体"/>
                <w:kern w:val="0"/>
                <w:szCs w:val="21"/>
              </w:rPr>
              <w:t xml:space="preserve">合计大写金额： </w:t>
            </w:r>
            <w:r>
              <w:rPr>
                <w:rFonts w:hint="eastAsia" w:ascii="Verdana" w:hAnsi="Verdana" w:cs="宋体"/>
                <w:kern w:val="0"/>
                <w:szCs w:val="21"/>
              </w:rPr>
              <w:t xml:space="preserve"> </w:t>
            </w:r>
            <w:r>
              <w:rPr>
                <w:rFonts w:ascii="Verdana" w:hAnsi="Verdana" w:cs="宋体"/>
                <w:kern w:val="0"/>
                <w:szCs w:val="21"/>
              </w:rPr>
              <w:t xml:space="preserve">仟 </w:t>
            </w:r>
            <w:r>
              <w:rPr>
                <w:rFonts w:hint="eastAsia" w:ascii="Verdana" w:hAnsi="Verdana" w:cs="宋体"/>
                <w:kern w:val="0"/>
                <w:szCs w:val="21"/>
              </w:rPr>
              <w:t xml:space="preserve"> </w:t>
            </w:r>
            <w:r>
              <w:rPr>
                <w:rFonts w:ascii="Verdana" w:hAnsi="Verdana" w:cs="宋体"/>
                <w:kern w:val="0"/>
                <w:szCs w:val="21"/>
              </w:rPr>
              <w:t xml:space="preserve">佰 </w:t>
            </w:r>
            <w:r>
              <w:rPr>
                <w:rFonts w:hint="eastAsia" w:ascii="Verdana" w:hAnsi="Verdana" w:cs="宋体"/>
                <w:kern w:val="0"/>
                <w:szCs w:val="21"/>
              </w:rPr>
              <w:t xml:space="preserve"> </w:t>
            </w:r>
            <w:r>
              <w:rPr>
                <w:rFonts w:ascii="Verdana" w:hAnsi="Verdana" w:cs="宋体"/>
                <w:kern w:val="0"/>
                <w:szCs w:val="21"/>
              </w:rPr>
              <w:t xml:space="preserve">拾 </w:t>
            </w:r>
            <w:r>
              <w:rPr>
                <w:rFonts w:hint="eastAsia" w:ascii="Verdana" w:hAnsi="Verdana" w:cs="宋体"/>
                <w:kern w:val="0"/>
                <w:szCs w:val="21"/>
              </w:rPr>
              <w:t xml:space="preserve"> </w:t>
            </w:r>
            <w:r>
              <w:rPr>
                <w:rFonts w:ascii="Verdana" w:hAnsi="Verdana" w:cs="宋体"/>
                <w:kern w:val="0"/>
                <w:szCs w:val="21"/>
              </w:rPr>
              <w:t xml:space="preserve">万 </w:t>
            </w:r>
            <w:r>
              <w:rPr>
                <w:rFonts w:hint="eastAsia" w:ascii="Verdana" w:hAnsi="Verdana" w:cs="宋体"/>
                <w:kern w:val="0"/>
                <w:szCs w:val="21"/>
              </w:rPr>
              <w:t xml:space="preserve"> </w:t>
            </w:r>
            <w:r>
              <w:rPr>
                <w:rFonts w:ascii="Verdana" w:hAnsi="Verdana" w:cs="宋体"/>
                <w:kern w:val="0"/>
                <w:szCs w:val="21"/>
              </w:rPr>
              <w:t xml:space="preserve">仟 </w:t>
            </w:r>
            <w:r>
              <w:rPr>
                <w:rFonts w:hint="eastAsia" w:ascii="Verdana" w:hAnsi="Verdana" w:cs="宋体"/>
                <w:kern w:val="0"/>
                <w:szCs w:val="21"/>
              </w:rPr>
              <w:t xml:space="preserve"> </w:t>
            </w:r>
            <w:r>
              <w:rPr>
                <w:rFonts w:ascii="Verdana" w:hAnsi="Verdana" w:cs="宋体"/>
                <w:kern w:val="0"/>
                <w:szCs w:val="21"/>
              </w:rPr>
              <w:t xml:space="preserve">佰 </w:t>
            </w:r>
            <w:r>
              <w:rPr>
                <w:rFonts w:hint="eastAsia" w:ascii="Verdana" w:hAnsi="Verdana" w:cs="宋体"/>
                <w:kern w:val="0"/>
                <w:szCs w:val="21"/>
              </w:rPr>
              <w:t xml:space="preserve"> </w:t>
            </w:r>
            <w:r>
              <w:rPr>
                <w:rFonts w:ascii="Verdana" w:hAnsi="Verdana" w:cs="宋体"/>
                <w:kern w:val="0"/>
                <w:szCs w:val="21"/>
              </w:rPr>
              <w:t xml:space="preserve">拾 </w:t>
            </w:r>
            <w:r>
              <w:rPr>
                <w:rFonts w:hint="eastAsia" w:ascii="Verdana" w:hAnsi="Verdana" w:cs="宋体"/>
                <w:kern w:val="0"/>
                <w:szCs w:val="21"/>
              </w:rPr>
              <w:t xml:space="preserve"> </w:t>
            </w:r>
            <w:r>
              <w:rPr>
                <w:rFonts w:ascii="Verdana" w:hAnsi="Verdana" w:cs="宋体"/>
                <w:kern w:val="0"/>
                <w:szCs w:val="21"/>
              </w:rPr>
              <w:t>元</w:t>
            </w:r>
          </w:p>
        </w:tc>
      </w:tr>
      <w:tr w14:paraId="552A4930">
        <w:tblPrEx>
          <w:tblCellMar>
            <w:top w:w="0" w:type="dxa"/>
            <w:left w:w="0" w:type="dxa"/>
            <w:bottom w:w="0" w:type="dxa"/>
            <w:right w:w="0" w:type="dxa"/>
          </w:tblCellMar>
        </w:tblPrEx>
        <w:trPr>
          <w:trHeight w:val="641" w:hRule="atLeast"/>
          <w:jc w:val="center"/>
        </w:trPr>
        <w:tc>
          <w:tcPr>
            <w:tcW w:w="1629" w:type="dxa"/>
            <w:gridSpan w:val="2"/>
            <w:tcBorders>
              <w:top w:val="nil"/>
              <w:left w:val="single" w:color="auto" w:sz="8" w:space="0"/>
              <w:bottom w:val="single" w:color="auto" w:sz="8" w:space="0"/>
              <w:right w:val="single" w:color="auto" w:sz="8" w:space="0"/>
            </w:tcBorders>
            <w:vAlign w:val="center"/>
          </w:tcPr>
          <w:p w14:paraId="6CF56A71">
            <w:pPr>
              <w:widowControl/>
              <w:snapToGrid w:val="0"/>
              <w:spacing w:before="100" w:beforeAutospacing="1" w:after="100" w:afterAutospacing="1" w:line="320" w:lineRule="atLeast"/>
              <w:ind w:firstLine="2"/>
              <w:jc w:val="center"/>
              <w:rPr>
                <w:rFonts w:ascii="Verdana" w:hAnsi="Verdana" w:cs="宋体"/>
                <w:kern w:val="0"/>
                <w:szCs w:val="21"/>
              </w:rPr>
            </w:pPr>
            <w:r>
              <w:rPr>
                <w:rFonts w:ascii="Verdana" w:hAnsi="Verdana" w:cs="宋体"/>
                <w:kern w:val="0"/>
                <w:szCs w:val="21"/>
              </w:rPr>
              <w:t>实际供货日期</w:t>
            </w:r>
          </w:p>
        </w:tc>
        <w:tc>
          <w:tcPr>
            <w:tcW w:w="2421" w:type="dxa"/>
            <w:gridSpan w:val="2"/>
            <w:tcBorders>
              <w:top w:val="nil"/>
              <w:left w:val="nil"/>
              <w:bottom w:val="single" w:color="auto" w:sz="8" w:space="0"/>
              <w:right w:val="single" w:color="auto" w:sz="8" w:space="0"/>
            </w:tcBorders>
            <w:vAlign w:val="center"/>
          </w:tcPr>
          <w:p w14:paraId="1E01595A">
            <w:pPr>
              <w:widowControl/>
              <w:spacing w:before="100" w:beforeAutospacing="1" w:after="100" w:afterAutospacing="1" w:line="240" w:lineRule="atLeast"/>
              <w:jc w:val="center"/>
              <w:rPr>
                <w:rFonts w:ascii="Verdana" w:hAnsi="Verdana" w:cs="宋体"/>
                <w:kern w:val="0"/>
                <w:szCs w:val="21"/>
              </w:rPr>
            </w:pPr>
          </w:p>
        </w:tc>
        <w:tc>
          <w:tcPr>
            <w:tcW w:w="2282" w:type="dxa"/>
            <w:gridSpan w:val="3"/>
            <w:tcBorders>
              <w:top w:val="nil"/>
              <w:left w:val="nil"/>
              <w:bottom w:val="single" w:color="auto" w:sz="8" w:space="0"/>
              <w:right w:val="single" w:color="auto" w:sz="8" w:space="0"/>
            </w:tcBorders>
            <w:vAlign w:val="center"/>
          </w:tcPr>
          <w:p w14:paraId="34CDA58B">
            <w:pPr>
              <w:widowControl/>
              <w:snapToGrid w:val="0"/>
              <w:spacing w:before="100" w:beforeAutospacing="1" w:after="100" w:afterAutospacing="1" w:line="320" w:lineRule="atLeast"/>
              <w:ind w:firstLine="46"/>
              <w:jc w:val="center"/>
              <w:rPr>
                <w:rFonts w:ascii="Verdana" w:hAnsi="Verdana" w:cs="宋体"/>
                <w:kern w:val="0"/>
                <w:szCs w:val="21"/>
              </w:rPr>
            </w:pPr>
            <w:r>
              <w:rPr>
                <w:rFonts w:ascii="Verdana" w:hAnsi="Verdana" w:cs="宋体"/>
                <w:kern w:val="0"/>
                <w:szCs w:val="21"/>
              </w:rPr>
              <w:t>合同交货验收日期</w:t>
            </w:r>
          </w:p>
        </w:tc>
        <w:tc>
          <w:tcPr>
            <w:tcW w:w="2619" w:type="dxa"/>
            <w:gridSpan w:val="2"/>
            <w:tcBorders>
              <w:top w:val="nil"/>
              <w:left w:val="nil"/>
              <w:bottom w:val="single" w:color="auto" w:sz="8" w:space="0"/>
              <w:right w:val="single" w:color="auto" w:sz="8" w:space="0"/>
            </w:tcBorders>
            <w:vAlign w:val="center"/>
          </w:tcPr>
          <w:p w14:paraId="505482C9">
            <w:pPr>
              <w:widowControl/>
              <w:spacing w:before="100" w:beforeAutospacing="1" w:after="100" w:afterAutospacing="1" w:line="240" w:lineRule="atLeast"/>
              <w:jc w:val="center"/>
              <w:rPr>
                <w:rFonts w:ascii="Verdana" w:hAnsi="Verdana" w:cs="宋体"/>
                <w:kern w:val="0"/>
                <w:szCs w:val="21"/>
              </w:rPr>
            </w:pPr>
          </w:p>
        </w:tc>
      </w:tr>
      <w:tr w14:paraId="675E3C89">
        <w:tblPrEx>
          <w:tblCellMar>
            <w:top w:w="0" w:type="dxa"/>
            <w:left w:w="0" w:type="dxa"/>
            <w:bottom w:w="0" w:type="dxa"/>
            <w:right w:w="0" w:type="dxa"/>
          </w:tblCellMar>
        </w:tblPrEx>
        <w:trPr>
          <w:trHeight w:val="394" w:hRule="atLeast"/>
          <w:jc w:val="center"/>
        </w:trPr>
        <w:tc>
          <w:tcPr>
            <w:tcW w:w="1629" w:type="dxa"/>
            <w:gridSpan w:val="2"/>
            <w:tcBorders>
              <w:top w:val="nil"/>
              <w:left w:val="single" w:color="auto" w:sz="8" w:space="0"/>
              <w:bottom w:val="single" w:color="auto" w:sz="8" w:space="0"/>
              <w:right w:val="single" w:color="auto" w:sz="8" w:space="0"/>
            </w:tcBorders>
            <w:vAlign w:val="center"/>
          </w:tcPr>
          <w:p w14:paraId="52468D0E">
            <w:pPr>
              <w:widowControl/>
              <w:spacing w:before="100" w:beforeAutospacing="1" w:after="100" w:afterAutospacing="1" w:line="240" w:lineRule="atLeast"/>
              <w:jc w:val="center"/>
              <w:rPr>
                <w:rFonts w:ascii="Verdana" w:hAnsi="Verdana" w:cs="宋体"/>
                <w:kern w:val="0"/>
                <w:szCs w:val="21"/>
              </w:rPr>
            </w:pPr>
          </w:p>
        </w:tc>
        <w:tc>
          <w:tcPr>
            <w:tcW w:w="2421" w:type="dxa"/>
            <w:gridSpan w:val="2"/>
            <w:tcBorders>
              <w:top w:val="nil"/>
              <w:left w:val="nil"/>
              <w:bottom w:val="single" w:color="auto" w:sz="8" w:space="0"/>
              <w:right w:val="single" w:color="auto" w:sz="8" w:space="0"/>
            </w:tcBorders>
            <w:vAlign w:val="center"/>
          </w:tcPr>
          <w:p w14:paraId="779E2B06">
            <w:pPr>
              <w:widowControl/>
              <w:spacing w:before="100" w:beforeAutospacing="1" w:after="100" w:afterAutospacing="1" w:line="240" w:lineRule="atLeast"/>
              <w:jc w:val="center"/>
              <w:rPr>
                <w:rFonts w:ascii="Verdana" w:hAnsi="Verdana" w:cs="宋体"/>
                <w:kern w:val="0"/>
                <w:szCs w:val="21"/>
              </w:rPr>
            </w:pPr>
          </w:p>
        </w:tc>
        <w:tc>
          <w:tcPr>
            <w:tcW w:w="2282" w:type="dxa"/>
            <w:gridSpan w:val="3"/>
            <w:tcBorders>
              <w:top w:val="nil"/>
              <w:left w:val="nil"/>
              <w:bottom w:val="single" w:color="auto" w:sz="8" w:space="0"/>
              <w:right w:val="single" w:color="auto" w:sz="8" w:space="0"/>
            </w:tcBorders>
            <w:vAlign w:val="center"/>
          </w:tcPr>
          <w:p w14:paraId="09E57653">
            <w:pPr>
              <w:widowControl/>
              <w:spacing w:before="100" w:beforeAutospacing="1" w:after="100" w:afterAutospacing="1" w:line="240" w:lineRule="atLeast"/>
              <w:jc w:val="center"/>
              <w:rPr>
                <w:rFonts w:ascii="Verdana" w:hAnsi="Verdana" w:cs="宋体"/>
                <w:kern w:val="0"/>
                <w:szCs w:val="21"/>
              </w:rPr>
            </w:pPr>
          </w:p>
        </w:tc>
        <w:tc>
          <w:tcPr>
            <w:tcW w:w="2619" w:type="dxa"/>
            <w:gridSpan w:val="2"/>
            <w:tcBorders>
              <w:top w:val="nil"/>
              <w:left w:val="nil"/>
              <w:bottom w:val="single" w:color="auto" w:sz="8" w:space="0"/>
              <w:right w:val="single" w:color="auto" w:sz="8" w:space="0"/>
            </w:tcBorders>
            <w:vAlign w:val="center"/>
          </w:tcPr>
          <w:p w14:paraId="42F90C6B">
            <w:pPr>
              <w:widowControl/>
              <w:spacing w:before="100" w:beforeAutospacing="1" w:after="100" w:afterAutospacing="1" w:line="240" w:lineRule="atLeast"/>
              <w:jc w:val="center"/>
              <w:rPr>
                <w:rFonts w:ascii="Verdana" w:hAnsi="Verdana" w:cs="宋体"/>
                <w:kern w:val="0"/>
                <w:szCs w:val="21"/>
              </w:rPr>
            </w:pPr>
          </w:p>
        </w:tc>
      </w:tr>
      <w:tr w14:paraId="545F8F46">
        <w:tblPrEx>
          <w:tblCellMar>
            <w:top w:w="0" w:type="dxa"/>
            <w:left w:w="0" w:type="dxa"/>
            <w:bottom w:w="0" w:type="dxa"/>
            <w:right w:w="0" w:type="dxa"/>
          </w:tblCellMar>
        </w:tblPrEx>
        <w:trPr>
          <w:trHeight w:val="693" w:hRule="atLeast"/>
          <w:jc w:val="center"/>
        </w:trPr>
        <w:tc>
          <w:tcPr>
            <w:tcW w:w="1629"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2545418B">
            <w:pPr>
              <w:widowControl/>
              <w:snapToGrid w:val="0"/>
              <w:spacing w:before="100" w:beforeAutospacing="1" w:after="100" w:afterAutospacing="1" w:line="320" w:lineRule="atLeast"/>
              <w:jc w:val="left"/>
              <w:rPr>
                <w:rFonts w:ascii="Verdana" w:hAnsi="Verdana" w:cs="宋体"/>
                <w:kern w:val="0"/>
                <w:szCs w:val="21"/>
              </w:rPr>
            </w:pPr>
            <w:r>
              <w:rPr>
                <w:rFonts w:ascii="Verdana" w:hAnsi="Verdana" w:cs="宋体"/>
                <w:kern w:val="0"/>
                <w:szCs w:val="21"/>
              </w:rPr>
              <w:t>验收具体内容</w:t>
            </w:r>
          </w:p>
        </w:tc>
        <w:tc>
          <w:tcPr>
            <w:tcW w:w="7322" w:type="dxa"/>
            <w:gridSpan w:val="7"/>
            <w:tcBorders>
              <w:top w:val="nil"/>
              <w:left w:val="nil"/>
              <w:bottom w:val="single" w:color="auto" w:sz="8" w:space="0"/>
              <w:right w:val="single" w:color="auto" w:sz="8" w:space="0"/>
            </w:tcBorders>
            <w:tcMar>
              <w:top w:w="0" w:type="dxa"/>
              <w:left w:w="108" w:type="dxa"/>
              <w:bottom w:w="0" w:type="dxa"/>
              <w:right w:w="108" w:type="dxa"/>
            </w:tcMar>
            <w:vAlign w:val="center"/>
          </w:tcPr>
          <w:p w14:paraId="6CF028F1">
            <w:pPr>
              <w:widowControl/>
              <w:snapToGrid w:val="0"/>
              <w:spacing w:before="100" w:beforeAutospacing="1" w:after="100" w:afterAutospacing="1" w:line="320" w:lineRule="atLeast"/>
              <w:jc w:val="left"/>
              <w:rPr>
                <w:rFonts w:ascii="Verdana" w:hAnsi="Verdana" w:cs="宋体"/>
                <w:kern w:val="0"/>
                <w:szCs w:val="21"/>
              </w:rPr>
            </w:pPr>
            <w:r>
              <w:rPr>
                <w:rFonts w:ascii="Verdana" w:hAnsi="Verdana" w:cs="宋体"/>
                <w:kern w:val="0"/>
                <w:szCs w:val="21"/>
              </w:rPr>
              <w:t>（应按采购合同、竞争性谈判文件、竞标响应文件及验收方案等进行验收；并核对成交供应商在安装调试等方面是否违反合同约定或者服务规范要求、提供的质量保证证明材料是否齐全、应有的配件及附件是否达到合同约定等。可附件)</w:t>
            </w:r>
          </w:p>
        </w:tc>
      </w:tr>
      <w:tr w14:paraId="7075AD94">
        <w:tblPrEx>
          <w:tblCellMar>
            <w:top w:w="0" w:type="dxa"/>
            <w:left w:w="0" w:type="dxa"/>
            <w:bottom w:w="0" w:type="dxa"/>
            <w:right w:w="0" w:type="dxa"/>
          </w:tblCellMar>
        </w:tblPrEx>
        <w:trPr>
          <w:trHeight w:val="1281" w:hRule="atLeast"/>
          <w:jc w:val="center"/>
        </w:trPr>
        <w:tc>
          <w:tcPr>
            <w:tcW w:w="1629" w:type="dxa"/>
            <w:gridSpan w:val="2"/>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10855A8">
            <w:pPr>
              <w:widowControl/>
              <w:spacing w:before="100" w:beforeAutospacing="1" w:after="100" w:afterAutospacing="1" w:line="320" w:lineRule="atLeast"/>
              <w:jc w:val="left"/>
              <w:rPr>
                <w:rFonts w:ascii="Verdana" w:hAnsi="Verdana" w:cs="宋体"/>
                <w:kern w:val="0"/>
                <w:szCs w:val="21"/>
              </w:rPr>
            </w:pPr>
            <w:r>
              <w:rPr>
                <w:rFonts w:ascii="Verdana" w:hAnsi="Verdana" w:cs="宋体"/>
                <w:kern w:val="0"/>
                <w:szCs w:val="21"/>
              </w:rPr>
              <w:t>验收小组意见</w:t>
            </w:r>
          </w:p>
        </w:tc>
        <w:tc>
          <w:tcPr>
            <w:tcW w:w="7322" w:type="dxa"/>
            <w:gridSpan w:val="7"/>
            <w:tcBorders>
              <w:top w:val="nil"/>
              <w:left w:val="nil"/>
              <w:bottom w:val="single" w:color="auto" w:sz="8" w:space="0"/>
              <w:right w:val="single" w:color="auto" w:sz="8" w:space="0"/>
            </w:tcBorders>
            <w:vAlign w:val="center"/>
          </w:tcPr>
          <w:p w14:paraId="67CAF714">
            <w:pPr>
              <w:widowControl/>
              <w:spacing w:before="100" w:beforeAutospacing="1" w:after="100" w:afterAutospacing="1" w:line="320" w:lineRule="atLeast"/>
              <w:ind w:firstLine="210" w:firstLineChars="100"/>
              <w:jc w:val="left"/>
              <w:rPr>
                <w:rFonts w:ascii="Verdana" w:hAnsi="Verdana" w:cs="宋体"/>
                <w:kern w:val="0"/>
                <w:szCs w:val="21"/>
              </w:rPr>
            </w:pPr>
            <w:r>
              <w:rPr>
                <w:rFonts w:ascii="Verdana" w:hAnsi="Verdana" w:cs="宋体"/>
                <w:kern w:val="0"/>
                <w:szCs w:val="21"/>
              </w:rPr>
              <w:t>验收结论性意见：</w:t>
            </w:r>
          </w:p>
        </w:tc>
      </w:tr>
      <w:tr w14:paraId="01F6D2EE">
        <w:tblPrEx>
          <w:tblCellMar>
            <w:top w:w="0" w:type="dxa"/>
            <w:left w:w="0" w:type="dxa"/>
            <w:bottom w:w="0" w:type="dxa"/>
            <w:right w:w="0" w:type="dxa"/>
          </w:tblCellMar>
        </w:tblPrEx>
        <w:trPr>
          <w:trHeight w:val="607" w:hRule="atLeast"/>
          <w:jc w:val="center"/>
        </w:trPr>
        <w:tc>
          <w:tcPr>
            <w:tcW w:w="1629" w:type="dxa"/>
            <w:gridSpan w:val="2"/>
            <w:vMerge w:val="continue"/>
            <w:tcBorders>
              <w:top w:val="nil"/>
              <w:left w:val="single" w:color="auto" w:sz="8" w:space="0"/>
              <w:bottom w:val="single" w:color="auto" w:sz="8" w:space="0"/>
              <w:right w:val="single" w:color="auto" w:sz="8" w:space="0"/>
            </w:tcBorders>
            <w:vAlign w:val="center"/>
          </w:tcPr>
          <w:p w14:paraId="6D90F582">
            <w:pPr>
              <w:widowControl/>
              <w:jc w:val="left"/>
              <w:rPr>
                <w:rFonts w:ascii="Verdana" w:hAnsi="Verdana" w:cs="宋体"/>
                <w:kern w:val="0"/>
                <w:szCs w:val="21"/>
              </w:rPr>
            </w:pPr>
          </w:p>
        </w:tc>
        <w:tc>
          <w:tcPr>
            <w:tcW w:w="7322" w:type="dxa"/>
            <w:gridSpan w:val="7"/>
            <w:tcBorders>
              <w:top w:val="nil"/>
              <w:left w:val="nil"/>
              <w:bottom w:val="single" w:color="auto" w:sz="8" w:space="0"/>
              <w:right w:val="single" w:color="auto" w:sz="8" w:space="0"/>
            </w:tcBorders>
            <w:vAlign w:val="center"/>
          </w:tcPr>
          <w:p w14:paraId="6D27680C">
            <w:pPr>
              <w:widowControl/>
              <w:spacing w:before="100" w:beforeAutospacing="1" w:after="100" w:afterAutospacing="1" w:line="320" w:lineRule="atLeast"/>
              <w:ind w:firstLine="210" w:firstLineChars="100"/>
              <w:jc w:val="left"/>
              <w:rPr>
                <w:rFonts w:ascii="Verdana" w:hAnsi="Verdana" w:cs="宋体"/>
                <w:kern w:val="0"/>
                <w:szCs w:val="21"/>
              </w:rPr>
            </w:pPr>
            <w:r>
              <w:rPr>
                <w:rFonts w:ascii="Verdana" w:hAnsi="Verdana" w:cs="宋体"/>
                <w:kern w:val="0"/>
                <w:szCs w:val="21"/>
              </w:rPr>
              <w:t>有异议的意见和说明理由：</w:t>
            </w:r>
          </w:p>
          <w:p w14:paraId="1BCF7CE3">
            <w:pPr>
              <w:widowControl/>
              <w:spacing w:before="100" w:beforeAutospacing="1" w:after="100" w:afterAutospacing="1" w:line="320" w:lineRule="atLeast"/>
              <w:ind w:firstLine="210" w:firstLineChars="100"/>
              <w:jc w:val="left"/>
              <w:rPr>
                <w:rFonts w:ascii="Verdana" w:hAnsi="Verdana" w:cs="宋体"/>
                <w:kern w:val="0"/>
                <w:szCs w:val="21"/>
              </w:rPr>
            </w:pPr>
            <w:r>
              <w:rPr>
                <w:rFonts w:ascii="Verdana" w:hAnsi="Verdana" w:cs="宋体"/>
                <w:kern w:val="0"/>
                <w:szCs w:val="21"/>
              </w:rPr>
              <w:t>签字：</w:t>
            </w:r>
          </w:p>
        </w:tc>
      </w:tr>
      <w:tr w14:paraId="1C0F0C3C">
        <w:tblPrEx>
          <w:tblCellMar>
            <w:top w:w="0" w:type="dxa"/>
            <w:left w:w="0" w:type="dxa"/>
            <w:bottom w:w="0" w:type="dxa"/>
            <w:right w:w="0" w:type="dxa"/>
          </w:tblCellMar>
        </w:tblPrEx>
        <w:trPr>
          <w:trHeight w:val="507" w:hRule="atLeast"/>
          <w:jc w:val="center"/>
        </w:trPr>
        <w:tc>
          <w:tcPr>
            <w:tcW w:w="8951" w:type="dxa"/>
            <w:gridSpan w:val="9"/>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506AC5B">
            <w:pPr>
              <w:widowControl/>
              <w:spacing w:before="100" w:beforeAutospacing="1" w:after="100" w:afterAutospacing="1" w:line="320" w:lineRule="atLeast"/>
              <w:jc w:val="left"/>
              <w:rPr>
                <w:rFonts w:ascii="Verdana" w:hAnsi="Verdana" w:cs="宋体"/>
                <w:kern w:val="0"/>
                <w:szCs w:val="21"/>
              </w:rPr>
            </w:pPr>
            <w:r>
              <w:rPr>
                <w:rFonts w:ascii="Verdana" w:hAnsi="Verdana" w:cs="宋体"/>
                <w:kern w:val="0"/>
                <w:szCs w:val="21"/>
              </w:rPr>
              <w:t>验收小组成员签字：</w:t>
            </w:r>
          </w:p>
        </w:tc>
      </w:tr>
      <w:tr w14:paraId="13D798D8">
        <w:tblPrEx>
          <w:tblCellMar>
            <w:top w:w="0" w:type="dxa"/>
            <w:left w:w="0" w:type="dxa"/>
            <w:bottom w:w="0" w:type="dxa"/>
            <w:right w:w="0" w:type="dxa"/>
          </w:tblCellMar>
        </w:tblPrEx>
        <w:trPr>
          <w:trHeight w:val="736" w:hRule="atLeast"/>
          <w:jc w:val="center"/>
        </w:trPr>
        <w:tc>
          <w:tcPr>
            <w:tcW w:w="8951" w:type="dxa"/>
            <w:gridSpan w:val="9"/>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085516DE">
            <w:pPr>
              <w:widowControl/>
              <w:spacing w:before="100" w:beforeAutospacing="1" w:after="100" w:afterAutospacing="1" w:line="320" w:lineRule="atLeast"/>
              <w:jc w:val="left"/>
              <w:rPr>
                <w:rFonts w:ascii="Verdana" w:hAnsi="Verdana" w:cs="宋体"/>
                <w:kern w:val="0"/>
                <w:szCs w:val="21"/>
              </w:rPr>
            </w:pPr>
            <w:r>
              <w:rPr>
                <w:rFonts w:ascii="Verdana" w:hAnsi="Verdana" w:cs="宋体"/>
                <w:kern w:val="0"/>
                <w:szCs w:val="21"/>
              </w:rPr>
              <w:t>监督人员或者其他相关人员签字：</w:t>
            </w:r>
          </w:p>
          <w:p w14:paraId="435AF78C">
            <w:pPr>
              <w:widowControl/>
              <w:spacing w:before="100" w:beforeAutospacing="1" w:after="100" w:afterAutospacing="1" w:line="320" w:lineRule="atLeast"/>
              <w:ind w:firstLine="74"/>
              <w:jc w:val="left"/>
              <w:rPr>
                <w:rFonts w:ascii="Verdana" w:hAnsi="Verdana" w:cs="宋体"/>
                <w:kern w:val="0"/>
                <w:szCs w:val="21"/>
              </w:rPr>
            </w:pPr>
            <w:r>
              <w:rPr>
                <w:rFonts w:ascii="Verdana" w:hAnsi="Verdana" w:cs="宋体"/>
                <w:kern w:val="0"/>
                <w:szCs w:val="21"/>
              </w:rPr>
              <w:t>或者受邀机构的意见（盖章）：</w:t>
            </w:r>
          </w:p>
        </w:tc>
      </w:tr>
      <w:tr w14:paraId="49EF9CB5">
        <w:tblPrEx>
          <w:tblCellMar>
            <w:top w:w="0" w:type="dxa"/>
            <w:left w:w="0" w:type="dxa"/>
            <w:bottom w:w="0" w:type="dxa"/>
            <w:right w:w="0" w:type="dxa"/>
          </w:tblCellMar>
        </w:tblPrEx>
        <w:trPr>
          <w:trHeight w:val="758" w:hRule="atLeast"/>
          <w:jc w:val="center"/>
        </w:trPr>
        <w:tc>
          <w:tcPr>
            <w:tcW w:w="4152" w:type="dxa"/>
            <w:gridSpan w:val="5"/>
            <w:tcBorders>
              <w:top w:val="nil"/>
              <w:left w:val="single" w:color="auto" w:sz="8" w:space="0"/>
              <w:bottom w:val="single" w:color="auto" w:sz="8" w:space="0"/>
              <w:right w:val="nil"/>
            </w:tcBorders>
            <w:tcMar>
              <w:top w:w="0" w:type="dxa"/>
              <w:left w:w="108" w:type="dxa"/>
              <w:bottom w:w="0" w:type="dxa"/>
              <w:right w:w="108" w:type="dxa"/>
            </w:tcMar>
            <w:vAlign w:val="center"/>
          </w:tcPr>
          <w:p w14:paraId="510F47EC">
            <w:pPr>
              <w:widowControl/>
              <w:spacing w:before="100" w:beforeAutospacing="1" w:after="100" w:afterAutospacing="1" w:line="320" w:lineRule="atLeast"/>
              <w:jc w:val="left"/>
              <w:rPr>
                <w:rFonts w:ascii="Verdana" w:hAnsi="Verdana" w:cs="宋体"/>
                <w:kern w:val="0"/>
                <w:szCs w:val="21"/>
              </w:rPr>
            </w:pPr>
            <w:r>
              <w:rPr>
                <w:rFonts w:ascii="Verdana" w:hAnsi="Verdana" w:cs="宋体"/>
                <w:kern w:val="0"/>
                <w:szCs w:val="21"/>
              </w:rPr>
              <w:t>成交供应商负责人签字或者盖章：</w:t>
            </w:r>
          </w:p>
          <w:p w14:paraId="5246FE14">
            <w:pPr>
              <w:widowControl/>
              <w:spacing w:before="100" w:beforeAutospacing="1" w:after="100" w:afterAutospacing="1" w:line="320" w:lineRule="atLeast"/>
              <w:jc w:val="left"/>
              <w:rPr>
                <w:rFonts w:ascii="Verdana" w:hAnsi="Verdana" w:cs="宋体"/>
                <w:kern w:val="0"/>
                <w:szCs w:val="21"/>
              </w:rPr>
            </w:pPr>
          </w:p>
          <w:p w14:paraId="088E1AD6">
            <w:pPr>
              <w:widowControl/>
              <w:spacing w:before="100" w:beforeAutospacing="1" w:after="100" w:afterAutospacing="1" w:line="320" w:lineRule="atLeast"/>
              <w:jc w:val="left"/>
              <w:rPr>
                <w:rFonts w:ascii="Verdana" w:hAnsi="Verdana" w:cs="宋体"/>
                <w:kern w:val="0"/>
                <w:szCs w:val="21"/>
              </w:rPr>
            </w:pPr>
            <w:r>
              <w:rPr>
                <w:rFonts w:ascii="Verdana" w:hAnsi="Verdana" w:cs="宋体"/>
                <w:kern w:val="0"/>
                <w:szCs w:val="21"/>
              </w:rPr>
              <w:t>联系电话：</w:t>
            </w:r>
            <w:r>
              <w:rPr>
                <w:rFonts w:hint="eastAsia" w:ascii="Verdana" w:hAnsi="Verdana" w:cs="宋体"/>
                <w:kern w:val="0"/>
                <w:szCs w:val="21"/>
              </w:rPr>
              <w:t xml:space="preserve">               </w:t>
            </w:r>
            <w:r>
              <w:rPr>
                <w:rFonts w:ascii="Verdana" w:hAnsi="Verdana" w:cs="宋体"/>
                <w:kern w:val="0"/>
                <w:szCs w:val="21"/>
              </w:rPr>
              <w:t xml:space="preserve"> 年</w:t>
            </w:r>
            <w:r>
              <w:rPr>
                <w:rFonts w:hint="eastAsia" w:ascii="Verdana" w:hAnsi="Verdana" w:cs="宋体"/>
                <w:kern w:val="0"/>
                <w:szCs w:val="21"/>
              </w:rPr>
              <w:t xml:space="preserve"> </w:t>
            </w:r>
            <w:r>
              <w:rPr>
                <w:rFonts w:ascii="Verdana" w:hAnsi="Verdana" w:cs="宋体"/>
                <w:kern w:val="0"/>
                <w:szCs w:val="21"/>
              </w:rPr>
              <w:t xml:space="preserve"> 月 </w:t>
            </w:r>
            <w:r>
              <w:rPr>
                <w:rFonts w:hint="eastAsia" w:ascii="Verdana" w:hAnsi="Verdana" w:cs="宋体"/>
                <w:kern w:val="0"/>
                <w:szCs w:val="21"/>
              </w:rPr>
              <w:t xml:space="preserve"> </w:t>
            </w:r>
            <w:r>
              <w:rPr>
                <w:rFonts w:ascii="Verdana" w:hAnsi="Verdana" w:cs="宋体"/>
                <w:kern w:val="0"/>
                <w:szCs w:val="21"/>
              </w:rPr>
              <w:t>日</w:t>
            </w:r>
          </w:p>
        </w:tc>
        <w:tc>
          <w:tcPr>
            <w:tcW w:w="4799" w:type="dxa"/>
            <w:gridSpan w:val="4"/>
            <w:tcBorders>
              <w:top w:val="nil"/>
              <w:left w:val="nil"/>
              <w:bottom w:val="single" w:color="auto" w:sz="8" w:space="0"/>
              <w:right w:val="single" w:color="auto" w:sz="8" w:space="0"/>
            </w:tcBorders>
            <w:vAlign w:val="center"/>
          </w:tcPr>
          <w:p w14:paraId="4EA847DA">
            <w:pPr>
              <w:widowControl/>
              <w:spacing w:before="100" w:beforeAutospacing="1" w:after="100" w:afterAutospacing="1" w:line="320" w:lineRule="atLeast"/>
              <w:ind w:firstLine="210" w:firstLineChars="100"/>
              <w:jc w:val="left"/>
              <w:rPr>
                <w:rFonts w:ascii="Verdana" w:hAnsi="Verdana" w:cs="宋体"/>
                <w:kern w:val="0"/>
                <w:szCs w:val="21"/>
              </w:rPr>
            </w:pPr>
            <w:r>
              <w:rPr>
                <w:rFonts w:ascii="Verdana" w:hAnsi="Verdana" w:cs="宋体"/>
                <w:kern w:val="0"/>
                <w:szCs w:val="21"/>
              </w:rPr>
              <w:t>采购人或者受托机构的意见（盖章）：</w:t>
            </w:r>
          </w:p>
          <w:p w14:paraId="28D9544F">
            <w:pPr>
              <w:widowControl/>
              <w:spacing w:before="100" w:beforeAutospacing="1" w:after="100" w:afterAutospacing="1" w:line="320" w:lineRule="atLeast"/>
              <w:ind w:firstLine="210" w:firstLineChars="100"/>
              <w:jc w:val="left"/>
              <w:rPr>
                <w:rFonts w:ascii="Verdana" w:hAnsi="Verdana" w:cs="宋体"/>
                <w:kern w:val="0"/>
                <w:szCs w:val="21"/>
              </w:rPr>
            </w:pPr>
          </w:p>
          <w:p w14:paraId="34841392">
            <w:pPr>
              <w:widowControl/>
              <w:spacing w:before="100" w:beforeAutospacing="1" w:after="100" w:afterAutospacing="1" w:line="320" w:lineRule="atLeast"/>
              <w:ind w:firstLine="210" w:firstLineChars="100"/>
              <w:jc w:val="left"/>
              <w:rPr>
                <w:rFonts w:ascii="Verdana" w:hAnsi="Verdana" w:cs="宋体"/>
                <w:kern w:val="0"/>
                <w:szCs w:val="21"/>
              </w:rPr>
            </w:pPr>
            <w:r>
              <w:rPr>
                <w:rFonts w:ascii="Verdana" w:hAnsi="Verdana" w:cs="宋体"/>
                <w:kern w:val="0"/>
                <w:szCs w:val="21"/>
              </w:rPr>
              <w:t>联系电话：</w:t>
            </w:r>
            <w:r>
              <w:rPr>
                <w:rFonts w:hint="eastAsia" w:ascii="Verdana" w:hAnsi="Verdana" w:cs="宋体"/>
                <w:kern w:val="0"/>
                <w:szCs w:val="21"/>
              </w:rPr>
              <w:t xml:space="preserve">                  </w:t>
            </w:r>
            <w:r>
              <w:rPr>
                <w:rFonts w:ascii="Verdana" w:hAnsi="Verdana" w:cs="宋体"/>
                <w:kern w:val="0"/>
                <w:szCs w:val="21"/>
              </w:rPr>
              <w:t>年</w:t>
            </w:r>
            <w:r>
              <w:rPr>
                <w:rFonts w:hint="eastAsia" w:ascii="Verdana" w:hAnsi="Verdana" w:cs="宋体"/>
                <w:kern w:val="0"/>
                <w:szCs w:val="21"/>
              </w:rPr>
              <w:t xml:space="preserve"> </w:t>
            </w:r>
            <w:r>
              <w:rPr>
                <w:rFonts w:ascii="Verdana" w:hAnsi="Verdana" w:cs="宋体"/>
                <w:kern w:val="0"/>
                <w:szCs w:val="21"/>
              </w:rPr>
              <w:t xml:space="preserve"> 月</w:t>
            </w:r>
            <w:r>
              <w:rPr>
                <w:rFonts w:hint="eastAsia" w:ascii="Verdana" w:hAnsi="Verdana" w:cs="宋体"/>
                <w:kern w:val="0"/>
                <w:szCs w:val="21"/>
              </w:rPr>
              <w:t xml:space="preserve"> </w:t>
            </w:r>
            <w:r>
              <w:rPr>
                <w:rFonts w:ascii="Verdana" w:hAnsi="Verdana" w:cs="宋体"/>
                <w:kern w:val="0"/>
                <w:szCs w:val="21"/>
              </w:rPr>
              <w:t xml:space="preserve"> 日</w:t>
            </w:r>
          </w:p>
        </w:tc>
      </w:tr>
    </w:tbl>
    <w:p w14:paraId="085BAF56">
      <w:pPr>
        <w:spacing w:after="120"/>
        <w:ind w:left="1" w:firstLine="2" w:firstLineChars="1"/>
        <w:rPr>
          <w:rFonts w:ascii="宋体"/>
          <w:b/>
          <w:bCs/>
          <w:sz w:val="18"/>
          <w:szCs w:val="18"/>
        </w:rPr>
      </w:pPr>
      <w:r>
        <w:rPr>
          <w:rFonts w:ascii="宋体" w:hAnsi="宋体"/>
          <w:kern w:val="0"/>
          <w:sz w:val="20"/>
          <w:szCs w:val="21"/>
        </w:rPr>
        <w:br w:type="page"/>
      </w:r>
    </w:p>
    <w:p w14:paraId="40623914">
      <w:pPr>
        <w:pStyle w:val="2"/>
        <w:spacing w:line="400" w:lineRule="exact"/>
        <w:jc w:val="center"/>
        <w:rPr>
          <w:sz w:val="36"/>
          <w:szCs w:val="36"/>
        </w:rPr>
      </w:pPr>
      <w:bookmarkStart w:id="33" w:name="_Toc74322010"/>
      <w:bookmarkStart w:id="34" w:name="_Toc26466"/>
      <w:r>
        <w:rPr>
          <w:rFonts w:hint="eastAsia"/>
          <w:sz w:val="36"/>
          <w:szCs w:val="36"/>
        </w:rPr>
        <w:t>第三章 采购需求</w:t>
      </w:r>
      <w:bookmarkEnd w:id="33"/>
      <w:bookmarkEnd w:id="34"/>
    </w:p>
    <w:p w14:paraId="13348F02">
      <w:pPr>
        <w:spacing w:line="400" w:lineRule="exact"/>
        <w:jc w:val="center"/>
        <w:rPr>
          <w:rFonts w:hint="eastAsia" w:ascii="宋体" w:hAnsi="宋体"/>
          <w:b/>
          <w:sz w:val="32"/>
          <w:szCs w:val="32"/>
        </w:rPr>
      </w:pPr>
      <w:r>
        <w:rPr>
          <w:rFonts w:hint="eastAsia" w:ascii="宋体" w:hAnsi="宋体"/>
          <w:b/>
          <w:sz w:val="32"/>
          <w:szCs w:val="32"/>
        </w:rPr>
        <w:t>采购项目技术规格、参数及要求</w:t>
      </w:r>
    </w:p>
    <w:p w14:paraId="625EF1ED">
      <w:pPr>
        <w:spacing w:line="400" w:lineRule="exact"/>
        <w:jc w:val="left"/>
        <w:rPr>
          <w:rFonts w:hint="eastAsia" w:ascii="宋体" w:hAnsi="宋体" w:cs="宋体"/>
          <w:szCs w:val="21"/>
        </w:rPr>
      </w:pPr>
    </w:p>
    <w:p w14:paraId="6F7405C2">
      <w:pPr>
        <w:spacing w:line="400" w:lineRule="exact"/>
        <w:jc w:val="left"/>
      </w:pPr>
      <w:r>
        <w:rPr>
          <w:rFonts w:hint="eastAsia" w:ascii="宋体" w:hAnsi="宋体" w:cs="宋体"/>
          <w:szCs w:val="21"/>
        </w:rPr>
        <w:t>说明：</w:t>
      </w:r>
    </w:p>
    <w:p w14:paraId="510DDC8F">
      <w:pPr>
        <w:spacing w:line="400" w:lineRule="exact"/>
        <w:ind w:firstLine="420" w:firstLineChars="200"/>
        <w:jc w:val="left"/>
      </w:pPr>
      <w:r>
        <w:rPr>
          <w:rFonts w:hint="eastAsia"/>
        </w:rPr>
        <w:t>1. 为落实政府采购政策需满足的要求</w:t>
      </w:r>
    </w:p>
    <w:p w14:paraId="1BD3482C">
      <w:pPr>
        <w:spacing w:line="400" w:lineRule="exact"/>
        <w:ind w:firstLine="420" w:firstLineChars="200"/>
        <w:jc w:val="left"/>
        <w:rPr>
          <w:rFonts w:hint="eastAsia" w:ascii="宋体" w:hAnsi="宋体" w:cs="宋体"/>
          <w:szCs w:val="21"/>
        </w:rPr>
      </w:pPr>
      <w:r>
        <w:rPr>
          <w:rFonts w:hint="eastAsia" w:ascii="宋体" w:hAnsi="宋体" w:cs="宋体"/>
          <w:szCs w:val="21"/>
        </w:rPr>
        <w:t>（1）本竞争性谈判采购文件所称中小企业必须符合《政府采购促进中小企业发展管理办法》（财库〔2020〕46号）的规定。</w:t>
      </w:r>
    </w:p>
    <w:p w14:paraId="13847AE2">
      <w:pPr>
        <w:spacing w:line="400" w:lineRule="exact"/>
        <w:ind w:firstLine="420" w:firstLineChars="200"/>
        <w:jc w:val="left"/>
        <w:rPr>
          <w:rFonts w:hint="eastAsia" w:ascii="宋体" w:hAnsi="宋体" w:cs="宋体"/>
          <w:szCs w:val="21"/>
        </w:rPr>
      </w:pPr>
      <w:r>
        <w:rPr>
          <w:rFonts w:hint="eastAsia" w:ascii="宋体" w:hAnsi="宋体" w:cs="宋体"/>
          <w:szCs w:val="21"/>
        </w:rPr>
        <w:t>（2）根据《财政部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供应商必须在响应文件中提供所竞标产品的节能产品认证证书复印件（加盖供应商电子签章），否则响应文件按无效处理。如本项目包含的货物属于品目清单内非标注“★”的产品时，应优先采购，具体详见“第四章 评审程序和评定成交的标准”。</w:t>
      </w:r>
    </w:p>
    <w:p w14:paraId="5C6ADABC">
      <w:pPr>
        <w:spacing w:line="400" w:lineRule="exact"/>
        <w:ind w:firstLine="424" w:firstLineChars="202"/>
        <w:jc w:val="left"/>
        <w:rPr>
          <w:rFonts w:hint="eastAsia" w:ascii="宋体" w:hAnsi="宋体" w:cs="宋体"/>
          <w:szCs w:val="21"/>
        </w:rPr>
      </w:pPr>
      <w:r>
        <w:rPr>
          <w:rFonts w:hint="eastAsia" w:ascii="宋体" w:hAnsi="宋体" w:cs="宋体"/>
          <w:szCs w:val="21"/>
        </w:rPr>
        <w:t>2. “实质性要求”是指采购需求中带“▲”的条款或者不能负偏离的条款或者已经指明不满足按响应文件按无效处理的条款。</w:t>
      </w:r>
    </w:p>
    <w:p w14:paraId="0A5645B4">
      <w:pPr>
        <w:spacing w:line="400" w:lineRule="exact"/>
        <w:ind w:firstLine="420" w:firstLineChars="200"/>
        <w:jc w:val="left"/>
        <w:rPr>
          <w:rFonts w:hint="eastAsia" w:ascii="宋体" w:hAnsi="宋体" w:cs="宋体"/>
          <w:szCs w:val="21"/>
        </w:rPr>
      </w:pPr>
      <w:r>
        <w:rPr>
          <w:rFonts w:hint="eastAsia" w:ascii="宋体" w:hAnsi="宋体" w:cs="宋体"/>
          <w:szCs w:val="21"/>
        </w:rPr>
        <w:t>3.供应商应根据自身实际情况如实响应谈判文件，不得仅将谈判文件内容简单复制粘贴作为竞标响应。</w:t>
      </w:r>
    </w:p>
    <w:p w14:paraId="2ABCB0FB">
      <w:pPr>
        <w:spacing w:line="400" w:lineRule="exact"/>
        <w:ind w:firstLine="420" w:firstLineChars="200"/>
        <w:jc w:val="left"/>
        <w:rPr>
          <w:rFonts w:hint="eastAsia" w:ascii="宋体" w:hAnsi="宋体" w:cs="宋体"/>
          <w:szCs w:val="21"/>
        </w:rPr>
      </w:pPr>
      <w:r>
        <w:rPr>
          <w:rFonts w:hint="eastAsia" w:ascii="宋体" w:hAnsi="宋体" w:cs="宋体"/>
          <w:szCs w:val="21"/>
        </w:rPr>
        <w:t>4.供应商必须自行为其竞标产品侵犯他人的知识产权或者专利成果的行为承担相应法律责任。</w:t>
      </w:r>
    </w:p>
    <w:p w14:paraId="23DE5591">
      <w:pPr>
        <w:spacing w:line="400" w:lineRule="exact"/>
        <w:ind w:firstLine="426" w:firstLineChars="202"/>
        <w:jc w:val="left"/>
        <w:rPr>
          <w:rFonts w:hint="eastAsia" w:ascii="宋体" w:hAnsi="宋体" w:cs="宋体"/>
          <w:szCs w:val="21"/>
        </w:rPr>
      </w:pPr>
      <w:r>
        <w:rPr>
          <w:rFonts w:hint="eastAsia" w:ascii="宋体" w:hAnsi="宋体" w:cs="宋体"/>
          <w:b/>
          <w:bCs/>
          <w:szCs w:val="21"/>
        </w:rPr>
        <w:t>5.所属行业依照《中小企业划型标准规定》（工信部联企业〔2011〕300号）及《国民经济行业分类》（GB/T4754-2017）的有关规定执行。本采购项目所属行业为“工业”</w:t>
      </w:r>
      <w:r>
        <w:rPr>
          <w:rFonts w:hint="eastAsia" w:ascii="宋体" w:hAnsi="宋体" w:cs="宋体"/>
          <w:szCs w:val="21"/>
        </w:rPr>
        <w:t>。</w:t>
      </w:r>
    </w:p>
    <w:bookmarkEnd w:id="0"/>
    <w:tbl>
      <w:tblPr>
        <w:tblStyle w:val="24"/>
        <w:tblW w:w="9806" w:type="dxa"/>
        <w:tblInd w:w="-19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4"/>
        <w:gridCol w:w="893"/>
        <w:gridCol w:w="303"/>
        <w:gridCol w:w="895"/>
        <w:gridCol w:w="5734"/>
        <w:gridCol w:w="1237"/>
      </w:tblGrid>
      <w:tr w14:paraId="4EE67E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9" w:hRule="atLeast"/>
        </w:trPr>
        <w:tc>
          <w:tcPr>
            <w:tcW w:w="9806" w:type="dxa"/>
            <w:gridSpan w:val="6"/>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238560FD">
            <w:pPr>
              <w:spacing w:line="400" w:lineRule="atLeast"/>
              <w:jc w:val="center"/>
              <w:rPr>
                <w:b/>
                <w:bCs/>
                <w:sz w:val="24"/>
              </w:rPr>
            </w:pPr>
            <w:r>
              <w:rPr>
                <w:rFonts w:hint="eastAsia"/>
                <w:b/>
                <w:bCs/>
                <w:sz w:val="24"/>
              </w:rPr>
              <w:t>货物需求一览表</w:t>
            </w:r>
          </w:p>
        </w:tc>
      </w:tr>
      <w:tr w14:paraId="30D8C6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7" w:hRule="atLeast"/>
        </w:trPr>
        <w:tc>
          <w:tcPr>
            <w:tcW w:w="744"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7B7EEF78">
            <w:pPr>
              <w:spacing w:line="400" w:lineRule="atLeast"/>
              <w:jc w:val="center"/>
              <w:rPr>
                <w:rFonts w:hint="eastAsia" w:ascii="宋体" w:hAnsi="宋体" w:cs="宋体"/>
                <w:szCs w:val="21"/>
              </w:rPr>
            </w:pPr>
            <w:r>
              <w:rPr>
                <w:rFonts w:hint="eastAsia" w:ascii="宋体" w:hAnsi="宋体" w:cs="宋体"/>
                <w:szCs w:val="21"/>
              </w:rPr>
              <w:t>项号</w:t>
            </w:r>
          </w:p>
        </w:tc>
        <w:tc>
          <w:tcPr>
            <w:tcW w:w="1196" w:type="dxa"/>
            <w:gridSpan w:val="2"/>
            <w:tcBorders>
              <w:top w:val="single" w:color="auto" w:sz="4" w:space="0"/>
              <w:left w:val="single" w:color="auto" w:sz="4" w:space="0"/>
              <w:bottom w:val="single" w:color="auto" w:sz="4" w:space="0"/>
              <w:right w:val="single" w:color="auto" w:sz="4" w:space="0"/>
            </w:tcBorders>
            <w:vAlign w:val="center"/>
          </w:tcPr>
          <w:p w14:paraId="4FB5CF9F">
            <w:pPr>
              <w:spacing w:line="400" w:lineRule="atLeast"/>
              <w:jc w:val="center"/>
              <w:rPr>
                <w:rFonts w:hint="eastAsia" w:ascii="宋体" w:hAnsi="宋体" w:cs="宋体"/>
                <w:szCs w:val="21"/>
              </w:rPr>
            </w:pPr>
            <w:r>
              <w:rPr>
                <w:rFonts w:hint="eastAsia" w:ascii="宋体" w:hAnsi="宋体" w:cs="宋体"/>
                <w:szCs w:val="21"/>
              </w:rPr>
              <w:t>标的名称</w:t>
            </w:r>
          </w:p>
        </w:tc>
        <w:tc>
          <w:tcPr>
            <w:tcW w:w="895" w:type="dxa"/>
            <w:tcBorders>
              <w:top w:val="single" w:color="auto" w:sz="4" w:space="0"/>
              <w:left w:val="single" w:color="auto" w:sz="4" w:space="0"/>
              <w:bottom w:val="single" w:color="auto" w:sz="4" w:space="0"/>
              <w:right w:val="single" w:color="auto" w:sz="4" w:space="0"/>
            </w:tcBorders>
            <w:vAlign w:val="center"/>
          </w:tcPr>
          <w:p w14:paraId="0CEAD883">
            <w:pPr>
              <w:spacing w:line="400" w:lineRule="atLeast"/>
              <w:jc w:val="center"/>
              <w:rPr>
                <w:rFonts w:hint="eastAsia" w:ascii="宋体" w:hAnsi="宋体" w:cs="宋体"/>
                <w:szCs w:val="21"/>
              </w:rPr>
            </w:pPr>
            <w:r>
              <w:rPr>
                <w:rFonts w:hint="eastAsia" w:ascii="宋体" w:hAnsi="宋体" w:cs="宋体"/>
                <w:szCs w:val="21"/>
              </w:rPr>
              <w:t>数量及</w:t>
            </w:r>
          </w:p>
          <w:p w14:paraId="2880D396">
            <w:pPr>
              <w:spacing w:line="400" w:lineRule="atLeast"/>
              <w:jc w:val="center"/>
              <w:rPr>
                <w:rFonts w:hint="eastAsia" w:ascii="宋体" w:hAnsi="宋体" w:cs="宋体"/>
                <w:szCs w:val="21"/>
              </w:rPr>
            </w:pPr>
            <w:r>
              <w:rPr>
                <w:rFonts w:hint="eastAsia" w:ascii="宋体" w:hAnsi="宋体" w:cs="宋体"/>
                <w:szCs w:val="21"/>
              </w:rPr>
              <w:t>单位</w:t>
            </w:r>
          </w:p>
        </w:tc>
        <w:tc>
          <w:tcPr>
            <w:tcW w:w="5734" w:type="dxa"/>
            <w:tcBorders>
              <w:top w:val="single" w:color="auto" w:sz="4" w:space="0"/>
              <w:left w:val="single" w:color="auto" w:sz="4" w:space="0"/>
              <w:bottom w:val="single" w:color="auto" w:sz="4" w:space="0"/>
              <w:right w:val="single" w:color="auto" w:sz="4" w:space="0"/>
            </w:tcBorders>
            <w:vAlign w:val="center"/>
          </w:tcPr>
          <w:p w14:paraId="7141EB98">
            <w:pPr>
              <w:spacing w:line="400" w:lineRule="atLeast"/>
              <w:jc w:val="center"/>
              <w:rPr>
                <w:rFonts w:hint="eastAsia" w:ascii="宋体" w:hAnsi="宋体" w:cs="宋体"/>
                <w:szCs w:val="21"/>
              </w:rPr>
            </w:pPr>
            <w:r>
              <w:rPr>
                <w:rFonts w:hint="eastAsia" w:ascii="宋体" w:hAnsi="宋体" w:cs="宋体"/>
                <w:szCs w:val="21"/>
              </w:rPr>
              <w:t>货物参数</w:t>
            </w:r>
          </w:p>
        </w:tc>
        <w:tc>
          <w:tcPr>
            <w:tcW w:w="1237" w:type="dxa"/>
            <w:tcBorders>
              <w:top w:val="single" w:color="auto" w:sz="4" w:space="0"/>
              <w:left w:val="single" w:color="auto" w:sz="4" w:space="0"/>
              <w:bottom w:val="single" w:color="auto" w:sz="4" w:space="0"/>
              <w:right w:val="single" w:color="auto" w:sz="4" w:space="0"/>
            </w:tcBorders>
            <w:vAlign w:val="center"/>
          </w:tcPr>
          <w:p w14:paraId="08F818B6">
            <w:pPr>
              <w:spacing w:line="400" w:lineRule="atLeast"/>
              <w:jc w:val="center"/>
              <w:rPr>
                <w:rFonts w:hint="eastAsia" w:ascii="宋体" w:hAnsi="宋体" w:cs="宋体"/>
                <w:szCs w:val="21"/>
              </w:rPr>
            </w:pPr>
            <w:r>
              <w:rPr>
                <w:rFonts w:hint="eastAsia" w:ascii="宋体" w:hAnsi="宋体" w:cs="宋体"/>
                <w:szCs w:val="21"/>
              </w:rPr>
              <w:t>分项预算合计（元）</w:t>
            </w:r>
          </w:p>
        </w:tc>
      </w:tr>
      <w:tr w14:paraId="72FC3D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744"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0746C1AF">
            <w:pPr>
              <w:numPr>
                <w:ins w:id="0" w:author="。" w:date=""/>
              </w:numPr>
              <w:spacing w:line="312" w:lineRule="auto"/>
              <w:jc w:val="center"/>
              <w:rPr>
                <w:rFonts w:hint="eastAsia" w:ascii="宋体" w:hAnsi="宋体" w:cs="宋体"/>
                <w:szCs w:val="21"/>
              </w:rPr>
            </w:pPr>
            <w:r>
              <w:rPr>
                <w:rFonts w:hint="eastAsia" w:ascii="宋体" w:hAnsi="宋体" w:cs="宋体"/>
                <w:szCs w:val="21"/>
              </w:rPr>
              <w:t>1</w:t>
            </w:r>
          </w:p>
        </w:tc>
        <w:tc>
          <w:tcPr>
            <w:tcW w:w="1196" w:type="dxa"/>
            <w:gridSpan w:val="2"/>
            <w:tcBorders>
              <w:top w:val="single" w:color="auto" w:sz="4" w:space="0"/>
              <w:left w:val="single" w:color="auto" w:sz="4" w:space="0"/>
              <w:bottom w:val="single" w:color="auto" w:sz="4" w:space="0"/>
              <w:right w:val="single" w:color="auto" w:sz="4" w:space="0"/>
            </w:tcBorders>
            <w:vAlign w:val="center"/>
          </w:tcPr>
          <w:p w14:paraId="4081069B">
            <w:pPr>
              <w:spacing w:line="312" w:lineRule="auto"/>
              <w:jc w:val="center"/>
              <w:rPr>
                <w:rFonts w:hint="eastAsia" w:ascii="宋体" w:hAnsi="宋体" w:cs="宋体"/>
                <w:szCs w:val="21"/>
              </w:rPr>
            </w:pPr>
            <w:r>
              <w:rPr>
                <w:rFonts w:hint="eastAsia" w:ascii="宋体" w:hAnsi="宋体" w:cs="宋体"/>
                <w:szCs w:val="21"/>
              </w:rPr>
              <w:t>生物电反馈刺激仪</w:t>
            </w:r>
          </w:p>
        </w:tc>
        <w:tc>
          <w:tcPr>
            <w:tcW w:w="895" w:type="dxa"/>
            <w:tcBorders>
              <w:top w:val="single" w:color="auto" w:sz="4" w:space="0"/>
              <w:left w:val="single" w:color="auto" w:sz="4" w:space="0"/>
              <w:bottom w:val="single" w:color="auto" w:sz="4" w:space="0"/>
              <w:right w:val="single" w:color="auto" w:sz="4" w:space="0"/>
            </w:tcBorders>
            <w:vAlign w:val="center"/>
          </w:tcPr>
          <w:p w14:paraId="30E72C58">
            <w:pPr>
              <w:numPr>
                <w:ins w:id="1" w:author="。" w:date=""/>
              </w:numPr>
              <w:spacing w:line="312" w:lineRule="auto"/>
              <w:jc w:val="center"/>
              <w:rPr>
                <w:rFonts w:hint="eastAsia" w:ascii="宋体" w:hAnsi="宋体" w:cs="宋体"/>
                <w:szCs w:val="21"/>
              </w:rPr>
            </w:pPr>
            <w:r>
              <w:rPr>
                <w:rFonts w:hint="eastAsia" w:ascii="宋体" w:hAnsi="宋体" w:cs="宋体"/>
                <w:szCs w:val="21"/>
              </w:rPr>
              <w:t>1台</w:t>
            </w:r>
          </w:p>
        </w:tc>
        <w:tc>
          <w:tcPr>
            <w:tcW w:w="5734" w:type="dxa"/>
            <w:tcBorders>
              <w:top w:val="single" w:color="auto" w:sz="4" w:space="0"/>
              <w:left w:val="single" w:color="auto" w:sz="4" w:space="0"/>
              <w:bottom w:val="single" w:color="auto" w:sz="4" w:space="0"/>
              <w:right w:val="single" w:color="auto" w:sz="4" w:space="0"/>
            </w:tcBorders>
            <w:vAlign w:val="center"/>
          </w:tcPr>
          <w:p w14:paraId="2F9D031D">
            <w:pPr>
              <w:pStyle w:val="18"/>
              <w:adjustRightInd w:val="0"/>
              <w:snapToGrid w:val="0"/>
              <w:spacing w:line="360" w:lineRule="auto"/>
              <w:rPr>
                <w:rFonts w:hint="eastAsia" w:hAnsi="宋体"/>
                <w:sz w:val="21"/>
              </w:rPr>
            </w:pPr>
            <w:r>
              <w:rPr>
                <w:rFonts w:hint="eastAsia" w:hAnsi="宋体"/>
                <w:sz w:val="21"/>
              </w:rPr>
              <w:t>1.▲适用范围包括：对患者的体表肌电信号进行采集、分析和反馈训练，可以对患者的肌肉施加电刺激来帮助诊断和恢复患者的肌肉功能障碍；促进局部血液循环、缓解疼痛、兴奋神经肌肉组织。</w:t>
            </w:r>
          </w:p>
          <w:p w14:paraId="358D2C87">
            <w:pPr>
              <w:pStyle w:val="18"/>
              <w:adjustRightInd w:val="0"/>
              <w:snapToGrid w:val="0"/>
              <w:spacing w:line="360" w:lineRule="auto"/>
              <w:rPr>
                <w:rFonts w:hint="eastAsia" w:hAnsi="宋体"/>
                <w:sz w:val="21"/>
              </w:rPr>
            </w:pPr>
            <w:r>
              <w:rPr>
                <w:rFonts w:hint="eastAsia" w:hAnsi="宋体"/>
                <w:sz w:val="21"/>
              </w:rPr>
              <w:t>2.▲肌电信号输出通道≥2个，电刺激通道≥4个（可做8个部位）,传感器连接通道≥2个。</w:t>
            </w:r>
          </w:p>
          <w:p w14:paraId="03F20B57">
            <w:pPr>
              <w:pStyle w:val="18"/>
              <w:adjustRightInd w:val="0"/>
              <w:snapToGrid w:val="0"/>
              <w:spacing w:line="360" w:lineRule="auto"/>
              <w:rPr>
                <w:rFonts w:hint="eastAsia" w:hAnsi="宋体"/>
                <w:sz w:val="21"/>
              </w:rPr>
            </w:pPr>
            <w:r>
              <w:rPr>
                <w:rFonts w:hint="eastAsia" w:hAnsi="宋体"/>
                <w:sz w:val="21"/>
              </w:rPr>
              <w:t>3.电刺激强度调节按键（物理按键）≥8个。</w:t>
            </w:r>
          </w:p>
          <w:p w14:paraId="77A9C957">
            <w:pPr>
              <w:pStyle w:val="18"/>
              <w:adjustRightInd w:val="0"/>
              <w:snapToGrid w:val="0"/>
              <w:spacing w:line="360" w:lineRule="auto"/>
              <w:rPr>
                <w:rFonts w:hint="eastAsia" w:hAnsi="宋体"/>
                <w:sz w:val="21"/>
              </w:rPr>
            </w:pPr>
            <w:r>
              <w:rPr>
                <w:rFonts w:hint="eastAsia" w:hAnsi="宋体"/>
                <w:sz w:val="21"/>
              </w:rPr>
              <w:t>4.▲肌电信号采集：范围0μV～2000μV；分辨率≤2μV；系统噪声≤1μV；通频带不窄于20Hz～500Hz（-3dB）；差模输入阻抗＞5MΩ；共模抑制比＞100dB；工频陷波器：50Hz陷波器滤波器，衰减后幅值应不大于5μV。</w:t>
            </w:r>
          </w:p>
          <w:p w14:paraId="479E0C69">
            <w:pPr>
              <w:pStyle w:val="18"/>
              <w:adjustRightInd w:val="0"/>
              <w:snapToGrid w:val="0"/>
              <w:spacing w:line="360" w:lineRule="auto"/>
              <w:rPr>
                <w:rFonts w:hint="eastAsia" w:hAnsi="宋体"/>
                <w:sz w:val="21"/>
              </w:rPr>
            </w:pPr>
            <w:r>
              <w:rPr>
                <w:rFonts w:hint="eastAsia" w:hAnsi="宋体"/>
                <w:sz w:val="21"/>
              </w:rPr>
              <w:t>5.压力信号采集：范围0kpa～42kpa；分辨率≤0.1kpa。</w:t>
            </w:r>
          </w:p>
          <w:p w14:paraId="154EF116">
            <w:pPr>
              <w:pStyle w:val="18"/>
              <w:adjustRightInd w:val="0"/>
              <w:snapToGrid w:val="0"/>
              <w:spacing w:line="360" w:lineRule="auto"/>
              <w:rPr>
                <w:rFonts w:hint="eastAsia" w:hAnsi="宋体"/>
                <w:sz w:val="21"/>
              </w:rPr>
            </w:pPr>
            <w:r>
              <w:rPr>
                <w:rFonts w:hint="eastAsia" w:hAnsi="宋体"/>
                <w:sz w:val="21"/>
              </w:rPr>
              <w:t>6.▲电刺激电流类型≥10种，包括：直流电流、单相脉冲电流、对称双相脉冲电流、非对称双相脉冲电流、对称补偿脉冲电流、非对称补偿脉冲电流、双相指数脉冲电流、半正弦电流、双半正弦电流、正弦电流。</w:t>
            </w:r>
          </w:p>
          <w:p w14:paraId="1083A3C6">
            <w:pPr>
              <w:pStyle w:val="18"/>
              <w:adjustRightInd w:val="0"/>
              <w:snapToGrid w:val="0"/>
              <w:spacing w:line="360" w:lineRule="auto"/>
              <w:rPr>
                <w:rFonts w:hint="eastAsia" w:hAnsi="宋体"/>
                <w:sz w:val="21"/>
              </w:rPr>
            </w:pPr>
            <w:r>
              <w:rPr>
                <w:rFonts w:hint="eastAsia" w:hAnsi="宋体"/>
                <w:sz w:val="21"/>
              </w:rPr>
              <w:t>6.刺激电流强度：设备输出电流强度的调节范围0-100mA，最小调节增减量≤0.1 mA。</w:t>
            </w:r>
          </w:p>
          <w:p w14:paraId="252EA10C">
            <w:pPr>
              <w:pStyle w:val="18"/>
              <w:adjustRightInd w:val="0"/>
              <w:snapToGrid w:val="0"/>
              <w:spacing w:line="360" w:lineRule="auto"/>
              <w:rPr>
                <w:rFonts w:hint="eastAsia" w:hAnsi="宋体"/>
                <w:sz w:val="21"/>
              </w:rPr>
            </w:pPr>
            <w:r>
              <w:rPr>
                <w:rFonts w:hint="eastAsia" w:hAnsi="宋体"/>
                <w:sz w:val="21"/>
              </w:rPr>
              <w:t>7.电流幅度强度：上升时间：0S～10S；平台时间：0S～30S；下降时间0S～10S；休息时间：0S～30S；最小调节增减量≤1S。</w:t>
            </w:r>
          </w:p>
          <w:p w14:paraId="08E51318">
            <w:pPr>
              <w:pStyle w:val="18"/>
              <w:adjustRightInd w:val="0"/>
              <w:snapToGrid w:val="0"/>
              <w:spacing w:line="360" w:lineRule="auto"/>
              <w:rPr>
                <w:rFonts w:hint="eastAsia" w:hAnsi="宋体"/>
                <w:sz w:val="21"/>
              </w:rPr>
            </w:pPr>
            <w:r>
              <w:rPr>
                <w:rFonts w:hint="eastAsia" w:hAnsi="宋体"/>
                <w:sz w:val="21"/>
              </w:rPr>
              <w:t xml:space="preserve">8.脉冲频率：输出脉冲频率范围1～450Hz和最小调节增减量≤1Hz。 </w:t>
            </w:r>
          </w:p>
          <w:p w14:paraId="571A2901">
            <w:pPr>
              <w:pStyle w:val="18"/>
              <w:adjustRightInd w:val="0"/>
              <w:snapToGrid w:val="0"/>
              <w:spacing w:line="360" w:lineRule="auto"/>
              <w:rPr>
                <w:rFonts w:hint="eastAsia" w:hAnsi="宋体"/>
                <w:sz w:val="21"/>
              </w:rPr>
            </w:pPr>
            <w:r>
              <w:rPr>
                <w:rFonts w:hint="eastAsia" w:hAnsi="宋体"/>
                <w:sz w:val="21"/>
              </w:rPr>
              <w:t>9.▲脉冲宽度：输出脉冲宽度范围常用50～1000μs和最小调节增减量≤10μs。双相指数脉冲电流脉冲宽度范围1500～3000μs和最小调节增减量500μs。</w:t>
            </w:r>
          </w:p>
          <w:p w14:paraId="21A3E86D">
            <w:pPr>
              <w:pStyle w:val="18"/>
              <w:adjustRightInd w:val="0"/>
              <w:snapToGrid w:val="0"/>
              <w:spacing w:line="360" w:lineRule="auto"/>
              <w:rPr>
                <w:rFonts w:hint="eastAsia" w:hAnsi="宋体"/>
                <w:sz w:val="21"/>
              </w:rPr>
            </w:pPr>
            <w:r>
              <w:rPr>
                <w:rFonts w:hint="eastAsia" w:hAnsi="宋体"/>
                <w:sz w:val="21"/>
              </w:rPr>
              <w:t>10.输出电流稳定性：在1000Ω或以下负载电阻下，设备输出电流强度变化率不大于±5%。</w:t>
            </w:r>
          </w:p>
          <w:p w14:paraId="28186801">
            <w:pPr>
              <w:pStyle w:val="18"/>
              <w:adjustRightInd w:val="0"/>
              <w:snapToGrid w:val="0"/>
              <w:spacing w:line="360" w:lineRule="auto"/>
              <w:rPr>
                <w:rFonts w:hint="eastAsia" w:hAnsi="宋体"/>
                <w:sz w:val="21"/>
              </w:rPr>
            </w:pPr>
            <w:r>
              <w:rPr>
                <w:rFonts w:hint="eastAsia" w:hAnsi="宋体"/>
                <w:sz w:val="21"/>
              </w:rPr>
              <w:t>11.反射采集EMG数值可采集最大、最小、瞬间肌电位值，采集范围：0-2000 μV，采集精度≤0.1μV。</w:t>
            </w:r>
          </w:p>
          <w:p w14:paraId="4B5AB000">
            <w:pPr>
              <w:pStyle w:val="18"/>
              <w:adjustRightInd w:val="0"/>
              <w:snapToGrid w:val="0"/>
              <w:spacing w:line="360" w:lineRule="auto"/>
              <w:rPr>
                <w:rFonts w:hint="eastAsia" w:hAnsi="宋体"/>
                <w:sz w:val="21"/>
              </w:rPr>
            </w:pPr>
            <w:r>
              <w:rPr>
                <w:rFonts w:hint="eastAsia" w:hAnsi="宋体"/>
                <w:sz w:val="21"/>
              </w:rPr>
              <w:t>12.治疗过程中≥10种基本治疗参数可调整，参数包括：电刺激、强度、频率、脉宽、波形，肌电位最小值与最大值、自我训练波形，治疗时间、休息时间、电刺激工作时间等</w:t>
            </w:r>
          </w:p>
          <w:p w14:paraId="711ECE55">
            <w:pPr>
              <w:pStyle w:val="18"/>
              <w:adjustRightInd w:val="0"/>
              <w:snapToGrid w:val="0"/>
              <w:spacing w:line="360" w:lineRule="auto"/>
              <w:rPr>
                <w:rFonts w:hint="eastAsia" w:hAnsi="宋体"/>
                <w:sz w:val="21"/>
              </w:rPr>
            </w:pPr>
            <w:r>
              <w:rPr>
                <w:rFonts w:hint="eastAsia" w:hAnsi="宋体"/>
                <w:sz w:val="21"/>
              </w:rPr>
              <w:t>13.台车一体成型，静音方向轮支持360度旋转，支持固定位置锁定。设备可移动，可供床边或移动使用。</w:t>
            </w:r>
          </w:p>
          <w:p w14:paraId="45DE8705">
            <w:pPr>
              <w:pStyle w:val="18"/>
              <w:adjustRightInd w:val="0"/>
              <w:snapToGrid w:val="0"/>
              <w:spacing w:line="360" w:lineRule="auto"/>
              <w:rPr>
                <w:rFonts w:hint="eastAsia" w:hAnsi="宋体"/>
                <w:sz w:val="21"/>
              </w:rPr>
            </w:pPr>
            <w:r>
              <w:rPr>
                <w:rFonts w:hint="eastAsia" w:hAnsi="宋体"/>
                <w:sz w:val="21"/>
              </w:rPr>
              <w:t>14.</w:t>
            </w:r>
            <w:r>
              <w:rPr>
                <w:rFonts w:hint="eastAsia" w:hAnsi="宋体" w:cs="宋体"/>
                <w:color w:val="auto"/>
                <w:sz w:val="21"/>
              </w:rPr>
              <w:t>至少</w:t>
            </w:r>
            <w:r>
              <w:rPr>
                <w:rFonts w:hint="eastAsia" w:hAnsi="宋体"/>
                <w:color w:val="auto"/>
                <w:sz w:val="21"/>
              </w:rPr>
              <w:t>配</w:t>
            </w:r>
            <w:r>
              <w:rPr>
                <w:rFonts w:hint="eastAsia" w:hAnsi="宋体"/>
                <w:sz w:val="21"/>
              </w:rPr>
              <w:t>备2台医用图文处理显示系统。</w:t>
            </w:r>
          </w:p>
          <w:p w14:paraId="04EE9347">
            <w:pPr>
              <w:pStyle w:val="18"/>
              <w:adjustRightInd w:val="0"/>
              <w:snapToGrid w:val="0"/>
              <w:spacing w:line="360" w:lineRule="auto"/>
              <w:rPr>
                <w:rFonts w:hint="eastAsia" w:hAnsi="宋体"/>
                <w:sz w:val="21"/>
              </w:rPr>
            </w:pPr>
            <w:r>
              <w:rPr>
                <w:rFonts w:hint="eastAsia" w:hAnsi="宋体"/>
                <w:sz w:val="21"/>
              </w:rPr>
              <w:t>15.设备功能包含电诊断、电刺激、生物反馈。</w:t>
            </w:r>
          </w:p>
          <w:p w14:paraId="4F94B0B5">
            <w:pPr>
              <w:pStyle w:val="18"/>
              <w:adjustRightInd w:val="0"/>
              <w:snapToGrid w:val="0"/>
              <w:spacing w:line="360" w:lineRule="auto"/>
              <w:rPr>
                <w:rFonts w:hint="eastAsia" w:hAnsi="宋体"/>
                <w:sz w:val="21"/>
              </w:rPr>
            </w:pPr>
            <w:r>
              <w:rPr>
                <w:rFonts w:hint="eastAsia" w:hAnsi="宋体"/>
                <w:sz w:val="21"/>
              </w:rPr>
              <w:t>16.▲包含多组织电诊断功能，通过多组织多机理6大类电刺激，含疼痛、循环、横纹肌、平滑肌、神经、经络，自动获取电诊断参数的初始检查值和电刺激后差异，电诊断出个体化的精准电刺激参数。</w:t>
            </w:r>
          </w:p>
          <w:p w14:paraId="164BE626">
            <w:pPr>
              <w:pStyle w:val="18"/>
              <w:adjustRightInd w:val="0"/>
              <w:snapToGrid w:val="0"/>
              <w:spacing w:line="360" w:lineRule="auto"/>
              <w:rPr>
                <w:rFonts w:hint="eastAsia" w:hAnsi="宋体"/>
                <w:sz w:val="21"/>
              </w:rPr>
            </w:pPr>
            <w:r>
              <w:rPr>
                <w:rFonts w:hint="eastAsia" w:hAnsi="宋体"/>
                <w:sz w:val="21"/>
              </w:rPr>
              <w:t>17.▲电刺激可作用于疼痛、循环、横纹肌、平滑肌、神经、经皮穴位经络。</w:t>
            </w:r>
          </w:p>
          <w:p w14:paraId="78C903D6">
            <w:pPr>
              <w:pStyle w:val="18"/>
              <w:adjustRightInd w:val="0"/>
              <w:snapToGrid w:val="0"/>
              <w:spacing w:line="360" w:lineRule="auto"/>
              <w:rPr>
                <w:rFonts w:hint="eastAsia" w:hAnsi="宋体"/>
                <w:sz w:val="21"/>
              </w:rPr>
            </w:pPr>
            <w:r>
              <w:rPr>
                <w:rFonts w:hint="eastAsia" w:hAnsi="宋体"/>
                <w:sz w:val="21"/>
              </w:rPr>
              <w:t>18.生物反馈类别：压力生物反馈、肌电生物反馈、条件性电刺激、电刺激下的生物反馈。</w:t>
            </w:r>
          </w:p>
          <w:p w14:paraId="52A5263F">
            <w:pPr>
              <w:pStyle w:val="18"/>
              <w:adjustRightInd w:val="0"/>
              <w:snapToGrid w:val="0"/>
              <w:spacing w:line="360" w:lineRule="auto"/>
              <w:rPr>
                <w:rFonts w:hint="eastAsia" w:hAnsi="宋体"/>
                <w:sz w:val="21"/>
              </w:rPr>
            </w:pPr>
            <w:r>
              <w:rPr>
                <w:rFonts w:hint="eastAsia" w:hAnsi="宋体"/>
                <w:sz w:val="21"/>
              </w:rPr>
              <w:t>19.▲可实现多靶点、多组织、多部位、多参数的诊断、治疗、评估一体化功能，用于妇产科疾病、盆底疾病、围手术期等功能性疾病精准诊疗。</w:t>
            </w:r>
          </w:p>
          <w:p w14:paraId="24B92252">
            <w:pPr>
              <w:pStyle w:val="18"/>
              <w:adjustRightInd w:val="0"/>
              <w:snapToGrid w:val="0"/>
              <w:spacing w:line="360" w:lineRule="auto"/>
              <w:rPr>
                <w:rFonts w:hint="eastAsia" w:hAnsi="宋体"/>
                <w:sz w:val="21"/>
              </w:rPr>
            </w:pPr>
            <w:r>
              <w:rPr>
                <w:rFonts w:hint="eastAsia" w:hAnsi="宋体"/>
                <w:sz w:val="21"/>
              </w:rPr>
              <w:t>20.计算机软件组件：包含设备软件、疾病评估软件、疾病治疗软件、病患管理系统软件。</w:t>
            </w:r>
          </w:p>
          <w:p w14:paraId="6D6658B0">
            <w:pPr>
              <w:pStyle w:val="18"/>
              <w:adjustRightInd w:val="0"/>
              <w:snapToGrid w:val="0"/>
              <w:spacing w:line="360" w:lineRule="auto"/>
              <w:rPr>
                <w:rFonts w:hint="eastAsia" w:hAnsi="宋体"/>
                <w:sz w:val="21"/>
              </w:rPr>
            </w:pPr>
            <w:r>
              <w:rPr>
                <w:rFonts w:hint="eastAsia" w:hAnsi="宋体"/>
                <w:sz w:val="21"/>
              </w:rPr>
              <w:t>21.设备软件包括生物电反馈刺激软件。</w:t>
            </w:r>
          </w:p>
          <w:p w14:paraId="0A653AEC">
            <w:pPr>
              <w:pStyle w:val="18"/>
              <w:adjustRightInd w:val="0"/>
              <w:snapToGrid w:val="0"/>
              <w:spacing w:line="360" w:lineRule="auto"/>
              <w:rPr>
                <w:rFonts w:hint="eastAsia" w:hAnsi="宋体"/>
                <w:sz w:val="21"/>
              </w:rPr>
            </w:pPr>
            <w:r>
              <w:rPr>
                <w:rFonts w:hint="eastAsia" w:hAnsi="宋体"/>
                <w:sz w:val="21"/>
              </w:rPr>
              <w:t>22.疾病评估软件≥10种。</w:t>
            </w:r>
          </w:p>
          <w:p w14:paraId="68922143">
            <w:pPr>
              <w:pStyle w:val="18"/>
              <w:adjustRightInd w:val="0"/>
              <w:snapToGrid w:val="0"/>
              <w:spacing w:line="360" w:lineRule="auto"/>
              <w:rPr>
                <w:rFonts w:hint="eastAsia" w:hAnsi="宋体"/>
                <w:sz w:val="21"/>
              </w:rPr>
            </w:pPr>
            <w:r>
              <w:rPr>
                <w:rFonts w:hint="eastAsia" w:hAnsi="宋体"/>
                <w:sz w:val="21"/>
              </w:rPr>
              <w:t>23.▲疾病治疗软件≥30种。</w:t>
            </w:r>
          </w:p>
          <w:p w14:paraId="4912E3A7">
            <w:pPr>
              <w:pStyle w:val="18"/>
              <w:adjustRightInd w:val="0"/>
              <w:snapToGrid w:val="0"/>
              <w:spacing w:line="360" w:lineRule="auto"/>
              <w:rPr>
                <w:rFonts w:hint="eastAsia" w:hAnsi="宋体"/>
                <w:sz w:val="21"/>
              </w:rPr>
            </w:pPr>
            <w:r>
              <w:rPr>
                <w:rFonts w:hint="eastAsia" w:hAnsi="宋体"/>
                <w:sz w:val="21"/>
              </w:rPr>
              <w:t>24.病患管理系统软件：盆底电子病历系统，多系列设备病历数据可共享。盆底、围手术期、中医体质等电子病历，包含基本信息、产科史、现病史、手术史等模块、支持病例标签、病种分类、病人快速搜索。多维度数据查询，并支持数据导出。</w:t>
            </w:r>
          </w:p>
          <w:p w14:paraId="74B44F1D">
            <w:pPr>
              <w:pStyle w:val="18"/>
              <w:adjustRightInd w:val="0"/>
              <w:snapToGrid w:val="0"/>
              <w:spacing w:line="360" w:lineRule="auto"/>
              <w:rPr>
                <w:rFonts w:hint="eastAsia" w:hAnsi="宋体"/>
                <w:sz w:val="21"/>
              </w:rPr>
            </w:pPr>
            <w:r>
              <w:rPr>
                <w:rFonts w:hint="eastAsia" w:hAnsi="宋体"/>
                <w:sz w:val="21"/>
              </w:rPr>
              <w:t>25.专业的阴道压力反射采集软件，可分别对Ⅰ类或Ⅱ类肌纤维反射进行采集，可智能自动化测量出综合肌力、实时动态压力、持续时间、疲劳度。</w:t>
            </w:r>
          </w:p>
          <w:p w14:paraId="444BF662">
            <w:pPr>
              <w:pStyle w:val="18"/>
              <w:adjustRightInd w:val="0"/>
              <w:snapToGrid w:val="0"/>
              <w:spacing w:line="360" w:lineRule="auto"/>
              <w:rPr>
                <w:rFonts w:hint="eastAsia" w:hAnsi="宋体"/>
                <w:sz w:val="21"/>
              </w:rPr>
            </w:pPr>
            <w:r>
              <w:rPr>
                <w:rFonts w:hint="eastAsia" w:hAnsi="宋体"/>
                <w:sz w:val="21"/>
              </w:rPr>
              <w:t>26.专业的电生理反射采集软件，可分别对Ⅰ类或Ⅱ类肌纤维反射进行肌电采集，可智能自动化测量出综合肌力、肌电图、实时动态肌电位、持续时间、疲劳度。</w:t>
            </w:r>
          </w:p>
          <w:p w14:paraId="3137E857">
            <w:pPr>
              <w:pStyle w:val="18"/>
              <w:adjustRightInd w:val="0"/>
              <w:snapToGrid w:val="0"/>
              <w:spacing w:line="360" w:lineRule="auto"/>
              <w:rPr>
                <w:rFonts w:hint="eastAsia" w:hAnsi="宋体"/>
                <w:sz w:val="21"/>
              </w:rPr>
            </w:pPr>
            <w:r>
              <w:rPr>
                <w:rFonts w:hint="eastAsia" w:hAnsi="宋体"/>
                <w:sz w:val="21"/>
              </w:rPr>
              <w:t>27.有生物反馈全过程的记录与浏览，可以浏览所记录的全过程、反射曲线、反射的平均值，和肌力的测量。</w:t>
            </w:r>
          </w:p>
          <w:p w14:paraId="48D92A2C">
            <w:pPr>
              <w:pStyle w:val="18"/>
              <w:adjustRightInd w:val="0"/>
              <w:snapToGrid w:val="0"/>
              <w:spacing w:line="360" w:lineRule="auto"/>
              <w:rPr>
                <w:rFonts w:hint="eastAsia" w:hAnsi="宋体"/>
                <w:sz w:val="21"/>
              </w:rPr>
            </w:pPr>
            <w:r>
              <w:rPr>
                <w:rFonts w:hint="eastAsia" w:hAnsi="宋体"/>
                <w:sz w:val="21"/>
              </w:rPr>
              <w:t>28.有视觉和听觉辅助反射采集，达到锻炼目标和结果时，出现趣味反馈显示并伴有声音提示。</w:t>
            </w:r>
          </w:p>
          <w:p w14:paraId="4E33A849">
            <w:pPr>
              <w:pStyle w:val="18"/>
              <w:adjustRightInd w:val="0"/>
              <w:snapToGrid w:val="0"/>
              <w:spacing w:line="360" w:lineRule="auto"/>
              <w:rPr>
                <w:rFonts w:hint="eastAsia" w:hAnsi="宋体"/>
                <w:sz w:val="21"/>
              </w:rPr>
            </w:pPr>
            <w:r>
              <w:rPr>
                <w:rFonts w:hint="eastAsia" w:hAnsi="宋体"/>
                <w:sz w:val="21"/>
              </w:rPr>
              <w:t>29.预置治疗方案数≥500个，适用于妇产科、盆底中心、生殖中心、围手术期快速康复等。</w:t>
            </w:r>
          </w:p>
          <w:p w14:paraId="2ECBCB3E">
            <w:pPr>
              <w:pStyle w:val="18"/>
              <w:adjustRightInd w:val="0"/>
              <w:snapToGrid w:val="0"/>
              <w:spacing w:line="360" w:lineRule="auto"/>
              <w:rPr>
                <w:rFonts w:hint="eastAsia" w:hAnsi="宋体"/>
                <w:sz w:val="21"/>
              </w:rPr>
            </w:pPr>
            <w:r>
              <w:rPr>
                <w:rFonts w:hint="eastAsia" w:hAnsi="宋体"/>
                <w:sz w:val="21"/>
              </w:rPr>
              <w:t>30.可编制新的治疗方案数达10万个以上，治疗师可以编制适合病人具体情况的治疗方案。</w:t>
            </w:r>
          </w:p>
          <w:p w14:paraId="5B40D161">
            <w:pPr>
              <w:pStyle w:val="18"/>
              <w:adjustRightInd w:val="0"/>
              <w:snapToGrid w:val="0"/>
              <w:spacing w:line="360" w:lineRule="auto"/>
              <w:rPr>
                <w:rFonts w:hint="eastAsia" w:hAnsi="宋体"/>
                <w:sz w:val="21"/>
              </w:rPr>
            </w:pPr>
            <w:r>
              <w:rPr>
                <w:rFonts w:hint="eastAsia" w:hAnsi="宋体"/>
                <w:sz w:val="21"/>
              </w:rPr>
              <w:t>31.多阶段刺激治疗方案：阶段数定义无限制，根据治疗需要制定。</w:t>
            </w:r>
          </w:p>
          <w:p w14:paraId="60AD577E">
            <w:pPr>
              <w:pStyle w:val="18"/>
              <w:adjustRightInd w:val="0"/>
              <w:snapToGrid w:val="0"/>
              <w:spacing w:line="360" w:lineRule="auto"/>
              <w:rPr>
                <w:rFonts w:hint="eastAsia" w:hAnsi="宋体"/>
                <w:sz w:val="21"/>
              </w:rPr>
            </w:pPr>
            <w:r>
              <w:rPr>
                <w:rFonts w:hint="eastAsia" w:hAnsi="宋体"/>
                <w:sz w:val="21"/>
              </w:rPr>
              <w:t>32.治疗方案执行计划编排、治疗日志填写，支持治疗记录过程回放。</w:t>
            </w:r>
          </w:p>
          <w:p w14:paraId="75027422">
            <w:pPr>
              <w:pStyle w:val="18"/>
              <w:adjustRightInd w:val="0"/>
              <w:snapToGrid w:val="0"/>
              <w:spacing w:line="360" w:lineRule="auto"/>
              <w:rPr>
                <w:rFonts w:hint="eastAsia" w:hAnsi="宋体"/>
                <w:sz w:val="21"/>
              </w:rPr>
            </w:pPr>
            <w:r>
              <w:rPr>
                <w:rFonts w:hint="eastAsia" w:hAnsi="宋体"/>
                <w:sz w:val="21"/>
              </w:rPr>
              <w:t>33.解剖学图片和电极位置图200张，方便治疗师连接电极，提高病人的依从性并可以上传新图片。</w:t>
            </w:r>
          </w:p>
          <w:p w14:paraId="7A2E23C0">
            <w:pPr>
              <w:pStyle w:val="18"/>
              <w:adjustRightInd w:val="0"/>
              <w:snapToGrid w:val="0"/>
              <w:spacing w:line="360" w:lineRule="auto"/>
              <w:rPr>
                <w:rFonts w:hint="eastAsia" w:hAnsi="宋体"/>
                <w:sz w:val="21"/>
              </w:rPr>
            </w:pPr>
            <w:r>
              <w:rPr>
                <w:rFonts w:hint="eastAsia" w:hAnsi="宋体"/>
                <w:sz w:val="21"/>
              </w:rPr>
              <w:t>34.配备盆底POP-Q测量功能。</w:t>
            </w:r>
          </w:p>
          <w:p w14:paraId="571E7010">
            <w:pPr>
              <w:pStyle w:val="18"/>
              <w:adjustRightInd w:val="0"/>
              <w:snapToGrid w:val="0"/>
              <w:spacing w:line="360" w:lineRule="auto"/>
              <w:rPr>
                <w:rFonts w:hint="eastAsia" w:hAnsi="宋体"/>
                <w:sz w:val="21"/>
              </w:rPr>
            </w:pPr>
            <w:r>
              <w:rPr>
                <w:rFonts w:hint="eastAsia" w:hAnsi="宋体"/>
                <w:sz w:val="21"/>
              </w:rPr>
              <w:t>35.可自动生成检查报告与对比报告</w:t>
            </w:r>
          </w:p>
          <w:p w14:paraId="45BE04A2">
            <w:pPr>
              <w:pStyle w:val="18"/>
              <w:adjustRightInd w:val="0"/>
              <w:snapToGrid w:val="0"/>
              <w:spacing w:line="360" w:lineRule="auto"/>
              <w:rPr>
                <w:rFonts w:hint="eastAsia" w:hAnsi="宋体"/>
                <w:sz w:val="21"/>
              </w:rPr>
            </w:pPr>
            <w:r>
              <w:rPr>
                <w:rFonts w:hint="eastAsia" w:hAnsi="宋体"/>
                <w:sz w:val="21"/>
              </w:rPr>
              <w:t>36.▲检查报告包含产后检查分析报告、围手术期检查分析报告、盆底专科检查分析报告、男科检查分析报告。</w:t>
            </w:r>
          </w:p>
          <w:p w14:paraId="25C48721">
            <w:pPr>
              <w:pStyle w:val="18"/>
              <w:adjustRightInd w:val="0"/>
              <w:snapToGrid w:val="0"/>
              <w:spacing w:line="360" w:lineRule="auto"/>
              <w:rPr>
                <w:rFonts w:hint="eastAsia" w:hAnsi="宋体"/>
                <w:sz w:val="21"/>
              </w:rPr>
            </w:pPr>
            <w:r>
              <w:rPr>
                <w:rFonts w:hint="eastAsia" w:hAnsi="宋体"/>
                <w:sz w:val="21"/>
              </w:rPr>
              <w:t>37.产后检查分析报告包含POP-Q测量、疼痛检查、腹直肌分离检查、耻骨联合分离检查、盆底功能检测结果、诊断意见、医生建议、电生理治疗推荐。可个性化配置打印报告内容。</w:t>
            </w:r>
          </w:p>
          <w:p w14:paraId="7F80D361">
            <w:pPr>
              <w:pStyle w:val="18"/>
              <w:adjustRightInd w:val="0"/>
              <w:snapToGrid w:val="0"/>
              <w:spacing w:line="360" w:lineRule="auto"/>
              <w:rPr>
                <w:rFonts w:hint="eastAsia" w:hAnsi="宋体"/>
                <w:sz w:val="21"/>
              </w:rPr>
            </w:pPr>
            <w:r>
              <w:rPr>
                <w:rFonts w:hint="eastAsia" w:hAnsi="宋体"/>
                <w:sz w:val="21"/>
              </w:rPr>
              <w:t>38.围手术期检查分析报告包含多组织多功能电诊断分析、电生理肌电检查分析、电生理压力检查分析、诊断意见、医生建议、电生理治疗推荐。可个性化配置打印报告内容</w:t>
            </w:r>
          </w:p>
          <w:p w14:paraId="0C3A1AA4">
            <w:pPr>
              <w:pStyle w:val="18"/>
              <w:adjustRightInd w:val="0"/>
              <w:snapToGrid w:val="0"/>
              <w:spacing w:line="360" w:lineRule="auto"/>
              <w:rPr>
                <w:rFonts w:hint="eastAsia" w:hAnsi="宋体"/>
                <w:sz w:val="21"/>
              </w:rPr>
            </w:pPr>
            <w:r>
              <w:rPr>
                <w:rFonts w:hint="eastAsia" w:hAnsi="宋体"/>
                <w:sz w:val="21"/>
              </w:rPr>
              <w:t>39.盆底专科检查分析报告包含POP-Q测量、疼痛检查、盆底功能检测结果、诊断意见、医生建议、电生理治疗推荐。可个性化配置打印报告内容。</w:t>
            </w:r>
          </w:p>
          <w:p w14:paraId="2C1CB65C">
            <w:pPr>
              <w:pStyle w:val="18"/>
              <w:adjustRightInd w:val="0"/>
              <w:snapToGrid w:val="0"/>
              <w:spacing w:line="360" w:lineRule="auto"/>
              <w:rPr>
                <w:rFonts w:hint="eastAsia" w:hAnsi="宋体"/>
                <w:sz w:val="21"/>
              </w:rPr>
            </w:pPr>
            <w:r>
              <w:rPr>
                <w:rFonts w:hint="eastAsia" w:hAnsi="宋体"/>
                <w:sz w:val="21"/>
              </w:rPr>
              <w:t>40.可选择将任意2次压力检查、肌电检查过程进行对比，自动生成对比报告，直观反映效果评估。</w:t>
            </w:r>
          </w:p>
          <w:p w14:paraId="648CA469">
            <w:pPr>
              <w:pStyle w:val="18"/>
              <w:adjustRightInd w:val="0"/>
              <w:snapToGrid w:val="0"/>
              <w:spacing w:line="360" w:lineRule="auto"/>
              <w:rPr>
                <w:rFonts w:hint="eastAsia" w:hAnsi="宋体"/>
                <w:sz w:val="21"/>
              </w:rPr>
            </w:pPr>
            <w:r>
              <w:rPr>
                <w:rFonts w:hint="eastAsia" w:hAnsi="宋体"/>
                <w:sz w:val="21"/>
              </w:rPr>
              <w:t>41.可提供横向课题帮扶服务。</w:t>
            </w:r>
          </w:p>
          <w:p w14:paraId="028C4ACE">
            <w:pPr>
              <w:pStyle w:val="18"/>
              <w:adjustRightInd w:val="0"/>
              <w:snapToGrid w:val="0"/>
              <w:spacing w:line="360" w:lineRule="auto"/>
              <w:rPr>
                <w:rFonts w:hint="eastAsia" w:hAnsi="宋体"/>
                <w:sz w:val="21"/>
                <w:highlight w:val="none"/>
              </w:rPr>
            </w:pPr>
            <w:r>
              <w:rPr>
                <w:rFonts w:hint="eastAsia" w:hAnsi="宋体"/>
                <w:sz w:val="21"/>
                <w:highlight w:val="none"/>
              </w:rPr>
              <w:t>42.售后服务：保修期内设备本身质量问题引起的故障，提供免费维修服务；设备配套软件在设备有效期内免费维护及升级；售后服务电话全天24小时响应，接到售后服务报障信息后1个工作日内给出售后方案，设备维修时间不超过7个工作日。</w:t>
            </w:r>
          </w:p>
          <w:p w14:paraId="5B1E8193">
            <w:pPr>
              <w:pStyle w:val="18"/>
              <w:adjustRightInd w:val="0"/>
              <w:snapToGrid w:val="0"/>
              <w:spacing w:line="360" w:lineRule="auto"/>
              <w:rPr>
                <w:rFonts w:hint="eastAsia" w:hAnsi="宋体"/>
                <w:sz w:val="21"/>
              </w:rPr>
            </w:pPr>
            <w:r>
              <w:rPr>
                <w:rFonts w:hint="eastAsia" w:hAnsi="宋体"/>
                <w:sz w:val="21"/>
                <w:highlight w:val="none"/>
              </w:rPr>
              <w:t>43.生产企业通过ISO 13485：2016质量管理体系认证，提供质量管理体系认证证书扫描件。</w:t>
            </w:r>
          </w:p>
        </w:tc>
        <w:tc>
          <w:tcPr>
            <w:tcW w:w="1237" w:type="dxa"/>
            <w:tcBorders>
              <w:top w:val="single" w:color="auto" w:sz="4" w:space="0"/>
              <w:left w:val="single" w:color="auto" w:sz="4" w:space="0"/>
              <w:bottom w:val="single" w:color="auto" w:sz="4" w:space="0"/>
              <w:right w:val="single" w:color="auto" w:sz="4" w:space="0"/>
            </w:tcBorders>
            <w:vAlign w:val="center"/>
          </w:tcPr>
          <w:p w14:paraId="3C5DBBD9">
            <w:pPr>
              <w:pStyle w:val="18"/>
              <w:adjustRightInd w:val="0"/>
              <w:snapToGrid w:val="0"/>
              <w:spacing w:line="360" w:lineRule="auto"/>
              <w:jc w:val="center"/>
              <w:rPr>
                <w:rFonts w:hint="eastAsia" w:hAnsi="宋体"/>
                <w:sz w:val="21"/>
              </w:rPr>
            </w:pPr>
            <w:r>
              <w:rPr>
                <w:rFonts w:hint="eastAsia" w:hAnsi="宋体"/>
                <w:sz w:val="21"/>
              </w:rPr>
              <w:t>500000.00</w:t>
            </w:r>
          </w:p>
        </w:tc>
      </w:tr>
      <w:tr w14:paraId="30AD3E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44"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51C9ED59">
            <w:pPr>
              <w:numPr>
                <w:ins w:id="2" w:author="。" w:date=""/>
              </w:numPr>
              <w:spacing w:line="312" w:lineRule="auto"/>
              <w:jc w:val="center"/>
              <w:rPr>
                <w:rFonts w:hint="eastAsia" w:ascii="宋体" w:hAnsi="宋体" w:cs="宋体"/>
                <w:szCs w:val="21"/>
              </w:rPr>
            </w:pPr>
            <w:r>
              <w:rPr>
                <w:rFonts w:hint="eastAsia" w:ascii="宋体" w:hAnsi="宋体" w:cs="宋体"/>
                <w:szCs w:val="21"/>
              </w:rPr>
              <w:t>2</w:t>
            </w:r>
          </w:p>
        </w:tc>
        <w:tc>
          <w:tcPr>
            <w:tcW w:w="1196" w:type="dxa"/>
            <w:gridSpan w:val="2"/>
            <w:tcBorders>
              <w:top w:val="single" w:color="auto" w:sz="4" w:space="0"/>
              <w:left w:val="single" w:color="auto" w:sz="4" w:space="0"/>
              <w:bottom w:val="single" w:color="auto" w:sz="4" w:space="0"/>
              <w:right w:val="single" w:color="auto" w:sz="4" w:space="0"/>
            </w:tcBorders>
            <w:vAlign w:val="center"/>
          </w:tcPr>
          <w:p w14:paraId="4AA358C1">
            <w:pPr>
              <w:spacing w:line="312" w:lineRule="auto"/>
              <w:jc w:val="center"/>
              <w:rPr>
                <w:rFonts w:hint="eastAsia" w:ascii="宋体" w:hAnsi="宋体" w:cs="宋体"/>
                <w:szCs w:val="21"/>
              </w:rPr>
            </w:pPr>
            <w:r>
              <w:rPr>
                <w:rFonts w:ascii="宋体" w:hAnsi="宋体" w:cs="宋体"/>
                <w:szCs w:val="21"/>
              </w:rPr>
              <w:t>颅磁刺激治疗仪</w:t>
            </w:r>
          </w:p>
        </w:tc>
        <w:tc>
          <w:tcPr>
            <w:tcW w:w="895" w:type="dxa"/>
            <w:tcBorders>
              <w:top w:val="single" w:color="auto" w:sz="4" w:space="0"/>
              <w:left w:val="single" w:color="auto" w:sz="4" w:space="0"/>
              <w:bottom w:val="single" w:color="auto" w:sz="4" w:space="0"/>
              <w:right w:val="single" w:color="auto" w:sz="4" w:space="0"/>
            </w:tcBorders>
            <w:vAlign w:val="center"/>
          </w:tcPr>
          <w:p w14:paraId="7790D3C1">
            <w:pPr>
              <w:numPr>
                <w:ins w:id="3" w:author="。" w:date=""/>
              </w:numPr>
              <w:spacing w:line="312" w:lineRule="auto"/>
              <w:jc w:val="center"/>
              <w:rPr>
                <w:rFonts w:hint="eastAsia" w:ascii="宋体" w:hAnsi="宋体" w:cs="宋体"/>
                <w:szCs w:val="21"/>
              </w:rPr>
            </w:pPr>
            <w:r>
              <w:rPr>
                <w:rFonts w:hint="eastAsia" w:ascii="宋体" w:hAnsi="宋体" w:cs="宋体"/>
                <w:szCs w:val="21"/>
              </w:rPr>
              <w:t>1台</w:t>
            </w:r>
          </w:p>
        </w:tc>
        <w:tc>
          <w:tcPr>
            <w:tcW w:w="5734" w:type="dxa"/>
            <w:tcBorders>
              <w:top w:val="single" w:color="auto" w:sz="4" w:space="0"/>
              <w:left w:val="single" w:color="auto" w:sz="4" w:space="0"/>
              <w:bottom w:val="single" w:color="auto" w:sz="4" w:space="0"/>
              <w:right w:val="single" w:color="auto" w:sz="4" w:space="0"/>
            </w:tcBorders>
            <w:vAlign w:val="center"/>
          </w:tcPr>
          <w:p w14:paraId="0A1885AF">
            <w:pPr>
              <w:spacing w:line="360" w:lineRule="auto"/>
              <w:rPr>
                <w:rFonts w:hint="eastAsia" w:ascii="宋体" w:hAnsi="宋体"/>
                <w:szCs w:val="21"/>
              </w:rPr>
            </w:pPr>
            <w:r>
              <w:rPr>
                <w:rFonts w:hint="eastAsia" w:ascii="宋体" w:hAnsi="宋体"/>
                <w:szCs w:val="21"/>
              </w:rPr>
              <w:t>一、产品适用范围：刺激人体中枢神经和外周神经，用于人体中枢神经和外周神经功能的检测、改善，对脑神经及神经损伤性疾病的辅助治疗。</w:t>
            </w:r>
          </w:p>
          <w:p w14:paraId="69CD33B5">
            <w:pPr>
              <w:spacing w:line="360" w:lineRule="auto"/>
              <w:rPr>
                <w:rFonts w:hint="eastAsia" w:ascii="宋体" w:hAnsi="宋体"/>
                <w:szCs w:val="21"/>
              </w:rPr>
            </w:pPr>
            <w:r>
              <w:rPr>
                <w:rFonts w:hint="eastAsia" w:ascii="宋体" w:hAnsi="宋体"/>
                <w:szCs w:val="21"/>
              </w:rPr>
              <w:t>二、设备注册证：经颅磁刺激治疗仪，符合医保报销名称。</w:t>
            </w:r>
          </w:p>
          <w:p w14:paraId="00459C3F">
            <w:pPr>
              <w:spacing w:line="360" w:lineRule="auto"/>
              <w:rPr>
                <w:rFonts w:hint="eastAsia" w:ascii="宋体" w:hAnsi="宋体"/>
                <w:szCs w:val="21"/>
              </w:rPr>
            </w:pPr>
            <w:r>
              <w:rPr>
                <w:rFonts w:hint="eastAsia" w:ascii="宋体" w:hAnsi="宋体"/>
                <w:szCs w:val="21"/>
              </w:rPr>
              <w:t>三、技术参数</w:t>
            </w:r>
          </w:p>
          <w:p w14:paraId="0987C92C">
            <w:pPr>
              <w:spacing w:line="360" w:lineRule="auto"/>
              <w:rPr>
                <w:rFonts w:hint="eastAsia" w:ascii="宋体" w:hAnsi="宋体"/>
                <w:szCs w:val="21"/>
              </w:rPr>
            </w:pPr>
            <w:r>
              <w:rPr>
                <w:rFonts w:hint="eastAsia" w:ascii="宋体" w:hAnsi="宋体"/>
                <w:szCs w:val="21"/>
              </w:rPr>
              <w:t>1、设备外观结构：</w:t>
            </w:r>
            <w:r>
              <w:rPr>
                <w:rFonts w:ascii="宋体" w:hAnsi="宋体"/>
                <w:szCs w:val="21"/>
              </w:rPr>
              <w:t>仪器</w:t>
            </w:r>
            <w:r>
              <w:rPr>
                <w:rFonts w:hint="eastAsia" w:ascii="宋体" w:hAnsi="宋体"/>
                <w:szCs w:val="21"/>
              </w:rPr>
              <w:t>整体</w:t>
            </w:r>
            <w:r>
              <w:rPr>
                <w:rFonts w:ascii="宋体" w:hAnsi="宋体"/>
                <w:szCs w:val="21"/>
              </w:rPr>
              <w:t>模块化设计，主机</w:t>
            </w:r>
            <w:r>
              <w:rPr>
                <w:rFonts w:hint="eastAsia" w:ascii="宋体" w:hAnsi="宋体"/>
                <w:szCs w:val="21"/>
              </w:rPr>
              <w:t>、</w:t>
            </w:r>
            <w:r>
              <w:rPr>
                <w:rFonts w:ascii="宋体" w:hAnsi="宋体"/>
                <w:szCs w:val="21"/>
              </w:rPr>
              <w:t>液冷机</w:t>
            </w:r>
            <w:r>
              <w:rPr>
                <w:rFonts w:hint="eastAsia" w:ascii="宋体" w:hAnsi="宋体"/>
                <w:szCs w:val="21"/>
              </w:rPr>
              <w:t>模块化</w:t>
            </w:r>
            <w:r>
              <w:rPr>
                <w:rFonts w:ascii="宋体" w:hAnsi="宋体"/>
                <w:szCs w:val="21"/>
              </w:rPr>
              <w:t>独立分开，非一体机</w:t>
            </w:r>
            <w:r>
              <w:rPr>
                <w:rFonts w:hint="eastAsia" w:ascii="宋体" w:hAnsi="宋体"/>
                <w:szCs w:val="21"/>
              </w:rPr>
              <w:t>。非笔记本电脑，一体式防跌落。</w:t>
            </w:r>
            <w:r>
              <w:rPr>
                <w:rFonts w:ascii="宋体" w:hAnsi="宋体"/>
                <w:szCs w:val="21"/>
              </w:rPr>
              <w:t>单靶点磁刺激仪增加刺激线圈和</w:t>
            </w:r>
            <w:r>
              <w:rPr>
                <w:rFonts w:hint="eastAsia" w:ascii="宋体" w:hAnsi="宋体"/>
                <w:szCs w:val="21"/>
              </w:rPr>
              <w:t>主机</w:t>
            </w:r>
            <w:r>
              <w:rPr>
                <w:rFonts w:ascii="宋体" w:hAnsi="宋体"/>
                <w:szCs w:val="21"/>
              </w:rPr>
              <w:t>机</w:t>
            </w:r>
            <w:r>
              <w:rPr>
                <w:rFonts w:hint="eastAsia" w:ascii="宋体" w:hAnsi="宋体"/>
                <w:szCs w:val="21"/>
              </w:rPr>
              <w:t>模块</w:t>
            </w:r>
            <w:r>
              <w:rPr>
                <w:rFonts w:ascii="宋体" w:hAnsi="宋体"/>
                <w:szCs w:val="21"/>
              </w:rPr>
              <w:t>即可升级为双靶点毫秒级同步</w:t>
            </w:r>
            <w:r>
              <w:rPr>
                <w:rFonts w:hint="eastAsia" w:ascii="宋体" w:hAnsi="宋体"/>
                <w:szCs w:val="21"/>
              </w:rPr>
              <w:t>经颅磁刺激治疗仪</w:t>
            </w:r>
            <w:r>
              <w:rPr>
                <w:rFonts w:ascii="宋体" w:hAnsi="宋体"/>
                <w:szCs w:val="21"/>
              </w:rPr>
              <w:t>。</w:t>
            </w:r>
          </w:p>
          <w:p w14:paraId="393D5DE0">
            <w:pPr>
              <w:spacing w:line="360" w:lineRule="auto"/>
              <w:rPr>
                <w:rFonts w:hint="eastAsia" w:ascii="宋体" w:hAnsi="宋体"/>
                <w:szCs w:val="21"/>
              </w:rPr>
            </w:pPr>
            <w:r>
              <w:rPr>
                <w:rFonts w:hint="eastAsia" w:ascii="宋体" w:hAnsi="宋体"/>
                <w:szCs w:val="21"/>
              </w:rPr>
              <w:t>2、</w:t>
            </w:r>
            <w:r>
              <w:rPr>
                <w:rFonts w:ascii="宋体" w:hAnsi="宋体"/>
                <w:szCs w:val="21"/>
              </w:rPr>
              <w:t>刺激强度：</w:t>
            </w:r>
            <w:r>
              <w:rPr>
                <w:rFonts w:hint="eastAsia" w:ascii="宋体" w:hAnsi="宋体"/>
                <w:szCs w:val="21"/>
              </w:rPr>
              <w:t>1.5T-8</w:t>
            </w:r>
            <w:r>
              <w:rPr>
                <w:rFonts w:ascii="宋体" w:hAnsi="宋体"/>
                <w:szCs w:val="21"/>
              </w:rPr>
              <w:t>T。</w:t>
            </w:r>
          </w:p>
          <w:p w14:paraId="024727C5">
            <w:pPr>
              <w:spacing w:line="360" w:lineRule="auto"/>
              <w:rPr>
                <w:rFonts w:hint="eastAsia" w:ascii="宋体" w:hAnsi="宋体"/>
                <w:szCs w:val="21"/>
              </w:rPr>
            </w:pPr>
            <w:r>
              <w:rPr>
                <w:rFonts w:hint="eastAsia" w:ascii="宋体" w:hAnsi="宋体"/>
                <w:szCs w:val="21"/>
              </w:rPr>
              <w:t>3、</w:t>
            </w:r>
            <w:r>
              <w:rPr>
                <w:rFonts w:ascii="宋体" w:hAnsi="宋体"/>
                <w:szCs w:val="21"/>
              </w:rPr>
              <w:t xml:space="preserve">输出频率: </w:t>
            </w:r>
            <w:r>
              <w:rPr>
                <w:rFonts w:hint="eastAsia" w:ascii="宋体" w:hAnsi="宋体"/>
                <w:szCs w:val="21"/>
              </w:rPr>
              <w:t>0-60</w:t>
            </w:r>
            <w:r>
              <w:rPr>
                <w:rFonts w:ascii="宋体" w:hAnsi="宋体"/>
                <w:szCs w:val="21"/>
              </w:rPr>
              <w:t>Hz。</w:t>
            </w:r>
          </w:p>
          <w:p w14:paraId="7ECD6D1B">
            <w:pPr>
              <w:spacing w:line="360" w:lineRule="auto"/>
              <w:rPr>
                <w:rFonts w:hint="eastAsia" w:ascii="宋体" w:hAnsi="宋体"/>
                <w:szCs w:val="21"/>
              </w:rPr>
            </w:pPr>
            <w:r>
              <w:rPr>
                <w:rFonts w:hint="eastAsia" w:ascii="宋体" w:hAnsi="宋体"/>
                <w:szCs w:val="21"/>
              </w:rPr>
              <w:t>4、</w:t>
            </w:r>
            <w:r>
              <w:rPr>
                <w:rFonts w:ascii="宋体" w:hAnsi="宋体"/>
                <w:szCs w:val="21"/>
              </w:rPr>
              <w:t>输出步长：输出脉冲频率在1Hz以下时，脉冲频率设置步长为0.1Hz，超过1Hz时步长为0.5Hz。</w:t>
            </w:r>
          </w:p>
          <w:p w14:paraId="29DF9C06">
            <w:pPr>
              <w:spacing w:line="360" w:lineRule="auto"/>
              <w:rPr>
                <w:rFonts w:hint="eastAsia" w:ascii="宋体" w:hAnsi="宋体"/>
                <w:szCs w:val="21"/>
              </w:rPr>
            </w:pPr>
            <w:r>
              <w:rPr>
                <w:rFonts w:hint="eastAsia" w:ascii="宋体" w:hAnsi="宋体"/>
                <w:szCs w:val="21"/>
              </w:rPr>
              <w:t>5、冷却方式：</w:t>
            </w:r>
            <w:r>
              <w:rPr>
                <w:rFonts w:ascii="宋体" w:hAnsi="宋体"/>
                <w:szCs w:val="21"/>
              </w:rPr>
              <w:t>具有液冷功能</w:t>
            </w:r>
            <w:r>
              <w:rPr>
                <w:rFonts w:hint="eastAsia" w:ascii="宋体" w:hAnsi="宋体"/>
                <w:szCs w:val="21"/>
              </w:rPr>
              <w:t>，</w:t>
            </w:r>
            <w:r>
              <w:rPr>
                <w:rFonts w:ascii="宋体" w:hAnsi="宋体"/>
                <w:szCs w:val="21"/>
              </w:rPr>
              <w:t>非风冷</w:t>
            </w:r>
            <w:r>
              <w:rPr>
                <w:rFonts w:hint="eastAsia" w:ascii="宋体" w:hAnsi="宋体"/>
                <w:szCs w:val="21"/>
              </w:rPr>
              <w:t>。</w:t>
            </w:r>
          </w:p>
          <w:p w14:paraId="02715C4A">
            <w:pPr>
              <w:spacing w:line="360" w:lineRule="auto"/>
              <w:rPr>
                <w:rFonts w:hint="eastAsia" w:ascii="宋体" w:hAnsi="宋体"/>
                <w:szCs w:val="21"/>
              </w:rPr>
            </w:pPr>
            <w:r>
              <w:rPr>
                <w:rFonts w:hint="eastAsia" w:ascii="宋体" w:hAnsi="宋体"/>
                <w:szCs w:val="21"/>
              </w:rPr>
              <w:t>▲6、脚踏开关：</w:t>
            </w:r>
            <w:r>
              <w:rPr>
                <w:rFonts w:ascii="宋体" w:hAnsi="宋体"/>
                <w:szCs w:val="21"/>
              </w:rPr>
              <w:t>具备医疗器械注册证的脚踏开关或者符合YY 1057-2016标准要求</w:t>
            </w:r>
            <w:r>
              <w:rPr>
                <w:rFonts w:hint="eastAsia" w:ascii="宋体" w:hAnsi="宋体"/>
                <w:szCs w:val="21"/>
              </w:rPr>
              <w:t>。</w:t>
            </w:r>
          </w:p>
          <w:p w14:paraId="51EE28A5">
            <w:pPr>
              <w:spacing w:line="360" w:lineRule="auto"/>
              <w:rPr>
                <w:rFonts w:hint="eastAsia" w:ascii="宋体" w:hAnsi="宋体"/>
                <w:szCs w:val="21"/>
              </w:rPr>
            </w:pPr>
            <w:r>
              <w:rPr>
                <w:rFonts w:hint="eastAsia" w:ascii="宋体" w:hAnsi="宋体"/>
                <w:szCs w:val="21"/>
              </w:rPr>
              <w:t>7、</w:t>
            </w:r>
            <w:r>
              <w:rPr>
                <w:rFonts w:ascii="宋体" w:hAnsi="宋体"/>
                <w:szCs w:val="21"/>
              </w:rPr>
              <w:t>圆环线圈、平面8字型线圈均具备双面刺激。</w:t>
            </w:r>
          </w:p>
          <w:p w14:paraId="389A30C3">
            <w:pPr>
              <w:spacing w:line="360" w:lineRule="auto"/>
              <w:rPr>
                <w:rFonts w:hint="eastAsia" w:ascii="宋体" w:hAnsi="宋体"/>
                <w:szCs w:val="21"/>
              </w:rPr>
            </w:pPr>
            <w:r>
              <w:rPr>
                <w:rFonts w:hint="eastAsia" w:ascii="宋体" w:hAnsi="宋体"/>
                <w:szCs w:val="21"/>
              </w:rPr>
              <w:t>8、</w:t>
            </w:r>
            <w:r>
              <w:rPr>
                <w:rFonts w:ascii="宋体" w:hAnsi="宋体"/>
                <w:szCs w:val="21"/>
              </w:rPr>
              <w:t>磁刺激主机显示屏直观显示刺激强度、线圈温度、线圈连接状态、通信连接状态及液冷机运行状态。设备治疗结束后具有语音提示功能。</w:t>
            </w:r>
          </w:p>
          <w:p w14:paraId="0E4D8C20">
            <w:pPr>
              <w:spacing w:line="360" w:lineRule="auto"/>
              <w:rPr>
                <w:rFonts w:hint="eastAsia" w:ascii="宋体" w:hAnsi="宋体"/>
                <w:szCs w:val="21"/>
              </w:rPr>
            </w:pPr>
            <w:r>
              <w:rPr>
                <w:rFonts w:hint="eastAsia" w:ascii="宋体" w:hAnsi="宋体"/>
                <w:szCs w:val="21"/>
              </w:rPr>
              <w:t>▲9、刺激靶点显示：刺激</w:t>
            </w:r>
            <w:r>
              <w:rPr>
                <w:rFonts w:ascii="宋体" w:hAnsi="宋体"/>
                <w:szCs w:val="21"/>
              </w:rPr>
              <w:t>靶点位置3D显示功能，提示大脑皮层靶点和外周神经刺激区的治疗区准确位置。</w:t>
            </w:r>
          </w:p>
          <w:p w14:paraId="50054E96">
            <w:pPr>
              <w:spacing w:line="360" w:lineRule="auto"/>
              <w:rPr>
                <w:rFonts w:hint="eastAsia" w:ascii="宋体" w:hAnsi="宋体"/>
                <w:szCs w:val="21"/>
              </w:rPr>
            </w:pPr>
            <w:r>
              <w:rPr>
                <w:rFonts w:hint="eastAsia" w:ascii="宋体" w:hAnsi="宋体"/>
                <w:szCs w:val="21"/>
              </w:rPr>
              <w:t>▲10、治疗方案：设备具有＞190种治疗方案可选。具有“采集部位、刺激部位、NCS项、TMS治疗指南、标准方案库、TBS方案库”功能。</w:t>
            </w:r>
          </w:p>
          <w:p w14:paraId="76A4BBB6">
            <w:pPr>
              <w:spacing w:line="360" w:lineRule="auto"/>
              <w:rPr>
                <w:rFonts w:hint="eastAsia" w:ascii="宋体" w:hAnsi="宋体"/>
                <w:szCs w:val="21"/>
              </w:rPr>
            </w:pPr>
            <w:r>
              <w:rPr>
                <w:rFonts w:hint="eastAsia" w:ascii="宋体" w:hAnsi="宋体"/>
                <w:szCs w:val="21"/>
              </w:rPr>
              <w:t>11、脉冲宽度：330us-415us。</w:t>
            </w:r>
          </w:p>
          <w:p w14:paraId="28C2328D">
            <w:pPr>
              <w:spacing w:line="360" w:lineRule="auto"/>
              <w:rPr>
                <w:rFonts w:hint="eastAsia" w:ascii="宋体" w:hAnsi="宋体"/>
                <w:szCs w:val="21"/>
              </w:rPr>
            </w:pPr>
            <w:r>
              <w:rPr>
                <w:rFonts w:hint="eastAsia" w:ascii="宋体" w:hAnsi="宋体"/>
                <w:szCs w:val="21"/>
              </w:rPr>
              <w:t>12、脉冲上升时间：70us-95us。</w:t>
            </w:r>
          </w:p>
          <w:p w14:paraId="3D1A0165">
            <w:pPr>
              <w:spacing w:line="360" w:lineRule="auto"/>
              <w:rPr>
                <w:rFonts w:hint="eastAsia" w:ascii="宋体" w:hAnsi="宋体"/>
                <w:szCs w:val="21"/>
              </w:rPr>
            </w:pPr>
            <w:r>
              <w:rPr>
                <w:rFonts w:hint="eastAsia" w:ascii="宋体" w:hAnsi="宋体"/>
                <w:szCs w:val="21"/>
              </w:rPr>
              <w:t>13、磁感应变化率:30-130kT/s。</w:t>
            </w:r>
          </w:p>
          <w:p w14:paraId="29B4660C">
            <w:pPr>
              <w:spacing w:line="360" w:lineRule="auto"/>
              <w:rPr>
                <w:rFonts w:hint="eastAsia" w:ascii="宋体" w:hAnsi="宋体"/>
                <w:szCs w:val="21"/>
              </w:rPr>
            </w:pPr>
            <w:r>
              <w:rPr>
                <w:rFonts w:hint="eastAsia" w:ascii="宋体" w:hAnsi="宋体"/>
                <w:szCs w:val="21"/>
              </w:rPr>
              <w:t>14、可记录电容放电次数。</w:t>
            </w:r>
          </w:p>
          <w:p w14:paraId="08BB927C">
            <w:pPr>
              <w:spacing w:line="360" w:lineRule="auto"/>
              <w:rPr>
                <w:rFonts w:hint="eastAsia" w:ascii="宋体" w:hAnsi="宋体"/>
                <w:szCs w:val="21"/>
              </w:rPr>
            </w:pPr>
            <w:r>
              <w:rPr>
                <w:rFonts w:hint="eastAsia" w:ascii="宋体" w:hAnsi="宋体"/>
                <w:szCs w:val="21"/>
              </w:rPr>
              <w:t>▲15、可扩展科研线圈：圆形、平面8字型、双锥线圈、儿童型、动物线圈、双锥伪刺激线圈等。</w:t>
            </w:r>
          </w:p>
          <w:p w14:paraId="1EEF5466">
            <w:pPr>
              <w:spacing w:line="360" w:lineRule="auto"/>
              <w:rPr>
                <w:rFonts w:hint="eastAsia" w:ascii="宋体" w:hAnsi="宋体"/>
                <w:szCs w:val="21"/>
              </w:rPr>
            </w:pPr>
            <w:r>
              <w:rPr>
                <w:rFonts w:hint="eastAsia" w:ascii="宋体" w:hAnsi="宋体"/>
                <w:szCs w:val="21"/>
              </w:rPr>
              <w:t>16、开放技术合作平台，可接电刺激、脑电图、ERP、近红外、磁刺激导航机器人等。</w:t>
            </w:r>
          </w:p>
          <w:p w14:paraId="5E858D1E">
            <w:pPr>
              <w:spacing w:line="360" w:lineRule="auto"/>
              <w:rPr>
                <w:rFonts w:hint="eastAsia" w:ascii="宋体" w:hAnsi="宋体"/>
                <w:szCs w:val="21"/>
              </w:rPr>
            </w:pPr>
            <w:r>
              <w:rPr>
                <w:rFonts w:hint="eastAsia" w:ascii="宋体" w:hAnsi="宋体"/>
                <w:szCs w:val="21"/>
              </w:rPr>
              <w:t>17、刺激模式：单脉冲刺激模式、重复刺激模式、序列刺激模式、TBS刺激模式、外部触发模式，斯坦福疗法等可自由切换。</w:t>
            </w:r>
          </w:p>
          <w:p w14:paraId="44839D5A">
            <w:pPr>
              <w:spacing w:line="360" w:lineRule="auto"/>
              <w:rPr>
                <w:rFonts w:hint="eastAsia" w:ascii="宋体" w:hAnsi="宋体"/>
                <w:szCs w:val="21"/>
              </w:rPr>
            </w:pPr>
            <w:r>
              <w:rPr>
                <w:rFonts w:hint="eastAsia" w:ascii="宋体" w:hAnsi="宋体"/>
                <w:szCs w:val="21"/>
              </w:rPr>
              <w:t>18、设备使用年限：≥10年。</w:t>
            </w:r>
          </w:p>
          <w:p w14:paraId="08385D4A">
            <w:pPr>
              <w:pStyle w:val="18"/>
              <w:adjustRightInd w:val="0"/>
              <w:snapToGrid w:val="0"/>
              <w:spacing w:line="360" w:lineRule="auto"/>
              <w:rPr>
                <w:rFonts w:hint="eastAsia" w:hAnsi="宋体"/>
                <w:sz w:val="21"/>
              </w:rPr>
            </w:pPr>
            <w:r>
              <w:rPr>
                <w:rFonts w:hint="eastAsia" w:hAnsi="宋体"/>
                <w:sz w:val="21"/>
              </w:rPr>
              <w:t>四、配置要求：</w:t>
            </w:r>
          </w:p>
          <w:tbl>
            <w:tblPr>
              <w:tblStyle w:val="25"/>
              <w:tblpPr w:leftFromText="180" w:rightFromText="180" w:vertAnchor="text" w:horzAnchor="page" w:tblpXSpec="center" w:tblpY="85"/>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7"/>
              <w:gridCol w:w="2103"/>
              <w:gridCol w:w="1529"/>
            </w:tblGrid>
            <w:tr w14:paraId="4B940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807" w:type="dxa"/>
                  <w:vAlign w:val="center"/>
                </w:tcPr>
                <w:p w14:paraId="755FA051">
                  <w:pPr>
                    <w:spacing w:line="360" w:lineRule="auto"/>
                    <w:jc w:val="center"/>
                    <w:rPr>
                      <w:rFonts w:hint="eastAsia" w:ascii="宋体" w:hAnsi="宋体"/>
                      <w:szCs w:val="21"/>
                    </w:rPr>
                  </w:pPr>
                  <w:r>
                    <w:rPr>
                      <w:rFonts w:hint="eastAsia" w:ascii="宋体" w:hAnsi="宋体"/>
                      <w:szCs w:val="21"/>
                    </w:rPr>
                    <w:t>序号</w:t>
                  </w:r>
                </w:p>
              </w:tc>
              <w:tc>
                <w:tcPr>
                  <w:tcW w:w="2103" w:type="dxa"/>
                  <w:vAlign w:val="center"/>
                </w:tcPr>
                <w:p w14:paraId="70964BB8">
                  <w:pPr>
                    <w:spacing w:line="360" w:lineRule="auto"/>
                    <w:jc w:val="center"/>
                    <w:rPr>
                      <w:rFonts w:hint="eastAsia" w:ascii="宋体" w:hAnsi="宋体"/>
                      <w:szCs w:val="21"/>
                    </w:rPr>
                  </w:pPr>
                  <w:r>
                    <w:rPr>
                      <w:rFonts w:hint="eastAsia" w:ascii="宋体" w:hAnsi="宋体"/>
                      <w:szCs w:val="21"/>
                    </w:rPr>
                    <w:t>名称</w:t>
                  </w:r>
                </w:p>
              </w:tc>
              <w:tc>
                <w:tcPr>
                  <w:tcW w:w="1529" w:type="dxa"/>
                  <w:vAlign w:val="center"/>
                </w:tcPr>
                <w:p w14:paraId="50E3BB44">
                  <w:pPr>
                    <w:spacing w:line="360" w:lineRule="auto"/>
                    <w:jc w:val="center"/>
                    <w:rPr>
                      <w:rFonts w:hint="eastAsia" w:ascii="宋体" w:hAnsi="宋体"/>
                      <w:szCs w:val="21"/>
                    </w:rPr>
                  </w:pPr>
                  <w:r>
                    <w:rPr>
                      <w:rFonts w:hint="eastAsia" w:ascii="宋体" w:hAnsi="宋体"/>
                      <w:szCs w:val="21"/>
                    </w:rPr>
                    <w:t>数量</w:t>
                  </w:r>
                </w:p>
              </w:tc>
            </w:tr>
            <w:tr w14:paraId="6BDF9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807" w:type="dxa"/>
                  <w:vAlign w:val="center"/>
                </w:tcPr>
                <w:p w14:paraId="0A207569">
                  <w:pPr>
                    <w:spacing w:line="360" w:lineRule="auto"/>
                    <w:jc w:val="center"/>
                    <w:rPr>
                      <w:rFonts w:hint="eastAsia" w:ascii="宋体" w:hAnsi="宋体"/>
                      <w:szCs w:val="21"/>
                    </w:rPr>
                  </w:pPr>
                  <w:r>
                    <w:rPr>
                      <w:rFonts w:hint="eastAsia" w:ascii="宋体" w:hAnsi="宋体"/>
                      <w:szCs w:val="21"/>
                    </w:rPr>
                    <w:t>1</w:t>
                  </w:r>
                </w:p>
              </w:tc>
              <w:tc>
                <w:tcPr>
                  <w:tcW w:w="2103" w:type="dxa"/>
                  <w:vAlign w:val="center"/>
                </w:tcPr>
                <w:p w14:paraId="1A44E216">
                  <w:pPr>
                    <w:spacing w:line="360" w:lineRule="auto"/>
                    <w:jc w:val="center"/>
                    <w:rPr>
                      <w:rFonts w:hint="eastAsia" w:ascii="宋体" w:hAnsi="宋体"/>
                      <w:szCs w:val="21"/>
                    </w:rPr>
                  </w:pPr>
                  <w:r>
                    <w:rPr>
                      <w:rFonts w:hint="eastAsia" w:ascii="宋体" w:hAnsi="宋体"/>
                      <w:szCs w:val="21"/>
                    </w:rPr>
                    <w:t>经颅磁主机模块</w:t>
                  </w:r>
                </w:p>
              </w:tc>
              <w:tc>
                <w:tcPr>
                  <w:tcW w:w="1529" w:type="dxa"/>
                  <w:vAlign w:val="center"/>
                </w:tcPr>
                <w:p w14:paraId="5FA22E85">
                  <w:pPr>
                    <w:spacing w:line="360" w:lineRule="auto"/>
                    <w:jc w:val="center"/>
                    <w:rPr>
                      <w:rFonts w:hint="eastAsia" w:ascii="宋体" w:hAnsi="宋体"/>
                      <w:szCs w:val="21"/>
                    </w:rPr>
                  </w:pPr>
                  <w:r>
                    <w:rPr>
                      <w:rFonts w:hint="eastAsia" w:ascii="宋体" w:hAnsi="宋体"/>
                      <w:szCs w:val="21"/>
                    </w:rPr>
                    <w:t>1个</w:t>
                  </w:r>
                </w:p>
              </w:tc>
            </w:tr>
            <w:tr w14:paraId="0D80C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807" w:type="dxa"/>
                  <w:vAlign w:val="center"/>
                </w:tcPr>
                <w:p w14:paraId="7CBA5F5E">
                  <w:pPr>
                    <w:spacing w:line="360" w:lineRule="auto"/>
                    <w:jc w:val="center"/>
                    <w:rPr>
                      <w:rFonts w:hint="eastAsia" w:ascii="宋体" w:hAnsi="宋体"/>
                      <w:szCs w:val="21"/>
                    </w:rPr>
                  </w:pPr>
                  <w:r>
                    <w:rPr>
                      <w:rFonts w:hint="eastAsia" w:ascii="宋体" w:hAnsi="宋体"/>
                      <w:szCs w:val="21"/>
                    </w:rPr>
                    <w:t>2</w:t>
                  </w:r>
                </w:p>
              </w:tc>
              <w:tc>
                <w:tcPr>
                  <w:tcW w:w="2103" w:type="dxa"/>
                  <w:vAlign w:val="center"/>
                </w:tcPr>
                <w:p w14:paraId="14E98413">
                  <w:pPr>
                    <w:spacing w:line="360" w:lineRule="auto"/>
                    <w:jc w:val="center"/>
                    <w:rPr>
                      <w:rFonts w:hint="eastAsia" w:ascii="宋体" w:hAnsi="宋体"/>
                      <w:szCs w:val="21"/>
                    </w:rPr>
                  </w:pPr>
                  <w:r>
                    <w:rPr>
                      <w:rFonts w:hint="eastAsia" w:ascii="宋体" w:hAnsi="宋体"/>
                      <w:szCs w:val="21"/>
                    </w:rPr>
                    <w:t>经颅磁液冷机模块</w:t>
                  </w:r>
                </w:p>
              </w:tc>
              <w:tc>
                <w:tcPr>
                  <w:tcW w:w="1529" w:type="dxa"/>
                  <w:vAlign w:val="center"/>
                </w:tcPr>
                <w:p w14:paraId="5D7C882B">
                  <w:pPr>
                    <w:spacing w:line="360" w:lineRule="auto"/>
                    <w:jc w:val="center"/>
                    <w:rPr>
                      <w:rFonts w:hint="eastAsia" w:ascii="宋体" w:hAnsi="宋体"/>
                      <w:szCs w:val="21"/>
                    </w:rPr>
                  </w:pPr>
                  <w:r>
                    <w:rPr>
                      <w:rFonts w:hint="eastAsia" w:ascii="宋体" w:hAnsi="宋体"/>
                      <w:szCs w:val="21"/>
                    </w:rPr>
                    <w:t>1个</w:t>
                  </w:r>
                </w:p>
              </w:tc>
            </w:tr>
            <w:tr w14:paraId="245F3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807" w:type="dxa"/>
                  <w:vAlign w:val="center"/>
                </w:tcPr>
                <w:p w14:paraId="2156FAAA">
                  <w:pPr>
                    <w:spacing w:line="360" w:lineRule="auto"/>
                    <w:jc w:val="center"/>
                    <w:rPr>
                      <w:rFonts w:hint="eastAsia" w:ascii="宋体" w:hAnsi="宋体"/>
                      <w:szCs w:val="21"/>
                    </w:rPr>
                  </w:pPr>
                  <w:r>
                    <w:rPr>
                      <w:rFonts w:hint="eastAsia" w:ascii="宋体" w:hAnsi="宋体"/>
                      <w:szCs w:val="21"/>
                    </w:rPr>
                    <w:t>3</w:t>
                  </w:r>
                </w:p>
              </w:tc>
              <w:tc>
                <w:tcPr>
                  <w:tcW w:w="2103" w:type="dxa"/>
                  <w:vAlign w:val="center"/>
                </w:tcPr>
                <w:p w14:paraId="20DB1A96">
                  <w:pPr>
                    <w:spacing w:line="360" w:lineRule="auto"/>
                    <w:jc w:val="center"/>
                    <w:rPr>
                      <w:rFonts w:hint="eastAsia" w:ascii="宋体" w:hAnsi="宋体"/>
                      <w:szCs w:val="21"/>
                    </w:rPr>
                  </w:pPr>
                  <w:r>
                    <w:rPr>
                      <w:rFonts w:hint="eastAsia" w:ascii="宋体" w:hAnsi="宋体"/>
                      <w:szCs w:val="21"/>
                    </w:rPr>
                    <w:t>刺激线圈</w:t>
                  </w:r>
                </w:p>
              </w:tc>
              <w:tc>
                <w:tcPr>
                  <w:tcW w:w="1529" w:type="dxa"/>
                  <w:vAlign w:val="center"/>
                </w:tcPr>
                <w:p w14:paraId="1097A345">
                  <w:pPr>
                    <w:spacing w:line="360" w:lineRule="auto"/>
                    <w:jc w:val="center"/>
                    <w:rPr>
                      <w:rFonts w:hint="eastAsia" w:ascii="宋体" w:hAnsi="宋体"/>
                      <w:szCs w:val="21"/>
                    </w:rPr>
                  </w:pPr>
                  <w:r>
                    <w:rPr>
                      <w:rFonts w:hint="eastAsia" w:ascii="宋体" w:hAnsi="宋体"/>
                      <w:szCs w:val="21"/>
                    </w:rPr>
                    <w:t>1个</w:t>
                  </w:r>
                </w:p>
              </w:tc>
            </w:tr>
            <w:tr w14:paraId="3758A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807" w:type="dxa"/>
                  <w:vAlign w:val="center"/>
                </w:tcPr>
                <w:p w14:paraId="741D71C7">
                  <w:pPr>
                    <w:spacing w:line="360" w:lineRule="auto"/>
                    <w:jc w:val="center"/>
                    <w:rPr>
                      <w:rFonts w:hint="eastAsia" w:ascii="宋体" w:hAnsi="宋体"/>
                      <w:szCs w:val="21"/>
                    </w:rPr>
                  </w:pPr>
                  <w:r>
                    <w:rPr>
                      <w:rFonts w:hint="eastAsia" w:ascii="宋体" w:hAnsi="宋体"/>
                      <w:szCs w:val="21"/>
                    </w:rPr>
                    <w:t>4</w:t>
                  </w:r>
                </w:p>
              </w:tc>
              <w:tc>
                <w:tcPr>
                  <w:tcW w:w="2103" w:type="dxa"/>
                  <w:vAlign w:val="center"/>
                </w:tcPr>
                <w:p w14:paraId="28A2E45E">
                  <w:pPr>
                    <w:spacing w:line="360" w:lineRule="auto"/>
                    <w:jc w:val="center"/>
                    <w:rPr>
                      <w:rFonts w:hint="eastAsia" w:ascii="宋体" w:hAnsi="宋体"/>
                      <w:szCs w:val="21"/>
                    </w:rPr>
                  </w:pPr>
                  <w:r>
                    <w:rPr>
                      <w:rFonts w:hint="eastAsia" w:ascii="宋体" w:hAnsi="宋体"/>
                      <w:szCs w:val="21"/>
                    </w:rPr>
                    <w:t>线圈支臂</w:t>
                  </w:r>
                </w:p>
              </w:tc>
              <w:tc>
                <w:tcPr>
                  <w:tcW w:w="1529" w:type="dxa"/>
                  <w:vAlign w:val="center"/>
                </w:tcPr>
                <w:p w14:paraId="0C1FB468">
                  <w:pPr>
                    <w:spacing w:line="360" w:lineRule="auto"/>
                    <w:jc w:val="center"/>
                    <w:rPr>
                      <w:rFonts w:hint="eastAsia" w:ascii="宋体" w:hAnsi="宋体"/>
                      <w:szCs w:val="21"/>
                    </w:rPr>
                  </w:pPr>
                  <w:r>
                    <w:rPr>
                      <w:rFonts w:hint="eastAsia" w:ascii="宋体" w:hAnsi="宋体"/>
                      <w:szCs w:val="21"/>
                    </w:rPr>
                    <w:t>1个</w:t>
                  </w:r>
                </w:p>
              </w:tc>
            </w:tr>
            <w:tr w14:paraId="0A91D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807" w:type="dxa"/>
                  <w:vAlign w:val="center"/>
                </w:tcPr>
                <w:p w14:paraId="60042E42">
                  <w:pPr>
                    <w:spacing w:line="360" w:lineRule="auto"/>
                    <w:jc w:val="center"/>
                    <w:rPr>
                      <w:rFonts w:hint="eastAsia" w:ascii="宋体" w:hAnsi="宋体"/>
                      <w:szCs w:val="21"/>
                    </w:rPr>
                  </w:pPr>
                  <w:r>
                    <w:rPr>
                      <w:rFonts w:hint="eastAsia" w:ascii="宋体" w:hAnsi="宋体"/>
                      <w:szCs w:val="21"/>
                    </w:rPr>
                    <w:t>5</w:t>
                  </w:r>
                </w:p>
              </w:tc>
              <w:tc>
                <w:tcPr>
                  <w:tcW w:w="2103" w:type="dxa"/>
                  <w:vAlign w:val="center"/>
                </w:tcPr>
                <w:p w14:paraId="1B6F8D5E">
                  <w:pPr>
                    <w:spacing w:line="360" w:lineRule="auto"/>
                    <w:jc w:val="center"/>
                    <w:rPr>
                      <w:rFonts w:hint="eastAsia" w:ascii="宋体" w:hAnsi="宋体"/>
                      <w:szCs w:val="21"/>
                    </w:rPr>
                  </w:pPr>
                  <w:r>
                    <w:rPr>
                      <w:rFonts w:hint="eastAsia" w:ascii="宋体" w:hAnsi="宋体"/>
                      <w:szCs w:val="21"/>
                    </w:rPr>
                    <w:t>运动诱发模块</w:t>
                  </w:r>
                </w:p>
              </w:tc>
              <w:tc>
                <w:tcPr>
                  <w:tcW w:w="1529" w:type="dxa"/>
                  <w:vAlign w:val="center"/>
                </w:tcPr>
                <w:p w14:paraId="218F1E80">
                  <w:pPr>
                    <w:spacing w:line="360" w:lineRule="auto"/>
                    <w:jc w:val="center"/>
                    <w:rPr>
                      <w:rFonts w:hint="eastAsia" w:ascii="宋体" w:hAnsi="宋体"/>
                      <w:szCs w:val="21"/>
                    </w:rPr>
                  </w:pPr>
                  <w:r>
                    <w:rPr>
                      <w:rFonts w:hint="eastAsia" w:ascii="宋体" w:hAnsi="宋体"/>
                      <w:szCs w:val="21"/>
                    </w:rPr>
                    <w:t>1个</w:t>
                  </w:r>
                </w:p>
              </w:tc>
            </w:tr>
            <w:tr w14:paraId="12081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807" w:type="dxa"/>
                  <w:vAlign w:val="center"/>
                </w:tcPr>
                <w:p w14:paraId="17BF9BD4">
                  <w:pPr>
                    <w:spacing w:line="360" w:lineRule="auto"/>
                    <w:jc w:val="center"/>
                    <w:rPr>
                      <w:rFonts w:hint="eastAsia" w:ascii="宋体" w:hAnsi="宋体"/>
                      <w:szCs w:val="21"/>
                    </w:rPr>
                  </w:pPr>
                  <w:r>
                    <w:rPr>
                      <w:rFonts w:hint="eastAsia" w:ascii="宋体" w:hAnsi="宋体"/>
                      <w:szCs w:val="21"/>
                    </w:rPr>
                    <w:t>6</w:t>
                  </w:r>
                </w:p>
              </w:tc>
              <w:tc>
                <w:tcPr>
                  <w:tcW w:w="2103" w:type="dxa"/>
                  <w:vAlign w:val="center"/>
                </w:tcPr>
                <w:p w14:paraId="2CC9D428">
                  <w:pPr>
                    <w:spacing w:line="360" w:lineRule="auto"/>
                    <w:jc w:val="center"/>
                    <w:rPr>
                      <w:rFonts w:hint="eastAsia" w:ascii="宋体" w:hAnsi="宋体"/>
                      <w:szCs w:val="21"/>
                    </w:rPr>
                  </w:pPr>
                  <w:r>
                    <w:rPr>
                      <w:rFonts w:hint="eastAsia" w:ascii="宋体" w:hAnsi="宋体"/>
                      <w:szCs w:val="21"/>
                    </w:rPr>
                    <w:t>脚踏开关</w:t>
                  </w:r>
                </w:p>
              </w:tc>
              <w:tc>
                <w:tcPr>
                  <w:tcW w:w="1529" w:type="dxa"/>
                  <w:vAlign w:val="center"/>
                </w:tcPr>
                <w:p w14:paraId="55DCC897">
                  <w:pPr>
                    <w:spacing w:line="360" w:lineRule="auto"/>
                    <w:jc w:val="center"/>
                    <w:rPr>
                      <w:rFonts w:hint="eastAsia" w:ascii="宋体" w:hAnsi="宋体"/>
                      <w:szCs w:val="21"/>
                    </w:rPr>
                  </w:pPr>
                  <w:r>
                    <w:rPr>
                      <w:rFonts w:hint="eastAsia" w:ascii="宋体" w:hAnsi="宋体"/>
                      <w:szCs w:val="21"/>
                    </w:rPr>
                    <w:t>1个</w:t>
                  </w:r>
                </w:p>
              </w:tc>
            </w:tr>
            <w:tr w14:paraId="4AC6B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807" w:type="dxa"/>
                  <w:vAlign w:val="center"/>
                </w:tcPr>
                <w:p w14:paraId="5C338354">
                  <w:pPr>
                    <w:spacing w:line="360" w:lineRule="auto"/>
                    <w:jc w:val="center"/>
                    <w:rPr>
                      <w:rFonts w:hint="eastAsia" w:ascii="宋体" w:hAnsi="宋体"/>
                      <w:szCs w:val="21"/>
                    </w:rPr>
                  </w:pPr>
                  <w:r>
                    <w:rPr>
                      <w:rFonts w:hint="eastAsia" w:ascii="宋体" w:hAnsi="宋体"/>
                      <w:szCs w:val="21"/>
                    </w:rPr>
                    <w:t>7</w:t>
                  </w:r>
                </w:p>
              </w:tc>
              <w:tc>
                <w:tcPr>
                  <w:tcW w:w="2103" w:type="dxa"/>
                  <w:vAlign w:val="center"/>
                </w:tcPr>
                <w:p w14:paraId="3F420BED">
                  <w:pPr>
                    <w:spacing w:line="360" w:lineRule="auto"/>
                    <w:jc w:val="center"/>
                    <w:rPr>
                      <w:rFonts w:hint="eastAsia" w:ascii="宋体" w:hAnsi="宋体"/>
                      <w:szCs w:val="21"/>
                    </w:rPr>
                  </w:pPr>
                  <w:r>
                    <w:rPr>
                      <w:rFonts w:hint="eastAsia" w:ascii="宋体" w:hAnsi="宋体"/>
                      <w:szCs w:val="21"/>
                    </w:rPr>
                    <w:t>电脑</w:t>
                  </w:r>
                </w:p>
              </w:tc>
              <w:tc>
                <w:tcPr>
                  <w:tcW w:w="1529" w:type="dxa"/>
                  <w:vAlign w:val="center"/>
                </w:tcPr>
                <w:p w14:paraId="63D057D7">
                  <w:pPr>
                    <w:spacing w:line="360" w:lineRule="auto"/>
                    <w:jc w:val="center"/>
                    <w:rPr>
                      <w:rFonts w:hint="eastAsia" w:ascii="宋体" w:hAnsi="宋体"/>
                      <w:szCs w:val="21"/>
                    </w:rPr>
                  </w:pPr>
                  <w:r>
                    <w:rPr>
                      <w:rFonts w:hint="eastAsia" w:ascii="宋体" w:hAnsi="宋体"/>
                      <w:szCs w:val="21"/>
                    </w:rPr>
                    <w:t>1套</w:t>
                  </w:r>
                </w:p>
              </w:tc>
            </w:tr>
            <w:tr w14:paraId="29787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807" w:type="dxa"/>
                  <w:vAlign w:val="center"/>
                </w:tcPr>
                <w:p w14:paraId="456694BF">
                  <w:pPr>
                    <w:spacing w:line="360" w:lineRule="auto"/>
                    <w:jc w:val="center"/>
                    <w:rPr>
                      <w:rFonts w:hint="eastAsia" w:ascii="宋体" w:hAnsi="宋体"/>
                      <w:szCs w:val="21"/>
                    </w:rPr>
                  </w:pPr>
                  <w:r>
                    <w:rPr>
                      <w:rFonts w:hint="eastAsia" w:ascii="宋体" w:hAnsi="宋体"/>
                      <w:szCs w:val="21"/>
                    </w:rPr>
                    <w:t>8</w:t>
                  </w:r>
                </w:p>
              </w:tc>
              <w:tc>
                <w:tcPr>
                  <w:tcW w:w="2103" w:type="dxa"/>
                  <w:vAlign w:val="center"/>
                </w:tcPr>
                <w:p w14:paraId="0B653E81">
                  <w:pPr>
                    <w:spacing w:line="360" w:lineRule="auto"/>
                    <w:jc w:val="center"/>
                    <w:rPr>
                      <w:rFonts w:hint="eastAsia" w:ascii="宋体" w:hAnsi="宋体"/>
                      <w:szCs w:val="21"/>
                    </w:rPr>
                  </w:pPr>
                  <w:r>
                    <w:rPr>
                      <w:rFonts w:hint="eastAsia" w:ascii="宋体" w:hAnsi="宋体"/>
                      <w:szCs w:val="21"/>
                    </w:rPr>
                    <w:t>经颅磁定位帽</w:t>
                  </w:r>
                </w:p>
              </w:tc>
              <w:tc>
                <w:tcPr>
                  <w:tcW w:w="1529" w:type="dxa"/>
                  <w:vAlign w:val="center"/>
                </w:tcPr>
                <w:p w14:paraId="461B898B">
                  <w:pPr>
                    <w:spacing w:line="360" w:lineRule="auto"/>
                    <w:jc w:val="center"/>
                    <w:rPr>
                      <w:rFonts w:hint="eastAsia" w:ascii="宋体" w:hAnsi="宋体"/>
                      <w:szCs w:val="21"/>
                    </w:rPr>
                  </w:pPr>
                  <w:r>
                    <w:rPr>
                      <w:rFonts w:hint="eastAsia" w:ascii="宋体" w:hAnsi="宋体"/>
                      <w:szCs w:val="21"/>
                    </w:rPr>
                    <w:t>5顶</w:t>
                  </w:r>
                </w:p>
              </w:tc>
            </w:tr>
            <w:tr w14:paraId="3DF7E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807" w:type="dxa"/>
                  <w:vAlign w:val="center"/>
                </w:tcPr>
                <w:p w14:paraId="0DDC112F">
                  <w:pPr>
                    <w:spacing w:line="360" w:lineRule="auto"/>
                    <w:jc w:val="center"/>
                    <w:rPr>
                      <w:rFonts w:hint="eastAsia" w:ascii="宋体" w:hAnsi="宋体"/>
                      <w:szCs w:val="21"/>
                    </w:rPr>
                  </w:pPr>
                  <w:r>
                    <w:rPr>
                      <w:rFonts w:hint="eastAsia" w:ascii="宋体" w:hAnsi="宋体"/>
                      <w:szCs w:val="21"/>
                    </w:rPr>
                    <w:t>9</w:t>
                  </w:r>
                </w:p>
              </w:tc>
              <w:tc>
                <w:tcPr>
                  <w:tcW w:w="2103" w:type="dxa"/>
                  <w:vAlign w:val="center"/>
                </w:tcPr>
                <w:p w14:paraId="4E8BEE52">
                  <w:pPr>
                    <w:spacing w:line="360" w:lineRule="auto"/>
                    <w:jc w:val="center"/>
                    <w:rPr>
                      <w:rFonts w:hint="eastAsia" w:ascii="宋体" w:hAnsi="宋体"/>
                      <w:szCs w:val="21"/>
                    </w:rPr>
                  </w:pPr>
                  <w:r>
                    <w:rPr>
                      <w:rFonts w:hint="eastAsia" w:ascii="宋体" w:hAnsi="宋体"/>
                      <w:szCs w:val="21"/>
                    </w:rPr>
                    <w:t>体表（肌电）电极</w:t>
                  </w:r>
                </w:p>
              </w:tc>
              <w:tc>
                <w:tcPr>
                  <w:tcW w:w="1529" w:type="dxa"/>
                  <w:vAlign w:val="center"/>
                </w:tcPr>
                <w:p w14:paraId="6942AD1B">
                  <w:pPr>
                    <w:spacing w:line="360" w:lineRule="auto"/>
                    <w:jc w:val="center"/>
                    <w:rPr>
                      <w:rFonts w:hint="eastAsia" w:ascii="宋体" w:hAnsi="宋体"/>
                      <w:szCs w:val="21"/>
                    </w:rPr>
                  </w:pPr>
                  <w:r>
                    <w:rPr>
                      <w:rFonts w:hint="eastAsia" w:ascii="宋体" w:hAnsi="宋体"/>
                      <w:szCs w:val="21"/>
                    </w:rPr>
                    <w:t>20片</w:t>
                  </w:r>
                </w:p>
              </w:tc>
            </w:tr>
            <w:tr w14:paraId="0D205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807" w:type="dxa"/>
                  <w:vAlign w:val="center"/>
                </w:tcPr>
                <w:p w14:paraId="6A2D94DB">
                  <w:pPr>
                    <w:spacing w:line="360" w:lineRule="auto"/>
                    <w:jc w:val="center"/>
                    <w:rPr>
                      <w:rFonts w:hint="eastAsia" w:ascii="宋体" w:hAnsi="宋体"/>
                      <w:szCs w:val="21"/>
                    </w:rPr>
                  </w:pPr>
                  <w:r>
                    <w:rPr>
                      <w:rFonts w:hint="eastAsia" w:ascii="宋体" w:hAnsi="宋体"/>
                      <w:szCs w:val="21"/>
                    </w:rPr>
                    <w:t>10</w:t>
                  </w:r>
                </w:p>
              </w:tc>
              <w:tc>
                <w:tcPr>
                  <w:tcW w:w="2103" w:type="dxa"/>
                  <w:vAlign w:val="center"/>
                </w:tcPr>
                <w:p w14:paraId="71B47876">
                  <w:pPr>
                    <w:spacing w:line="360" w:lineRule="auto"/>
                    <w:jc w:val="center"/>
                    <w:rPr>
                      <w:rFonts w:hint="eastAsia" w:ascii="宋体" w:hAnsi="宋体"/>
                      <w:szCs w:val="21"/>
                    </w:rPr>
                  </w:pPr>
                  <w:r>
                    <w:rPr>
                      <w:rFonts w:hint="eastAsia" w:ascii="宋体" w:hAnsi="宋体"/>
                      <w:szCs w:val="21"/>
                    </w:rPr>
                    <w:t>软件系统</w:t>
                  </w:r>
                </w:p>
              </w:tc>
              <w:tc>
                <w:tcPr>
                  <w:tcW w:w="1529" w:type="dxa"/>
                  <w:vAlign w:val="center"/>
                </w:tcPr>
                <w:p w14:paraId="337E3E14">
                  <w:pPr>
                    <w:spacing w:line="360" w:lineRule="auto"/>
                    <w:jc w:val="center"/>
                    <w:rPr>
                      <w:rFonts w:hint="eastAsia" w:ascii="宋体" w:hAnsi="宋体"/>
                      <w:szCs w:val="21"/>
                    </w:rPr>
                  </w:pPr>
                  <w:r>
                    <w:rPr>
                      <w:rFonts w:hint="eastAsia" w:ascii="宋体" w:hAnsi="宋体"/>
                      <w:szCs w:val="21"/>
                    </w:rPr>
                    <w:t>1套</w:t>
                  </w:r>
                </w:p>
              </w:tc>
            </w:tr>
            <w:tr w14:paraId="3C627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807" w:type="dxa"/>
                  <w:vAlign w:val="center"/>
                </w:tcPr>
                <w:p w14:paraId="2DE1E100">
                  <w:pPr>
                    <w:spacing w:line="360" w:lineRule="auto"/>
                    <w:jc w:val="center"/>
                    <w:rPr>
                      <w:rFonts w:hint="eastAsia" w:ascii="宋体" w:hAnsi="宋体"/>
                      <w:szCs w:val="21"/>
                    </w:rPr>
                  </w:pPr>
                  <w:r>
                    <w:rPr>
                      <w:rFonts w:hint="eastAsia" w:ascii="宋体" w:hAnsi="宋体"/>
                      <w:szCs w:val="21"/>
                    </w:rPr>
                    <w:t>11</w:t>
                  </w:r>
                </w:p>
              </w:tc>
              <w:tc>
                <w:tcPr>
                  <w:tcW w:w="2103" w:type="dxa"/>
                  <w:vAlign w:val="center"/>
                </w:tcPr>
                <w:p w14:paraId="4D818083">
                  <w:pPr>
                    <w:spacing w:line="360" w:lineRule="auto"/>
                    <w:jc w:val="center"/>
                    <w:rPr>
                      <w:rFonts w:hint="eastAsia" w:ascii="宋体" w:hAnsi="宋体"/>
                      <w:szCs w:val="21"/>
                    </w:rPr>
                  </w:pPr>
                  <w:r>
                    <w:rPr>
                      <w:rFonts w:hint="eastAsia" w:ascii="宋体" w:hAnsi="宋体"/>
                      <w:szCs w:val="21"/>
                    </w:rPr>
                    <w:t>键盘鼠标套装</w:t>
                  </w:r>
                </w:p>
              </w:tc>
              <w:tc>
                <w:tcPr>
                  <w:tcW w:w="1529" w:type="dxa"/>
                  <w:vAlign w:val="center"/>
                </w:tcPr>
                <w:p w14:paraId="7C2BEE50">
                  <w:pPr>
                    <w:spacing w:line="360" w:lineRule="auto"/>
                    <w:jc w:val="center"/>
                    <w:rPr>
                      <w:rFonts w:hint="eastAsia" w:ascii="宋体" w:hAnsi="宋体"/>
                      <w:szCs w:val="21"/>
                    </w:rPr>
                  </w:pPr>
                  <w:r>
                    <w:rPr>
                      <w:rFonts w:hint="eastAsia" w:ascii="宋体" w:hAnsi="宋体"/>
                      <w:szCs w:val="21"/>
                    </w:rPr>
                    <w:t>1套</w:t>
                  </w:r>
                </w:p>
              </w:tc>
            </w:tr>
            <w:tr w14:paraId="76E11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807" w:type="dxa"/>
                  <w:vAlign w:val="center"/>
                </w:tcPr>
                <w:p w14:paraId="27ECC974">
                  <w:pPr>
                    <w:spacing w:line="360" w:lineRule="auto"/>
                    <w:jc w:val="center"/>
                    <w:rPr>
                      <w:rFonts w:hint="eastAsia" w:ascii="宋体" w:hAnsi="宋体"/>
                      <w:szCs w:val="21"/>
                    </w:rPr>
                  </w:pPr>
                  <w:r>
                    <w:rPr>
                      <w:rFonts w:hint="eastAsia" w:ascii="宋体" w:hAnsi="宋体"/>
                      <w:szCs w:val="21"/>
                    </w:rPr>
                    <w:t>12</w:t>
                  </w:r>
                </w:p>
              </w:tc>
              <w:tc>
                <w:tcPr>
                  <w:tcW w:w="2103" w:type="dxa"/>
                  <w:vAlign w:val="center"/>
                </w:tcPr>
                <w:p w14:paraId="41F92123">
                  <w:pPr>
                    <w:spacing w:line="360" w:lineRule="auto"/>
                    <w:jc w:val="center"/>
                    <w:rPr>
                      <w:rFonts w:hint="eastAsia" w:ascii="宋体" w:hAnsi="宋体"/>
                      <w:szCs w:val="21"/>
                    </w:rPr>
                  </w:pPr>
                  <w:r>
                    <w:rPr>
                      <w:rFonts w:hint="eastAsia" w:ascii="宋体" w:hAnsi="宋体"/>
                      <w:szCs w:val="21"/>
                    </w:rPr>
                    <w:t>台车</w:t>
                  </w:r>
                </w:p>
              </w:tc>
              <w:tc>
                <w:tcPr>
                  <w:tcW w:w="1529" w:type="dxa"/>
                  <w:vAlign w:val="center"/>
                </w:tcPr>
                <w:p w14:paraId="0D7905D3">
                  <w:pPr>
                    <w:spacing w:line="360" w:lineRule="auto"/>
                    <w:jc w:val="center"/>
                    <w:rPr>
                      <w:rFonts w:hint="eastAsia" w:ascii="宋体" w:hAnsi="宋体"/>
                      <w:szCs w:val="21"/>
                    </w:rPr>
                  </w:pPr>
                  <w:r>
                    <w:rPr>
                      <w:rFonts w:hint="eastAsia" w:ascii="宋体" w:hAnsi="宋体"/>
                      <w:szCs w:val="21"/>
                    </w:rPr>
                    <w:t>1个</w:t>
                  </w:r>
                </w:p>
              </w:tc>
            </w:tr>
          </w:tbl>
          <w:p w14:paraId="33FF7254">
            <w:pPr>
              <w:pStyle w:val="18"/>
              <w:adjustRightInd w:val="0"/>
              <w:snapToGrid w:val="0"/>
              <w:spacing w:line="360" w:lineRule="auto"/>
              <w:rPr>
                <w:rFonts w:hint="eastAsia" w:hAnsi="宋体"/>
                <w:sz w:val="21"/>
              </w:rPr>
            </w:pPr>
          </w:p>
        </w:tc>
        <w:tc>
          <w:tcPr>
            <w:tcW w:w="1237" w:type="dxa"/>
            <w:tcBorders>
              <w:top w:val="single" w:color="auto" w:sz="4" w:space="0"/>
              <w:left w:val="single" w:color="auto" w:sz="4" w:space="0"/>
              <w:bottom w:val="single" w:color="auto" w:sz="4" w:space="0"/>
              <w:right w:val="single" w:color="auto" w:sz="4" w:space="0"/>
            </w:tcBorders>
            <w:vAlign w:val="center"/>
          </w:tcPr>
          <w:p w14:paraId="69D1CCDE">
            <w:pPr>
              <w:pStyle w:val="18"/>
              <w:adjustRightInd w:val="0"/>
              <w:snapToGrid w:val="0"/>
              <w:spacing w:line="360" w:lineRule="auto"/>
              <w:rPr>
                <w:rFonts w:hint="eastAsia" w:hAnsi="宋体"/>
                <w:sz w:val="21"/>
              </w:rPr>
            </w:pPr>
            <w:r>
              <w:rPr>
                <w:rFonts w:hint="eastAsia" w:hAnsi="宋体"/>
                <w:sz w:val="21"/>
              </w:rPr>
              <w:t>260000.00</w:t>
            </w:r>
          </w:p>
        </w:tc>
      </w:tr>
      <w:tr w14:paraId="4CF7D4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95" w:hRule="atLeast"/>
          <w:jc w:val="center"/>
        </w:trPr>
        <w:tc>
          <w:tcPr>
            <w:tcW w:w="744"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0130B902">
            <w:pPr>
              <w:numPr>
                <w:ins w:id="4" w:author="。" w:date=""/>
              </w:numPr>
              <w:spacing w:line="312" w:lineRule="auto"/>
              <w:jc w:val="center"/>
              <w:rPr>
                <w:rFonts w:hint="eastAsia" w:ascii="宋体" w:hAnsi="宋体" w:cs="宋体"/>
                <w:szCs w:val="21"/>
              </w:rPr>
            </w:pPr>
            <w:r>
              <w:rPr>
                <w:rFonts w:hint="eastAsia" w:ascii="宋体" w:hAnsi="宋体" w:cs="宋体"/>
                <w:szCs w:val="21"/>
              </w:rPr>
              <w:t>3</w:t>
            </w:r>
          </w:p>
        </w:tc>
        <w:tc>
          <w:tcPr>
            <w:tcW w:w="1196" w:type="dxa"/>
            <w:gridSpan w:val="2"/>
            <w:tcBorders>
              <w:top w:val="single" w:color="auto" w:sz="4" w:space="0"/>
              <w:left w:val="single" w:color="auto" w:sz="4" w:space="0"/>
              <w:bottom w:val="single" w:color="auto" w:sz="4" w:space="0"/>
              <w:right w:val="single" w:color="auto" w:sz="4" w:space="0"/>
            </w:tcBorders>
            <w:vAlign w:val="center"/>
          </w:tcPr>
          <w:p w14:paraId="453632E1">
            <w:pPr>
              <w:spacing w:line="312" w:lineRule="auto"/>
              <w:jc w:val="center"/>
              <w:rPr>
                <w:rFonts w:hint="eastAsia" w:ascii="宋体" w:hAnsi="宋体" w:cs="宋体"/>
                <w:szCs w:val="21"/>
              </w:rPr>
            </w:pPr>
            <w:r>
              <w:rPr>
                <w:rFonts w:ascii="宋体" w:hAnsi="宋体" w:cs="宋体"/>
                <w:szCs w:val="21"/>
              </w:rPr>
              <w:t>脑电图机</w:t>
            </w:r>
          </w:p>
        </w:tc>
        <w:tc>
          <w:tcPr>
            <w:tcW w:w="895" w:type="dxa"/>
            <w:tcBorders>
              <w:top w:val="single" w:color="auto" w:sz="4" w:space="0"/>
              <w:left w:val="single" w:color="auto" w:sz="4" w:space="0"/>
              <w:bottom w:val="single" w:color="auto" w:sz="4" w:space="0"/>
              <w:right w:val="single" w:color="auto" w:sz="4" w:space="0"/>
            </w:tcBorders>
            <w:vAlign w:val="center"/>
          </w:tcPr>
          <w:p w14:paraId="4B4AC193">
            <w:pPr>
              <w:numPr>
                <w:ins w:id="5" w:author="。" w:date=""/>
              </w:numPr>
              <w:spacing w:line="312" w:lineRule="auto"/>
              <w:jc w:val="center"/>
              <w:rPr>
                <w:rFonts w:hint="eastAsia" w:ascii="宋体" w:hAnsi="宋体" w:cs="宋体"/>
                <w:szCs w:val="21"/>
              </w:rPr>
            </w:pPr>
            <w:r>
              <w:rPr>
                <w:rFonts w:hint="eastAsia" w:ascii="宋体" w:hAnsi="宋体" w:cs="宋体"/>
                <w:szCs w:val="21"/>
              </w:rPr>
              <w:t>1套</w:t>
            </w:r>
          </w:p>
        </w:tc>
        <w:tc>
          <w:tcPr>
            <w:tcW w:w="5734" w:type="dxa"/>
            <w:tcBorders>
              <w:top w:val="single" w:color="auto" w:sz="4" w:space="0"/>
              <w:left w:val="single" w:color="auto" w:sz="4" w:space="0"/>
              <w:bottom w:val="single" w:color="auto" w:sz="4" w:space="0"/>
              <w:right w:val="single" w:color="auto" w:sz="4" w:space="0"/>
            </w:tcBorders>
            <w:vAlign w:val="center"/>
          </w:tcPr>
          <w:p w14:paraId="0DF0EF8F">
            <w:pPr>
              <w:rPr>
                <w:b/>
                <w:bCs/>
              </w:rPr>
            </w:pPr>
            <w:r>
              <w:rPr>
                <w:rFonts w:hint="eastAsia"/>
                <w:b/>
                <w:bCs/>
              </w:rPr>
              <w:t>1、基本参数</w:t>
            </w:r>
          </w:p>
          <w:p w14:paraId="6F22FB8A">
            <w:r>
              <w:rPr>
                <w:rFonts w:hint="eastAsia"/>
              </w:rPr>
              <w:t>温度范围</w:t>
            </w:r>
          </w:p>
          <w:p w14:paraId="2C18DEFC">
            <w:pPr>
              <w:spacing w:line="288" w:lineRule="auto"/>
              <w:ind w:firstLine="210" w:firstLineChars="100"/>
              <w:rPr>
                <w:rFonts w:hint="eastAsia" w:ascii="宋体" w:hAnsi="宋体" w:cs="宋体"/>
                <w:szCs w:val="21"/>
              </w:rPr>
            </w:pPr>
            <w:r>
              <w:rPr>
                <w:rFonts w:hint="eastAsia" w:ascii="宋体" w:hAnsi="宋体" w:cs="宋体"/>
                <w:szCs w:val="21"/>
              </w:rPr>
              <w:t>工作温度：+5°C ～ +40°C (41 ～ 104°F)</w:t>
            </w:r>
          </w:p>
          <w:p w14:paraId="512F3B25">
            <w:pPr>
              <w:spacing w:line="288" w:lineRule="auto"/>
              <w:ind w:firstLine="210" w:firstLineChars="100"/>
              <w:rPr>
                <w:rFonts w:hint="eastAsia" w:ascii="宋体" w:hAnsi="宋体" w:cs="宋体"/>
                <w:szCs w:val="21"/>
              </w:rPr>
            </w:pPr>
            <w:r>
              <w:rPr>
                <w:rFonts w:hint="eastAsia" w:ascii="宋体" w:hAnsi="宋体" w:cs="宋体"/>
                <w:szCs w:val="21"/>
              </w:rPr>
              <w:t>运输存储温度：-40°C ～ +70°C (-40 ～ 158°F)</w:t>
            </w:r>
          </w:p>
          <w:p w14:paraId="1BFCCCDD">
            <w:pPr>
              <w:rPr>
                <w:rFonts w:hint="eastAsia" w:ascii="宋体" w:hAnsi="宋体" w:cs="宋体"/>
                <w:szCs w:val="21"/>
              </w:rPr>
            </w:pPr>
            <w:r>
              <w:rPr>
                <w:rFonts w:hint="eastAsia" w:ascii="宋体" w:hAnsi="宋体" w:cs="宋体"/>
                <w:szCs w:val="21"/>
              </w:rPr>
              <w:t>湿度范围</w:t>
            </w:r>
          </w:p>
          <w:p w14:paraId="4C4C0CA2">
            <w:pPr>
              <w:spacing w:line="288" w:lineRule="auto"/>
              <w:ind w:firstLine="210" w:firstLineChars="100"/>
              <w:rPr>
                <w:rFonts w:hint="eastAsia" w:ascii="宋体" w:hAnsi="宋体" w:cs="宋体"/>
                <w:szCs w:val="21"/>
              </w:rPr>
            </w:pPr>
            <w:r>
              <w:rPr>
                <w:rFonts w:hint="eastAsia" w:ascii="宋体" w:hAnsi="宋体" w:cs="宋体"/>
                <w:szCs w:val="21"/>
              </w:rPr>
              <w:t>工作湿度：15% ～ 85% 无冷凝</w:t>
            </w:r>
          </w:p>
          <w:p w14:paraId="1C8D6E3B">
            <w:pPr>
              <w:spacing w:line="288" w:lineRule="auto"/>
              <w:ind w:firstLine="210" w:firstLineChars="100"/>
              <w:rPr>
                <w:rFonts w:hint="eastAsia" w:ascii="宋体" w:hAnsi="宋体" w:cs="宋体"/>
                <w:szCs w:val="21"/>
              </w:rPr>
            </w:pPr>
            <w:r>
              <w:rPr>
                <w:rFonts w:hint="eastAsia" w:ascii="宋体" w:hAnsi="宋体" w:cs="宋体"/>
                <w:szCs w:val="21"/>
              </w:rPr>
              <w:t>运输存储湿度：5% ～ 95% 无冷凝</w:t>
            </w:r>
          </w:p>
          <w:p w14:paraId="78CA9CEE">
            <w:pPr>
              <w:spacing w:line="288" w:lineRule="auto"/>
              <w:ind w:firstLine="210" w:firstLineChars="100"/>
              <w:rPr>
                <w:rFonts w:hint="eastAsia" w:ascii="宋体" w:hAnsi="宋体" w:cs="宋体"/>
                <w:szCs w:val="21"/>
              </w:rPr>
            </w:pPr>
            <w:r>
              <w:rPr>
                <w:rFonts w:hint="eastAsia" w:ascii="宋体" w:hAnsi="宋体" w:cs="宋体"/>
                <w:szCs w:val="21"/>
              </w:rPr>
              <w:t>大气压力：70kPa ～ 106kPa</w:t>
            </w:r>
          </w:p>
          <w:p w14:paraId="0FF34BF4">
            <w:pPr>
              <w:spacing w:line="288" w:lineRule="auto"/>
              <w:ind w:firstLine="210" w:firstLineChars="100"/>
              <w:rPr>
                <w:rFonts w:hint="eastAsia" w:ascii="宋体" w:hAnsi="宋体" w:cs="宋体"/>
                <w:szCs w:val="21"/>
              </w:rPr>
            </w:pPr>
            <w:r>
              <w:rPr>
                <w:rFonts w:hint="eastAsia" w:ascii="宋体" w:hAnsi="宋体" w:cs="宋体"/>
                <w:szCs w:val="21"/>
              </w:rPr>
              <w:t>最高工作海拔高度：3000 m</w:t>
            </w:r>
          </w:p>
          <w:p w14:paraId="03B57BED">
            <w:pPr>
              <w:spacing w:line="288" w:lineRule="auto"/>
              <w:rPr>
                <w:rFonts w:hint="eastAsia" w:ascii="宋体" w:hAnsi="宋体" w:cs="宋体"/>
                <w:szCs w:val="21"/>
              </w:rPr>
            </w:pPr>
            <w:r>
              <w:rPr>
                <w:rFonts w:hint="eastAsia" w:ascii="宋体" w:hAnsi="宋体" w:cs="宋体"/>
                <w:szCs w:val="21"/>
              </w:rPr>
              <w:t>尺寸规格：15.5cm</w:t>
            </w:r>
            <w:r>
              <w:rPr>
                <w:rFonts w:ascii="Arial" w:hAnsi="Arial" w:cs="Arial"/>
                <w:szCs w:val="21"/>
              </w:rPr>
              <w:t>×</w:t>
            </w:r>
            <w:r>
              <w:rPr>
                <w:rFonts w:hint="eastAsia" w:ascii="宋体" w:hAnsi="宋体" w:cs="宋体"/>
                <w:szCs w:val="21"/>
              </w:rPr>
              <w:t>8.9cm</w:t>
            </w:r>
            <w:r>
              <w:rPr>
                <w:rFonts w:ascii="Arial" w:hAnsi="Arial" w:cs="Arial"/>
                <w:szCs w:val="21"/>
              </w:rPr>
              <w:t>×</w:t>
            </w:r>
            <w:r>
              <w:rPr>
                <w:rFonts w:hint="eastAsia" w:ascii="宋体" w:hAnsi="宋体" w:cs="宋体"/>
                <w:szCs w:val="21"/>
              </w:rPr>
              <w:t>2.5cm</w:t>
            </w:r>
          </w:p>
          <w:p w14:paraId="645FF3FC">
            <w:pPr>
              <w:spacing w:line="288" w:lineRule="auto"/>
              <w:rPr>
                <w:rFonts w:hint="eastAsia" w:ascii="宋体" w:hAnsi="宋体" w:cs="宋体"/>
                <w:szCs w:val="21"/>
              </w:rPr>
            </w:pPr>
            <w:r>
              <w:rPr>
                <w:rFonts w:hint="eastAsia" w:ascii="宋体" w:hAnsi="宋体" w:cs="宋体"/>
                <w:szCs w:val="21"/>
              </w:rPr>
              <w:t>设备净重：0.18 kg</w:t>
            </w:r>
          </w:p>
          <w:p w14:paraId="501FEFED">
            <w:pPr>
              <w:spacing w:line="288" w:lineRule="auto"/>
              <w:rPr>
                <w:rFonts w:hint="eastAsia" w:ascii="宋体" w:hAnsi="宋体" w:cs="宋体"/>
                <w:szCs w:val="21"/>
              </w:rPr>
            </w:pPr>
            <w:r>
              <w:rPr>
                <w:rFonts w:hint="eastAsia" w:ascii="宋体" w:hAnsi="宋体" w:cs="宋体"/>
                <w:szCs w:val="21"/>
              </w:rPr>
              <w:t>事件按钮：包含</w:t>
            </w:r>
          </w:p>
          <w:p w14:paraId="744427B8">
            <w:pPr>
              <w:spacing w:line="288" w:lineRule="auto"/>
              <w:rPr>
                <w:rFonts w:hint="eastAsia" w:ascii="宋体" w:hAnsi="宋体" w:cs="宋体"/>
                <w:szCs w:val="21"/>
              </w:rPr>
            </w:pPr>
            <w:r>
              <w:rPr>
                <w:rFonts w:hint="eastAsia" w:ascii="宋体" w:hAnsi="宋体" w:cs="宋体"/>
                <w:szCs w:val="21"/>
              </w:rPr>
              <w:t>数据通讯：USB2.0</w:t>
            </w:r>
          </w:p>
          <w:p w14:paraId="75B4A8C3">
            <w:pPr>
              <w:spacing w:line="288" w:lineRule="auto"/>
              <w:rPr>
                <w:rFonts w:hint="eastAsia" w:ascii="宋体" w:hAnsi="宋体" w:cs="宋体"/>
                <w:szCs w:val="21"/>
              </w:rPr>
            </w:pPr>
            <w:r>
              <w:rPr>
                <w:rFonts w:hint="eastAsia" w:ascii="宋体" w:hAnsi="宋体" w:cs="宋体"/>
                <w:szCs w:val="21"/>
              </w:rPr>
              <w:t>防水等级：IPX0</w:t>
            </w:r>
          </w:p>
          <w:p w14:paraId="2EBB48D6">
            <w:pPr>
              <w:spacing w:line="288" w:lineRule="auto"/>
              <w:rPr>
                <w:rFonts w:hint="eastAsia" w:ascii="宋体" w:hAnsi="宋体" w:cs="宋体"/>
                <w:szCs w:val="21"/>
              </w:rPr>
            </w:pPr>
            <w:r>
              <w:rPr>
                <w:rFonts w:hint="eastAsia" w:ascii="宋体" w:hAnsi="宋体" w:cs="宋体"/>
                <w:szCs w:val="21"/>
              </w:rPr>
              <w:t>设备不宜使用的环境：设备不适合使用在存在易燃麻醉气体与空气或氧气或一氧化二氮混合的环境。</w:t>
            </w:r>
          </w:p>
          <w:p w14:paraId="61E6074B">
            <w:pPr>
              <w:spacing w:line="288" w:lineRule="auto"/>
              <w:rPr>
                <w:rFonts w:hint="eastAsia" w:ascii="宋体" w:hAnsi="宋体" w:cs="宋体"/>
                <w:szCs w:val="21"/>
              </w:rPr>
            </w:pPr>
            <w:r>
              <w:rPr>
                <w:rFonts w:hint="eastAsia" w:ascii="宋体" w:hAnsi="宋体" w:cs="宋体"/>
                <w:szCs w:val="21"/>
              </w:rPr>
              <w:t>灭菌或消毒：</w:t>
            </w:r>
          </w:p>
          <w:p w14:paraId="50B2A202">
            <w:pPr>
              <w:spacing w:line="288" w:lineRule="auto"/>
              <w:ind w:firstLine="420"/>
              <w:rPr>
                <w:rFonts w:hint="eastAsia" w:ascii="宋体" w:hAnsi="宋体" w:cs="宋体"/>
                <w:szCs w:val="21"/>
              </w:rPr>
            </w:pPr>
            <w:r>
              <w:rPr>
                <w:rFonts w:hint="eastAsia" w:ascii="宋体" w:hAnsi="宋体" w:cs="宋体"/>
                <w:szCs w:val="21"/>
              </w:rPr>
              <w:t>灭菌不适用；</w:t>
            </w:r>
          </w:p>
          <w:p w14:paraId="6FFE17CA">
            <w:pPr>
              <w:spacing w:line="288" w:lineRule="auto"/>
              <w:ind w:firstLine="420"/>
              <w:rPr>
                <w:rFonts w:hint="eastAsia" w:ascii="宋体" w:hAnsi="宋体" w:cs="宋体"/>
                <w:szCs w:val="21"/>
              </w:rPr>
            </w:pPr>
            <w:r>
              <w:rPr>
                <w:rFonts w:hint="eastAsia" w:ascii="宋体" w:hAnsi="宋体" w:cs="宋体"/>
                <w:szCs w:val="21"/>
              </w:rPr>
              <w:t>指脉探头、弹力网帽用预饱和异丙醇或酒精消毒；</w:t>
            </w:r>
          </w:p>
          <w:p w14:paraId="01E3A443">
            <w:pPr>
              <w:spacing w:line="288" w:lineRule="auto"/>
              <w:ind w:firstLine="420"/>
              <w:rPr>
                <w:rFonts w:hint="eastAsia" w:ascii="宋体" w:hAnsi="宋体" w:cs="宋体"/>
                <w:szCs w:val="21"/>
              </w:rPr>
            </w:pPr>
            <w:r>
              <w:rPr>
                <w:rFonts w:hint="eastAsia" w:ascii="宋体" w:hAnsi="宋体" w:cs="宋体"/>
                <w:szCs w:val="21"/>
              </w:rPr>
              <w:t>电极帽用戊二醇和邻苯二甲醇浸泡消毒。</w:t>
            </w:r>
          </w:p>
          <w:p w14:paraId="152145D4">
            <w:pPr>
              <w:spacing w:line="288" w:lineRule="auto"/>
              <w:rPr>
                <w:rFonts w:hint="eastAsia" w:ascii="宋体" w:hAnsi="宋体" w:cs="宋体"/>
                <w:szCs w:val="21"/>
              </w:rPr>
            </w:pPr>
            <w:r>
              <w:rPr>
                <w:rFonts w:hint="eastAsia" w:ascii="宋体" w:hAnsi="宋体" w:cs="宋体"/>
                <w:szCs w:val="21"/>
              </w:rPr>
              <w:t>生物相容性：所有病人可接触的附件均符合GB/T16886（ISO 10993）标准的生物相容性要求。</w:t>
            </w:r>
          </w:p>
          <w:p w14:paraId="3880A54B">
            <w:pPr>
              <w:spacing w:line="288" w:lineRule="auto"/>
              <w:rPr>
                <w:rFonts w:hint="eastAsia" w:ascii="宋体" w:hAnsi="宋体" w:cs="宋体"/>
                <w:szCs w:val="21"/>
              </w:rPr>
            </w:pPr>
            <w:r>
              <w:rPr>
                <w:rFonts w:hint="eastAsia" w:ascii="宋体" w:hAnsi="宋体" w:cs="宋体"/>
                <w:szCs w:val="21"/>
              </w:rPr>
              <w:t>设备状态指示灯：蓝灯–设备已启动连接，可启动测量。</w:t>
            </w:r>
          </w:p>
          <w:p w14:paraId="3A51FF78">
            <w:pPr>
              <w:rPr>
                <w:rFonts w:hint="eastAsia" w:ascii="宋体" w:hAnsi="宋体" w:cs="宋体"/>
                <w:b/>
                <w:bCs/>
              </w:rPr>
            </w:pPr>
            <w:r>
              <w:rPr>
                <w:rFonts w:hint="eastAsia" w:ascii="宋体" w:hAnsi="宋体"/>
                <w:szCs w:val="21"/>
              </w:rPr>
              <w:t>▲</w:t>
            </w:r>
            <w:r>
              <w:rPr>
                <w:rFonts w:hint="eastAsia" w:ascii="宋体" w:hAnsi="宋体" w:cs="宋体"/>
                <w:b/>
                <w:bCs/>
              </w:rPr>
              <w:t>2、设备组成</w:t>
            </w:r>
          </w:p>
          <w:p w14:paraId="76C27489">
            <w:pPr>
              <w:spacing w:line="288" w:lineRule="auto"/>
              <w:ind w:firstLine="420" w:firstLineChars="200"/>
              <w:rPr>
                <w:rFonts w:hint="eastAsia" w:ascii="宋体" w:hAnsi="宋体" w:cs="宋体"/>
                <w:szCs w:val="21"/>
              </w:rPr>
            </w:pPr>
            <w:r>
              <w:rPr>
                <w:rFonts w:hint="eastAsia" w:ascii="宋体" w:hAnsi="宋体" w:cs="宋体"/>
                <w:bCs/>
                <w:szCs w:val="21"/>
              </w:rPr>
              <w:t>脑电图机由脑电放大器、脑电导联线（可选择电极帽、鳄鱼夹导联线、盘状导联线中的一款）、事件按钮、USB连接线、软件、心电导联线（选配）、指脉探头（选配）、闪光刺激器（选配）组成。软件包括数据采集模块软件和脑电图分析软件。</w:t>
            </w:r>
          </w:p>
          <w:p w14:paraId="1CFD92B9">
            <w:pPr>
              <w:rPr>
                <w:rFonts w:hint="eastAsia" w:ascii="宋体" w:hAnsi="宋体" w:cs="宋体"/>
                <w:b/>
                <w:bCs/>
              </w:rPr>
            </w:pPr>
            <w:r>
              <w:rPr>
                <w:rFonts w:hint="eastAsia" w:ascii="宋体" w:hAnsi="宋体" w:cs="宋体"/>
                <w:b/>
                <w:bCs/>
              </w:rPr>
              <w:t>3、硬件参数要求</w:t>
            </w:r>
          </w:p>
          <w:p w14:paraId="46F28CDD">
            <w:pPr>
              <w:adjustRightInd w:val="0"/>
              <w:snapToGrid w:val="0"/>
              <w:spacing w:line="288" w:lineRule="auto"/>
              <w:jc w:val="left"/>
              <w:rPr>
                <w:rFonts w:hint="eastAsia" w:ascii="宋体" w:hAnsi="宋体" w:cs="宋体"/>
                <w:b/>
                <w:color w:val="000000"/>
                <w:szCs w:val="21"/>
              </w:rPr>
            </w:pPr>
            <w:r>
              <w:rPr>
                <w:rFonts w:hint="eastAsia" w:ascii="宋体" w:hAnsi="宋体" w:cs="宋体"/>
                <w:b/>
                <w:color w:val="000000"/>
                <w:szCs w:val="21"/>
              </w:rPr>
              <w:t>（1）EEG</w:t>
            </w:r>
          </w:p>
          <w:p w14:paraId="6212C2F7">
            <w:pPr>
              <w:spacing w:line="288" w:lineRule="auto"/>
              <w:rPr>
                <w:rFonts w:hint="eastAsia" w:ascii="宋体" w:hAnsi="宋体" w:cs="宋体"/>
                <w:szCs w:val="21"/>
              </w:rPr>
            </w:pPr>
            <w:r>
              <w:rPr>
                <w:rFonts w:hint="eastAsia" w:ascii="宋体" w:hAnsi="宋体"/>
                <w:szCs w:val="21"/>
              </w:rPr>
              <w:t>▲</w:t>
            </w:r>
            <w:r>
              <w:rPr>
                <w:rFonts w:hint="eastAsia" w:ascii="宋体" w:hAnsi="宋体" w:cs="宋体"/>
                <w:szCs w:val="21"/>
              </w:rPr>
              <w:t>记录的电生理信号：脑电(EEG)/ERP</w:t>
            </w:r>
          </w:p>
          <w:p w14:paraId="04CE5EEB">
            <w:pPr>
              <w:spacing w:line="288" w:lineRule="auto"/>
              <w:rPr>
                <w:rFonts w:hint="eastAsia" w:ascii="宋体" w:hAnsi="宋体" w:cs="宋体"/>
                <w:szCs w:val="21"/>
              </w:rPr>
            </w:pPr>
            <w:r>
              <w:rPr>
                <w:rFonts w:hint="eastAsia" w:ascii="宋体" w:hAnsi="宋体" w:cs="宋体"/>
                <w:szCs w:val="21"/>
              </w:rPr>
              <w:t>通道数量：21通道</w:t>
            </w:r>
          </w:p>
          <w:p w14:paraId="7C1C0109">
            <w:pPr>
              <w:spacing w:line="288" w:lineRule="auto"/>
              <w:rPr>
                <w:rFonts w:hint="eastAsia" w:ascii="宋体" w:hAnsi="宋体" w:cs="宋体"/>
                <w:szCs w:val="21"/>
              </w:rPr>
            </w:pPr>
            <w:r>
              <w:rPr>
                <w:rFonts w:hint="eastAsia" w:ascii="宋体" w:hAnsi="宋体" w:cs="宋体"/>
                <w:szCs w:val="21"/>
              </w:rPr>
              <w:t>电极定位系统：电极分布符合10-20系统</w:t>
            </w:r>
          </w:p>
          <w:p w14:paraId="5960A1CA">
            <w:pPr>
              <w:spacing w:line="288" w:lineRule="auto"/>
              <w:rPr>
                <w:rFonts w:hint="eastAsia" w:ascii="宋体" w:hAnsi="宋体" w:cs="宋体"/>
                <w:szCs w:val="21"/>
              </w:rPr>
            </w:pPr>
            <w:r>
              <w:rPr>
                <w:rFonts w:hint="eastAsia" w:ascii="宋体" w:hAnsi="宋体" w:cs="宋体"/>
                <w:szCs w:val="21"/>
              </w:rPr>
              <w:t>阻抗测试：包含</w:t>
            </w:r>
          </w:p>
          <w:p w14:paraId="6B2BB565">
            <w:pPr>
              <w:spacing w:line="288" w:lineRule="auto"/>
              <w:rPr>
                <w:rFonts w:hint="eastAsia" w:ascii="宋体" w:hAnsi="宋体" w:cs="宋体"/>
                <w:szCs w:val="21"/>
              </w:rPr>
            </w:pPr>
            <w:r>
              <w:rPr>
                <w:rFonts w:hint="eastAsia" w:ascii="宋体" w:hAnsi="宋体" w:cs="宋体"/>
                <w:szCs w:val="21"/>
              </w:rPr>
              <w:t>EEG线缆接口：DB25</w:t>
            </w:r>
          </w:p>
          <w:p w14:paraId="06DADCEE">
            <w:pPr>
              <w:spacing w:line="288" w:lineRule="auto"/>
              <w:rPr>
                <w:rFonts w:hint="eastAsia" w:ascii="宋体" w:hAnsi="宋体" w:cs="宋体"/>
                <w:szCs w:val="21"/>
              </w:rPr>
            </w:pPr>
            <w:r>
              <w:rPr>
                <w:rFonts w:hint="eastAsia" w:ascii="宋体" w:hAnsi="宋体" w:cs="宋体"/>
                <w:szCs w:val="21"/>
              </w:rPr>
              <w:t>模数转换：24bit</w:t>
            </w:r>
          </w:p>
          <w:p w14:paraId="155A460B">
            <w:pPr>
              <w:spacing w:line="288" w:lineRule="auto"/>
              <w:rPr>
                <w:rFonts w:hint="eastAsia" w:ascii="宋体" w:hAnsi="宋体" w:cs="宋体"/>
                <w:szCs w:val="21"/>
              </w:rPr>
            </w:pPr>
            <w:r>
              <w:rPr>
                <w:rFonts w:hint="eastAsia" w:ascii="宋体" w:hAnsi="宋体" w:cs="宋体"/>
                <w:szCs w:val="21"/>
              </w:rPr>
              <w:t>采样频率：100/200/250/500/1000 Hz</w:t>
            </w:r>
          </w:p>
          <w:p w14:paraId="433DD496">
            <w:pPr>
              <w:spacing w:line="288" w:lineRule="auto"/>
              <w:rPr>
                <w:rFonts w:hint="eastAsia" w:ascii="宋体" w:hAnsi="宋体" w:cs="宋体"/>
                <w:szCs w:val="21"/>
              </w:rPr>
            </w:pPr>
            <w:r>
              <w:rPr>
                <w:rFonts w:hint="eastAsia" w:ascii="宋体" w:hAnsi="宋体" w:cs="宋体"/>
                <w:szCs w:val="21"/>
              </w:rPr>
              <w:t>共模抑制比：大于100dB</w:t>
            </w:r>
          </w:p>
          <w:p w14:paraId="361147FF">
            <w:pPr>
              <w:spacing w:line="288" w:lineRule="auto"/>
              <w:rPr>
                <w:rFonts w:hint="eastAsia" w:ascii="宋体" w:hAnsi="宋体" w:cs="宋体"/>
                <w:szCs w:val="21"/>
              </w:rPr>
            </w:pPr>
            <w:r>
              <w:rPr>
                <w:rFonts w:hint="eastAsia" w:ascii="宋体" w:hAnsi="宋体" w:cs="宋体"/>
                <w:szCs w:val="21"/>
              </w:rPr>
              <w:t>系统噪声：不大于3μV （峰-峰值）</w:t>
            </w:r>
          </w:p>
          <w:p w14:paraId="5003E2BE">
            <w:pPr>
              <w:spacing w:line="288" w:lineRule="auto"/>
              <w:rPr>
                <w:rFonts w:hint="eastAsia" w:ascii="宋体" w:hAnsi="宋体" w:cs="宋体"/>
                <w:szCs w:val="21"/>
              </w:rPr>
            </w:pPr>
            <w:r>
              <w:rPr>
                <w:rFonts w:hint="eastAsia" w:ascii="宋体" w:hAnsi="宋体" w:cs="宋体"/>
                <w:szCs w:val="21"/>
              </w:rPr>
              <w:t>定标电压：误差不超过±5%</w:t>
            </w:r>
          </w:p>
          <w:p w14:paraId="401E7C73">
            <w:pPr>
              <w:spacing w:line="288" w:lineRule="auto"/>
              <w:rPr>
                <w:rFonts w:hint="eastAsia" w:ascii="宋体" w:hAnsi="宋体" w:cs="宋体"/>
                <w:szCs w:val="21"/>
              </w:rPr>
            </w:pPr>
            <w:r>
              <w:rPr>
                <w:rFonts w:hint="eastAsia" w:ascii="宋体" w:hAnsi="宋体" w:cs="宋体"/>
                <w:szCs w:val="21"/>
              </w:rPr>
              <w:t>电压测量：误差不超过±10%（25μV、50μV、100μV、200μV）</w:t>
            </w:r>
          </w:p>
          <w:p w14:paraId="6C99110E">
            <w:pPr>
              <w:spacing w:line="288" w:lineRule="auto"/>
              <w:rPr>
                <w:rFonts w:hint="eastAsia" w:ascii="宋体" w:hAnsi="宋体" w:cs="宋体"/>
                <w:szCs w:val="21"/>
              </w:rPr>
            </w:pPr>
            <w:r>
              <w:rPr>
                <w:rFonts w:hint="eastAsia" w:ascii="宋体" w:hAnsi="宋体" w:cs="宋体"/>
                <w:szCs w:val="21"/>
              </w:rPr>
              <w:t>时间间隔：误差不超过±5%</w:t>
            </w:r>
          </w:p>
          <w:p w14:paraId="473038A7">
            <w:pPr>
              <w:spacing w:line="288" w:lineRule="auto"/>
              <w:rPr>
                <w:rFonts w:hint="eastAsia" w:ascii="宋体" w:hAnsi="宋体" w:cs="宋体"/>
                <w:szCs w:val="21"/>
              </w:rPr>
            </w:pPr>
            <w:r>
              <w:rPr>
                <w:rFonts w:hint="eastAsia" w:ascii="宋体" w:hAnsi="宋体" w:cs="宋体"/>
                <w:szCs w:val="21"/>
              </w:rPr>
              <w:t>时间常数：小于等于0.1s误差±40%，大于0.1s误差不超过±20%</w:t>
            </w:r>
          </w:p>
          <w:p w14:paraId="1FFA2E2B">
            <w:pPr>
              <w:spacing w:line="288" w:lineRule="auto"/>
              <w:rPr>
                <w:rFonts w:hint="eastAsia" w:ascii="宋体" w:hAnsi="宋体" w:cs="宋体"/>
                <w:szCs w:val="21"/>
              </w:rPr>
            </w:pPr>
            <w:r>
              <w:rPr>
                <w:rFonts w:hint="eastAsia" w:ascii="宋体" w:hAnsi="宋体" w:cs="宋体"/>
                <w:szCs w:val="21"/>
              </w:rPr>
              <w:t>幅频特性：1Hz-60Hz（不包括50Hz），误差不超过+5%～-30%。</w:t>
            </w:r>
          </w:p>
          <w:p w14:paraId="5BC9F6BE">
            <w:pPr>
              <w:spacing w:line="288" w:lineRule="auto"/>
              <w:rPr>
                <w:rFonts w:hint="eastAsia" w:ascii="宋体" w:hAnsi="宋体" w:cs="宋体"/>
                <w:szCs w:val="21"/>
              </w:rPr>
            </w:pPr>
            <w:r>
              <w:rPr>
                <w:rFonts w:hint="eastAsia" w:ascii="宋体" w:hAnsi="宋体" w:cs="宋体"/>
                <w:szCs w:val="21"/>
              </w:rPr>
              <w:t>耐极化电压：加±300mV的直流极化电压，误差不超过±5%</w:t>
            </w:r>
          </w:p>
          <w:p w14:paraId="6E0BD008">
            <w:pPr>
              <w:spacing w:line="288" w:lineRule="auto"/>
              <w:rPr>
                <w:rFonts w:hint="eastAsia" w:ascii="宋体" w:hAnsi="宋体" w:cs="宋体"/>
                <w:szCs w:val="21"/>
              </w:rPr>
            </w:pPr>
            <w:r>
              <w:rPr>
                <w:rFonts w:hint="eastAsia" w:ascii="宋体" w:hAnsi="宋体" w:cs="宋体"/>
                <w:szCs w:val="21"/>
              </w:rPr>
              <w:t>灵敏度：灵敏度自适应，不同幅度波形均能正常打印显示</w:t>
            </w:r>
          </w:p>
          <w:p w14:paraId="5638AA28">
            <w:pPr>
              <w:spacing w:line="288" w:lineRule="auto"/>
              <w:rPr>
                <w:rFonts w:hint="eastAsia" w:ascii="宋体" w:hAnsi="宋体" w:cs="宋体"/>
                <w:szCs w:val="21"/>
              </w:rPr>
            </w:pPr>
            <w:r>
              <w:rPr>
                <w:rFonts w:hint="eastAsia" w:ascii="宋体" w:hAnsi="宋体" w:cs="宋体"/>
                <w:szCs w:val="21"/>
              </w:rPr>
              <w:t>低通滤波：符合</w:t>
            </w:r>
            <w:r>
              <w:rPr>
                <w:rFonts w:hint="eastAsia" w:ascii="宋体" w:hAnsi="宋体" w:cs="宋体"/>
                <w:color w:val="000000"/>
                <w:szCs w:val="21"/>
              </w:rPr>
              <w:t>A</w:t>
            </w:r>
            <w:r>
              <w:rPr>
                <w:rFonts w:hint="eastAsia" w:ascii="宋体" w:hAnsi="宋体" w:cs="宋体"/>
                <w:color w:val="000000"/>
                <w:szCs w:val="21"/>
                <w:vertAlign w:val="subscript"/>
              </w:rPr>
              <w:t>0.9Fc</w:t>
            </w:r>
            <w:r>
              <w:rPr>
                <w:rFonts w:hint="eastAsia" w:ascii="宋体" w:hAnsi="宋体" w:cs="宋体"/>
                <w:color w:val="000000"/>
                <w:szCs w:val="21"/>
              </w:rPr>
              <w:t>≥0.7A</w:t>
            </w:r>
            <w:r>
              <w:rPr>
                <w:rFonts w:hint="eastAsia" w:ascii="宋体" w:hAnsi="宋体" w:cs="宋体"/>
                <w:color w:val="000000"/>
                <w:szCs w:val="21"/>
                <w:vertAlign w:val="subscript"/>
              </w:rPr>
              <w:t>10</w:t>
            </w:r>
            <w:r>
              <w:rPr>
                <w:rFonts w:hint="eastAsia" w:ascii="宋体" w:hAnsi="宋体" w:cs="宋体"/>
                <w:color w:val="000000"/>
                <w:szCs w:val="21"/>
              </w:rPr>
              <w:t>≥A</w:t>
            </w:r>
            <w:r>
              <w:rPr>
                <w:rFonts w:hint="eastAsia" w:ascii="宋体" w:hAnsi="宋体" w:cs="宋体"/>
                <w:color w:val="000000"/>
                <w:szCs w:val="21"/>
                <w:vertAlign w:val="subscript"/>
              </w:rPr>
              <w:t>1.1Fc</w:t>
            </w:r>
            <w:r>
              <w:rPr>
                <w:rFonts w:hint="eastAsia" w:ascii="宋体" w:hAnsi="宋体" w:cs="宋体"/>
                <w:szCs w:val="21"/>
              </w:rPr>
              <w:t>的要求</w:t>
            </w:r>
          </w:p>
          <w:p w14:paraId="56E4A60F">
            <w:pPr>
              <w:spacing w:line="288" w:lineRule="auto"/>
              <w:rPr>
                <w:rFonts w:hint="eastAsia" w:ascii="宋体" w:hAnsi="宋体" w:cs="宋体"/>
                <w:szCs w:val="21"/>
              </w:rPr>
            </w:pPr>
            <w:r>
              <w:rPr>
                <w:rFonts w:hint="eastAsia" w:ascii="宋体" w:hAnsi="宋体" w:cs="宋体"/>
                <w:szCs w:val="21"/>
              </w:rPr>
              <w:t>输入阻抗：各道的输入阻抗不小于10MΩ</w:t>
            </w:r>
          </w:p>
          <w:p w14:paraId="1CC36C03">
            <w:pPr>
              <w:spacing w:line="288" w:lineRule="auto"/>
              <w:rPr>
                <w:rFonts w:hint="eastAsia" w:ascii="宋体" w:hAnsi="宋体" w:cs="宋体"/>
                <w:szCs w:val="21"/>
              </w:rPr>
            </w:pPr>
            <w:r>
              <w:rPr>
                <w:rFonts w:hint="eastAsia" w:ascii="宋体" w:hAnsi="宋体" w:cs="宋体"/>
                <w:szCs w:val="21"/>
              </w:rPr>
              <w:t>功率谱幅度：误差不超过±10%</w:t>
            </w:r>
          </w:p>
          <w:p w14:paraId="10136B69">
            <w:pPr>
              <w:spacing w:line="288" w:lineRule="auto"/>
              <w:rPr>
                <w:rFonts w:hint="eastAsia" w:ascii="宋体" w:hAnsi="宋体" w:cs="宋体"/>
                <w:szCs w:val="21"/>
              </w:rPr>
            </w:pPr>
            <w:r>
              <w:rPr>
                <w:rFonts w:hint="eastAsia" w:ascii="宋体" w:hAnsi="宋体" w:cs="宋体"/>
                <w:szCs w:val="21"/>
              </w:rPr>
              <w:t>功率谱频率：误差不超过±5%</w:t>
            </w:r>
          </w:p>
          <w:p w14:paraId="540C5716">
            <w:pPr>
              <w:adjustRightInd w:val="0"/>
              <w:snapToGrid w:val="0"/>
              <w:spacing w:line="288" w:lineRule="auto"/>
              <w:jc w:val="left"/>
              <w:rPr>
                <w:rFonts w:hint="eastAsia" w:ascii="宋体" w:hAnsi="宋体" w:cs="宋体"/>
                <w:b/>
                <w:color w:val="000000"/>
                <w:szCs w:val="21"/>
              </w:rPr>
            </w:pPr>
            <w:r>
              <w:rPr>
                <w:rFonts w:hint="eastAsia" w:ascii="宋体" w:hAnsi="宋体" w:cs="宋体"/>
                <w:b/>
                <w:color w:val="000000"/>
                <w:szCs w:val="21"/>
              </w:rPr>
              <w:t>（2）ECG</w:t>
            </w:r>
          </w:p>
          <w:p w14:paraId="7875CCD1">
            <w:pPr>
              <w:spacing w:line="288" w:lineRule="auto"/>
              <w:rPr>
                <w:rFonts w:hint="eastAsia" w:ascii="宋体" w:hAnsi="宋体" w:cs="宋体"/>
                <w:bCs/>
                <w:szCs w:val="21"/>
              </w:rPr>
            </w:pPr>
            <w:r>
              <w:rPr>
                <w:rFonts w:hint="eastAsia" w:ascii="宋体" w:hAnsi="宋体" w:cs="宋体"/>
                <w:bCs/>
                <w:szCs w:val="21"/>
              </w:rPr>
              <w:t>ECG 放大：3通道电极信号同时同步配准</w:t>
            </w:r>
          </w:p>
          <w:p w14:paraId="5A3F685B">
            <w:pPr>
              <w:spacing w:line="288" w:lineRule="auto"/>
              <w:rPr>
                <w:rFonts w:hint="eastAsia" w:ascii="宋体" w:hAnsi="宋体" w:cs="宋体"/>
                <w:bCs/>
                <w:szCs w:val="21"/>
              </w:rPr>
            </w:pPr>
            <w:r>
              <w:rPr>
                <w:rFonts w:hint="eastAsia" w:ascii="宋体" w:hAnsi="宋体" w:cs="宋体"/>
                <w:bCs/>
                <w:szCs w:val="21"/>
              </w:rPr>
              <w:t>采样频率：100/200/250/500/1000 Hz</w:t>
            </w:r>
          </w:p>
          <w:p w14:paraId="4D9363C4">
            <w:pPr>
              <w:spacing w:line="288" w:lineRule="auto"/>
              <w:rPr>
                <w:rFonts w:hint="eastAsia" w:ascii="宋体" w:hAnsi="宋体" w:cs="宋体"/>
                <w:bCs/>
                <w:szCs w:val="21"/>
              </w:rPr>
            </w:pPr>
            <w:r>
              <w:rPr>
                <w:rFonts w:hint="eastAsia" w:ascii="宋体" w:hAnsi="宋体" w:cs="宋体"/>
                <w:bCs/>
                <w:szCs w:val="21"/>
              </w:rPr>
              <w:t>滤波器：叠加50或 60Hz正弦干扰的无失真抑制；默认自动检测。</w:t>
            </w:r>
          </w:p>
          <w:p w14:paraId="2A6747F2">
            <w:pPr>
              <w:spacing w:line="288" w:lineRule="auto"/>
              <w:rPr>
                <w:rFonts w:hint="eastAsia" w:ascii="宋体" w:hAnsi="宋体" w:cs="宋体"/>
                <w:bCs/>
                <w:szCs w:val="21"/>
              </w:rPr>
            </w:pPr>
            <w:r>
              <w:rPr>
                <w:rFonts w:hint="eastAsia" w:ascii="宋体" w:hAnsi="宋体" w:cs="宋体"/>
                <w:bCs/>
                <w:szCs w:val="21"/>
              </w:rPr>
              <w:t>高通滤波频率：0.01Hz/0.05Hz/0.5Hz/1Hz/3.5Hz</w:t>
            </w:r>
          </w:p>
          <w:p w14:paraId="573FDE69">
            <w:pPr>
              <w:spacing w:line="288" w:lineRule="auto"/>
              <w:rPr>
                <w:rFonts w:hint="eastAsia" w:ascii="宋体" w:hAnsi="宋体" w:cs="宋体"/>
                <w:bCs/>
                <w:szCs w:val="21"/>
              </w:rPr>
            </w:pPr>
            <w:r>
              <w:rPr>
                <w:rFonts w:hint="eastAsia" w:ascii="宋体" w:hAnsi="宋体" w:cs="宋体"/>
                <w:bCs/>
                <w:szCs w:val="21"/>
              </w:rPr>
              <w:t>心率范围：31～220 bpm</w:t>
            </w:r>
          </w:p>
          <w:p w14:paraId="484457A2">
            <w:pPr>
              <w:spacing w:line="288" w:lineRule="auto"/>
              <w:rPr>
                <w:rFonts w:hint="eastAsia" w:ascii="宋体" w:hAnsi="宋体" w:cs="宋体"/>
                <w:bCs/>
                <w:szCs w:val="21"/>
              </w:rPr>
            </w:pPr>
            <w:r>
              <w:rPr>
                <w:rFonts w:hint="eastAsia" w:ascii="宋体" w:hAnsi="宋体" w:cs="宋体"/>
                <w:bCs/>
                <w:szCs w:val="21"/>
              </w:rPr>
              <w:t>心率准确性：±5bpm或±10%的较大者</w:t>
            </w:r>
          </w:p>
          <w:p w14:paraId="00E2B480">
            <w:pPr>
              <w:spacing w:line="360" w:lineRule="auto"/>
              <w:rPr>
                <w:rFonts w:hint="eastAsia" w:ascii="宋体" w:hAnsi="宋体" w:cs="宋体"/>
                <w:bCs/>
                <w:color w:val="000000"/>
                <w:szCs w:val="21"/>
              </w:rPr>
            </w:pPr>
            <w:r>
              <w:rPr>
                <w:rFonts w:hint="eastAsia" w:ascii="宋体" w:hAnsi="宋体" w:cs="宋体"/>
                <w:bCs/>
                <w:color w:val="000000"/>
                <w:szCs w:val="21"/>
              </w:rPr>
              <w:t>（3）光体积描记 (PPG)</w:t>
            </w:r>
          </w:p>
          <w:p w14:paraId="14335364">
            <w:pPr>
              <w:spacing w:line="288" w:lineRule="auto"/>
              <w:rPr>
                <w:rFonts w:hint="eastAsia" w:ascii="宋体" w:hAnsi="宋体" w:cs="宋体"/>
                <w:bCs/>
                <w:color w:val="000000"/>
                <w:szCs w:val="21"/>
              </w:rPr>
            </w:pPr>
            <w:r>
              <w:rPr>
                <w:rFonts w:hint="eastAsia" w:ascii="宋体" w:hAnsi="宋体" w:cs="宋体"/>
                <w:bCs/>
                <w:color w:val="000000"/>
                <w:szCs w:val="21"/>
              </w:rPr>
              <w:t>波长</w:t>
            </w:r>
            <w:r>
              <w:rPr>
                <w:rFonts w:hint="eastAsia" w:ascii="宋体" w:hAnsi="宋体" w:cs="宋体"/>
                <w:bCs/>
                <w:szCs w:val="21"/>
              </w:rPr>
              <w:t>：</w:t>
            </w:r>
            <w:r>
              <w:rPr>
                <w:rFonts w:hint="eastAsia" w:ascii="宋体" w:hAnsi="宋体" w:cs="宋体"/>
                <w:bCs/>
                <w:color w:val="000000"/>
                <w:szCs w:val="21"/>
              </w:rPr>
              <w:t>RED：660nm；IR：885nm</w:t>
            </w:r>
          </w:p>
          <w:p w14:paraId="1012E259">
            <w:pPr>
              <w:spacing w:line="288" w:lineRule="auto"/>
              <w:rPr>
                <w:rFonts w:hint="eastAsia" w:ascii="宋体" w:hAnsi="宋体" w:cs="宋体"/>
                <w:bCs/>
                <w:color w:val="000000"/>
                <w:szCs w:val="21"/>
              </w:rPr>
            </w:pPr>
            <w:r>
              <w:rPr>
                <w:rFonts w:hint="eastAsia" w:ascii="宋体" w:hAnsi="宋体" w:cs="宋体"/>
                <w:bCs/>
                <w:color w:val="000000"/>
                <w:szCs w:val="21"/>
              </w:rPr>
              <w:t>伪影去除</w:t>
            </w:r>
            <w:r>
              <w:rPr>
                <w:rFonts w:hint="eastAsia" w:ascii="宋体" w:hAnsi="宋体" w:cs="宋体"/>
                <w:bCs/>
                <w:szCs w:val="21"/>
              </w:rPr>
              <w:t>：</w:t>
            </w:r>
            <w:r>
              <w:rPr>
                <w:rFonts w:hint="eastAsia" w:ascii="宋体" w:hAnsi="宋体" w:cs="宋体"/>
                <w:bCs/>
                <w:color w:val="000000"/>
                <w:szCs w:val="21"/>
              </w:rPr>
              <w:t>同步调解，AC耦合输出</w:t>
            </w:r>
          </w:p>
          <w:p w14:paraId="3F822618">
            <w:pPr>
              <w:spacing w:line="288" w:lineRule="auto"/>
              <w:rPr>
                <w:rFonts w:hint="eastAsia" w:ascii="宋体" w:hAnsi="宋体" w:cs="宋体"/>
                <w:bCs/>
                <w:color w:val="000000"/>
                <w:szCs w:val="21"/>
              </w:rPr>
            </w:pPr>
            <w:r>
              <w:rPr>
                <w:rFonts w:hint="eastAsia" w:ascii="宋体" w:hAnsi="宋体" w:cs="宋体"/>
                <w:bCs/>
                <w:color w:val="000000"/>
                <w:szCs w:val="21"/>
              </w:rPr>
              <w:t>工作频率</w:t>
            </w:r>
            <w:r>
              <w:rPr>
                <w:rFonts w:hint="eastAsia" w:ascii="宋体" w:hAnsi="宋体" w:cs="宋体"/>
                <w:bCs/>
                <w:szCs w:val="21"/>
              </w:rPr>
              <w:t>：</w:t>
            </w:r>
            <w:r>
              <w:rPr>
                <w:rFonts w:hint="eastAsia" w:ascii="宋体" w:hAnsi="宋体" w:cs="宋体"/>
                <w:bCs/>
                <w:color w:val="000000"/>
                <w:szCs w:val="21"/>
              </w:rPr>
              <w:t>100/200/250/500/1000 Hz</w:t>
            </w:r>
          </w:p>
          <w:p w14:paraId="7EFC39EC">
            <w:pPr>
              <w:spacing w:line="288" w:lineRule="auto"/>
              <w:rPr>
                <w:rFonts w:hint="eastAsia" w:ascii="宋体" w:hAnsi="宋体" w:cs="宋体"/>
                <w:bCs/>
                <w:color w:val="000000"/>
                <w:szCs w:val="21"/>
              </w:rPr>
            </w:pPr>
            <w:r>
              <w:rPr>
                <w:rFonts w:hint="eastAsia" w:ascii="宋体" w:hAnsi="宋体" w:cs="宋体"/>
                <w:bCs/>
                <w:color w:val="000000"/>
                <w:szCs w:val="21"/>
              </w:rPr>
              <w:t>线缆长度</w:t>
            </w:r>
            <w:r>
              <w:rPr>
                <w:rFonts w:hint="eastAsia" w:ascii="宋体" w:hAnsi="宋体" w:cs="宋体"/>
                <w:bCs/>
                <w:szCs w:val="21"/>
              </w:rPr>
              <w:t>：</w:t>
            </w:r>
            <w:r>
              <w:rPr>
                <w:rFonts w:hint="eastAsia" w:ascii="宋体" w:hAnsi="宋体" w:cs="宋体"/>
                <w:bCs/>
                <w:color w:val="000000"/>
                <w:szCs w:val="21"/>
              </w:rPr>
              <w:t>1.5m</w:t>
            </w:r>
          </w:p>
          <w:p w14:paraId="2D471B1B">
            <w:pPr>
              <w:spacing w:line="288" w:lineRule="auto"/>
              <w:rPr>
                <w:rFonts w:hint="eastAsia" w:ascii="宋体" w:hAnsi="宋体" w:cs="宋体"/>
                <w:bCs/>
                <w:color w:val="000000"/>
                <w:szCs w:val="21"/>
              </w:rPr>
            </w:pPr>
            <w:r>
              <w:rPr>
                <w:rFonts w:hint="eastAsia" w:ascii="宋体" w:hAnsi="宋体" w:cs="宋体"/>
                <w:bCs/>
                <w:color w:val="000000"/>
                <w:szCs w:val="21"/>
              </w:rPr>
              <w:t>脉冲测量范围(未运动的情况)</w:t>
            </w:r>
            <w:r>
              <w:rPr>
                <w:rFonts w:hint="eastAsia" w:ascii="宋体" w:hAnsi="宋体" w:cs="宋体"/>
                <w:bCs/>
                <w:szCs w:val="21"/>
              </w:rPr>
              <w:t>：</w:t>
            </w:r>
            <w:r>
              <w:rPr>
                <w:rFonts w:hint="eastAsia" w:ascii="宋体" w:hAnsi="宋体" w:cs="宋体"/>
                <w:bCs/>
                <w:color w:val="000000"/>
                <w:szCs w:val="21"/>
              </w:rPr>
              <w:t>40～200 bpm ±3bpm</w:t>
            </w:r>
          </w:p>
          <w:p w14:paraId="1BE7A4C4">
            <w:pPr>
              <w:spacing w:line="288" w:lineRule="auto"/>
              <w:rPr>
                <w:rFonts w:hint="eastAsia" w:ascii="宋体" w:hAnsi="宋体" w:cs="宋体"/>
                <w:bCs/>
                <w:color w:val="000000"/>
                <w:szCs w:val="21"/>
              </w:rPr>
            </w:pPr>
            <w:r>
              <w:rPr>
                <w:rFonts w:hint="eastAsia" w:ascii="宋体" w:hAnsi="宋体" w:cs="宋体"/>
                <w:bCs/>
                <w:color w:val="000000"/>
                <w:szCs w:val="21"/>
              </w:rPr>
              <w:t>PPG波形</w:t>
            </w:r>
            <w:r>
              <w:rPr>
                <w:rFonts w:hint="eastAsia" w:ascii="宋体" w:hAnsi="宋体" w:cs="宋体"/>
                <w:bCs/>
                <w:szCs w:val="21"/>
              </w:rPr>
              <w:t>：</w:t>
            </w:r>
            <w:r>
              <w:rPr>
                <w:rFonts w:hint="eastAsia" w:ascii="宋体" w:hAnsi="宋体" w:cs="宋体"/>
                <w:bCs/>
                <w:color w:val="000000"/>
                <w:szCs w:val="21"/>
              </w:rPr>
              <w:t>非标准化，PPG 波形出现在显示屏上，以便需要时进行目视信号质量检查。</w:t>
            </w:r>
          </w:p>
          <w:p w14:paraId="20A8B165">
            <w:pPr>
              <w:spacing w:line="288" w:lineRule="auto"/>
              <w:rPr>
                <w:bCs/>
              </w:rPr>
            </w:pPr>
            <w:r>
              <w:rPr>
                <w:rFonts w:hint="eastAsia" w:ascii="宋体" w:hAnsi="宋体" w:cs="宋体"/>
                <w:bCs/>
                <w:color w:val="000000"/>
                <w:szCs w:val="21"/>
              </w:rPr>
              <w:t>PPG信号质量不足</w:t>
            </w:r>
            <w:r>
              <w:rPr>
                <w:rFonts w:hint="eastAsia" w:ascii="宋体" w:hAnsi="宋体" w:cs="宋体"/>
                <w:bCs/>
                <w:szCs w:val="21"/>
              </w:rPr>
              <w:t>：</w:t>
            </w:r>
            <w:r>
              <w:rPr>
                <w:rFonts w:hint="eastAsia" w:ascii="宋体" w:hAnsi="宋体" w:cs="宋体"/>
                <w:bCs/>
                <w:color w:val="000000"/>
                <w:szCs w:val="21"/>
              </w:rPr>
              <w:t>它检测患者的手指是否与传感器相连。如果未连接，则在显示屏上出现“信号是不好的”的提示。</w:t>
            </w:r>
          </w:p>
          <w:p w14:paraId="02AA4065">
            <w:pPr>
              <w:rPr>
                <w:bCs/>
              </w:rPr>
            </w:pPr>
            <w:r>
              <w:rPr>
                <w:rFonts w:hint="eastAsia"/>
                <w:bCs/>
              </w:rPr>
              <w:t>4、软件功能</w:t>
            </w:r>
          </w:p>
          <w:p w14:paraId="587507DB">
            <w:pPr>
              <w:spacing w:line="288" w:lineRule="auto"/>
              <w:rPr>
                <w:rFonts w:hint="eastAsia" w:ascii="宋体" w:hAnsi="宋体" w:cs="宋体"/>
                <w:bCs/>
                <w:color w:val="000000"/>
                <w:szCs w:val="21"/>
              </w:rPr>
            </w:pPr>
            <w:r>
              <w:rPr>
                <w:rFonts w:hint="eastAsia" w:ascii="宋体" w:hAnsi="宋体" w:cs="宋体"/>
                <w:bCs/>
                <w:color w:val="000000"/>
                <w:szCs w:val="21"/>
              </w:rPr>
              <w:t>软件界面</w:t>
            </w:r>
            <w:r>
              <w:rPr>
                <w:rFonts w:hint="eastAsia" w:ascii="宋体" w:hAnsi="宋体" w:cs="宋体"/>
                <w:bCs/>
                <w:szCs w:val="21"/>
              </w:rPr>
              <w:t>：</w:t>
            </w:r>
            <w:r>
              <w:rPr>
                <w:rFonts w:hint="eastAsia" w:ascii="宋体" w:hAnsi="宋体" w:cs="宋体"/>
                <w:bCs/>
                <w:color w:val="000000"/>
                <w:szCs w:val="21"/>
              </w:rPr>
              <w:t>软件的图形用户界面主要包括注册、维护和升级、登录权限管理、主界面、设置界面、新数据测量、文件打开、报告分析、报告打印和帮助功能等。</w:t>
            </w:r>
          </w:p>
          <w:p w14:paraId="1CBB3A00">
            <w:pPr>
              <w:spacing w:line="288" w:lineRule="auto"/>
              <w:rPr>
                <w:rFonts w:hint="eastAsia" w:ascii="宋体" w:hAnsi="宋体" w:cs="宋体"/>
                <w:bCs/>
                <w:color w:val="000000"/>
                <w:szCs w:val="21"/>
              </w:rPr>
            </w:pPr>
            <w:r>
              <w:rPr>
                <w:rFonts w:hint="eastAsia" w:ascii="宋体" w:hAnsi="宋体" w:cs="宋体"/>
                <w:bCs/>
                <w:color w:val="000000"/>
                <w:szCs w:val="21"/>
              </w:rPr>
              <w:t>注册功能</w:t>
            </w:r>
            <w:r>
              <w:rPr>
                <w:rFonts w:hint="eastAsia" w:ascii="宋体" w:hAnsi="宋体" w:cs="宋体"/>
                <w:bCs/>
                <w:szCs w:val="21"/>
              </w:rPr>
              <w:t>：</w:t>
            </w:r>
            <w:r>
              <w:rPr>
                <w:rFonts w:hint="eastAsia" w:ascii="宋体" w:hAnsi="宋体" w:cs="宋体"/>
                <w:bCs/>
                <w:color w:val="000000"/>
                <w:szCs w:val="21"/>
              </w:rPr>
              <w:t>软件初次安装需要通过网络注册和远程激活才能使用。客户代码和注册序列号由厂家分配。</w:t>
            </w:r>
          </w:p>
          <w:p w14:paraId="55ACC985">
            <w:pPr>
              <w:spacing w:line="288" w:lineRule="auto"/>
              <w:rPr>
                <w:rFonts w:hint="eastAsia" w:ascii="宋体" w:hAnsi="宋体" w:cs="宋体"/>
                <w:bCs/>
                <w:color w:val="000000"/>
                <w:szCs w:val="21"/>
              </w:rPr>
            </w:pPr>
            <w:r>
              <w:rPr>
                <w:rFonts w:hint="eastAsia" w:ascii="宋体" w:hAnsi="宋体" w:cs="宋体"/>
                <w:bCs/>
                <w:color w:val="000000"/>
                <w:szCs w:val="21"/>
              </w:rPr>
              <w:t>维护和升级</w:t>
            </w:r>
            <w:r>
              <w:rPr>
                <w:rFonts w:hint="eastAsia" w:ascii="宋体" w:hAnsi="宋体" w:cs="宋体"/>
                <w:bCs/>
                <w:szCs w:val="21"/>
              </w:rPr>
              <w:t>：</w:t>
            </w:r>
            <w:r>
              <w:rPr>
                <w:rFonts w:hint="eastAsia" w:ascii="宋体" w:hAnsi="宋体" w:cs="宋体"/>
                <w:bCs/>
                <w:color w:val="000000"/>
                <w:szCs w:val="21"/>
              </w:rPr>
              <w:t>在系统管理员的权限下，启动网络连接，可以由管理员直接从Win10微软商店对软件进行升级。</w:t>
            </w:r>
          </w:p>
          <w:p w14:paraId="60BBE402">
            <w:pPr>
              <w:spacing w:line="288" w:lineRule="auto"/>
              <w:rPr>
                <w:rFonts w:hint="eastAsia" w:ascii="宋体" w:hAnsi="宋体" w:cs="宋体"/>
                <w:bCs/>
                <w:color w:val="000000"/>
                <w:szCs w:val="21"/>
              </w:rPr>
            </w:pPr>
            <w:r>
              <w:rPr>
                <w:rFonts w:hint="eastAsia" w:ascii="宋体" w:hAnsi="宋体" w:cs="宋体"/>
                <w:bCs/>
                <w:color w:val="000000"/>
                <w:szCs w:val="21"/>
              </w:rPr>
              <w:t>登录权限管理</w:t>
            </w:r>
            <w:r>
              <w:rPr>
                <w:rFonts w:hint="eastAsia" w:ascii="宋体" w:hAnsi="宋体" w:cs="宋体"/>
                <w:bCs/>
                <w:szCs w:val="21"/>
              </w:rPr>
              <w:t>：</w:t>
            </w:r>
            <w:r>
              <w:rPr>
                <w:rFonts w:hint="eastAsia" w:ascii="宋体" w:hAnsi="宋体" w:cs="宋体"/>
                <w:bCs/>
                <w:color w:val="000000"/>
                <w:szCs w:val="21"/>
              </w:rPr>
              <w:t>软件可以设置超级管理员，系统管理员和普通用户。</w:t>
            </w:r>
          </w:p>
          <w:p w14:paraId="232701C3">
            <w:pPr>
              <w:spacing w:line="288" w:lineRule="auto"/>
              <w:rPr>
                <w:rFonts w:hint="eastAsia" w:ascii="宋体" w:hAnsi="宋体" w:cs="宋体"/>
                <w:bCs/>
                <w:color w:val="000000"/>
                <w:szCs w:val="21"/>
              </w:rPr>
            </w:pPr>
            <w:r>
              <w:rPr>
                <w:rFonts w:hint="eastAsia" w:ascii="宋体" w:hAnsi="宋体"/>
                <w:bCs/>
                <w:szCs w:val="21"/>
              </w:rPr>
              <w:t>▲</w:t>
            </w:r>
            <w:r>
              <w:rPr>
                <w:rFonts w:hint="eastAsia" w:ascii="宋体" w:hAnsi="宋体" w:cs="宋体"/>
                <w:bCs/>
                <w:color w:val="000000"/>
                <w:szCs w:val="21"/>
              </w:rPr>
              <w:t>测量类型</w:t>
            </w:r>
            <w:r>
              <w:rPr>
                <w:rFonts w:hint="eastAsia" w:ascii="宋体" w:hAnsi="宋体" w:cs="宋体"/>
                <w:bCs/>
                <w:szCs w:val="21"/>
              </w:rPr>
              <w:t>：</w:t>
            </w:r>
            <w:r>
              <w:rPr>
                <w:rFonts w:hint="eastAsia" w:ascii="宋体" w:hAnsi="宋体" w:cs="宋体"/>
                <w:bCs/>
                <w:color w:val="000000"/>
                <w:szCs w:val="21"/>
              </w:rPr>
              <w:t>包括神经功能反应测试，脑电评估和ECG评估。</w:t>
            </w:r>
          </w:p>
          <w:p w14:paraId="2A7B51EF">
            <w:pPr>
              <w:spacing w:line="288" w:lineRule="auto"/>
              <w:rPr>
                <w:rFonts w:hint="eastAsia" w:ascii="宋体" w:hAnsi="宋体" w:cs="宋体"/>
                <w:bCs/>
                <w:color w:val="000000"/>
                <w:szCs w:val="21"/>
              </w:rPr>
            </w:pPr>
            <w:r>
              <w:rPr>
                <w:rFonts w:hint="eastAsia" w:ascii="宋体" w:hAnsi="宋体" w:cs="宋体"/>
                <w:bCs/>
                <w:color w:val="000000"/>
                <w:szCs w:val="21"/>
              </w:rPr>
              <w:t>患者管理</w:t>
            </w:r>
            <w:r>
              <w:rPr>
                <w:rFonts w:hint="eastAsia" w:ascii="宋体" w:hAnsi="宋体" w:cs="宋体"/>
                <w:bCs/>
                <w:szCs w:val="21"/>
              </w:rPr>
              <w:t>：</w:t>
            </w:r>
            <w:r>
              <w:rPr>
                <w:rFonts w:hint="eastAsia" w:ascii="宋体" w:hAnsi="宋体" w:cs="宋体"/>
                <w:bCs/>
                <w:color w:val="000000"/>
                <w:szCs w:val="21"/>
              </w:rPr>
              <w:t>包含新建患者信息和选择编辑历史患者信息。</w:t>
            </w:r>
          </w:p>
          <w:p w14:paraId="58030B39">
            <w:pPr>
              <w:spacing w:line="288" w:lineRule="auto"/>
              <w:rPr>
                <w:rFonts w:hint="eastAsia" w:ascii="宋体" w:hAnsi="宋体" w:cs="宋体"/>
                <w:bCs/>
                <w:color w:val="000000"/>
                <w:szCs w:val="21"/>
              </w:rPr>
            </w:pPr>
            <w:r>
              <w:rPr>
                <w:rFonts w:hint="eastAsia" w:ascii="宋体" w:hAnsi="宋体" w:cs="宋体"/>
                <w:bCs/>
                <w:color w:val="000000"/>
                <w:szCs w:val="21"/>
              </w:rPr>
              <w:t>测量界面</w:t>
            </w:r>
            <w:r>
              <w:rPr>
                <w:rFonts w:hint="eastAsia" w:ascii="宋体" w:hAnsi="宋体" w:cs="宋体"/>
                <w:bCs/>
                <w:szCs w:val="21"/>
              </w:rPr>
              <w:t>：</w:t>
            </w:r>
            <w:r>
              <w:rPr>
                <w:rFonts w:hint="eastAsia" w:ascii="宋体" w:hAnsi="宋体" w:cs="宋体"/>
                <w:bCs/>
                <w:color w:val="000000"/>
                <w:szCs w:val="21"/>
              </w:rPr>
              <w:t>界面应包括：脑电各通道信号显示，心电信号显示，光电描记波信号显示和信号质量状态提示。</w:t>
            </w:r>
          </w:p>
          <w:p w14:paraId="07D27BE7">
            <w:pPr>
              <w:spacing w:line="288" w:lineRule="auto"/>
              <w:rPr>
                <w:rFonts w:hint="eastAsia" w:ascii="宋体" w:hAnsi="宋体" w:cs="宋体"/>
                <w:bCs/>
                <w:color w:val="000000"/>
                <w:szCs w:val="21"/>
              </w:rPr>
            </w:pPr>
            <w:r>
              <w:rPr>
                <w:rFonts w:hint="eastAsia" w:ascii="宋体" w:hAnsi="宋体" w:cs="宋体"/>
                <w:bCs/>
                <w:color w:val="000000"/>
                <w:szCs w:val="21"/>
              </w:rPr>
              <w:t>打开历史测量数据</w:t>
            </w:r>
            <w:r>
              <w:rPr>
                <w:rFonts w:hint="eastAsia" w:ascii="宋体" w:hAnsi="宋体" w:cs="宋体"/>
                <w:bCs/>
                <w:szCs w:val="21"/>
              </w:rPr>
              <w:t>：</w:t>
            </w:r>
            <w:r>
              <w:rPr>
                <w:rFonts w:hint="eastAsia" w:ascii="宋体" w:hAnsi="宋体" w:cs="宋体"/>
                <w:bCs/>
                <w:color w:val="000000"/>
                <w:szCs w:val="21"/>
              </w:rPr>
              <w:t>可以打开被测试对象的历史数据，然后进入受试者报告分析页面。</w:t>
            </w:r>
          </w:p>
          <w:p w14:paraId="30E7F980">
            <w:pPr>
              <w:spacing w:line="288" w:lineRule="auto"/>
              <w:rPr>
                <w:rFonts w:hint="eastAsia" w:ascii="宋体" w:hAnsi="宋体" w:cs="宋体"/>
                <w:bCs/>
                <w:szCs w:val="21"/>
              </w:rPr>
            </w:pPr>
            <w:r>
              <w:rPr>
                <w:rFonts w:hint="eastAsia" w:ascii="宋体" w:hAnsi="宋体" w:cs="宋体"/>
                <w:bCs/>
                <w:color w:val="000000"/>
                <w:szCs w:val="21"/>
              </w:rPr>
              <w:t>报告分析</w:t>
            </w:r>
            <w:r>
              <w:rPr>
                <w:rFonts w:hint="eastAsia" w:ascii="宋体" w:hAnsi="宋体" w:cs="宋体"/>
                <w:bCs/>
                <w:szCs w:val="21"/>
              </w:rPr>
              <w:t>：</w:t>
            </w:r>
          </w:p>
          <w:p w14:paraId="4E5B8043">
            <w:pPr>
              <w:spacing w:line="288" w:lineRule="auto"/>
              <w:rPr>
                <w:rFonts w:hint="eastAsia" w:ascii="宋体" w:hAnsi="宋体" w:cs="宋体"/>
                <w:bCs/>
                <w:color w:val="000000"/>
                <w:szCs w:val="21"/>
              </w:rPr>
            </w:pPr>
            <w:r>
              <w:rPr>
                <w:rFonts w:hint="eastAsia" w:ascii="宋体" w:hAnsi="宋体"/>
                <w:szCs w:val="21"/>
              </w:rPr>
              <w:t>▲</w:t>
            </w:r>
            <w:r>
              <w:rPr>
                <w:rFonts w:hint="eastAsia" w:ascii="宋体" w:hAnsi="宋体" w:cs="宋体"/>
                <w:b/>
                <w:color w:val="000000"/>
                <w:szCs w:val="21"/>
              </w:rPr>
              <w:t>（1）神经功能测试：</w:t>
            </w:r>
            <w:r>
              <w:rPr>
                <w:rFonts w:hint="eastAsia" w:ascii="宋体" w:hAnsi="宋体" w:cs="宋体"/>
                <w:bCs/>
                <w:color w:val="000000"/>
                <w:szCs w:val="21"/>
              </w:rPr>
              <w:t>可以分类浏览受试者神经功能反应测试的相关分析结果，并对结果进行解释说明。主要分类包括：结果概述，频率分析，行为反应分析，诱发电位，脑电地形图分析，LORETA分析，测试值总览，睁眼分析，闭眼分析，睁眼FFT分析，闭眼FFT分析，通道分析，注释添加和帮助。其中通道分析，可进行不同通道组合的选择，通道信号的时间间隔和幅度测量，波形放大，波形缩小，波形分辨率设置，波形前一页显示，波形后一页显示，波形自动放映和停止等；</w:t>
            </w:r>
          </w:p>
          <w:p w14:paraId="27545F3C">
            <w:pPr>
              <w:spacing w:line="288" w:lineRule="auto"/>
              <w:rPr>
                <w:rFonts w:hint="eastAsia" w:ascii="宋体" w:hAnsi="宋体" w:cs="宋体"/>
                <w:bCs/>
                <w:color w:val="000000"/>
                <w:szCs w:val="21"/>
              </w:rPr>
            </w:pPr>
            <w:r>
              <w:rPr>
                <w:rFonts w:hint="eastAsia" w:ascii="宋体" w:hAnsi="宋体" w:cs="宋体"/>
                <w:b/>
                <w:color w:val="000000"/>
                <w:szCs w:val="21"/>
              </w:rPr>
              <w:t>（2）脑电图回放</w:t>
            </w:r>
            <w:r>
              <w:rPr>
                <w:rFonts w:hint="eastAsia" w:ascii="宋体" w:hAnsi="宋体" w:cs="宋体"/>
                <w:b/>
                <w:color w:val="auto"/>
                <w:szCs w:val="21"/>
              </w:rPr>
              <w:t>：</w:t>
            </w:r>
            <w:r>
              <w:rPr>
                <w:rFonts w:hint="eastAsia" w:ascii="宋体" w:hAnsi="宋体" w:cs="宋体"/>
                <w:bCs/>
                <w:color w:val="auto"/>
                <w:szCs w:val="21"/>
              </w:rPr>
              <w:t>支持波形回放和波形分析两种形式</w:t>
            </w:r>
            <w:r>
              <w:rPr>
                <w:rFonts w:hint="eastAsia" w:ascii="宋体" w:hAnsi="宋体" w:cs="宋体"/>
                <w:bCs/>
                <w:color w:val="000000"/>
                <w:szCs w:val="21"/>
              </w:rPr>
              <w:t>。</w:t>
            </w:r>
          </w:p>
          <w:p w14:paraId="6AD652EA">
            <w:pPr>
              <w:spacing w:line="288" w:lineRule="auto"/>
              <w:ind w:firstLine="210" w:firstLineChars="100"/>
              <w:rPr>
                <w:rFonts w:hint="eastAsia" w:ascii="宋体" w:hAnsi="宋体" w:cs="宋体"/>
                <w:bCs/>
                <w:color w:val="000000"/>
                <w:szCs w:val="21"/>
              </w:rPr>
            </w:pPr>
            <w:r>
              <w:rPr>
                <w:rFonts w:hint="eastAsia" w:ascii="宋体" w:hAnsi="宋体" w:cs="宋体"/>
                <w:bCs/>
                <w:color w:val="000000"/>
                <w:szCs w:val="21"/>
              </w:rPr>
              <w:t>①波形回放功能可进行不同通道信号组合的选择，信号异常标识，通道信号的时间间隔和幅度测量，波形放大，波形缩小，波形分辨率设置，波形前一页显示，波形后一页显示，波形自动放映和停止等。</w:t>
            </w:r>
          </w:p>
          <w:p w14:paraId="3B37DE35">
            <w:pPr>
              <w:spacing w:line="288" w:lineRule="auto"/>
              <w:ind w:firstLine="210" w:firstLineChars="100"/>
              <w:rPr>
                <w:rFonts w:hint="eastAsia" w:ascii="宋体" w:hAnsi="宋体" w:cs="宋体"/>
                <w:bCs/>
                <w:color w:val="000000"/>
                <w:szCs w:val="21"/>
              </w:rPr>
            </w:pPr>
            <w:r>
              <w:rPr>
                <w:rFonts w:hint="eastAsia" w:ascii="宋体" w:hAnsi="宋体" w:cs="宋体"/>
                <w:bCs/>
                <w:color w:val="000000"/>
                <w:szCs w:val="21"/>
              </w:rPr>
              <w:t>②波形分析包括FFT分析，地形图分析，低分辨率大脑电磁断层成像分析，小波分析，事件相关分析和协方差分析。其中地形图分析包括幅度地形图，绝对功率地形图，相关分析地形图等；低分辨率大脑电磁断层成像分析包括三维视图显示，偶极子断层图分析，eLORETA分析，sLORETA分析等；小波分析包括稀疏快速傅里叶变换和小波变换等；事件相关分析包括按标准显示和按通道显示等；协方差分析包括特征向量和独立成分分析。</w:t>
            </w:r>
          </w:p>
          <w:p w14:paraId="69547330">
            <w:pPr>
              <w:spacing w:line="288" w:lineRule="auto"/>
              <w:rPr>
                <w:rFonts w:hint="eastAsia" w:ascii="宋体" w:hAnsi="宋体" w:cs="宋体"/>
                <w:bCs/>
                <w:color w:val="000000"/>
                <w:szCs w:val="21"/>
              </w:rPr>
            </w:pPr>
            <w:r>
              <w:rPr>
                <w:rFonts w:hint="eastAsia" w:ascii="宋体" w:hAnsi="宋体"/>
                <w:szCs w:val="21"/>
              </w:rPr>
              <w:t>▲</w:t>
            </w:r>
            <w:r>
              <w:rPr>
                <w:rFonts w:hint="eastAsia" w:ascii="宋体" w:hAnsi="宋体" w:cs="宋体"/>
                <w:b/>
                <w:color w:val="000000"/>
                <w:szCs w:val="21"/>
              </w:rPr>
              <w:t>（3）图形分析：</w:t>
            </w:r>
            <w:r>
              <w:rPr>
                <w:rFonts w:hint="eastAsia" w:ascii="宋体" w:hAnsi="宋体" w:cs="宋体"/>
                <w:bCs/>
                <w:color w:val="auto"/>
                <w:szCs w:val="21"/>
              </w:rPr>
              <w:t>支持不</w:t>
            </w:r>
            <w:r>
              <w:rPr>
                <w:rFonts w:hint="eastAsia" w:ascii="宋体" w:hAnsi="宋体" w:cs="宋体"/>
                <w:bCs/>
                <w:color w:val="000000"/>
                <w:szCs w:val="21"/>
              </w:rPr>
              <w:t>同通道的EEG，ECG和PPG信号的显示和手动测量；也可显示信号的直方图，频谱图和散点图。</w:t>
            </w:r>
          </w:p>
          <w:p w14:paraId="67D3F3C4">
            <w:pPr>
              <w:spacing w:line="288" w:lineRule="auto"/>
              <w:rPr>
                <w:rFonts w:hint="eastAsia" w:ascii="宋体" w:hAnsi="宋体" w:cs="宋体"/>
                <w:bCs/>
                <w:color w:val="000000"/>
                <w:szCs w:val="21"/>
              </w:rPr>
            </w:pPr>
            <w:r>
              <w:rPr>
                <w:rFonts w:hint="eastAsia" w:ascii="宋体" w:hAnsi="宋体" w:cs="宋体"/>
                <w:bCs/>
                <w:color w:val="000000"/>
                <w:szCs w:val="21"/>
              </w:rPr>
              <w:t>诊断模板</w:t>
            </w:r>
            <w:r>
              <w:rPr>
                <w:rFonts w:hint="eastAsia" w:ascii="宋体" w:hAnsi="宋体" w:cs="宋体"/>
                <w:bCs/>
                <w:szCs w:val="21"/>
              </w:rPr>
              <w:t>：</w:t>
            </w:r>
            <w:r>
              <w:rPr>
                <w:rFonts w:hint="eastAsia" w:ascii="宋体" w:hAnsi="宋体" w:cs="宋体"/>
                <w:bCs/>
                <w:color w:val="000000"/>
                <w:szCs w:val="21"/>
              </w:rPr>
              <w:t>可添加诊断模板，诊断模板保存后，可以删除和修改，诊断结论可以从诊断模板选择。</w:t>
            </w:r>
          </w:p>
          <w:p w14:paraId="493BA5A8">
            <w:pPr>
              <w:spacing w:line="288" w:lineRule="auto"/>
              <w:rPr>
                <w:rFonts w:hint="eastAsia" w:ascii="宋体" w:hAnsi="宋体" w:cs="宋体"/>
                <w:bCs/>
                <w:color w:val="000000"/>
                <w:szCs w:val="21"/>
              </w:rPr>
            </w:pPr>
            <w:r>
              <w:rPr>
                <w:rFonts w:hint="eastAsia" w:ascii="宋体" w:hAnsi="宋体" w:cs="宋体"/>
                <w:bCs/>
                <w:color w:val="000000"/>
                <w:szCs w:val="21"/>
              </w:rPr>
              <w:t>报告打印：可以对期望得到的报告包含的内容进行选择设置，可以选择生成不同文件格式（PDF，JPEG等）的报告存储到电脑硬盘上。</w:t>
            </w:r>
          </w:p>
          <w:p w14:paraId="104EF6C0">
            <w:pPr>
              <w:spacing w:line="288" w:lineRule="auto"/>
              <w:rPr>
                <w:rFonts w:hint="eastAsia" w:ascii="宋体" w:hAnsi="宋体" w:cs="宋体"/>
                <w:bCs/>
                <w:color w:val="000000"/>
                <w:szCs w:val="21"/>
              </w:rPr>
            </w:pPr>
            <w:r>
              <w:rPr>
                <w:rFonts w:hint="eastAsia" w:ascii="宋体" w:hAnsi="宋体" w:cs="宋体"/>
                <w:bCs/>
                <w:color w:val="000000"/>
                <w:szCs w:val="21"/>
              </w:rPr>
              <w:t>帮助：包括对软件的基本操作及相关功能的原理进行介绍。</w:t>
            </w:r>
          </w:p>
          <w:p w14:paraId="405CD9A0">
            <w:pPr>
              <w:spacing w:line="288" w:lineRule="auto"/>
              <w:rPr>
                <w:rFonts w:hint="eastAsia" w:ascii="宋体" w:hAnsi="宋体" w:cs="宋体"/>
                <w:bCs/>
                <w:color w:val="000000"/>
                <w:szCs w:val="21"/>
              </w:rPr>
            </w:pPr>
            <w:r>
              <w:rPr>
                <w:rFonts w:hint="eastAsia" w:ascii="宋体" w:hAnsi="宋体" w:cs="宋体"/>
                <w:bCs/>
                <w:color w:val="000000"/>
                <w:szCs w:val="21"/>
              </w:rPr>
              <w:t>信号质量检测：包括对信号的状态进行判断，当信号异常时，识别为信号质量差；当信号正常时，识别为信号质量好；可以对EEG各通道电极与头皮的接触情况进行判断和提示；可以对ECG电极的信号质量进行判断；可以对PPG信号的质量进行判断。当启动测量之后，该功能实时地对信号的质量进行判断，以显著的方式提示操作者信号异常，需做相应检查和处理。</w:t>
            </w:r>
          </w:p>
          <w:p w14:paraId="4515999B">
            <w:pPr>
              <w:spacing w:line="288" w:lineRule="auto"/>
              <w:rPr>
                <w:rFonts w:hint="eastAsia" w:ascii="宋体" w:hAnsi="宋体" w:cs="宋体"/>
                <w:bCs/>
                <w:color w:val="000000"/>
                <w:szCs w:val="21"/>
              </w:rPr>
            </w:pPr>
            <w:r>
              <w:rPr>
                <w:rFonts w:hint="eastAsia" w:ascii="宋体" w:hAnsi="宋体" w:cs="宋体"/>
                <w:bCs/>
                <w:color w:val="000000"/>
                <w:szCs w:val="21"/>
              </w:rPr>
              <w:t>网络安全：符合《医疗器械网络安全指导原则》。</w:t>
            </w:r>
          </w:p>
          <w:p w14:paraId="68B297E9">
            <w:pPr>
              <w:spacing w:line="288" w:lineRule="auto"/>
              <w:rPr>
                <w:rFonts w:hint="eastAsia" w:ascii="宋体" w:hAnsi="宋体" w:cs="宋体"/>
                <w:bCs/>
                <w:color w:val="000000"/>
                <w:szCs w:val="21"/>
              </w:rPr>
            </w:pPr>
            <w:r>
              <w:rPr>
                <w:rFonts w:hint="eastAsia" w:ascii="宋体" w:hAnsi="宋体" w:cs="宋体"/>
                <w:bCs/>
                <w:color w:val="000000"/>
                <w:szCs w:val="21"/>
              </w:rPr>
              <w:t>快速和稳定性：软件启动时间小于15秒；软件运行稳定，使用过程软件崩溃出现概率小于1%。</w:t>
            </w:r>
          </w:p>
          <w:p w14:paraId="267AC639">
            <w:pPr>
              <w:spacing w:line="288" w:lineRule="auto"/>
              <w:rPr>
                <w:rFonts w:hint="eastAsia" w:ascii="宋体" w:hAnsi="宋体" w:cs="宋体"/>
                <w:bCs/>
                <w:color w:val="000000"/>
                <w:szCs w:val="21"/>
              </w:rPr>
            </w:pPr>
            <w:r>
              <w:rPr>
                <w:rFonts w:hint="eastAsia" w:ascii="宋体" w:hAnsi="宋体" w:cs="宋体"/>
                <w:bCs/>
                <w:color w:val="000000"/>
                <w:szCs w:val="21"/>
              </w:rPr>
              <w:t>可用性：产品在保证安全性的前提下，已对人机交互的有效性、效率、易学度、满意度进行了验证和确认。</w:t>
            </w:r>
          </w:p>
          <w:p w14:paraId="4F1346DB">
            <w:pPr>
              <w:spacing w:line="288" w:lineRule="auto"/>
              <w:rPr>
                <w:rFonts w:hint="eastAsia" w:ascii="宋体" w:hAnsi="宋体" w:cs="宋体"/>
                <w:bCs/>
                <w:color w:val="000000"/>
                <w:szCs w:val="21"/>
              </w:rPr>
            </w:pPr>
            <w:r>
              <w:rPr>
                <w:rFonts w:hint="eastAsia" w:ascii="宋体" w:hAnsi="宋体" w:cs="宋体"/>
                <w:bCs/>
                <w:color w:val="000000"/>
                <w:szCs w:val="21"/>
              </w:rPr>
              <w:t>安装：产品要求安装在专用电脑上，专用电脑不允许安装与分析软件无关的其他软件。</w:t>
            </w:r>
          </w:p>
          <w:p w14:paraId="31922AB5">
            <w:pPr>
              <w:spacing w:line="288" w:lineRule="auto"/>
              <w:rPr>
                <w:rFonts w:hint="eastAsia" w:ascii="宋体" w:hAnsi="宋体" w:cs="宋体"/>
                <w:bCs/>
                <w:color w:val="000000"/>
                <w:szCs w:val="21"/>
              </w:rPr>
            </w:pPr>
            <w:r>
              <w:rPr>
                <w:rFonts w:hint="eastAsia" w:ascii="宋体" w:hAnsi="宋体" w:cs="宋体"/>
                <w:bCs/>
                <w:color w:val="000000"/>
                <w:szCs w:val="21"/>
              </w:rPr>
              <w:t xml:space="preserve">维护：对于软件在使用过程出现的问题，软件可通过日志进行记录。 </w:t>
            </w:r>
          </w:p>
          <w:p w14:paraId="4F7D31DA">
            <w:pPr>
              <w:spacing w:line="288" w:lineRule="auto"/>
              <w:rPr>
                <w:rFonts w:hint="eastAsia" w:ascii="宋体" w:hAnsi="宋体" w:cs="宋体"/>
                <w:bCs/>
                <w:color w:val="000000"/>
                <w:szCs w:val="21"/>
              </w:rPr>
            </w:pPr>
            <w:r>
              <w:rPr>
                <w:rFonts w:hint="eastAsia" w:ascii="宋体" w:hAnsi="宋体" w:cs="宋体"/>
                <w:bCs/>
                <w:color w:val="000000"/>
                <w:szCs w:val="21"/>
              </w:rPr>
              <w:t>升级：具有升级权限的操作人员可利用网络对运行有分析软件的台式电脑或笔记本进行升级。</w:t>
            </w:r>
          </w:p>
          <w:p w14:paraId="10EE58B5">
            <w:pPr>
              <w:rPr>
                <w:rFonts w:hint="eastAsia" w:ascii="宋体" w:hAnsi="宋体" w:cs="宋体"/>
                <w:b/>
                <w:bCs/>
              </w:rPr>
            </w:pPr>
            <w:r>
              <w:rPr>
                <w:rFonts w:hint="eastAsia" w:ascii="宋体" w:hAnsi="宋体" w:cs="宋体"/>
                <w:b/>
                <w:bCs/>
              </w:rPr>
              <w:t>5、PC系统需求</w:t>
            </w:r>
          </w:p>
          <w:p w14:paraId="22CDC96F">
            <w:pPr>
              <w:spacing w:line="288" w:lineRule="auto"/>
              <w:rPr>
                <w:rFonts w:hint="eastAsia" w:ascii="宋体" w:hAnsi="宋体" w:cs="宋体"/>
                <w:color w:val="000000"/>
                <w:szCs w:val="21"/>
              </w:rPr>
            </w:pPr>
            <w:r>
              <w:rPr>
                <w:rFonts w:hint="eastAsia" w:ascii="宋体" w:hAnsi="宋体" w:cs="宋体"/>
                <w:color w:val="000000"/>
                <w:szCs w:val="21"/>
              </w:rPr>
              <w:t>CPU：2.0GHz及以上</w:t>
            </w:r>
          </w:p>
          <w:p w14:paraId="4BB56B35">
            <w:pPr>
              <w:spacing w:line="288" w:lineRule="auto"/>
              <w:rPr>
                <w:rFonts w:hint="eastAsia" w:ascii="宋体" w:hAnsi="宋体" w:cs="宋体"/>
                <w:color w:val="000000"/>
                <w:szCs w:val="21"/>
              </w:rPr>
            </w:pPr>
            <w:r>
              <w:rPr>
                <w:rFonts w:hint="eastAsia" w:ascii="宋体" w:hAnsi="宋体" w:cs="宋体"/>
                <w:color w:val="000000"/>
                <w:szCs w:val="21"/>
              </w:rPr>
              <w:t>内存：8GB及以上</w:t>
            </w:r>
          </w:p>
          <w:p w14:paraId="09DEBFD3">
            <w:pPr>
              <w:spacing w:line="288" w:lineRule="auto"/>
              <w:rPr>
                <w:rFonts w:hint="eastAsia" w:ascii="宋体" w:hAnsi="宋体" w:cs="宋体"/>
                <w:color w:val="000000"/>
                <w:szCs w:val="21"/>
              </w:rPr>
            </w:pPr>
            <w:r>
              <w:rPr>
                <w:rFonts w:hint="eastAsia" w:ascii="宋体" w:hAnsi="宋体" w:cs="宋体"/>
                <w:color w:val="000000"/>
                <w:szCs w:val="21"/>
              </w:rPr>
              <w:t>显示分辨率：高清1200×800 及以上</w:t>
            </w:r>
          </w:p>
          <w:p w14:paraId="4171C6E3">
            <w:pPr>
              <w:spacing w:line="288" w:lineRule="auto"/>
              <w:rPr>
                <w:rFonts w:hint="eastAsia" w:ascii="宋体" w:hAnsi="宋体" w:cs="宋体"/>
                <w:color w:val="000000"/>
                <w:szCs w:val="21"/>
              </w:rPr>
            </w:pPr>
            <w:r>
              <w:rPr>
                <w:rFonts w:hint="eastAsia" w:ascii="宋体" w:hAnsi="宋体" w:cs="宋体"/>
                <w:color w:val="000000"/>
                <w:szCs w:val="21"/>
              </w:rPr>
              <w:t>显示屏：15寸或更大</w:t>
            </w:r>
          </w:p>
          <w:p w14:paraId="44E7C603">
            <w:pPr>
              <w:spacing w:line="288" w:lineRule="auto"/>
              <w:rPr>
                <w:rFonts w:hint="eastAsia" w:ascii="宋体" w:hAnsi="宋体" w:cs="宋体"/>
                <w:color w:val="000000"/>
                <w:szCs w:val="21"/>
              </w:rPr>
            </w:pPr>
            <w:r>
              <w:rPr>
                <w:rFonts w:hint="eastAsia" w:ascii="宋体" w:hAnsi="宋体" w:cs="宋体"/>
                <w:color w:val="000000"/>
                <w:szCs w:val="21"/>
              </w:rPr>
              <w:t>硬盘空间：10GB及以上</w:t>
            </w:r>
          </w:p>
          <w:p w14:paraId="0AA428E0">
            <w:pPr>
              <w:spacing w:line="288" w:lineRule="auto"/>
              <w:rPr>
                <w:rFonts w:hint="eastAsia" w:ascii="宋体" w:hAnsi="宋体" w:cs="宋体"/>
                <w:color w:val="000000"/>
                <w:szCs w:val="21"/>
              </w:rPr>
            </w:pPr>
            <w:r>
              <w:rPr>
                <w:rFonts w:hint="eastAsia" w:ascii="宋体" w:hAnsi="宋体" w:cs="宋体"/>
                <w:color w:val="000000"/>
                <w:szCs w:val="21"/>
              </w:rPr>
              <w:t>操作系统：Win10操作系统或者更高的有最新的安全更新的Windows版本</w:t>
            </w:r>
          </w:p>
          <w:p w14:paraId="56C0CD4D">
            <w:pPr>
              <w:spacing w:line="288" w:lineRule="auto"/>
              <w:rPr>
                <w:rFonts w:hint="eastAsia" w:ascii="宋体" w:hAnsi="宋体" w:cs="宋体"/>
              </w:rPr>
            </w:pPr>
            <w:r>
              <w:rPr>
                <w:rFonts w:hint="eastAsia" w:ascii="宋体" w:hAnsi="宋体" w:cs="宋体"/>
                <w:color w:val="000000"/>
                <w:szCs w:val="21"/>
              </w:rPr>
              <w:t>认证：计算机认证适用标准 IEC 60950（GB 4943.1）或IEC 60601-1（GB 9706.1）</w:t>
            </w:r>
          </w:p>
          <w:p w14:paraId="3D90D817">
            <w:pPr>
              <w:rPr>
                <w:rFonts w:hint="eastAsia" w:ascii="宋体" w:hAnsi="宋体" w:cs="宋体"/>
                <w:b/>
                <w:bCs/>
              </w:rPr>
            </w:pPr>
            <w:r>
              <w:rPr>
                <w:rFonts w:hint="eastAsia" w:ascii="宋体" w:hAnsi="宋体" w:cs="宋体"/>
                <w:b/>
                <w:bCs/>
              </w:rPr>
              <w:t>6、安全分类</w:t>
            </w:r>
          </w:p>
          <w:p w14:paraId="78BED161">
            <w:pPr>
              <w:rPr>
                <w:rFonts w:hint="eastAsia" w:ascii="宋体" w:hAnsi="宋体" w:cs="宋体"/>
              </w:rPr>
            </w:pPr>
            <w:r>
              <w:rPr>
                <w:rFonts w:hint="eastAsia" w:ascii="宋体" w:hAnsi="宋体" w:cs="宋体"/>
              </w:rPr>
              <w:t>电源：特定电源供电，DC 5V, 从PC机的 USB端口输出</w:t>
            </w:r>
          </w:p>
          <w:p w14:paraId="4B736D13">
            <w:pPr>
              <w:rPr>
                <w:rFonts w:hint="eastAsia" w:ascii="宋体" w:hAnsi="宋体" w:cs="宋体"/>
              </w:rPr>
            </w:pPr>
            <w:r>
              <w:rPr>
                <w:rFonts w:hint="eastAsia" w:ascii="宋体" w:hAnsi="宋体" w:cs="宋体"/>
              </w:rPr>
              <w:t>防水等级：IPX0</w:t>
            </w:r>
          </w:p>
          <w:p w14:paraId="262C4F0A">
            <w:pPr>
              <w:rPr>
                <w:rFonts w:hint="eastAsia" w:ascii="宋体" w:hAnsi="宋体" w:cs="宋体"/>
              </w:rPr>
            </w:pPr>
            <w:r>
              <w:rPr>
                <w:rFonts w:hint="eastAsia" w:ascii="宋体" w:hAnsi="宋体" w:cs="宋体"/>
              </w:rPr>
              <w:t>防电击程度分类：CF型应用部分</w:t>
            </w:r>
          </w:p>
          <w:p w14:paraId="0CE10402">
            <w:pPr>
              <w:rPr>
                <w:rFonts w:hint="eastAsia" w:ascii="宋体" w:hAnsi="宋体" w:cs="宋体"/>
              </w:rPr>
            </w:pPr>
            <w:r>
              <w:rPr>
                <w:rFonts w:hint="eastAsia" w:ascii="宋体" w:hAnsi="宋体" w:cs="宋体"/>
              </w:rPr>
              <w:t>运行模式：连续运行</w:t>
            </w:r>
          </w:p>
          <w:p w14:paraId="2F637E3E">
            <w:pPr>
              <w:rPr>
                <w:rFonts w:hint="eastAsia" w:ascii="宋体" w:hAnsi="宋体" w:cs="宋体"/>
              </w:rPr>
            </w:pPr>
            <w:r>
              <w:rPr>
                <w:rFonts w:hint="eastAsia" w:ascii="宋体" w:hAnsi="宋体" w:cs="宋体"/>
              </w:rPr>
              <w:t>输入功率：直流5V供电，额定电流500mA</w:t>
            </w:r>
          </w:p>
          <w:p w14:paraId="16EEEF3C">
            <w:pPr>
              <w:rPr>
                <w:rFonts w:hint="eastAsia" w:ascii="宋体" w:hAnsi="宋体" w:cs="宋体"/>
              </w:rPr>
            </w:pPr>
            <w:r>
              <w:rPr>
                <w:rFonts w:hint="eastAsia" w:ascii="宋体" w:hAnsi="宋体" w:cs="宋体"/>
              </w:rPr>
              <w:t>易燃气体存在的安全程度：不属AP型或APG型</w:t>
            </w:r>
          </w:p>
          <w:p w14:paraId="675C9B0C">
            <w:pPr>
              <w:rPr>
                <w:rFonts w:hint="eastAsia" w:ascii="宋体" w:hAnsi="宋体"/>
                <w:szCs w:val="21"/>
              </w:rPr>
            </w:pPr>
            <w:r>
              <w:rPr>
                <w:rFonts w:hint="eastAsia" w:ascii="宋体" w:hAnsi="宋体" w:cs="宋体"/>
              </w:rPr>
              <w:t>永久性安装设备或非永久性安装设备：非永久性安装设备（可移动式设备）</w:t>
            </w:r>
          </w:p>
        </w:tc>
        <w:tc>
          <w:tcPr>
            <w:tcW w:w="1237" w:type="dxa"/>
            <w:tcBorders>
              <w:top w:val="single" w:color="auto" w:sz="4" w:space="0"/>
              <w:left w:val="single" w:color="auto" w:sz="4" w:space="0"/>
              <w:bottom w:val="single" w:color="auto" w:sz="4" w:space="0"/>
              <w:right w:val="single" w:color="auto" w:sz="4" w:space="0"/>
            </w:tcBorders>
            <w:vAlign w:val="center"/>
          </w:tcPr>
          <w:p w14:paraId="66B51BC9">
            <w:pPr>
              <w:pStyle w:val="18"/>
              <w:adjustRightInd w:val="0"/>
              <w:snapToGrid w:val="0"/>
              <w:spacing w:line="360" w:lineRule="auto"/>
              <w:rPr>
                <w:rFonts w:hint="eastAsia" w:hAnsi="宋体"/>
                <w:sz w:val="21"/>
              </w:rPr>
            </w:pPr>
            <w:r>
              <w:rPr>
                <w:rFonts w:hint="eastAsia" w:hAnsi="宋体"/>
                <w:sz w:val="21"/>
              </w:rPr>
              <w:t>240000.00</w:t>
            </w:r>
          </w:p>
        </w:tc>
      </w:tr>
      <w:tr w14:paraId="56D436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9" w:hRule="atLeast"/>
        </w:trPr>
        <w:tc>
          <w:tcPr>
            <w:tcW w:w="9806" w:type="dxa"/>
            <w:gridSpan w:val="6"/>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AA3BE9B">
            <w:pPr>
              <w:spacing w:line="264" w:lineRule="auto"/>
              <w:rPr>
                <w:rFonts w:hint="eastAsia" w:ascii="宋体" w:hAnsi="宋体" w:cs="宋体"/>
                <w:szCs w:val="21"/>
              </w:rPr>
            </w:pPr>
            <w:r>
              <w:rPr>
                <w:rFonts w:hint="eastAsia" w:ascii="宋体" w:hAnsi="宋体" w:cs="宋体"/>
                <w:szCs w:val="21"/>
              </w:rPr>
              <w:t>▲</w:t>
            </w:r>
            <w:r>
              <w:rPr>
                <w:rFonts w:hint="eastAsia" w:ascii="宋体" w:hAnsi="宋体" w:cs="宋体"/>
                <w:b/>
                <w:bCs/>
                <w:szCs w:val="21"/>
              </w:rPr>
              <w:t>一、商务条款</w:t>
            </w:r>
          </w:p>
        </w:tc>
      </w:tr>
      <w:tr w14:paraId="5CF5F9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9" w:hRule="atLeast"/>
        </w:trPr>
        <w:tc>
          <w:tcPr>
            <w:tcW w:w="1637"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2629455F">
            <w:pPr>
              <w:spacing w:line="264" w:lineRule="auto"/>
              <w:jc w:val="center"/>
              <w:rPr>
                <w:rFonts w:hint="eastAsia" w:ascii="宋体" w:hAnsi="宋体" w:cs="宋体"/>
                <w:color w:val="000000"/>
                <w:kern w:val="0"/>
                <w:szCs w:val="21"/>
                <w:lang w:bidi="ar"/>
              </w:rPr>
            </w:pPr>
            <w:r>
              <w:rPr>
                <w:rFonts w:hint="eastAsia" w:ascii="宋体" w:hAnsi="宋体" w:cs="宋体"/>
                <w:szCs w:val="21"/>
              </w:rPr>
              <w:t>合同签订时间</w:t>
            </w:r>
          </w:p>
        </w:tc>
        <w:tc>
          <w:tcPr>
            <w:tcW w:w="8169" w:type="dxa"/>
            <w:gridSpan w:val="4"/>
            <w:tcBorders>
              <w:top w:val="single" w:color="auto" w:sz="4" w:space="0"/>
              <w:left w:val="single" w:color="auto" w:sz="4" w:space="0"/>
              <w:bottom w:val="single" w:color="auto" w:sz="4" w:space="0"/>
              <w:right w:val="single" w:color="auto" w:sz="4" w:space="0"/>
            </w:tcBorders>
            <w:vAlign w:val="center"/>
          </w:tcPr>
          <w:p w14:paraId="1857020A">
            <w:pPr>
              <w:spacing w:line="264" w:lineRule="auto"/>
              <w:jc w:val="left"/>
              <w:rPr>
                <w:rFonts w:hint="eastAsia" w:ascii="宋体" w:hAnsi="宋体" w:cs="宋体"/>
                <w:szCs w:val="21"/>
              </w:rPr>
            </w:pPr>
            <w:r>
              <w:rPr>
                <w:rFonts w:hint="eastAsia" w:ascii="宋体" w:hAnsi="宋体" w:cs="宋体"/>
                <w:szCs w:val="21"/>
              </w:rPr>
              <w:t>自成交通知书发出之日起25日内。</w:t>
            </w:r>
          </w:p>
        </w:tc>
      </w:tr>
      <w:tr w14:paraId="4CD436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91" w:hRule="atLeast"/>
        </w:trPr>
        <w:tc>
          <w:tcPr>
            <w:tcW w:w="1637"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637BE6FC">
            <w:pPr>
              <w:spacing w:line="264" w:lineRule="auto"/>
              <w:jc w:val="center"/>
              <w:rPr>
                <w:rFonts w:hint="eastAsia" w:ascii="宋体" w:hAnsi="宋体" w:cs="宋体"/>
                <w:color w:val="000000"/>
                <w:kern w:val="0"/>
                <w:szCs w:val="21"/>
                <w:lang w:bidi="ar"/>
              </w:rPr>
            </w:pPr>
            <w:r>
              <w:rPr>
                <w:rFonts w:hint="eastAsia" w:ascii="宋体" w:hAnsi="宋体" w:cs="宋体"/>
                <w:szCs w:val="21"/>
              </w:rPr>
              <w:t>竞标报价</w:t>
            </w:r>
          </w:p>
        </w:tc>
        <w:tc>
          <w:tcPr>
            <w:tcW w:w="8169" w:type="dxa"/>
            <w:gridSpan w:val="4"/>
            <w:tcBorders>
              <w:top w:val="single" w:color="auto" w:sz="4" w:space="0"/>
              <w:left w:val="single" w:color="auto" w:sz="4" w:space="0"/>
              <w:bottom w:val="single" w:color="auto" w:sz="4" w:space="0"/>
              <w:right w:val="single" w:color="auto" w:sz="4" w:space="0"/>
            </w:tcBorders>
            <w:vAlign w:val="center"/>
          </w:tcPr>
          <w:p w14:paraId="23594B62">
            <w:pPr>
              <w:spacing w:line="264" w:lineRule="auto"/>
              <w:jc w:val="left"/>
              <w:rPr>
                <w:rFonts w:hint="eastAsia" w:ascii="宋体" w:hAnsi="宋体" w:cs="宋体"/>
                <w:szCs w:val="21"/>
              </w:rPr>
            </w:pPr>
            <w:r>
              <w:rPr>
                <w:rFonts w:hint="eastAsia" w:ascii="宋体" w:hAnsi="宋体" w:cs="宋体"/>
                <w:szCs w:val="21"/>
              </w:rPr>
              <w:t>竞标报价为采购人指定地点的现场交货价，包括：</w:t>
            </w:r>
          </w:p>
          <w:p w14:paraId="33ADAF6A">
            <w:pPr>
              <w:spacing w:line="264" w:lineRule="auto"/>
              <w:jc w:val="left"/>
              <w:rPr>
                <w:rFonts w:hint="eastAsia" w:ascii="宋体" w:hAnsi="宋体"/>
                <w:szCs w:val="21"/>
              </w:rPr>
            </w:pPr>
            <w:r>
              <w:rPr>
                <w:rFonts w:hint="eastAsia" w:ascii="宋体" w:hAnsi="宋体"/>
                <w:szCs w:val="21"/>
              </w:rPr>
              <w:t>1.货物的价格；</w:t>
            </w:r>
          </w:p>
          <w:p w14:paraId="292F53EB">
            <w:pPr>
              <w:spacing w:line="264" w:lineRule="auto"/>
              <w:jc w:val="left"/>
              <w:rPr>
                <w:rFonts w:hint="eastAsia" w:ascii="宋体" w:hAnsi="宋体"/>
                <w:szCs w:val="21"/>
              </w:rPr>
            </w:pPr>
            <w:r>
              <w:rPr>
                <w:rFonts w:hint="eastAsia" w:ascii="宋体" w:hAnsi="宋体"/>
                <w:szCs w:val="21"/>
              </w:rPr>
              <w:t>2.货物涉及的所有设备、标准附件、备品备件、专用工具的价格；</w:t>
            </w:r>
          </w:p>
          <w:p w14:paraId="17B3331E">
            <w:pPr>
              <w:spacing w:line="264" w:lineRule="auto"/>
              <w:jc w:val="left"/>
              <w:rPr>
                <w:rFonts w:hint="eastAsia" w:ascii="宋体" w:hAnsi="宋体"/>
                <w:szCs w:val="21"/>
              </w:rPr>
            </w:pPr>
            <w:r>
              <w:rPr>
                <w:rFonts w:hint="eastAsia" w:ascii="宋体" w:hAnsi="宋体"/>
                <w:szCs w:val="21"/>
              </w:rPr>
              <w:t>3.运输、装卸、调试、培训、技术支持、组织验收、售后服务等费用；</w:t>
            </w:r>
          </w:p>
          <w:p w14:paraId="50BCCA15">
            <w:pPr>
              <w:spacing w:line="264" w:lineRule="auto"/>
              <w:jc w:val="left"/>
              <w:rPr>
                <w:rFonts w:hint="eastAsia" w:ascii="宋体" w:hAnsi="宋体"/>
                <w:szCs w:val="21"/>
              </w:rPr>
            </w:pPr>
            <w:r>
              <w:rPr>
                <w:rFonts w:hint="eastAsia" w:ascii="宋体" w:hAnsi="宋体"/>
                <w:szCs w:val="21"/>
              </w:rPr>
              <w:t>4.必要的保险费用和各项税费；</w:t>
            </w:r>
          </w:p>
          <w:p w14:paraId="75A16CB4">
            <w:pPr>
              <w:spacing w:line="264" w:lineRule="auto"/>
              <w:jc w:val="left"/>
              <w:rPr>
                <w:rFonts w:hint="eastAsia" w:ascii="宋体" w:hAnsi="宋体"/>
                <w:szCs w:val="21"/>
              </w:rPr>
            </w:pPr>
            <w:r>
              <w:rPr>
                <w:rFonts w:hint="eastAsia" w:ascii="宋体" w:hAnsi="宋体"/>
                <w:szCs w:val="21"/>
              </w:rPr>
              <w:t>5.安装费用等所有费用。</w:t>
            </w:r>
          </w:p>
        </w:tc>
      </w:tr>
      <w:tr w14:paraId="248A5B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637"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0449B7B2">
            <w:pPr>
              <w:spacing w:line="264" w:lineRule="auto"/>
              <w:jc w:val="center"/>
              <w:rPr>
                <w:rFonts w:hint="eastAsia" w:ascii="宋体" w:hAnsi="宋体" w:cs="宋体"/>
                <w:color w:val="000000"/>
                <w:kern w:val="0"/>
                <w:szCs w:val="21"/>
                <w:lang w:bidi="ar"/>
              </w:rPr>
            </w:pPr>
            <w:r>
              <w:rPr>
                <w:rFonts w:hint="eastAsia" w:ascii="宋体" w:hAnsi="宋体" w:cs="宋体"/>
                <w:szCs w:val="21"/>
              </w:rPr>
              <w:t>质保期</w:t>
            </w:r>
          </w:p>
        </w:tc>
        <w:tc>
          <w:tcPr>
            <w:tcW w:w="8169" w:type="dxa"/>
            <w:gridSpan w:val="4"/>
            <w:tcBorders>
              <w:top w:val="single" w:color="auto" w:sz="4" w:space="0"/>
              <w:left w:val="single" w:color="auto" w:sz="4" w:space="0"/>
              <w:bottom w:val="single" w:color="auto" w:sz="4" w:space="0"/>
              <w:right w:val="single" w:color="auto" w:sz="4" w:space="0"/>
            </w:tcBorders>
            <w:vAlign w:val="center"/>
          </w:tcPr>
          <w:p w14:paraId="7579F04F">
            <w:pPr>
              <w:spacing w:line="264" w:lineRule="auto"/>
              <w:jc w:val="left"/>
              <w:rPr>
                <w:rFonts w:hint="eastAsia" w:ascii="宋体" w:hAnsi="宋体" w:eastAsia="宋体" w:cs="宋体"/>
                <w:szCs w:val="21"/>
                <w:lang w:eastAsia="zh-CN"/>
              </w:rPr>
            </w:pPr>
            <w:r>
              <w:rPr>
                <w:rFonts w:hint="eastAsia" w:ascii="宋体" w:hAnsi="宋体" w:cs="宋体"/>
                <w:szCs w:val="21"/>
              </w:rPr>
              <w:t>生物电反馈刺激仪质保期不少于2年，颅磁刺激治疗仪，脑电图机质保期不少于3年</w:t>
            </w:r>
            <w:r>
              <w:rPr>
                <w:rFonts w:hint="eastAsia" w:ascii="宋体" w:hAnsi="宋体" w:cs="宋体"/>
                <w:szCs w:val="21"/>
                <w:lang w:eastAsia="zh-CN"/>
              </w:rPr>
              <w:t>，</w:t>
            </w:r>
          </w:p>
          <w:p w14:paraId="1B18E15D">
            <w:pPr>
              <w:spacing w:line="264" w:lineRule="auto"/>
              <w:jc w:val="left"/>
              <w:rPr>
                <w:rFonts w:hint="eastAsia" w:ascii="宋体" w:hAnsi="宋体" w:cs="宋体"/>
                <w:szCs w:val="21"/>
              </w:rPr>
            </w:pPr>
            <w:r>
              <w:rPr>
                <w:rFonts w:hint="eastAsia" w:ascii="宋体" w:hAnsi="宋体" w:cs="宋体"/>
                <w:szCs w:val="21"/>
              </w:rPr>
              <w:t>质保期内上门维修、更换零部件。质保期满后，以优惠价格提供终生维修和备件更换（质保期从设备安装完成并验收合格之日起开始）。</w:t>
            </w:r>
          </w:p>
        </w:tc>
      </w:tr>
      <w:tr w14:paraId="630265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51" w:hRule="atLeast"/>
        </w:trPr>
        <w:tc>
          <w:tcPr>
            <w:tcW w:w="1637"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6AD28510">
            <w:pPr>
              <w:spacing w:line="264" w:lineRule="auto"/>
              <w:jc w:val="center"/>
              <w:rPr>
                <w:rFonts w:hint="eastAsia" w:ascii="宋体" w:hAnsi="宋体" w:cs="宋体"/>
                <w:szCs w:val="21"/>
              </w:rPr>
            </w:pPr>
            <w:r>
              <w:rPr>
                <w:rFonts w:hint="eastAsia" w:ascii="宋体" w:hAnsi="宋体" w:cs="宋体"/>
                <w:szCs w:val="21"/>
              </w:rPr>
              <w:t>交付的时间</w:t>
            </w:r>
          </w:p>
          <w:p w14:paraId="2947A422">
            <w:pPr>
              <w:spacing w:line="264" w:lineRule="auto"/>
              <w:jc w:val="center"/>
              <w:rPr>
                <w:rFonts w:hint="eastAsia" w:ascii="宋体" w:hAnsi="宋体" w:cs="宋体"/>
                <w:color w:val="000000"/>
                <w:kern w:val="0"/>
                <w:szCs w:val="21"/>
                <w:lang w:bidi="ar"/>
              </w:rPr>
            </w:pPr>
            <w:r>
              <w:rPr>
                <w:rFonts w:hint="eastAsia" w:ascii="宋体" w:hAnsi="宋体" w:cs="宋体"/>
                <w:szCs w:val="21"/>
              </w:rPr>
              <w:t>和地点</w:t>
            </w:r>
          </w:p>
        </w:tc>
        <w:tc>
          <w:tcPr>
            <w:tcW w:w="8169" w:type="dxa"/>
            <w:gridSpan w:val="4"/>
            <w:tcBorders>
              <w:top w:val="single" w:color="auto" w:sz="4" w:space="0"/>
              <w:left w:val="single" w:color="auto" w:sz="4" w:space="0"/>
              <w:bottom w:val="single" w:color="auto" w:sz="4" w:space="0"/>
              <w:right w:val="single" w:color="auto" w:sz="4" w:space="0"/>
            </w:tcBorders>
            <w:vAlign w:val="center"/>
          </w:tcPr>
          <w:p w14:paraId="3C7086CA">
            <w:pPr>
              <w:spacing w:line="264" w:lineRule="auto"/>
              <w:rPr>
                <w:rFonts w:hint="eastAsia" w:ascii="宋体" w:hAnsi="宋体" w:cs="宋体"/>
                <w:szCs w:val="21"/>
              </w:rPr>
            </w:pPr>
            <w:r>
              <w:rPr>
                <w:rFonts w:hint="eastAsia" w:ascii="宋体" w:hAnsi="宋体" w:cs="宋体"/>
                <w:szCs w:val="21"/>
              </w:rPr>
              <w:t>1. 交付时间：自签订合同之日起30日内交货安装调试完毕并交付使用。</w:t>
            </w:r>
          </w:p>
          <w:p w14:paraId="43EFD670">
            <w:pPr>
              <w:spacing w:line="264" w:lineRule="auto"/>
              <w:jc w:val="left"/>
              <w:rPr>
                <w:rFonts w:hint="eastAsia" w:ascii="宋体" w:hAnsi="宋体" w:cs="宋体"/>
                <w:szCs w:val="21"/>
              </w:rPr>
            </w:pPr>
            <w:r>
              <w:rPr>
                <w:rFonts w:hint="eastAsia" w:ascii="宋体" w:hAnsi="宋体" w:cs="宋体"/>
                <w:szCs w:val="21"/>
              </w:rPr>
              <w:t>2. 交付地点：采购人指定地点。</w:t>
            </w:r>
          </w:p>
        </w:tc>
      </w:tr>
      <w:tr w14:paraId="78172D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91" w:hRule="atLeast"/>
        </w:trPr>
        <w:tc>
          <w:tcPr>
            <w:tcW w:w="1637"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6DFBA42D">
            <w:pPr>
              <w:spacing w:line="264" w:lineRule="auto"/>
              <w:jc w:val="center"/>
              <w:rPr>
                <w:rFonts w:hint="eastAsia" w:ascii="宋体" w:hAnsi="宋体" w:cs="宋体"/>
                <w:color w:val="000000"/>
                <w:kern w:val="0"/>
                <w:szCs w:val="21"/>
                <w:lang w:bidi="ar"/>
              </w:rPr>
            </w:pPr>
            <w:r>
              <w:rPr>
                <w:rFonts w:hint="eastAsia" w:ascii="宋体" w:hAnsi="宋体" w:cs="宋体"/>
                <w:szCs w:val="21"/>
              </w:rPr>
              <w:t>售后服务要求</w:t>
            </w:r>
          </w:p>
        </w:tc>
        <w:tc>
          <w:tcPr>
            <w:tcW w:w="8169" w:type="dxa"/>
            <w:gridSpan w:val="4"/>
            <w:tcBorders>
              <w:top w:val="single" w:color="auto" w:sz="4" w:space="0"/>
              <w:left w:val="single" w:color="auto" w:sz="4" w:space="0"/>
              <w:bottom w:val="single" w:color="auto" w:sz="4" w:space="0"/>
              <w:right w:val="single" w:color="auto" w:sz="4" w:space="0"/>
            </w:tcBorders>
          </w:tcPr>
          <w:p w14:paraId="69D64EA7">
            <w:pPr>
              <w:spacing w:line="264" w:lineRule="auto"/>
              <w:jc w:val="left"/>
              <w:rPr>
                <w:rFonts w:hint="eastAsia" w:ascii="宋体" w:hAnsi="宋体" w:cs="宋体"/>
                <w:szCs w:val="21"/>
              </w:rPr>
            </w:pPr>
            <w:r>
              <w:rPr>
                <w:rFonts w:hint="eastAsia" w:ascii="宋体" w:hAnsi="宋体" w:cs="宋体"/>
                <w:szCs w:val="21"/>
              </w:rPr>
              <w:t>1.按国家标准实行“三包”。</w:t>
            </w:r>
          </w:p>
          <w:p w14:paraId="5D9443B1">
            <w:pPr>
              <w:spacing w:line="264" w:lineRule="auto"/>
              <w:jc w:val="left"/>
              <w:rPr>
                <w:rFonts w:hint="eastAsia" w:ascii="宋体" w:hAnsi="宋体" w:cs="宋体"/>
                <w:szCs w:val="21"/>
              </w:rPr>
            </w:pPr>
            <w:r>
              <w:rPr>
                <w:rFonts w:hint="eastAsia" w:ascii="宋体" w:hAnsi="宋体" w:cs="宋体"/>
                <w:szCs w:val="21"/>
              </w:rPr>
              <w:t>2.免费送货到用户现场，在用户要求的时间内免费安装调试合格，培训采购人指定人员掌握设备正常操作，确保相关人员能正常使用设备，并能排除简单的故障。</w:t>
            </w:r>
          </w:p>
          <w:p w14:paraId="1BF5D424">
            <w:pPr>
              <w:spacing w:line="264" w:lineRule="auto"/>
              <w:jc w:val="left"/>
              <w:rPr>
                <w:rFonts w:hint="eastAsia" w:ascii="宋体" w:hAnsi="宋体" w:cs="宋体"/>
                <w:szCs w:val="21"/>
              </w:rPr>
            </w:pPr>
            <w:r>
              <w:rPr>
                <w:rFonts w:hint="eastAsia" w:ascii="宋体" w:hAnsi="宋体" w:cs="宋体"/>
                <w:szCs w:val="21"/>
              </w:rPr>
              <w:t>3.接到用户故障通知后2小时做出响应，24小时内派技术人员到达现场维修，基本故障3小时内、重大故障48小时内解决问题。</w:t>
            </w:r>
          </w:p>
          <w:p w14:paraId="40D81FB3">
            <w:pPr>
              <w:spacing w:line="264" w:lineRule="auto"/>
              <w:jc w:val="left"/>
              <w:rPr>
                <w:rFonts w:hint="eastAsia" w:ascii="宋体" w:hAnsi="宋体" w:cs="宋体"/>
                <w:szCs w:val="21"/>
              </w:rPr>
            </w:pPr>
            <w:r>
              <w:rPr>
                <w:rFonts w:hint="eastAsia" w:ascii="宋体" w:hAnsi="宋体" w:cs="宋体"/>
                <w:szCs w:val="21"/>
              </w:rPr>
              <w:t>4.定期回访巡检、维修。</w:t>
            </w:r>
          </w:p>
          <w:p w14:paraId="3E44FFD4">
            <w:pPr>
              <w:spacing w:line="264" w:lineRule="auto"/>
              <w:jc w:val="left"/>
              <w:rPr>
                <w:rFonts w:hint="eastAsia" w:ascii="宋体" w:hAnsi="宋体" w:cs="宋体"/>
                <w:szCs w:val="21"/>
              </w:rPr>
            </w:pPr>
            <w:r>
              <w:rPr>
                <w:rFonts w:hint="eastAsia" w:ascii="宋体" w:hAnsi="宋体" w:cs="宋体"/>
                <w:szCs w:val="21"/>
              </w:rPr>
              <w:t>5.其余按厂家承诺进行。</w:t>
            </w:r>
          </w:p>
        </w:tc>
      </w:tr>
      <w:tr w14:paraId="71B766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4" w:hRule="atLeast"/>
        </w:trPr>
        <w:tc>
          <w:tcPr>
            <w:tcW w:w="1637"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2C43E2E4">
            <w:pPr>
              <w:spacing w:line="264" w:lineRule="auto"/>
              <w:jc w:val="center"/>
              <w:rPr>
                <w:rFonts w:hint="eastAsia" w:ascii="宋体" w:hAnsi="宋体" w:cs="宋体"/>
                <w:color w:val="000000"/>
                <w:kern w:val="0"/>
                <w:szCs w:val="21"/>
                <w:lang w:bidi="ar"/>
              </w:rPr>
            </w:pPr>
            <w:r>
              <w:rPr>
                <w:rFonts w:hint="eastAsia" w:ascii="宋体" w:hAnsi="宋体" w:cs="宋体"/>
                <w:szCs w:val="21"/>
              </w:rPr>
              <w:t>其他要求</w:t>
            </w:r>
          </w:p>
        </w:tc>
        <w:tc>
          <w:tcPr>
            <w:tcW w:w="8169" w:type="dxa"/>
            <w:gridSpan w:val="4"/>
            <w:tcBorders>
              <w:top w:val="single" w:color="auto" w:sz="4" w:space="0"/>
              <w:left w:val="single" w:color="auto" w:sz="4" w:space="0"/>
              <w:bottom w:val="single" w:color="auto" w:sz="4" w:space="0"/>
              <w:right w:val="single" w:color="auto" w:sz="4" w:space="0"/>
            </w:tcBorders>
            <w:vAlign w:val="center"/>
          </w:tcPr>
          <w:p w14:paraId="43641646">
            <w:pPr>
              <w:spacing w:line="264" w:lineRule="auto"/>
              <w:jc w:val="left"/>
              <w:rPr>
                <w:rFonts w:hint="eastAsia" w:ascii="宋体" w:hAnsi="宋体" w:cs="宋体"/>
                <w:szCs w:val="21"/>
              </w:rPr>
            </w:pPr>
            <w:r>
              <w:rPr>
                <w:rFonts w:hint="eastAsia" w:ascii="宋体" w:hAnsi="宋体" w:cs="宋体"/>
                <w:szCs w:val="21"/>
              </w:rPr>
              <w:t>1.本项目的核心产品为</w:t>
            </w:r>
            <w:r>
              <w:rPr>
                <w:rFonts w:hint="eastAsia" w:ascii="宋体" w:hAnsi="宋体" w:cs="宋体"/>
                <w:b/>
                <w:bCs/>
                <w:szCs w:val="21"/>
              </w:rPr>
              <w:t>“项号1 生物电反馈刺激仪”。</w:t>
            </w:r>
            <w:r>
              <w:rPr>
                <w:rFonts w:hint="eastAsia" w:ascii="宋体" w:hAnsi="宋体" w:cs="宋体"/>
                <w:szCs w:val="21"/>
              </w:rPr>
              <w:t>提供相同品牌产品且通过资格审查、符合性审查的不同供应商参加同一合同项下谈判的，按一家供应商计算，评审后评审报价最低的同品牌供应商获得成交人推荐资格；评审报价相同的，按最终报价低的优先，最终报价也相同的，按带“▲”的实质性要求正偏离项数多的优先、均无正偏离或正偏离项目一致时负偏离项数少的优先、质保期长优先、交货期短优先、故障响应时间短优先的顺序确定。其他同品牌供应商不作为成交候选人。</w:t>
            </w:r>
          </w:p>
        </w:tc>
      </w:tr>
      <w:tr w14:paraId="39ECCB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97" w:hRule="atLeast"/>
        </w:trPr>
        <w:tc>
          <w:tcPr>
            <w:tcW w:w="1637"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23DB8C62">
            <w:pPr>
              <w:spacing w:line="264" w:lineRule="auto"/>
              <w:jc w:val="center"/>
              <w:rPr>
                <w:rFonts w:hint="eastAsia" w:ascii="宋体" w:hAnsi="宋体" w:cs="宋体"/>
                <w:color w:val="auto"/>
                <w:kern w:val="0"/>
                <w:sz w:val="21"/>
                <w:szCs w:val="21"/>
                <w:highlight w:val="none"/>
                <w:lang w:bidi="ar"/>
              </w:rPr>
            </w:pPr>
            <w:r>
              <w:rPr>
                <w:rFonts w:hint="eastAsia" w:ascii="宋体" w:hAnsi="宋体" w:cs="宋体"/>
                <w:color w:val="auto"/>
                <w:sz w:val="21"/>
                <w:szCs w:val="21"/>
                <w:highlight w:val="none"/>
              </w:rPr>
              <w:t>付款条件</w:t>
            </w:r>
          </w:p>
        </w:tc>
        <w:tc>
          <w:tcPr>
            <w:tcW w:w="8169" w:type="dxa"/>
            <w:gridSpan w:val="4"/>
            <w:tcBorders>
              <w:top w:val="single" w:color="auto" w:sz="4" w:space="0"/>
              <w:left w:val="single" w:color="auto" w:sz="4" w:space="0"/>
              <w:bottom w:val="single" w:color="auto" w:sz="4" w:space="0"/>
              <w:right w:val="single" w:color="auto" w:sz="4" w:space="0"/>
            </w:tcBorders>
            <w:vAlign w:val="center"/>
          </w:tcPr>
          <w:p w14:paraId="20D07B6C">
            <w:pPr>
              <w:spacing w:line="264" w:lineRule="auto"/>
              <w:jc w:val="left"/>
              <w:rPr>
                <w:rFonts w:hint="eastAsia" w:ascii="宋体" w:hAnsi="宋体" w:cs="宋体"/>
                <w:color w:val="auto"/>
                <w:sz w:val="21"/>
                <w:szCs w:val="21"/>
                <w:highlight w:val="none"/>
              </w:rPr>
            </w:pPr>
            <w:r>
              <w:rPr>
                <w:rFonts w:hint="eastAsia" w:ascii="宋体" w:hAnsi="宋体"/>
                <w:color w:val="auto"/>
                <w:kern w:val="0"/>
                <w:sz w:val="21"/>
                <w:szCs w:val="21"/>
                <w:highlight w:val="none"/>
                <w:u w:val="none"/>
              </w:rPr>
              <w:t>采用分期付款方式，成交人自合同签订后开具货款全额发票，采购人在财政资金到位10个工作日内支付合同款的50%给成交人，自设备安装验收合格正常使用后，60日内支付剩余的合同金额给成交人（不计利息）</w:t>
            </w:r>
            <w:r>
              <w:rPr>
                <w:rFonts w:hint="eastAsia" w:ascii="宋体" w:hAnsi="宋体" w:cs="宋体"/>
                <w:color w:val="auto"/>
                <w:sz w:val="21"/>
                <w:szCs w:val="21"/>
                <w:highlight w:val="none"/>
              </w:rPr>
              <w:t>。</w:t>
            </w:r>
          </w:p>
        </w:tc>
      </w:tr>
      <w:tr w14:paraId="73BE30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797" w:hRule="atLeast"/>
        </w:trPr>
        <w:tc>
          <w:tcPr>
            <w:tcW w:w="1637"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4C5511AF">
            <w:pPr>
              <w:spacing w:line="264" w:lineRule="auto"/>
              <w:jc w:val="center"/>
              <w:rPr>
                <w:rFonts w:hint="eastAsia" w:ascii="宋体" w:hAnsi="宋体" w:cs="宋体"/>
                <w:color w:val="000000"/>
                <w:kern w:val="0"/>
                <w:szCs w:val="21"/>
                <w:lang w:bidi="ar"/>
              </w:rPr>
            </w:pPr>
            <w:r>
              <w:rPr>
                <w:rFonts w:hint="eastAsia" w:ascii="宋体" w:hAnsi="宋体" w:cs="宋体"/>
                <w:szCs w:val="21"/>
              </w:rPr>
              <w:t>验收标准</w:t>
            </w:r>
          </w:p>
        </w:tc>
        <w:tc>
          <w:tcPr>
            <w:tcW w:w="8169" w:type="dxa"/>
            <w:gridSpan w:val="4"/>
            <w:tcBorders>
              <w:top w:val="single" w:color="auto" w:sz="4" w:space="0"/>
              <w:left w:val="single" w:color="auto" w:sz="4" w:space="0"/>
              <w:bottom w:val="single" w:color="auto" w:sz="4" w:space="0"/>
              <w:right w:val="single" w:color="auto" w:sz="4" w:space="0"/>
            </w:tcBorders>
            <w:vAlign w:val="center"/>
          </w:tcPr>
          <w:p w14:paraId="769435D8">
            <w:pPr>
              <w:spacing w:line="264" w:lineRule="auto"/>
              <w:jc w:val="left"/>
              <w:rPr>
                <w:rFonts w:hint="eastAsia" w:ascii="宋体" w:hAnsi="宋体" w:cs="宋体"/>
                <w:szCs w:val="21"/>
              </w:rPr>
            </w:pPr>
            <w:r>
              <w:rPr>
                <w:rFonts w:hint="eastAsia" w:ascii="宋体" w:hAnsi="宋体" w:cs="宋体"/>
                <w:szCs w:val="21"/>
              </w:rPr>
              <w:t>1.依据竞争性谈判文件上的技术规格要求进行项目整体验收：</w:t>
            </w:r>
          </w:p>
          <w:p w14:paraId="2EE2A66A">
            <w:pPr>
              <w:spacing w:line="264" w:lineRule="auto"/>
              <w:jc w:val="left"/>
              <w:rPr>
                <w:rFonts w:hint="eastAsia" w:ascii="宋体" w:hAnsi="宋体" w:cs="宋体"/>
                <w:szCs w:val="21"/>
              </w:rPr>
            </w:pPr>
            <w:r>
              <w:rPr>
                <w:rFonts w:hint="eastAsia" w:ascii="宋体" w:hAnsi="宋体" w:cs="宋体"/>
                <w:szCs w:val="21"/>
              </w:rPr>
              <w:t>（1）设备验收：要求设备外观、数量、技术参数符合采购文件技术要求，如有与竞标承诺不相符的退货处理，采购人有权要求成交人进行整改或者依法解除本采购合同，并报采购监督管理部门处理，采购人保留进一步追究其法律责任的权利，由此引发的所有损失由该成交人承担。成交人在供货时须按产品技术标准规定的检验项目和检验方法进行全面检验。</w:t>
            </w:r>
          </w:p>
          <w:p w14:paraId="48170F97">
            <w:pPr>
              <w:spacing w:line="264" w:lineRule="auto"/>
              <w:jc w:val="left"/>
              <w:rPr>
                <w:rFonts w:hint="eastAsia" w:ascii="宋体" w:hAnsi="宋体" w:cs="宋体"/>
                <w:szCs w:val="21"/>
              </w:rPr>
            </w:pPr>
            <w:r>
              <w:rPr>
                <w:rFonts w:hint="eastAsia" w:ascii="宋体" w:hAnsi="宋体" w:cs="宋体"/>
                <w:szCs w:val="21"/>
              </w:rPr>
              <w:t>（2）系统验收：采购人在验收时要求标的系统接口功能模块正常运行及互联互通，如无法满足采购需求要求的将验收不合格并依法解除合同，并报采购监督管理部门处理，采购人保留进一步追究其法律责任的权利，由此引发的所有损失由该成交人承担。</w:t>
            </w:r>
          </w:p>
          <w:p w14:paraId="37BE00F4">
            <w:pPr>
              <w:spacing w:line="264" w:lineRule="auto"/>
              <w:jc w:val="left"/>
              <w:rPr>
                <w:rFonts w:hint="eastAsia" w:ascii="宋体" w:hAnsi="宋体" w:cs="宋体"/>
                <w:b/>
                <w:bCs/>
                <w:szCs w:val="21"/>
              </w:rPr>
            </w:pPr>
            <w:r>
              <w:rPr>
                <w:rFonts w:hint="eastAsia" w:ascii="宋体" w:hAnsi="宋体" w:cs="宋体"/>
                <w:b/>
                <w:bCs/>
                <w:szCs w:val="21"/>
              </w:rPr>
              <w:t>2.验收费用：验收所产生的的专家劳务费由成交人承担，检验费（含抽检时可能对样品造成的物理伤害和破坏)、场保费及相关发生的其他费用均由成交人承担。</w:t>
            </w:r>
          </w:p>
          <w:p w14:paraId="0F37561A">
            <w:pPr>
              <w:spacing w:line="264" w:lineRule="auto"/>
              <w:jc w:val="left"/>
              <w:rPr>
                <w:rFonts w:hint="eastAsia" w:ascii="宋体" w:hAnsi="宋体" w:cs="宋体"/>
                <w:szCs w:val="21"/>
              </w:rPr>
            </w:pPr>
            <w:r>
              <w:rPr>
                <w:rFonts w:hint="eastAsia" w:ascii="宋体" w:hAnsi="宋体" w:cs="宋体"/>
                <w:szCs w:val="21"/>
              </w:rPr>
              <w:t>3.成交人交货前应对产品作出全面检查和对验收文件进行整理，并列出清单，作为采购人收货验收和使用的技术条件依据，检验的结果应随服务转交采购人。</w:t>
            </w:r>
          </w:p>
          <w:p w14:paraId="58EEE588">
            <w:pPr>
              <w:spacing w:line="264" w:lineRule="auto"/>
              <w:jc w:val="left"/>
              <w:rPr>
                <w:rFonts w:hint="eastAsia" w:ascii="宋体" w:hAnsi="宋体" w:cs="宋体"/>
                <w:szCs w:val="21"/>
              </w:rPr>
            </w:pPr>
            <w:r>
              <w:rPr>
                <w:rFonts w:hint="eastAsia" w:ascii="宋体" w:hAnsi="宋体" w:cs="宋体"/>
                <w:szCs w:val="21"/>
              </w:rPr>
              <w:t>4.成交人承诺所提供的产品（包括硬件、配套软件）为符合国家知识产权法律法规要求的正规正版产品，不属于假冒伪劣商品；成交人还应保证采购人不受到第三方关于侵犯知识产权以及专利权、商标权或工业设计权等知识产权方面的指控，任何第三方如果提出此方面指控均与采购人无关，成交人与第三方交涉，并承担可能发生的一切法律责任、费用和后果；若采购人因此而遭致损失的，成交供应商须赔偿该损失。</w:t>
            </w:r>
          </w:p>
          <w:p w14:paraId="5FE87430">
            <w:pPr>
              <w:spacing w:line="264" w:lineRule="auto"/>
              <w:jc w:val="left"/>
              <w:rPr>
                <w:rFonts w:hint="eastAsia" w:ascii="宋体" w:hAnsi="宋体" w:cs="宋体"/>
                <w:szCs w:val="21"/>
              </w:rPr>
            </w:pPr>
            <w:r>
              <w:rPr>
                <w:rFonts w:hint="eastAsia" w:ascii="宋体" w:hAnsi="宋体" w:cs="宋体"/>
                <w:szCs w:val="21"/>
              </w:rPr>
              <w:t>5.其他未尽事宜应严格按照《关于印发广西壮族自治区政府采购项目履约验收管理办法的通知》[桂财采〔2015〕22号]以及《财政部关于进一步加强政府采购需求和履约验收管理的指导意见》[财库〔2016〕205号]规定执行。</w:t>
            </w:r>
          </w:p>
        </w:tc>
      </w:tr>
      <w:tr w14:paraId="3E9E14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637"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6264E5BF">
            <w:pPr>
              <w:spacing w:line="264" w:lineRule="auto"/>
              <w:jc w:val="center"/>
              <w:rPr>
                <w:rFonts w:hint="eastAsia" w:ascii="宋体" w:hAnsi="宋体" w:cs="宋体"/>
                <w:color w:val="000000"/>
                <w:kern w:val="0"/>
                <w:szCs w:val="21"/>
                <w:lang w:bidi="ar"/>
              </w:rPr>
            </w:pPr>
            <w:r>
              <w:rPr>
                <w:rFonts w:hint="eastAsia" w:ascii="宋体" w:hAnsi="宋体" w:cs="宋体"/>
                <w:szCs w:val="21"/>
              </w:rPr>
              <w:t>进口产品说明</w:t>
            </w:r>
          </w:p>
        </w:tc>
        <w:tc>
          <w:tcPr>
            <w:tcW w:w="8169" w:type="dxa"/>
            <w:gridSpan w:val="4"/>
            <w:tcBorders>
              <w:top w:val="single" w:color="auto" w:sz="4" w:space="0"/>
              <w:left w:val="single" w:color="auto" w:sz="4" w:space="0"/>
              <w:bottom w:val="single" w:color="auto" w:sz="4" w:space="0"/>
              <w:right w:val="single" w:color="auto" w:sz="4" w:space="0"/>
            </w:tcBorders>
            <w:vAlign w:val="center"/>
          </w:tcPr>
          <w:p w14:paraId="53CEC666">
            <w:pPr>
              <w:spacing w:line="264" w:lineRule="auto"/>
              <w:jc w:val="left"/>
              <w:rPr>
                <w:rFonts w:hint="eastAsia" w:ascii="宋体" w:hAnsi="宋体" w:cs="宋体"/>
                <w:szCs w:val="21"/>
              </w:rPr>
            </w:pPr>
            <w:r>
              <w:rPr>
                <w:rFonts w:hint="eastAsia" w:ascii="宋体" w:hAnsi="宋体" w:cs="宋体"/>
                <w:szCs w:val="21"/>
              </w:rPr>
              <w:t>本项目不接受进口产品（即通过中国海关报关验放进入中国境内且产自关境外的产品）参与竞标，如有此类产品参与竞标的做无效标处理。</w:t>
            </w:r>
          </w:p>
        </w:tc>
      </w:tr>
      <w:tr w14:paraId="4306F0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4" w:hRule="atLeast"/>
        </w:trPr>
        <w:tc>
          <w:tcPr>
            <w:tcW w:w="1637"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51768D4D">
            <w:pPr>
              <w:spacing w:line="264" w:lineRule="auto"/>
              <w:jc w:val="center"/>
              <w:rPr>
                <w:rFonts w:hint="eastAsia" w:ascii="宋体" w:hAnsi="宋体" w:cs="宋体"/>
                <w:color w:val="000000"/>
                <w:kern w:val="0"/>
                <w:szCs w:val="21"/>
                <w:lang w:bidi="ar"/>
              </w:rPr>
            </w:pPr>
            <w:r>
              <w:rPr>
                <w:rFonts w:hint="eastAsia" w:ascii="宋体" w:hAnsi="宋体" w:cs="宋体"/>
                <w:szCs w:val="21"/>
              </w:rPr>
              <w:t>包装</w:t>
            </w:r>
          </w:p>
        </w:tc>
        <w:tc>
          <w:tcPr>
            <w:tcW w:w="8169" w:type="dxa"/>
            <w:gridSpan w:val="4"/>
            <w:tcBorders>
              <w:top w:val="single" w:color="auto" w:sz="4" w:space="0"/>
              <w:left w:val="single" w:color="auto" w:sz="4" w:space="0"/>
              <w:bottom w:val="single" w:color="auto" w:sz="4" w:space="0"/>
              <w:right w:val="single" w:color="auto" w:sz="4" w:space="0"/>
            </w:tcBorders>
            <w:vAlign w:val="center"/>
          </w:tcPr>
          <w:p w14:paraId="4C17AAF9">
            <w:pPr>
              <w:spacing w:line="264" w:lineRule="auto"/>
              <w:rPr>
                <w:rFonts w:hint="eastAsia" w:ascii="宋体" w:hAnsi="宋体" w:cs="宋体"/>
                <w:szCs w:val="21"/>
              </w:rPr>
            </w:pPr>
            <w:r>
              <w:rPr>
                <w:rFonts w:hint="eastAsia" w:ascii="宋体" w:hAnsi="宋体" w:cs="宋体"/>
                <w:szCs w:val="21"/>
              </w:rPr>
              <w:t>货物必须按照出厂原包装，并附加货物运输必要外包装。</w:t>
            </w:r>
          </w:p>
        </w:tc>
      </w:tr>
      <w:tr w14:paraId="7F4326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637"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7C506985">
            <w:pPr>
              <w:tabs>
                <w:tab w:val="left" w:pos="180"/>
                <w:tab w:val="left" w:pos="1620"/>
              </w:tabs>
              <w:spacing w:line="264" w:lineRule="auto"/>
              <w:jc w:val="center"/>
              <w:rPr>
                <w:rFonts w:hint="eastAsia" w:ascii="宋体" w:hAnsi="宋体" w:cs="宋体"/>
                <w:color w:val="000000"/>
                <w:kern w:val="0"/>
                <w:szCs w:val="21"/>
                <w:lang w:bidi="ar"/>
              </w:rPr>
            </w:pPr>
            <w:r>
              <w:rPr>
                <w:rFonts w:hint="eastAsia" w:ascii="宋体" w:hAnsi="宋体" w:cs="宋体"/>
                <w:szCs w:val="21"/>
              </w:rPr>
              <w:t>采购预算</w:t>
            </w:r>
          </w:p>
        </w:tc>
        <w:tc>
          <w:tcPr>
            <w:tcW w:w="8169" w:type="dxa"/>
            <w:gridSpan w:val="4"/>
            <w:tcBorders>
              <w:top w:val="single" w:color="auto" w:sz="4" w:space="0"/>
              <w:left w:val="single" w:color="auto" w:sz="4" w:space="0"/>
              <w:bottom w:val="single" w:color="auto" w:sz="4" w:space="0"/>
              <w:right w:val="single" w:color="auto" w:sz="4" w:space="0"/>
            </w:tcBorders>
            <w:vAlign w:val="center"/>
          </w:tcPr>
          <w:p w14:paraId="33ED01FD">
            <w:pPr>
              <w:tabs>
                <w:tab w:val="left" w:pos="180"/>
                <w:tab w:val="left" w:pos="1620"/>
              </w:tabs>
              <w:spacing w:line="264" w:lineRule="auto"/>
              <w:rPr>
                <w:rFonts w:hint="eastAsia" w:ascii="宋体" w:hAnsi="宋体" w:cs="宋体"/>
                <w:b/>
                <w:szCs w:val="21"/>
              </w:rPr>
            </w:pPr>
            <w:r>
              <w:rPr>
                <w:rFonts w:hint="eastAsia" w:ascii="宋体" w:hAnsi="宋体" w:cs="宋体"/>
                <w:b/>
                <w:szCs w:val="21"/>
              </w:rPr>
              <w:t>1.本项目采购预算金额为1000000.00元，供应商的竞标报价超过采购预算金额的，报价无效。</w:t>
            </w:r>
          </w:p>
          <w:p w14:paraId="26720554">
            <w:pPr>
              <w:tabs>
                <w:tab w:val="left" w:pos="180"/>
                <w:tab w:val="left" w:pos="1620"/>
              </w:tabs>
              <w:spacing w:line="264" w:lineRule="auto"/>
              <w:rPr>
                <w:rFonts w:hint="eastAsia" w:ascii="宋体" w:hAnsi="宋体" w:cs="宋体"/>
                <w:b/>
                <w:szCs w:val="21"/>
              </w:rPr>
            </w:pPr>
            <w:r>
              <w:rPr>
                <w:rFonts w:hint="eastAsia" w:ascii="宋体" w:hAnsi="宋体" w:cs="宋体"/>
                <w:b/>
                <w:szCs w:val="21"/>
              </w:rPr>
              <w:t>2.如供应商做最终报价时改变原竞标报价的，请在广西政府采购云系统最终报价模块附件上传变更后的报价明细。</w:t>
            </w:r>
          </w:p>
        </w:tc>
      </w:tr>
    </w:tbl>
    <w:p w14:paraId="4E329FA4">
      <w:pPr>
        <w:spacing w:line="264" w:lineRule="auto"/>
        <w:rPr>
          <w:rFonts w:hint="eastAsia" w:ascii="微软雅黑" w:hAnsi="微软雅黑" w:eastAsia="微软雅黑" w:cs="微软雅黑"/>
          <w:sz w:val="32"/>
          <w:szCs w:val="32"/>
        </w:rPr>
      </w:pPr>
      <w:r>
        <w:rPr>
          <w:rFonts w:hint="eastAsia" w:ascii="微软雅黑" w:hAnsi="微软雅黑" w:eastAsia="微软雅黑" w:cs="微软雅黑"/>
          <w:sz w:val="32"/>
          <w:szCs w:val="32"/>
        </w:rPr>
        <w:br w:type="page"/>
      </w:r>
    </w:p>
    <w:p w14:paraId="07233537">
      <w:pPr>
        <w:rPr>
          <w:rFonts w:hint="eastAsia" w:ascii="Arial Unicode MS" w:hAnsi="Arial Unicode MS" w:eastAsia="Arial Unicode MS" w:cs="Arial Unicode MS"/>
          <w:sz w:val="32"/>
          <w:szCs w:val="32"/>
        </w:rPr>
      </w:pPr>
      <w:r>
        <w:rPr>
          <w:rFonts w:hint="eastAsia" w:ascii="微软雅黑" w:hAnsi="微软雅黑" w:eastAsia="微软雅黑" w:cs="微软雅黑"/>
          <w:sz w:val="32"/>
          <w:szCs w:val="32"/>
        </w:rPr>
        <w:t>附件2：</w:t>
      </w:r>
    </w:p>
    <w:p w14:paraId="6CBD4244">
      <w:pPr>
        <w:spacing w:before="7"/>
        <w:rPr>
          <w:rFonts w:hint="eastAsia" w:ascii="Arial Unicode MS" w:hAnsi="Arial Unicode MS" w:eastAsia="Arial Unicode MS" w:cs="Arial Unicode MS"/>
          <w:sz w:val="17"/>
          <w:szCs w:val="17"/>
        </w:rPr>
      </w:pPr>
    </w:p>
    <w:p w14:paraId="33A408E4">
      <w:pPr>
        <w:spacing w:line="528" w:lineRule="exact"/>
        <w:ind w:left="1871"/>
        <w:rPr>
          <w:rFonts w:hint="eastAsia" w:ascii="Arial Unicode MS" w:hAnsi="Arial Unicode MS" w:eastAsia="Arial Unicode MS" w:cs="Arial Unicode MS"/>
          <w:sz w:val="40"/>
          <w:szCs w:val="40"/>
        </w:rPr>
      </w:pPr>
      <w:r>
        <w:rPr>
          <w:rFonts w:hint="eastAsia" w:ascii="微软雅黑" w:hAnsi="微软雅黑" w:eastAsia="微软雅黑" w:cs="微软雅黑"/>
          <w:sz w:val="40"/>
          <w:szCs w:val="40"/>
        </w:rPr>
        <w:t>节能产品政府采购品目清单</w:t>
      </w:r>
    </w:p>
    <w:tbl>
      <w:tblPr>
        <w:tblStyle w:val="24"/>
        <w:tblW w:w="9585" w:type="dxa"/>
        <w:tblInd w:w="93" w:type="dxa"/>
        <w:tblLayout w:type="autofit"/>
        <w:tblCellMar>
          <w:top w:w="0" w:type="dxa"/>
          <w:left w:w="108" w:type="dxa"/>
          <w:bottom w:w="0" w:type="dxa"/>
          <w:right w:w="108" w:type="dxa"/>
        </w:tblCellMar>
      </w:tblPr>
      <w:tblGrid>
        <w:gridCol w:w="641"/>
        <w:gridCol w:w="1116"/>
        <w:gridCol w:w="1516"/>
        <w:gridCol w:w="1612"/>
        <w:gridCol w:w="4700"/>
      </w:tblGrid>
      <w:tr w14:paraId="29AD0CC9">
        <w:tblPrEx>
          <w:tblCellMar>
            <w:top w:w="0" w:type="dxa"/>
            <w:left w:w="108" w:type="dxa"/>
            <w:bottom w:w="0" w:type="dxa"/>
            <w:right w:w="108" w:type="dxa"/>
          </w:tblCellMar>
        </w:tblPrEx>
        <w:trPr>
          <w:trHeight w:val="555" w:hRule="atLeast"/>
        </w:trPr>
        <w:tc>
          <w:tcPr>
            <w:tcW w:w="641" w:type="dxa"/>
            <w:tcBorders>
              <w:top w:val="single" w:color="000000" w:sz="8" w:space="0"/>
              <w:left w:val="single" w:color="000000" w:sz="8" w:space="0"/>
              <w:bottom w:val="nil"/>
              <w:right w:val="single" w:color="000000" w:sz="8" w:space="0"/>
            </w:tcBorders>
          </w:tcPr>
          <w:p w14:paraId="36F5D2BE">
            <w:pPr>
              <w:widowControl/>
              <w:jc w:val="center"/>
              <w:rPr>
                <w:rFonts w:hint="eastAsia" w:ascii="宋体" w:hAnsi="宋体" w:cs="宋体"/>
                <w:b/>
                <w:bCs/>
                <w:kern w:val="0"/>
                <w:sz w:val="22"/>
                <w:szCs w:val="22"/>
              </w:rPr>
            </w:pPr>
            <w:r>
              <w:rPr>
                <w:rFonts w:hint="eastAsia" w:ascii="宋体" w:hAnsi="宋体" w:cs="宋体"/>
                <w:b/>
                <w:bCs/>
                <w:kern w:val="0"/>
                <w:sz w:val="22"/>
                <w:szCs w:val="22"/>
              </w:rPr>
              <w:t>品目序号</w:t>
            </w:r>
          </w:p>
        </w:tc>
        <w:tc>
          <w:tcPr>
            <w:tcW w:w="4244" w:type="dxa"/>
            <w:gridSpan w:val="3"/>
            <w:tcBorders>
              <w:top w:val="single" w:color="000000" w:sz="8" w:space="0"/>
              <w:left w:val="nil"/>
              <w:bottom w:val="single" w:color="000000" w:sz="8" w:space="0"/>
              <w:right w:val="single" w:color="000000" w:sz="8" w:space="0"/>
            </w:tcBorders>
            <w:vAlign w:val="center"/>
          </w:tcPr>
          <w:p w14:paraId="0FA29A8B">
            <w:pPr>
              <w:widowControl/>
              <w:jc w:val="center"/>
              <w:rPr>
                <w:rFonts w:hint="eastAsia" w:ascii="宋体" w:hAnsi="宋体" w:cs="宋体"/>
                <w:b/>
                <w:bCs/>
                <w:kern w:val="0"/>
                <w:sz w:val="22"/>
                <w:szCs w:val="22"/>
              </w:rPr>
            </w:pPr>
            <w:r>
              <w:rPr>
                <w:rFonts w:hint="eastAsia" w:ascii="宋体" w:hAnsi="宋体" w:cs="宋体"/>
                <w:b/>
                <w:bCs/>
                <w:kern w:val="0"/>
                <w:sz w:val="22"/>
                <w:szCs w:val="22"/>
              </w:rPr>
              <w:t>名称</w:t>
            </w:r>
          </w:p>
        </w:tc>
        <w:tc>
          <w:tcPr>
            <w:tcW w:w="4700" w:type="dxa"/>
            <w:tcBorders>
              <w:top w:val="single" w:color="000000" w:sz="8" w:space="0"/>
              <w:left w:val="nil"/>
              <w:bottom w:val="single" w:color="000000" w:sz="8" w:space="0"/>
              <w:right w:val="single" w:color="000000" w:sz="8" w:space="0"/>
            </w:tcBorders>
            <w:vAlign w:val="center"/>
          </w:tcPr>
          <w:p w14:paraId="6C0F7FF7">
            <w:pPr>
              <w:widowControl/>
              <w:jc w:val="center"/>
              <w:rPr>
                <w:rFonts w:hint="eastAsia" w:ascii="宋体" w:hAnsi="宋体" w:cs="宋体"/>
                <w:b/>
                <w:bCs/>
                <w:kern w:val="0"/>
                <w:sz w:val="22"/>
                <w:szCs w:val="22"/>
              </w:rPr>
            </w:pPr>
            <w:r>
              <w:rPr>
                <w:rFonts w:hint="eastAsia" w:ascii="宋体" w:hAnsi="宋体" w:cs="宋体"/>
                <w:b/>
                <w:bCs/>
                <w:kern w:val="0"/>
                <w:sz w:val="22"/>
                <w:szCs w:val="22"/>
              </w:rPr>
              <w:t>依据的标准</w:t>
            </w:r>
          </w:p>
        </w:tc>
      </w:tr>
      <w:tr w14:paraId="67A435E5">
        <w:tblPrEx>
          <w:tblCellMar>
            <w:top w:w="0" w:type="dxa"/>
            <w:left w:w="108" w:type="dxa"/>
            <w:bottom w:w="0" w:type="dxa"/>
            <w:right w:w="108" w:type="dxa"/>
          </w:tblCellMar>
        </w:tblPrEx>
        <w:trPr>
          <w:trHeight w:val="495" w:hRule="atLeast"/>
        </w:trPr>
        <w:tc>
          <w:tcPr>
            <w:tcW w:w="641" w:type="dxa"/>
            <w:vMerge w:val="restart"/>
            <w:tcBorders>
              <w:top w:val="single" w:color="000000" w:sz="8" w:space="0"/>
              <w:left w:val="single" w:color="000000" w:sz="8" w:space="0"/>
              <w:bottom w:val="single" w:color="000000" w:sz="8" w:space="0"/>
              <w:right w:val="single" w:color="000000" w:sz="8" w:space="0"/>
            </w:tcBorders>
            <w:vAlign w:val="center"/>
          </w:tcPr>
          <w:p w14:paraId="6ED03DC7">
            <w:pPr>
              <w:widowControl/>
              <w:jc w:val="center"/>
              <w:rPr>
                <w:rFonts w:hint="eastAsia" w:ascii="宋体" w:hAnsi="宋体" w:cs="宋体"/>
                <w:kern w:val="0"/>
                <w:sz w:val="20"/>
                <w:szCs w:val="20"/>
              </w:rPr>
            </w:pPr>
            <w:r>
              <w:rPr>
                <w:rFonts w:hint="eastAsia" w:ascii="宋体" w:hAnsi="宋体" w:cs="宋体"/>
                <w:kern w:val="0"/>
                <w:sz w:val="20"/>
                <w:szCs w:val="20"/>
              </w:rPr>
              <w:t>1</w:t>
            </w:r>
          </w:p>
        </w:tc>
        <w:tc>
          <w:tcPr>
            <w:tcW w:w="1116" w:type="dxa"/>
            <w:vMerge w:val="restart"/>
            <w:tcBorders>
              <w:top w:val="nil"/>
              <w:left w:val="single" w:color="000000" w:sz="8" w:space="0"/>
              <w:bottom w:val="single" w:color="000000" w:sz="8" w:space="0"/>
              <w:right w:val="single" w:color="000000" w:sz="8" w:space="0"/>
            </w:tcBorders>
            <w:vAlign w:val="center"/>
          </w:tcPr>
          <w:p w14:paraId="45DEF56D">
            <w:pPr>
              <w:widowControl/>
              <w:jc w:val="center"/>
              <w:rPr>
                <w:rFonts w:hint="eastAsia" w:ascii="宋体" w:hAnsi="宋体" w:cs="宋体"/>
                <w:kern w:val="0"/>
                <w:sz w:val="20"/>
                <w:szCs w:val="20"/>
              </w:rPr>
            </w:pPr>
            <w:r>
              <w:rPr>
                <w:rFonts w:hint="eastAsia" w:ascii="宋体" w:hAnsi="宋体" w:cs="宋体"/>
                <w:kern w:val="0"/>
                <w:sz w:val="20"/>
                <w:szCs w:val="20"/>
              </w:rPr>
              <w:t>A020101计算机设备</w:t>
            </w:r>
          </w:p>
        </w:tc>
        <w:tc>
          <w:tcPr>
            <w:tcW w:w="1516" w:type="dxa"/>
            <w:tcBorders>
              <w:top w:val="nil"/>
              <w:left w:val="nil"/>
              <w:bottom w:val="single" w:color="000000" w:sz="8" w:space="0"/>
              <w:right w:val="single" w:color="000000" w:sz="8" w:space="0"/>
            </w:tcBorders>
            <w:vAlign w:val="center"/>
          </w:tcPr>
          <w:p w14:paraId="157A3370">
            <w:pPr>
              <w:widowControl/>
              <w:jc w:val="center"/>
              <w:rPr>
                <w:rFonts w:hint="eastAsia" w:ascii="宋体" w:hAnsi="宋体" w:cs="宋体"/>
                <w:kern w:val="0"/>
                <w:sz w:val="20"/>
                <w:szCs w:val="20"/>
              </w:rPr>
            </w:pPr>
            <w:r>
              <w:rPr>
                <w:rFonts w:hint="eastAsia" w:ascii="宋体" w:hAnsi="宋体" w:cs="宋体"/>
                <w:kern w:val="0"/>
                <w:sz w:val="20"/>
                <w:szCs w:val="20"/>
              </w:rPr>
              <w:t>★A02010104台式计算机</w:t>
            </w:r>
          </w:p>
        </w:tc>
        <w:tc>
          <w:tcPr>
            <w:tcW w:w="1612" w:type="dxa"/>
            <w:tcBorders>
              <w:top w:val="nil"/>
              <w:left w:val="nil"/>
              <w:bottom w:val="single" w:color="000000" w:sz="8" w:space="0"/>
              <w:right w:val="single" w:color="000000" w:sz="8" w:space="0"/>
            </w:tcBorders>
            <w:vAlign w:val="center"/>
          </w:tcPr>
          <w:p w14:paraId="0C140531">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4700" w:type="dxa"/>
            <w:tcBorders>
              <w:top w:val="nil"/>
              <w:left w:val="nil"/>
              <w:bottom w:val="single" w:color="000000" w:sz="8" w:space="0"/>
              <w:right w:val="single" w:color="000000" w:sz="8" w:space="0"/>
            </w:tcBorders>
            <w:vAlign w:val="center"/>
          </w:tcPr>
          <w:p w14:paraId="7717D06F">
            <w:pPr>
              <w:widowControl/>
              <w:jc w:val="left"/>
              <w:rPr>
                <w:rFonts w:hint="eastAsia" w:ascii="宋体" w:hAnsi="宋体" w:cs="宋体"/>
                <w:kern w:val="0"/>
                <w:sz w:val="20"/>
                <w:szCs w:val="20"/>
              </w:rPr>
            </w:pPr>
            <w:r>
              <w:rPr>
                <w:rFonts w:hint="eastAsia" w:ascii="宋体" w:hAnsi="宋体" w:cs="宋体"/>
                <w:kern w:val="0"/>
                <w:sz w:val="20"/>
                <w:szCs w:val="20"/>
              </w:rPr>
              <w:t>《微型计算机能效限定值及能效等级》（GB28380）</w:t>
            </w:r>
          </w:p>
        </w:tc>
      </w:tr>
      <w:tr w14:paraId="2AB26E62">
        <w:tblPrEx>
          <w:tblCellMar>
            <w:top w:w="0" w:type="dxa"/>
            <w:left w:w="108" w:type="dxa"/>
            <w:bottom w:w="0" w:type="dxa"/>
            <w:right w:w="108" w:type="dxa"/>
          </w:tblCellMar>
        </w:tblPrEx>
        <w:trPr>
          <w:trHeight w:val="495" w:hRule="atLeast"/>
        </w:trPr>
        <w:tc>
          <w:tcPr>
            <w:tcW w:w="0" w:type="auto"/>
            <w:vMerge w:val="continue"/>
            <w:tcBorders>
              <w:top w:val="single" w:color="000000" w:sz="8" w:space="0"/>
              <w:left w:val="single" w:color="000000" w:sz="8" w:space="0"/>
              <w:bottom w:val="single" w:color="000000" w:sz="8" w:space="0"/>
              <w:right w:val="single" w:color="000000" w:sz="8" w:space="0"/>
            </w:tcBorders>
            <w:vAlign w:val="center"/>
          </w:tcPr>
          <w:p w14:paraId="21B490E6">
            <w:pPr>
              <w:widowControl/>
              <w:jc w:val="left"/>
              <w:rPr>
                <w:rFonts w:hint="eastAsia" w:ascii="宋体" w:hAnsi="宋体" w:cs="宋体"/>
                <w:kern w:val="0"/>
                <w:sz w:val="20"/>
                <w:szCs w:val="20"/>
              </w:rPr>
            </w:pPr>
          </w:p>
        </w:tc>
        <w:tc>
          <w:tcPr>
            <w:tcW w:w="0" w:type="auto"/>
            <w:vMerge w:val="continue"/>
            <w:tcBorders>
              <w:top w:val="nil"/>
              <w:left w:val="single" w:color="000000" w:sz="8" w:space="0"/>
              <w:bottom w:val="single" w:color="000000" w:sz="8" w:space="0"/>
              <w:right w:val="single" w:color="000000" w:sz="8" w:space="0"/>
            </w:tcBorders>
            <w:vAlign w:val="center"/>
          </w:tcPr>
          <w:p w14:paraId="272780F4">
            <w:pPr>
              <w:widowControl/>
              <w:jc w:val="left"/>
              <w:rPr>
                <w:rFonts w:hint="eastAsia" w:ascii="宋体" w:hAnsi="宋体" w:cs="宋体"/>
                <w:kern w:val="0"/>
                <w:sz w:val="20"/>
                <w:szCs w:val="20"/>
              </w:rPr>
            </w:pPr>
          </w:p>
        </w:tc>
        <w:tc>
          <w:tcPr>
            <w:tcW w:w="1516" w:type="dxa"/>
            <w:tcBorders>
              <w:top w:val="nil"/>
              <w:left w:val="nil"/>
              <w:bottom w:val="single" w:color="000000" w:sz="8" w:space="0"/>
              <w:right w:val="single" w:color="000000" w:sz="8" w:space="0"/>
            </w:tcBorders>
            <w:vAlign w:val="center"/>
          </w:tcPr>
          <w:p w14:paraId="318AC95D">
            <w:pPr>
              <w:widowControl/>
              <w:jc w:val="center"/>
              <w:rPr>
                <w:rFonts w:hint="eastAsia" w:ascii="宋体" w:hAnsi="宋体" w:cs="宋体"/>
                <w:kern w:val="0"/>
                <w:sz w:val="20"/>
                <w:szCs w:val="20"/>
              </w:rPr>
            </w:pPr>
            <w:r>
              <w:rPr>
                <w:rFonts w:hint="eastAsia" w:ascii="宋体" w:hAnsi="宋体" w:cs="宋体"/>
                <w:kern w:val="0"/>
                <w:sz w:val="20"/>
                <w:szCs w:val="20"/>
              </w:rPr>
              <w:t>★A02010105便携式计算机</w:t>
            </w:r>
          </w:p>
        </w:tc>
        <w:tc>
          <w:tcPr>
            <w:tcW w:w="1612" w:type="dxa"/>
            <w:tcBorders>
              <w:top w:val="nil"/>
              <w:left w:val="nil"/>
              <w:bottom w:val="single" w:color="000000" w:sz="8" w:space="0"/>
              <w:right w:val="single" w:color="000000" w:sz="8" w:space="0"/>
            </w:tcBorders>
            <w:vAlign w:val="center"/>
          </w:tcPr>
          <w:p w14:paraId="345BBB85">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4700" w:type="dxa"/>
            <w:tcBorders>
              <w:top w:val="nil"/>
              <w:left w:val="nil"/>
              <w:bottom w:val="single" w:color="000000" w:sz="8" w:space="0"/>
              <w:right w:val="single" w:color="000000" w:sz="8" w:space="0"/>
            </w:tcBorders>
            <w:vAlign w:val="center"/>
          </w:tcPr>
          <w:p w14:paraId="3E35A2C6">
            <w:pPr>
              <w:widowControl/>
              <w:jc w:val="left"/>
              <w:rPr>
                <w:rFonts w:hint="eastAsia" w:ascii="宋体" w:hAnsi="宋体" w:cs="宋体"/>
                <w:kern w:val="0"/>
                <w:sz w:val="20"/>
                <w:szCs w:val="20"/>
              </w:rPr>
            </w:pPr>
            <w:r>
              <w:rPr>
                <w:rFonts w:hint="eastAsia" w:ascii="宋体" w:hAnsi="宋体" w:cs="宋体"/>
                <w:kern w:val="0"/>
                <w:sz w:val="20"/>
                <w:szCs w:val="20"/>
              </w:rPr>
              <w:t>《微型计算机能效限定值及能效等级》（GB28380）</w:t>
            </w:r>
          </w:p>
        </w:tc>
      </w:tr>
      <w:tr w14:paraId="4335D09A">
        <w:tblPrEx>
          <w:tblCellMar>
            <w:top w:w="0" w:type="dxa"/>
            <w:left w:w="108" w:type="dxa"/>
            <w:bottom w:w="0" w:type="dxa"/>
            <w:right w:w="108" w:type="dxa"/>
          </w:tblCellMar>
        </w:tblPrEx>
        <w:trPr>
          <w:trHeight w:val="735" w:hRule="atLeast"/>
        </w:trPr>
        <w:tc>
          <w:tcPr>
            <w:tcW w:w="0" w:type="auto"/>
            <w:vMerge w:val="continue"/>
            <w:tcBorders>
              <w:top w:val="single" w:color="000000" w:sz="8" w:space="0"/>
              <w:left w:val="single" w:color="000000" w:sz="8" w:space="0"/>
              <w:bottom w:val="single" w:color="000000" w:sz="8" w:space="0"/>
              <w:right w:val="single" w:color="000000" w:sz="8" w:space="0"/>
            </w:tcBorders>
            <w:vAlign w:val="center"/>
          </w:tcPr>
          <w:p w14:paraId="1A416106">
            <w:pPr>
              <w:widowControl/>
              <w:jc w:val="left"/>
              <w:rPr>
                <w:rFonts w:hint="eastAsia" w:ascii="宋体" w:hAnsi="宋体" w:cs="宋体"/>
                <w:kern w:val="0"/>
                <w:sz w:val="20"/>
                <w:szCs w:val="20"/>
              </w:rPr>
            </w:pPr>
          </w:p>
        </w:tc>
        <w:tc>
          <w:tcPr>
            <w:tcW w:w="0" w:type="auto"/>
            <w:vMerge w:val="continue"/>
            <w:tcBorders>
              <w:top w:val="nil"/>
              <w:left w:val="single" w:color="000000" w:sz="8" w:space="0"/>
              <w:bottom w:val="single" w:color="000000" w:sz="8" w:space="0"/>
              <w:right w:val="single" w:color="000000" w:sz="8" w:space="0"/>
            </w:tcBorders>
            <w:vAlign w:val="center"/>
          </w:tcPr>
          <w:p w14:paraId="5933D83A">
            <w:pPr>
              <w:widowControl/>
              <w:jc w:val="left"/>
              <w:rPr>
                <w:rFonts w:hint="eastAsia" w:ascii="宋体" w:hAnsi="宋体" w:cs="宋体"/>
                <w:kern w:val="0"/>
                <w:sz w:val="20"/>
                <w:szCs w:val="20"/>
              </w:rPr>
            </w:pPr>
          </w:p>
        </w:tc>
        <w:tc>
          <w:tcPr>
            <w:tcW w:w="1516" w:type="dxa"/>
            <w:tcBorders>
              <w:top w:val="nil"/>
              <w:left w:val="nil"/>
              <w:bottom w:val="single" w:color="000000" w:sz="8" w:space="0"/>
              <w:right w:val="single" w:color="000000" w:sz="8" w:space="0"/>
            </w:tcBorders>
            <w:vAlign w:val="center"/>
          </w:tcPr>
          <w:p w14:paraId="34FB19FD">
            <w:pPr>
              <w:widowControl/>
              <w:jc w:val="center"/>
              <w:rPr>
                <w:rFonts w:hint="eastAsia" w:ascii="宋体" w:hAnsi="宋体" w:cs="宋体"/>
                <w:kern w:val="0"/>
                <w:sz w:val="20"/>
                <w:szCs w:val="20"/>
              </w:rPr>
            </w:pPr>
            <w:r>
              <w:rPr>
                <w:rFonts w:hint="eastAsia" w:ascii="宋体" w:hAnsi="宋体" w:cs="宋体"/>
                <w:kern w:val="0"/>
                <w:sz w:val="20"/>
                <w:szCs w:val="20"/>
              </w:rPr>
              <w:t>★A02010107平板式微型计算机</w:t>
            </w:r>
          </w:p>
        </w:tc>
        <w:tc>
          <w:tcPr>
            <w:tcW w:w="1612" w:type="dxa"/>
            <w:tcBorders>
              <w:top w:val="nil"/>
              <w:left w:val="nil"/>
              <w:bottom w:val="single" w:color="000000" w:sz="8" w:space="0"/>
              <w:right w:val="single" w:color="000000" w:sz="8" w:space="0"/>
            </w:tcBorders>
            <w:vAlign w:val="center"/>
          </w:tcPr>
          <w:p w14:paraId="2020CE7C">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4700" w:type="dxa"/>
            <w:tcBorders>
              <w:top w:val="nil"/>
              <w:left w:val="nil"/>
              <w:bottom w:val="single" w:color="000000" w:sz="8" w:space="0"/>
              <w:right w:val="single" w:color="000000" w:sz="8" w:space="0"/>
            </w:tcBorders>
            <w:vAlign w:val="center"/>
          </w:tcPr>
          <w:p w14:paraId="259E4124">
            <w:pPr>
              <w:widowControl/>
              <w:jc w:val="left"/>
              <w:rPr>
                <w:rFonts w:hint="eastAsia" w:ascii="宋体" w:hAnsi="宋体" w:cs="宋体"/>
                <w:kern w:val="0"/>
                <w:sz w:val="20"/>
                <w:szCs w:val="20"/>
              </w:rPr>
            </w:pPr>
            <w:r>
              <w:rPr>
                <w:rFonts w:hint="eastAsia" w:ascii="宋体" w:hAnsi="宋体" w:cs="宋体"/>
                <w:kern w:val="0"/>
                <w:sz w:val="20"/>
                <w:szCs w:val="20"/>
              </w:rPr>
              <w:t>《微型计算机能效限定值及能效等级》（GB28380）</w:t>
            </w:r>
          </w:p>
        </w:tc>
      </w:tr>
      <w:tr w14:paraId="290F174F">
        <w:tblPrEx>
          <w:tblCellMar>
            <w:top w:w="0" w:type="dxa"/>
            <w:left w:w="108" w:type="dxa"/>
            <w:bottom w:w="0" w:type="dxa"/>
            <w:right w:w="108" w:type="dxa"/>
          </w:tblCellMar>
        </w:tblPrEx>
        <w:trPr>
          <w:trHeight w:val="495" w:hRule="atLeast"/>
        </w:trPr>
        <w:tc>
          <w:tcPr>
            <w:tcW w:w="641" w:type="dxa"/>
            <w:vMerge w:val="restart"/>
            <w:tcBorders>
              <w:top w:val="nil"/>
              <w:left w:val="single" w:color="000000" w:sz="8" w:space="0"/>
              <w:bottom w:val="single" w:color="000000" w:sz="8" w:space="0"/>
              <w:right w:val="single" w:color="000000" w:sz="8" w:space="0"/>
            </w:tcBorders>
            <w:vAlign w:val="center"/>
          </w:tcPr>
          <w:p w14:paraId="02908B93">
            <w:pPr>
              <w:widowControl/>
              <w:jc w:val="center"/>
              <w:rPr>
                <w:rFonts w:hint="eastAsia" w:ascii="宋体" w:hAnsi="宋体" w:cs="宋体"/>
                <w:kern w:val="0"/>
                <w:sz w:val="20"/>
                <w:szCs w:val="20"/>
              </w:rPr>
            </w:pPr>
            <w:r>
              <w:rPr>
                <w:rFonts w:hint="eastAsia" w:ascii="宋体" w:hAnsi="宋体" w:cs="宋体"/>
                <w:kern w:val="0"/>
                <w:sz w:val="20"/>
                <w:szCs w:val="20"/>
              </w:rPr>
              <w:t>2</w:t>
            </w:r>
          </w:p>
        </w:tc>
        <w:tc>
          <w:tcPr>
            <w:tcW w:w="1116" w:type="dxa"/>
            <w:vMerge w:val="restart"/>
            <w:tcBorders>
              <w:top w:val="nil"/>
              <w:left w:val="single" w:color="000000" w:sz="8" w:space="0"/>
              <w:bottom w:val="single" w:color="000000" w:sz="8" w:space="0"/>
              <w:right w:val="single" w:color="000000" w:sz="8" w:space="0"/>
            </w:tcBorders>
            <w:vAlign w:val="center"/>
          </w:tcPr>
          <w:p w14:paraId="7E4741E4">
            <w:pPr>
              <w:widowControl/>
              <w:jc w:val="center"/>
              <w:rPr>
                <w:rFonts w:hint="eastAsia" w:ascii="宋体" w:hAnsi="宋体" w:cs="宋体"/>
                <w:kern w:val="0"/>
                <w:sz w:val="20"/>
                <w:szCs w:val="20"/>
              </w:rPr>
            </w:pPr>
            <w:r>
              <w:rPr>
                <w:rFonts w:hint="eastAsia" w:ascii="宋体" w:hAnsi="宋体" w:cs="宋体"/>
                <w:kern w:val="0"/>
                <w:sz w:val="20"/>
                <w:szCs w:val="20"/>
              </w:rPr>
              <w:t>A020106输入输出设备</w:t>
            </w:r>
          </w:p>
        </w:tc>
        <w:tc>
          <w:tcPr>
            <w:tcW w:w="1516" w:type="dxa"/>
            <w:vMerge w:val="restart"/>
            <w:tcBorders>
              <w:top w:val="nil"/>
              <w:left w:val="single" w:color="000000" w:sz="8" w:space="0"/>
              <w:bottom w:val="single" w:color="000000" w:sz="8" w:space="0"/>
              <w:right w:val="single" w:color="000000" w:sz="8" w:space="0"/>
            </w:tcBorders>
            <w:vAlign w:val="center"/>
          </w:tcPr>
          <w:p w14:paraId="0EB7D094">
            <w:pPr>
              <w:widowControl/>
              <w:jc w:val="center"/>
              <w:rPr>
                <w:rFonts w:hint="eastAsia" w:ascii="宋体" w:hAnsi="宋体" w:cs="宋体"/>
                <w:kern w:val="0"/>
                <w:sz w:val="20"/>
                <w:szCs w:val="20"/>
              </w:rPr>
            </w:pPr>
            <w:r>
              <w:rPr>
                <w:rFonts w:hint="eastAsia" w:ascii="宋体" w:hAnsi="宋体" w:cs="宋体"/>
                <w:kern w:val="0"/>
                <w:sz w:val="20"/>
                <w:szCs w:val="20"/>
              </w:rPr>
              <w:t>A02010601打印设备</w:t>
            </w:r>
          </w:p>
        </w:tc>
        <w:tc>
          <w:tcPr>
            <w:tcW w:w="1612" w:type="dxa"/>
            <w:tcBorders>
              <w:top w:val="nil"/>
              <w:left w:val="nil"/>
              <w:bottom w:val="single" w:color="000000" w:sz="8" w:space="0"/>
              <w:right w:val="single" w:color="000000" w:sz="8" w:space="0"/>
            </w:tcBorders>
            <w:vAlign w:val="center"/>
          </w:tcPr>
          <w:p w14:paraId="3CC974D7">
            <w:pPr>
              <w:widowControl/>
              <w:jc w:val="center"/>
              <w:rPr>
                <w:rFonts w:hint="eastAsia" w:ascii="宋体" w:hAnsi="宋体" w:cs="宋体"/>
                <w:kern w:val="0"/>
                <w:sz w:val="20"/>
                <w:szCs w:val="20"/>
              </w:rPr>
            </w:pPr>
            <w:r>
              <w:rPr>
                <w:rFonts w:hint="eastAsia" w:ascii="宋体" w:hAnsi="宋体" w:cs="宋体"/>
                <w:kern w:val="0"/>
                <w:sz w:val="20"/>
                <w:szCs w:val="20"/>
              </w:rPr>
              <w:t>A0201060101喷墨打印机</w:t>
            </w:r>
          </w:p>
        </w:tc>
        <w:tc>
          <w:tcPr>
            <w:tcW w:w="4700" w:type="dxa"/>
            <w:tcBorders>
              <w:top w:val="nil"/>
              <w:left w:val="nil"/>
              <w:bottom w:val="single" w:color="000000" w:sz="8" w:space="0"/>
              <w:right w:val="single" w:color="000000" w:sz="8" w:space="0"/>
            </w:tcBorders>
            <w:vAlign w:val="center"/>
          </w:tcPr>
          <w:p w14:paraId="179422FE">
            <w:pPr>
              <w:widowControl/>
              <w:jc w:val="left"/>
              <w:rPr>
                <w:rFonts w:hint="eastAsia" w:ascii="宋体" w:hAnsi="宋体" w:cs="宋体"/>
                <w:kern w:val="0"/>
                <w:sz w:val="20"/>
                <w:szCs w:val="20"/>
              </w:rPr>
            </w:pPr>
            <w:r>
              <w:rPr>
                <w:rFonts w:hint="eastAsia" w:ascii="宋体" w:hAnsi="宋体" w:cs="宋体"/>
                <w:kern w:val="0"/>
                <w:sz w:val="20"/>
                <w:szCs w:val="20"/>
              </w:rPr>
              <w:t>《复印机、打印机和传真机能效限定值及能效等级》（GB21521）</w:t>
            </w:r>
          </w:p>
        </w:tc>
      </w:tr>
      <w:tr w14:paraId="124062B7">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vAlign w:val="center"/>
          </w:tcPr>
          <w:p w14:paraId="42FDEB8B">
            <w:pPr>
              <w:widowControl/>
              <w:jc w:val="left"/>
              <w:rPr>
                <w:rFonts w:hint="eastAsia" w:ascii="宋体" w:hAnsi="宋体" w:cs="宋体"/>
                <w:kern w:val="0"/>
                <w:sz w:val="20"/>
                <w:szCs w:val="20"/>
              </w:rPr>
            </w:pPr>
          </w:p>
        </w:tc>
        <w:tc>
          <w:tcPr>
            <w:tcW w:w="0" w:type="auto"/>
            <w:vMerge w:val="continue"/>
            <w:tcBorders>
              <w:top w:val="nil"/>
              <w:left w:val="single" w:color="000000" w:sz="8" w:space="0"/>
              <w:bottom w:val="single" w:color="000000" w:sz="8" w:space="0"/>
              <w:right w:val="single" w:color="000000" w:sz="8" w:space="0"/>
            </w:tcBorders>
            <w:vAlign w:val="center"/>
          </w:tcPr>
          <w:p w14:paraId="22421607">
            <w:pPr>
              <w:widowControl/>
              <w:jc w:val="left"/>
              <w:rPr>
                <w:rFonts w:hint="eastAsia" w:ascii="宋体" w:hAnsi="宋体" w:cs="宋体"/>
                <w:kern w:val="0"/>
                <w:sz w:val="20"/>
                <w:szCs w:val="20"/>
              </w:rPr>
            </w:pPr>
          </w:p>
        </w:tc>
        <w:tc>
          <w:tcPr>
            <w:tcW w:w="0" w:type="auto"/>
            <w:vMerge w:val="continue"/>
            <w:tcBorders>
              <w:top w:val="nil"/>
              <w:left w:val="single" w:color="000000" w:sz="8" w:space="0"/>
              <w:bottom w:val="single" w:color="000000" w:sz="8" w:space="0"/>
              <w:right w:val="single" w:color="000000" w:sz="8" w:space="0"/>
            </w:tcBorders>
            <w:vAlign w:val="center"/>
          </w:tcPr>
          <w:p w14:paraId="5C53DEE9">
            <w:pPr>
              <w:widowControl/>
              <w:jc w:val="left"/>
              <w:rPr>
                <w:rFonts w:hint="eastAsia" w:ascii="宋体" w:hAnsi="宋体" w:cs="宋体"/>
                <w:kern w:val="0"/>
                <w:sz w:val="20"/>
                <w:szCs w:val="20"/>
              </w:rPr>
            </w:pPr>
          </w:p>
        </w:tc>
        <w:tc>
          <w:tcPr>
            <w:tcW w:w="1612" w:type="dxa"/>
            <w:tcBorders>
              <w:top w:val="nil"/>
              <w:left w:val="nil"/>
              <w:bottom w:val="single" w:color="000000" w:sz="8" w:space="0"/>
              <w:right w:val="single" w:color="000000" w:sz="8" w:space="0"/>
            </w:tcBorders>
            <w:vAlign w:val="center"/>
          </w:tcPr>
          <w:p w14:paraId="189B7EB8">
            <w:pPr>
              <w:widowControl/>
              <w:jc w:val="center"/>
              <w:rPr>
                <w:rFonts w:hint="eastAsia" w:ascii="宋体" w:hAnsi="宋体" w:cs="宋体"/>
                <w:kern w:val="0"/>
                <w:sz w:val="20"/>
                <w:szCs w:val="20"/>
              </w:rPr>
            </w:pPr>
            <w:r>
              <w:rPr>
                <w:rFonts w:hint="eastAsia" w:ascii="宋体" w:hAnsi="宋体" w:cs="宋体"/>
                <w:kern w:val="0"/>
                <w:sz w:val="20"/>
                <w:szCs w:val="20"/>
              </w:rPr>
              <w:t>★A0201060102激光打印机</w:t>
            </w:r>
          </w:p>
        </w:tc>
        <w:tc>
          <w:tcPr>
            <w:tcW w:w="4700" w:type="dxa"/>
            <w:tcBorders>
              <w:top w:val="nil"/>
              <w:left w:val="nil"/>
              <w:bottom w:val="single" w:color="000000" w:sz="8" w:space="0"/>
              <w:right w:val="single" w:color="000000" w:sz="8" w:space="0"/>
            </w:tcBorders>
            <w:vAlign w:val="center"/>
          </w:tcPr>
          <w:p w14:paraId="205905CE">
            <w:pPr>
              <w:widowControl/>
              <w:jc w:val="left"/>
              <w:rPr>
                <w:rFonts w:hint="eastAsia" w:ascii="宋体" w:hAnsi="宋体" w:cs="宋体"/>
                <w:kern w:val="0"/>
                <w:sz w:val="20"/>
                <w:szCs w:val="20"/>
              </w:rPr>
            </w:pPr>
            <w:r>
              <w:rPr>
                <w:rFonts w:hint="eastAsia" w:ascii="宋体" w:hAnsi="宋体" w:cs="宋体"/>
                <w:kern w:val="0"/>
                <w:sz w:val="20"/>
                <w:szCs w:val="20"/>
              </w:rPr>
              <w:t>《复印机、打印机和传真机能效限定值及能效等级》（GB21521）</w:t>
            </w:r>
          </w:p>
        </w:tc>
      </w:tr>
      <w:tr w14:paraId="44BA99B1">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vAlign w:val="center"/>
          </w:tcPr>
          <w:p w14:paraId="4B17C6C5">
            <w:pPr>
              <w:widowControl/>
              <w:jc w:val="left"/>
              <w:rPr>
                <w:rFonts w:hint="eastAsia" w:ascii="宋体" w:hAnsi="宋体" w:cs="宋体"/>
                <w:kern w:val="0"/>
                <w:sz w:val="20"/>
                <w:szCs w:val="20"/>
              </w:rPr>
            </w:pPr>
          </w:p>
        </w:tc>
        <w:tc>
          <w:tcPr>
            <w:tcW w:w="0" w:type="auto"/>
            <w:vMerge w:val="continue"/>
            <w:tcBorders>
              <w:top w:val="nil"/>
              <w:left w:val="single" w:color="000000" w:sz="8" w:space="0"/>
              <w:bottom w:val="single" w:color="000000" w:sz="8" w:space="0"/>
              <w:right w:val="single" w:color="000000" w:sz="8" w:space="0"/>
            </w:tcBorders>
            <w:vAlign w:val="center"/>
          </w:tcPr>
          <w:p w14:paraId="6A31478F">
            <w:pPr>
              <w:widowControl/>
              <w:jc w:val="left"/>
              <w:rPr>
                <w:rFonts w:hint="eastAsia" w:ascii="宋体" w:hAnsi="宋体" w:cs="宋体"/>
                <w:kern w:val="0"/>
                <w:sz w:val="20"/>
                <w:szCs w:val="20"/>
              </w:rPr>
            </w:pPr>
          </w:p>
        </w:tc>
        <w:tc>
          <w:tcPr>
            <w:tcW w:w="0" w:type="auto"/>
            <w:vMerge w:val="continue"/>
            <w:tcBorders>
              <w:top w:val="nil"/>
              <w:left w:val="single" w:color="000000" w:sz="8" w:space="0"/>
              <w:bottom w:val="single" w:color="000000" w:sz="8" w:space="0"/>
              <w:right w:val="single" w:color="000000" w:sz="8" w:space="0"/>
            </w:tcBorders>
            <w:vAlign w:val="center"/>
          </w:tcPr>
          <w:p w14:paraId="7F932A89">
            <w:pPr>
              <w:widowControl/>
              <w:jc w:val="left"/>
              <w:rPr>
                <w:rFonts w:hint="eastAsia" w:ascii="宋体" w:hAnsi="宋体" w:cs="宋体"/>
                <w:kern w:val="0"/>
                <w:sz w:val="20"/>
                <w:szCs w:val="20"/>
              </w:rPr>
            </w:pPr>
          </w:p>
        </w:tc>
        <w:tc>
          <w:tcPr>
            <w:tcW w:w="1612" w:type="dxa"/>
            <w:tcBorders>
              <w:top w:val="nil"/>
              <w:left w:val="nil"/>
              <w:bottom w:val="single" w:color="000000" w:sz="8" w:space="0"/>
              <w:right w:val="single" w:color="000000" w:sz="8" w:space="0"/>
            </w:tcBorders>
            <w:vAlign w:val="center"/>
          </w:tcPr>
          <w:p w14:paraId="4BD3D80F">
            <w:pPr>
              <w:widowControl/>
              <w:jc w:val="center"/>
              <w:rPr>
                <w:rFonts w:hint="eastAsia" w:ascii="宋体" w:hAnsi="宋体" w:cs="宋体"/>
                <w:kern w:val="0"/>
                <w:sz w:val="20"/>
                <w:szCs w:val="20"/>
              </w:rPr>
            </w:pPr>
            <w:r>
              <w:rPr>
                <w:rFonts w:hint="eastAsia" w:ascii="宋体" w:hAnsi="宋体" w:cs="宋体"/>
                <w:kern w:val="0"/>
                <w:sz w:val="20"/>
                <w:szCs w:val="20"/>
              </w:rPr>
              <w:t>★A0201060104针式打印机</w:t>
            </w:r>
          </w:p>
        </w:tc>
        <w:tc>
          <w:tcPr>
            <w:tcW w:w="4700" w:type="dxa"/>
            <w:tcBorders>
              <w:top w:val="nil"/>
              <w:left w:val="nil"/>
              <w:bottom w:val="single" w:color="000000" w:sz="8" w:space="0"/>
              <w:right w:val="single" w:color="000000" w:sz="8" w:space="0"/>
            </w:tcBorders>
            <w:vAlign w:val="center"/>
          </w:tcPr>
          <w:p w14:paraId="19148EE5">
            <w:pPr>
              <w:widowControl/>
              <w:jc w:val="left"/>
              <w:rPr>
                <w:rFonts w:hint="eastAsia" w:ascii="宋体" w:hAnsi="宋体" w:cs="宋体"/>
                <w:kern w:val="0"/>
                <w:sz w:val="20"/>
                <w:szCs w:val="20"/>
              </w:rPr>
            </w:pPr>
            <w:r>
              <w:rPr>
                <w:rFonts w:hint="eastAsia" w:ascii="宋体" w:hAnsi="宋体" w:cs="宋体"/>
                <w:kern w:val="0"/>
                <w:sz w:val="20"/>
                <w:szCs w:val="20"/>
              </w:rPr>
              <w:t>《复印机、打印机和传真机能效限定值及能效等级》（GB21521）</w:t>
            </w:r>
          </w:p>
        </w:tc>
      </w:tr>
      <w:tr w14:paraId="5E8050EF">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vAlign w:val="center"/>
          </w:tcPr>
          <w:p w14:paraId="45A70579">
            <w:pPr>
              <w:widowControl/>
              <w:jc w:val="left"/>
              <w:rPr>
                <w:rFonts w:hint="eastAsia" w:ascii="宋体" w:hAnsi="宋体" w:cs="宋体"/>
                <w:kern w:val="0"/>
                <w:sz w:val="20"/>
                <w:szCs w:val="20"/>
              </w:rPr>
            </w:pPr>
          </w:p>
        </w:tc>
        <w:tc>
          <w:tcPr>
            <w:tcW w:w="0" w:type="auto"/>
            <w:vMerge w:val="continue"/>
            <w:tcBorders>
              <w:top w:val="nil"/>
              <w:left w:val="single" w:color="000000" w:sz="8" w:space="0"/>
              <w:bottom w:val="single" w:color="000000" w:sz="8" w:space="0"/>
              <w:right w:val="single" w:color="000000" w:sz="8" w:space="0"/>
            </w:tcBorders>
            <w:vAlign w:val="center"/>
          </w:tcPr>
          <w:p w14:paraId="3389DB8F">
            <w:pPr>
              <w:widowControl/>
              <w:jc w:val="left"/>
              <w:rPr>
                <w:rFonts w:hint="eastAsia" w:ascii="宋体" w:hAnsi="宋体" w:cs="宋体"/>
                <w:kern w:val="0"/>
                <w:sz w:val="20"/>
                <w:szCs w:val="20"/>
              </w:rPr>
            </w:pPr>
          </w:p>
        </w:tc>
        <w:tc>
          <w:tcPr>
            <w:tcW w:w="1516" w:type="dxa"/>
            <w:tcBorders>
              <w:top w:val="nil"/>
              <w:left w:val="nil"/>
              <w:bottom w:val="single" w:color="000000" w:sz="8" w:space="0"/>
              <w:right w:val="single" w:color="000000" w:sz="8" w:space="0"/>
            </w:tcBorders>
            <w:vAlign w:val="center"/>
          </w:tcPr>
          <w:p w14:paraId="4AB8C64E">
            <w:pPr>
              <w:widowControl/>
              <w:jc w:val="center"/>
              <w:rPr>
                <w:rFonts w:hint="eastAsia" w:ascii="宋体" w:hAnsi="宋体" w:cs="宋体"/>
                <w:kern w:val="0"/>
                <w:sz w:val="20"/>
                <w:szCs w:val="20"/>
              </w:rPr>
            </w:pPr>
            <w:r>
              <w:rPr>
                <w:rFonts w:hint="eastAsia" w:ascii="宋体" w:hAnsi="宋体" w:cs="宋体"/>
                <w:kern w:val="0"/>
                <w:sz w:val="20"/>
                <w:szCs w:val="20"/>
              </w:rPr>
              <w:t>A02010604显示设备</w:t>
            </w:r>
          </w:p>
        </w:tc>
        <w:tc>
          <w:tcPr>
            <w:tcW w:w="1612" w:type="dxa"/>
            <w:tcBorders>
              <w:top w:val="nil"/>
              <w:left w:val="nil"/>
              <w:bottom w:val="single" w:color="000000" w:sz="8" w:space="0"/>
              <w:right w:val="single" w:color="000000" w:sz="8" w:space="0"/>
            </w:tcBorders>
            <w:vAlign w:val="center"/>
          </w:tcPr>
          <w:p w14:paraId="2D9C7182">
            <w:pPr>
              <w:widowControl/>
              <w:jc w:val="center"/>
              <w:rPr>
                <w:rFonts w:hint="eastAsia" w:ascii="宋体" w:hAnsi="宋体" w:cs="宋体"/>
                <w:kern w:val="0"/>
                <w:sz w:val="20"/>
                <w:szCs w:val="20"/>
              </w:rPr>
            </w:pPr>
            <w:r>
              <w:rPr>
                <w:rFonts w:hint="eastAsia" w:ascii="宋体" w:hAnsi="宋体" w:cs="宋体"/>
                <w:kern w:val="0"/>
                <w:sz w:val="20"/>
                <w:szCs w:val="20"/>
              </w:rPr>
              <w:t>★A0201060401液晶显示器</w:t>
            </w:r>
          </w:p>
        </w:tc>
        <w:tc>
          <w:tcPr>
            <w:tcW w:w="4700" w:type="dxa"/>
            <w:tcBorders>
              <w:top w:val="nil"/>
              <w:left w:val="nil"/>
              <w:bottom w:val="single" w:color="000000" w:sz="8" w:space="0"/>
              <w:right w:val="single" w:color="000000" w:sz="8" w:space="0"/>
            </w:tcBorders>
            <w:vAlign w:val="center"/>
          </w:tcPr>
          <w:p w14:paraId="65BB5387">
            <w:pPr>
              <w:widowControl/>
              <w:jc w:val="left"/>
              <w:rPr>
                <w:rFonts w:hint="eastAsia" w:ascii="宋体" w:hAnsi="宋体" w:cs="宋体"/>
                <w:kern w:val="0"/>
                <w:sz w:val="20"/>
                <w:szCs w:val="20"/>
              </w:rPr>
            </w:pPr>
            <w:r>
              <w:rPr>
                <w:rFonts w:hint="eastAsia" w:ascii="宋体" w:hAnsi="宋体" w:cs="宋体"/>
                <w:kern w:val="0"/>
                <w:sz w:val="20"/>
                <w:szCs w:val="20"/>
              </w:rPr>
              <w:t>《计算机显示器能效限定值及能效等级》（GB21520）</w:t>
            </w:r>
          </w:p>
        </w:tc>
      </w:tr>
      <w:tr w14:paraId="6BCFCCDD">
        <w:tblPrEx>
          <w:tblCellMar>
            <w:top w:w="0" w:type="dxa"/>
            <w:left w:w="108" w:type="dxa"/>
            <w:bottom w:w="0" w:type="dxa"/>
            <w:right w:w="108" w:type="dxa"/>
          </w:tblCellMar>
        </w:tblPrEx>
        <w:trPr>
          <w:trHeight w:val="975" w:hRule="atLeast"/>
        </w:trPr>
        <w:tc>
          <w:tcPr>
            <w:tcW w:w="0" w:type="auto"/>
            <w:vMerge w:val="continue"/>
            <w:tcBorders>
              <w:top w:val="nil"/>
              <w:left w:val="single" w:color="000000" w:sz="8" w:space="0"/>
              <w:bottom w:val="single" w:color="000000" w:sz="8" w:space="0"/>
              <w:right w:val="single" w:color="000000" w:sz="8" w:space="0"/>
            </w:tcBorders>
            <w:vAlign w:val="center"/>
          </w:tcPr>
          <w:p w14:paraId="7BADDA6E">
            <w:pPr>
              <w:widowControl/>
              <w:jc w:val="left"/>
              <w:rPr>
                <w:rFonts w:hint="eastAsia" w:ascii="宋体" w:hAnsi="宋体" w:cs="宋体"/>
                <w:kern w:val="0"/>
                <w:sz w:val="20"/>
                <w:szCs w:val="20"/>
              </w:rPr>
            </w:pPr>
          </w:p>
        </w:tc>
        <w:tc>
          <w:tcPr>
            <w:tcW w:w="0" w:type="auto"/>
            <w:vMerge w:val="continue"/>
            <w:tcBorders>
              <w:top w:val="nil"/>
              <w:left w:val="single" w:color="000000" w:sz="8" w:space="0"/>
              <w:bottom w:val="single" w:color="000000" w:sz="8" w:space="0"/>
              <w:right w:val="single" w:color="000000" w:sz="8" w:space="0"/>
            </w:tcBorders>
            <w:vAlign w:val="center"/>
          </w:tcPr>
          <w:p w14:paraId="57A1A698">
            <w:pPr>
              <w:widowControl/>
              <w:jc w:val="left"/>
              <w:rPr>
                <w:rFonts w:hint="eastAsia" w:ascii="宋体" w:hAnsi="宋体" w:cs="宋体"/>
                <w:kern w:val="0"/>
                <w:sz w:val="20"/>
                <w:szCs w:val="20"/>
              </w:rPr>
            </w:pPr>
          </w:p>
        </w:tc>
        <w:tc>
          <w:tcPr>
            <w:tcW w:w="1516" w:type="dxa"/>
            <w:tcBorders>
              <w:top w:val="nil"/>
              <w:left w:val="nil"/>
              <w:bottom w:val="single" w:color="000000" w:sz="8" w:space="0"/>
              <w:right w:val="single" w:color="000000" w:sz="8" w:space="0"/>
            </w:tcBorders>
            <w:vAlign w:val="center"/>
          </w:tcPr>
          <w:p w14:paraId="6F810024">
            <w:pPr>
              <w:widowControl/>
              <w:jc w:val="center"/>
              <w:rPr>
                <w:rFonts w:hint="eastAsia" w:ascii="宋体" w:hAnsi="宋体" w:cs="宋体"/>
                <w:kern w:val="0"/>
                <w:sz w:val="20"/>
                <w:szCs w:val="20"/>
              </w:rPr>
            </w:pPr>
            <w:r>
              <w:rPr>
                <w:rFonts w:hint="eastAsia" w:ascii="宋体" w:hAnsi="宋体" w:cs="宋体"/>
                <w:kern w:val="0"/>
                <w:sz w:val="20"/>
                <w:szCs w:val="20"/>
              </w:rPr>
              <w:t>A02010609图形图像输入设备</w:t>
            </w:r>
          </w:p>
        </w:tc>
        <w:tc>
          <w:tcPr>
            <w:tcW w:w="1612" w:type="dxa"/>
            <w:tcBorders>
              <w:top w:val="nil"/>
              <w:left w:val="nil"/>
              <w:bottom w:val="single" w:color="000000" w:sz="8" w:space="0"/>
              <w:right w:val="single" w:color="000000" w:sz="8" w:space="0"/>
            </w:tcBorders>
            <w:vAlign w:val="center"/>
          </w:tcPr>
          <w:p w14:paraId="42EF46A3">
            <w:pPr>
              <w:widowControl/>
              <w:jc w:val="center"/>
              <w:rPr>
                <w:rFonts w:hint="eastAsia" w:ascii="宋体" w:hAnsi="宋体" w:cs="宋体"/>
                <w:kern w:val="0"/>
                <w:sz w:val="20"/>
                <w:szCs w:val="20"/>
              </w:rPr>
            </w:pPr>
            <w:r>
              <w:rPr>
                <w:rFonts w:hint="eastAsia" w:ascii="宋体" w:hAnsi="宋体" w:cs="宋体"/>
                <w:kern w:val="0"/>
                <w:sz w:val="20"/>
                <w:szCs w:val="20"/>
              </w:rPr>
              <w:t>A0201060901扫描仪</w:t>
            </w:r>
          </w:p>
        </w:tc>
        <w:tc>
          <w:tcPr>
            <w:tcW w:w="4700" w:type="dxa"/>
            <w:tcBorders>
              <w:top w:val="nil"/>
              <w:left w:val="nil"/>
              <w:bottom w:val="single" w:color="000000" w:sz="8" w:space="0"/>
              <w:right w:val="single" w:color="000000" w:sz="8" w:space="0"/>
            </w:tcBorders>
            <w:vAlign w:val="center"/>
          </w:tcPr>
          <w:p w14:paraId="7075A1DF">
            <w:pPr>
              <w:widowControl/>
              <w:jc w:val="left"/>
              <w:rPr>
                <w:rFonts w:hint="eastAsia" w:ascii="宋体" w:hAnsi="宋体" w:cs="宋体"/>
                <w:kern w:val="0"/>
                <w:sz w:val="20"/>
                <w:szCs w:val="20"/>
              </w:rPr>
            </w:pPr>
            <w:r>
              <w:rPr>
                <w:rFonts w:hint="eastAsia" w:ascii="宋体" w:hAnsi="宋体" w:cs="宋体"/>
                <w:kern w:val="0"/>
                <w:sz w:val="20"/>
                <w:szCs w:val="20"/>
              </w:rPr>
              <w:t>参照《复印机、打印机和传真机能效限定值及能效等级》（GB21521中打印速度为15页/分的针式打印机相关要求中打印速度为15页/分的针式打印机相关要求</w:t>
            </w:r>
          </w:p>
        </w:tc>
      </w:tr>
      <w:tr w14:paraId="3337D5ED">
        <w:tblPrEx>
          <w:tblCellMar>
            <w:top w:w="0" w:type="dxa"/>
            <w:left w:w="108" w:type="dxa"/>
            <w:bottom w:w="0" w:type="dxa"/>
            <w:right w:w="108" w:type="dxa"/>
          </w:tblCellMar>
        </w:tblPrEx>
        <w:trPr>
          <w:trHeight w:val="495" w:hRule="atLeast"/>
        </w:trPr>
        <w:tc>
          <w:tcPr>
            <w:tcW w:w="641" w:type="dxa"/>
            <w:tcBorders>
              <w:top w:val="nil"/>
              <w:left w:val="single" w:color="000000" w:sz="8" w:space="0"/>
              <w:bottom w:val="single" w:color="000000" w:sz="8" w:space="0"/>
              <w:right w:val="single" w:color="000000" w:sz="8" w:space="0"/>
            </w:tcBorders>
            <w:vAlign w:val="center"/>
          </w:tcPr>
          <w:p w14:paraId="1DF32702">
            <w:pPr>
              <w:widowControl/>
              <w:jc w:val="center"/>
              <w:rPr>
                <w:rFonts w:hint="eastAsia" w:ascii="宋体" w:hAnsi="宋体" w:cs="宋体"/>
                <w:kern w:val="0"/>
                <w:sz w:val="20"/>
                <w:szCs w:val="20"/>
              </w:rPr>
            </w:pPr>
            <w:r>
              <w:rPr>
                <w:rFonts w:hint="eastAsia" w:ascii="宋体" w:hAnsi="宋体" w:cs="宋体"/>
                <w:kern w:val="0"/>
                <w:sz w:val="20"/>
                <w:szCs w:val="20"/>
              </w:rPr>
              <w:t>3</w:t>
            </w:r>
          </w:p>
        </w:tc>
        <w:tc>
          <w:tcPr>
            <w:tcW w:w="1116" w:type="dxa"/>
            <w:tcBorders>
              <w:top w:val="nil"/>
              <w:left w:val="nil"/>
              <w:bottom w:val="single" w:color="000000" w:sz="8" w:space="0"/>
              <w:right w:val="single" w:color="000000" w:sz="8" w:space="0"/>
            </w:tcBorders>
            <w:vAlign w:val="center"/>
          </w:tcPr>
          <w:p w14:paraId="142C40C9">
            <w:pPr>
              <w:widowControl/>
              <w:jc w:val="center"/>
              <w:rPr>
                <w:rFonts w:hint="eastAsia" w:ascii="宋体" w:hAnsi="宋体" w:cs="宋体"/>
                <w:kern w:val="0"/>
                <w:sz w:val="20"/>
                <w:szCs w:val="20"/>
              </w:rPr>
            </w:pPr>
            <w:r>
              <w:rPr>
                <w:rFonts w:hint="eastAsia" w:ascii="宋体" w:hAnsi="宋体" w:cs="宋体"/>
                <w:kern w:val="0"/>
                <w:sz w:val="20"/>
                <w:szCs w:val="20"/>
              </w:rPr>
              <w:t>A020202投影仪</w:t>
            </w:r>
          </w:p>
        </w:tc>
        <w:tc>
          <w:tcPr>
            <w:tcW w:w="1516" w:type="dxa"/>
            <w:tcBorders>
              <w:top w:val="nil"/>
              <w:left w:val="nil"/>
              <w:bottom w:val="single" w:color="000000" w:sz="8" w:space="0"/>
              <w:right w:val="single" w:color="000000" w:sz="8" w:space="0"/>
            </w:tcBorders>
            <w:vAlign w:val="center"/>
          </w:tcPr>
          <w:p w14:paraId="00BE1652">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1612" w:type="dxa"/>
            <w:tcBorders>
              <w:top w:val="nil"/>
              <w:left w:val="nil"/>
              <w:bottom w:val="single" w:color="000000" w:sz="8" w:space="0"/>
              <w:right w:val="single" w:color="000000" w:sz="8" w:space="0"/>
            </w:tcBorders>
            <w:vAlign w:val="center"/>
          </w:tcPr>
          <w:p w14:paraId="176AFD37">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4700" w:type="dxa"/>
            <w:tcBorders>
              <w:top w:val="nil"/>
              <w:left w:val="nil"/>
              <w:bottom w:val="single" w:color="000000" w:sz="8" w:space="0"/>
              <w:right w:val="single" w:color="000000" w:sz="8" w:space="0"/>
            </w:tcBorders>
            <w:vAlign w:val="center"/>
          </w:tcPr>
          <w:p w14:paraId="7E80EE03">
            <w:pPr>
              <w:widowControl/>
              <w:jc w:val="left"/>
              <w:rPr>
                <w:rFonts w:hint="eastAsia" w:ascii="宋体" w:hAnsi="宋体" w:cs="宋体"/>
                <w:kern w:val="0"/>
                <w:sz w:val="20"/>
                <w:szCs w:val="20"/>
              </w:rPr>
            </w:pPr>
            <w:r>
              <w:rPr>
                <w:rFonts w:hint="eastAsia" w:ascii="宋体" w:hAnsi="宋体" w:cs="宋体"/>
                <w:kern w:val="0"/>
                <w:sz w:val="20"/>
                <w:szCs w:val="20"/>
              </w:rPr>
              <w:t>《投影机能效限定值及能效等级》（GB32028）</w:t>
            </w:r>
          </w:p>
        </w:tc>
      </w:tr>
      <w:tr w14:paraId="0A47CEFF">
        <w:tblPrEx>
          <w:tblCellMar>
            <w:top w:w="0" w:type="dxa"/>
            <w:left w:w="108" w:type="dxa"/>
            <w:bottom w:w="0" w:type="dxa"/>
            <w:right w:w="108" w:type="dxa"/>
          </w:tblCellMar>
        </w:tblPrEx>
        <w:trPr>
          <w:trHeight w:val="495" w:hRule="atLeast"/>
        </w:trPr>
        <w:tc>
          <w:tcPr>
            <w:tcW w:w="641" w:type="dxa"/>
            <w:tcBorders>
              <w:top w:val="nil"/>
              <w:left w:val="single" w:color="000000" w:sz="8" w:space="0"/>
              <w:bottom w:val="single" w:color="000000" w:sz="8" w:space="0"/>
              <w:right w:val="single" w:color="000000" w:sz="8" w:space="0"/>
            </w:tcBorders>
            <w:vAlign w:val="center"/>
          </w:tcPr>
          <w:p w14:paraId="0016A577">
            <w:pPr>
              <w:widowControl/>
              <w:jc w:val="center"/>
              <w:rPr>
                <w:rFonts w:hint="eastAsia" w:ascii="宋体" w:hAnsi="宋体" w:cs="宋体"/>
                <w:kern w:val="0"/>
                <w:sz w:val="20"/>
                <w:szCs w:val="20"/>
              </w:rPr>
            </w:pPr>
            <w:r>
              <w:rPr>
                <w:rFonts w:hint="eastAsia" w:ascii="宋体" w:hAnsi="宋体" w:cs="宋体"/>
                <w:kern w:val="0"/>
                <w:sz w:val="20"/>
                <w:szCs w:val="20"/>
              </w:rPr>
              <w:t>4</w:t>
            </w:r>
          </w:p>
        </w:tc>
        <w:tc>
          <w:tcPr>
            <w:tcW w:w="1116" w:type="dxa"/>
            <w:tcBorders>
              <w:top w:val="nil"/>
              <w:left w:val="nil"/>
              <w:bottom w:val="single" w:color="000000" w:sz="8" w:space="0"/>
              <w:right w:val="single" w:color="000000" w:sz="8" w:space="0"/>
            </w:tcBorders>
            <w:vAlign w:val="center"/>
          </w:tcPr>
          <w:p w14:paraId="7FD67AD4">
            <w:pPr>
              <w:widowControl/>
              <w:jc w:val="center"/>
              <w:rPr>
                <w:rFonts w:hint="eastAsia" w:ascii="宋体" w:hAnsi="宋体" w:cs="宋体"/>
                <w:kern w:val="0"/>
                <w:sz w:val="20"/>
                <w:szCs w:val="20"/>
              </w:rPr>
            </w:pPr>
            <w:r>
              <w:rPr>
                <w:rFonts w:hint="eastAsia" w:ascii="宋体" w:hAnsi="宋体" w:cs="宋体"/>
                <w:kern w:val="0"/>
                <w:sz w:val="20"/>
                <w:szCs w:val="20"/>
              </w:rPr>
              <w:t>A020204多功能一体机</w:t>
            </w:r>
          </w:p>
        </w:tc>
        <w:tc>
          <w:tcPr>
            <w:tcW w:w="1516" w:type="dxa"/>
            <w:tcBorders>
              <w:top w:val="nil"/>
              <w:left w:val="nil"/>
              <w:bottom w:val="single" w:color="000000" w:sz="8" w:space="0"/>
              <w:right w:val="single" w:color="000000" w:sz="8" w:space="0"/>
            </w:tcBorders>
            <w:vAlign w:val="center"/>
          </w:tcPr>
          <w:p w14:paraId="6233047C">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1612" w:type="dxa"/>
            <w:tcBorders>
              <w:top w:val="nil"/>
              <w:left w:val="nil"/>
              <w:bottom w:val="single" w:color="000000" w:sz="8" w:space="0"/>
              <w:right w:val="single" w:color="000000" w:sz="8" w:space="0"/>
            </w:tcBorders>
            <w:vAlign w:val="center"/>
          </w:tcPr>
          <w:p w14:paraId="5A3FFF0F">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4700" w:type="dxa"/>
            <w:tcBorders>
              <w:top w:val="nil"/>
              <w:left w:val="nil"/>
              <w:bottom w:val="single" w:color="000000" w:sz="8" w:space="0"/>
              <w:right w:val="single" w:color="000000" w:sz="8" w:space="0"/>
            </w:tcBorders>
            <w:vAlign w:val="center"/>
          </w:tcPr>
          <w:p w14:paraId="6428BF82">
            <w:pPr>
              <w:widowControl/>
              <w:jc w:val="left"/>
              <w:rPr>
                <w:rFonts w:hint="eastAsia" w:ascii="宋体" w:hAnsi="宋体" w:cs="宋体"/>
                <w:kern w:val="0"/>
                <w:sz w:val="20"/>
                <w:szCs w:val="20"/>
              </w:rPr>
            </w:pPr>
            <w:r>
              <w:rPr>
                <w:rFonts w:hint="eastAsia" w:ascii="宋体" w:hAnsi="宋体" w:cs="宋体"/>
                <w:kern w:val="0"/>
                <w:sz w:val="20"/>
                <w:szCs w:val="20"/>
              </w:rPr>
              <w:t>《复印机、打印机和传真机能效限定值及能效等级》（GB21521）</w:t>
            </w:r>
          </w:p>
        </w:tc>
      </w:tr>
      <w:tr w14:paraId="4150D173">
        <w:tblPrEx>
          <w:tblCellMar>
            <w:top w:w="0" w:type="dxa"/>
            <w:left w:w="108" w:type="dxa"/>
            <w:bottom w:w="0" w:type="dxa"/>
            <w:right w:w="108" w:type="dxa"/>
          </w:tblCellMar>
        </w:tblPrEx>
        <w:trPr>
          <w:trHeight w:val="495" w:hRule="atLeast"/>
        </w:trPr>
        <w:tc>
          <w:tcPr>
            <w:tcW w:w="641" w:type="dxa"/>
            <w:tcBorders>
              <w:top w:val="nil"/>
              <w:left w:val="single" w:color="000000" w:sz="8" w:space="0"/>
              <w:bottom w:val="single" w:color="000000" w:sz="8" w:space="0"/>
              <w:right w:val="single" w:color="000000" w:sz="8" w:space="0"/>
            </w:tcBorders>
            <w:vAlign w:val="center"/>
          </w:tcPr>
          <w:p w14:paraId="7FDCCE45">
            <w:pPr>
              <w:widowControl/>
              <w:jc w:val="center"/>
              <w:rPr>
                <w:rFonts w:hint="eastAsia" w:ascii="宋体" w:hAnsi="宋体" w:cs="宋体"/>
                <w:kern w:val="0"/>
                <w:sz w:val="20"/>
                <w:szCs w:val="20"/>
              </w:rPr>
            </w:pPr>
            <w:r>
              <w:rPr>
                <w:rFonts w:hint="eastAsia" w:ascii="宋体" w:hAnsi="宋体" w:cs="宋体"/>
                <w:kern w:val="0"/>
                <w:sz w:val="20"/>
                <w:szCs w:val="20"/>
              </w:rPr>
              <w:t>5</w:t>
            </w:r>
          </w:p>
        </w:tc>
        <w:tc>
          <w:tcPr>
            <w:tcW w:w="1116" w:type="dxa"/>
            <w:tcBorders>
              <w:top w:val="nil"/>
              <w:left w:val="nil"/>
              <w:bottom w:val="single" w:color="000000" w:sz="8" w:space="0"/>
              <w:right w:val="single" w:color="000000" w:sz="8" w:space="0"/>
            </w:tcBorders>
            <w:vAlign w:val="center"/>
          </w:tcPr>
          <w:p w14:paraId="54E231C3">
            <w:pPr>
              <w:widowControl/>
              <w:jc w:val="center"/>
              <w:rPr>
                <w:rFonts w:hint="eastAsia" w:ascii="宋体" w:hAnsi="宋体" w:cs="宋体"/>
                <w:kern w:val="0"/>
                <w:sz w:val="20"/>
                <w:szCs w:val="20"/>
              </w:rPr>
            </w:pPr>
            <w:r>
              <w:rPr>
                <w:rFonts w:hint="eastAsia" w:ascii="宋体" w:hAnsi="宋体" w:cs="宋体"/>
                <w:kern w:val="0"/>
                <w:sz w:val="20"/>
                <w:szCs w:val="20"/>
              </w:rPr>
              <w:t>A020519泵</w:t>
            </w:r>
          </w:p>
        </w:tc>
        <w:tc>
          <w:tcPr>
            <w:tcW w:w="1516" w:type="dxa"/>
            <w:tcBorders>
              <w:top w:val="nil"/>
              <w:left w:val="nil"/>
              <w:bottom w:val="single" w:color="000000" w:sz="8" w:space="0"/>
              <w:right w:val="single" w:color="000000" w:sz="8" w:space="0"/>
            </w:tcBorders>
            <w:vAlign w:val="center"/>
          </w:tcPr>
          <w:p w14:paraId="049BFA0F">
            <w:pPr>
              <w:widowControl/>
              <w:jc w:val="center"/>
              <w:rPr>
                <w:rFonts w:hint="eastAsia" w:ascii="宋体" w:hAnsi="宋体" w:cs="宋体"/>
                <w:kern w:val="0"/>
                <w:sz w:val="20"/>
                <w:szCs w:val="20"/>
              </w:rPr>
            </w:pPr>
            <w:r>
              <w:rPr>
                <w:rFonts w:hint="eastAsia" w:ascii="宋体" w:hAnsi="宋体" w:cs="宋体"/>
                <w:kern w:val="0"/>
                <w:sz w:val="20"/>
                <w:szCs w:val="20"/>
              </w:rPr>
              <w:t>A02051901离心泵</w:t>
            </w:r>
          </w:p>
        </w:tc>
        <w:tc>
          <w:tcPr>
            <w:tcW w:w="1612" w:type="dxa"/>
            <w:tcBorders>
              <w:top w:val="nil"/>
              <w:left w:val="nil"/>
              <w:bottom w:val="single" w:color="000000" w:sz="8" w:space="0"/>
              <w:right w:val="single" w:color="000000" w:sz="8" w:space="0"/>
            </w:tcBorders>
            <w:vAlign w:val="center"/>
          </w:tcPr>
          <w:p w14:paraId="6ED4BA5C">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4700" w:type="dxa"/>
            <w:tcBorders>
              <w:top w:val="nil"/>
              <w:left w:val="nil"/>
              <w:bottom w:val="single" w:color="000000" w:sz="8" w:space="0"/>
              <w:right w:val="single" w:color="000000" w:sz="8" w:space="0"/>
            </w:tcBorders>
            <w:vAlign w:val="center"/>
          </w:tcPr>
          <w:p w14:paraId="71FE3C00">
            <w:pPr>
              <w:widowControl/>
              <w:jc w:val="left"/>
              <w:rPr>
                <w:rFonts w:hint="eastAsia" w:ascii="宋体" w:hAnsi="宋体" w:cs="宋体"/>
                <w:kern w:val="0"/>
                <w:sz w:val="20"/>
                <w:szCs w:val="20"/>
              </w:rPr>
            </w:pPr>
            <w:r>
              <w:rPr>
                <w:rFonts w:hint="eastAsia" w:ascii="宋体" w:hAnsi="宋体" w:cs="宋体"/>
                <w:kern w:val="0"/>
                <w:sz w:val="20"/>
                <w:szCs w:val="20"/>
              </w:rPr>
              <w:t>《清水离心泵能效限定值及节能评价值》（GB19762）</w:t>
            </w:r>
          </w:p>
        </w:tc>
      </w:tr>
      <w:tr w14:paraId="29B8070B">
        <w:tblPrEx>
          <w:tblCellMar>
            <w:top w:w="0" w:type="dxa"/>
            <w:left w:w="108" w:type="dxa"/>
            <w:bottom w:w="0" w:type="dxa"/>
            <w:right w:w="108" w:type="dxa"/>
          </w:tblCellMar>
        </w:tblPrEx>
        <w:trPr>
          <w:trHeight w:val="735" w:hRule="atLeast"/>
        </w:trPr>
        <w:tc>
          <w:tcPr>
            <w:tcW w:w="641" w:type="dxa"/>
            <w:vMerge w:val="restart"/>
            <w:tcBorders>
              <w:top w:val="nil"/>
              <w:left w:val="single" w:color="000000" w:sz="8" w:space="0"/>
              <w:bottom w:val="single" w:color="000000" w:sz="8" w:space="0"/>
              <w:right w:val="single" w:color="000000" w:sz="8" w:space="0"/>
            </w:tcBorders>
            <w:vAlign w:val="center"/>
          </w:tcPr>
          <w:p w14:paraId="547FEF95">
            <w:pPr>
              <w:widowControl/>
              <w:jc w:val="center"/>
              <w:rPr>
                <w:rFonts w:hint="eastAsia" w:ascii="宋体" w:hAnsi="宋体" w:cs="宋体"/>
                <w:kern w:val="0"/>
                <w:sz w:val="20"/>
                <w:szCs w:val="20"/>
              </w:rPr>
            </w:pPr>
            <w:r>
              <w:rPr>
                <w:rFonts w:hint="eastAsia" w:ascii="宋体" w:hAnsi="宋体" w:cs="宋体"/>
                <w:kern w:val="0"/>
                <w:sz w:val="20"/>
                <w:szCs w:val="20"/>
              </w:rPr>
              <w:t>6</w:t>
            </w:r>
          </w:p>
        </w:tc>
        <w:tc>
          <w:tcPr>
            <w:tcW w:w="1116" w:type="dxa"/>
            <w:vMerge w:val="restart"/>
            <w:tcBorders>
              <w:top w:val="nil"/>
              <w:left w:val="single" w:color="000000" w:sz="8" w:space="0"/>
              <w:bottom w:val="single" w:color="000000" w:sz="8" w:space="0"/>
              <w:right w:val="single" w:color="000000" w:sz="8" w:space="0"/>
            </w:tcBorders>
            <w:vAlign w:val="center"/>
          </w:tcPr>
          <w:p w14:paraId="4B1719EB">
            <w:pPr>
              <w:widowControl/>
              <w:jc w:val="center"/>
              <w:rPr>
                <w:rFonts w:hint="eastAsia" w:ascii="宋体" w:hAnsi="宋体" w:cs="宋体"/>
                <w:kern w:val="0"/>
                <w:sz w:val="20"/>
                <w:szCs w:val="20"/>
              </w:rPr>
            </w:pPr>
            <w:r>
              <w:rPr>
                <w:rFonts w:hint="eastAsia" w:ascii="宋体" w:hAnsi="宋体" w:cs="宋体"/>
                <w:kern w:val="0"/>
                <w:sz w:val="20"/>
                <w:szCs w:val="20"/>
              </w:rPr>
              <w:t>A020523制冷空调设备</w:t>
            </w:r>
          </w:p>
        </w:tc>
        <w:tc>
          <w:tcPr>
            <w:tcW w:w="1516" w:type="dxa"/>
            <w:vMerge w:val="restart"/>
            <w:tcBorders>
              <w:top w:val="nil"/>
              <w:left w:val="single" w:color="000000" w:sz="8" w:space="0"/>
              <w:bottom w:val="single" w:color="000000" w:sz="8" w:space="0"/>
              <w:right w:val="single" w:color="000000" w:sz="8" w:space="0"/>
            </w:tcBorders>
            <w:vAlign w:val="center"/>
          </w:tcPr>
          <w:p w14:paraId="504A30B3">
            <w:pPr>
              <w:widowControl/>
              <w:jc w:val="center"/>
              <w:rPr>
                <w:rFonts w:hint="eastAsia" w:ascii="宋体" w:hAnsi="宋体" w:cs="宋体"/>
                <w:kern w:val="0"/>
                <w:sz w:val="20"/>
                <w:szCs w:val="20"/>
              </w:rPr>
            </w:pPr>
            <w:r>
              <w:rPr>
                <w:rFonts w:hint="eastAsia" w:ascii="宋体" w:hAnsi="宋体" w:cs="宋体"/>
                <w:kern w:val="0"/>
                <w:sz w:val="20"/>
                <w:szCs w:val="20"/>
              </w:rPr>
              <w:t>★A02052301制冷压缩机</w:t>
            </w:r>
          </w:p>
        </w:tc>
        <w:tc>
          <w:tcPr>
            <w:tcW w:w="1612" w:type="dxa"/>
            <w:tcBorders>
              <w:top w:val="nil"/>
              <w:left w:val="nil"/>
              <w:bottom w:val="single" w:color="000000" w:sz="8" w:space="0"/>
              <w:right w:val="single" w:color="000000" w:sz="8" w:space="0"/>
            </w:tcBorders>
            <w:vAlign w:val="center"/>
          </w:tcPr>
          <w:p w14:paraId="493B252F">
            <w:pPr>
              <w:widowControl/>
              <w:jc w:val="center"/>
              <w:rPr>
                <w:rFonts w:hint="eastAsia" w:ascii="宋体" w:hAnsi="宋体" w:cs="宋体"/>
                <w:kern w:val="0"/>
                <w:sz w:val="20"/>
                <w:szCs w:val="20"/>
              </w:rPr>
            </w:pPr>
            <w:r>
              <w:rPr>
                <w:rFonts w:hint="eastAsia" w:ascii="宋体" w:hAnsi="宋体" w:cs="宋体"/>
                <w:kern w:val="0"/>
                <w:sz w:val="20"/>
                <w:szCs w:val="20"/>
              </w:rPr>
              <w:t>冷水机组</w:t>
            </w:r>
          </w:p>
        </w:tc>
        <w:tc>
          <w:tcPr>
            <w:tcW w:w="4700" w:type="dxa"/>
            <w:tcBorders>
              <w:top w:val="nil"/>
              <w:left w:val="nil"/>
              <w:bottom w:val="single" w:color="000000" w:sz="8" w:space="0"/>
              <w:right w:val="single" w:color="000000" w:sz="8" w:space="0"/>
            </w:tcBorders>
            <w:vAlign w:val="center"/>
          </w:tcPr>
          <w:p w14:paraId="7D0E53F6">
            <w:pPr>
              <w:widowControl/>
              <w:jc w:val="left"/>
              <w:rPr>
                <w:rFonts w:hint="eastAsia" w:ascii="宋体" w:hAnsi="宋体" w:cs="宋体"/>
                <w:kern w:val="0"/>
                <w:sz w:val="20"/>
                <w:szCs w:val="20"/>
              </w:rPr>
            </w:pPr>
            <w:r>
              <w:rPr>
                <w:rFonts w:hint="eastAsia" w:ascii="宋体" w:hAnsi="宋体" w:cs="宋体"/>
                <w:kern w:val="0"/>
                <w:sz w:val="20"/>
                <w:szCs w:val="20"/>
              </w:rPr>
              <w:t>《冷水机组能效限定值及能效等级》（GB19577），《低环境温度空气源热泵（冷水）机组能效限定值及能效等级》（GB37480）</w:t>
            </w:r>
          </w:p>
        </w:tc>
      </w:tr>
      <w:tr w14:paraId="4652295D">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vAlign w:val="center"/>
          </w:tcPr>
          <w:p w14:paraId="13F30272">
            <w:pPr>
              <w:widowControl/>
              <w:jc w:val="left"/>
              <w:rPr>
                <w:rFonts w:hint="eastAsia" w:ascii="宋体" w:hAnsi="宋体" w:cs="宋体"/>
                <w:kern w:val="0"/>
                <w:sz w:val="20"/>
                <w:szCs w:val="20"/>
              </w:rPr>
            </w:pPr>
          </w:p>
        </w:tc>
        <w:tc>
          <w:tcPr>
            <w:tcW w:w="0" w:type="auto"/>
            <w:vMerge w:val="continue"/>
            <w:tcBorders>
              <w:top w:val="nil"/>
              <w:left w:val="single" w:color="000000" w:sz="8" w:space="0"/>
              <w:bottom w:val="single" w:color="000000" w:sz="8" w:space="0"/>
              <w:right w:val="single" w:color="000000" w:sz="8" w:space="0"/>
            </w:tcBorders>
            <w:vAlign w:val="center"/>
          </w:tcPr>
          <w:p w14:paraId="6CB193E5">
            <w:pPr>
              <w:widowControl/>
              <w:jc w:val="left"/>
              <w:rPr>
                <w:rFonts w:hint="eastAsia" w:ascii="宋体" w:hAnsi="宋体" w:cs="宋体"/>
                <w:kern w:val="0"/>
                <w:sz w:val="20"/>
                <w:szCs w:val="20"/>
              </w:rPr>
            </w:pPr>
          </w:p>
        </w:tc>
        <w:tc>
          <w:tcPr>
            <w:tcW w:w="0" w:type="auto"/>
            <w:vMerge w:val="continue"/>
            <w:tcBorders>
              <w:top w:val="nil"/>
              <w:left w:val="single" w:color="000000" w:sz="8" w:space="0"/>
              <w:bottom w:val="single" w:color="000000" w:sz="8" w:space="0"/>
              <w:right w:val="single" w:color="000000" w:sz="8" w:space="0"/>
            </w:tcBorders>
            <w:vAlign w:val="center"/>
          </w:tcPr>
          <w:p w14:paraId="7383B924">
            <w:pPr>
              <w:widowControl/>
              <w:jc w:val="left"/>
              <w:rPr>
                <w:rFonts w:hint="eastAsia" w:ascii="宋体" w:hAnsi="宋体" w:cs="宋体"/>
                <w:kern w:val="0"/>
                <w:sz w:val="20"/>
                <w:szCs w:val="20"/>
              </w:rPr>
            </w:pPr>
          </w:p>
        </w:tc>
        <w:tc>
          <w:tcPr>
            <w:tcW w:w="1612" w:type="dxa"/>
            <w:tcBorders>
              <w:top w:val="nil"/>
              <w:left w:val="nil"/>
              <w:bottom w:val="single" w:color="000000" w:sz="8" w:space="0"/>
              <w:right w:val="single" w:color="000000" w:sz="8" w:space="0"/>
            </w:tcBorders>
            <w:vAlign w:val="center"/>
          </w:tcPr>
          <w:p w14:paraId="1F628B26">
            <w:pPr>
              <w:widowControl/>
              <w:jc w:val="center"/>
              <w:rPr>
                <w:rFonts w:hint="eastAsia" w:ascii="宋体" w:hAnsi="宋体" w:cs="宋体"/>
                <w:kern w:val="0"/>
                <w:sz w:val="20"/>
                <w:szCs w:val="20"/>
              </w:rPr>
            </w:pPr>
            <w:r>
              <w:rPr>
                <w:rFonts w:hint="eastAsia" w:ascii="宋体" w:hAnsi="宋体" w:cs="宋体"/>
                <w:kern w:val="0"/>
                <w:sz w:val="20"/>
                <w:szCs w:val="20"/>
              </w:rPr>
              <w:t>水源热泵机组</w:t>
            </w:r>
          </w:p>
        </w:tc>
        <w:tc>
          <w:tcPr>
            <w:tcW w:w="4700" w:type="dxa"/>
            <w:tcBorders>
              <w:top w:val="nil"/>
              <w:left w:val="nil"/>
              <w:bottom w:val="single" w:color="000000" w:sz="8" w:space="0"/>
              <w:right w:val="single" w:color="000000" w:sz="8" w:space="0"/>
            </w:tcBorders>
            <w:vAlign w:val="center"/>
          </w:tcPr>
          <w:p w14:paraId="2280E807">
            <w:pPr>
              <w:widowControl/>
              <w:jc w:val="left"/>
              <w:rPr>
                <w:rFonts w:hint="eastAsia" w:ascii="宋体" w:hAnsi="宋体" w:cs="宋体"/>
                <w:kern w:val="0"/>
                <w:sz w:val="20"/>
                <w:szCs w:val="20"/>
              </w:rPr>
            </w:pPr>
            <w:r>
              <w:rPr>
                <w:rFonts w:hint="eastAsia" w:ascii="宋体" w:hAnsi="宋体" w:cs="宋体"/>
                <w:kern w:val="0"/>
                <w:sz w:val="20"/>
                <w:szCs w:val="20"/>
              </w:rPr>
              <w:t>《水（地）源热泵机组能效限定值及能效等级》（GB30721）</w:t>
            </w:r>
          </w:p>
        </w:tc>
      </w:tr>
      <w:tr w14:paraId="4A04E578">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vAlign w:val="center"/>
          </w:tcPr>
          <w:p w14:paraId="59099FF0">
            <w:pPr>
              <w:widowControl/>
              <w:jc w:val="left"/>
              <w:rPr>
                <w:rFonts w:hint="eastAsia" w:ascii="宋体" w:hAnsi="宋体" w:cs="宋体"/>
                <w:kern w:val="0"/>
                <w:sz w:val="20"/>
                <w:szCs w:val="20"/>
              </w:rPr>
            </w:pPr>
          </w:p>
        </w:tc>
        <w:tc>
          <w:tcPr>
            <w:tcW w:w="0" w:type="auto"/>
            <w:vMerge w:val="continue"/>
            <w:tcBorders>
              <w:top w:val="nil"/>
              <w:left w:val="single" w:color="000000" w:sz="8" w:space="0"/>
              <w:bottom w:val="single" w:color="000000" w:sz="8" w:space="0"/>
              <w:right w:val="single" w:color="000000" w:sz="8" w:space="0"/>
            </w:tcBorders>
            <w:vAlign w:val="center"/>
          </w:tcPr>
          <w:p w14:paraId="61499B25">
            <w:pPr>
              <w:widowControl/>
              <w:jc w:val="left"/>
              <w:rPr>
                <w:rFonts w:hint="eastAsia" w:ascii="宋体" w:hAnsi="宋体" w:cs="宋体"/>
                <w:kern w:val="0"/>
                <w:sz w:val="20"/>
                <w:szCs w:val="20"/>
              </w:rPr>
            </w:pPr>
          </w:p>
        </w:tc>
        <w:tc>
          <w:tcPr>
            <w:tcW w:w="0" w:type="auto"/>
            <w:vMerge w:val="continue"/>
            <w:tcBorders>
              <w:top w:val="nil"/>
              <w:left w:val="single" w:color="000000" w:sz="8" w:space="0"/>
              <w:bottom w:val="single" w:color="000000" w:sz="8" w:space="0"/>
              <w:right w:val="single" w:color="000000" w:sz="8" w:space="0"/>
            </w:tcBorders>
            <w:vAlign w:val="center"/>
          </w:tcPr>
          <w:p w14:paraId="5FD1B5ED">
            <w:pPr>
              <w:widowControl/>
              <w:jc w:val="left"/>
              <w:rPr>
                <w:rFonts w:hint="eastAsia" w:ascii="宋体" w:hAnsi="宋体" w:cs="宋体"/>
                <w:kern w:val="0"/>
                <w:sz w:val="20"/>
                <w:szCs w:val="20"/>
              </w:rPr>
            </w:pPr>
          </w:p>
        </w:tc>
        <w:tc>
          <w:tcPr>
            <w:tcW w:w="1612" w:type="dxa"/>
            <w:tcBorders>
              <w:top w:val="nil"/>
              <w:left w:val="nil"/>
              <w:bottom w:val="single" w:color="auto" w:sz="4" w:space="0"/>
              <w:right w:val="single" w:color="000000" w:sz="8" w:space="0"/>
            </w:tcBorders>
            <w:vAlign w:val="center"/>
          </w:tcPr>
          <w:p w14:paraId="0B3D3CFD">
            <w:pPr>
              <w:widowControl/>
              <w:jc w:val="center"/>
              <w:rPr>
                <w:rFonts w:hint="eastAsia" w:ascii="宋体" w:hAnsi="宋体" w:cs="宋体"/>
                <w:kern w:val="0"/>
                <w:sz w:val="20"/>
                <w:szCs w:val="20"/>
              </w:rPr>
            </w:pPr>
            <w:r>
              <w:rPr>
                <w:rFonts w:hint="eastAsia" w:ascii="宋体" w:hAnsi="宋体" w:cs="宋体"/>
                <w:kern w:val="0"/>
                <w:sz w:val="20"/>
                <w:szCs w:val="20"/>
              </w:rPr>
              <w:t>溴化锂吸收式冷水机组</w:t>
            </w:r>
          </w:p>
        </w:tc>
        <w:tc>
          <w:tcPr>
            <w:tcW w:w="4700" w:type="dxa"/>
            <w:tcBorders>
              <w:top w:val="nil"/>
              <w:left w:val="nil"/>
              <w:bottom w:val="single" w:color="auto" w:sz="4" w:space="0"/>
              <w:right w:val="single" w:color="000000" w:sz="8" w:space="0"/>
            </w:tcBorders>
            <w:vAlign w:val="center"/>
          </w:tcPr>
          <w:p w14:paraId="47595B00">
            <w:pPr>
              <w:widowControl/>
              <w:jc w:val="left"/>
              <w:rPr>
                <w:rFonts w:hint="eastAsia" w:ascii="宋体" w:hAnsi="宋体" w:cs="宋体"/>
                <w:kern w:val="0"/>
                <w:sz w:val="20"/>
                <w:szCs w:val="20"/>
              </w:rPr>
            </w:pPr>
            <w:r>
              <w:rPr>
                <w:rFonts w:hint="eastAsia" w:ascii="宋体" w:hAnsi="宋体" w:cs="宋体"/>
                <w:kern w:val="0"/>
                <w:sz w:val="20"/>
                <w:szCs w:val="20"/>
              </w:rPr>
              <w:t>《溴化锂吸收式冷水机组能效限定值及能效等级》（GB29540）</w:t>
            </w:r>
          </w:p>
        </w:tc>
      </w:tr>
      <w:tr w14:paraId="0C89AE4B">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vAlign w:val="center"/>
          </w:tcPr>
          <w:p w14:paraId="38E3F799">
            <w:pPr>
              <w:widowControl/>
              <w:jc w:val="left"/>
              <w:rPr>
                <w:rFonts w:hint="eastAsia" w:ascii="宋体" w:hAnsi="宋体" w:cs="宋体"/>
                <w:kern w:val="0"/>
                <w:sz w:val="20"/>
                <w:szCs w:val="20"/>
              </w:rPr>
            </w:pPr>
          </w:p>
        </w:tc>
        <w:tc>
          <w:tcPr>
            <w:tcW w:w="0" w:type="auto"/>
            <w:vMerge w:val="continue"/>
            <w:tcBorders>
              <w:top w:val="nil"/>
              <w:left w:val="single" w:color="000000" w:sz="8" w:space="0"/>
              <w:bottom w:val="single" w:color="000000" w:sz="8" w:space="0"/>
              <w:right w:val="single" w:color="000000" w:sz="8" w:space="0"/>
            </w:tcBorders>
            <w:vAlign w:val="center"/>
          </w:tcPr>
          <w:p w14:paraId="1C9E7B9B">
            <w:pPr>
              <w:widowControl/>
              <w:jc w:val="left"/>
              <w:rPr>
                <w:rFonts w:hint="eastAsia" w:ascii="宋体" w:hAnsi="宋体" w:cs="宋体"/>
                <w:kern w:val="0"/>
                <w:sz w:val="20"/>
                <w:szCs w:val="20"/>
              </w:rPr>
            </w:pPr>
          </w:p>
        </w:tc>
        <w:tc>
          <w:tcPr>
            <w:tcW w:w="1516" w:type="dxa"/>
            <w:vMerge w:val="restart"/>
            <w:tcBorders>
              <w:top w:val="nil"/>
              <w:left w:val="single" w:color="000000" w:sz="8" w:space="0"/>
              <w:bottom w:val="single" w:color="000000" w:sz="8" w:space="0"/>
              <w:right w:val="single" w:color="auto" w:sz="4" w:space="0"/>
            </w:tcBorders>
            <w:vAlign w:val="center"/>
          </w:tcPr>
          <w:p w14:paraId="06F8A6AE">
            <w:pPr>
              <w:widowControl/>
              <w:jc w:val="center"/>
              <w:rPr>
                <w:rFonts w:hint="eastAsia" w:ascii="宋体" w:hAnsi="宋体" w:cs="宋体"/>
                <w:kern w:val="0"/>
                <w:sz w:val="20"/>
                <w:szCs w:val="20"/>
              </w:rPr>
            </w:pPr>
            <w:r>
              <w:rPr>
                <w:rFonts w:hint="eastAsia" w:ascii="宋体" w:hAnsi="宋体" w:cs="宋体"/>
                <w:kern w:val="0"/>
                <w:sz w:val="20"/>
                <w:szCs w:val="20"/>
              </w:rPr>
              <w:t>★A02052305空调机组</w:t>
            </w:r>
          </w:p>
        </w:tc>
        <w:tc>
          <w:tcPr>
            <w:tcW w:w="1612" w:type="dxa"/>
            <w:tcBorders>
              <w:top w:val="single" w:color="auto" w:sz="4" w:space="0"/>
              <w:left w:val="single" w:color="auto" w:sz="4" w:space="0"/>
              <w:bottom w:val="single" w:color="auto" w:sz="4" w:space="0"/>
              <w:right w:val="single" w:color="auto" w:sz="4" w:space="0"/>
            </w:tcBorders>
            <w:vAlign w:val="center"/>
          </w:tcPr>
          <w:p w14:paraId="0C1F0BA0">
            <w:pPr>
              <w:widowControl/>
              <w:jc w:val="center"/>
              <w:rPr>
                <w:rFonts w:hint="eastAsia" w:ascii="宋体" w:hAnsi="宋体" w:cs="宋体"/>
                <w:kern w:val="0"/>
                <w:sz w:val="20"/>
                <w:szCs w:val="20"/>
              </w:rPr>
            </w:pPr>
            <w:r>
              <w:rPr>
                <w:rFonts w:hint="eastAsia" w:ascii="宋体" w:hAnsi="宋体" w:cs="宋体"/>
                <w:kern w:val="0"/>
                <w:sz w:val="20"/>
                <w:szCs w:val="20"/>
              </w:rPr>
              <w:t>多联式空调（热泵）机组(制冷量&gt;14000W)</w:t>
            </w:r>
          </w:p>
        </w:tc>
        <w:tc>
          <w:tcPr>
            <w:tcW w:w="4700" w:type="dxa"/>
            <w:tcBorders>
              <w:top w:val="single" w:color="auto" w:sz="4" w:space="0"/>
              <w:left w:val="single" w:color="auto" w:sz="4" w:space="0"/>
              <w:bottom w:val="single" w:color="auto" w:sz="4" w:space="0"/>
              <w:right w:val="single" w:color="auto" w:sz="4" w:space="0"/>
            </w:tcBorders>
            <w:vAlign w:val="center"/>
          </w:tcPr>
          <w:p w14:paraId="1E0DA543">
            <w:pPr>
              <w:widowControl/>
              <w:jc w:val="left"/>
              <w:rPr>
                <w:rFonts w:hint="eastAsia" w:ascii="宋体" w:hAnsi="宋体" w:cs="宋体"/>
                <w:kern w:val="0"/>
                <w:sz w:val="20"/>
                <w:szCs w:val="20"/>
              </w:rPr>
            </w:pPr>
            <w:r>
              <w:rPr>
                <w:rFonts w:hint="eastAsia" w:ascii="宋体" w:hAnsi="宋体" w:cs="宋体"/>
                <w:kern w:val="0"/>
                <w:sz w:val="20"/>
                <w:szCs w:val="20"/>
              </w:rPr>
              <w:t>《多联式空调（热泵）机组能效限定值及能源效率等级》（GB21454）</w:t>
            </w:r>
          </w:p>
        </w:tc>
      </w:tr>
      <w:tr w14:paraId="4452A9A6">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vAlign w:val="center"/>
          </w:tcPr>
          <w:p w14:paraId="18F03A81">
            <w:pPr>
              <w:widowControl/>
              <w:jc w:val="left"/>
              <w:rPr>
                <w:rFonts w:hint="eastAsia" w:ascii="宋体" w:hAnsi="宋体" w:cs="宋体"/>
                <w:kern w:val="0"/>
                <w:sz w:val="20"/>
                <w:szCs w:val="20"/>
              </w:rPr>
            </w:pPr>
          </w:p>
        </w:tc>
        <w:tc>
          <w:tcPr>
            <w:tcW w:w="0" w:type="auto"/>
            <w:vMerge w:val="continue"/>
            <w:tcBorders>
              <w:top w:val="nil"/>
              <w:left w:val="single" w:color="000000" w:sz="8" w:space="0"/>
              <w:bottom w:val="single" w:color="000000" w:sz="8" w:space="0"/>
              <w:right w:val="single" w:color="000000" w:sz="8" w:space="0"/>
            </w:tcBorders>
            <w:vAlign w:val="center"/>
          </w:tcPr>
          <w:p w14:paraId="530136BC">
            <w:pPr>
              <w:widowControl/>
              <w:jc w:val="left"/>
              <w:rPr>
                <w:rFonts w:hint="eastAsia" w:ascii="宋体" w:hAnsi="宋体" w:cs="宋体"/>
                <w:kern w:val="0"/>
                <w:sz w:val="20"/>
                <w:szCs w:val="20"/>
              </w:rPr>
            </w:pPr>
          </w:p>
        </w:tc>
        <w:tc>
          <w:tcPr>
            <w:tcW w:w="0" w:type="auto"/>
            <w:vMerge w:val="continue"/>
            <w:tcBorders>
              <w:top w:val="nil"/>
              <w:left w:val="single" w:color="000000" w:sz="8" w:space="0"/>
              <w:bottom w:val="single" w:color="000000" w:sz="8" w:space="0"/>
              <w:right w:val="single" w:color="000000" w:sz="8" w:space="0"/>
            </w:tcBorders>
            <w:vAlign w:val="center"/>
          </w:tcPr>
          <w:p w14:paraId="709DBC43">
            <w:pPr>
              <w:widowControl/>
              <w:jc w:val="left"/>
              <w:rPr>
                <w:rFonts w:hint="eastAsia" w:ascii="宋体" w:hAnsi="宋体" w:cs="宋体"/>
                <w:kern w:val="0"/>
                <w:sz w:val="20"/>
                <w:szCs w:val="20"/>
              </w:rPr>
            </w:pPr>
          </w:p>
        </w:tc>
        <w:tc>
          <w:tcPr>
            <w:tcW w:w="1612" w:type="dxa"/>
            <w:tcBorders>
              <w:top w:val="single" w:color="auto" w:sz="4" w:space="0"/>
              <w:left w:val="nil"/>
              <w:bottom w:val="single" w:color="000000" w:sz="8" w:space="0"/>
              <w:right w:val="single" w:color="000000" w:sz="8" w:space="0"/>
            </w:tcBorders>
            <w:vAlign w:val="center"/>
          </w:tcPr>
          <w:p w14:paraId="6E4C3ABE">
            <w:pPr>
              <w:widowControl/>
              <w:jc w:val="center"/>
              <w:rPr>
                <w:rFonts w:hint="eastAsia" w:ascii="宋体" w:hAnsi="宋体" w:cs="宋体"/>
                <w:kern w:val="0"/>
                <w:sz w:val="20"/>
                <w:szCs w:val="20"/>
              </w:rPr>
            </w:pPr>
            <w:r>
              <w:rPr>
                <w:rFonts w:hint="eastAsia" w:ascii="宋体" w:hAnsi="宋体" w:cs="宋体"/>
                <w:kern w:val="0"/>
                <w:sz w:val="20"/>
                <w:szCs w:val="20"/>
              </w:rPr>
              <w:t>单元式空气调节机(制冷量&gt;14000W</w:t>
            </w:r>
          </w:p>
        </w:tc>
        <w:tc>
          <w:tcPr>
            <w:tcW w:w="4700" w:type="dxa"/>
            <w:tcBorders>
              <w:top w:val="single" w:color="auto" w:sz="4" w:space="0"/>
              <w:left w:val="nil"/>
              <w:bottom w:val="single" w:color="000000" w:sz="8" w:space="0"/>
              <w:right w:val="single" w:color="000000" w:sz="8" w:space="0"/>
            </w:tcBorders>
            <w:vAlign w:val="center"/>
          </w:tcPr>
          <w:p w14:paraId="7D767425">
            <w:pPr>
              <w:widowControl/>
              <w:jc w:val="left"/>
              <w:rPr>
                <w:rFonts w:hint="eastAsia" w:ascii="宋体" w:hAnsi="宋体" w:cs="宋体"/>
                <w:kern w:val="0"/>
                <w:sz w:val="20"/>
                <w:szCs w:val="20"/>
              </w:rPr>
            </w:pPr>
            <w:r>
              <w:rPr>
                <w:rFonts w:hint="eastAsia" w:ascii="宋体" w:hAnsi="宋体" w:cs="宋体"/>
                <w:kern w:val="0"/>
                <w:sz w:val="20"/>
                <w:szCs w:val="20"/>
              </w:rPr>
              <w:t>《单元式空气调节机能效限定值及能效等级》（GB19576）《风管送风式空调机组能效限定值及能效等级》（GB37479）</w:t>
            </w:r>
          </w:p>
        </w:tc>
      </w:tr>
      <w:tr w14:paraId="153F75E9">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vAlign w:val="center"/>
          </w:tcPr>
          <w:p w14:paraId="32432909">
            <w:pPr>
              <w:widowControl/>
              <w:jc w:val="left"/>
              <w:rPr>
                <w:rFonts w:hint="eastAsia" w:ascii="宋体" w:hAnsi="宋体" w:cs="宋体"/>
                <w:kern w:val="0"/>
                <w:sz w:val="20"/>
                <w:szCs w:val="20"/>
              </w:rPr>
            </w:pPr>
          </w:p>
        </w:tc>
        <w:tc>
          <w:tcPr>
            <w:tcW w:w="0" w:type="auto"/>
            <w:vMerge w:val="continue"/>
            <w:tcBorders>
              <w:top w:val="nil"/>
              <w:left w:val="single" w:color="000000" w:sz="8" w:space="0"/>
              <w:bottom w:val="single" w:color="000000" w:sz="8" w:space="0"/>
              <w:right w:val="single" w:color="000000" w:sz="8" w:space="0"/>
            </w:tcBorders>
            <w:vAlign w:val="center"/>
          </w:tcPr>
          <w:p w14:paraId="558A0F0B">
            <w:pPr>
              <w:widowControl/>
              <w:jc w:val="left"/>
              <w:rPr>
                <w:rFonts w:hint="eastAsia" w:ascii="宋体" w:hAnsi="宋体" w:cs="宋体"/>
                <w:kern w:val="0"/>
                <w:sz w:val="20"/>
                <w:szCs w:val="20"/>
              </w:rPr>
            </w:pPr>
          </w:p>
        </w:tc>
        <w:tc>
          <w:tcPr>
            <w:tcW w:w="1516" w:type="dxa"/>
            <w:tcBorders>
              <w:top w:val="nil"/>
              <w:left w:val="nil"/>
              <w:bottom w:val="single" w:color="000000" w:sz="8" w:space="0"/>
              <w:right w:val="single" w:color="000000" w:sz="8" w:space="0"/>
            </w:tcBorders>
            <w:vAlign w:val="center"/>
          </w:tcPr>
          <w:p w14:paraId="2C6FEB7E">
            <w:pPr>
              <w:widowControl/>
              <w:jc w:val="center"/>
              <w:rPr>
                <w:rFonts w:hint="eastAsia" w:ascii="宋体" w:hAnsi="宋体" w:cs="宋体"/>
                <w:kern w:val="0"/>
                <w:sz w:val="20"/>
                <w:szCs w:val="20"/>
              </w:rPr>
            </w:pPr>
            <w:r>
              <w:rPr>
                <w:rFonts w:hint="eastAsia" w:ascii="宋体" w:hAnsi="宋体" w:cs="宋体"/>
                <w:kern w:val="0"/>
                <w:sz w:val="20"/>
                <w:szCs w:val="20"/>
              </w:rPr>
              <w:t>★A02052309专用制冷、空调设备</w:t>
            </w:r>
          </w:p>
        </w:tc>
        <w:tc>
          <w:tcPr>
            <w:tcW w:w="1612" w:type="dxa"/>
            <w:tcBorders>
              <w:top w:val="nil"/>
              <w:left w:val="nil"/>
              <w:bottom w:val="single" w:color="000000" w:sz="8" w:space="0"/>
              <w:right w:val="single" w:color="000000" w:sz="8" w:space="0"/>
            </w:tcBorders>
            <w:vAlign w:val="center"/>
          </w:tcPr>
          <w:p w14:paraId="5CAA1A16">
            <w:pPr>
              <w:widowControl/>
              <w:jc w:val="center"/>
              <w:rPr>
                <w:rFonts w:hint="eastAsia" w:ascii="宋体" w:hAnsi="宋体" w:cs="宋体"/>
                <w:kern w:val="0"/>
                <w:sz w:val="20"/>
                <w:szCs w:val="20"/>
              </w:rPr>
            </w:pPr>
            <w:r>
              <w:rPr>
                <w:rFonts w:hint="eastAsia" w:ascii="宋体" w:hAnsi="宋体" w:cs="宋体"/>
                <w:kern w:val="0"/>
                <w:sz w:val="20"/>
                <w:szCs w:val="20"/>
              </w:rPr>
              <w:t>机房空调</w:t>
            </w:r>
          </w:p>
        </w:tc>
        <w:tc>
          <w:tcPr>
            <w:tcW w:w="4700" w:type="dxa"/>
            <w:tcBorders>
              <w:top w:val="nil"/>
              <w:left w:val="nil"/>
              <w:bottom w:val="single" w:color="000000" w:sz="8" w:space="0"/>
              <w:right w:val="single" w:color="000000" w:sz="8" w:space="0"/>
            </w:tcBorders>
            <w:vAlign w:val="center"/>
          </w:tcPr>
          <w:p w14:paraId="04B7AB9E">
            <w:pPr>
              <w:widowControl/>
              <w:jc w:val="left"/>
              <w:rPr>
                <w:rFonts w:hint="eastAsia" w:ascii="宋体" w:hAnsi="宋体" w:cs="宋体"/>
                <w:kern w:val="0"/>
                <w:sz w:val="20"/>
                <w:szCs w:val="20"/>
              </w:rPr>
            </w:pPr>
            <w:r>
              <w:rPr>
                <w:rFonts w:hint="eastAsia" w:ascii="宋体" w:hAnsi="宋体" w:cs="宋体"/>
                <w:kern w:val="0"/>
                <w:sz w:val="20"/>
                <w:szCs w:val="20"/>
              </w:rPr>
              <w:t>《单元式空气调节机能效限定值及能效等级》（GB19576）</w:t>
            </w:r>
          </w:p>
        </w:tc>
      </w:tr>
      <w:tr w14:paraId="5484B094">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vAlign w:val="center"/>
          </w:tcPr>
          <w:p w14:paraId="3E9B373F">
            <w:pPr>
              <w:widowControl/>
              <w:jc w:val="left"/>
              <w:rPr>
                <w:rFonts w:hint="eastAsia" w:ascii="宋体" w:hAnsi="宋体" w:cs="宋体"/>
                <w:kern w:val="0"/>
                <w:sz w:val="20"/>
                <w:szCs w:val="20"/>
              </w:rPr>
            </w:pPr>
          </w:p>
        </w:tc>
        <w:tc>
          <w:tcPr>
            <w:tcW w:w="0" w:type="auto"/>
            <w:vMerge w:val="continue"/>
            <w:tcBorders>
              <w:top w:val="nil"/>
              <w:left w:val="single" w:color="000000" w:sz="8" w:space="0"/>
              <w:bottom w:val="single" w:color="000000" w:sz="8" w:space="0"/>
              <w:right w:val="single" w:color="000000" w:sz="8" w:space="0"/>
            </w:tcBorders>
            <w:vAlign w:val="center"/>
          </w:tcPr>
          <w:p w14:paraId="63A3504A">
            <w:pPr>
              <w:widowControl/>
              <w:jc w:val="left"/>
              <w:rPr>
                <w:rFonts w:hint="eastAsia" w:ascii="宋体" w:hAnsi="宋体" w:cs="宋体"/>
                <w:kern w:val="0"/>
                <w:sz w:val="20"/>
                <w:szCs w:val="20"/>
              </w:rPr>
            </w:pPr>
          </w:p>
        </w:tc>
        <w:tc>
          <w:tcPr>
            <w:tcW w:w="1516" w:type="dxa"/>
            <w:tcBorders>
              <w:top w:val="nil"/>
              <w:left w:val="nil"/>
              <w:bottom w:val="single" w:color="000000" w:sz="8" w:space="0"/>
              <w:right w:val="single" w:color="000000" w:sz="8" w:space="0"/>
            </w:tcBorders>
            <w:vAlign w:val="center"/>
          </w:tcPr>
          <w:p w14:paraId="0B4C1003">
            <w:pPr>
              <w:widowControl/>
              <w:jc w:val="center"/>
              <w:rPr>
                <w:rFonts w:hint="eastAsia" w:ascii="宋体" w:hAnsi="宋体" w:cs="宋体"/>
                <w:kern w:val="0"/>
                <w:sz w:val="20"/>
                <w:szCs w:val="20"/>
              </w:rPr>
            </w:pPr>
            <w:r>
              <w:rPr>
                <w:rFonts w:hint="eastAsia" w:ascii="宋体" w:hAnsi="宋体" w:cs="宋体"/>
                <w:kern w:val="0"/>
                <w:sz w:val="20"/>
                <w:szCs w:val="20"/>
              </w:rPr>
              <w:t>A02052399其他制冷空调设备</w:t>
            </w:r>
          </w:p>
        </w:tc>
        <w:tc>
          <w:tcPr>
            <w:tcW w:w="1612" w:type="dxa"/>
            <w:tcBorders>
              <w:top w:val="nil"/>
              <w:left w:val="nil"/>
              <w:bottom w:val="single" w:color="000000" w:sz="8" w:space="0"/>
              <w:right w:val="single" w:color="000000" w:sz="8" w:space="0"/>
            </w:tcBorders>
            <w:vAlign w:val="center"/>
          </w:tcPr>
          <w:p w14:paraId="000EF080">
            <w:pPr>
              <w:widowControl/>
              <w:jc w:val="center"/>
              <w:rPr>
                <w:rFonts w:hint="eastAsia" w:ascii="宋体" w:hAnsi="宋体" w:cs="宋体"/>
                <w:kern w:val="0"/>
                <w:sz w:val="20"/>
                <w:szCs w:val="20"/>
              </w:rPr>
            </w:pPr>
            <w:r>
              <w:rPr>
                <w:rFonts w:hint="eastAsia" w:ascii="宋体" w:hAnsi="宋体" w:cs="宋体"/>
                <w:kern w:val="0"/>
                <w:sz w:val="20"/>
                <w:szCs w:val="20"/>
              </w:rPr>
              <w:t>冷却塔</w:t>
            </w:r>
          </w:p>
        </w:tc>
        <w:tc>
          <w:tcPr>
            <w:tcW w:w="4700" w:type="dxa"/>
            <w:tcBorders>
              <w:top w:val="nil"/>
              <w:left w:val="nil"/>
              <w:bottom w:val="single" w:color="000000" w:sz="8" w:space="0"/>
              <w:right w:val="single" w:color="000000" w:sz="8" w:space="0"/>
            </w:tcBorders>
            <w:vAlign w:val="center"/>
          </w:tcPr>
          <w:p w14:paraId="582D14D2">
            <w:pPr>
              <w:widowControl/>
              <w:jc w:val="left"/>
              <w:rPr>
                <w:rFonts w:hint="eastAsia" w:ascii="宋体" w:hAnsi="宋体" w:cs="宋体"/>
                <w:kern w:val="0"/>
                <w:sz w:val="20"/>
                <w:szCs w:val="20"/>
              </w:rPr>
            </w:pPr>
            <w:r>
              <w:rPr>
                <w:rFonts w:hint="eastAsia" w:ascii="宋体" w:hAnsi="宋体" w:cs="宋体"/>
                <w:kern w:val="0"/>
                <w:sz w:val="20"/>
                <w:szCs w:val="20"/>
              </w:rPr>
              <w:t>《机械通风冷却塔第1部分：中小型开式冷却塔》（GB/T7190.1）；《机械通风冷却塔第2部分：大型开式冷却塔》（GB/T7190.2）</w:t>
            </w:r>
          </w:p>
        </w:tc>
      </w:tr>
      <w:tr w14:paraId="0A4B523D">
        <w:tblPrEx>
          <w:tblCellMar>
            <w:top w:w="0" w:type="dxa"/>
            <w:left w:w="108" w:type="dxa"/>
            <w:bottom w:w="0" w:type="dxa"/>
            <w:right w:w="108" w:type="dxa"/>
          </w:tblCellMar>
        </w:tblPrEx>
        <w:trPr>
          <w:trHeight w:val="495" w:hRule="atLeast"/>
        </w:trPr>
        <w:tc>
          <w:tcPr>
            <w:tcW w:w="641" w:type="dxa"/>
            <w:tcBorders>
              <w:top w:val="nil"/>
              <w:left w:val="single" w:color="000000" w:sz="8" w:space="0"/>
              <w:bottom w:val="single" w:color="000000" w:sz="8" w:space="0"/>
              <w:right w:val="single" w:color="000000" w:sz="8" w:space="0"/>
            </w:tcBorders>
            <w:vAlign w:val="center"/>
          </w:tcPr>
          <w:p w14:paraId="017701A6">
            <w:pPr>
              <w:widowControl/>
              <w:jc w:val="center"/>
              <w:rPr>
                <w:rFonts w:hint="eastAsia" w:ascii="宋体" w:hAnsi="宋体" w:cs="宋体"/>
                <w:kern w:val="0"/>
                <w:sz w:val="20"/>
                <w:szCs w:val="20"/>
              </w:rPr>
            </w:pPr>
            <w:r>
              <w:rPr>
                <w:rFonts w:hint="eastAsia" w:ascii="宋体" w:hAnsi="宋体" w:cs="宋体"/>
                <w:kern w:val="0"/>
                <w:sz w:val="20"/>
                <w:szCs w:val="20"/>
              </w:rPr>
              <w:t>7</w:t>
            </w:r>
          </w:p>
        </w:tc>
        <w:tc>
          <w:tcPr>
            <w:tcW w:w="1116" w:type="dxa"/>
            <w:tcBorders>
              <w:top w:val="nil"/>
              <w:left w:val="nil"/>
              <w:bottom w:val="single" w:color="000000" w:sz="8" w:space="0"/>
              <w:right w:val="single" w:color="000000" w:sz="8" w:space="0"/>
            </w:tcBorders>
            <w:vAlign w:val="center"/>
          </w:tcPr>
          <w:p w14:paraId="4D86F5A6">
            <w:pPr>
              <w:widowControl/>
              <w:jc w:val="center"/>
              <w:rPr>
                <w:rFonts w:hint="eastAsia" w:ascii="宋体" w:hAnsi="宋体" w:cs="宋体"/>
                <w:kern w:val="0"/>
                <w:sz w:val="20"/>
                <w:szCs w:val="20"/>
              </w:rPr>
            </w:pPr>
            <w:r>
              <w:rPr>
                <w:rFonts w:hint="eastAsia" w:ascii="宋体" w:hAnsi="宋体" w:cs="宋体"/>
                <w:kern w:val="0"/>
                <w:sz w:val="20"/>
                <w:szCs w:val="20"/>
              </w:rPr>
              <w:t>A020601电机</w:t>
            </w:r>
          </w:p>
        </w:tc>
        <w:tc>
          <w:tcPr>
            <w:tcW w:w="1516" w:type="dxa"/>
            <w:tcBorders>
              <w:top w:val="nil"/>
              <w:left w:val="nil"/>
              <w:bottom w:val="single" w:color="000000" w:sz="8" w:space="0"/>
              <w:right w:val="single" w:color="000000" w:sz="8" w:space="0"/>
            </w:tcBorders>
            <w:vAlign w:val="center"/>
          </w:tcPr>
          <w:p w14:paraId="4D8AD1EC">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1612" w:type="dxa"/>
            <w:tcBorders>
              <w:top w:val="nil"/>
              <w:left w:val="nil"/>
              <w:bottom w:val="single" w:color="000000" w:sz="8" w:space="0"/>
              <w:right w:val="single" w:color="000000" w:sz="8" w:space="0"/>
            </w:tcBorders>
            <w:vAlign w:val="center"/>
          </w:tcPr>
          <w:p w14:paraId="61A43043">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4700" w:type="dxa"/>
            <w:tcBorders>
              <w:top w:val="nil"/>
              <w:left w:val="nil"/>
              <w:bottom w:val="single" w:color="000000" w:sz="8" w:space="0"/>
              <w:right w:val="single" w:color="000000" w:sz="8" w:space="0"/>
            </w:tcBorders>
            <w:vAlign w:val="center"/>
          </w:tcPr>
          <w:p w14:paraId="72DC58E6">
            <w:pPr>
              <w:widowControl/>
              <w:jc w:val="left"/>
              <w:rPr>
                <w:rFonts w:hint="eastAsia" w:ascii="宋体" w:hAnsi="宋体" w:cs="宋体"/>
                <w:kern w:val="0"/>
                <w:sz w:val="20"/>
                <w:szCs w:val="20"/>
              </w:rPr>
            </w:pPr>
            <w:r>
              <w:rPr>
                <w:rFonts w:hint="eastAsia" w:ascii="宋体" w:hAnsi="宋体" w:cs="宋体"/>
                <w:kern w:val="0"/>
                <w:sz w:val="20"/>
                <w:szCs w:val="20"/>
              </w:rPr>
              <w:t>《中小型三相异步电动机能效限定值及能效等级》（GB18613）</w:t>
            </w:r>
          </w:p>
        </w:tc>
      </w:tr>
      <w:tr w14:paraId="7A3F183D">
        <w:tblPrEx>
          <w:tblCellMar>
            <w:top w:w="0" w:type="dxa"/>
            <w:left w:w="108" w:type="dxa"/>
            <w:bottom w:w="0" w:type="dxa"/>
            <w:right w:w="108" w:type="dxa"/>
          </w:tblCellMar>
        </w:tblPrEx>
        <w:trPr>
          <w:trHeight w:val="495" w:hRule="atLeast"/>
        </w:trPr>
        <w:tc>
          <w:tcPr>
            <w:tcW w:w="641" w:type="dxa"/>
            <w:tcBorders>
              <w:top w:val="nil"/>
              <w:left w:val="single" w:color="000000" w:sz="8" w:space="0"/>
              <w:bottom w:val="single" w:color="000000" w:sz="8" w:space="0"/>
              <w:right w:val="single" w:color="000000" w:sz="8" w:space="0"/>
            </w:tcBorders>
            <w:vAlign w:val="center"/>
          </w:tcPr>
          <w:p w14:paraId="069EAA2E">
            <w:pPr>
              <w:widowControl/>
              <w:jc w:val="center"/>
              <w:rPr>
                <w:rFonts w:hint="eastAsia" w:ascii="宋体" w:hAnsi="宋体" w:cs="宋体"/>
                <w:kern w:val="0"/>
                <w:sz w:val="20"/>
                <w:szCs w:val="20"/>
              </w:rPr>
            </w:pPr>
            <w:r>
              <w:rPr>
                <w:rFonts w:hint="eastAsia" w:ascii="宋体" w:hAnsi="宋体" w:cs="宋体"/>
                <w:kern w:val="0"/>
                <w:sz w:val="20"/>
                <w:szCs w:val="20"/>
              </w:rPr>
              <w:t>8</w:t>
            </w:r>
          </w:p>
        </w:tc>
        <w:tc>
          <w:tcPr>
            <w:tcW w:w="1116" w:type="dxa"/>
            <w:tcBorders>
              <w:top w:val="nil"/>
              <w:left w:val="nil"/>
              <w:bottom w:val="single" w:color="000000" w:sz="8" w:space="0"/>
              <w:right w:val="single" w:color="000000" w:sz="8" w:space="0"/>
            </w:tcBorders>
            <w:vAlign w:val="center"/>
          </w:tcPr>
          <w:p w14:paraId="0FF36D26">
            <w:pPr>
              <w:widowControl/>
              <w:jc w:val="center"/>
              <w:rPr>
                <w:rFonts w:hint="eastAsia" w:ascii="宋体" w:hAnsi="宋体" w:cs="宋体"/>
                <w:kern w:val="0"/>
                <w:sz w:val="20"/>
                <w:szCs w:val="20"/>
              </w:rPr>
            </w:pPr>
            <w:r>
              <w:rPr>
                <w:rFonts w:hint="eastAsia" w:ascii="宋体" w:hAnsi="宋体" w:cs="宋体"/>
                <w:kern w:val="0"/>
                <w:sz w:val="20"/>
                <w:szCs w:val="20"/>
              </w:rPr>
              <w:t>A020602变压器</w:t>
            </w:r>
          </w:p>
        </w:tc>
        <w:tc>
          <w:tcPr>
            <w:tcW w:w="1516" w:type="dxa"/>
            <w:tcBorders>
              <w:top w:val="nil"/>
              <w:left w:val="nil"/>
              <w:bottom w:val="single" w:color="000000" w:sz="8" w:space="0"/>
              <w:right w:val="single" w:color="000000" w:sz="8" w:space="0"/>
            </w:tcBorders>
            <w:vAlign w:val="center"/>
          </w:tcPr>
          <w:p w14:paraId="08AEF465">
            <w:pPr>
              <w:widowControl/>
              <w:jc w:val="center"/>
              <w:rPr>
                <w:rFonts w:hint="eastAsia" w:ascii="宋体" w:hAnsi="宋体" w:cs="宋体"/>
                <w:kern w:val="0"/>
                <w:sz w:val="20"/>
                <w:szCs w:val="20"/>
              </w:rPr>
            </w:pPr>
            <w:r>
              <w:rPr>
                <w:rFonts w:hint="eastAsia" w:ascii="宋体" w:hAnsi="宋体" w:cs="宋体"/>
                <w:kern w:val="0"/>
                <w:sz w:val="20"/>
                <w:szCs w:val="20"/>
              </w:rPr>
              <w:t>配电变压器</w:t>
            </w:r>
          </w:p>
        </w:tc>
        <w:tc>
          <w:tcPr>
            <w:tcW w:w="1612" w:type="dxa"/>
            <w:tcBorders>
              <w:top w:val="nil"/>
              <w:left w:val="nil"/>
              <w:bottom w:val="single" w:color="000000" w:sz="8" w:space="0"/>
              <w:right w:val="single" w:color="000000" w:sz="8" w:space="0"/>
            </w:tcBorders>
            <w:vAlign w:val="center"/>
          </w:tcPr>
          <w:p w14:paraId="3AE272E6">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4700" w:type="dxa"/>
            <w:tcBorders>
              <w:top w:val="nil"/>
              <w:left w:val="nil"/>
              <w:bottom w:val="single" w:color="000000" w:sz="8" w:space="0"/>
              <w:right w:val="single" w:color="000000" w:sz="8" w:space="0"/>
            </w:tcBorders>
            <w:vAlign w:val="center"/>
          </w:tcPr>
          <w:p w14:paraId="1C5EC1D7">
            <w:pPr>
              <w:widowControl/>
              <w:jc w:val="left"/>
              <w:rPr>
                <w:rFonts w:hint="eastAsia" w:ascii="宋体" w:hAnsi="宋体" w:cs="宋体"/>
                <w:kern w:val="0"/>
                <w:sz w:val="20"/>
                <w:szCs w:val="20"/>
              </w:rPr>
            </w:pPr>
            <w:r>
              <w:rPr>
                <w:rFonts w:hint="eastAsia" w:ascii="宋体" w:hAnsi="宋体" w:cs="宋体"/>
                <w:kern w:val="0"/>
                <w:sz w:val="20"/>
                <w:szCs w:val="20"/>
              </w:rPr>
              <w:t>《三相配电变压器能效限定值及能效等级》（GB20052）</w:t>
            </w:r>
          </w:p>
        </w:tc>
      </w:tr>
      <w:tr w14:paraId="06EEA673">
        <w:tblPrEx>
          <w:tblCellMar>
            <w:top w:w="0" w:type="dxa"/>
            <w:left w:w="108" w:type="dxa"/>
            <w:bottom w:w="0" w:type="dxa"/>
            <w:right w:w="108" w:type="dxa"/>
          </w:tblCellMar>
        </w:tblPrEx>
        <w:trPr>
          <w:trHeight w:val="495" w:hRule="atLeast"/>
        </w:trPr>
        <w:tc>
          <w:tcPr>
            <w:tcW w:w="641" w:type="dxa"/>
            <w:tcBorders>
              <w:top w:val="nil"/>
              <w:left w:val="single" w:color="000000" w:sz="8" w:space="0"/>
              <w:bottom w:val="single" w:color="000000" w:sz="8" w:space="0"/>
              <w:right w:val="single" w:color="000000" w:sz="8" w:space="0"/>
            </w:tcBorders>
            <w:vAlign w:val="center"/>
          </w:tcPr>
          <w:p w14:paraId="6191D2C5">
            <w:pPr>
              <w:widowControl/>
              <w:jc w:val="center"/>
              <w:rPr>
                <w:rFonts w:hint="eastAsia" w:ascii="宋体" w:hAnsi="宋体" w:cs="宋体"/>
                <w:kern w:val="0"/>
                <w:sz w:val="20"/>
                <w:szCs w:val="20"/>
              </w:rPr>
            </w:pPr>
            <w:r>
              <w:rPr>
                <w:rFonts w:hint="eastAsia" w:ascii="宋体" w:hAnsi="宋体" w:cs="宋体"/>
                <w:kern w:val="0"/>
                <w:sz w:val="20"/>
                <w:szCs w:val="20"/>
              </w:rPr>
              <w:t>9</w:t>
            </w:r>
          </w:p>
        </w:tc>
        <w:tc>
          <w:tcPr>
            <w:tcW w:w="1116" w:type="dxa"/>
            <w:tcBorders>
              <w:top w:val="nil"/>
              <w:left w:val="nil"/>
              <w:bottom w:val="single" w:color="000000" w:sz="8" w:space="0"/>
              <w:right w:val="single" w:color="000000" w:sz="8" w:space="0"/>
            </w:tcBorders>
            <w:vAlign w:val="center"/>
          </w:tcPr>
          <w:p w14:paraId="324FBE16">
            <w:pPr>
              <w:widowControl/>
              <w:jc w:val="center"/>
              <w:rPr>
                <w:rFonts w:hint="eastAsia" w:ascii="宋体" w:hAnsi="宋体" w:cs="宋体"/>
                <w:kern w:val="0"/>
                <w:sz w:val="20"/>
                <w:szCs w:val="20"/>
              </w:rPr>
            </w:pPr>
            <w:r>
              <w:rPr>
                <w:rFonts w:hint="eastAsia" w:ascii="宋体" w:hAnsi="宋体" w:cs="宋体"/>
                <w:kern w:val="0"/>
                <w:sz w:val="20"/>
                <w:szCs w:val="20"/>
              </w:rPr>
              <w:t>★A020609镇流器</w:t>
            </w:r>
          </w:p>
        </w:tc>
        <w:tc>
          <w:tcPr>
            <w:tcW w:w="1516" w:type="dxa"/>
            <w:tcBorders>
              <w:top w:val="nil"/>
              <w:left w:val="nil"/>
              <w:bottom w:val="single" w:color="000000" w:sz="8" w:space="0"/>
              <w:right w:val="single" w:color="000000" w:sz="8" w:space="0"/>
            </w:tcBorders>
            <w:vAlign w:val="center"/>
          </w:tcPr>
          <w:p w14:paraId="383C28C3">
            <w:pPr>
              <w:widowControl/>
              <w:jc w:val="center"/>
              <w:rPr>
                <w:rFonts w:hint="eastAsia" w:ascii="宋体" w:hAnsi="宋体" w:cs="宋体"/>
                <w:kern w:val="0"/>
                <w:sz w:val="20"/>
                <w:szCs w:val="20"/>
              </w:rPr>
            </w:pPr>
            <w:r>
              <w:rPr>
                <w:rFonts w:hint="eastAsia" w:ascii="宋体" w:hAnsi="宋体" w:cs="宋体"/>
                <w:kern w:val="0"/>
                <w:sz w:val="20"/>
                <w:szCs w:val="20"/>
              </w:rPr>
              <w:t>管型荧光灯镇流器</w:t>
            </w:r>
          </w:p>
        </w:tc>
        <w:tc>
          <w:tcPr>
            <w:tcW w:w="1612" w:type="dxa"/>
            <w:tcBorders>
              <w:top w:val="nil"/>
              <w:left w:val="nil"/>
              <w:bottom w:val="single" w:color="000000" w:sz="8" w:space="0"/>
              <w:right w:val="single" w:color="000000" w:sz="8" w:space="0"/>
            </w:tcBorders>
            <w:vAlign w:val="center"/>
          </w:tcPr>
          <w:p w14:paraId="76F4815A">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4700" w:type="dxa"/>
            <w:tcBorders>
              <w:top w:val="nil"/>
              <w:left w:val="nil"/>
              <w:bottom w:val="single" w:color="000000" w:sz="8" w:space="0"/>
              <w:right w:val="single" w:color="000000" w:sz="8" w:space="0"/>
            </w:tcBorders>
            <w:vAlign w:val="center"/>
          </w:tcPr>
          <w:p w14:paraId="1D134299">
            <w:pPr>
              <w:widowControl/>
              <w:jc w:val="left"/>
              <w:rPr>
                <w:rFonts w:hint="eastAsia" w:ascii="宋体" w:hAnsi="宋体" w:cs="宋体"/>
                <w:kern w:val="0"/>
                <w:sz w:val="20"/>
                <w:szCs w:val="20"/>
              </w:rPr>
            </w:pPr>
            <w:r>
              <w:rPr>
                <w:rFonts w:hint="eastAsia" w:ascii="宋体" w:hAnsi="宋体" w:cs="宋体"/>
                <w:kern w:val="0"/>
                <w:sz w:val="20"/>
                <w:szCs w:val="20"/>
              </w:rPr>
              <w:t>《管形荧光灯镇流器能效限定值及能效等级》（GB17896）</w:t>
            </w:r>
          </w:p>
        </w:tc>
      </w:tr>
      <w:tr w14:paraId="4E397430">
        <w:tblPrEx>
          <w:tblCellMar>
            <w:top w:w="0" w:type="dxa"/>
            <w:left w:w="108" w:type="dxa"/>
            <w:bottom w:w="0" w:type="dxa"/>
            <w:right w:w="108" w:type="dxa"/>
          </w:tblCellMar>
        </w:tblPrEx>
        <w:trPr>
          <w:trHeight w:val="495" w:hRule="atLeast"/>
        </w:trPr>
        <w:tc>
          <w:tcPr>
            <w:tcW w:w="641" w:type="dxa"/>
            <w:vMerge w:val="restart"/>
            <w:tcBorders>
              <w:top w:val="nil"/>
              <w:left w:val="single" w:color="000000" w:sz="8" w:space="0"/>
              <w:bottom w:val="single" w:color="000000" w:sz="8" w:space="0"/>
              <w:right w:val="single" w:color="000000" w:sz="8" w:space="0"/>
            </w:tcBorders>
            <w:vAlign w:val="center"/>
          </w:tcPr>
          <w:p w14:paraId="0C744C78">
            <w:pPr>
              <w:widowControl/>
              <w:jc w:val="center"/>
              <w:rPr>
                <w:rFonts w:hint="eastAsia" w:ascii="宋体" w:hAnsi="宋体" w:cs="宋体"/>
                <w:kern w:val="0"/>
                <w:sz w:val="20"/>
                <w:szCs w:val="20"/>
              </w:rPr>
            </w:pPr>
            <w:r>
              <w:rPr>
                <w:rFonts w:hint="eastAsia" w:ascii="宋体" w:hAnsi="宋体" w:cs="宋体"/>
                <w:kern w:val="0"/>
                <w:sz w:val="20"/>
                <w:szCs w:val="20"/>
              </w:rPr>
              <w:t>10</w:t>
            </w:r>
          </w:p>
        </w:tc>
        <w:tc>
          <w:tcPr>
            <w:tcW w:w="1116" w:type="dxa"/>
            <w:vMerge w:val="restart"/>
            <w:tcBorders>
              <w:top w:val="nil"/>
              <w:left w:val="single" w:color="000000" w:sz="8" w:space="0"/>
              <w:bottom w:val="single" w:color="000000" w:sz="8" w:space="0"/>
              <w:right w:val="single" w:color="000000" w:sz="8" w:space="0"/>
            </w:tcBorders>
            <w:vAlign w:val="center"/>
          </w:tcPr>
          <w:p w14:paraId="64A63E08">
            <w:pPr>
              <w:widowControl/>
              <w:jc w:val="center"/>
              <w:rPr>
                <w:rFonts w:hint="eastAsia" w:ascii="宋体" w:hAnsi="宋体" w:cs="宋体"/>
                <w:kern w:val="0"/>
                <w:sz w:val="20"/>
                <w:szCs w:val="20"/>
              </w:rPr>
            </w:pPr>
            <w:r>
              <w:rPr>
                <w:rFonts w:hint="eastAsia" w:ascii="宋体" w:hAnsi="宋体" w:cs="宋体"/>
                <w:kern w:val="0"/>
                <w:sz w:val="20"/>
                <w:szCs w:val="20"/>
              </w:rPr>
              <w:t>A020618生活用电器</w:t>
            </w:r>
          </w:p>
        </w:tc>
        <w:tc>
          <w:tcPr>
            <w:tcW w:w="1516" w:type="dxa"/>
            <w:tcBorders>
              <w:top w:val="nil"/>
              <w:left w:val="nil"/>
              <w:bottom w:val="single" w:color="000000" w:sz="8" w:space="0"/>
              <w:right w:val="single" w:color="000000" w:sz="8" w:space="0"/>
            </w:tcBorders>
            <w:vAlign w:val="center"/>
          </w:tcPr>
          <w:p w14:paraId="58A699B6">
            <w:pPr>
              <w:widowControl/>
              <w:jc w:val="center"/>
              <w:rPr>
                <w:rFonts w:hint="eastAsia" w:ascii="宋体" w:hAnsi="宋体" w:cs="宋体"/>
                <w:kern w:val="0"/>
                <w:sz w:val="20"/>
                <w:szCs w:val="20"/>
              </w:rPr>
            </w:pPr>
            <w:r>
              <w:rPr>
                <w:rFonts w:hint="eastAsia" w:ascii="宋体" w:hAnsi="宋体" w:cs="宋体"/>
                <w:kern w:val="0"/>
                <w:sz w:val="20"/>
                <w:szCs w:val="20"/>
              </w:rPr>
              <w:t>A0206180101电冰箱</w:t>
            </w:r>
          </w:p>
        </w:tc>
        <w:tc>
          <w:tcPr>
            <w:tcW w:w="1612" w:type="dxa"/>
            <w:tcBorders>
              <w:top w:val="nil"/>
              <w:left w:val="nil"/>
              <w:bottom w:val="single" w:color="000000" w:sz="8" w:space="0"/>
              <w:right w:val="single" w:color="000000" w:sz="8" w:space="0"/>
            </w:tcBorders>
            <w:vAlign w:val="center"/>
          </w:tcPr>
          <w:p w14:paraId="0A63CF09">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4700" w:type="dxa"/>
            <w:tcBorders>
              <w:top w:val="nil"/>
              <w:left w:val="nil"/>
              <w:bottom w:val="single" w:color="000000" w:sz="8" w:space="0"/>
              <w:right w:val="single" w:color="000000" w:sz="8" w:space="0"/>
            </w:tcBorders>
            <w:vAlign w:val="center"/>
          </w:tcPr>
          <w:p w14:paraId="320A3FAC">
            <w:pPr>
              <w:widowControl/>
              <w:jc w:val="left"/>
              <w:rPr>
                <w:rFonts w:hint="eastAsia" w:ascii="宋体" w:hAnsi="宋体" w:cs="宋体"/>
                <w:kern w:val="0"/>
                <w:sz w:val="20"/>
                <w:szCs w:val="20"/>
              </w:rPr>
            </w:pPr>
            <w:r>
              <w:rPr>
                <w:rFonts w:hint="eastAsia" w:ascii="宋体" w:hAnsi="宋体" w:cs="宋体"/>
                <w:kern w:val="0"/>
                <w:sz w:val="20"/>
                <w:szCs w:val="20"/>
              </w:rPr>
              <w:t>《家用电冰箱耗电量限定值及能效等级》（GB 12021.2）</w:t>
            </w:r>
          </w:p>
        </w:tc>
      </w:tr>
      <w:tr w14:paraId="49E3AC27">
        <w:tblPrEx>
          <w:tblCellMar>
            <w:top w:w="0" w:type="dxa"/>
            <w:left w:w="108" w:type="dxa"/>
            <w:bottom w:w="0" w:type="dxa"/>
            <w:right w:w="108" w:type="dxa"/>
          </w:tblCellMar>
        </w:tblPrEx>
        <w:trPr>
          <w:trHeight w:val="975" w:hRule="atLeast"/>
        </w:trPr>
        <w:tc>
          <w:tcPr>
            <w:tcW w:w="0" w:type="auto"/>
            <w:vMerge w:val="continue"/>
            <w:tcBorders>
              <w:top w:val="nil"/>
              <w:left w:val="single" w:color="000000" w:sz="8" w:space="0"/>
              <w:bottom w:val="single" w:color="000000" w:sz="8" w:space="0"/>
              <w:right w:val="single" w:color="000000" w:sz="8" w:space="0"/>
            </w:tcBorders>
            <w:vAlign w:val="center"/>
          </w:tcPr>
          <w:p w14:paraId="0D2B32F4">
            <w:pPr>
              <w:widowControl/>
              <w:jc w:val="left"/>
              <w:rPr>
                <w:rFonts w:hint="eastAsia" w:ascii="宋体" w:hAnsi="宋体" w:cs="宋体"/>
                <w:kern w:val="0"/>
                <w:sz w:val="20"/>
                <w:szCs w:val="20"/>
              </w:rPr>
            </w:pPr>
          </w:p>
        </w:tc>
        <w:tc>
          <w:tcPr>
            <w:tcW w:w="0" w:type="auto"/>
            <w:vMerge w:val="continue"/>
            <w:tcBorders>
              <w:top w:val="nil"/>
              <w:left w:val="single" w:color="000000" w:sz="8" w:space="0"/>
              <w:bottom w:val="single" w:color="000000" w:sz="8" w:space="0"/>
              <w:right w:val="single" w:color="000000" w:sz="8" w:space="0"/>
            </w:tcBorders>
            <w:vAlign w:val="center"/>
          </w:tcPr>
          <w:p w14:paraId="4D4E6221">
            <w:pPr>
              <w:widowControl/>
              <w:jc w:val="left"/>
              <w:rPr>
                <w:rFonts w:hint="eastAsia" w:ascii="宋体" w:hAnsi="宋体" w:cs="宋体"/>
                <w:kern w:val="0"/>
                <w:sz w:val="20"/>
                <w:szCs w:val="20"/>
              </w:rPr>
            </w:pPr>
          </w:p>
        </w:tc>
        <w:tc>
          <w:tcPr>
            <w:tcW w:w="1516" w:type="dxa"/>
            <w:vMerge w:val="restart"/>
            <w:tcBorders>
              <w:top w:val="nil"/>
              <w:left w:val="single" w:color="000000" w:sz="8" w:space="0"/>
              <w:bottom w:val="single" w:color="000000" w:sz="8" w:space="0"/>
              <w:right w:val="single" w:color="000000" w:sz="8" w:space="0"/>
            </w:tcBorders>
            <w:vAlign w:val="center"/>
          </w:tcPr>
          <w:p w14:paraId="53175B43">
            <w:pPr>
              <w:widowControl/>
              <w:jc w:val="center"/>
              <w:rPr>
                <w:rFonts w:hint="eastAsia" w:ascii="宋体" w:hAnsi="宋体" w:cs="宋体"/>
                <w:kern w:val="0"/>
                <w:sz w:val="20"/>
                <w:szCs w:val="20"/>
              </w:rPr>
            </w:pPr>
            <w:r>
              <w:rPr>
                <w:rFonts w:hint="eastAsia" w:ascii="宋体" w:hAnsi="宋体" w:cs="宋体"/>
                <w:kern w:val="0"/>
                <w:sz w:val="20"/>
                <w:szCs w:val="20"/>
              </w:rPr>
              <w:t>★A0206180203空调机</w:t>
            </w:r>
          </w:p>
        </w:tc>
        <w:tc>
          <w:tcPr>
            <w:tcW w:w="1612" w:type="dxa"/>
            <w:tcBorders>
              <w:top w:val="nil"/>
              <w:left w:val="nil"/>
              <w:bottom w:val="single" w:color="000000" w:sz="8" w:space="0"/>
              <w:right w:val="single" w:color="000000" w:sz="8" w:space="0"/>
            </w:tcBorders>
            <w:vAlign w:val="center"/>
          </w:tcPr>
          <w:p w14:paraId="4214F9EC">
            <w:pPr>
              <w:widowControl/>
              <w:jc w:val="center"/>
              <w:rPr>
                <w:rFonts w:hint="eastAsia" w:ascii="宋体" w:hAnsi="宋体" w:cs="宋体"/>
                <w:kern w:val="0"/>
                <w:sz w:val="20"/>
                <w:szCs w:val="20"/>
              </w:rPr>
            </w:pPr>
            <w:r>
              <w:rPr>
                <w:rFonts w:hint="eastAsia" w:ascii="宋体" w:hAnsi="宋体" w:cs="宋体"/>
                <w:kern w:val="0"/>
                <w:sz w:val="20"/>
                <w:szCs w:val="20"/>
              </w:rPr>
              <w:t>房间空气调节器</w:t>
            </w:r>
          </w:p>
        </w:tc>
        <w:tc>
          <w:tcPr>
            <w:tcW w:w="4700" w:type="dxa"/>
            <w:tcBorders>
              <w:top w:val="nil"/>
              <w:left w:val="nil"/>
              <w:bottom w:val="single" w:color="000000" w:sz="8" w:space="0"/>
              <w:right w:val="single" w:color="000000" w:sz="8" w:space="0"/>
            </w:tcBorders>
            <w:vAlign w:val="center"/>
          </w:tcPr>
          <w:p w14:paraId="39C4B1BF">
            <w:pPr>
              <w:widowControl/>
              <w:jc w:val="left"/>
              <w:rPr>
                <w:rFonts w:hint="eastAsia" w:ascii="宋体" w:hAnsi="宋体" w:cs="宋体"/>
                <w:kern w:val="0"/>
                <w:sz w:val="20"/>
                <w:szCs w:val="20"/>
              </w:rPr>
            </w:pPr>
            <w:r>
              <w:rPr>
                <w:rFonts w:hint="eastAsia" w:ascii="宋体" w:hAnsi="宋体" w:cs="宋体"/>
                <w:kern w:val="0"/>
                <w:sz w:val="20"/>
                <w:szCs w:val="20"/>
              </w:rPr>
              <w:t>《转速可控型房间空气调节器能效限定值及能效等级》（GB21455-2013），待2019年修订发布后，按《房间空气调节器能效限定值及能效等级》（GB21455-2019实施。</w:t>
            </w:r>
          </w:p>
        </w:tc>
      </w:tr>
      <w:tr w14:paraId="580D4E28">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vAlign w:val="center"/>
          </w:tcPr>
          <w:p w14:paraId="3E501DBF">
            <w:pPr>
              <w:widowControl/>
              <w:jc w:val="left"/>
              <w:rPr>
                <w:rFonts w:hint="eastAsia" w:ascii="宋体" w:hAnsi="宋体" w:cs="宋体"/>
                <w:kern w:val="0"/>
                <w:sz w:val="20"/>
                <w:szCs w:val="20"/>
              </w:rPr>
            </w:pPr>
          </w:p>
        </w:tc>
        <w:tc>
          <w:tcPr>
            <w:tcW w:w="0" w:type="auto"/>
            <w:vMerge w:val="continue"/>
            <w:tcBorders>
              <w:top w:val="nil"/>
              <w:left w:val="single" w:color="000000" w:sz="8" w:space="0"/>
              <w:bottom w:val="single" w:color="000000" w:sz="8" w:space="0"/>
              <w:right w:val="single" w:color="000000" w:sz="8" w:space="0"/>
            </w:tcBorders>
            <w:vAlign w:val="center"/>
          </w:tcPr>
          <w:p w14:paraId="22921077">
            <w:pPr>
              <w:widowControl/>
              <w:jc w:val="left"/>
              <w:rPr>
                <w:rFonts w:hint="eastAsia" w:ascii="宋体" w:hAnsi="宋体" w:cs="宋体"/>
                <w:kern w:val="0"/>
                <w:sz w:val="20"/>
                <w:szCs w:val="20"/>
              </w:rPr>
            </w:pPr>
          </w:p>
        </w:tc>
        <w:tc>
          <w:tcPr>
            <w:tcW w:w="0" w:type="auto"/>
            <w:vMerge w:val="continue"/>
            <w:tcBorders>
              <w:top w:val="nil"/>
              <w:left w:val="single" w:color="000000" w:sz="8" w:space="0"/>
              <w:bottom w:val="single" w:color="000000" w:sz="8" w:space="0"/>
              <w:right w:val="single" w:color="000000" w:sz="8" w:space="0"/>
            </w:tcBorders>
            <w:vAlign w:val="center"/>
          </w:tcPr>
          <w:p w14:paraId="588E642B">
            <w:pPr>
              <w:widowControl/>
              <w:jc w:val="left"/>
              <w:rPr>
                <w:rFonts w:hint="eastAsia" w:ascii="宋体" w:hAnsi="宋体" w:cs="宋体"/>
                <w:kern w:val="0"/>
                <w:sz w:val="20"/>
                <w:szCs w:val="20"/>
              </w:rPr>
            </w:pPr>
          </w:p>
        </w:tc>
        <w:tc>
          <w:tcPr>
            <w:tcW w:w="1612" w:type="dxa"/>
            <w:tcBorders>
              <w:top w:val="nil"/>
              <w:left w:val="nil"/>
              <w:bottom w:val="single" w:color="000000" w:sz="8" w:space="0"/>
              <w:right w:val="single" w:color="000000" w:sz="8" w:space="0"/>
            </w:tcBorders>
            <w:vAlign w:val="center"/>
          </w:tcPr>
          <w:p w14:paraId="69A5B5A3">
            <w:pPr>
              <w:widowControl/>
              <w:jc w:val="center"/>
              <w:rPr>
                <w:rFonts w:hint="eastAsia" w:ascii="宋体" w:hAnsi="宋体" w:cs="宋体"/>
                <w:kern w:val="0"/>
                <w:sz w:val="20"/>
                <w:szCs w:val="20"/>
              </w:rPr>
            </w:pPr>
            <w:r>
              <w:rPr>
                <w:rFonts w:hint="eastAsia" w:ascii="宋体" w:hAnsi="宋体" w:cs="宋体"/>
                <w:kern w:val="0"/>
                <w:sz w:val="20"/>
                <w:szCs w:val="20"/>
              </w:rPr>
              <w:t>多联式空调（热泵）机组（制冷量≤ 14000W）</w:t>
            </w:r>
          </w:p>
        </w:tc>
        <w:tc>
          <w:tcPr>
            <w:tcW w:w="4700" w:type="dxa"/>
            <w:tcBorders>
              <w:top w:val="nil"/>
              <w:left w:val="nil"/>
              <w:bottom w:val="single" w:color="000000" w:sz="8" w:space="0"/>
              <w:right w:val="single" w:color="000000" w:sz="8" w:space="0"/>
            </w:tcBorders>
            <w:vAlign w:val="center"/>
          </w:tcPr>
          <w:p w14:paraId="15361D43">
            <w:pPr>
              <w:widowControl/>
              <w:jc w:val="left"/>
              <w:rPr>
                <w:rFonts w:hint="eastAsia" w:ascii="宋体" w:hAnsi="宋体" w:cs="宋体"/>
                <w:kern w:val="0"/>
                <w:sz w:val="20"/>
                <w:szCs w:val="20"/>
              </w:rPr>
            </w:pPr>
            <w:r>
              <w:rPr>
                <w:rFonts w:hint="eastAsia" w:ascii="宋体" w:hAnsi="宋体" w:cs="宋体"/>
                <w:kern w:val="0"/>
                <w:sz w:val="20"/>
                <w:szCs w:val="20"/>
              </w:rPr>
              <w:t>《多联式空调（热泵）机组能效限定值及能源效率等级》（GB21454）</w:t>
            </w:r>
          </w:p>
        </w:tc>
      </w:tr>
      <w:tr w14:paraId="032F51CC">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vAlign w:val="center"/>
          </w:tcPr>
          <w:p w14:paraId="117C44ED">
            <w:pPr>
              <w:widowControl/>
              <w:jc w:val="left"/>
              <w:rPr>
                <w:rFonts w:hint="eastAsia" w:ascii="宋体" w:hAnsi="宋体" w:cs="宋体"/>
                <w:kern w:val="0"/>
                <w:sz w:val="20"/>
                <w:szCs w:val="20"/>
              </w:rPr>
            </w:pPr>
          </w:p>
        </w:tc>
        <w:tc>
          <w:tcPr>
            <w:tcW w:w="0" w:type="auto"/>
            <w:vMerge w:val="continue"/>
            <w:tcBorders>
              <w:top w:val="nil"/>
              <w:left w:val="single" w:color="000000" w:sz="8" w:space="0"/>
              <w:bottom w:val="single" w:color="000000" w:sz="8" w:space="0"/>
              <w:right w:val="single" w:color="000000" w:sz="8" w:space="0"/>
            </w:tcBorders>
            <w:vAlign w:val="center"/>
          </w:tcPr>
          <w:p w14:paraId="676CFD41">
            <w:pPr>
              <w:widowControl/>
              <w:jc w:val="left"/>
              <w:rPr>
                <w:rFonts w:hint="eastAsia" w:ascii="宋体" w:hAnsi="宋体" w:cs="宋体"/>
                <w:kern w:val="0"/>
                <w:sz w:val="20"/>
                <w:szCs w:val="20"/>
              </w:rPr>
            </w:pPr>
          </w:p>
        </w:tc>
        <w:tc>
          <w:tcPr>
            <w:tcW w:w="0" w:type="auto"/>
            <w:vMerge w:val="continue"/>
            <w:tcBorders>
              <w:top w:val="nil"/>
              <w:left w:val="single" w:color="000000" w:sz="8" w:space="0"/>
              <w:bottom w:val="single" w:color="000000" w:sz="8" w:space="0"/>
              <w:right w:val="single" w:color="000000" w:sz="8" w:space="0"/>
            </w:tcBorders>
            <w:vAlign w:val="center"/>
          </w:tcPr>
          <w:p w14:paraId="5B3C998D">
            <w:pPr>
              <w:widowControl/>
              <w:jc w:val="left"/>
              <w:rPr>
                <w:rFonts w:hint="eastAsia" w:ascii="宋体" w:hAnsi="宋体" w:cs="宋体"/>
                <w:kern w:val="0"/>
                <w:sz w:val="20"/>
                <w:szCs w:val="20"/>
              </w:rPr>
            </w:pPr>
          </w:p>
        </w:tc>
        <w:tc>
          <w:tcPr>
            <w:tcW w:w="1612" w:type="dxa"/>
            <w:tcBorders>
              <w:top w:val="nil"/>
              <w:left w:val="nil"/>
              <w:bottom w:val="single" w:color="000000" w:sz="8" w:space="0"/>
              <w:right w:val="single" w:color="000000" w:sz="8" w:space="0"/>
            </w:tcBorders>
            <w:vAlign w:val="center"/>
          </w:tcPr>
          <w:p w14:paraId="3EDBA87D">
            <w:pPr>
              <w:widowControl/>
              <w:jc w:val="center"/>
              <w:rPr>
                <w:rFonts w:hint="eastAsia" w:ascii="宋体" w:hAnsi="宋体" w:cs="宋体"/>
                <w:kern w:val="0"/>
                <w:sz w:val="20"/>
                <w:szCs w:val="20"/>
              </w:rPr>
            </w:pPr>
            <w:r>
              <w:rPr>
                <w:rFonts w:hint="eastAsia" w:ascii="宋体" w:hAnsi="宋体" w:cs="宋体"/>
                <w:kern w:val="0"/>
                <w:sz w:val="20"/>
                <w:szCs w:val="20"/>
              </w:rPr>
              <w:t>单元式空气调节机(制冷量≤14000W)</w:t>
            </w:r>
          </w:p>
        </w:tc>
        <w:tc>
          <w:tcPr>
            <w:tcW w:w="4700" w:type="dxa"/>
            <w:tcBorders>
              <w:top w:val="nil"/>
              <w:left w:val="nil"/>
              <w:bottom w:val="single" w:color="000000" w:sz="8" w:space="0"/>
              <w:right w:val="single" w:color="000000" w:sz="8" w:space="0"/>
            </w:tcBorders>
            <w:vAlign w:val="center"/>
          </w:tcPr>
          <w:p w14:paraId="0BDB9D54">
            <w:pPr>
              <w:widowControl/>
              <w:jc w:val="left"/>
              <w:rPr>
                <w:rFonts w:hint="eastAsia" w:ascii="宋体" w:hAnsi="宋体" w:cs="宋体"/>
                <w:kern w:val="0"/>
                <w:sz w:val="20"/>
                <w:szCs w:val="20"/>
              </w:rPr>
            </w:pPr>
            <w:r>
              <w:rPr>
                <w:rFonts w:hint="eastAsia" w:ascii="宋体" w:hAnsi="宋体" w:cs="宋体"/>
                <w:kern w:val="0"/>
                <w:sz w:val="20"/>
                <w:szCs w:val="20"/>
              </w:rPr>
              <w:t>《单元式空气调节机能效限定值及能源效率等级》（GB19576）《风管送风式空调机组能效限定值及能效等级》（GB37479）</w:t>
            </w:r>
          </w:p>
        </w:tc>
      </w:tr>
      <w:tr w14:paraId="38146E92">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vAlign w:val="center"/>
          </w:tcPr>
          <w:p w14:paraId="4961AE04">
            <w:pPr>
              <w:widowControl/>
              <w:jc w:val="left"/>
              <w:rPr>
                <w:rFonts w:hint="eastAsia" w:ascii="宋体" w:hAnsi="宋体" w:cs="宋体"/>
                <w:kern w:val="0"/>
                <w:sz w:val="20"/>
                <w:szCs w:val="20"/>
              </w:rPr>
            </w:pPr>
          </w:p>
        </w:tc>
        <w:tc>
          <w:tcPr>
            <w:tcW w:w="0" w:type="auto"/>
            <w:vMerge w:val="continue"/>
            <w:tcBorders>
              <w:top w:val="nil"/>
              <w:left w:val="single" w:color="000000" w:sz="8" w:space="0"/>
              <w:bottom w:val="single" w:color="000000" w:sz="8" w:space="0"/>
              <w:right w:val="single" w:color="000000" w:sz="8" w:space="0"/>
            </w:tcBorders>
            <w:vAlign w:val="center"/>
          </w:tcPr>
          <w:p w14:paraId="435D9E0E">
            <w:pPr>
              <w:widowControl/>
              <w:jc w:val="left"/>
              <w:rPr>
                <w:rFonts w:hint="eastAsia" w:ascii="宋体" w:hAnsi="宋体" w:cs="宋体"/>
                <w:kern w:val="0"/>
                <w:sz w:val="20"/>
                <w:szCs w:val="20"/>
              </w:rPr>
            </w:pPr>
          </w:p>
        </w:tc>
        <w:tc>
          <w:tcPr>
            <w:tcW w:w="1516" w:type="dxa"/>
            <w:tcBorders>
              <w:top w:val="nil"/>
              <w:left w:val="nil"/>
              <w:bottom w:val="single" w:color="000000" w:sz="8" w:space="0"/>
              <w:right w:val="single" w:color="000000" w:sz="8" w:space="0"/>
            </w:tcBorders>
            <w:vAlign w:val="center"/>
          </w:tcPr>
          <w:p w14:paraId="79855E51">
            <w:pPr>
              <w:widowControl/>
              <w:jc w:val="center"/>
              <w:rPr>
                <w:rFonts w:hint="eastAsia" w:ascii="宋体" w:hAnsi="宋体" w:cs="宋体"/>
                <w:kern w:val="0"/>
                <w:sz w:val="20"/>
                <w:szCs w:val="20"/>
              </w:rPr>
            </w:pPr>
            <w:r>
              <w:rPr>
                <w:rFonts w:hint="eastAsia" w:ascii="宋体" w:hAnsi="宋体" w:cs="宋体"/>
                <w:kern w:val="0"/>
                <w:sz w:val="20"/>
                <w:szCs w:val="20"/>
              </w:rPr>
              <w:t>A0206180301洗衣机</w:t>
            </w:r>
          </w:p>
        </w:tc>
        <w:tc>
          <w:tcPr>
            <w:tcW w:w="1612" w:type="dxa"/>
            <w:tcBorders>
              <w:top w:val="nil"/>
              <w:left w:val="nil"/>
              <w:bottom w:val="single" w:color="000000" w:sz="8" w:space="0"/>
              <w:right w:val="single" w:color="000000" w:sz="8" w:space="0"/>
            </w:tcBorders>
            <w:vAlign w:val="center"/>
          </w:tcPr>
          <w:p w14:paraId="0C804476">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4700" w:type="dxa"/>
            <w:tcBorders>
              <w:top w:val="nil"/>
              <w:left w:val="nil"/>
              <w:bottom w:val="single" w:color="000000" w:sz="8" w:space="0"/>
              <w:right w:val="single" w:color="000000" w:sz="8" w:space="0"/>
            </w:tcBorders>
            <w:vAlign w:val="center"/>
          </w:tcPr>
          <w:p w14:paraId="2FCF203C">
            <w:pPr>
              <w:widowControl/>
              <w:jc w:val="left"/>
              <w:rPr>
                <w:rFonts w:hint="eastAsia" w:ascii="宋体" w:hAnsi="宋体" w:cs="宋体"/>
                <w:kern w:val="0"/>
                <w:sz w:val="20"/>
                <w:szCs w:val="20"/>
              </w:rPr>
            </w:pPr>
            <w:r>
              <w:rPr>
                <w:rFonts w:hint="eastAsia" w:ascii="宋体" w:hAnsi="宋体" w:cs="宋体"/>
                <w:kern w:val="0"/>
                <w:sz w:val="20"/>
                <w:szCs w:val="20"/>
              </w:rPr>
              <w:t>《电动洗衣机能效水效限定值及等级》（GB12021.4）</w:t>
            </w:r>
          </w:p>
        </w:tc>
      </w:tr>
      <w:tr w14:paraId="645850E8">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vAlign w:val="center"/>
          </w:tcPr>
          <w:p w14:paraId="02E2A98A">
            <w:pPr>
              <w:widowControl/>
              <w:jc w:val="left"/>
              <w:rPr>
                <w:rFonts w:hint="eastAsia" w:ascii="宋体" w:hAnsi="宋体" w:cs="宋体"/>
                <w:kern w:val="0"/>
                <w:sz w:val="20"/>
                <w:szCs w:val="20"/>
              </w:rPr>
            </w:pPr>
          </w:p>
        </w:tc>
        <w:tc>
          <w:tcPr>
            <w:tcW w:w="0" w:type="auto"/>
            <w:vMerge w:val="continue"/>
            <w:tcBorders>
              <w:top w:val="nil"/>
              <w:left w:val="single" w:color="000000" w:sz="8" w:space="0"/>
              <w:bottom w:val="single" w:color="000000" w:sz="8" w:space="0"/>
              <w:right w:val="single" w:color="000000" w:sz="8" w:space="0"/>
            </w:tcBorders>
            <w:vAlign w:val="center"/>
          </w:tcPr>
          <w:p w14:paraId="4C8EC615">
            <w:pPr>
              <w:widowControl/>
              <w:jc w:val="left"/>
              <w:rPr>
                <w:rFonts w:hint="eastAsia" w:ascii="宋体" w:hAnsi="宋体" w:cs="宋体"/>
                <w:kern w:val="0"/>
                <w:sz w:val="20"/>
                <w:szCs w:val="20"/>
              </w:rPr>
            </w:pPr>
          </w:p>
        </w:tc>
        <w:tc>
          <w:tcPr>
            <w:tcW w:w="1516" w:type="dxa"/>
            <w:vMerge w:val="restart"/>
            <w:tcBorders>
              <w:top w:val="nil"/>
              <w:left w:val="single" w:color="000000" w:sz="8" w:space="0"/>
              <w:bottom w:val="single" w:color="000000" w:sz="8" w:space="0"/>
              <w:right w:val="single" w:color="000000" w:sz="8" w:space="0"/>
            </w:tcBorders>
            <w:vAlign w:val="center"/>
          </w:tcPr>
          <w:p w14:paraId="1C520141">
            <w:pPr>
              <w:widowControl/>
              <w:jc w:val="center"/>
              <w:rPr>
                <w:rFonts w:hint="eastAsia" w:ascii="宋体" w:hAnsi="宋体" w:cs="宋体"/>
                <w:kern w:val="0"/>
                <w:sz w:val="20"/>
                <w:szCs w:val="20"/>
              </w:rPr>
            </w:pPr>
            <w:r>
              <w:rPr>
                <w:rFonts w:hint="eastAsia" w:ascii="宋体" w:hAnsi="宋体" w:cs="宋体"/>
                <w:kern w:val="0"/>
                <w:sz w:val="20"/>
                <w:szCs w:val="20"/>
              </w:rPr>
              <w:t>A02061808热水器</w:t>
            </w:r>
          </w:p>
        </w:tc>
        <w:tc>
          <w:tcPr>
            <w:tcW w:w="1612" w:type="dxa"/>
            <w:tcBorders>
              <w:top w:val="nil"/>
              <w:left w:val="nil"/>
              <w:bottom w:val="single" w:color="000000" w:sz="8" w:space="0"/>
              <w:right w:val="single" w:color="000000" w:sz="8" w:space="0"/>
            </w:tcBorders>
            <w:vAlign w:val="center"/>
          </w:tcPr>
          <w:p w14:paraId="1106DB21">
            <w:pPr>
              <w:widowControl/>
              <w:jc w:val="center"/>
              <w:rPr>
                <w:rFonts w:hint="eastAsia" w:ascii="宋体" w:hAnsi="宋体" w:cs="宋体"/>
                <w:kern w:val="0"/>
                <w:sz w:val="20"/>
                <w:szCs w:val="20"/>
              </w:rPr>
            </w:pPr>
            <w:r>
              <w:rPr>
                <w:rFonts w:hint="eastAsia" w:ascii="宋体" w:hAnsi="宋体" w:cs="宋体"/>
                <w:kern w:val="0"/>
                <w:sz w:val="20"/>
                <w:szCs w:val="20"/>
              </w:rPr>
              <w:t>★电热水器</w:t>
            </w:r>
          </w:p>
        </w:tc>
        <w:tc>
          <w:tcPr>
            <w:tcW w:w="4700" w:type="dxa"/>
            <w:tcBorders>
              <w:top w:val="nil"/>
              <w:left w:val="nil"/>
              <w:bottom w:val="single" w:color="000000" w:sz="8" w:space="0"/>
              <w:right w:val="single" w:color="000000" w:sz="8" w:space="0"/>
            </w:tcBorders>
            <w:vAlign w:val="center"/>
          </w:tcPr>
          <w:p w14:paraId="4F114386">
            <w:pPr>
              <w:widowControl/>
              <w:jc w:val="left"/>
              <w:rPr>
                <w:rFonts w:hint="eastAsia" w:ascii="宋体" w:hAnsi="宋体" w:cs="宋体"/>
                <w:kern w:val="0"/>
                <w:sz w:val="20"/>
                <w:szCs w:val="20"/>
              </w:rPr>
            </w:pPr>
            <w:r>
              <w:rPr>
                <w:rFonts w:hint="eastAsia" w:ascii="宋体" w:hAnsi="宋体" w:cs="宋体"/>
                <w:kern w:val="0"/>
                <w:sz w:val="20"/>
                <w:szCs w:val="20"/>
              </w:rPr>
              <w:t>《储水式电热水器能效限定值及能效等级》（GB21519）</w:t>
            </w:r>
          </w:p>
        </w:tc>
      </w:tr>
      <w:tr w14:paraId="5F58F9DC">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vAlign w:val="center"/>
          </w:tcPr>
          <w:p w14:paraId="2B24BD55">
            <w:pPr>
              <w:widowControl/>
              <w:jc w:val="left"/>
              <w:rPr>
                <w:rFonts w:hint="eastAsia" w:ascii="宋体" w:hAnsi="宋体" w:cs="宋体"/>
                <w:kern w:val="0"/>
                <w:sz w:val="20"/>
                <w:szCs w:val="20"/>
              </w:rPr>
            </w:pPr>
          </w:p>
        </w:tc>
        <w:tc>
          <w:tcPr>
            <w:tcW w:w="0" w:type="auto"/>
            <w:vMerge w:val="continue"/>
            <w:tcBorders>
              <w:top w:val="nil"/>
              <w:left w:val="single" w:color="000000" w:sz="8" w:space="0"/>
              <w:bottom w:val="single" w:color="000000" w:sz="8" w:space="0"/>
              <w:right w:val="single" w:color="000000" w:sz="8" w:space="0"/>
            </w:tcBorders>
            <w:vAlign w:val="center"/>
          </w:tcPr>
          <w:p w14:paraId="3B8032AE">
            <w:pPr>
              <w:widowControl/>
              <w:jc w:val="left"/>
              <w:rPr>
                <w:rFonts w:hint="eastAsia" w:ascii="宋体" w:hAnsi="宋体" w:cs="宋体"/>
                <w:kern w:val="0"/>
                <w:sz w:val="20"/>
                <w:szCs w:val="20"/>
              </w:rPr>
            </w:pPr>
          </w:p>
        </w:tc>
        <w:tc>
          <w:tcPr>
            <w:tcW w:w="0" w:type="auto"/>
            <w:vMerge w:val="continue"/>
            <w:tcBorders>
              <w:top w:val="nil"/>
              <w:left w:val="single" w:color="000000" w:sz="8" w:space="0"/>
              <w:bottom w:val="single" w:color="000000" w:sz="8" w:space="0"/>
              <w:right w:val="single" w:color="000000" w:sz="8" w:space="0"/>
            </w:tcBorders>
            <w:vAlign w:val="center"/>
          </w:tcPr>
          <w:p w14:paraId="40251E05">
            <w:pPr>
              <w:widowControl/>
              <w:jc w:val="left"/>
              <w:rPr>
                <w:rFonts w:hint="eastAsia" w:ascii="宋体" w:hAnsi="宋体" w:cs="宋体"/>
                <w:kern w:val="0"/>
                <w:sz w:val="20"/>
                <w:szCs w:val="20"/>
              </w:rPr>
            </w:pPr>
          </w:p>
        </w:tc>
        <w:tc>
          <w:tcPr>
            <w:tcW w:w="1612" w:type="dxa"/>
            <w:tcBorders>
              <w:top w:val="nil"/>
              <w:left w:val="nil"/>
              <w:bottom w:val="single" w:color="000000" w:sz="8" w:space="0"/>
              <w:right w:val="single" w:color="000000" w:sz="8" w:space="0"/>
            </w:tcBorders>
            <w:vAlign w:val="center"/>
          </w:tcPr>
          <w:p w14:paraId="6AFD735D">
            <w:pPr>
              <w:widowControl/>
              <w:jc w:val="center"/>
              <w:rPr>
                <w:rFonts w:hint="eastAsia" w:ascii="宋体" w:hAnsi="宋体" w:cs="宋体"/>
                <w:kern w:val="0"/>
                <w:sz w:val="20"/>
                <w:szCs w:val="20"/>
              </w:rPr>
            </w:pPr>
            <w:r>
              <w:rPr>
                <w:rFonts w:hint="eastAsia" w:ascii="宋体" w:hAnsi="宋体" w:cs="宋体"/>
                <w:kern w:val="0"/>
                <w:sz w:val="20"/>
                <w:szCs w:val="20"/>
              </w:rPr>
              <w:t>燃气热水器</w:t>
            </w:r>
          </w:p>
        </w:tc>
        <w:tc>
          <w:tcPr>
            <w:tcW w:w="4700" w:type="dxa"/>
            <w:tcBorders>
              <w:top w:val="nil"/>
              <w:left w:val="nil"/>
              <w:bottom w:val="single" w:color="000000" w:sz="8" w:space="0"/>
              <w:right w:val="single" w:color="000000" w:sz="8" w:space="0"/>
            </w:tcBorders>
            <w:vAlign w:val="center"/>
          </w:tcPr>
          <w:p w14:paraId="183FB6EA">
            <w:pPr>
              <w:widowControl/>
              <w:jc w:val="left"/>
              <w:rPr>
                <w:rFonts w:hint="eastAsia" w:ascii="宋体" w:hAnsi="宋体" w:cs="宋体"/>
                <w:kern w:val="0"/>
                <w:sz w:val="20"/>
                <w:szCs w:val="20"/>
              </w:rPr>
            </w:pPr>
            <w:r>
              <w:rPr>
                <w:rFonts w:hint="eastAsia" w:ascii="宋体" w:hAnsi="宋体" w:cs="宋体"/>
                <w:kern w:val="0"/>
                <w:sz w:val="20"/>
                <w:szCs w:val="20"/>
              </w:rPr>
              <w:t>《家用燃气快速热水器和燃气采暖热水炉能效限定值及能效等级》（GB20665）</w:t>
            </w:r>
          </w:p>
        </w:tc>
      </w:tr>
      <w:tr w14:paraId="328866D3">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vAlign w:val="center"/>
          </w:tcPr>
          <w:p w14:paraId="7376585E">
            <w:pPr>
              <w:widowControl/>
              <w:jc w:val="left"/>
              <w:rPr>
                <w:rFonts w:hint="eastAsia" w:ascii="宋体" w:hAnsi="宋体" w:cs="宋体"/>
                <w:kern w:val="0"/>
                <w:sz w:val="20"/>
                <w:szCs w:val="20"/>
              </w:rPr>
            </w:pPr>
          </w:p>
        </w:tc>
        <w:tc>
          <w:tcPr>
            <w:tcW w:w="0" w:type="auto"/>
            <w:vMerge w:val="continue"/>
            <w:tcBorders>
              <w:top w:val="nil"/>
              <w:left w:val="single" w:color="000000" w:sz="8" w:space="0"/>
              <w:bottom w:val="single" w:color="000000" w:sz="8" w:space="0"/>
              <w:right w:val="single" w:color="000000" w:sz="8" w:space="0"/>
            </w:tcBorders>
            <w:vAlign w:val="center"/>
          </w:tcPr>
          <w:p w14:paraId="1E28FA1F">
            <w:pPr>
              <w:widowControl/>
              <w:jc w:val="left"/>
              <w:rPr>
                <w:rFonts w:hint="eastAsia" w:ascii="宋体" w:hAnsi="宋体" w:cs="宋体"/>
                <w:kern w:val="0"/>
                <w:sz w:val="20"/>
                <w:szCs w:val="20"/>
              </w:rPr>
            </w:pPr>
          </w:p>
        </w:tc>
        <w:tc>
          <w:tcPr>
            <w:tcW w:w="0" w:type="auto"/>
            <w:vMerge w:val="continue"/>
            <w:tcBorders>
              <w:top w:val="nil"/>
              <w:left w:val="single" w:color="000000" w:sz="8" w:space="0"/>
              <w:bottom w:val="single" w:color="000000" w:sz="8" w:space="0"/>
              <w:right w:val="single" w:color="000000" w:sz="8" w:space="0"/>
            </w:tcBorders>
            <w:vAlign w:val="center"/>
          </w:tcPr>
          <w:p w14:paraId="2510475D">
            <w:pPr>
              <w:widowControl/>
              <w:jc w:val="left"/>
              <w:rPr>
                <w:rFonts w:hint="eastAsia" w:ascii="宋体" w:hAnsi="宋体" w:cs="宋体"/>
                <w:kern w:val="0"/>
                <w:sz w:val="20"/>
                <w:szCs w:val="20"/>
              </w:rPr>
            </w:pPr>
          </w:p>
        </w:tc>
        <w:tc>
          <w:tcPr>
            <w:tcW w:w="1612" w:type="dxa"/>
            <w:tcBorders>
              <w:top w:val="nil"/>
              <w:left w:val="nil"/>
              <w:bottom w:val="single" w:color="000000" w:sz="8" w:space="0"/>
              <w:right w:val="single" w:color="000000" w:sz="8" w:space="0"/>
            </w:tcBorders>
            <w:vAlign w:val="center"/>
          </w:tcPr>
          <w:p w14:paraId="7C8E74ED">
            <w:pPr>
              <w:widowControl/>
              <w:jc w:val="center"/>
              <w:rPr>
                <w:rFonts w:hint="eastAsia" w:ascii="宋体" w:hAnsi="宋体" w:cs="宋体"/>
                <w:kern w:val="0"/>
                <w:sz w:val="20"/>
                <w:szCs w:val="20"/>
              </w:rPr>
            </w:pPr>
            <w:r>
              <w:rPr>
                <w:rFonts w:hint="eastAsia" w:ascii="宋体" w:hAnsi="宋体" w:cs="宋体"/>
                <w:kern w:val="0"/>
                <w:sz w:val="20"/>
                <w:szCs w:val="20"/>
              </w:rPr>
              <w:t>热泵热水器</w:t>
            </w:r>
          </w:p>
        </w:tc>
        <w:tc>
          <w:tcPr>
            <w:tcW w:w="4700" w:type="dxa"/>
            <w:tcBorders>
              <w:top w:val="nil"/>
              <w:left w:val="nil"/>
              <w:bottom w:val="single" w:color="000000" w:sz="8" w:space="0"/>
              <w:right w:val="single" w:color="000000" w:sz="8" w:space="0"/>
            </w:tcBorders>
            <w:vAlign w:val="center"/>
          </w:tcPr>
          <w:p w14:paraId="0028A682">
            <w:pPr>
              <w:widowControl/>
              <w:jc w:val="left"/>
              <w:rPr>
                <w:rFonts w:hint="eastAsia" w:ascii="宋体" w:hAnsi="宋体" w:cs="宋体"/>
                <w:kern w:val="0"/>
                <w:sz w:val="20"/>
                <w:szCs w:val="20"/>
              </w:rPr>
            </w:pPr>
            <w:r>
              <w:rPr>
                <w:rFonts w:hint="eastAsia" w:ascii="宋体" w:hAnsi="宋体" w:cs="宋体"/>
                <w:kern w:val="0"/>
                <w:sz w:val="20"/>
                <w:szCs w:val="20"/>
              </w:rPr>
              <w:t>《热泵热水机（器）能效限定值及能效等级》（GB29541）</w:t>
            </w:r>
          </w:p>
        </w:tc>
      </w:tr>
      <w:tr w14:paraId="4EF6AF71">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vAlign w:val="center"/>
          </w:tcPr>
          <w:p w14:paraId="35DD7CD4">
            <w:pPr>
              <w:widowControl/>
              <w:jc w:val="left"/>
              <w:rPr>
                <w:rFonts w:hint="eastAsia" w:ascii="宋体" w:hAnsi="宋体" w:cs="宋体"/>
                <w:kern w:val="0"/>
                <w:sz w:val="20"/>
                <w:szCs w:val="20"/>
              </w:rPr>
            </w:pPr>
          </w:p>
        </w:tc>
        <w:tc>
          <w:tcPr>
            <w:tcW w:w="0" w:type="auto"/>
            <w:vMerge w:val="continue"/>
            <w:tcBorders>
              <w:top w:val="nil"/>
              <w:left w:val="single" w:color="000000" w:sz="8" w:space="0"/>
              <w:bottom w:val="single" w:color="000000" w:sz="8" w:space="0"/>
              <w:right w:val="single" w:color="000000" w:sz="8" w:space="0"/>
            </w:tcBorders>
            <w:vAlign w:val="center"/>
          </w:tcPr>
          <w:p w14:paraId="0D0AA085">
            <w:pPr>
              <w:widowControl/>
              <w:jc w:val="left"/>
              <w:rPr>
                <w:rFonts w:hint="eastAsia" w:ascii="宋体" w:hAnsi="宋体" w:cs="宋体"/>
                <w:kern w:val="0"/>
                <w:sz w:val="20"/>
                <w:szCs w:val="20"/>
              </w:rPr>
            </w:pPr>
          </w:p>
        </w:tc>
        <w:tc>
          <w:tcPr>
            <w:tcW w:w="0" w:type="auto"/>
            <w:vMerge w:val="continue"/>
            <w:tcBorders>
              <w:top w:val="nil"/>
              <w:left w:val="single" w:color="000000" w:sz="8" w:space="0"/>
              <w:bottom w:val="single" w:color="000000" w:sz="8" w:space="0"/>
              <w:right w:val="single" w:color="000000" w:sz="8" w:space="0"/>
            </w:tcBorders>
            <w:vAlign w:val="center"/>
          </w:tcPr>
          <w:p w14:paraId="6BBCB713">
            <w:pPr>
              <w:widowControl/>
              <w:jc w:val="left"/>
              <w:rPr>
                <w:rFonts w:hint="eastAsia" w:ascii="宋体" w:hAnsi="宋体" w:cs="宋体"/>
                <w:kern w:val="0"/>
                <w:sz w:val="20"/>
                <w:szCs w:val="20"/>
              </w:rPr>
            </w:pPr>
          </w:p>
        </w:tc>
        <w:tc>
          <w:tcPr>
            <w:tcW w:w="1612" w:type="dxa"/>
            <w:tcBorders>
              <w:top w:val="nil"/>
              <w:left w:val="nil"/>
              <w:bottom w:val="single" w:color="000000" w:sz="8" w:space="0"/>
              <w:right w:val="single" w:color="000000" w:sz="8" w:space="0"/>
            </w:tcBorders>
            <w:vAlign w:val="center"/>
          </w:tcPr>
          <w:p w14:paraId="41C84CE9">
            <w:pPr>
              <w:widowControl/>
              <w:jc w:val="center"/>
              <w:rPr>
                <w:rFonts w:hint="eastAsia" w:ascii="宋体" w:hAnsi="宋体" w:cs="宋体"/>
                <w:kern w:val="0"/>
                <w:sz w:val="20"/>
                <w:szCs w:val="20"/>
              </w:rPr>
            </w:pPr>
            <w:r>
              <w:rPr>
                <w:rFonts w:hint="eastAsia" w:ascii="宋体" w:hAnsi="宋体" w:cs="宋体"/>
                <w:kern w:val="0"/>
                <w:sz w:val="20"/>
                <w:szCs w:val="20"/>
              </w:rPr>
              <w:t>太阳能热水系统</w:t>
            </w:r>
          </w:p>
        </w:tc>
        <w:tc>
          <w:tcPr>
            <w:tcW w:w="4700" w:type="dxa"/>
            <w:tcBorders>
              <w:top w:val="nil"/>
              <w:left w:val="nil"/>
              <w:bottom w:val="single" w:color="000000" w:sz="8" w:space="0"/>
              <w:right w:val="single" w:color="000000" w:sz="8" w:space="0"/>
            </w:tcBorders>
            <w:vAlign w:val="center"/>
          </w:tcPr>
          <w:p w14:paraId="3C3B6DF9">
            <w:pPr>
              <w:widowControl/>
              <w:jc w:val="left"/>
              <w:rPr>
                <w:rFonts w:hint="eastAsia" w:ascii="宋体" w:hAnsi="宋体" w:cs="宋体"/>
                <w:kern w:val="0"/>
                <w:sz w:val="20"/>
                <w:szCs w:val="20"/>
              </w:rPr>
            </w:pPr>
            <w:r>
              <w:rPr>
                <w:rFonts w:hint="eastAsia" w:ascii="宋体" w:hAnsi="宋体" w:cs="宋体"/>
                <w:kern w:val="0"/>
                <w:sz w:val="20"/>
                <w:szCs w:val="20"/>
              </w:rPr>
              <w:t>《家用太阳能热水系统能效限定值及能效等级》（GB26969）</w:t>
            </w:r>
          </w:p>
        </w:tc>
      </w:tr>
      <w:tr w14:paraId="7E9AF1BC">
        <w:tblPrEx>
          <w:tblCellMar>
            <w:top w:w="0" w:type="dxa"/>
            <w:left w:w="108" w:type="dxa"/>
            <w:bottom w:w="0" w:type="dxa"/>
            <w:right w:w="108" w:type="dxa"/>
          </w:tblCellMar>
        </w:tblPrEx>
        <w:trPr>
          <w:trHeight w:val="495" w:hRule="atLeast"/>
        </w:trPr>
        <w:tc>
          <w:tcPr>
            <w:tcW w:w="641" w:type="dxa"/>
            <w:vMerge w:val="restart"/>
            <w:tcBorders>
              <w:top w:val="nil"/>
              <w:left w:val="single" w:color="auto" w:sz="8" w:space="0"/>
              <w:bottom w:val="single" w:color="auto" w:sz="8" w:space="0"/>
              <w:right w:val="single" w:color="auto" w:sz="8" w:space="0"/>
            </w:tcBorders>
            <w:vAlign w:val="center"/>
          </w:tcPr>
          <w:p w14:paraId="68B54E8D">
            <w:pPr>
              <w:widowControl/>
              <w:jc w:val="center"/>
              <w:rPr>
                <w:rFonts w:hint="eastAsia" w:ascii="宋体" w:hAnsi="宋体" w:cs="宋体"/>
                <w:kern w:val="0"/>
                <w:sz w:val="20"/>
                <w:szCs w:val="20"/>
              </w:rPr>
            </w:pPr>
            <w:r>
              <w:rPr>
                <w:rFonts w:hint="eastAsia" w:ascii="宋体" w:hAnsi="宋体" w:cs="宋体"/>
                <w:kern w:val="0"/>
                <w:sz w:val="20"/>
                <w:szCs w:val="20"/>
              </w:rPr>
              <w:t>11</w:t>
            </w:r>
          </w:p>
        </w:tc>
        <w:tc>
          <w:tcPr>
            <w:tcW w:w="1116" w:type="dxa"/>
            <w:vMerge w:val="restart"/>
            <w:tcBorders>
              <w:top w:val="nil"/>
              <w:left w:val="single" w:color="auto" w:sz="8" w:space="0"/>
              <w:bottom w:val="single" w:color="auto" w:sz="8" w:space="0"/>
              <w:right w:val="single" w:color="auto" w:sz="8" w:space="0"/>
            </w:tcBorders>
            <w:vAlign w:val="center"/>
          </w:tcPr>
          <w:p w14:paraId="0E936286">
            <w:pPr>
              <w:widowControl/>
              <w:jc w:val="center"/>
              <w:rPr>
                <w:rFonts w:hint="eastAsia" w:ascii="宋体" w:hAnsi="宋体" w:cs="宋体"/>
                <w:kern w:val="0"/>
                <w:sz w:val="20"/>
                <w:szCs w:val="20"/>
              </w:rPr>
            </w:pPr>
            <w:r>
              <w:rPr>
                <w:rFonts w:hint="eastAsia" w:ascii="宋体" w:hAnsi="宋体" w:cs="宋体"/>
                <w:kern w:val="0"/>
                <w:sz w:val="20"/>
                <w:szCs w:val="20"/>
              </w:rPr>
              <w:t>A020619照明设备</w:t>
            </w:r>
          </w:p>
        </w:tc>
        <w:tc>
          <w:tcPr>
            <w:tcW w:w="1516" w:type="dxa"/>
            <w:tcBorders>
              <w:top w:val="nil"/>
              <w:left w:val="nil"/>
              <w:bottom w:val="single" w:color="auto" w:sz="4" w:space="0"/>
              <w:right w:val="single" w:color="auto" w:sz="8" w:space="0"/>
            </w:tcBorders>
            <w:vAlign w:val="center"/>
          </w:tcPr>
          <w:p w14:paraId="4737665A">
            <w:pPr>
              <w:widowControl/>
              <w:jc w:val="center"/>
              <w:rPr>
                <w:rFonts w:hint="eastAsia" w:ascii="宋体" w:hAnsi="宋体" w:cs="宋体"/>
                <w:kern w:val="0"/>
                <w:sz w:val="20"/>
                <w:szCs w:val="20"/>
              </w:rPr>
            </w:pPr>
            <w:r>
              <w:rPr>
                <w:rFonts w:hint="eastAsia" w:ascii="宋体" w:hAnsi="宋体" w:cs="宋体"/>
                <w:kern w:val="0"/>
                <w:sz w:val="20"/>
                <w:szCs w:val="20"/>
              </w:rPr>
              <w:t>★普通照明用双端荧光灯</w:t>
            </w:r>
          </w:p>
        </w:tc>
        <w:tc>
          <w:tcPr>
            <w:tcW w:w="1612" w:type="dxa"/>
            <w:tcBorders>
              <w:top w:val="nil"/>
              <w:left w:val="nil"/>
              <w:bottom w:val="single" w:color="auto" w:sz="4" w:space="0"/>
              <w:right w:val="single" w:color="auto" w:sz="8" w:space="0"/>
            </w:tcBorders>
            <w:vAlign w:val="center"/>
          </w:tcPr>
          <w:p w14:paraId="335E62F6">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4700" w:type="dxa"/>
            <w:tcBorders>
              <w:top w:val="nil"/>
              <w:left w:val="nil"/>
              <w:bottom w:val="single" w:color="auto" w:sz="4" w:space="0"/>
              <w:right w:val="single" w:color="auto" w:sz="8" w:space="0"/>
            </w:tcBorders>
            <w:vAlign w:val="center"/>
          </w:tcPr>
          <w:p w14:paraId="47075028">
            <w:pPr>
              <w:widowControl/>
              <w:jc w:val="left"/>
              <w:rPr>
                <w:rFonts w:hint="eastAsia" w:ascii="宋体" w:hAnsi="宋体" w:cs="宋体"/>
                <w:kern w:val="0"/>
                <w:sz w:val="20"/>
                <w:szCs w:val="20"/>
              </w:rPr>
            </w:pPr>
            <w:r>
              <w:rPr>
                <w:rFonts w:hint="eastAsia" w:ascii="宋体" w:hAnsi="宋体" w:cs="宋体"/>
                <w:kern w:val="0"/>
                <w:sz w:val="20"/>
                <w:szCs w:val="20"/>
              </w:rPr>
              <w:t>《普通照明用双端荧光灯能效限定值及能效等级》（GB19043）</w:t>
            </w:r>
          </w:p>
        </w:tc>
      </w:tr>
      <w:tr w14:paraId="72E17411">
        <w:tblPrEx>
          <w:tblCellMar>
            <w:top w:w="0" w:type="dxa"/>
            <w:left w:w="108" w:type="dxa"/>
            <w:bottom w:w="0" w:type="dxa"/>
            <w:right w:w="108" w:type="dxa"/>
          </w:tblCellMar>
        </w:tblPrEx>
        <w:trPr>
          <w:trHeight w:val="495" w:hRule="atLeast"/>
        </w:trPr>
        <w:tc>
          <w:tcPr>
            <w:tcW w:w="0" w:type="auto"/>
            <w:vMerge w:val="continue"/>
            <w:tcBorders>
              <w:top w:val="nil"/>
              <w:left w:val="single" w:color="auto" w:sz="8" w:space="0"/>
              <w:bottom w:val="single" w:color="auto" w:sz="8" w:space="0"/>
              <w:right w:val="single" w:color="auto" w:sz="8" w:space="0"/>
            </w:tcBorders>
            <w:vAlign w:val="center"/>
          </w:tcPr>
          <w:p w14:paraId="1938A605">
            <w:pPr>
              <w:widowControl/>
              <w:jc w:val="left"/>
              <w:rPr>
                <w:rFonts w:hint="eastAsia" w:ascii="宋体" w:hAnsi="宋体" w:cs="宋体"/>
                <w:kern w:val="0"/>
                <w:sz w:val="20"/>
                <w:szCs w:val="20"/>
              </w:rPr>
            </w:pPr>
          </w:p>
        </w:tc>
        <w:tc>
          <w:tcPr>
            <w:tcW w:w="0" w:type="auto"/>
            <w:vMerge w:val="continue"/>
            <w:tcBorders>
              <w:top w:val="nil"/>
              <w:left w:val="single" w:color="auto" w:sz="8" w:space="0"/>
              <w:bottom w:val="single" w:color="auto" w:sz="8" w:space="0"/>
              <w:right w:val="single" w:color="auto" w:sz="4" w:space="0"/>
            </w:tcBorders>
            <w:vAlign w:val="center"/>
          </w:tcPr>
          <w:p w14:paraId="2D45D6DF">
            <w:pPr>
              <w:widowControl/>
              <w:jc w:val="left"/>
              <w:rPr>
                <w:rFonts w:hint="eastAsia" w:ascii="宋体" w:hAnsi="宋体" w:cs="宋体"/>
                <w:kern w:val="0"/>
                <w:sz w:val="20"/>
                <w:szCs w:val="20"/>
              </w:rPr>
            </w:pPr>
          </w:p>
        </w:tc>
        <w:tc>
          <w:tcPr>
            <w:tcW w:w="1516" w:type="dxa"/>
            <w:tcBorders>
              <w:top w:val="single" w:color="auto" w:sz="4" w:space="0"/>
              <w:left w:val="single" w:color="auto" w:sz="4" w:space="0"/>
              <w:bottom w:val="single" w:color="auto" w:sz="4" w:space="0"/>
              <w:right w:val="single" w:color="auto" w:sz="4" w:space="0"/>
            </w:tcBorders>
            <w:vAlign w:val="center"/>
          </w:tcPr>
          <w:p w14:paraId="6B5106AB">
            <w:pPr>
              <w:widowControl/>
              <w:jc w:val="center"/>
              <w:rPr>
                <w:rFonts w:hint="eastAsia" w:ascii="宋体" w:hAnsi="宋体" w:cs="宋体"/>
                <w:kern w:val="0"/>
                <w:sz w:val="20"/>
                <w:szCs w:val="20"/>
              </w:rPr>
            </w:pPr>
            <w:r>
              <w:rPr>
                <w:rFonts w:hint="eastAsia" w:ascii="宋体" w:hAnsi="宋体" w:cs="宋体"/>
                <w:kern w:val="0"/>
                <w:sz w:val="20"/>
                <w:szCs w:val="20"/>
              </w:rPr>
              <w:t>LED道路/隧道照明产品</w:t>
            </w:r>
          </w:p>
        </w:tc>
        <w:tc>
          <w:tcPr>
            <w:tcW w:w="1612" w:type="dxa"/>
            <w:tcBorders>
              <w:top w:val="single" w:color="auto" w:sz="4" w:space="0"/>
              <w:left w:val="single" w:color="auto" w:sz="4" w:space="0"/>
              <w:bottom w:val="single" w:color="auto" w:sz="4" w:space="0"/>
              <w:right w:val="single" w:color="auto" w:sz="4" w:space="0"/>
            </w:tcBorders>
            <w:vAlign w:val="center"/>
          </w:tcPr>
          <w:p w14:paraId="1E79D046">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4700" w:type="dxa"/>
            <w:tcBorders>
              <w:top w:val="single" w:color="auto" w:sz="4" w:space="0"/>
              <w:left w:val="single" w:color="auto" w:sz="4" w:space="0"/>
              <w:bottom w:val="single" w:color="auto" w:sz="4" w:space="0"/>
              <w:right w:val="single" w:color="auto" w:sz="4" w:space="0"/>
            </w:tcBorders>
            <w:vAlign w:val="center"/>
          </w:tcPr>
          <w:p w14:paraId="4237D489">
            <w:pPr>
              <w:widowControl/>
              <w:jc w:val="left"/>
              <w:rPr>
                <w:rFonts w:hint="eastAsia" w:ascii="宋体" w:hAnsi="宋体" w:cs="宋体"/>
                <w:kern w:val="0"/>
                <w:sz w:val="20"/>
                <w:szCs w:val="20"/>
              </w:rPr>
            </w:pPr>
            <w:r>
              <w:rPr>
                <w:rFonts w:hint="eastAsia" w:ascii="宋体" w:hAnsi="宋体" w:cs="宋体"/>
                <w:kern w:val="0"/>
                <w:sz w:val="20"/>
                <w:szCs w:val="20"/>
              </w:rPr>
              <w:t>《道路和隧道照明用LED灯具能效限定值及能效等级》（GB37478）</w:t>
            </w:r>
          </w:p>
        </w:tc>
      </w:tr>
      <w:tr w14:paraId="4E433D71">
        <w:tblPrEx>
          <w:tblCellMar>
            <w:top w:w="0" w:type="dxa"/>
            <w:left w:w="108" w:type="dxa"/>
            <w:bottom w:w="0" w:type="dxa"/>
            <w:right w:w="108" w:type="dxa"/>
          </w:tblCellMar>
        </w:tblPrEx>
        <w:trPr>
          <w:trHeight w:val="495" w:hRule="atLeast"/>
        </w:trPr>
        <w:tc>
          <w:tcPr>
            <w:tcW w:w="0" w:type="auto"/>
            <w:vMerge w:val="continue"/>
            <w:tcBorders>
              <w:top w:val="nil"/>
              <w:left w:val="single" w:color="auto" w:sz="8" w:space="0"/>
              <w:bottom w:val="single" w:color="auto" w:sz="8" w:space="0"/>
              <w:right w:val="single" w:color="auto" w:sz="8" w:space="0"/>
            </w:tcBorders>
            <w:vAlign w:val="center"/>
          </w:tcPr>
          <w:p w14:paraId="4E2EAA62">
            <w:pPr>
              <w:widowControl/>
              <w:jc w:val="left"/>
              <w:rPr>
                <w:rFonts w:hint="eastAsia" w:ascii="宋体" w:hAnsi="宋体" w:cs="宋体"/>
                <w:kern w:val="0"/>
                <w:sz w:val="20"/>
                <w:szCs w:val="20"/>
              </w:rPr>
            </w:pPr>
          </w:p>
        </w:tc>
        <w:tc>
          <w:tcPr>
            <w:tcW w:w="0" w:type="auto"/>
            <w:vMerge w:val="continue"/>
            <w:tcBorders>
              <w:top w:val="nil"/>
              <w:left w:val="single" w:color="auto" w:sz="8" w:space="0"/>
              <w:bottom w:val="single" w:color="auto" w:sz="8" w:space="0"/>
              <w:right w:val="single" w:color="auto" w:sz="8" w:space="0"/>
            </w:tcBorders>
            <w:vAlign w:val="center"/>
          </w:tcPr>
          <w:p w14:paraId="6F4B5554">
            <w:pPr>
              <w:widowControl/>
              <w:jc w:val="left"/>
              <w:rPr>
                <w:rFonts w:hint="eastAsia" w:ascii="宋体" w:hAnsi="宋体" w:cs="宋体"/>
                <w:kern w:val="0"/>
                <w:sz w:val="20"/>
                <w:szCs w:val="20"/>
              </w:rPr>
            </w:pPr>
          </w:p>
        </w:tc>
        <w:tc>
          <w:tcPr>
            <w:tcW w:w="1516" w:type="dxa"/>
            <w:tcBorders>
              <w:top w:val="single" w:color="auto" w:sz="4" w:space="0"/>
              <w:left w:val="nil"/>
              <w:bottom w:val="single" w:color="auto" w:sz="8" w:space="0"/>
              <w:right w:val="single" w:color="auto" w:sz="8" w:space="0"/>
            </w:tcBorders>
            <w:vAlign w:val="center"/>
          </w:tcPr>
          <w:p w14:paraId="38156EA7">
            <w:pPr>
              <w:widowControl/>
              <w:jc w:val="center"/>
              <w:rPr>
                <w:rFonts w:hint="eastAsia" w:ascii="宋体" w:hAnsi="宋体" w:cs="宋体"/>
                <w:kern w:val="0"/>
                <w:sz w:val="20"/>
                <w:szCs w:val="20"/>
              </w:rPr>
            </w:pPr>
            <w:r>
              <w:rPr>
                <w:rFonts w:hint="eastAsia" w:ascii="宋体" w:hAnsi="宋体" w:cs="宋体"/>
                <w:kern w:val="0"/>
                <w:sz w:val="20"/>
                <w:szCs w:val="20"/>
              </w:rPr>
              <w:t>LED筒灯</w:t>
            </w:r>
          </w:p>
        </w:tc>
        <w:tc>
          <w:tcPr>
            <w:tcW w:w="1612" w:type="dxa"/>
            <w:tcBorders>
              <w:top w:val="single" w:color="auto" w:sz="4" w:space="0"/>
              <w:left w:val="nil"/>
              <w:bottom w:val="single" w:color="auto" w:sz="8" w:space="0"/>
              <w:right w:val="single" w:color="auto" w:sz="8" w:space="0"/>
            </w:tcBorders>
            <w:vAlign w:val="center"/>
          </w:tcPr>
          <w:p w14:paraId="2942CF51">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4700" w:type="dxa"/>
            <w:tcBorders>
              <w:top w:val="single" w:color="auto" w:sz="4" w:space="0"/>
              <w:left w:val="nil"/>
              <w:bottom w:val="single" w:color="auto" w:sz="8" w:space="0"/>
              <w:right w:val="single" w:color="auto" w:sz="8" w:space="0"/>
            </w:tcBorders>
            <w:vAlign w:val="center"/>
          </w:tcPr>
          <w:p w14:paraId="03181751">
            <w:pPr>
              <w:widowControl/>
              <w:jc w:val="left"/>
              <w:rPr>
                <w:rFonts w:hint="eastAsia" w:ascii="宋体" w:hAnsi="宋体" w:cs="宋体"/>
                <w:kern w:val="0"/>
                <w:sz w:val="20"/>
                <w:szCs w:val="20"/>
              </w:rPr>
            </w:pPr>
            <w:r>
              <w:rPr>
                <w:rFonts w:hint="eastAsia" w:ascii="宋体" w:hAnsi="宋体" w:cs="宋体"/>
                <w:kern w:val="0"/>
                <w:sz w:val="20"/>
                <w:szCs w:val="20"/>
              </w:rPr>
              <w:t>《室内照明用LED产品能效限定值及能效等级》（GB30255）</w:t>
            </w:r>
          </w:p>
        </w:tc>
      </w:tr>
      <w:tr w14:paraId="5595DFC3">
        <w:tblPrEx>
          <w:tblCellMar>
            <w:top w:w="0" w:type="dxa"/>
            <w:left w:w="108" w:type="dxa"/>
            <w:bottom w:w="0" w:type="dxa"/>
            <w:right w:w="108" w:type="dxa"/>
          </w:tblCellMar>
        </w:tblPrEx>
        <w:trPr>
          <w:trHeight w:val="735" w:hRule="atLeast"/>
        </w:trPr>
        <w:tc>
          <w:tcPr>
            <w:tcW w:w="0" w:type="auto"/>
            <w:vMerge w:val="continue"/>
            <w:tcBorders>
              <w:top w:val="nil"/>
              <w:left w:val="single" w:color="auto" w:sz="8" w:space="0"/>
              <w:bottom w:val="single" w:color="auto" w:sz="8" w:space="0"/>
              <w:right w:val="single" w:color="auto" w:sz="8" w:space="0"/>
            </w:tcBorders>
            <w:vAlign w:val="center"/>
          </w:tcPr>
          <w:p w14:paraId="0498E8AE">
            <w:pPr>
              <w:widowControl/>
              <w:jc w:val="left"/>
              <w:rPr>
                <w:rFonts w:hint="eastAsia" w:ascii="宋体" w:hAnsi="宋体" w:cs="宋体"/>
                <w:kern w:val="0"/>
                <w:sz w:val="20"/>
                <w:szCs w:val="20"/>
              </w:rPr>
            </w:pPr>
          </w:p>
        </w:tc>
        <w:tc>
          <w:tcPr>
            <w:tcW w:w="0" w:type="auto"/>
            <w:vMerge w:val="continue"/>
            <w:tcBorders>
              <w:top w:val="nil"/>
              <w:left w:val="single" w:color="auto" w:sz="8" w:space="0"/>
              <w:bottom w:val="single" w:color="auto" w:sz="8" w:space="0"/>
              <w:right w:val="single" w:color="auto" w:sz="8" w:space="0"/>
            </w:tcBorders>
            <w:vAlign w:val="center"/>
          </w:tcPr>
          <w:p w14:paraId="79231068">
            <w:pPr>
              <w:widowControl/>
              <w:jc w:val="left"/>
              <w:rPr>
                <w:rFonts w:hint="eastAsia" w:ascii="宋体" w:hAnsi="宋体" w:cs="宋体"/>
                <w:kern w:val="0"/>
                <w:sz w:val="20"/>
                <w:szCs w:val="20"/>
              </w:rPr>
            </w:pPr>
          </w:p>
        </w:tc>
        <w:tc>
          <w:tcPr>
            <w:tcW w:w="1516" w:type="dxa"/>
            <w:tcBorders>
              <w:top w:val="nil"/>
              <w:left w:val="nil"/>
              <w:bottom w:val="single" w:color="auto" w:sz="8" w:space="0"/>
              <w:right w:val="single" w:color="auto" w:sz="8" w:space="0"/>
            </w:tcBorders>
            <w:vAlign w:val="center"/>
          </w:tcPr>
          <w:p w14:paraId="513964A2">
            <w:pPr>
              <w:widowControl/>
              <w:jc w:val="center"/>
              <w:rPr>
                <w:rFonts w:hint="eastAsia" w:ascii="宋体" w:hAnsi="宋体" w:cs="宋体"/>
                <w:kern w:val="0"/>
                <w:sz w:val="20"/>
                <w:szCs w:val="20"/>
              </w:rPr>
            </w:pPr>
            <w:r>
              <w:rPr>
                <w:rFonts w:hint="eastAsia" w:ascii="宋体" w:hAnsi="宋体" w:cs="宋体"/>
                <w:kern w:val="0"/>
                <w:sz w:val="20"/>
                <w:szCs w:val="20"/>
              </w:rPr>
              <w:t>普通照明用非定向自镇流LED灯</w:t>
            </w:r>
          </w:p>
        </w:tc>
        <w:tc>
          <w:tcPr>
            <w:tcW w:w="1612" w:type="dxa"/>
            <w:tcBorders>
              <w:top w:val="nil"/>
              <w:left w:val="nil"/>
              <w:bottom w:val="single" w:color="auto" w:sz="8" w:space="0"/>
              <w:right w:val="single" w:color="auto" w:sz="8" w:space="0"/>
            </w:tcBorders>
            <w:vAlign w:val="center"/>
          </w:tcPr>
          <w:p w14:paraId="21D688A0">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4700" w:type="dxa"/>
            <w:tcBorders>
              <w:top w:val="nil"/>
              <w:left w:val="nil"/>
              <w:bottom w:val="single" w:color="auto" w:sz="8" w:space="0"/>
              <w:right w:val="single" w:color="auto" w:sz="8" w:space="0"/>
            </w:tcBorders>
            <w:vAlign w:val="center"/>
          </w:tcPr>
          <w:p w14:paraId="3E441993">
            <w:pPr>
              <w:widowControl/>
              <w:jc w:val="left"/>
              <w:rPr>
                <w:rFonts w:hint="eastAsia" w:ascii="宋体" w:hAnsi="宋体" w:cs="宋体"/>
                <w:kern w:val="0"/>
                <w:sz w:val="20"/>
                <w:szCs w:val="20"/>
              </w:rPr>
            </w:pPr>
            <w:r>
              <w:rPr>
                <w:rFonts w:hint="eastAsia" w:ascii="宋体" w:hAnsi="宋体" w:cs="宋体"/>
                <w:kern w:val="0"/>
                <w:sz w:val="20"/>
                <w:szCs w:val="20"/>
              </w:rPr>
              <w:t>《室内照明用LED产品能效限定值及能效等级》（GB30255）</w:t>
            </w:r>
          </w:p>
        </w:tc>
      </w:tr>
      <w:tr w14:paraId="6B02000E">
        <w:tblPrEx>
          <w:tblCellMar>
            <w:top w:w="0" w:type="dxa"/>
            <w:left w:w="108" w:type="dxa"/>
            <w:bottom w:w="0" w:type="dxa"/>
            <w:right w:w="108" w:type="dxa"/>
          </w:tblCellMar>
        </w:tblPrEx>
        <w:trPr>
          <w:trHeight w:val="735" w:hRule="atLeast"/>
        </w:trPr>
        <w:tc>
          <w:tcPr>
            <w:tcW w:w="641" w:type="dxa"/>
            <w:tcBorders>
              <w:top w:val="nil"/>
              <w:left w:val="single" w:color="auto" w:sz="8" w:space="0"/>
              <w:bottom w:val="single" w:color="auto" w:sz="8" w:space="0"/>
              <w:right w:val="single" w:color="auto" w:sz="8" w:space="0"/>
            </w:tcBorders>
            <w:vAlign w:val="center"/>
          </w:tcPr>
          <w:p w14:paraId="71B620FE">
            <w:pPr>
              <w:widowControl/>
              <w:jc w:val="center"/>
              <w:rPr>
                <w:rFonts w:hint="eastAsia" w:ascii="宋体" w:hAnsi="宋体" w:cs="宋体"/>
                <w:kern w:val="0"/>
                <w:sz w:val="20"/>
                <w:szCs w:val="20"/>
              </w:rPr>
            </w:pPr>
            <w:r>
              <w:rPr>
                <w:rFonts w:hint="eastAsia" w:ascii="宋体" w:hAnsi="宋体" w:cs="宋体"/>
                <w:kern w:val="0"/>
                <w:sz w:val="20"/>
                <w:szCs w:val="20"/>
              </w:rPr>
              <w:t>12</w:t>
            </w:r>
          </w:p>
        </w:tc>
        <w:tc>
          <w:tcPr>
            <w:tcW w:w="1116" w:type="dxa"/>
            <w:tcBorders>
              <w:top w:val="nil"/>
              <w:left w:val="nil"/>
              <w:bottom w:val="single" w:color="auto" w:sz="8" w:space="0"/>
              <w:right w:val="single" w:color="auto" w:sz="8" w:space="0"/>
            </w:tcBorders>
            <w:vAlign w:val="center"/>
          </w:tcPr>
          <w:p w14:paraId="731C925A">
            <w:pPr>
              <w:widowControl/>
              <w:jc w:val="center"/>
              <w:rPr>
                <w:rFonts w:hint="eastAsia" w:ascii="宋体" w:hAnsi="宋体" w:cs="宋体"/>
                <w:kern w:val="0"/>
                <w:sz w:val="20"/>
                <w:szCs w:val="20"/>
              </w:rPr>
            </w:pPr>
            <w:r>
              <w:rPr>
                <w:rFonts w:hint="eastAsia" w:ascii="宋体" w:hAnsi="宋体" w:cs="宋体"/>
                <w:kern w:val="0"/>
                <w:sz w:val="20"/>
                <w:szCs w:val="20"/>
              </w:rPr>
              <w:t>★A020910电视设备</w:t>
            </w:r>
          </w:p>
        </w:tc>
        <w:tc>
          <w:tcPr>
            <w:tcW w:w="1516" w:type="dxa"/>
            <w:tcBorders>
              <w:top w:val="nil"/>
              <w:left w:val="nil"/>
              <w:bottom w:val="single" w:color="auto" w:sz="8" w:space="0"/>
              <w:right w:val="single" w:color="auto" w:sz="8" w:space="0"/>
            </w:tcBorders>
            <w:vAlign w:val="center"/>
          </w:tcPr>
          <w:p w14:paraId="2A277E0F">
            <w:pPr>
              <w:widowControl/>
              <w:jc w:val="center"/>
              <w:rPr>
                <w:rFonts w:hint="eastAsia" w:ascii="宋体" w:hAnsi="宋体" w:cs="宋体"/>
                <w:kern w:val="0"/>
                <w:sz w:val="20"/>
                <w:szCs w:val="20"/>
              </w:rPr>
            </w:pPr>
            <w:r>
              <w:rPr>
                <w:rFonts w:hint="eastAsia" w:ascii="宋体" w:hAnsi="宋体" w:cs="宋体"/>
                <w:kern w:val="0"/>
                <w:sz w:val="20"/>
                <w:szCs w:val="20"/>
              </w:rPr>
              <w:t>A02091001普通电视设备（电视机）</w:t>
            </w:r>
          </w:p>
        </w:tc>
        <w:tc>
          <w:tcPr>
            <w:tcW w:w="1612" w:type="dxa"/>
            <w:tcBorders>
              <w:top w:val="nil"/>
              <w:left w:val="nil"/>
              <w:bottom w:val="single" w:color="auto" w:sz="8" w:space="0"/>
              <w:right w:val="single" w:color="auto" w:sz="8" w:space="0"/>
            </w:tcBorders>
            <w:vAlign w:val="center"/>
          </w:tcPr>
          <w:p w14:paraId="481BC690">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4700" w:type="dxa"/>
            <w:tcBorders>
              <w:top w:val="nil"/>
              <w:left w:val="nil"/>
              <w:bottom w:val="single" w:color="auto" w:sz="8" w:space="0"/>
              <w:right w:val="single" w:color="auto" w:sz="8" w:space="0"/>
            </w:tcBorders>
            <w:vAlign w:val="center"/>
          </w:tcPr>
          <w:p w14:paraId="6C9D563B">
            <w:pPr>
              <w:widowControl/>
              <w:jc w:val="left"/>
              <w:rPr>
                <w:rFonts w:hint="eastAsia" w:ascii="宋体" w:hAnsi="宋体" w:cs="宋体"/>
                <w:kern w:val="0"/>
                <w:sz w:val="20"/>
                <w:szCs w:val="20"/>
              </w:rPr>
            </w:pPr>
            <w:r>
              <w:rPr>
                <w:rFonts w:hint="eastAsia" w:ascii="宋体" w:hAnsi="宋体" w:cs="宋体"/>
                <w:kern w:val="0"/>
                <w:sz w:val="20"/>
                <w:szCs w:val="20"/>
              </w:rPr>
              <w:t>《平板电视能效限定值及能效等级》（GB24850）</w:t>
            </w:r>
          </w:p>
        </w:tc>
      </w:tr>
      <w:tr w14:paraId="49F982F4">
        <w:tblPrEx>
          <w:tblCellMar>
            <w:top w:w="0" w:type="dxa"/>
            <w:left w:w="108" w:type="dxa"/>
            <w:bottom w:w="0" w:type="dxa"/>
            <w:right w:w="108" w:type="dxa"/>
          </w:tblCellMar>
        </w:tblPrEx>
        <w:trPr>
          <w:trHeight w:val="975" w:hRule="atLeast"/>
        </w:trPr>
        <w:tc>
          <w:tcPr>
            <w:tcW w:w="641" w:type="dxa"/>
            <w:tcBorders>
              <w:top w:val="nil"/>
              <w:left w:val="single" w:color="auto" w:sz="8" w:space="0"/>
              <w:bottom w:val="single" w:color="auto" w:sz="8" w:space="0"/>
              <w:right w:val="single" w:color="auto" w:sz="8" w:space="0"/>
            </w:tcBorders>
            <w:vAlign w:val="center"/>
          </w:tcPr>
          <w:p w14:paraId="46C90535">
            <w:pPr>
              <w:widowControl/>
              <w:jc w:val="center"/>
              <w:rPr>
                <w:rFonts w:hint="eastAsia" w:ascii="宋体" w:hAnsi="宋体" w:cs="宋体"/>
                <w:kern w:val="0"/>
                <w:sz w:val="20"/>
                <w:szCs w:val="20"/>
              </w:rPr>
            </w:pPr>
            <w:r>
              <w:rPr>
                <w:rFonts w:hint="eastAsia" w:ascii="宋体" w:hAnsi="宋体" w:cs="宋体"/>
                <w:kern w:val="0"/>
                <w:sz w:val="20"/>
                <w:szCs w:val="20"/>
              </w:rPr>
              <w:t>13</w:t>
            </w:r>
          </w:p>
        </w:tc>
        <w:tc>
          <w:tcPr>
            <w:tcW w:w="1116" w:type="dxa"/>
            <w:tcBorders>
              <w:top w:val="nil"/>
              <w:left w:val="nil"/>
              <w:bottom w:val="single" w:color="auto" w:sz="8" w:space="0"/>
              <w:right w:val="single" w:color="auto" w:sz="8" w:space="0"/>
            </w:tcBorders>
            <w:vAlign w:val="center"/>
          </w:tcPr>
          <w:p w14:paraId="28D9A04A">
            <w:pPr>
              <w:widowControl/>
              <w:jc w:val="center"/>
              <w:rPr>
                <w:rFonts w:hint="eastAsia" w:ascii="宋体" w:hAnsi="宋体" w:cs="宋体"/>
                <w:kern w:val="0"/>
                <w:sz w:val="20"/>
                <w:szCs w:val="20"/>
              </w:rPr>
            </w:pPr>
            <w:r>
              <w:rPr>
                <w:rFonts w:hint="eastAsia" w:ascii="宋体" w:hAnsi="宋体" w:cs="宋体"/>
                <w:kern w:val="0"/>
                <w:sz w:val="20"/>
                <w:szCs w:val="20"/>
              </w:rPr>
              <w:t>★A020911视频设备</w:t>
            </w:r>
          </w:p>
        </w:tc>
        <w:tc>
          <w:tcPr>
            <w:tcW w:w="1516" w:type="dxa"/>
            <w:tcBorders>
              <w:top w:val="nil"/>
              <w:left w:val="nil"/>
              <w:bottom w:val="single" w:color="auto" w:sz="8" w:space="0"/>
              <w:right w:val="single" w:color="auto" w:sz="8" w:space="0"/>
            </w:tcBorders>
            <w:vAlign w:val="center"/>
          </w:tcPr>
          <w:p w14:paraId="3FE70F26">
            <w:pPr>
              <w:widowControl/>
              <w:jc w:val="center"/>
              <w:rPr>
                <w:rFonts w:hint="eastAsia" w:ascii="宋体" w:hAnsi="宋体" w:cs="宋体"/>
                <w:kern w:val="0"/>
                <w:sz w:val="20"/>
                <w:szCs w:val="20"/>
              </w:rPr>
            </w:pPr>
            <w:r>
              <w:rPr>
                <w:rFonts w:hint="eastAsia" w:ascii="宋体" w:hAnsi="宋体" w:cs="宋体"/>
                <w:kern w:val="0"/>
                <w:sz w:val="20"/>
                <w:szCs w:val="20"/>
              </w:rPr>
              <w:t>A02091107视频监控设备</w:t>
            </w:r>
          </w:p>
        </w:tc>
        <w:tc>
          <w:tcPr>
            <w:tcW w:w="1612" w:type="dxa"/>
            <w:tcBorders>
              <w:top w:val="nil"/>
              <w:left w:val="nil"/>
              <w:bottom w:val="single" w:color="auto" w:sz="8" w:space="0"/>
              <w:right w:val="single" w:color="auto" w:sz="8" w:space="0"/>
            </w:tcBorders>
            <w:vAlign w:val="center"/>
          </w:tcPr>
          <w:p w14:paraId="1E3CFD99">
            <w:pPr>
              <w:widowControl/>
              <w:jc w:val="center"/>
              <w:rPr>
                <w:rFonts w:hint="eastAsia" w:ascii="宋体" w:hAnsi="宋体" w:cs="宋体"/>
                <w:kern w:val="0"/>
                <w:sz w:val="20"/>
                <w:szCs w:val="20"/>
              </w:rPr>
            </w:pPr>
            <w:r>
              <w:rPr>
                <w:rFonts w:hint="eastAsia" w:ascii="宋体" w:hAnsi="宋体" w:cs="宋体"/>
                <w:kern w:val="0"/>
                <w:sz w:val="20"/>
                <w:szCs w:val="20"/>
              </w:rPr>
              <w:t>监视器</w:t>
            </w:r>
          </w:p>
        </w:tc>
        <w:tc>
          <w:tcPr>
            <w:tcW w:w="4700" w:type="dxa"/>
            <w:tcBorders>
              <w:top w:val="nil"/>
              <w:left w:val="nil"/>
              <w:bottom w:val="single" w:color="auto" w:sz="8" w:space="0"/>
              <w:right w:val="single" w:color="auto" w:sz="8" w:space="0"/>
            </w:tcBorders>
            <w:vAlign w:val="center"/>
          </w:tcPr>
          <w:p w14:paraId="24D9936D">
            <w:pPr>
              <w:widowControl/>
              <w:jc w:val="left"/>
              <w:rPr>
                <w:rFonts w:hint="eastAsia" w:ascii="宋体" w:hAnsi="宋体" w:cs="宋体"/>
                <w:kern w:val="0"/>
                <w:sz w:val="20"/>
                <w:szCs w:val="20"/>
              </w:rPr>
            </w:pPr>
            <w:r>
              <w:rPr>
                <w:rFonts w:hint="eastAsia" w:ascii="宋体" w:hAnsi="宋体" w:cs="宋体"/>
                <w:kern w:val="0"/>
                <w:sz w:val="20"/>
                <w:szCs w:val="20"/>
              </w:rPr>
              <w:t>以射频信号为主要信号输入的监视器应符合《平板电视能效限定值及能效等级》（GB24850），以数字信号为主要信号输入的监视器应符合《计算机显示器能效限定值及能效等级》（GB21520）</w:t>
            </w:r>
          </w:p>
        </w:tc>
      </w:tr>
      <w:tr w14:paraId="168A9107">
        <w:tblPrEx>
          <w:tblCellMar>
            <w:top w:w="0" w:type="dxa"/>
            <w:left w:w="108" w:type="dxa"/>
            <w:bottom w:w="0" w:type="dxa"/>
            <w:right w:w="108" w:type="dxa"/>
          </w:tblCellMar>
        </w:tblPrEx>
        <w:trPr>
          <w:trHeight w:val="495" w:hRule="atLeast"/>
        </w:trPr>
        <w:tc>
          <w:tcPr>
            <w:tcW w:w="641" w:type="dxa"/>
            <w:tcBorders>
              <w:top w:val="nil"/>
              <w:left w:val="single" w:color="auto" w:sz="8" w:space="0"/>
              <w:bottom w:val="single" w:color="auto" w:sz="8" w:space="0"/>
              <w:right w:val="single" w:color="auto" w:sz="8" w:space="0"/>
            </w:tcBorders>
            <w:vAlign w:val="center"/>
          </w:tcPr>
          <w:p w14:paraId="0421B9FD">
            <w:pPr>
              <w:widowControl/>
              <w:jc w:val="center"/>
              <w:rPr>
                <w:rFonts w:hint="eastAsia" w:ascii="宋体" w:hAnsi="宋体" w:cs="宋体"/>
                <w:kern w:val="0"/>
                <w:sz w:val="20"/>
                <w:szCs w:val="20"/>
              </w:rPr>
            </w:pPr>
            <w:r>
              <w:rPr>
                <w:rFonts w:hint="eastAsia" w:ascii="宋体" w:hAnsi="宋体" w:cs="宋体"/>
                <w:kern w:val="0"/>
                <w:sz w:val="20"/>
                <w:szCs w:val="20"/>
              </w:rPr>
              <w:t>14</w:t>
            </w:r>
          </w:p>
        </w:tc>
        <w:tc>
          <w:tcPr>
            <w:tcW w:w="1116" w:type="dxa"/>
            <w:tcBorders>
              <w:top w:val="nil"/>
              <w:left w:val="nil"/>
              <w:bottom w:val="single" w:color="auto" w:sz="8" w:space="0"/>
              <w:right w:val="single" w:color="auto" w:sz="8" w:space="0"/>
            </w:tcBorders>
            <w:vAlign w:val="center"/>
          </w:tcPr>
          <w:p w14:paraId="1CE8CF3E">
            <w:pPr>
              <w:widowControl/>
              <w:jc w:val="center"/>
              <w:rPr>
                <w:rFonts w:hint="eastAsia" w:ascii="宋体" w:hAnsi="宋体" w:cs="宋体"/>
                <w:kern w:val="0"/>
                <w:sz w:val="20"/>
                <w:szCs w:val="20"/>
              </w:rPr>
            </w:pPr>
            <w:r>
              <w:rPr>
                <w:rFonts w:hint="eastAsia" w:ascii="宋体" w:hAnsi="宋体" w:cs="宋体"/>
                <w:kern w:val="0"/>
                <w:sz w:val="20"/>
                <w:szCs w:val="20"/>
              </w:rPr>
              <w:t>A031210饮食炊事机械</w:t>
            </w:r>
          </w:p>
        </w:tc>
        <w:tc>
          <w:tcPr>
            <w:tcW w:w="1516" w:type="dxa"/>
            <w:tcBorders>
              <w:top w:val="nil"/>
              <w:left w:val="nil"/>
              <w:bottom w:val="single" w:color="auto" w:sz="8" w:space="0"/>
              <w:right w:val="single" w:color="auto" w:sz="8" w:space="0"/>
            </w:tcBorders>
            <w:vAlign w:val="center"/>
          </w:tcPr>
          <w:p w14:paraId="2A633712">
            <w:pPr>
              <w:widowControl/>
              <w:jc w:val="center"/>
              <w:rPr>
                <w:rFonts w:hint="eastAsia" w:ascii="宋体" w:hAnsi="宋体" w:cs="宋体"/>
                <w:kern w:val="0"/>
                <w:sz w:val="20"/>
                <w:szCs w:val="20"/>
              </w:rPr>
            </w:pPr>
            <w:r>
              <w:rPr>
                <w:rFonts w:hint="eastAsia" w:ascii="宋体" w:hAnsi="宋体" w:cs="宋体"/>
                <w:kern w:val="0"/>
                <w:sz w:val="20"/>
                <w:szCs w:val="20"/>
              </w:rPr>
              <w:t>商用燃气灶具</w:t>
            </w:r>
          </w:p>
        </w:tc>
        <w:tc>
          <w:tcPr>
            <w:tcW w:w="1612" w:type="dxa"/>
            <w:tcBorders>
              <w:top w:val="nil"/>
              <w:left w:val="nil"/>
              <w:bottom w:val="single" w:color="auto" w:sz="8" w:space="0"/>
              <w:right w:val="single" w:color="auto" w:sz="8" w:space="0"/>
            </w:tcBorders>
            <w:vAlign w:val="center"/>
          </w:tcPr>
          <w:p w14:paraId="3B447432">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4700" w:type="dxa"/>
            <w:tcBorders>
              <w:top w:val="nil"/>
              <w:left w:val="nil"/>
              <w:bottom w:val="single" w:color="auto" w:sz="8" w:space="0"/>
              <w:right w:val="single" w:color="auto" w:sz="8" w:space="0"/>
            </w:tcBorders>
            <w:vAlign w:val="center"/>
          </w:tcPr>
          <w:p w14:paraId="4C2A8704">
            <w:pPr>
              <w:widowControl/>
              <w:jc w:val="left"/>
              <w:rPr>
                <w:rFonts w:hint="eastAsia" w:ascii="宋体" w:hAnsi="宋体" w:cs="宋体"/>
                <w:kern w:val="0"/>
                <w:sz w:val="20"/>
                <w:szCs w:val="20"/>
              </w:rPr>
            </w:pPr>
            <w:r>
              <w:rPr>
                <w:rFonts w:hint="eastAsia" w:ascii="宋体" w:hAnsi="宋体" w:cs="宋体"/>
                <w:kern w:val="0"/>
                <w:sz w:val="20"/>
                <w:szCs w:val="20"/>
              </w:rPr>
              <w:t>《商用燃气灶具能效限定值及能效等级》（GB30531）</w:t>
            </w:r>
          </w:p>
        </w:tc>
      </w:tr>
      <w:tr w14:paraId="7930F42E">
        <w:tblPrEx>
          <w:tblCellMar>
            <w:top w:w="0" w:type="dxa"/>
            <w:left w:w="108" w:type="dxa"/>
            <w:bottom w:w="0" w:type="dxa"/>
            <w:right w:w="108" w:type="dxa"/>
          </w:tblCellMar>
        </w:tblPrEx>
        <w:trPr>
          <w:trHeight w:val="285" w:hRule="atLeast"/>
        </w:trPr>
        <w:tc>
          <w:tcPr>
            <w:tcW w:w="641" w:type="dxa"/>
            <w:vMerge w:val="restart"/>
            <w:tcBorders>
              <w:top w:val="nil"/>
              <w:left w:val="single" w:color="auto" w:sz="8" w:space="0"/>
              <w:bottom w:val="single" w:color="auto" w:sz="8" w:space="0"/>
              <w:right w:val="single" w:color="auto" w:sz="8" w:space="0"/>
            </w:tcBorders>
            <w:vAlign w:val="center"/>
          </w:tcPr>
          <w:p w14:paraId="5CEA7496">
            <w:pPr>
              <w:widowControl/>
              <w:jc w:val="center"/>
              <w:rPr>
                <w:rFonts w:hint="eastAsia" w:ascii="宋体" w:hAnsi="宋体" w:cs="宋体"/>
                <w:kern w:val="0"/>
                <w:sz w:val="20"/>
                <w:szCs w:val="20"/>
              </w:rPr>
            </w:pPr>
            <w:r>
              <w:rPr>
                <w:rFonts w:hint="eastAsia" w:ascii="宋体" w:hAnsi="宋体" w:cs="宋体"/>
                <w:kern w:val="0"/>
                <w:sz w:val="20"/>
                <w:szCs w:val="20"/>
              </w:rPr>
              <w:t>15</w:t>
            </w:r>
          </w:p>
        </w:tc>
        <w:tc>
          <w:tcPr>
            <w:tcW w:w="1116" w:type="dxa"/>
            <w:vMerge w:val="restart"/>
            <w:tcBorders>
              <w:top w:val="nil"/>
              <w:left w:val="single" w:color="auto" w:sz="8" w:space="0"/>
              <w:bottom w:val="single" w:color="000000" w:sz="8" w:space="0"/>
              <w:right w:val="single" w:color="auto" w:sz="8" w:space="0"/>
            </w:tcBorders>
            <w:vAlign w:val="center"/>
          </w:tcPr>
          <w:p w14:paraId="29877D6E">
            <w:pPr>
              <w:widowControl/>
              <w:jc w:val="center"/>
              <w:rPr>
                <w:rFonts w:hint="eastAsia" w:ascii="宋体" w:hAnsi="宋体" w:cs="宋体"/>
                <w:kern w:val="0"/>
                <w:sz w:val="20"/>
                <w:szCs w:val="20"/>
              </w:rPr>
            </w:pPr>
            <w:r>
              <w:rPr>
                <w:rFonts w:hint="eastAsia" w:ascii="宋体" w:hAnsi="宋体" w:cs="宋体"/>
                <w:kern w:val="0"/>
                <w:sz w:val="20"/>
                <w:szCs w:val="20"/>
              </w:rPr>
              <w:t>★A060805便器</w:t>
            </w:r>
          </w:p>
        </w:tc>
        <w:tc>
          <w:tcPr>
            <w:tcW w:w="1516" w:type="dxa"/>
            <w:tcBorders>
              <w:top w:val="nil"/>
              <w:left w:val="nil"/>
              <w:bottom w:val="single" w:color="auto" w:sz="8" w:space="0"/>
              <w:right w:val="single" w:color="auto" w:sz="8" w:space="0"/>
            </w:tcBorders>
            <w:vAlign w:val="center"/>
          </w:tcPr>
          <w:p w14:paraId="4DE39DC2">
            <w:pPr>
              <w:widowControl/>
              <w:jc w:val="center"/>
              <w:rPr>
                <w:rFonts w:hint="eastAsia" w:ascii="宋体" w:hAnsi="宋体" w:cs="宋体"/>
                <w:kern w:val="0"/>
                <w:sz w:val="20"/>
                <w:szCs w:val="20"/>
              </w:rPr>
            </w:pPr>
            <w:r>
              <w:rPr>
                <w:rFonts w:hint="eastAsia" w:ascii="宋体" w:hAnsi="宋体" w:cs="宋体"/>
                <w:kern w:val="0"/>
                <w:sz w:val="20"/>
                <w:szCs w:val="20"/>
              </w:rPr>
              <w:t>坐便器</w:t>
            </w:r>
          </w:p>
        </w:tc>
        <w:tc>
          <w:tcPr>
            <w:tcW w:w="1612" w:type="dxa"/>
            <w:tcBorders>
              <w:top w:val="nil"/>
              <w:left w:val="nil"/>
              <w:bottom w:val="single" w:color="auto" w:sz="8" w:space="0"/>
              <w:right w:val="single" w:color="auto" w:sz="8" w:space="0"/>
            </w:tcBorders>
            <w:vAlign w:val="center"/>
          </w:tcPr>
          <w:p w14:paraId="3027E92E">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4700" w:type="dxa"/>
            <w:tcBorders>
              <w:top w:val="nil"/>
              <w:left w:val="nil"/>
              <w:bottom w:val="single" w:color="auto" w:sz="8" w:space="0"/>
              <w:right w:val="single" w:color="auto" w:sz="8" w:space="0"/>
            </w:tcBorders>
            <w:vAlign w:val="center"/>
          </w:tcPr>
          <w:p w14:paraId="06294B0D">
            <w:pPr>
              <w:widowControl/>
              <w:jc w:val="left"/>
              <w:rPr>
                <w:rFonts w:hint="eastAsia" w:ascii="宋体" w:hAnsi="宋体" w:cs="宋体"/>
                <w:kern w:val="0"/>
                <w:sz w:val="20"/>
                <w:szCs w:val="20"/>
              </w:rPr>
            </w:pPr>
            <w:r>
              <w:rPr>
                <w:rFonts w:hint="eastAsia" w:ascii="宋体" w:hAnsi="宋体" w:cs="宋体"/>
                <w:kern w:val="0"/>
                <w:sz w:val="20"/>
                <w:szCs w:val="20"/>
              </w:rPr>
              <w:t>《坐便器水效限定值及水效等级》（GB25502）</w:t>
            </w:r>
          </w:p>
        </w:tc>
      </w:tr>
      <w:tr w14:paraId="28C9A7DB">
        <w:tblPrEx>
          <w:tblCellMar>
            <w:top w:w="0" w:type="dxa"/>
            <w:left w:w="108" w:type="dxa"/>
            <w:bottom w:w="0" w:type="dxa"/>
            <w:right w:w="108" w:type="dxa"/>
          </w:tblCellMar>
        </w:tblPrEx>
        <w:trPr>
          <w:trHeight w:val="495" w:hRule="atLeast"/>
        </w:trPr>
        <w:tc>
          <w:tcPr>
            <w:tcW w:w="0" w:type="auto"/>
            <w:vMerge w:val="continue"/>
            <w:tcBorders>
              <w:top w:val="nil"/>
              <w:left w:val="single" w:color="auto" w:sz="8" w:space="0"/>
              <w:bottom w:val="single" w:color="auto" w:sz="8" w:space="0"/>
              <w:right w:val="single" w:color="auto" w:sz="8" w:space="0"/>
            </w:tcBorders>
            <w:vAlign w:val="center"/>
          </w:tcPr>
          <w:p w14:paraId="66148D55">
            <w:pPr>
              <w:widowControl/>
              <w:jc w:val="left"/>
              <w:rPr>
                <w:rFonts w:hint="eastAsia" w:ascii="宋体" w:hAnsi="宋体" w:cs="宋体"/>
                <w:kern w:val="0"/>
                <w:sz w:val="20"/>
                <w:szCs w:val="20"/>
              </w:rPr>
            </w:pPr>
          </w:p>
        </w:tc>
        <w:tc>
          <w:tcPr>
            <w:tcW w:w="0" w:type="auto"/>
            <w:vMerge w:val="continue"/>
            <w:tcBorders>
              <w:top w:val="nil"/>
              <w:left w:val="single" w:color="auto" w:sz="8" w:space="0"/>
              <w:bottom w:val="single" w:color="000000" w:sz="8" w:space="0"/>
              <w:right w:val="single" w:color="auto" w:sz="8" w:space="0"/>
            </w:tcBorders>
            <w:vAlign w:val="center"/>
          </w:tcPr>
          <w:p w14:paraId="3D7EE333">
            <w:pPr>
              <w:widowControl/>
              <w:jc w:val="left"/>
              <w:rPr>
                <w:rFonts w:hint="eastAsia" w:ascii="宋体" w:hAnsi="宋体" w:cs="宋体"/>
                <w:kern w:val="0"/>
                <w:sz w:val="20"/>
                <w:szCs w:val="20"/>
              </w:rPr>
            </w:pPr>
          </w:p>
        </w:tc>
        <w:tc>
          <w:tcPr>
            <w:tcW w:w="1516" w:type="dxa"/>
            <w:tcBorders>
              <w:top w:val="nil"/>
              <w:left w:val="nil"/>
              <w:bottom w:val="single" w:color="auto" w:sz="8" w:space="0"/>
              <w:right w:val="single" w:color="auto" w:sz="8" w:space="0"/>
            </w:tcBorders>
            <w:vAlign w:val="center"/>
          </w:tcPr>
          <w:p w14:paraId="47DEF5E4">
            <w:pPr>
              <w:widowControl/>
              <w:jc w:val="center"/>
              <w:rPr>
                <w:rFonts w:hint="eastAsia" w:ascii="宋体" w:hAnsi="宋体" w:cs="宋体"/>
                <w:kern w:val="0"/>
                <w:sz w:val="20"/>
                <w:szCs w:val="20"/>
              </w:rPr>
            </w:pPr>
            <w:r>
              <w:rPr>
                <w:rFonts w:hint="eastAsia" w:ascii="宋体" w:hAnsi="宋体" w:cs="宋体"/>
                <w:kern w:val="0"/>
                <w:sz w:val="20"/>
                <w:szCs w:val="20"/>
              </w:rPr>
              <w:t>蹲便器</w:t>
            </w:r>
          </w:p>
        </w:tc>
        <w:tc>
          <w:tcPr>
            <w:tcW w:w="1612" w:type="dxa"/>
            <w:tcBorders>
              <w:top w:val="nil"/>
              <w:left w:val="nil"/>
              <w:bottom w:val="single" w:color="auto" w:sz="8" w:space="0"/>
              <w:right w:val="single" w:color="auto" w:sz="8" w:space="0"/>
            </w:tcBorders>
            <w:vAlign w:val="center"/>
          </w:tcPr>
          <w:p w14:paraId="4F8C07EA">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4700" w:type="dxa"/>
            <w:tcBorders>
              <w:top w:val="nil"/>
              <w:left w:val="nil"/>
              <w:bottom w:val="single" w:color="auto" w:sz="8" w:space="0"/>
              <w:right w:val="single" w:color="auto" w:sz="8" w:space="0"/>
            </w:tcBorders>
            <w:vAlign w:val="center"/>
          </w:tcPr>
          <w:p w14:paraId="4A187EEA">
            <w:pPr>
              <w:widowControl/>
              <w:jc w:val="left"/>
              <w:rPr>
                <w:rFonts w:hint="eastAsia" w:ascii="宋体" w:hAnsi="宋体" w:cs="宋体"/>
                <w:kern w:val="0"/>
                <w:sz w:val="20"/>
                <w:szCs w:val="20"/>
              </w:rPr>
            </w:pPr>
            <w:r>
              <w:rPr>
                <w:rFonts w:hint="eastAsia" w:ascii="宋体" w:hAnsi="宋体" w:cs="宋体"/>
                <w:kern w:val="0"/>
                <w:sz w:val="20"/>
                <w:szCs w:val="20"/>
              </w:rPr>
              <w:t>《蹲便器用水效率限定值及用水效率等级》（GB30717）</w:t>
            </w:r>
          </w:p>
        </w:tc>
      </w:tr>
      <w:tr w14:paraId="22388AE7">
        <w:tblPrEx>
          <w:tblCellMar>
            <w:top w:w="0" w:type="dxa"/>
            <w:left w:w="108" w:type="dxa"/>
            <w:bottom w:w="0" w:type="dxa"/>
            <w:right w:w="108" w:type="dxa"/>
          </w:tblCellMar>
        </w:tblPrEx>
        <w:trPr>
          <w:trHeight w:val="495" w:hRule="atLeast"/>
        </w:trPr>
        <w:tc>
          <w:tcPr>
            <w:tcW w:w="0" w:type="auto"/>
            <w:vMerge w:val="continue"/>
            <w:tcBorders>
              <w:top w:val="nil"/>
              <w:left w:val="single" w:color="auto" w:sz="8" w:space="0"/>
              <w:bottom w:val="single" w:color="auto" w:sz="8" w:space="0"/>
              <w:right w:val="single" w:color="auto" w:sz="8" w:space="0"/>
            </w:tcBorders>
            <w:vAlign w:val="center"/>
          </w:tcPr>
          <w:p w14:paraId="5B395606">
            <w:pPr>
              <w:widowControl/>
              <w:jc w:val="left"/>
              <w:rPr>
                <w:rFonts w:hint="eastAsia" w:ascii="宋体" w:hAnsi="宋体" w:cs="宋体"/>
                <w:kern w:val="0"/>
                <w:sz w:val="20"/>
                <w:szCs w:val="20"/>
              </w:rPr>
            </w:pPr>
          </w:p>
        </w:tc>
        <w:tc>
          <w:tcPr>
            <w:tcW w:w="0" w:type="auto"/>
            <w:vMerge w:val="continue"/>
            <w:tcBorders>
              <w:top w:val="nil"/>
              <w:left w:val="single" w:color="auto" w:sz="8" w:space="0"/>
              <w:bottom w:val="single" w:color="000000" w:sz="8" w:space="0"/>
              <w:right w:val="single" w:color="auto" w:sz="8" w:space="0"/>
            </w:tcBorders>
            <w:vAlign w:val="center"/>
          </w:tcPr>
          <w:p w14:paraId="41A5F960">
            <w:pPr>
              <w:widowControl/>
              <w:jc w:val="left"/>
              <w:rPr>
                <w:rFonts w:hint="eastAsia" w:ascii="宋体" w:hAnsi="宋体" w:cs="宋体"/>
                <w:kern w:val="0"/>
                <w:sz w:val="20"/>
                <w:szCs w:val="20"/>
              </w:rPr>
            </w:pPr>
          </w:p>
        </w:tc>
        <w:tc>
          <w:tcPr>
            <w:tcW w:w="1516" w:type="dxa"/>
            <w:tcBorders>
              <w:top w:val="nil"/>
              <w:left w:val="nil"/>
              <w:bottom w:val="single" w:color="auto" w:sz="8" w:space="0"/>
              <w:right w:val="single" w:color="auto" w:sz="8" w:space="0"/>
            </w:tcBorders>
            <w:vAlign w:val="center"/>
          </w:tcPr>
          <w:p w14:paraId="175C9F82">
            <w:pPr>
              <w:widowControl/>
              <w:jc w:val="center"/>
              <w:rPr>
                <w:rFonts w:hint="eastAsia" w:ascii="宋体" w:hAnsi="宋体" w:cs="宋体"/>
                <w:kern w:val="0"/>
                <w:sz w:val="20"/>
                <w:szCs w:val="20"/>
              </w:rPr>
            </w:pPr>
            <w:r>
              <w:rPr>
                <w:rFonts w:hint="eastAsia" w:ascii="宋体" w:hAnsi="宋体" w:cs="宋体"/>
                <w:kern w:val="0"/>
                <w:sz w:val="20"/>
                <w:szCs w:val="20"/>
              </w:rPr>
              <w:t>小便器</w:t>
            </w:r>
          </w:p>
        </w:tc>
        <w:tc>
          <w:tcPr>
            <w:tcW w:w="1612" w:type="dxa"/>
            <w:tcBorders>
              <w:top w:val="nil"/>
              <w:left w:val="nil"/>
              <w:bottom w:val="single" w:color="auto" w:sz="8" w:space="0"/>
              <w:right w:val="single" w:color="auto" w:sz="8" w:space="0"/>
            </w:tcBorders>
            <w:vAlign w:val="center"/>
          </w:tcPr>
          <w:p w14:paraId="57600A94">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4700" w:type="dxa"/>
            <w:tcBorders>
              <w:top w:val="nil"/>
              <w:left w:val="nil"/>
              <w:bottom w:val="single" w:color="auto" w:sz="8" w:space="0"/>
              <w:right w:val="single" w:color="auto" w:sz="8" w:space="0"/>
            </w:tcBorders>
            <w:vAlign w:val="center"/>
          </w:tcPr>
          <w:p w14:paraId="1A82AD21">
            <w:pPr>
              <w:widowControl/>
              <w:jc w:val="left"/>
              <w:rPr>
                <w:rFonts w:hint="eastAsia" w:ascii="宋体" w:hAnsi="宋体" w:cs="宋体"/>
                <w:kern w:val="0"/>
                <w:sz w:val="20"/>
                <w:szCs w:val="20"/>
              </w:rPr>
            </w:pPr>
            <w:r>
              <w:rPr>
                <w:rFonts w:hint="eastAsia" w:ascii="宋体" w:hAnsi="宋体" w:cs="宋体"/>
                <w:kern w:val="0"/>
                <w:sz w:val="20"/>
                <w:szCs w:val="20"/>
              </w:rPr>
              <w:t>《小便器用水效率限定值及用水效率等级》（GB28377）</w:t>
            </w:r>
          </w:p>
        </w:tc>
      </w:tr>
      <w:tr w14:paraId="44ABFBB6">
        <w:tblPrEx>
          <w:tblCellMar>
            <w:top w:w="0" w:type="dxa"/>
            <w:left w:w="108" w:type="dxa"/>
            <w:bottom w:w="0" w:type="dxa"/>
            <w:right w:w="108" w:type="dxa"/>
          </w:tblCellMar>
        </w:tblPrEx>
        <w:trPr>
          <w:trHeight w:val="495" w:hRule="atLeast"/>
        </w:trPr>
        <w:tc>
          <w:tcPr>
            <w:tcW w:w="641" w:type="dxa"/>
            <w:tcBorders>
              <w:top w:val="nil"/>
              <w:left w:val="single" w:color="000000" w:sz="8" w:space="0"/>
              <w:bottom w:val="single" w:color="000000" w:sz="8" w:space="0"/>
              <w:right w:val="single" w:color="000000" w:sz="8" w:space="0"/>
            </w:tcBorders>
            <w:vAlign w:val="center"/>
          </w:tcPr>
          <w:p w14:paraId="6E35976F">
            <w:pPr>
              <w:widowControl/>
              <w:jc w:val="center"/>
              <w:rPr>
                <w:rFonts w:hint="eastAsia" w:ascii="宋体" w:hAnsi="宋体" w:cs="宋体"/>
                <w:kern w:val="0"/>
                <w:sz w:val="20"/>
                <w:szCs w:val="20"/>
              </w:rPr>
            </w:pPr>
            <w:r>
              <w:rPr>
                <w:rFonts w:hint="eastAsia" w:ascii="宋体" w:hAnsi="宋体" w:cs="宋体"/>
                <w:kern w:val="0"/>
                <w:sz w:val="20"/>
                <w:szCs w:val="20"/>
              </w:rPr>
              <w:t>16</w:t>
            </w:r>
          </w:p>
        </w:tc>
        <w:tc>
          <w:tcPr>
            <w:tcW w:w="1116" w:type="dxa"/>
            <w:tcBorders>
              <w:top w:val="nil"/>
              <w:left w:val="nil"/>
              <w:bottom w:val="single" w:color="000000" w:sz="8" w:space="0"/>
              <w:right w:val="single" w:color="000000" w:sz="8" w:space="0"/>
            </w:tcBorders>
            <w:vAlign w:val="center"/>
          </w:tcPr>
          <w:p w14:paraId="18FF5D29">
            <w:pPr>
              <w:widowControl/>
              <w:jc w:val="center"/>
              <w:rPr>
                <w:rFonts w:hint="eastAsia" w:ascii="宋体" w:hAnsi="宋体" w:cs="宋体"/>
                <w:kern w:val="0"/>
                <w:sz w:val="20"/>
                <w:szCs w:val="20"/>
              </w:rPr>
            </w:pPr>
            <w:r>
              <w:rPr>
                <w:rFonts w:hint="eastAsia" w:ascii="宋体" w:hAnsi="宋体" w:cs="宋体"/>
                <w:kern w:val="0"/>
                <w:sz w:val="20"/>
                <w:szCs w:val="20"/>
              </w:rPr>
              <w:t>★A060806水嘴</w:t>
            </w:r>
          </w:p>
        </w:tc>
        <w:tc>
          <w:tcPr>
            <w:tcW w:w="1516" w:type="dxa"/>
            <w:tcBorders>
              <w:top w:val="nil"/>
              <w:left w:val="nil"/>
              <w:bottom w:val="single" w:color="000000" w:sz="8" w:space="0"/>
              <w:right w:val="single" w:color="000000" w:sz="8" w:space="0"/>
            </w:tcBorders>
            <w:vAlign w:val="center"/>
          </w:tcPr>
          <w:p w14:paraId="17A5ADA9">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1612" w:type="dxa"/>
            <w:tcBorders>
              <w:top w:val="nil"/>
              <w:left w:val="nil"/>
              <w:bottom w:val="single" w:color="000000" w:sz="8" w:space="0"/>
              <w:right w:val="single" w:color="000000" w:sz="8" w:space="0"/>
            </w:tcBorders>
            <w:vAlign w:val="center"/>
          </w:tcPr>
          <w:p w14:paraId="4A03F5F9">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4700" w:type="dxa"/>
            <w:tcBorders>
              <w:top w:val="nil"/>
              <w:left w:val="nil"/>
              <w:bottom w:val="single" w:color="000000" w:sz="8" w:space="0"/>
              <w:right w:val="single" w:color="000000" w:sz="8" w:space="0"/>
            </w:tcBorders>
            <w:vAlign w:val="center"/>
          </w:tcPr>
          <w:p w14:paraId="15003989">
            <w:pPr>
              <w:widowControl/>
              <w:jc w:val="left"/>
              <w:rPr>
                <w:rFonts w:hint="eastAsia" w:ascii="宋体" w:hAnsi="宋体" w:cs="宋体"/>
                <w:kern w:val="0"/>
                <w:sz w:val="20"/>
                <w:szCs w:val="20"/>
              </w:rPr>
            </w:pPr>
            <w:r>
              <w:rPr>
                <w:rFonts w:hint="eastAsia" w:ascii="宋体" w:hAnsi="宋体" w:cs="宋体"/>
                <w:kern w:val="0"/>
                <w:sz w:val="20"/>
                <w:szCs w:val="20"/>
              </w:rPr>
              <w:t>《水嘴用水效率限定值及用水效率等级》（GB 25501）</w:t>
            </w:r>
          </w:p>
        </w:tc>
      </w:tr>
      <w:tr w14:paraId="27F28608">
        <w:tblPrEx>
          <w:tblCellMar>
            <w:top w:w="0" w:type="dxa"/>
            <w:left w:w="108" w:type="dxa"/>
            <w:bottom w:w="0" w:type="dxa"/>
            <w:right w:w="108" w:type="dxa"/>
          </w:tblCellMar>
        </w:tblPrEx>
        <w:trPr>
          <w:trHeight w:val="495" w:hRule="atLeast"/>
        </w:trPr>
        <w:tc>
          <w:tcPr>
            <w:tcW w:w="641" w:type="dxa"/>
            <w:tcBorders>
              <w:top w:val="nil"/>
              <w:left w:val="single" w:color="000000" w:sz="8" w:space="0"/>
              <w:bottom w:val="single" w:color="000000" w:sz="8" w:space="0"/>
              <w:right w:val="single" w:color="000000" w:sz="8" w:space="0"/>
            </w:tcBorders>
            <w:vAlign w:val="center"/>
          </w:tcPr>
          <w:p w14:paraId="14E43EC6">
            <w:pPr>
              <w:widowControl/>
              <w:jc w:val="center"/>
              <w:rPr>
                <w:rFonts w:hint="eastAsia" w:ascii="宋体" w:hAnsi="宋体" w:cs="宋体"/>
                <w:kern w:val="0"/>
                <w:sz w:val="20"/>
                <w:szCs w:val="20"/>
              </w:rPr>
            </w:pPr>
            <w:r>
              <w:rPr>
                <w:rFonts w:hint="eastAsia" w:ascii="宋体" w:hAnsi="宋体" w:cs="宋体"/>
                <w:kern w:val="0"/>
                <w:sz w:val="20"/>
                <w:szCs w:val="20"/>
              </w:rPr>
              <w:t>17</w:t>
            </w:r>
          </w:p>
        </w:tc>
        <w:tc>
          <w:tcPr>
            <w:tcW w:w="1116" w:type="dxa"/>
            <w:tcBorders>
              <w:top w:val="nil"/>
              <w:left w:val="nil"/>
              <w:bottom w:val="single" w:color="000000" w:sz="8" w:space="0"/>
              <w:right w:val="single" w:color="000000" w:sz="8" w:space="0"/>
            </w:tcBorders>
            <w:vAlign w:val="center"/>
          </w:tcPr>
          <w:p w14:paraId="1348FA9D">
            <w:pPr>
              <w:widowControl/>
              <w:jc w:val="center"/>
              <w:rPr>
                <w:rFonts w:hint="eastAsia" w:ascii="宋体" w:hAnsi="宋体" w:cs="宋体"/>
                <w:kern w:val="0"/>
                <w:sz w:val="20"/>
                <w:szCs w:val="20"/>
              </w:rPr>
            </w:pPr>
            <w:r>
              <w:rPr>
                <w:rFonts w:hint="eastAsia" w:ascii="宋体" w:hAnsi="宋体" w:cs="宋体"/>
                <w:kern w:val="0"/>
                <w:sz w:val="20"/>
                <w:szCs w:val="20"/>
              </w:rPr>
              <w:t>A060807便器冲洗阀</w:t>
            </w:r>
          </w:p>
        </w:tc>
        <w:tc>
          <w:tcPr>
            <w:tcW w:w="1516" w:type="dxa"/>
            <w:tcBorders>
              <w:top w:val="nil"/>
              <w:left w:val="nil"/>
              <w:bottom w:val="single" w:color="000000" w:sz="8" w:space="0"/>
              <w:right w:val="single" w:color="000000" w:sz="8" w:space="0"/>
            </w:tcBorders>
            <w:vAlign w:val="center"/>
          </w:tcPr>
          <w:p w14:paraId="71C313DA">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1612" w:type="dxa"/>
            <w:tcBorders>
              <w:top w:val="nil"/>
              <w:left w:val="nil"/>
              <w:bottom w:val="single" w:color="000000" w:sz="8" w:space="0"/>
              <w:right w:val="single" w:color="000000" w:sz="8" w:space="0"/>
            </w:tcBorders>
            <w:vAlign w:val="center"/>
          </w:tcPr>
          <w:p w14:paraId="63DD8296">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4700" w:type="dxa"/>
            <w:tcBorders>
              <w:top w:val="nil"/>
              <w:left w:val="nil"/>
              <w:bottom w:val="single" w:color="000000" w:sz="8" w:space="0"/>
              <w:right w:val="single" w:color="000000" w:sz="8" w:space="0"/>
            </w:tcBorders>
            <w:vAlign w:val="center"/>
          </w:tcPr>
          <w:p w14:paraId="43E7A004">
            <w:pPr>
              <w:widowControl/>
              <w:jc w:val="left"/>
              <w:rPr>
                <w:rFonts w:hint="eastAsia" w:ascii="宋体" w:hAnsi="宋体" w:cs="宋体"/>
                <w:kern w:val="0"/>
                <w:sz w:val="20"/>
                <w:szCs w:val="20"/>
              </w:rPr>
            </w:pPr>
            <w:r>
              <w:rPr>
                <w:rFonts w:hint="eastAsia" w:ascii="宋体" w:hAnsi="宋体" w:cs="宋体"/>
                <w:kern w:val="0"/>
                <w:sz w:val="20"/>
                <w:szCs w:val="20"/>
              </w:rPr>
              <w:t>《便器冲洗阀用水效率限定值及用水效率等级》（GB28379）</w:t>
            </w:r>
          </w:p>
        </w:tc>
      </w:tr>
      <w:tr w14:paraId="5ACE7F3B">
        <w:tblPrEx>
          <w:tblCellMar>
            <w:top w:w="0" w:type="dxa"/>
            <w:left w:w="108" w:type="dxa"/>
            <w:bottom w:w="0" w:type="dxa"/>
            <w:right w:w="108" w:type="dxa"/>
          </w:tblCellMar>
        </w:tblPrEx>
        <w:trPr>
          <w:trHeight w:val="495" w:hRule="atLeast"/>
        </w:trPr>
        <w:tc>
          <w:tcPr>
            <w:tcW w:w="641" w:type="dxa"/>
            <w:tcBorders>
              <w:top w:val="nil"/>
              <w:left w:val="single" w:color="000000" w:sz="8" w:space="0"/>
              <w:bottom w:val="single" w:color="000000" w:sz="8" w:space="0"/>
              <w:right w:val="single" w:color="000000" w:sz="8" w:space="0"/>
            </w:tcBorders>
            <w:vAlign w:val="center"/>
          </w:tcPr>
          <w:p w14:paraId="1E0CACD0">
            <w:pPr>
              <w:widowControl/>
              <w:jc w:val="center"/>
              <w:rPr>
                <w:rFonts w:hint="eastAsia" w:ascii="宋体" w:hAnsi="宋体" w:cs="宋体"/>
                <w:kern w:val="0"/>
                <w:sz w:val="20"/>
                <w:szCs w:val="20"/>
              </w:rPr>
            </w:pPr>
            <w:r>
              <w:rPr>
                <w:rFonts w:hint="eastAsia" w:ascii="宋体" w:hAnsi="宋体" w:cs="宋体"/>
                <w:kern w:val="0"/>
                <w:sz w:val="20"/>
                <w:szCs w:val="20"/>
              </w:rPr>
              <w:t>18</w:t>
            </w:r>
          </w:p>
        </w:tc>
        <w:tc>
          <w:tcPr>
            <w:tcW w:w="1116" w:type="dxa"/>
            <w:tcBorders>
              <w:top w:val="nil"/>
              <w:left w:val="nil"/>
              <w:bottom w:val="single" w:color="000000" w:sz="8" w:space="0"/>
              <w:right w:val="single" w:color="000000" w:sz="8" w:space="0"/>
            </w:tcBorders>
            <w:vAlign w:val="center"/>
          </w:tcPr>
          <w:p w14:paraId="674E5B1C">
            <w:pPr>
              <w:widowControl/>
              <w:jc w:val="center"/>
              <w:rPr>
                <w:rFonts w:hint="eastAsia" w:ascii="宋体" w:hAnsi="宋体" w:cs="宋体"/>
                <w:kern w:val="0"/>
                <w:sz w:val="20"/>
                <w:szCs w:val="20"/>
              </w:rPr>
            </w:pPr>
            <w:r>
              <w:rPr>
                <w:rFonts w:hint="eastAsia" w:ascii="宋体" w:hAnsi="宋体" w:cs="宋体"/>
                <w:kern w:val="0"/>
                <w:sz w:val="20"/>
                <w:szCs w:val="20"/>
              </w:rPr>
              <w:t>A060810淋浴器</w:t>
            </w:r>
          </w:p>
        </w:tc>
        <w:tc>
          <w:tcPr>
            <w:tcW w:w="1516" w:type="dxa"/>
            <w:tcBorders>
              <w:top w:val="nil"/>
              <w:left w:val="nil"/>
              <w:bottom w:val="single" w:color="000000" w:sz="8" w:space="0"/>
              <w:right w:val="single" w:color="000000" w:sz="8" w:space="0"/>
            </w:tcBorders>
            <w:vAlign w:val="center"/>
          </w:tcPr>
          <w:p w14:paraId="440A402D">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1612" w:type="dxa"/>
            <w:tcBorders>
              <w:top w:val="nil"/>
              <w:left w:val="nil"/>
              <w:bottom w:val="single" w:color="000000" w:sz="8" w:space="0"/>
              <w:right w:val="single" w:color="000000" w:sz="8" w:space="0"/>
            </w:tcBorders>
            <w:vAlign w:val="center"/>
          </w:tcPr>
          <w:p w14:paraId="584CD39D">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4700" w:type="dxa"/>
            <w:tcBorders>
              <w:top w:val="nil"/>
              <w:left w:val="nil"/>
              <w:bottom w:val="single" w:color="000000" w:sz="8" w:space="0"/>
              <w:right w:val="single" w:color="000000" w:sz="8" w:space="0"/>
            </w:tcBorders>
            <w:vAlign w:val="center"/>
          </w:tcPr>
          <w:p w14:paraId="165F2300">
            <w:pPr>
              <w:widowControl/>
              <w:jc w:val="left"/>
              <w:rPr>
                <w:rFonts w:hint="eastAsia" w:ascii="宋体" w:hAnsi="宋体" w:cs="宋体"/>
                <w:kern w:val="0"/>
                <w:sz w:val="20"/>
                <w:szCs w:val="20"/>
              </w:rPr>
            </w:pPr>
            <w:r>
              <w:rPr>
                <w:rFonts w:hint="eastAsia" w:ascii="宋体" w:hAnsi="宋体" w:cs="宋体"/>
                <w:kern w:val="0"/>
                <w:sz w:val="20"/>
                <w:szCs w:val="20"/>
              </w:rPr>
              <w:t>《淋浴器用水效率限定值及用水效率等级》（GB28378）</w:t>
            </w:r>
          </w:p>
        </w:tc>
      </w:tr>
    </w:tbl>
    <w:p w14:paraId="3EF3D82B">
      <w:pPr>
        <w:widowControl/>
        <w:rPr>
          <w:rFonts w:hint="eastAsia" w:ascii="宋体" w:hAnsi="宋体" w:cs="宋体"/>
          <w:sz w:val="20"/>
          <w:szCs w:val="20"/>
        </w:rPr>
      </w:pPr>
    </w:p>
    <w:p w14:paraId="2BB8CC61">
      <w:pPr>
        <w:pStyle w:val="12"/>
        <w:spacing w:line="360" w:lineRule="auto"/>
        <w:rPr>
          <w:rFonts w:hint="eastAsia" w:ascii="宋体" w:hAnsi="宋体"/>
          <w:szCs w:val="21"/>
        </w:rPr>
      </w:pPr>
      <w:r>
        <w:rPr>
          <w:rFonts w:hint="eastAsia"/>
          <w:spacing w:val="-3"/>
          <w:szCs w:val="21"/>
        </w:rPr>
        <w:t>注：</w:t>
      </w:r>
      <w:r>
        <w:rPr>
          <w:spacing w:val="-3"/>
          <w:szCs w:val="21"/>
        </w:rPr>
        <w:t>1.</w:t>
      </w:r>
      <w:r>
        <w:rPr>
          <w:rFonts w:hint="eastAsia"/>
          <w:spacing w:val="-3"/>
          <w:szCs w:val="21"/>
        </w:rPr>
        <w:t>节能产品认证应依据相关国家标准的最新版本，依据国家标准中二级能效（水效）</w:t>
      </w:r>
      <w:r>
        <w:rPr>
          <w:rFonts w:hint="eastAsia"/>
          <w:szCs w:val="21"/>
        </w:rPr>
        <w:t>指标。</w:t>
      </w:r>
    </w:p>
    <w:p w14:paraId="6B856826">
      <w:pPr>
        <w:pStyle w:val="12"/>
        <w:spacing w:line="360" w:lineRule="auto"/>
        <w:rPr>
          <w:b/>
          <w:bCs/>
          <w:szCs w:val="21"/>
        </w:rPr>
      </w:pPr>
      <w:r>
        <w:rPr>
          <w:rFonts w:hint="eastAsia" w:ascii="宋体" w:hAnsi="宋体"/>
          <w:szCs w:val="21"/>
        </w:rPr>
        <w:t xml:space="preserve">    </w:t>
      </w:r>
      <w:r>
        <w:rPr>
          <w:szCs w:val="21"/>
        </w:rPr>
        <w:t>2</w:t>
      </w:r>
      <w:r>
        <w:rPr>
          <w:b/>
          <w:bCs/>
          <w:szCs w:val="21"/>
        </w:rPr>
        <w:t>.</w:t>
      </w:r>
      <w:r>
        <w:rPr>
          <w:rFonts w:hint="eastAsia"/>
          <w:b/>
          <w:bCs/>
          <w:szCs w:val="21"/>
        </w:rPr>
        <w:t>以</w:t>
      </w:r>
      <w:r>
        <w:rPr>
          <w:b/>
          <w:bCs/>
          <w:szCs w:val="21"/>
        </w:rPr>
        <w:t>“</w:t>
      </w:r>
      <w:r>
        <w:rPr>
          <w:rFonts w:hint="eastAsia"/>
          <w:b/>
          <w:bCs/>
          <w:szCs w:val="21"/>
        </w:rPr>
        <w:t>★</w:t>
      </w:r>
      <w:r>
        <w:rPr>
          <w:b/>
          <w:bCs/>
          <w:szCs w:val="21"/>
        </w:rPr>
        <w:t>”</w:t>
      </w:r>
      <w:r>
        <w:rPr>
          <w:rFonts w:hint="eastAsia"/>
          <w:b/>
          <w:bCs/>
          <w:szCs w:val="21"/>
        </w:rPr>
        <w:t>标注的为政府强制采购产品。</w:t>
      </w:r>
    </w:p>
    <w:p w14:paraId="77F95B82">
      <w:pPr>
        <w:pStyle w:val="12"/>
        <w:spacing w:line="360" w:lineRule="auto"/>
        <w:rPr>
          <w:rFonts w:hint="eastAsia" w:ascii="宋体" w:hAnsi="宋体" w:cs="宋体"/>
          <w:color w:val="000000"/>
          <w:sz w:val="32"/>
          <w:szCs w:val="32"/>
        </w:rPr>
      </w:pPr>
      <w:r>
        <w:rPr>
          <w:rFonts w:hint="eastAsia" w:hAnsi="宋体"/>
        </w:rPr>
        <w:br w:type="page"/>
      </w:r>
      <w:r>
        <w:rPr>
          <w:rFonts w:hint="eastAsia" w:ascii="宋体" w:hAnsi="宋体" w:cs="宋体"/>
          <w:b/>
          <w:bCs/>
          <w:color w:val="000000"/>
          <w:sz w:val="32"/>
          <w:szCs w:val="32"/>
        </w:rPr>
        <w:t>附件3：</w:t>
      </w:r>
    </w:p>
    <w:p w14:paraId="34388509">
      <w:pPr>
        <w:spacing w:line="528" w:lineRule="exact"/>
        <w:jc w:val="center"/>
        <w:rPr>
          <w:rFonts w:hint="eastAsia" w:ascii="宋体" w:hAnsi="宋体" w:cs="宋体"/>
          <w:color w:val="000000"/>
          <w:sz w:val="40"/>
          <w:szCs w:val="40"/>
        </w:rPr>
      </w:pPr>
      <w:r>
        <w:rPr>
          <w:rFonts w:hint="eastAsia" w:ascii="宋体" w:hAnsi="宋体" w:cs="宋体"/>
          <w:color w:val="000000"/>
          <w:sz w:val="40"/>
          <w:szCs w:val="40"/>
        </w:rPr>
        <w:t>中小微企业划型标准</w:t>
      </w:r>
    </w:p>
    <w:tbl>
      <w:tblPr>
        <w:tblStyle w:val="24"/>
        <w:tblW w:w="0" w:type="auto"/>
        <w:tblInd w:w="250" w:type="dxa"/>
        <w:tblLayout w:type="fixed"/>
        <w:tblCellMar>
          <w:top w:w="0" w:type="dxa"/>
          <w:left w:w="108" w:type="dxa"/>
          <w:bottom w:w="0" w:type="dxa"/>
          <w:right w:w="108" w:type="dxa"/>
        </w:tblCellMar>
      </w:tblPr>
      <w:tblGrid>
        <w:gridCol w:w="1985"/>
        <w:gridCol w:w="1984"/>
        <w:gridCol w:w="851"/>
        <w:gridCol w:w="1842"/>
        <w:gridCol w:w="1701"/>
        <w:gridCol w:w="1134"/>
      </w:tblGrid>
      <w:tr w14:paraId="598B56CD">
        <w:tblPrEx>
          <w:tblCellMar>
            <w:top w:w="0" w:type="dxa"/>
            <w:left w:w="108" w:type="dxa"/>
            <w:bottom w:w="0" w:type="dxa"/>
            <w:right w:w="108" w:type="dxa"/>
          </w:tblCellMar>
        </w:tblPrEx>
        <w:trPr>
          <w:trHeight w:val="285" w:hRule="atLeast"/>
        </w:trPr>
        <w:tc>
          <w:tcPr>
            <w:tcW w:w="1985" w:type="dxa"/>
            <w:tcBorders>
              <w:top w:val="single" w:color="auto" w:sz="4" w:space="0"/>
              <w:left w:val="single" w:color="auto" w:sz="4" w:space="0"/>
              <w:bottom w:val="single" w:color="auto" w:sz="4" w:space="0"/>
              <w:right w:val="single" w:color="auto" w:sz="4" w:space="0"/>
            </w:tcBorders>
            <w:vAlign w:val="center"/>
          </w:tcPr>
          <w:p w14:paraId="77547904">
            <w:pPr>
              <w:widowControl/>
              <w:jc w:val="left"/>
              <w:rPr>
                <w:rFonts w:hint="eastAsia" w:ascii="宋体" w:hAnsi="宋体" w:cs="宋体"/>
                <w:b/>
                <w:color w:val="000000"/>
                <w:kern w:val="0"/>
                <w:sz w:val="24"/>
              </w:rPr>
            </w:pPr>
            <w:r>
              <w:rPr>
                <w:rFonts w:hint="eastAsia" w:ascii="宋体" w:hAnsi="宋体" w:cs="宋体"/>
                <w:b/>
                <w:color w:val="000000"/>
                <w:kern w:val="0"/>
                <w:sz w:val="24"/>
              </w:rPr>
              <w:t>行业名称</w:t>
            </w:r>
          </w:p>
        </w:tc>
        <w:tc>
          <w:tcPr>
            <w:tcW w:w="1984" w:type="dxa"/>
            <w:tcBorders>
              <w:top w:val="single" w:color="auto" w:sz="4" w:space="0"/>
              <w:left w:val="nil"/>
              <w:bottom w:val="single" w:color="auto" w:sz="4" w:space="0"/>
              <w:right w:val="single" w:color="auto" w:sz="4" w:space="0"/>
            </w:tcBorders>
            <w:vAlign w:val="center"/>
          </w:tcPr>
          <w:p w14:paraId="7EB38AFB">
            <w:pPr>
              <w:widowControl/>
              <w:jc w:val="left"/>
              <w:rPr>
                <w:rFonts w:hint="eastAsia" w:ascii="宋体" w:hAnsi="宋体" w:cs="宋体"/>
                <w:b/>
                <w:color w:val="000000"/>
                <w:kern w:val="0"/>
                <w:sz w:val="24"/>
              </w:rPr>
            </w:pPr>
            <w:r>
              <w:rPr>
                <w:rFonts w:hint="eastAsia" w:ascii="宋体" w:hAnsi="宋体" w:cs="宋体"/>
                <w:b/>
                <w:color w:val="000000"/>
                <w:kern w:val="0"/>
                <w:sz w:val="24"/>
              </w:rPr>
              <w:t>指标名称</w:t>
            </w:r>
          </w:p>
        </w:tc>
        <w:tc>
          <w:tcPr>
            <w:tcW w:w="851" w:type="dxa"/>
            <w:tcBorders>
              <w:top w:val="single" w:color="auto" w:sz="4" w:space="0"/>
              <w:left w:val="nil"/>
              <w:bottom w:val="single" w:color="auto" w:sz="4" w:space="0"/>
              <w:right w:val="single" w:color="auto" w:sz="4" w:space="0"/>
            </w:tcBorders>
            <w:vAlign w:val="center"/>
          </w:tcPr>
          <w:p w14:paraId="48E7BB31">
            <w:pPr>
              <w:widowControl/>
              <w:jc w:val="left"/>
              <w:rPr>
                <w:rFonts w:hint="eastAsia" w:ascii="宋体" w:hAnsi="宋体" w:cs="宋体"/>
                <w:b/>
                <w:color w:val="000000"/>
                <w:kern w:val="0"/>
                <w:sz w:val="24"/>
              </w:rPr>
            </w:pPr>
            <w:r>
              <w:rPr>
                <w:rFonts w:hint="eastAsia" w:ascii="宋体" w:hAnsi="宋体" w:cs="宋体"/>
                <w:b/>
                <w:color w:val="000000"/>
                <w:kern w:val="0"/>
                <w:sz w:val="24"/>
              </w:rPr>
              <w:t>计量单位</w:t>
            </w:r>
          </w:p>
        </w:tc>
        <w:tc>
          <w:tcPr>
            <w:tcW w:w="1842" w:type="dxa"/>
            <w:tcBorders>
              <w:top w:val="single" w:color="auto" w:sz="4" w:space="0"/>
              <w:left w:val="nil"/>
              <w:bottom w:val="single" w:color="auto" w:sz="4" w:space="0"/>
              <w:right w:val="single" w:color="auto" w:sz="4" w:space="0"/>
            </w:tcBorders>
            <w:vAlign w:val="center"/>
          </w:tcPr>
          <w:p w14:paraId="7D0511F3">
            <w:pPr>
              <w:widowControl/>
              <w:jc w:val="left"/>
              <w:rPr>
                <w:rFonts w:hint="eastAsia" w:ascii="宋体" w:hAnsi="宋体" w:cs="宋体"/>
                <w:b/>
                <w:color w:val="000000"/>
                <w:kern w:val="0"/>
                <w:sz w:val="24"/>
              </w:rPr>
            </w:pPr>
            <w:r>
              <w:rPr>
                <w:rFonts w:hint="eastAsia" w:ascii="宋体" w:hAnsi="宋体" w:cs="宋体"/>
                <w:b/>
                <w:color w:val="000000"/>
                <w:kern w:val="0"/>
                <w:sz w:val="24"/>
              </w:rPr>
              <w:t>中型</w:t>
            </w:r>
          </w:p>
        </w:tc>
        <w:tc>
          <w:tcPr>
            <w:tcW w:w="1701" w:type="dxa"/>
            <w:tcBorders>
              <w:top w:val="single" w:color="auto" w:sz="4" w:space="0"/>
              <w:left w:val="nil"/>
              <w:bottom w:val="single" w:color="auto" w:sz="4" w:space="0"/>
              <w:right w:val="single" w:color="auto" w:sz="4" w:space="0"/>
            </w:tcBorders>
            <w:vAlign w:val="center"/>
          </w:tcPr>
          <w:p w14:paraId="468E9E99">
            <w:pPr>
              <w:widowControl/>
              <w:jc w:val="left"/>
              <w:rPr>
                <w:rFonts w:hint="eastAsia" w:ascii="宋体" w:hAnsi="宋体" w:cs="宋体"/>
                <w:b/>
                <w:color w:val="000000"/>
                <w:kern w:val="0"/>
                <w:sz w:val="24"/>
              </w:rPr>
            </w:pPr>
            <w:r>
              <w:rPr>
                <w:rFonts w:hint="eastAsia" w:ascii="宋体" w:hAnsi="宋体" w:cs="宋体"/>
                <w:b/>
                <w:color w:val="000000"/>
                <w:kern w:val="0"/>
                <w:sz w:val="24"/>
              </w:rPr>
              <w:t>小型</w:t>
            </w:r>
          </w:p>
        </w:tc>
        <w:tc>
          <w:tcPr>
            <w:tcW w:w="1134" w:type="dxa"/>
            <w:tcBorders>
              <w:top w:val="single" w:color="auto" w:sz="4" w:space="0"/>
              <w:left w:val="nil"/>
              <w:bottom w:val="single" w:color="auto" w:sz="4" w:space="0"/>
              <w:right w:val="single" w:color="auto" w:sz="4" w:space="0"/>
            </w:tcBorders>
            <w:vAlign w:val="center"/>
          </w:tcPr>
          <w:p w14:paraId="68672F38">
            <w:pPr>
              <w:widowControl/>
              <w:jc w:val="left"/>
              <w:rPr>
                <w:rFonts w:hint="eastAsia" w:ascii="宋体" w:hAnsi="宋体" w:cs="宋体"/>
                <w:b/>
                <w:color w:val="000000"/>
                <w:kern w:val="0"/>
                <w:sz w:val="24"/>
              </w:rPr>
            </w:pPr>
            <w:r>
              <w:rPr>
                <w:rFonts w:hint="eastAsia" w:ascii="宋体" w:hAnsi="宋体" w:cs="宋体"/>
                <w:b/>
                <w:color w:val="000000"/>
                <w:kern w:val="0"/>
                <w:sz w:val="24"/>
              </w:rPr>
              <w:t>微型</w:t>
            </w:r>
          </w:p>
        </w:tc>
      </w:tr>
      <w:tr w14:paraId="4FF578CA">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vAlign w:val="bottom"/>
          </w:tcPr>
          <w:p w14:paraId="518DE00C">
            <w:pPr>
              <w:widowControl/>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农、林、牧、渔</w:t>
            </w:r>
          </w:p>
        </w:tc>
        <w:tc>
          <w:tcPr>
            <w:tcW w:w="1984" w:type="dxa"/>
            <w:tcBorders>
              <w:top w:val="nil"/>
              <w:left w:val="nil"/>
              <w:bottom w:val="single" w:color="auto" w:sz="4" w:space="0"/>
              <w:right w:val="single" w:color="auto" w:sz="4" w:space="0"/>
            </w:tcBorders>
            <w:vAlign w:val="center"/>
          </w:tcPr>
          <w:p w14:paraId="4AD90393">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营业收入（Y）</w:t>
            </w:r>
          </w:p>
        </w:tc>
        <w:tc>
          <w:tcPr>
            <w:tcW w:w="851" w:type="dxa"/>
            <w:tcBorders>
              <w:top w:val="nil"/>
              <w:left w:val="nil"/>
              <w:bottom w:val="single" w:color="auto" w:sz="4" w:space="0"/>
              <w:right w:val="single" w:color="auto" w:sz="4" w:space="0"/>
            </w:tcBorders>
            <w:vAlign w:val="center"/>
          </w:tcPr>
          <w:p w14:paraId="026B08BB">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万元</w:t>
            </w:r>
          </w:p>
        </w:tc>
        <w:tc>
          <w:tcPr>
            <w:tcW w:w="1842" w:type="dxa"/>
            <w:tcBorders>
              <w:top w:val="nil"/>
              <w:left w:val="nil"/>
              <w:bottom w:val="single" w:color="auto" w:sz="4" w:space="0"/>
              <w:right w:val="single" w:color="auto" w:sz="4" w:space="0"/>
            </w:tcBorders>
            <w:vAlign w:val="center"/>
          </w:tcPr>
          <w:p w14:paraId="5F3A97BE">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500≤Y＜20000</w:t>
            </w:r>
          </w:p>
        </w:tc>
        <w:tc>
          <w:tcPr>
            <w:tcW w:w="1701" w:type="dxa"/>
            <w:tcBorders>
              <w:top w:val="nil"/>
              <w:left w:val="nil"/>
              <w:bottom w:val="single" w:color="auto" w:sz="4" w:space="0"/>
              <w:right w:val="single" w:color="auto" w:sz="4" w:space="0"/>
            </w:tcBorders>
            <w:vAlign w:val="center"/>
          </w:tcPr>
          <w:p w14:paraId="65DC3B80">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50≤Y＜500</w:t>
            </w:r>
          </w:p>
        </w:tc>
        <w:tc>
          <w:tcPr>
            <w:tcW w:w="1134" w:type="dxa"/>
            <w:tcBorders>
              <w:top w:val="nil"/>
              <w:left w:val="nil"/>
              <w:bottom w:val="single" w:color="auto" w:sz="4" w:space="0"/>
              <w:right w:val="single" w:color="auto" w:sz="4" w:space="0"/>
            </w:tcBorders>
            <w:vAlign w:val="center"/>
          </w:tcPr>
          <w:p w14:paraId="4CE3886C">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Y＜50</w:t>
            </w:r>
          </w:p>
        </w:tc>
      </w:tr>
      <w:tr w14:paraId="72123452">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1727CA42">
            <w:pPr>
              <w:widowControl/>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工业</w:t>
            </w:r>
          </w:p>
        </w:tc>
        <w:tc>
          <w:tcPr>
            <w:tcW w:w="1984" w:type="dxa"/>
            <w:tcBorders>
              <w:top w:val="nil"/>
              <w:left w:val="nil"/>
              <w:bottom w:val="single" w:color="auto" w:sz="4" w:space="0"/>
              <w:right w:val="single" w:color="auto" w:sz="4" w:space="0"/>
            </w:tcBorders>
            <w:vAlign w:val="center"/>
          </w:tcPr>
          <w:p w14:paraId="6C86F687">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从业人员（X）</w:t>
            </w:r>
          </w:p>
        </w:tc>
        <w:tc>
          <w:tcPr>
            <w:tcW w:w="851" w:type="dxa"/>
            <w:tcBorders>
              <w:top w:val="nil"/>
              <w:left w:val="nil"/>
              <w:bottom w:val="single" w:color="auto" w:sz="4" w:space="0"/>
              <w:right w:val="single" w:color="auto" w:sz="4" w:space="0"/>
            </w:tcBorders>
            <w:vAlign w:val="center"/>
          </w:tcPr>
          <w:p w14:paraId="10AC8DDC">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人</w:t>
            </w:r>
          </w:p>
        </w:tc>
        <w:tc>
          <w:tcPr>
            <w:tcW w:w="1842" w:type="dxa"/>
            <w:tcBorders>
              <w:top w:val="nil"/>
              <w:left w:val="nil"/>
              <w:bottom w:val="single" w:color="auto" w:sz="4" w:space="0"/>
              <w:right w:val="single" w:color="auto" w:sz="4" w:space="0"/>
            </w:tcBorders>
            <w:vAlign w:val="center"/>
          </w:tcPr>
          <w:p w14:paraId="46CAEB4A">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300≤X＜1000</w:t>
            </w:r>
          </w:p>
        </w:tc>
        <w:tc>
          <w:tcPr>
            <w:tcW w:w="1701" w:type="dxa"/>
            <w:tcBorders>
              <w:top w:val="nil"/>
              <w:left w:val="nil"/>
              <w:bottom w:val="single" w:color="auto" w:sz="4" w:space="0"/>
              <w:right w:val="single" w:color="auto" w:sz="4" w:space="0"/>
            </w:tcBorders>
            <w:vAlign w:val="center"/>
          </w:tcPr>
          <w:p w14:paraId="71B162D3">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20≤X＜300</w:t>
            </w:r>
          </w:p>
        </w:tc>
        <w:tc>
          <w:tcPr>
            <w:tcW w:w="1134" w:type="dxa"/>
            <w:tcBorders>
              <w:top w:val="nil"/>
              <w:left w:val="nil"/>
              <w:bottom w:val="single" w:color="auto" w:sz="4" w:space="0"/>
              <w:right w:val="single" w:color="auto" w:sz="4" w:space="0"/>
            </w:tcBorders>
            <w:vAlign w:val="center"/>
          </w:tcPr>
          <w:p w14:paraId="3D293CE7">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X＜20</w:t>
            </w:r>
          </w:p>
        </w:tc>
      </w:tr>
      <w:tr w14:paraId="6B5414A4">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3F6E15CA">
            <w:pPr>
              <w:widowControl/>
              <w:jc w:val="left"/>
              <w:rPr>
                <w:rFonts w:hint="eastAsia" w:ascii="宋体" w:hAnsi="宋体" w:cs="宋体"/>
                <w:b/>
                <w:bCs/>
                <w:color w:val="000000"/>
                <w:kern w:val="0"/>
                <w:sz w:val="18"/>
                <w:szCs w:val="18"/>
              </w:rPr>
            </w:pPr>
          </w:p>
        </w:tc>
        <w:tc>
          <w:tcPr>
            <w:tcW w:w="1984" w:type="dxa"/>
            <w:tcBorders>
              <w:top w:val="nil"/>
              <w:left w:val="nil"/>
              <w:bottom w:val="single" w:color="auto" w:sz="4" w:space="0"/>
              <w:right w:val="single" w:color="auto" w:sz="4" w:space="0"/>
            </w:tcBorders>
            <w:vAlign w:val="center"/>
          </w:tcPr>
          <w:p w14:paraId="7D46C4B7">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营业收入（Y）</w:t>
            </w:r>
          </w:p>
        </w:tc>
        <w:tc>
          <w:tcPr>
            <w:tcW w:w="851" w:type="dxa"/>
            <w:tcBorders>
              <w:top w:val="nil"/>
              <w:left w:val="nil"/>
              <w:bottom w:val="single" w:color="auto" w:sz="4" w:space="0"/>
              <w:right w:val="single" w:color="auto" w:sz="4" w:space="0"/>
            </w:tcBorders>
            <w:vAlign w:val="center"/>
          </w:tcPr>
          <w:p w14:paraId="1EF5949F">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万元</w:t>
            </w:r>
          </w:p>
        </w:tc>
        <w:tc>
          <w:tcPr>
            <w:tcW w:w="1842" w:type="dxa"/>
            <w:tcBorders>
              <w:top w:val="nil"/>
              <w:left w:val="nil"/>
              <w:bottom w:val="single" w:color="auto" w:sz="4" w:space="0"/>
              <w:right w:val="single" w:color="auto" w:sz="4" w:space="0"/>
            </w:tcBorders>
            <w:vAlign w:val="center"/>
          </w:tcPr>
          <w:p w14:paraId="4E536038">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2000≤Y＜40000</w:t>
            </w:r>
          </w:p>
        </w:tc>
        <w:tc>
          <w:tcPr>
            <w:tcW w:w="1701" w:type="dxa"/>
            <w:tcBorders>
              <w:top w:val="nil"/>
              <w:left w:val="nil"/>
              <w:bottom w:val="single" w:color="auto" w:sz="4" w:space="0"/>
              <w:right w:val="single" w:color="auto" w:sz="4" w:space="0"/>
            </w:tcBorders>
            <w:vAlign w:val="center"/>
          </w:tcPr>
          <w:p w14:paraId="6F9F109E">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300≤Y＜2000</w:t>
            </w:r>
          </w:p>
        </w:tc>
        <w:tc>
          <w:tcPr>
            <w:tcW w:w="1134" w:type="dxa"/>
            <w:tcBorders>
              <w:top w:val="nil"/>
              <w:left w:val="nil"/>
              <w:bottom w:val="single" w:color="auto" w:sz="4" w:space="0"/>
              <w:right w:val="single" w:color="auto" w:sz="4" w:space="0"/>
            </w:tcBorders>
            <w:vAlign w:val="center"/>
          </w:tcPr>
          <w:p w14:paraId="444D7A27">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Y＜300</w:t>
            </w:r>
          </w:p>
        </w:tc>
      </w:tr>
      <w:tr w14:paraId="7FA91492">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13A8B5B1">
            <w:pPr>
              <w:widowControl/>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建筑业</w:t>
            </w:r>
          </w:p>
        </w:tc>
        <w:tc>
          <w:tcPr>
            <w:tcW w:w="1984" w:type="dxa"/>
            <w:tcBorders>
              <w:top w:val="nil"/>
              <w:left w:val="nil"/>
              <w:bottom w:val="single" w:color="auto" w:sz="4" w:space="0"/>
              <w:right w:val="single" w:color="auto" w:sz="4" w:space="0"/>
            </w:tcBorders>
            <w:vAlign w:val="center"/>
          </w:tcPr>
          <w:p w14:paraId="4A4F002C">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营业收入（Y）</w:t>
            </w:r>
          </w:p>
        </w:tc>
        <w:tc>
          <w:tcPr>
            <w:tcW w:w="851" w:type="dxa"/>
            <w:tcBorders>
              <w:top w:val="nil"/>
              <w:left w:val="nil"/>
              <w:bottom w:val="single" w:color="auto" w:sz="4" w:space="0"/>
              <w:right w:val="single" w:color="auto" w:sz="4" w:space="0"/>
            </w:tcBorders>
            <w:vAlign w:val="center"/>
          </w:tcPr>
          <w:p w14:paraId="53C66CA7">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万元</w:t>
            </w:r>
          </w:p>
        </w:tc>
        <w:tc>
          <w:tcPr>
            <w:tcW w:w="1842" w:type="dxa"/>
            <w:tcBorders>
              <w:top w:val="nil"/>
              <w:left w:val="nil"/>
              <w:bottom w:val="single" w:color="auto" w:sz="4" w:space="0"/>
              <w:right w:val="single" w:color="auto" w:sz="4" w:space="0"/>
            </w:tcBorders>
            <w:vAlign w:val="center"/>
          </w:tcPr>
          <w:p w14:paraId="7E43263F">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6000≤Y＜80000</w:t>
            </w:r>
          </w:p>
        </w:tc>
        <w:tc>
          <w:tcPr>
            <w:tcW w:w="1701" w:type="dxa"/>
            <w:tcBorders>
              <w:top w:val="nil"/>
              <w:left w:val="nil"/>
              <w:bottom w:val="single" w:color="auto" w:sz="4" w:space="0"/>
              <w:right w:val="single" w:color="auto" w:sz="4" w:space="0"/>
            </w:tcBorders>
            <w:vAlign w:val="center"/>
          </w:tcPr>
          <w:p w14:paraId="711F2815">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300≤Y＜6000</w:t>
            </w:r>
          </w:p>
        </w:tc>
        <w:tc>
          <w:tcPr>
            <w:tcW w:w="1134" w:type="dxa"/>
            <w:tcBorders>
              <w:top w:val="nil"/>
              <w:left w:val="nil"/>
              <w:bottom w:val="single" w:color="auto" w:sz="4" w:space="0"/>
              <w:right w:val="single" w:color="auto" w:sz="4" w:space="0"/>
            </w:tcBorders>
            <w:vAlign w:val="center"/>
          </w:tcPr>
          <w:p w14:paraId="5351AEBB">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Y＜300</w:t>
            </w:r>
          </w:p>
        </w:tc>
      </w:tr>
      <w:tr w14:paraId="67A21173">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148720AC">
            <w:pPr>
              <w:widowControl/>
              <w:jc w:val="left"/>
              <w:rPr>
                <w:rFonts w:hint="eastAsia" w:ascii="宋体" w:hAnsi="宋体" w:cs="宋体"/>
                <w:b/>
                <w:bCs/>
                <w:color w:val="000000"/>
                <w:kern w:val="0"/>
                <w:sz w:val="18"/>
                <w:szCs w:val="18"/>
              </w:rPr>
            </w:pPr>
          </w:p>
        </w:tc>
        <w:tc>
          <w:tcPr>
            <w:tcW w:w="1984" w:type="dxa"/>
            <w:tcBorders>
              <w:top w:val="nil"/>
              <w:left w:val="nil"/>
              <w:bottom w:val="single" w:color="auto" w:sz="4" w:space="0"/>
              <w:right w:val="single" w:color="auto" w:sz="4" w:space="0"/>
            </w:tcBorders>
            <w:vAlign w:val="center"/>
          </w:tcPr>
          <w:p w14:paraId="1EFD353D">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资产总额（Z）</w:t>
            </w:r>
          </w:p>
        </w:tc>
        <w:tc>
          <w:tcPr>
            <w:tcW w:w="851" w:type="dxa"/>
            <w:tcBorders>
              <w:top w:val="nil"/>
              <w:left w:val="nil"/>
              <w:bottom w:val="single" w:color="auto" w:sz="4" w:space="0"/>
              <w:right w:val="single" w:color="auto" w:sz="4" w:space="0"/>
            </w:tcBorders>
            <w:vAlign w:val="center"/>
          </w:tcPr>
          <w:p w14:paraId="72F014F6">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万元</w:t>
            </w:r>
          </w:p>
        </w:tc>
        <w:tc>
          <w:tcPr>
            <w:tcW w:w="1842" w:type="dxa"/>
            <w:tcBorders>
              <w:top w:val="nil"/>
              <w:left w:val="nil"/>
              <w:bottom w:val="single" w:color="auto" w:sz="4" w:space="0"/>
              <w:right w:val="single" w:color="auto" w:sz="4" w:space="0"/>
            </w:tcBorders>
            <w:vAlign w:val="center"/>
          </w:tcPr>
          <w:p w14:paraId="7F611D38">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5000≤Z＜80000</w:t>
            </w:r>
          </w:p>
        </w:tc>
        <w:tc>
          <w:tcPr>
            <w:tcW w:w="1701" w:type="dxa"/>
            <w:tcBorders>
              <w:top w:val="nil"/>
              <w:left w:val="nil"/>
              <w:bottom w:val="single" w:color="auto" w:sz="4" w:space="0"/>
              <w:right w:val="single" w:color="auto" w:sz="4" w:space="0"/>
            </w:tcBorders>
            <w:vAlign w:val="center"/>
          </w:tcPr>
          <w:p w14:paraId="4BAAF749">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300≤Z＜5000</w:t>
            </w:r>
          </w:p>
        </w:tc>
        <w:tc>
          <w:tcPr>
            <w:tcW w:w="1134" w:type="dxa"/>
            <w:tcBorders>
              <w:top w:val="nil"/>
              <w:left w:val="nil"/>
              <w:bottom w:val="single" w:color="auto" w:sz="4" w:space="0"/>
              <w:right w:val="single" w:color="auto" w:sz="4" w:space="0"/>
            </w:tcBorders>
            <w:vAlign w:val="center"/>
          </w:tcPr>
          <w:p w14:paraId="78DD94CA">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Z＜300</w:t>
            </w:r>
          </w:p>
        </w:tc>
      </w:tr>
      <w:tr w14:paraId="759E2DA2">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4F846396">
            <w:pPr>
              <w:widowControl/>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批发业</w:t>
            </w:r>
          </w:p>
        </w:tc>
        <w:tc>
          <w:tcPr>
            <w:tcW w:w="1984" w:type="dxa"/>
            <w:tcBorders>
              <w:top w:val="nil"/>
              <w:left w:val="nil"/>
              <w:bottom w:val="single" w:color="auto" w:sz="4" w:space="0"/>
              <w:right w:val="single" w:color="auto" w:sz="4" w:space="0"/>
            </w:tcBorders>
            <w:vAlign w:val="center"/>
          </w:tcPr>
          <w:p w14:paraId="24ED402B">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从业人员（X）</w:t>
            </w:r>
          </w:p>
        </w:tc>
        <w:tc>
          <w:tcPr>
            <w:tcW w:w="851" w:type="dxa"/>
            <w:tcBorders>
              <w:top w:val="nil"/>
              <w:left w:val="nil"/>
              <w:bottom w:val="single" w:color="auto" w:sz="4" w:space="0"/>
              <w:right w:val="single" w:color="auto" w:sz="4" w:space="0"/>
            </w:tcBorders>
            <w:vAlign w:val="center"/>
          </w:tcPr>
          <w:p w14:paraId="3CC380D2">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人</w:t>
            </w:r>
          </w:p>
        </w:tc>
        <w:tc>
          <w:tcPr>
            <w:tcW w:w="1842" w:type="dxa"/>
            <w:tcBorders>
              <w:top w:val="nil"/>
              <w:left w:val="nil"/>
              <w:bottom w:val="single" w:color="auto" w:sz="4" w:space="0"/>
              <w:right w:val="single" w:color="auto" w:sz="4" w:space="0"/>
            </w:tcBorders>
            <w:vAlign w:val="center"/>
          </w:tcPr>
          <w:p w14:paraId="3331D1E8">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20≤X＜200</w:t>
            </w:r>
          </w:p>
        </w:tc>
        <w:tc>
          <w:tcPr>
            <w:tcW w:w="1701" w:type="dxa"/>
            <w:tcBorders>
              <w:top w:val="nil"/>
              <w:left w:val="nil"/>
              <w:bottom w:val="single" w:color="auto" w:sz="4" w:space="0"/>
              <w:right w:val="single" w:color="auto" w:sz="4" w:space="0"/>
            </w:tcBorders>
            <w:vAlign w:val="center"/>
          </w:tcPr>
          <w:p w14:paraId="194E6E0D">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5≤X＜20</w:t>
            </w:r>
          </w:p>
        </w:tc>
        <w:tc>
          <w:tcPr>
            <w:tcW w:w="1134" w:type="dxa"/>
            <w:tcBorders>
              <w:top w:val="nil"/>
              <w:left w:val="nil"/>
              <w:bottom w:val="single" w:color="auto" w:sz="4" w:space="0"/>
              <w:right w:val="single" w:color="auto" w:sz="4" w:space="0"/>
            </w:tcBorders>
            <w:vAlign w:val="center"/>
          </w:tcPr>
          <w:p w14:paraId="70E0A81C">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X＜5</w:t>
            </w:r>
          </w:p>
        </w:tc>
      </w:tr>
      <w:tr w14:paraId="4F00C57D">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50499C9B">
            <w:pPr>
              <w:widowControl/>
              <w:jc w:val="left"/>
              <w:rPr>
                <w:rFonts w:hint="eastAsia" w:ascii="宋体" w:hAnsi="宋体" w:cs="宋体"/>
                <w:b/>
                <w:bCs/>
                <w:color w:val="000000"/>
                <w:kern w:val="0"/>
                <w:sz w:val="18"/>
                <w:szCs w:val="18"/>
              </w:rPr>
            </w:pPr>
          </w:p>
        </w:tc>
        <w:tc>
          <w:tcPr>
            <w:tcW w:w="1984" w:type="dxa"/>
            <w:tcBorders>
              <w:top w:val="nil"/>
              <w:left w:val="nil"/>
              <w:bottom w:val="single" w:color="auto" w:sz="4" w:space="0"/>
              <w:right w:val="single" w:color="auto" w:sz="4" w:space="0"/>
            </w:tcBorders>
            <w:vAlign w:val="center"/>
          </w:tcPr>
          <w:p w14:paraId="3309D0C8">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营业收入（Y）</w:t>
            </w:r>
          </w:p>
        </w:tc>
        <w:tc>
          <w:tcPr>
            <w:tcW w:w="851" w:type="dxa"/>
            <w:tcBorders>
              <w:top w:val="nil"/>
              <w:left w:val="nil"/>
              <w:bottom w:val="single" w:color="auto" w:sz="4" w:space="0"/>
              <w:right w:val="single" w:color="auto" w:sz="4" w:space="0"/>
            </w:tcBorders>
            <w:vAlign w:val="center"/>
          </w:tcPr>
          <w:p w14:paraId="1A9B66C5">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万元</w:t>
            </w:r>
          </w:p>
        </w:tc>
        <w:tc>
          <w:tcPr>
            <w:tcW w:w="1842" w:type="dxa"/>
            <w:tcBorders>
              <w:top w:val="nil"/>
              <w:left w:val="nil"/>
              <w:bottom w:val="single" w:color="auto" w:sz="4" w:space="0"/>
              <w:right w:val="single" w:color="auto" w:sz="4" w:space="0"/>
            </w:tcBorders>
            <w:vAlign w:val="center"/>
          </w:tcPr>
          <w:p w14:paraId="56C24C70">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5000≤Y＜40000</w:t>
            </w:r>
          </w:p>
        </w:tc>
        <w:tc>
          <w:tcPr>
            <w:tcW w:w="1701" w:type="dxa"/>
            <w:tcBorders>
              <w:top w:val="nil"/>
              <w:left w:val="nil"/>
              <w:bottom w:val="single" w:color="auto" w:sz="4" w:space="0"/>
              <w:right w:val="single" w:color="auto" w:sz="4" w:space="0"/>
            </w:tcBorders>
            <w:vAlign w:val="center"/>
          </w:tcPr>
          <w:p w14:paraId="76FB395A">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1000≤Y＜5000</w:t>
            </w:r>
          </w:p>
        </w:tc>
        <w:tc>
          <w:tcPr>
            <w:tcW w:w="1134" w:type="dxa"/>
            <w:tcBorders>
              <w:top w:val="nil"/>
              <w:left w:val="nil"/>
              <w:bottom w:val="single" w:color="auto" w:sz="4" w:space="0"/>
              <w:right w:val="single" w:color="auto" w:sz="4" w:space="0"/>
            </w:tcBorders>
            <w:vAlign w:val="center"/>
          </w:tcPr>
          <w:p w14:paraId="1ED43BA4">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Y＜1000</w:t>
            </w:r>
          </w:p>
        </w:tc>
      </w:tr>
      <w:tr w14:paraId="3F6B6C16">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6BA52E1D">
            <w:pPr>
              <w:widowControl/>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零售业</w:t>
            </w:r>
          </w:p>
        </w:tc>
        <w:tc>
          <w:tcPr>
            <w:tcW w:w="1984" w:type="dxa"/>
            <w:tcBorders>
              <w:top w:val="nil"/>
              <w:left w:val="nil"/>
              <w:bottom w:val="single" w:color="auto" w:sz="4" w:space="0"/>
              <w:right w:val="single" w:color="auto" w:sz="4" w:space="0"/>
            </w:tcBorders>
            <w:vAlign w:val="center"/>
          </w:tcPr>
          <w:p w14:paraId="3AE70958">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从业人员（X）</w:t>
            </w:r>
          </w:p>
        </w:tc>
        <w:tc>
          <w:tcPr>
            <w:tcW w:w="851" w:type="dxa"/>
            <w:tcBorders>
              <w:top w:val="nil"/>
              <w:left w:val="nil"/>
              <w:bottom w:val="single" w:color="auto" w:sz="4" w:space="0"/>
              <w:right w:val="single" w:color="auto" w:sz="4" w:space="0"/>
            </w:tcBorders>
            <w:vAlign w:val="center"/>
          </w:tcPr>
          <w:p w14:paraId="4C5E43B8">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人</w:t>
            </w:r>
          </w:p>
        </w:tc>
        <w:tc>
          <w:tcPr>
            <w:tcW w:w="1842" w:type="dxa"/>
            <w:tcBorders>
              <w:top w:val="nil"/>
              <w:left w:val="nil"/>
              <w:bottom w:val="single" w:color="auto" w:sz="4" w:space="0"/>
              <w:right w:val="single" w:color="auto" w:sz="4" w:space="0"/>
            </w:tcBorders>
            <w:vAlign w:val="center"/>
          </w:tcPr>
          <w:p w14:paraId="5758C003">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50≤X＜300</w:t>
            </w:r>
          </w:p>
        </w:tc>
        <w:tc>
          <w:tcPr>
            <w:tcW w:w="1701" w:type="dxa"/>
            <w:tcBorders>
              <w:top w:val="nil"/>
              <w:left w:val="nil"/>
              <w:bottom w:val="single" w:color="auto" w:sz="4" w:space="0"/>
              <w:right w:val="single" w:color="auto" w:sz="4" w:space="0"/>
            </w:tcBorders>
            <w:vAlign w:val="center"/>
          </w:tcPr>
          <w:p w14:paraId="02CB0896">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10≤X＜50</w:t>
            </w:r>
          </w:p>
        </w:tc>
        <w:tc>
          <w:tcPr>
            <w:tcW w:w="1134" w:type="dxa"/>
            <w:tcBorders>
              <w:top w:val="nil"/>
              <w:left w:val="nil"/>
              <w:bottom w:val="single" w:color="auto" w:sz="4" w:space="0"/>
              <w:right w:val="single" w:color="auto" w:sz="4" w:space="0"/>
            </w:tcBorders>
            <w:vAlign w:val="center"/>
          </w:tcPr>
          <w:p w14:paraId="42151FA2">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X＜10</w:t>
            </w:r>
          </w:p>
        </w:tc>
      </w:tr>
      <w:tr w14:paraId="12320D2B">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171E577E">
            <w:pPr>
              <w:widowControl/>
              <w:jc w:val="left"/>
              <w:rPr>
                <w:rFonts w:hint="eastAsia" w:ascii="宋体" w:hAnsi="宋体" w:cs="宋体"/>
                <w:b/>
                <w:bCs/>
                <w:color w:val="000000"/>
                <w:kern w:val="0"/>
                <w:sz w:val="18"/>
                <w:szCs w:val="18"/>
              </w:rPr>
            </w:pPr>
          </w:p>
        </w:tc>
        <w:tc>
          <w:tcPr>
            <w:tcW w:w="1984" w:type="dxa"/>
            <w:tcBorders>
              <w:top w:val="nil"/>
              <w:left w:val="nil"/>
              <w:bottom w:val="single" w:color="auto" w:sz="4" w:space="0"/>
              <w:right w:val="single" w:color="auto" w:sz="4" w:space="0"/>
            </w:tcBorders>
            <w:vAlign w:val="center"/>
          </w:tcPr>
          <w:p w14:paraId="020F4BE7">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营业收入（Y）</w:t>
            </w:r>
          </w:p>
        </w:tc>
        <w:tc>
          <w:tcPr>
            <w:tcW w:w="851" w:type="dxa"/>
            <w:tcBorders>
              <w:top w:val="nil"/>
              <w:left w:val="nil"/>
              <w:bottom w:val="single" w:color="auto" w:sz="4" w:space="0"/>
              <w:right w:val="single" w:color="auto" w:sz="4" w:space="0"/>
            </w:tcBorders>
            <w:vAlign w:val="center"/>
          </w:tcPr>
          <w:p w14:paraId="1FDF8934">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万元</w:t>
            </w:r>
          </w:p>
        </w:tc>
        <w:tc>
          <w:tcPr>
            <w:tcW w:w="1842" w:type="dxa"/>
            <w:tcBorders>
              <w:top w:val="nil"/>
              <w:left w:val="nil"/>
              <w:bottom w:val="single" w:color="auto" w:sz="4" w:space="0"/>
              <w:right w:val="single" w:color="auto" w:sz="4" w:space="0"/>
            </w:tcBorders>
            <w:vAlign w:val="center"/>
          </w:tcPr>
          <w:p w14:paraId="5D9F50C8">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500≤Y＜20000</w:t>
            </w:r>
          </w:p>
        </w:tc>
        <w:tc>
          <w:tcPr>
            <w:tcW w:w="1701" w:type="dxa"/>
            <w:tcBorders>
              <w:top w:val="nil"/>
              <w:left w:val="nil"/>
              <w:bottom w:val="single" w:color="auto" w:sz="4" w:space="0"/>
              <w:right w:val="single" w:color="auto" w:sz="4" w:space="0"/>
            </w:tcBorders>
            <w:vAlign w:val="center"/>
          </w:tcPr>
          <w:p w14:paraId="43EADEAD">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100≤Y＜500</w:t>
            </w:r>
          </w:p>
        </w:tc>
        <w:tc>
          <w:tcPr>
            <w:tcW w:w="1134" w:type="dxa"/>
            <w:tcBorders>
              <w:top w:val="nil"/>
              <w:left w:val="nil"/>
              <w:bottom w:val="single" w:color="auto" w:sz="4" w:space="0"/>
              <w:right w:val="single" w:color="auto" w:sz="4" w:space="0"/>
            </w:tcBorders>
            <w:vAlign w:val="center"/>
          </w:tcPr>
          <w:p w14:paraId="246D5A68">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Y＜100</w:t>
            </w:r>
          </w:p>
        </w:tc>
      </w:tr>
      <w:tr w14:paraId="0CEEBD9A">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252FE5BE">
            <w:pPr>
              <w:widowControl/>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交通运输业</w:t>
            </w:r>
          </w:p>
        </w:tc>
        <w:tc>
          <w:tcPr>
            <w:tcW w:w="1984" w:type="dxa"/>
            <w:tcBorders>
              <w:top w:val="nil"/>
              <w:left w:val="nil"/>
              <w:bottom w:val="single" w:color="auto" w:sz="4" w:space="0"/>
              <w:right w:val="single" w:color="auto" w:sz="4" w:space="0"/>
            </w:tcBorders>
            <w:vAlign w:val="center"/>
          </w:tcPr>
          <w:p w14:paraId="398D6990">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从业人员（X）</w:t>
            </w:r>
          </w:p>
        </w:tc>
        <w:tc>
          <w:tcPr>
            <w:tcW w:w="851" w:type="dxa"/>
            <w:tcBorders>
              <w:top w:val="nil"/>
              <w:left w:val="nil"/>
              <w:bottom w:val="single" w:color="auto" w:sz="4" w:space="0"/>
              <w:right w:val="single" w:color="auto" w:sz="4" w:space="0"/>
            </w:tcBorders>
            <w:vAlign w:val="center"/>
          </w:tcPr>
          <w:p w14:paraId="0117945B">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人</w:t>
            </w:r>
          </w:p>
        </w:tc>
        <w:tc>
          <w:tcPr>
            <w:tcW w:w="1842" w:type="dxa"/>
            <w:tcBorders>
              <w:top w:val="nil"/>
              <w:left w:val="nil"/>
              <w:bottom w:val="single" w:color="auto" w:sz="4" w:space="0"/>
              <w:right w:val="single" w:color="auto" w:sz="4" w:space="0"/>
            </w:tcBorders>
            <w:vAlign w:val="center"/>
          </w:tcPr>
          <w:p w14:paraId="00A30EC6">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300≤X＜1000</w:t>
            </w:r>
          </w:p>
        </w:tc>
        <w:tc>
          <w:tcPr>
            <w:tcW w:w="1701" w:type="dxa"/>
            <w:tcBorders>
              <w:top w:val="nil"/>
              <w:left w:val="nil"/>
              <w:bottom w:val="single" w:color="auto" w:sz="4" w:space="0"/>
              <w:right w:val="single" w:color="auto" w:sz="4" w:space="0"/>
            </w:tcBorders>
            <w:vAlign w:val="center"/>
          </w:tcPr>
          <w:p w14:paraId="0A7A7FC0">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20≤X＜300</w:t>
            </w:r>
          </w:p>
        </w:tc>
        <w:tc>
          <w:tcPr>
            <w:tcW w:w="1134" w:type="dxa"/>
            <w:tcBorders>
              <w:top w:val="nil"/>
              <w:left w:val="nil"/>
              <w:bottom w:val="single" w:color="auto" w:sz="4" w:space="0"/>
              <w:right w:val="single" w:color="auto" w:sz="4" w:space="0"/>
            </w:tcBorders>
            <w:vAlign w:val="center"/>
          </w:tcPr>
          <w:p w14:paraId="1883A21C">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X＜20</w:t>
            </w:r>
          </w:p>
        </w:tc>
      </w:tr>
      <w:tr w14:paraId="5CEFC266">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3DEC6482">
            <w:pPr>
              <w:widowControl/>
              <w:jc w:val="left"/>
              <w:rPr>
                <w:rFonts w:hint="eastAsia" w:ascii="宋体" w:hAnsi="宋体" w:cs="宋体"/>
                <w:b/>
                <w:bCs/>
                <w:color w:val="000000"/>
                <w:kern w:val="0"/>
                <w:sz w:val="18"/>
                <w:szCs w:val="18"/>
              </w:rPr>
            </w:pPr>
          </w:p>
        </w:tc>
        <w:tc>
          <w:tcPr>
            <w:tcW w:w="1984" w:type="dxa"/>
            <w:tcBorders>
              <w:top w:val="nil"/>
              <w:left w:val="nil"/>
              <w:bottom w:val="single" w:color="auto" w:sz="4" w:space="0"/>
              <w:right w:val="single" w:color="auto" w:sz="4" w:space="0"/>
            </w:tcBorders>
            <w:vAlign w:val="center"/>
          </w:tcPr>
          <w:p w14:paraId="30D8A578">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营业收入（Y）</w:t>
            </w:r>
          </w:p>
        </w:tc>
        <w:tc>
          <w:tcPr>
            <w:tcW w:w="851" w:type="dxa"/>
            <w:tcBorders>
              <w:top w:val="nil"/>
              <w:left w:val="nil"/>
              <w:bottom w:val="single" w:color="auto" w:sz="4" w:space="0"/>
              <w:right w:val="single" w:color="auto" w:sz="4" w:space="0"/>
            </w:tcBorders>
            <w:vAlign w:val="center"/>
          </w:tcPr>
          <w:p w14:paraId="0250C90F">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万元</w:t>
            </w:r>
          </w:p>
        </w:tc>
        <w:tc>
          <w:tcPr>
            <w:tcW w:w="1842" w:type="dxa"/>
            <w:tcBorders>
              <w:top w:val="nil"/>
              <w:left w:val="nil"/>
              <w:bottom w:val="single" w:color="auto" w:sz="4" w:space="0"/>
              <w:right w:val="single" w:color="auto" w:sz="4" w:space="0"/>
            </w:tcBorders>
            <w:vAlign w:val="center"/>
          </w:tcPr>
          <w:p w14:paraId="703DFD78">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3000≤Y＜30000</w:t>
            </w:r>
          </w:p>
        </w:tc>
        <w:tc>
          <w:tcPr>
            <w:tcW w:w="1701" w:type="dxa"/>
            <w:tcBorders>
              <w:top w:val="nil"/>
              <w:left w:val="nil"/>
              <w:bottom w:val="single" w:color="auto" w:sz="4" w:space="0"/>
              <w:right w:val="single" w:color="auto" w:sz="4" w:space="0"/>
            </w:tcBorders>
            <w:vAlign w:val="center"/>
          </w:tcPr>
          <w:p w14:paraId="1531C734">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200≤Y＜3000</w:t>
            </w:r>
          </w:p>
        </w:tc>
        <w:tc>
          <w:tcPr>
            <w:tcW w:w="1134" w:type="dxa"/>
            <w:tcBorders>
              <w:top w:val="nil"/>
              <w:left w:val="nil"/>
              <w:bottom w:val="single" w:color="auto" w:sz="4" w:space="0"/>
              <w:right w:val="single" w:color="auto" w:sz="4" w:space="0"/>
            </w:tcBorders>
            <w:vAlign w:val="center"/>
          </w:tcPr>
          <w:p w14:paraId="31B3E1F2">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Y＜200</w:t>
            </w:r>
          </w:p>
        </w:tc>
      </w:tr>
      <w:tr w14:paraId="7CB8263A">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7501B9D0">
            <w:pPr>
              <w:widowControl/>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仓储业</w:t>
            </w:r>
          </w:p>
        </w:tc>
        <w:tc>
          <w:tcPr>
            <w:tcW w:w="1984" w:type="dxa"/>
            <w:tcBorders>
              <w:top w:val="nil"/>
              <w:left w:val="nil"/>
              <w:bottom w:val="single" w:color="auto" w:sz="4" w:space="0"/>
              <w:right w:val="single" w:color="auto" w:sz="4" w:space="0"/>
            </w:tcBorders>
            <w:vAlign w:val="center"/>
          </w:tcPr>
          <w:p w14:paraId="5E425CF1">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从业人员（X）</w:t>
            </w:r>
          </w:p>
        </w:tc>
        <w:tc>
          <w:tcPr>
            <w:tcW w:w="851" w:type="dxa"/>
            <w:tcBorders>
              <w:top w:val="nil"/>
              <w:left w:val="nil"/>
              <w:bottom w:val="single" w:color="auto" w:sz="4" w:space="0"/>
              <w:right w:val="single" w:color="auto" w:sz="4" w:space="0"/>
            </w:tcBorders>
            <w:vAlign w:val="center"/>
          </w:tcPr>
          <w:p w14:paraId="32F47779">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人</w:t>
            </w:r>
          </w:p>
        </w:tc>
        <w:tc>
          <w:tcPr>
            <w:tcW w:w="1842" w:type="dxa"/>
            <w:tcBorders>
              <w:top w:val="nil"/>
              <w:left w:val="nil"/>
              <w:bottom w:val="single" w:color="auto" w:sz="4" w:space="0"/>
              <w:right w:val="single" w:color="auto" w:sz="4" w:space="0"/>
            </w:tcBorders>
            <w:vAlign w:val="center"/>
          </w:tcPr>
          <w:p w14:paraId="67982257">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100≤X＜200</w:t>
            </w:r>
          </w:p>
        </w:tc>
        <w:tc>
          <w:tcPr>
            <w:tcW w:w="1701" w:type="dxa"/>
            <w:tcBorders>
              <w:top w:val="nil"/>
              <w:left w:val="nil"/>
              <w:bottom w:val="single" w:color="auto" w:sz="4" w:space="0"/>
              <w:right w:val="single" w:color="auto" w:sz="4" w:space="0"/>
            </w:tcBorders>
            <w:vAlign w:val="center"/>
          </w:tcPr>
          <w:p w14:paraId="526A4516">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20≤X＜100</w:t>
            </w:r>
          </w:p>
        </w:tc>
        <w:tc>
          <w:tcPr>
            <w:tcW w:w="1134" w:type="dxa"/>
            <w:tcBorders>
              <w:top w:val="nil"/>
              <w:left w:val="nil"/>
              <w:bottom w:val="single" w:color="auto" w:sz="4" w:space="0"/>
              <w:right w:val="single" w:color="auto" w:sz="4" w:space="0"/>
            </w:tcBorders>
            <w:vAlign w:val="center"/>
          </w:tcPr>
          <w:p w14:paraId="51E942E5">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X＜20</w:t>
            </w:r>
          </w:p>
        </w:tc>
      </w:tr>
      <w:tr w14:paraId="764003A4">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3F9F7382">
            <w:pPr>
              <w:widowControl/>
              <w:jc w:val="left"/>
              <w:rPr>
                <w:rFonts w:hint="eastAsia" w:ascii="宋体" w:hAnsi="宋体" w:cs="宋体"/>
                <w:b/>
                <w:bCs/>
                <w:color w:val="000000"/>
                <w:kern w:val="0"/>
                <w:sz w:val="18"/>
                <w:szCs w:val="18"/>
              </w:rPr>
            </w:pPr>
          </w:p>
        </w:tc>
        <w:tc>
          <w:tcPr>
            <w:tcW w:w="1984" w:type="dxa"/>
            <w:tcBorders>
              <w:top w:val="nil"/>
              <w:left w:val="nil"/>
              <w:bottom w:val="single" w:color="auto" w:sz="4" w:space="0"/>
              <w:right w:val="single" w:color="auto" w:sz="4" w:space="0"/>
            </w:tcBorders>
            <w:vAlign w:val="center"/>
          </w:tcPr>
          <w:p w14:paraId="631F268E">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营业收入（Y）</w:t>
            </w:r>
          </w:p>
        </w:tc>
        <w:tc>
          <w:tcPr>
            <w:tcW w:w="851" w:type="dxa"/>
            <w:tcBorders>
              <w:top w:val="nil"/>
              <w:left w:val="nil"/>
              <w:bottom w:val="single" w:color="auto" w:sz="4" w:space="0"/>
              <w:right w:val="single" w:color="auto" w:sz="4" w:space="0"/>
            </w:tcBorders>
            <w:vAlign w:val="center"/>
          </w:tcPr>
          <w:p w14:paraId="3D16F7BE">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万元</w:t>
            </w:r>
          </w:p>
        </w:tc>
        <w:tc>
          <w:tcPr>
            <w:tcW w:w="1842" w:type="dxa"/>
            <w:tcBorders>
              <w:top w:val="nil"/>
              <w:left w:val="nil"/>
              <w:bottom w:val="single" w:color="auto" w:sz="4" w:space="0"/>
              <w:right w:val="single" w:color="auto" w:sz="4" w:space="0"/>
            </w:tcBorders>
            <w:vAlign w:val="center"/>
          </w:tcPr>
          <w:p w14:paraId="352B0BEA">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1000≤Y＜30000</w:t>
            </w:r>
          </w:p>
        </w:tc>
        <w:tc>
          <w:tcPr>
            <w:tcW w:w="1701" w:type="dxa"/>
            <w:tcBorders>
              <w:top w:val="nil"/>
              <w:left w:val="nil"/>
              <w:bottom w:val="single" w:color="auto" w:sz="4" w:space="0"/>
              <w:right w:val="single" w:color="auto" w:sz="4" w:space="0"/>
            </w:tcBorders>
            <w:vAlign w:val="center"/>
          </w:tcPr>
          <w:p w14:paraId="4F74EC52">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100≤Y＜1000</w:t>
            </w:r>
          </w:p>
        </w:tc>
        <w:tc>
          <w:tcPr>
            <w:tcW w:w="1134" w:type="dxa"/>
            <w:tcBorders>
              <w:top w:val="nil"/>
              <w:left w:val="nil"/>
              <w:bottom w:val="single" w:color="auto" w:sz="4" w:space="0"/>
              <w:right w:val="single" w:color="auto" w:sz="4" w:space="0"/>
            </w:tcBorders>
            <w:vAlign w:val="center"/>
          </w:tcPr>
          <w:p w14:paraId="539AD73C">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Y＜100</w:t>
            </w:r>
          </w:p>
        </w:tc>
      </w:tr>
      <w:tr w14:paraId="0CDBFA3B">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10D8AB88">
            <w:pPr>
              <w:widowControl/>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邮政业</w:t>
            </w:r>
          </w:p>
        </w:tc>
        <w:tc>
          <w:tcPr>
            <w:tcW w:w="1984" w:type="dxa"/>
            <w:tcBorders>
              <w:top w:val="nil"/>
              <w:left w:val="nil"/>
              <w:bottom w:val="single" w:color="auto" w:sz="4" w:space="0"/>
              <w:right w:val="single" w:color="auto" w:sz="4" w:space="0"/>
            </w:tcBorders>
            <w:vAlign w:val="center"/>
          </w:tcPr>
          <w:p w14:paraId="63394B1C">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从业人员（X）</w:t>
            </w:r>
          </w:p>
        </w:tc>
        <w:tc>
          <w:tcPr>
            <w:tcW w:w="851" w:type="dxa"/>
            <w:tcBorders>
              <w:top w:val="nil"/>
              <w:left w:val="nil"/>
              <w:bottom w:val="single" w:color="auto" w:sz="4" w:space="0"/>
              <w:right w:val="single" w:color="auto" w:sz="4" w:space="0"/>
            </w:tcBorders>
            <w:vAlign w:val="center"/>
          </w:tcPr>
          <w:p w14:paraId="28034EAF">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人</w:t>
            </w:r>
          </w:p>
        </w:tc>
        <w:tc>
          <w:tcPr>
            <w:tcW w:w="1842" w:type="dxa"/>
            <w:tcBorders>
              <w:top w:val="nil"/>
              <w:left w:val="nil"/>
              <w:bottom w:val="single" w:color="auto" w:sz="4" w:space="0"/>
              <w:right w:val="single" w:color="auto" w:sz="4" w:space="0"/>
            </w:tcBorders>
            <w:vAlign w:val="center"/>
          </w:tcPr>
          <w:p w14:paraId="21EE5D6D">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300≤X＜1000</w:t>
            </w:r>
          </w:p>
        </w:tc>
        <w:tc>
          <w:tcPr>
            <w:tcW w:w="1701" w:type="dxa"/>
            <w:tcBorders>
              <w:top w:val="nil"/>
              <w:left w:val="nil"/>
              <w:bottom w:val="single" w:color="auto" w:sz="4" w:space="0"/>
              <w:right w:val="single" w:color="auto" w:sz="4" w:space="0"/>
            </w:tcBorders>
            <w:vAlign w:val="center"/>
          </w:tcPr>
          <w:p w14:paraId="5082EDDF">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20≤X＜300</w:t>
            </w:r>
          </w:p>
        </w:tc>
        <w:tc>
          <w:tcPr>
            <w:tcW w:w="1134" w:type="dxa"/>
            <w:tcBorders>
              <w:top w:val="nil"/>
              <w:left w:val="nil"/>
              <w:bottom w:val="single" w:color="auto" w:sz="4" w:space="0"/>
              <w:right w:val="single" w:color="auto" w:sz="4" w:space="0"/>
            </w:tcBorders>
            <w:vAlign w:val="center"/>
          </w:tcPr>
          <w:p w14:paraId="49EC6498">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X＜20</w:t>
            </w:r>
          </w:p>
        </w:tc>
      </w:tr>
      <w:tr w14:paraId="0153BF07">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6E1B6932">
            <w:pPr>
              <w:widowControl/>
              <w:jc w:val="left"/>
              <w:rPr>
                <w:rFonts w:hint="eastAsia" w:ascii="宋体" w:hAnsi="宋体" w:cs="宋体"/>
                <w:b/>
                <w:bCs/>
                <w:color w:val="000000"/>
                <w:kern w:val="0"/>
                <w:sz w:val="18"/>
                <w:szCs w:val="18"/>
              </w:rPr>
            </w:pPr>
          </w:p>
        </w:tc>
        <w:tc>
          <w:tcPr>
            <w:tcW w:w="1984" w:type="dxa"/>
            <w:tcBorders>
              <w:top w:val="nil"/>
              <w:left w:val="nil"/>
              <w:bottom w:val="single" w:color="auto" w:sz="4" w:space="0"/>
              <w:right w:val="single" w:color="auto" w:sz="4" w:space="0"/>
            </w:tcBorders>
            <w:vAlign w:val="center"/>
          </w:tcPr>
          <w:p w14:paraId="2C9F931C">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营业收入（Y）</w:t>
            </w:r>
          </w:p>
        </w:tc>
        <w:tc>
          <w:tcPr>
            <w:tcW w:w="851" w:type="dxa"/>
            <w:tcBorders>
              <w:top w:val="nil"/>
              <w:left w:val="nil"/>
              <w:bottom w:val="single" w:color="auto" w:sz="4" w:space="0"/>
              <w:right w:val="single" w:color="auto" w:sz="4" w:space="0"/>
            </w:tcBorders>
            <w:vAlign w:val="center"/>
          </w:tcPr>
          <w:p w14:paraId="00DB5B0A">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万元</w:t>
            </w:r>
          </w:p>
        </w:tc>
        <w:tc>
          <w:tcPr>
            <w:tcW w:w="1842" w:type="dxa"/>
            <w:tcBorders>
              <w:top w:val="nil"/>
              <w:left w:val="nil"/>
              <w:bottom w:val="single" w:color="auto" w:sz="4" w:space="0"/>
              <w:right w:val="single" w:color="auto" w:sz="4" w:space="0"/>
            </w:tcBorders>
            <w:vAlign w:val="center"/>
          </w:tcPr>
          <w:p w14:paraId="7A403525">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2000≤Y＜30000</w:t>
            </w:r>
          </w:p>
        </w:tc>
        <w:tc>
          <w:tcPr>
            <w:tcW w:w="1701" w:type="dxa"/>
            <w:tcBorders>
              <w:top w:val="nil"/>
              <w:left w:val="nil"/>
              <w:bottom w:val="single" w:color="auto" w:sz="4" w:space="0"/>
              <w:right w:val="single" w:color="auto" w:sz="4" w:space="0"/>
            </w:tcBorders>
            <w:vAlign w:val="center"/>
          </w:tcPr>
          <w:p w14:paraId="0C43B439">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100≤Y＜2000</w:t>
            </w:r>
          </w:p>
        </w:tc>
        <w:tc>
          <w:tcPr>
            <w:tcW w:w="1134" w:type="dxa"/>
            <w:tcBorders>
              <w:top w:val="nil"/>
              <w:left w:val="nil"/>
              <w:bottom w:val="single" w:color="auto" w:sz="4" w:space="0"/>
              <w:right w:val="single" w:color="auto" w:sz="4" w:space="0"/>
            </w:tcBorders>
            <w:vAlign w:val="center"/>
          </w:tcPr>
          <w:p w14:paraId="1C659D64">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Y＜100</w:t>
            </w:r>
          </w:p>
        </w:tc>
      </w:tr>
      <w:tr w14:paraId="58F9E7AA">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04D41DC7">
            <w:pPr>
              <w:widowControl/>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住宿业</w:t>
            </w:r>
          </w:p>
        </w:tc>
        <w:tc>
          <w:tcPr>
            <w:tcW w:w="1984" w:type="dxa"/>
            <w:tcBorders>
              <w:top w:val="nil"/>
              <w:left w:val="nil"/>
              <w:bottom w:val="single" w:color="auto" w:sz="4" w:space="0"/>
              <w:right w:val="single" w:color="auto" w:sz="4" w:space="0"/>
            </w:tcBorders>
            <w:vAlign w:val="center"/>
          </w:tcPr>
          <w:p w14:paraId="5887118B">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从业人员（X）</w:t>
            </w:r>
          </w:p>
        </w:tc>
        <w:tc>
          <w:tcPr>
            <w:tcW w:w="851" w:type="dxa"/>
            <w:tcBorders>
              <w:top w:val="nil"/>
              <w:left w:val="nil"/>
              <w:bottom w:val="single" w:color="auto" w:sz="4" w:space="0"/>
              <w:right w:val="single" w:color="auto" w:sz="4" w:space="0"/>
            </w:tcBorders>
            <w:vAlign w:val="center"/>
          </w:tcPr>
          <w:p w14:paraId="50B8D3F3">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人</w:t>
            </w:r>
          </w:p>
        </w:tc>
        <w:tc>
          <w:tcPr>
            <w:tcW w:w="1842" w:type="dxa"/>
            <w:tcBorders>
              <w:top w:val="nil"/>
              <w:left w:val="nil"/>
              <w:bottom w:val="single" w:color="auto" w:sz="4" w:space="0"/>
              <w:right w:val="single" w:color="auto" w:sz="4" w:space="0"/>
            </w:tcBorders>
            <w:vAlign w:val="center"/>
          </w:tcPr>
          <w:p w14:paraId="5DA7F2AF">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100≤X＜300</w:t>
            </w:r>
          </w:p>
        </w:tc>
        <w:tc>
          <w:tcPr>
            <w:tcW w:w="1701" w:type="dxa"/>
            <w:tcBorders>
              <w:top w:val="nil"/>
              <w:left w:val="nil"/>
              <w:bottom w:val="single" w:color="auto" w:sz="4" w:space="0"/>
              <w:right w:val="single" w:color="auto" w:sz="4" w:space="0"/>
            </w:tcBorders>
            <w:vAlign w:val="center"/>
          </w:tcPr>
          <w:p w14:paraId="0F160283">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10≤X＜100</w:t>
            </w:r>
          </w:p>
        </w:tc>
        <w:tc>
          <w:tcPr>
            <w:tcW w:w="1134" w:type="dxa"/>
            <w:tcBorders>
              <w:top w:val="nil"/>
              <w:left w:val="nil"/>
              <w:bottom w:val="single" w:color="auto" w:sz="4" w:space="0"/>
              <w:right w:val="single" w:color="auto" w:sz="4" w:space="0"/>
            </w:tcBorders>
            <w:vAlign w:val="center"/>
          </w:tcPr>
          <w:p w14:paraId="5A6B1462">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X＜10</w:t>
            </w:r>
          </w:p>
        </w:tc>
      </w:tr>
      <w:tr w14:paraId="2DC251D7">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06394C76">
            <w:pPr>
              <w:widowControl/>
              <w:jc w:val="left"/>
              <w:rPr>
                <w:rFonts w:hint="eastAsia" w:ascii="宋体" w:hAnsi="宋体" w:cs="宋体"/>
                <w:b/>
                <w:bCs/>
                <w:color w:val="000000"/>
                <w:kern w:val="0"/>
                <w:sz w:val="18"/>
                <w:szCs w:val="18"/>
              </w:rPr>
            </w:pPr>
          </w:p>
        </w:tc>
        <w:tc>
          <w:tcPr>
            <w:tcW w:w="1984" w:type="dxa"/>
            <w:tcBorders>
              <w:top w:val="nil"/>
              <w:left w:val="nil"/>
              <w:bottom w:val="single" w:color="auto" w:sz="4" w:space="0"/>
              <w:right w:val="single" w:color="auto" w:sz="4" w:space="0"/>
            </w:tcBorders>
            <w:vAlign w:val="center"/>
          </w:tcPr>
          <w:p w14:paraId="5F370D54">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营业收入（Y）</w:t>
            </w:r>
          </w:p>
        </w:tc>
        <w:tc>
          <w:tcPr>
            <w:tcW w:w="851" w:type="dxa"/>
            <w:tcBorders>
              <w:top w:val="nil"/>
              <w:left w:val="nil"/>
              <w:bottom w:val="single" w:color="auto" w:sz="4" w:space="0"/>
              <w:right w:val="single" w:color="auto" w:sz="4" w:space="0"/>
            </w:tcBorders>
            <w:vAlign w:val="center"/>
          </w:tcPr>
          <w:p w14:paraId="5E072DC6">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万元</w:t>
            </w:r>
          </w:p>
        </w:tc>
        <w:tc>
          <w:tcPr>
            <w:tcW w:w="1842" w:type="dxa"/>
            <w:tcBorders>
              <w:top w:val="nil"/>
              <w:left w:val="nil"/>
              <w:bottom w:val="single" w:color="auto" w:sz="4" w:space="0"/>
              <w:right w:val="single" w:color="auto" w:sz="4" w:space="0"/>
            </w:tcBorders>
            <w:vAlign w:val="center"/>
          </w:tcPr>
          <w:p w14:paraId="5473F219">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2000≤Y＜10000</w:t>
            </w:r>
          </w:p>
        </w:tc>
        <w:tc>
          <w:tcPr>
            <w:tcW w:w="1701" w:type="dxa"/>
            <w:tcBorders>
              <w:top w:val="nil"/>
              <w:left w:val="nil"/>
              <w:bottom w:val="single" w:color="auto" w:sz="4" w:space="0"/>
              <w:right w:val="single" w:color="auto" w:sz="4" w:space="0"/>
            </w:tcBorders>
            <w:vAlign w:val="center"/>
          </w:tcPr>
          <w:p w14:paraId="7F1B9BDE">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100≤Y＜2000</w:t>
            </w:r>
          </w:p>
        </w:tc>
        <w:tc>
          <w:tcPr>
            <w:tcW w:w="1134" w:type="dxa"/>
            <w:tcBorders>
              <w:top w:val="nil"/>
              <w:left w:val="nil"/>
              <w:bottom w:val="single" w:color="auto" w:sz="4" w:space="0"/>
              <w:right w:val="single" w:color="auto" w:sz="4" w:space="0"/>
            </w:tcBorders>
            <w:vAlign w:val="center"/>
          </w:tcPr>
          <w:p w14:paraId="61379E57">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Y＜100</w:t>
            </w:r>
          </w:p>
        </w:tc>
      </w:tr>
      <w:tr w14:paraId="61660938">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12CA5D9B">
            <w:pPr>
              <w:widowControl/>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餐饮业</w:t>
            </w:r>
          </w:p>
        </w:tc>
        <w:tc>
          <w:tcPr>
            <w:tcW w:w="1984" w:type="dxa"/>
            <w:tcBorders>
              <w:top w:val="nil"/>
              <w:left w:val="nil"/>
              <w:bottom w:val="single" w:color="auto" w:sz="4" w:space="0"/>
              <w:right w:val="single" w:color="auto" w:sz="4" w:space="0"/>
            </w:tcBorders>
            <w:vAlign w:val="center"/>
          </w:tcPr>
          <w:p w14:paraId="7875B522">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从业人员（X）</w:t>
            </w:r>
          </w:p>
        </w:tc>
        <w:tc>
          <w:tcPr>
            <w:tcW w:w="851" w:type="dxa"/>
            <w:tcBorders>
              <w:top w:val="nil"/>
              <w:left w:val="nil"/>
              <w:bottom w:val="single" w:color="auto" w:sz="4" w:space="0"/>
              <w:right w:val="single" w:color="auto" w:sz="4" w:space="0"/>
            </w:tcBorders>
            <w:vAlign w:val="center"/>
          </w:tcPr>
          <w:p w14:paraId="56B2D189">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人</w:t>
            </w:r>
          </w:p>
        </w:tc>
        <w:tc>
          <w:tcPr>
            <w:tcW w:w="1842" w:type="dxa"/>
            <w:tcBorders>
              <w:top w:val="nil"/>
              <w:left w:val="nil"/>
              <w:bottom w:val="single" w:color="auto" w:sz="4" w:space="0"/>
              <w:right w:val="single" w:color="auto" w:sz="4" w:space="0"/>
            </w:tcBorders>
            <w:vAlign w:val="center"/>
          </w:tcPr>
          <w:p w14:paraId="251D5C19">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100≤X＜300</w:t>
            </w:r>
          </w:p>
        </w:tc>
        <w:tc>
          <w:tcPr>
            <w:tcW w:w="1701" w:type="dxa"/>
            <w:tcBorders>
              <w:top w:val="nil"/>
              <w:left w:val="nil"/>
              <w:bottom w:val="single" w:color="auto" w:sz="4" w:space="0"/>
              <w:right w:val="single" w:color="auto" w:sz="4" w:space="0"/>
            </w:tcBorders>
            <w:vAlign w:val="center"/>
          </w:tcPr>
          <w:p w14:paraId="7262F110">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10≤X＜100</w:t>
            </w:r>
          </w:p>
        </w:tc>
        <w:tc>
          <w:tcPr>
            <w:tcW w:w="1134" w:type="dxa"/>
            <w:tcBorders>
              <w:top w:val="nil"/>
              <w:left w:val="nil"/>
              <w:bottom w:val="single" w:color="auto" w:sz="4" w:space="0"/>
              <w:right w:val="single" w:color="auto" w:sz="4" w:space="0"/>
            </w:tcBorders>
            <w:vAlign w:val="center"/>
          </w:tcPr>
          <w:p w14:paraId="58C6E5AD">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X＜10</w:t>
            </w:r>
          </w:p>
        </w:tc>
      </w:tr>
      <w:tr w14:paraId="7310DED9">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227C8E59">
            <w:pPr>
              <w:widowControl/>
              <w:jc w:val="left"/>
              <w:rPr>
                <w:rFonts w:hint="eastAsia" w:ascii="宋体" w:hAnsi="宋体" w:cs="宋体"/>
                <w:b/>
                <w:bCs/>
                <w:color w:val="000000"/>
                <w:kern w:val="0"/>
                <w:sz w:val="18"/>
                <w:szCs w:val="18"/>
              </w:rPr>
            </w:pPr>
          </w:p>
        </w:tc>
        <w:tc>
          <w:tcPr>
            <w:tcW w:w="1984" w:type="dxa"/>
            <w:tcBorders>
              <w:top w:val="nil"/>
              <w:left w:val="nil"/>
              <w:bottom w:val="single" w:color="auto" w:sz="4" w:space="0"/>
              <w:right w:val="single" w:color="auto" w:sz="4" w:space="0"/>
            </w:tcBorders>
            <w:vAlign w:val="center"/>
          </w:tcPr>
          <w:p w14:paraId="1F6DC07B">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营业收入（Y）</w:t>
            </w:r>
          </w:p>
        </w:tc>
        <w:tc>
          <w:tcPr>
            <w:tcW w:w="851" w:type="dxa"/>
            <w:tcBorders>
              <w:top w:val="nil"/>
              <w:left w:val="nil"/>
              <w:bottom w:val="single" w:color="auto" w:sz="4" w:space="0"/>
              <w:right w:val="single" w:color="auto" w:sz="4" w:space="0"/>
            </w:tcBorders>
            <w:vAlign w:val="center"/>
          </w:tcPr>
          <w:p w14:paraId="507DE17C">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万元</w:t>
            </w:r>
          </w:p>
        </w:tc>
        <w:tc>
          <w:tcPr>
            <w:tcW w:w="1842" w:type="dxa"/>
            <w:tcBorders>
              <w:top w:val="nil"/>
              <w:left w:val="nil"/>
              <w:bottom w:val="single" w:color="auto" w:sz="4" w:space="0"/>
              <w:right w:val="single" w:color="auto" w:sz="4" w:space="0"/>
            </w:tcBorders>
            <w:vAlign w:val="center"/>
          </w:tcPr>
          <w:p w14:paraId="084031BC">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2000≤Y＜10000</w:t>
            </w:r>
          </w:p>
        </w:tc>
        <w:tc>
          <w:tcPr>
            <w:tcW w:w="1701" w:type="dxa"/>
            <w:tcBorders>
              <w:top w:val="nil"/>
              <w:left w:val="nil"/>
              <w:bottom w:val="single" w:color="auto" w:sz="4" w:space="0"/>
              <w:right w:val="single" w:color="auto" w:sz="4" w:space="0"/>
            </w:tcBorders>
            <w:vAlign w:val="center"/>
          </w:tcPr>
          <w:p w14:paraId="21C0AB0D">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100≤Y＜2000</w:t>
            </w:r>
          </w:p>
        </w:tc>
        <w:tc>
          <w:tcPr>
            <w:tcW w:w="1134" w:type="dxa"/>
            <w:tcBorders>
              <w:top w:val="nil"/>
              <w:left w:val="nil"/>
              <w:bottom w:val="single" w:color="auto" w:sz="4" w:space="0"/>
              <w:right w:val="single" w:color="auto" w:sz="4" w:space="0"/>
            </w:tcBorders>
            <w:vAlign w:val="center"/>
          </w:tcPr>
          <w:p w14:paraId="776EDC93">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Y＜100</w:t>
            </w:r>
          </w:p>
        </w:tc>
      </w:tr>
      <w:tr w14:paraId="2C9AA5B6">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694216F4">
            <w:pPr>
              <w:widowControl/>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信息传输业</w:t>
            </w:r>
          </w:p>
        </w:tc>
        <w:tc>
          <w:tcPr>
            <w:tcW w:w="1984" w:type="dxa"/>
            <w:tcBorders>
              <w:top w:val="nil"/>
              <w:left w:val="nil"/>
              <w:bottom w:val="single" w:color="auto" w:sz="4" w:space="0"/>
              <w:right w:val="single" w:color="auto" w:sz="4" w:space="0"/>
            </w:tcBorders>
            <w:vAlign w:val="center"/>
          </w:tcPr>
          <w:p w14:paraId="27776CAD">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从业人员（X）</w:t>
            </w:r>
          </w:p>
        </w:tc>
        <w:tc>
          <w:tcPr>
            <w:tcW w:w="851" w:type="dxa"/>
            <w:tcBorders>
              <w:top w:val="nil"/>
              <w:left w:val="nil"/>
              <w:bottom w:val="single" w:color="auto" w:sz="4" w:space="0"/>
              <w:right w:val="single" w:color="auto" w:sz="4" w:space="0"/>
            </w:tcBorders>
            <w:vAlign w:val="center"/>
          </w:tcPr>
          <w:p w14:paraId="2B91011D">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人</w:t>
            </w:r>
          </w:p>
        </w:tc>
        <w:tc>
          <w:tcPr>
            <w:tcW w:w="1842" w:type="dxa"/>
            <w:tcBorders>
              <w:top w:val="nil"/>
              <w:left w:val="nil"/>
              <w:bottom w:val="single" w:color="auto" w:sz="4" w:space="0"/>
              <w:right w:val="single" w:color="auto" w:sz="4" w:space="0"/>
            </w:tcBorders>
            <w:vAlign w:val="center"/>
          </w:tcPr>
          <w:p w14:paraId="74E48E53">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100≤X＜2000</w:t>
            </w:r>
          </w:p>
        </w:tc>
        <w:tc>
          <w:tcPr>
            <w:tcW w:w="1701" w:type="dxa"/>
            <w:tcBorders>
              <w:top w:val="nil"/>
              <w:left w:val="nil"/>
              <w:bottom w:val="single" w:color="auto" w:sz="4" w:space="0"/>
              <w:right w:val="single" w:color="auto" w:sz="4" w:space="0"/>
            </w:tcBorders>
            <w:vAlign w:val="center"/>
          </w:tcPr>
          <w:p w14:paraId="7F34E95B">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10≤X＜100</w:t>
            </w:r>
          </w:p>
        </w:tc>
        <w:tc>
          <w:tcPr>
            <w:tcW w:w="1134" w:type="dxa"/>
            <w:tcBorders>
              <w:top w:val="nil"/>
              <w:left w:val="nil"/>
              <w:bottom w:val="single" w:color="auto" w:sz="4" w:space="0"/>
              <w:right w:val="single" w:color="auto" w:sz="4" w:space="0"/>
            </w:tcBorders>
            <w:vAlign w:val="center"/>
          </w:tcPr>
          <w:p w14:paraId="2BE934C8">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X＜10</w:t>
            </w:r>
          </w:p>
        </w:tc>
      </w:tr>
      <w:tr w14:paraId="29C0C7CB">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43D414C7">
            <w:pPr>
              <w:widowControl/>
              <w:jc w:val="left"/>
              <w:rPr>
                <w:rFonts w:hint="eastAsia" w:ascii="宋体" w:hAnsi="宋体" w:cs="宋体"/>
                <w:b/>
                <w:bCs/>
                <w:color w:val="000000"/>
                <w:kern w:val="0"/>
                <w:sz w:val="18"/>
                <w:szCs w:val="18"/>
              </w:rPr>
            </w:pPr>
          </w:p>
        </w:tc>
        <w:tc>
          <w:tcPr>
            <w:tcW w:w="1984" w:type="dxa"/>
            <w:tcBorders>
              <w:top w:val="nil"/>
              <w:left w:val="nil"/>
              <w:bottom w:val="single" w:color="auto" w:sz="4" w:space="0"/>
              <w:right w:val="single" w:color="auto" w:sz="4" w:space="0"/>
            </w:tcBorders>
            <w:vAlign w:val="center"/>
          </w:tcPr>
          <w:p w14:paraId="3A2DF215">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营业收入（Y）</w:t>
            </w:r>
          </w:p>
        </w:tc>
        <w:tc>
          <w:tcPr>
            <w:tcW w:w="851" w:type="dxa"/>
            <w:tcBorders>
              <w:top w:val="nil"/>
              <w:left w:val="nil"/>
              <w:bottom w:val="single" w:color="auto" w:sz="4" w:space="0"/>
              <w:right w:val="single" w:color="auto" w:sz="4" w:space="0"/>
            </w:tcBorders>
            <w:vAlign w:val="center"/>
          </w:tcPr>
          <w:p w14:paraId="0FACD6AA">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万元</w:t>
            </w:r>
          </w:p>
        </w:tc>
        <w:tc>
          <w:tcPr>
            <w:tcW w:w="1842" w:type="dxa"/>
            <w:tcBorders>
              <w:top w:val="nil"/>
              <w:left w:val="nil"/>
              <w:bottom w:val="single" w:color="auto" w:sz="4" w:space="0"/>
              <w:right w:val="single" w:color="auto" w:sz="4" w:space="0"/>
            </w:tcBorders>
            <w:vAlign w:val="center"/>
          </w:tcPr>
          <w:p w14:paraId="74B3F2B9">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1000≤Y＜100000</w:t>
            </w:r>
          </w:p>
        </w:tc>
        <w:tc>
          <w:tcPr>
            <w:tcW w:w="1701" w:type="dxa"/>
            <w:tcBorders>
              <w:top w:val="nil"/>
              <w:left w:val="nil"/>
              <w:bottom w:val="single" w:color="auto" w:sz="4" w:space="0"/>
              <w:right w:val="single" w:color="auto" w:sz="4" w:space="0"/>
            </w:tcBorders>
            <w:vAlign w:val="center"/>
          </w:tcPr>
          <w:p w14:paraId="3673A189">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100≤Y＜1000</w:t>
            </w:r>
          </w:p>
        </w:tc>
        <w:tc>
          <w:tcPr>
            <w:tcW w:w="1134" w:type="dxa"/>
            <w:tcBorders>
              <w:top w:val="nil"/>
              <w:left w:val="nil"/>
              <w:bottom w:val="single" w:color="auto" w:sz="4" w:space="0"/>
              <w:right w:val="single" w:color="auto" w:sz="4" w:space="0"/>
            </w:tcBorders>
            <w:vAlign w:val="center"/>
          </w:tcPr>
          <w:p w14:paraId="0D08E834">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Y＜100</w:t>
            </w:r>
          </w:p>
        </w:tc>
      </w:tr>
      <w:tr w14:paraId="166D9ADD">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63BD735C">
            <w:pPr>
              <w:widowControl/>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软件和信息技术服务业</w:t>
            </w:r>
          </w:p>
        </w:tc>
        <w:tc>
          <w:tcPr>
            <w:tcW w:w="1984" w:type="dxa"/>
            <w:tcBorders>
              <w:top w:val="nil"/>
              <w:left w:val="nil"/>
              <w:bottom w:val="single" w:color="auto" w:sz="4" w:space="0"/>
              <w:right w:val="single" w:color="auto" w:sz="4" w:space="0"/>
            </w:tcBorders>
            <w:vAlign w:val="center"/>
          </w:tcPr>
          <w:p w14:paraId="75FF8E99">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从业人员（X）</w:t>
            </w:r>
          </w:p>
        </w:tc>
        <w:tc>
          <w:tcPr>
            <w:tcW w:w="851" w:type="dxa"/>
            <w:tcBorders>
              <w:top w:val="nil"/>
              <w:left w:val="nil"/>
              <w:bottom w:val="single" w:color="auto" w:sz="4" w:space="0"/>
              <w:right w:val="single" w:color="auto" w:sz="4" w:space="0"/>
            </w:tcBorders>
            <w:vAlign w:val="center"/>
          </w:tcPr>
          <w:p w14:paraId="680E7F49">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人</w:t>
            </w:r>
          </w:p>
        </w:tc>
        <w:tc>
          <w:tcPr>
            <w:tcW w:w="1842" w:type="dxa"/>
            <w:tcBorders>
              <w:top w:val="nil"/>
              <w:left w:val="nil"/>
              <w:bottom w:val="single" w:color="auto" w:sz="4" w:space="0"/>
              <w:right w:val="single" w:color="auto" w:sz="4" w:space="0"/>
            </w:tcBorders>
            <w:vAlign w:val="center"/>
          </w:tcPr>
          <w:p w14:paraId="0F360F87">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100≤X＜300</w:t>
            </w:r>
          </w:p>
        </w:tc>
        <w:tc>
          <w:tcPr>
            <w:tcW w:w="1701" w:type="dxa"/>
            <w:tcBorders>
              <w:top w:val="nil"/>
              <w:left w:val="nil"/>
              <w:bottom w:val="single" w:color="auto" w:sz="4" w:space="0"/>
              <w:right w:val="single" w:color="auto" w:sz="4" w:space="0"/>
            </w:tcBorders>
            <w:vAlign w:val="center"/>
          </w:tcPr>
          <w:p w14:paraId="27FE791F">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10≤X＜100</w:t>
            </w:r>
          </w:p>
        </w:tc>
        <w:tc>
          <w:tcPr>
            <w:tcW w:w="1134" w:type="dxa"/>
            <w:tcBorders>
              <w:top w:val="nil"/>
              <w:left w:val="nil"/>
              <w:bottom w:val="single" w:color="auto" w:sz="4" w:space="0"/>
              <w:right w:val="single" w:color="auto" w:sz="4" w:space="0"/>
            </w:tcBorders>
            <w:vAlign w:val="center"/>
          </w:tcPr>
          <w:p w14:paraId="68797440">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X＜10</w:t>
            </w:r>
          </w:p>
        </w:tc>
      </w:tr>
      <w:tr w14:paraId="5026845F">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05DABB13">
            <w:pPr>
              <w:widowControl/>
              <w:jc w:val="left"/>
              <w:rPr>
                <w:rFonts w:hint="eastAsia" w:ascii="宋体" w:hAnsi="宋体" w:cs="宋体"/>
                <w:b/>
                <w:bCs/>
                <w:color w:val="000000"/>
                <w:kern w:val="0"/>
                <w:sz w:val="18"/>
                <w:szCs w:val="18"/>
              </w:rPr>
            </w:pPr>
          </w:p>
        </w:tc>
        <w:tc>
          <w:tcPr>
            <w:tcW w:w="1984" w:type="dxa"/>
            <w:tcBorders>
              <w:top w:val="nil"/>
              <w:left w:val="nil"/>
              <w:bottom w:val="single" w:color="auto" w:sz="4" w:space="0"/>
              <w:right w:val="single" w:color="auto" w:sz="4" w:space="0"/>
            </w:tcBorders>
            <w:vAlign w:val="center"/>
          </w:tcPr>
          <w:p w14:paraId="33477084">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营业收入（Y）</w:t>
            </w:r>
          </w:p>
        </w:tc>
        <w:tc>
          <w:tcPr>
            <w:tcW w:w="851" w:type="dxa"/>
            <w:tcBorders>
              <w:top w:val="nil"/>
              <w:left w:val="nil"/>
              <w:bottom w:val="single" w:color="auto" w:sz="4" w:space="0"/>
              <w:right w:val="single" w:color="auto" w:sz="4" w:space="0"/>
            </w:tcBorders>
            <w:vAlign w:val="center"/>
          </w:tcPr>
          <w:p w14:paraId="56B43CA9">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万元</w:t>
            </w:r>
          </w:p>
        </w:tc>
        <w:tc>
          <w:tcPr>
            <w:tcW w:w="1842" w:type="dxa"/>
            <w:tcBorders>
              <w:top w:val="nil"/>
              <w:left w:val="nil"/>
              <w:bottom w:val="single" w:color="auto" w:sz="4" w:space="0"/>
              <w:right w:val="single" w:color="auto" w:sz="4" w:space="0"/>
            </w:tcBorders>
            <w:vAlign w:val="center"/>
          </w:tcPr>
          <w:p w14:paraId="5B880EE3">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1000≤Y＜10000</w:t>
            </w:r>
          </w:p>
        </w:tc>
        <w:tc>
          <w:tcPr>
            <w:tcW w:w="1701" w:type="dxa"/>
            <w:tcBorders>
              <w:top w:val="nil"/>
              <w:left w:val="nil"/>
              <w:bottom w:val="single" w:color="auto" w:sz="4" w:space="0"/>
              <w:right w:val="single" w:color="auto" w:sz="4" w:space="0"/>
            </w:tcBorders>
            <w:vAlign w:val="center"/>
          </w:tcPr>
          <w:p w14:paraId="0DAFFF19">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50≤Y＜1000</w:t>
            </w:r>
          </w:p>
        </w:tc>
        <w:tc>
          <w:tcPr>
            <w:tcW w:w="1134" w:type="dxa"/>
            <w:tcBorders>
              <w:top w:val="nil"/>
              <w:left w:val="nil"/>
              <w:bottom w:val="single" w:color="auto" w:sz="4" w:space="0"/>
              <w:right w:val="single" w:color="auto" w:sz="4" w:space="0"/>
            </w:tcBorders>
            <w:vAlign w:val="center"/>
          </w:tcPr>
          <w:p w14:paraId="33DA1363">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Y＜50</w:t>
            </w:r>
          </w:p>
        </w:tc>
      </w:tr>
      <w:tr w14:paraId="2034CA98">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70B10E52">
            <w:pPr>
              <w:widowControl/>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房地产开发经营</w:t>
            </w:r>
          </w:p>
        </w:tc>
        <w:tc>
          <w:tcPr>
            <w:tcW w:w="1984" w:type="dxa"/>
            <w:tcBorders>
              <w:top w:val="nil"/>
              <w:left w:val="nil"/>
              <w:bottom w:val="single" w:color="auto" w:sz="4" w:space="0"/>
              <w:right w:val="single" w:color="auto" w:sz="4" w:space="0"/>
            </w:tcBorders>
            <w:vAlign w:val="center"/>
          </w:tcPr>
          <w:p w14:paraId="537F4983">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营业收入（Y）</w:t>
            </w:r>
          </w:p>
        </w:tc>
        <w:tc>
          <w:tcPr>
            <w:tcW w:w="851" w:type="dxa"/>
            <w:tcBorders>
              <w:top w:val="nil"/>
              <w:left w:val="nil"/>
              <w:bottom w:val="single" w:color="auto" w:sz="4" w:space="0"/>
              <w:right w:val="single" w:color="auto" w:sz="4" w:space="0"/>
            </w:tcBorders>
            <w:vAlign w:val="center"/>
          </w:tcPr>
          <w:p w14:paraId="55340BD1">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万元</w:t>
            </w:r>
          </w:p>
        </w:tc>
        <w:tc>
          <w:tcPr>
            <w:tcW w:w="1842" w:type="dxa"/>
            <w:tcBorders>
              <w:top w:val="nil"/>
              <w:left w:val="nil"/>
              <w:bottom w:val="single" w:color="auto" w:sz="4" w:space="0"/>
              <w:right w:val="single" w:color="auto" w:sz="4" w:space="0"/>
            </w:tcBorders>
            <w:vAlign w:val="center"/>
          </w:tcPr>
          <w:p w14:paraId="48B639FA">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1000≤Y＜200000</w:t>
            </w:r>
          </w:p>
        </w:tc>
        <w:tc>
          <w:tcPr>
            <w:tcW w:w="1701" w:type="dxa"/>
            <w:tcBorders>
              <w:top w:val="nil"/>
              <w:left w:val="nil"/>
              <w:bottom w:val="single" w:color="auto" w:sz="4" w:space="0"/>
              <w:right w:val="single" w:color="auto" w:sz="4" w:space="0"/>
            </w:tcBorders>
            <w:vAlign w:val="center"/>
          </w:tcPr>
          <w:p w14:paraId="11DAF8A0">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100≤X＜1000</w:t>
            </w:r>
          </w:p>
        </w:tc>
        <w:tc>
          <w:tcPr>
            <w:tcW w:w="1134" w:type="dxa"/>
            <w:tcBorders>
              <w:top w:val="nil"/>
              <w:left w:val="nil"/>
              <w:bottom w:val="single" w:color="auto" w:sz="4" w:space="0"/>
              <w:right w:val="single" w:color="auto" w:sz="4" w:space="0"/>
            </w:tcBorders>
            <w:vAlign w:val="center"/>
          </w:tcPr>
          <w:p w14:paraId="1880CC92">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X＜100</w:t>
            </w:r>
          </w:p>
        </w:tc>
      </w:tr>
      <w:tr w14:paraId="300A757A">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244CDC9F">
            <w:pPr>
              <w:widowControl/>
              <w:jc w:val="left"/>
              <w:rPr>
                <w:rFonts w:hint="eastAsia" w:ascii="宋体" w:hAnsi="宋体" w:cs="宋体"/>
                <w:b/>
                <w:bCs/>
                <w:color w:val="000000"/>
                <w:kern w:val="0"/>
                <w:sz w:val="18"/>
                <w:szCs w:val="18"/>
              </w:rPr>
            </w:pPr>
          </w:p>
        </w:tc>
        <w:tc>
          <w:tcPr>
            <w:tcW w:w="1984" w:type="dxa"/>
            <w:tcBorders>
              <w:top w:val="nil"/>
              <w:left w:val="nil"/>
              <w:bottom w:val="single" w:color="auto" w:sz="4" w:space="0"/>
              <w:right w:val="single" w:color="auto" w:sz="4" w:space="0"/>
            </w:tcBorders>
            <w:vAlign w:val="center"/>
          </w:tcPr>
          <w:p w14:paraId="33B88A77">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资产总额（Z）</w:t>
            </w:r>
          </w:p>
        </w:tc>
        <w:tc>
          <w:tcPr>
            <w:tcW w:w="851" w:type="dxa"/>
            <w:tcBorders>
              <w:top w:val="nil"/>
              <w:left w:val="nil"/>
              <w:bottom w:val="single" w:color="auto" w:sz="4" w:space="0"/>
              <w:right w:val="single" w:color="auto" w:sz="4" w:space="0"/>
            </w:tcBorders>
            <w:vAlign w:val="center"/>
          </w:tcPr>
          <w:p w14:paraId="49A4D4BE">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万元</w:t>
            </w:r>
          </w:p>
        </w:tc>
        <w:tc>
          <w:tcPr>
            <w:tcW w:w="1842" w:type="dxa"/>
            <w:tcBorders>
              <w:top w:val="nil"/>
              <w:left w:val="nil"/>
              <w:bottom w:val="single" w:color="auto" w:sz="4" w:space="0"/>
              <w:right w:val="single" w:color="auto" w:sz="4" w:space="0"/>
            </w:tcBorders>
            <w:vAlign w:val="center"/>
          </w:tcPr>
          <w:p w14:paraId="53824AE0">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5000≤Z＜10000</w:t>
            </w:r>
          </w:p>
        </w:tc>
        <w:tc>
          <w:tcPr>
            <w:tcW w:w="1701" w:type="dxa"/>
            <w:tcBorders>
              <w:top w:val="nil"/>
              <w:left w:val="nil"/>
              <w:bottom w:val="single" w:color="auto" w:sz="4" w:space="0"/>
              <w:right w:val="single" w:color="auto" w:sz="4" w:space="0"/>
            </w:tcBorders>
            <w:vAlign w:val="center"/>
          </w:tcPr>
          <w:p w14:paraId="487F42A6">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2000≤Y＜5000</w:t>
            </w:r>
          </w:p>
        </w:tc>
        <w:tc>
          <w:tcPr>
            <w:tcW w:w="1134" w:type="dxa"/>
            <w:tcBorders>
              <w:top w:val="nil"/>
              <w:left w:val="nil"/>
              <w:bottom w:val="single" w:color="auto" w:sz="4" w:space="0"/>
              <w:right w:val="single" w:color="auto" w:sz="4" w:space="0"/>
            </w:tcBorders>
            <w:vAlign w:val="center"/>
          </w:tcPr>
          <w:p w14:paraId="552CBAE3">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Y＜2000</w:t>
            </w:r>
          </w:p>
        </w:tc>
      </w:tr>
      <w:tr w14:paraId="63AD117F">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1C498916">
            <w:pPr>
              <w:widowControl/>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物业管理</w:t>
            </w:r>
          </w:p>
        </w:tc>
        <w:tc>
          <w:tcPr>
            <w:tcW w:w="1984" w:type="dxa"/>
            <w:tcBorders>
              <w:top w:val="nil"/>
              <w:left w:val="nil"/>
              <w:bottom w:val="single" w:color="auto" w:sz="4" w:space="0"/>
              <w:right w:val="single" w:color="auto" w:sz="4" w:space="0"/>
            </w:tcBorders>
            <w:vAlign w:val="center"/>
          </w:tcPr>
          <w:p w14:paraId="4C1CDA92">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从业人员（X）</w:t>
            </w:r>
          </w:p>
        </w:tc>
        <w:tc>
          <w:tcPr>
            <w:tcW w:w="851" w:type="dxa"/>
            <w:tcBorders>
              <w:top w:val="nil"/>
              <w:left w:val="nil"/>
              <w:bottom w:val="single" w:color="auto" w:sz="4" w:space="0"/>
              <w:right w:val="single" w:color="auto" w:sz="4" w:space="0"/>
            </w:tcBorders>
            <w:vAlign w:val="center"/>
          </w:tcPr>
          <w:p w14:paraId="09F9FB1E">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人</w:t>
            </w:r>
          </w:p>
        </w:tc>
        <w:tc>
          <w:tcPr>
            <w:tcW w:w="1842" w:type="dxa"/>
            <w:tcBorders>
              <w:top w:val="nil"/>
              <w:left w:val="nil"/>
              <w:bottom w:val="single" w:color="auto" w:sz="4" w:space="0"/>
              <w:right w:val="single" w:color="auto" w:sz="4" w:space="0"/>
            </w:tcBorders>
            <w:vAlign w:val="center"/>
          </w:tcPr>
          <w:p w14:paraId="56236CD6">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300≤X＜1000</w:t>
            </w:r>
          </w:p>
        </w:tc>
        <w:tc>
          <w:tcPr>
            <w:tcW w:w="1701" w:type="dxa"/>
            <w:tcBorders>
              <w:top w:val="nil"/>
              <w:left w:val="nil"/>
              <w:bottom w:val="single" w:color="auto" w:sz="4" w:space="0"/>
              <w:right w:val="single" w:color="auto" w:sz="4" w:space="0"/>
            </w:tcBorders>
            <w:vAlign w:val="center"/>
          </w:tcPr>
          <w:p w14:paraId="28133DC3">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100≤X＜300</w:t>
            </w:r>
          </w:p>
        </w:tc>
        <w:tc>
          <w:tcPr>
            <w:tcW w:w="1134" w:type="dxa"/>
            <w:tcBorders>
              <w:top w:val="nil"/>
              <w:left w:val="nil"/>
              <w:bottom w:val="single" w:color="auto" w:sz="4" w:space="0"/>
              <w:right w:val="single" w:color="auto" w:sz="4" w:space="0"/>
            </w:tcBorders>
            <w:vAlign w:val="center"/>
          </w:tcPr>
          <w:p w14:paraId="05352A86">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X＜100</w:t>
            </w:r>
          </w:p>
        </w:tc>
      </w:tr>
      <w:tr w14:paraId="0F733646">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01852589">
            <w:pPr>
              <w:widowControl/>
              <w:jc w:val="left"/>
              <w:rPr>
                <w:rFonts w:hint="eastAsia" w:ascii="宋体" w:hAnsi="宋体" w:cs="宋体"/>
                <w:b/>
                <w:bCs/>
                <w:color w:val="000000"/>
                <w:kern w:val="0"/>
                <w:sz w:val="18"/>
                <w:szCs w:val="18"/>
              </w:rPr>
            </w:pPr>
          </w:p>
        </w:tc>
        <w:tc>
          <w:tcPr>
            <w:tcW w:w="1984" w:type="dxa"/>
            <w:tcBorders>
              <w:top w:val="nil"/>
              <w:left w:val="nil"/>
              <w:bottom w:val="single" w:color="auto" w:sz="4" w:space="0"/>
              <w:right w:val="single" w:color="auto" w:sz="4" w:space="0"/>
            </w:tcBorders>
            <w:vAlign w:val="center"/>
          </w:tcPr>
          <w:p w14:paraId="6BFD9790">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营业收入（Y）</w:t>
            </w:r>
          </w:p>
        </w:tc>
        <w:tc>
          <w:tcPr>
            <w:tcW w:w="851" w:type="dxa"/>
            <w:tcBorders>
              <w:top w:val="nil"/>
              <w:left w:val="nil"/>
              <w:bottom w:val="single" w:color="auto" w:sz="4" w:space="0"/>
              <w:right w:val="single" w:color="auto" w:sz="4" w:space="0"/>
            </w:tcBorders>
            <w:vAlign w:val="center"/>
          </w:tcPr>
          <w:p w14:paraId="7AAC6240">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万元</w:t>
            </w:r>
          </w:p>
        </w:tc>
        <w:tc>
          <w:tcPr>
            <w:tcW w:w="1842" w:type="dxa"/>
            <w:tcBorders>
              <w:top w:val="nil"/>
              <w:left w:val="nil"/>
              <w:bottom w:val="single" w:color="auto" w:sz="4" w:space="0"/>
              <w:right w:val="single" w:color="auto" w:sz="4" w:space="0"/>
            </w:tcBorders>
            <w:vAlign w:val="center"/>
          </w:tcPr>
          <w:p w14:paraId="42422F0E">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1000≤Y＜5000</w:t>
            </w:r>
          </w:p>
        </w:tc>
        <w:tc>
          <w:tcPr>
            <w:tcW w:w="1701" w:type="dxa"/>
            <w:tcBorders>
              <w:top w:val="nil"/>
              <w:left w:val="nil"/>
              <w:bottom w:val="single" w:color="auto" w:sz="4" w:space="0"/>
              <w:right w:val="single" w:color="auto" w:sz="4" w:space="0"/>
            </w:tcBorders>
            <w:vAlign w:val="center"/>
          </w:tcPr>
          <w:p w14:paraId="00140508">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500≤Y＜1000</w:t>
            </w:r>
          </w:p>
        </w:tc>
        <w:tc>
          <w:tcPr>
            <w:tcW w:w="1134" w:type="dxa"/>
            <w:tcBorders>
              <w:top w:val="nil"/>
              <w:left w:val="nil"/>
              <w:bottom w:val="single" w:color="auto" w:sz="4" w:space="0"/>
              <w:right w:val="single" w:color="auto" w:sz="4" w:space="0"/>
            </w:tcBorders>
            <w:vAlign w:val="center"/>
          </w:tcPr>
          <w:p w14:paraId="1B11A853">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Y＜500</w:t>
            </w:r>
          </w:p>
        </w:tc>
      </w:tr>
      <w:tr w14:paraId="65D1B78B">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51F5CC6F">
            <w:pPr>
              <w:widowControl/>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租赁和商务服务业</w:t>
            </w:r>
          </w:p>
        </w:tc>
        <w:tc>
          <w:tcPr>
            <w:tcW w:w="1984" w:type="dxa"/>
            <w:tcBorders>
              <w:top w:val="nil"/>
              <w:left w:val="nil"/>
              <w:bottom w:val="single" w:color="auto" w:sz="4" w:space="0"/>
              <w:right w:val="single" w:color="auto" w:sz="4" w:space="0"/>
            </w:tcBorders>
            <w:vAlign w:val="center"/>
          </w:tcPr>
          <w:p w14:paraId="5DB09038">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从业人员（X）</w:t>
            </w:r>
          </w:p>
        </w:tc>
        <w:tc>
          <w:tcPr>
            <w:tcW w:w="851" w:type="dxa"/>
            <w:tcBorders>
              <w:top w:val="nil"/>
              <w:left w:val="nil"/>
              <w:bottom w:val="single" w:color="auto" w:sz="4" w:space="0"/>
              <w:right w:val="single" w:color="auto" w:sz="4" w:space="0"/>
            </w:tcBorders>
            <w:vAlign w:val="center"/>
          </w:tcPr>
          <w:p w14:paraId="5999A2A3">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人</w:t>
            </w:r>
          </w:p>
        </w:tc>
        <w:tc>
          <w:tcPr>
            <w:tcW w:w="1842" w:type="dxa"/>
            <w:tcBorders>
              <w:top w:val="nil"/>
              <w:left w:val="nil"/>
              <w:bottom w:val="single" w:color="auto" w:sz="4" w:space="0"/>
              <w:right w:val="single" w:color="auto" w:sz="4" w:space="0"/>
            </w:tcBorders>
            <w:vAlign w:val="center"/>
          </w:tcPr>
          <w:p w14:paraId="76012F70">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100≤X＜300</w:t>
            </w:r>
          </w:p>
        </w:tc>
        <w:tc>
          <w:tcPr>
            <w:tcW w:w="1701" w:type="dxa"/>
            <w:tcBorders>
              <w:top w:val="nil"/>
              <w:left w:val="nil"/>
              <w:bottom w:val="single" w:color="auto" w:sz="4" w:space="0"/>
              <w:right w:val="single" w:color="auto" w:sz="4" w:space="0"/>
            </w:tcBorders>
            <w:vAlign w:val="center"/>
          </w:tcPr>
          <w:p w14:paraId="2685CEEE">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10≤X＜100</w:t>
            </w:r>
          </w:p>
        </w:tc>
        <w:tc>
          <w:tcPr>
            <w:tcW w:w="1134" w:type="dxa"/>
            <w:tcBorders>
              <w:top w:val="nil"/>
              <w:left w:val="nil"/>
              <w:bottom w:val="single" w:color="auto" w:sz="4" w:space="0"/>
              <w:right w:val="single" w:color="auto" w:sz="4" w:space="0"/>
            </w:tcBorders>
            <w:vAlign w:val="center"/>
          </w:tcPr>
          <w:p w14:paraId="76604205">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X＜10</w:t>
            </w:r>
          </w:p>
        </w:tc>
      </w:tr>
      <w:tr w14:paraId="053030AB">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397B47E8">
            <w:pPr>
              <w:widowControl/>
              <w:jc w:val="left"/>
              <w:rPr>
                <w:rFonts w:hint="eastAsia" w:ascii="宋体" w:hAnsi="宋体" w:cs="宋体"/>
                <w:b/>
                <w:bCs/>
                <w:color w:val="000000"/>
                <w:kern w:val="0"/>
                <w:sz w:val="18"/>
                <w:szCs w:val="18"/>
              </w:rPr>
            </w:pPr>
          </w:p>
        </w:tc>
        <w:tc>
          <w:tcPr>
            <w:tcW w:w="1984" w:type="dxa"/>
            <w:tcBorders>
              <w:top w:val="nil"/>
              <w:left w:val="nil"/>
              <w:bottom w:val="single" w:color="auto" w:sz="4" w:space="0"/>
              <w:right w:val="single" w:color="auto" w:sz="4" w:space="0"/>
            </w:tcBorders>
            <w:vAlign w:val="center"/>
          </w:tcPr>
          <w:p w14:paraId="49826526">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资产总额（Z）</w:t>
            </w:r>
          </w:p>
        </w:tc>
        <w:tc>
          <w:tcPr>
            <w:tcW w:w="851" w:type="dxa"/>
            <w:tcBorders>
              <w:top w:val="nil"/>
              <w:left w:val="nil"/>
              <w:bottom w:val="single" w:color="auto" w:sz="4" w:space="0"/>
              <w:right w:val="single" w:color="auto" w:sz="4" w:space="0"/>
            </w:tcBorders>
            <w:vAlign w:val="center"/>
          </w:tcPr>
          <w:p w14:paraId="2A6F42CA">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万元</w:t>
            </w:r>
          </w:p>
        </w:tc>
        <w:tc>
          <w:tcPr>
            <w:tcW w:w="1842" w:type="dxa"/>
            <w:tcBorders>
              <w:top w:val="nil"/>
              <w:left w:val="nil"/>
              <w:bottom w:val="single" w:color="auto" w:sz="4" w:space="0"/>
              <w:right w:val="single" w:color="auto" w:sz="4" w:space="0"/>
            </w:tcBorders>
            <w:vAlign w:val="center"/>
          </w:tcPr>
          <w:p w14:paraId="09620D03">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8000≤Z＜120000</w:t>
            </w:r>
          </w:p>
        </w:tc>
        <w:tc>
          <w:tcPr>
            <w:tcW w:w="1701" w:type="dxa"/>
            <w:tcBorders>
              <w:top w:val="nil"/>
              <w:left w:val="nil"/>
              <w:bottom w:val="single" w:color="auto" w:sz="4" w:space="0"/>
              <w:right w:val="single" w:color="auto" w:sz="4" w:space="0"/>
            </w:tcBorders>
            <w:vAlign w:val="center"/>
          </w:tcPr>
          <w:p w14:paraId="1199E676">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100≤Z＜8000</w:t>
            </w:r>
          </w:p>
        </w:tc>
        <w:tc>
          <w:tcPr>
            <w:tcW w:w="1134" w:type="dxa"/>
            <w:tcBorders>
              <w:top w:val="nil"/>
              <w:left w:val="nil"/>
              <w:bottom w:val="single" w:color="auto" w:sz="4" w:space="0"/>
              <w:right w:val="single" w:color="auto" w:sz="4" w:space="0"/>
            </w:tcBorders>
            <w:vAlign w:val="center"/>
          </w:tcPr>
          <w:p w14:paraId="582B0373">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Y＜100</w:t>
            </w:r>
          </w:p>
        </w:tc>
      </w:tr>
      <w:tr w14:paraId="053D7C1C">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vAlign w:val="bottom"/>
          </w:tcPr>
          <w:p w14:paraId="24C7B417">
            <w:pPr>
              <w:widowControl/>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其他未列明行业</w:t>
            </w:r>
          </w:p>
        </w:tc>
        <w:tc>
          <w:tcPr>
            <w:tcW w:w="1984" w:type="dxa"/>
            <w:tcBorders>
              <w:top w:val="nil"/>
              <w:left w:val="nil"/>
              <w:bottom w:val="single" w:color="auto" w:sz="4" w:space="0"/>
              <w:right w:val="single" w:color="auto" w:sz="4" w:space="0"/>
            </w:tcBorders>
            <w:vAlign w:val="center"/>
          </w:tcPr>
          <w:p w14:paraId="1C549107">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从业人员（X）</w:t>
            </w:r>
          </w:p>
        </w:tc>
        <w:tc>
          <w:tcPr>
            <w:tcW w:w="851" w:type="dxa"/>
            <w:tcBorders>
              <w:top w:val="nil"/>
              <w:left w:val="nil"/>
              <w:bottom w:val="single" w:color="auto" w:sz="4" w:space="0"/>
              <w:right w:val="single" w:color="auto" w:sz="4" w:space="0"/>
            </w:tcBorders>
            <w:vAlign w:val="center"/>
          </w:tcPr>
          <w:p w14:paraId="734C75A2">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人</w:t>
            </w:r>
          </w:p>
        </w:tc>
        <w:tc>
          <w:tcPr>
            <w:tcW w:w="1842" w:type="dxa"/>
            <w:tcBorders>
              <w:top w:val="nil"/>
              <w:left w:val="nil"/>
              <w:bottom w:val="single" w:color="auto" w:sz="4" w:space="0"/>
              <w:right w:val="single" w:color="auto" w:sz="4" w:space="0"/>
            </w:tcBorders>
            <w:vAlign w:val="center"/>
          </w:tcPr>
          <w:p w14:paraId="5749BB9D">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100≤X＜300</w:t>
            </w:r>
          </w:p>
        </w:tc>
        <w:tc>
          <w:tcPr>
            <w:tcW w:w="1701" w:type="dxa"/>
            <w:tcBorders>
              <w:top w:val="nil"/>
              <w:left w:val="nil"/>
              <w:bottom w:val="single" w:color="auto" w:sz="4" w:space="0"/>
              <w:right w:val="single" w:color="auto" w:sz="4" w:space="0"/>
            </w:tcBorders>
            <w:vAlign w:val="center"/>
          </w:tcPr>
          <w:p w14:paraId="42AF684D">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10≤X＜100</w:t>
            </w:r>
          </w:p>
        </w:tc>
        <w:tc>
          <w:tcPr>
            <w:tcW w:w="1134" w:type="dxa"/>
            <w:tcBorders>
              <w:top w:val="nil"/>
              <w:left w:val="nil"/>
              <w:bottom w:val="single" w:color="auto" w:sz="4" w:space="0"/>
              <w:right w:val="single" w:color="auto" w:sz="4" w:space="0"/>
            </w:tcBorders>
            <w:vAlign w:val="center"/>
          </w:tcPr>
          <w:p w14:paraId="5E412BE3">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X＜10</w:t>
            </w:r>
          </w:p>
        </w:tc>
      </w:tr>
    </w:tbl>
    <w:p w14:paraId="22CEED14">
      <w:pPr>
        <w:spacing w:line="560" w:lineRule="exact"/>
        <w:ind w:firstLine="525" w:firstLineChars="250"/>
        <w:rPr>
          <w:rFonts w:hint="eastAsia" w:ascii="宋体" w:hAnsi="宋体" w:cs="宋体"/>
          <w:color w:val="000000"/>
          <w:szCs w:val="21"/>
        </w:rPr>
      </w:pPr>
      <w:r>
        <w:rPr>
          <w:rFonts w:hint="eastAsia" w:ascii="宋体" w:hAnsi="宋体" w:cs="宋体"/>
          <w:color w:val="000000"/>
          <w:szCs w:val="21"/>
        </w:rPr>
        <w:t>说明：上述标准参照《关于印发中小企业划型标准规定的通知》（工信部联企业[2011]300号），大型、中型和小型企业须同时满足所列指标的下限，否则下划一档；微型企业只须满足所列指标中的一项即可。</w:t>
      </w:r>
    </w:p>
    <w:p w14:paraId="7769E6DD">
      <w:pPr>
        <w:pStyle w:val="18"/>
        <w:jc w:val="center"/>
        <w:outlineLvl w:val="0"/>
        <w:rPr>
          <w:rFonts w:hint="eastAsia" w:hAnsi="宋体" w:cs="宋体"/>
          <w:color w:val="000000"/>
        </w:rPr>
        <w:sectPr>
          <w:headerReference r:id="rId7" w:type="default"/>
          <w:footerReference r:id="rId8" w:type="default"/>
          <w:pgSz w:w="11906" w:h="16838"/>
          <w:pgMar w:top="1134" w:right="1134" w:bottom="1134" w:left="1134" w:header="720" w:footer="720" w:gutter="0"/>
          <w:pgNumType w:start="1"/>
          <w:cols w:space="720" w:num="1"/>
          <w:docGrid w:type="lines" w:linePitch="331" w:charSpace="0"/>
        </w:sectPr>
      </w:pPr>
    </w:p>
    <w:p w14:paraId="34CA9AE1">
      <w:pPr>
        <w:pStyle w:val="18"/>
        <w:spacing w:line="360" w:lineRule="auto"/>
        <w:contextualSpacing/>
        <w:jc w:val="center"/>
        <w:rPr>
          <w:rFonts w:hint="eastAsia" w:hAnsi="宋体" w:cs="宋体"/>
          <w:color w:val="000000"/>
        </w:rPr>
      </w:pPr>
      <w:bookmarkStart w:id="35" w:name="_Toc1725"/>
      <w:bookmarkStart w:id="36" w:name="_Toc90289791"/>
      <w:r>
        <w:rPr>
          <w:rStyle w:val="44"/>
          <w:rFonts w:hint="eastAsia"/>
        </w:rPr>
        <w:t>第四章  评审程序、评审方法和成交标准</w:t>
      </w:r>
      <w:bookmarkEnd w:id="35"/>
      <w:bookmarkEnd w:id="36"/>
    </w:p>
    <w:p w14:paraId="5BA48779">
      <w:pPr>
        <w:pStyle w:val="3"/>
        <w:spacing w:before="0" w:after="0" w:line="360" w:lineRule="auto"/>
        <w:ind w:firstLine="640" w:firstLineChars="200"/>
        <w:jc w:val="center"/>
        <w:rPr>
          <w:rFonts w:hint="eastAsia" w:ascii="宋体" w:hAnsi="宋体"/>
        </w:rPr>
      </w:pPr>
      <w:bookmarkStart w:id="37" w:name="_Toc90289792"/>
      <w:r>
        <w:rPr>
          <w:rFonts w:hint="eastAsia" w:ascii="宋体" w:hAnsi="宋体" w:cs="宋体"/>
          <w:b w:val="0"/>
          <w:color w:val="000000"/>
        </w:rPr>
        <w:t>第一节 评审程序和评审方法</w:t>
      </w:r>
      <w:bookmarkEnd w:id="37"/>
    </w:p>
    <w:p w14:paraId="51EE0FB6">
      <w:pPr>
        <w:spacing w:line="360" w:lineRule="auto"/>
        <w:ind w:firstLine="482" w:firstLineChars="200"/>
        <w:rPr>
          <w:rFonts w:hint="eastAsia" w:ascii="宋体" w:hAnsi="宋体" w:cs="宋体"/>
          <w:b/>
          <w:bCs/>
          <w:color w:val="000000"/>
          <w:sz w:val="24"/>
        </w:rPr>
      </w:pPr>
      <w:r>
        <w:rPr>
          <w:rFonts w:hint="eastAsia" w:ascii="宋体" w:hAnsi="宋体" w:cs="宋体"/>
          <w:b/>
          <w:bCs/>
          <w:color w:val="000000"/>
          <w:sz w:val="24"/>
        </w:rPr>
        <w:t>1.确认谈判文件</w:t>
      </w:r>
    </w:p>
    <w:p w14:paraId="34DDA264">
      <w:pPr>
        <w:spacing w:line="360" w:lineRule="auto"/>
        <w:ind w:firstLine="630" w:firstLineChars="300"/>
        <w:rPr>
          <w:rFonts w:hint="eastAsia" w:ascii="宋体" w:hAnsi="宋体" w:cs="宋体"/>
          <w:color w:val="000000"/>
          <w:szCs w:val="21"/>
        </w:rPr>
      </w:pPr>
      <w:r>
        <w:rPr>
          <w:rFonts w:hint="eastAsia" w:ascii="宋体" w:hAnsi="宋体" w:cs="宋体"/>
          <w:color w:val="000000"/>
          <w:szCs w:val="21"/>
        </w:rPr>
        <w:t>由谈判小组确认谈判文件。</w:t>
      </w:r>
    </w:p>
    <w:p w14:paraId="35ABB809">
      <w:pPr>
        <w:spacing w:line="360" w:lineRule="auto"/>
        <w:ind w:firstLine="482" w:firstLineChars="200"/>
        <w:rPr>
          <w:rFonts w:hint="eastAsia" w:ascii="宋体" w:hAnsi="宋体" w:cs="宋体"/>
          <w:b/>
          <w:bCs/>
          <w:color w:val="000000"/>
          <w:sz w:val="24"/>
        </w:rPr>
      </w:pPr>
      <w:r>
        <w:rPr>
          <w:rFonts w:hint="eastAsia" w:ascii="宋体" w:hAnsi="宋体" w:cs="宋体"/>
          <w:b/>
          <w:bCs/>
          <w:color w:val="000000"/>
          <w:sz w:val="24"/>
        </w:rPr>
        <w:t>2.资格审查</w:t>
      </w:r>
    </w:p>
    <w:p w14:paraId="17C005B7">
      <w:pPr>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2.1响应文件开启后，谈判小组依法对供应商的资格证明文件进行审查。</w:t>
      </w:r>
    </w:p>
    <w:p w14:paraId="3CA80C28">
      <w:pPr>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注：采购人代表或者采购代理机构在资格审查结束前，对供应商进行信用查询。</w:t>
      </w:r>
    </w:p>
    <w:p w14:paraId="15E729BC">
      <w:pPr>
        <w:snapToGrid w:val="0"/>
        <w:spacing w:line="360" w:lineRule="auto"/>
        <w:ind w:firstLine="420" w:firstLineChars="200"/>
        <w:jc w:val="left"/>
        <w:rPr>
          <w:rFonts w:hint="eastAsia" w:ascii="宋体" w:hAnsi="宋体" w:cs="宋体"/>
          <w:color w:val="000000"/>
          <w:szCs w:val="21"/>
        </w:rPr>
      </w:pPr>
      <w:r>
        <w:rPr>
          <w:rFonts w:hint="eastAsia" w:ascii="宋体" w:hAnsi="宋体" w:cs="宋体"/>
          <w:color w:val="000000"/>
          <w:szCs w:val="21"/>
        </w:rPr>
        <w:t>（1）查询渠道：</w:t>
      </w:r>
      <w:r>
        <w:rPr>
          <w:rFonts w:hint="eastAsia" w:ascii="宋体" w:hAnsi="宋体" w:cs="宋体"/>
          <w:szCs w:val="21"/>
        </w:rPr>
        <w:t>广西政府采购云平台</w:t>
      </w:r>
      <w:r>
        <w:rPr>
          <w:rFonts w:hint="eastAsia" w:ascii="宋体" w:hAnsi="宋体" w:cs="宋体"/>
          <w:color w:val="000000"/>
          <w:szCs w:val="21"/>
        </w:rPr>
        <w:t>“信用中国”网站(</w:t>
      </w:r>
      <w:r>
        <w:fldChar w:fldCharType="begin"/>
      </w:r>
      <w:r>
        <w:instrText xml:space="preserve"> HYPERLINK "http://www.creditchina.gov.cn" </w:instrText>
      </w:r>
      <w:r>
        <w:fldChar w:fldCharType="separate"/>
      </w:r>
      <w:r>
        <w:rPr>
          <w:rStyle w:val="28"/>
          <w:rFonts w:hint="eastAsia" w:ascii="宋体" w:hAnsi="宋体" w:cs="宋体"/>
          <w:color w:val="000000"/>
          <w:szCs w:val="21"/>
        </w:rPr>
        <w:t>www.creditchina.gov.cn</w:t>
      </w:r>
      <w:r>
        <w:rPr>
          <w:rStyle w:val="28"/>
          <w:rFonts w:hint="eastAsia" w:ascii="宋体" w:hAnsi="宋体" w:cs="宋体"/>
          <w:color w:val="000000"/>
          <w:szCs w:val="21"/>
        </w:rPr>
        <w:fldChar w:fldCharType="end"/>
      </w:r>
      <w:r>
        <w:rPr>
          <w:rFonts w:hint="eastAsia" w:ascii="宋体" w:hAnsi="宋体" w:cs="宋体"/>
          <w:color w:val="000000"/>
          <w:szCs w:val="21"/>
        </w:rPr>
        <w:t>)、中国政府采购网(</w:t>
      </w:r>
      <w:r>
        <w:fldChar w:fldCharType="begin"/>
      </w:r>
      <w:r>
        <w:instrText xml:space="preserve"> HYPERLINK "http://www.ccgp.gov.cn" </w:instrText>
      </w:r>
      <w:r>
        <w:fldChar w:fldCharType="separate"/>
      </w:r>
      <w:r>
        <w:rPr>
          <w:rStyle w:val="28"/>
          <w:rFonts w:hint="eastAsia" w:ascii="宋体" w:hAnsi="宋体" w:cs="宋体"/>
          <w:color w:val="000000"/>
          <w:szCs w:val="21"/>
        </w:rPr>
        <w:t>www.ccgp.gov.cn</w:t>
      </w:r>
      <w:r>
        <w:rPr>
          <w:rStyle w:val="28"/>
          <w:rFonts w:hint="eastAsia" w:ascii="宋体" w:hAnsi="宋体" w:cs="宋体"/>
          <w:color w:val="000000"/>
          <w:szCs w:val="21"/>
        </w:rPr>
        <w:fldChar w:fldCharType="end"/>
      </w:r>
      <w:r>
        <w:rPr>
          <w:rFonts w:hint="eastAsia" w:ascii="宋体" w:hAnsi="宋体" w:cs="宋体"/>
          <w:color w:val="000000"/>
          <w:szCs w:val="21"/>
        </w:rPr>
        <w:t>)链接入口。</w:t>
      </w:r>
    </w:p>
    <w:p w14:paraId="6038C48C">
      <w:pPr>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（2）信用查询截止时点：资格审查结束前。</w:t>
      </w:r>
    </w:p>
    <w:p w14:paraId="7CD911FC">
      <w:pPr>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查询记录和证据留存方式：在查询网站中直接打印查询记录，截图另存为电子文档作为评审资料保存。</w:t>
      </w:r>
    </w:p>
    <w:p w14:paraId="2E93FCAA">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（3）信用信息使用规则：对在“信用中国”网站(www.creditchina.gov.cn)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7E50D301">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2.2资格审查标准为本谈判文件中载明对供应商资格要求的条件。资格审查采用合格制，凡符合谈判文件规定的供应商资格要求的响应文件均通过资格审查。</w:t>
      </w:r>
    </w:p>
    <w:p w14:paraId="7DBBD7FA">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2.3供应商有下列情形之一的，资格审查不通过，其响应文件按无效响应处理：</w:t>
      </w:r>
    </w:p>
    <w:p w14:paraId="2A599386">
      <w:pPr>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（1）不具备谈判文件中规定的资格要求的；</w:t>
      </w:r>
    </w:p>
    <w:p w14:paraId="497D3F57">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（2）响应文件未提供任一项“供应商须知前附表”资格证明文件规定的“必须提供”的文件资料的；</w:t>
      </w:r>
    </w:p>
    <w:p w14:paraId="64F3C744">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（3）响应文件提供的资格证明文件出现任一项不符合“供应商须知前附表”资格证明文件规定的“必须提供”的文件资料要求或者无效的。</w:t>
      </w:r>
    </w:p>
    <w:p w14:paraId="773073A9">
      <w:pPr>
        <w:spacing w:line="360" w:lineRule="auto"/>
        <w:ind w:firstLine="420" w:firstLineChars="200"/>
        <w:rPr>
          <w:rFonts w:hint="eastAsia" w:ascii="宋体" w:hAnsi="宋体" w:cs="宋体"/>
          <w:color w:val="000000"/>
          <w:szCs w:val="21"/>
        </w:rPr>
      </w:pPr>
      <w:bookmarkStart w:id="38" w:name="_Hlk68601553"/>
      <w:r>
        <w:rPr>
          <w:rFonts w:hint="eastAsia" w:ascii="宋体" w:hAnsi="宋体" w:cs="宋体"/>
          <w:color w:val="000000"/>
          <w:szCs w:val="21"/>
        </w:rPr>
        <w:t>（4）同一合同项下的不同供应商，单位负责人为同一人或者存在直接控股、管理关系的；为本项目提供过整体设计、规范编制或者项目管理、监理、检测等货物的。</w:t>
      </w:r>
      <w:bookmarkEnd w:id="38"/>
    </w:p>
    <w:p w14:paraId="18D2132F">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2.4通过资格审查的合格供应商不足3家的，不得进入符合性审查环节，采购人或者采购代理机构应当重新开展采购活动。</w:t>
      </w:r>
    </w:p>
    <w:p w14:paraId="4E369E0E">
      <w:pPr>
        <w:spacing w:line="360" w:lineRule="auto"/>
        <w:ind w:firstLine="482" w:firstLineChars="200"/>
        <w:rPr>
          <w:rFonts w:hint="eastAsia" w:ascii="宋体" w:hAnsi="宋体" w:cs="宋体"/>
          <w:b/>
          <w:bCs/>
          <w:color w:val="000000"/>
          <w:sz w:val="24"/>
        </w:rPr>
      </w:pPr>
      <w:r>
        <w:rPr>
          <w:rFonts w:hint="eastAsia" w:ascii="宋体" w:hAnsi="宋体" w:cs="宋体"/>
          <w:b/>
          <w:bCs/>
          <w:color w:val="000000"/>
          <w:sz w:val="24"/>
        </w:rPr>
        <w:t>3.符合性审查</w:t>
      </w:r>
    </w:p>
    <w:p w14:paraId="205A70D4">
      <w:pPr>
        <w:spacing w:line="360" w:lineRule="auto"/>
        <w:ind w:firstLine="420" w:firstLineChars="200"/>
        <w:rPr>
          <w:rFonts w:hint="eastAsia" w:ascii="宋体" w:hAnsi="宋体" w:cs="宋体"/>
          <w:color w:val="000000"/>
          <w:szCs w:val="21"/>
        </w:rPr>
      </w:pPr>
      <w:bookmarkStart w:id="39" w:name="_Hlk42528882"/>
      <w:r>
        <w:rPr>
          <w:rFonts w:hint="eastAsia" w:ascii="宋体" w:hAnsi="宋体" w:cs="宋体"/>
          <w:color w:val="000000"/>
          <w:szCs w:val="21"/>
        </w:rPr>
        <w:t>3.1由谈判小组对通过资格审查的合格供应商的响应文件的响应报价、商务、技术等实质性要求进行符合性审查，以确定其是否满足谈判文件的实质性要求。</w:t>
      </w:r>
    </w:p>
    <w:bookmarkEnd w:id="39"/>
    <w:p w14:paraId="48A74484">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3.2谈判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53FC4B14">
      <w:pPr>
        <w:spacing w:line="360" w:lineRule="auto"/>
        <w:ind w:firstLine="420" w:firstLineChars="200"/>
        <w:rPr>
          <w:rFonts w:hint="eastAsia" w:ascii="宋体" w:hAnsi="宋体" w:cs="宋体"/>
          <w:color w:val="000000"/>
          <w:spacing w:val="-6"/>
          <w:szCs w:val="21"/>
        </w:rPr>
      </w:pPr>
      <w:r>
        <w:rPr>
          <w:rFonts w:hint="eastAsia" w:ascii="宋体" w:hAnsi="宋体" w:cs="宋体"/>
          <w:color w:val="000000"/>
          <w:szCs w:val="21"/>
        </w:rPr>
        <w:t>3.3谈判小组要求供应商澄清、说明或者更正响应文件应当以电子澄清函形式作出。供应商的澄清、说明或者更正应当已电子回函形式按照谈判小组的要求作出明确的澄清、说明或者更正，未按谈判小组的要求作出明确澄清、说明或者更正的供应商的响应文件将按照有利于采购人的原则由谈判小组进行判定。供应商的澄清、说明或者更正必须加盖电子公章</w:t>
      </w:r>
      <w:r>
        <w:rPr>
          <w:rFonts w:hint="eastAsia" w:ascii="宋体" w:hAnsi="宋体" w:cs="宋体"/>
          <w:color w:val="000000"/>
          <w:spacing w:val="-6"/>
          <w:szCs w:val="21"/>
        </w:rPr>
        <w:t>。供应商为自然人的，必须由本人签字并附身份证明。</w:t>
      </w:r>
    </w:p>
    <w:p w14:paraId="10D910EA">
      <w:pPr>
        <w:spacing w:line="360" w:lineRule="auto"/>
        <w:ind w:firstLine="396" w:firstLineChars="200"/>
        <w:rPr>
          <w:rFonts w:hint="eastAsia" w:ascii="宋体" w:hAnsi="宋体" w:cs="宋体"/>
          <w:color w:val="000000"/>
          <w:szCs w:val="21"/>
        </w:rPr>
      </w:pPr>
      <w:r>
        <w:rPr>
          <w:rFonts w:hint="eastAsia" w:ascii="宋体" w:hAnsi="宋体" w:cs="宋体"/>
          <w:color w:val="000000"/>
          <w:spacing w:val="-6"/>
          <w:szCs w:val="21"/>
        </w:rPr>
        <w:t>3.4</w:t>
      </w:r>
      <w:r>
        <w:rPr>
          <w:rFonts w:hint="eastAsia" w:ascii="宋体" w:hAnsi="宋体" w:cs="宋体"/>
          <w:color w:val="000000"/>
          <w:szCs w:val="21"/>
        </w:rPr>
        <w:t xml:space="preserve">首次响应文件报价出现前后不一致的，按照下列规定修正： </w:t>
      </w:r>
    </w:p>
    <w:p w14:paraId="726AA1E5">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（1）响应文件中报价表内容与响应文件中相应内容不一致的，以报价表为准；</w:t>
      </w:r>
    </w:p>
    <w:p w14:paraId="7FD1B391">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（2）大写金额和小写金额不一致的，以大写金额为准；</w:t>
      </w:r>
    </w:p>
    <w:p w14:paraId="2AE2B8BD">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（3）单价金额小数点或者百分比有明显错位的，以报价表的总价为准，并修改单价；</w:t>
      </w:r>
    </w:p>
    <w:p w14:paraId="56D5F643">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（4）总价金额与按单价汇总金额不一致的，以单价金额计算结果为准。</w:t>
      </w:r>
    </w:p>
    <w:p w14:paraId="69554CBE">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同时出现两种以上不一致的，按照以上（1）-（4）规定的顺序逐条进行修正。修正后的报价经供应商确认后产生约束力，供应商不确认的，其响应文件按无效响应处理。</w:t>
      </w:r>
    </w:p>
    <w:p w14:paraId="086DFE27">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3.5商务技术、报价评审</w:t>
      </w:r>
    </w:p>
    <w:p w14:paraId="7EBBCB92">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在评审时，如发现下列情形之一的，将被视为响应文件无效处理：</w:t>
      </w:r>
    </w:p>
    <w:p w14:paraId="057DA318">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（1）商务技术评审</w:t>
      </w:r>
    </w:p>
    <w:p w14:paraId="3FE6775B">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1）响应文件未按谈判文件要求签署、盖章；</w:t>
      </w:r>
    </w:p>
    <w:p w14:paraId="077DBB46">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 xml:space="preserve">2）委托代理人未能出具有效身份证明或者出具的身份证明与授权委托书中的信息不符； </w:t>
      </w:r>
    </w:p>
    <w:p w14:paraId="7D861E67">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3）响应文件未提供任一项“供应商须知前附表” 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14:paraId="1D495B8B">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4）</w:t>
      </w:r>
      <w:r>
        <w:rPr>
          <w:rFonts w:hint="eastAsia" w:ascii="宋体" w:hAnsi="宋体" w:cs="宋体"/>
          <w:szCs w:val="21"/>
        </w:rPr>
        <w:t>商务要求允许负偏离的条款数超过“供应商须知前附表”规定项数的；</w:t>
      </w:r>
    </w:p>
    <w:p w14:paraId="22499C5E">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5）未对竞标有效期作出响应或者响应文件承诺的竞标有效期不满足谈判文件要求；</w:t>
      </w:r>
    </w:p>
    <w:p w14:paraId="7D0096D0">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6）响应文件的实质性内容未使用中文表述、使用计量单位不符合谈判文件要求；</w:t>
      </w:r>
    </w:p>
    <w:p w14:paraId="1AA6B382">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7）响应文件中的文件资料因填写不齐全或者内容虚假或者出现其他情形而导致被谈判小组认定无效；</w:t>
      </w:r>
    </w:p>
    <w:p w14:paraId="08414524">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8）响应文件含有采购人不能接受的附加条件；</w:t>
      </w:r>
    </w:p>
    <w:p w14:paraId="4B06316C">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9）属于“供应商须知正文”第7.5条情形；</w:t>
      </w:r>
    </w:p>
    <w:p w14:paraId="47A2D0AE">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10）</w:t>
      </w:r>
      <w:r>
        <w:rPr>
          <w:rFonts w:hint="eastAsia" w:ascii="宋体" w:hAnsi="宋体" w:cs="宋体"/>
          <w:szCs w:val="21"/>
        </w:rPr>
        <w:t>技术评审允许负偏离的条款数超过“供应商须知前附表”规定项数的；</w:t>
      </w:r>
    </w:p>
    <w:p w14:paraId="4C2C71E3">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11）虚假竞标，或者出现其他情形而导致被谈判小组认定无效；</w:t>
      </w:r>
    </w:p>
    <w:p w14:paraId="6019E0AA">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12）竞标技术方案不明确，谈判文件未允许但响应文件中存在一个或者一个以上备选（替代）竞标方案；</w:t>
      </w:r>
    </w:p>
    <w:p w14:paraId="5BCCB35F">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13）响应文件标注的项目名称或者项目编号与竞争性谈判文件标注的项目名称或者项目编号不一致的；</w:t>
      </w:r>
    </w:p>
    <w:p w14:paraId="570A26A4">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14）未响应谈判文件实质性要求；</w:t>
      </w:r>
    </w:p>
    <w:p w14:paraId="3B794755">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15）法律、法规和谈判文件规定的其他无效情形。</w:t>
      </w:r>
    </w:p>
    <w:p w14:paraId="36B254FB">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（2）报价评审</w:t>
      </w:r>
    </w:p>
    <w:p w14:paraId="7272F780">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1) 响应文件未提供“供应商须知前附表” 报价文件中规定的“竞标报价表”的；</w:t>
      </w:r>
    </w:p>
    <w:p w14:paraId="3F8DCCEE">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2）未采用人民币报价或者未按照谈判文件标明的币种报价；</w:t>
      </w:r>
    </w:p>
    <w:p w14:paraId="3DFBA1CD">
      <w:pPr>
        <w:spacing w:line="360" w:lineRule="auto"/>
        <w:ind w:firstLine="420" w:firstLineChars="200"/>
        <w:rPr>
          <w:rFonts w:hint="eastAsia" w:ascii="宋体" w:hAnsi="宋体" w:cs="宋体"/>
          <w:szCs w:val="21"/>
        </w:rPr>
      </w:pPr>
      <w:r>
        <w:rPr>
          <w:rFonts w:hint="eastAsia" w:ascii="宋体" w:hAnsi="宋体" w:cs="宋体"/>
          <w:szCs w:val="21"/>
        </w:rPr>
        <w:t>3）供应商未就所竞标项目进行报价或者存在漏项报价；供应商未就所竞标项目的单项内容作唯一报价；供应商未就所竞标项目的全部内容作完整唯一总价报价；供应商响应文件中存在有选择、有条件报价的（谈判文件允许有备选方案或者其他约定的除外）；</w:t>
      </w:r>
    </w:p>
    <w:p w14:paraId="797AF90E">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4）响应文件响应的标的数量及单位与竞争性谈判采购文件要求实质性不一致的。</w:t>
      </w:r>
    </w:p>
    <w:p w14:paraId="7DB18824">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3.6谈判小组对响应文件进行评审，未实质性响应谈判文件的响应文件按无效处理。谈判小组应当将资格和符合性不通过的情况告知有关供应商。谈判小组从符合谈判文件规定的相应资格条件的供应商名单中确定不少于3家的供应商参加谈判。</w:t>
      </w:r>
    </w:p>
    <w:p w14:paraId="1EC0C93D">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3.7通过符合性审查的合格供应商不足3家的，不得进入谈判环节，应当重新开展采购活动。</w:t>
      </w:r>
    </w:p>
    <w:p w14:paraId="64F4DBE2">
      <w:pPr>
        <w:spacing w:line="360" w:lineRule="auto"/>
        <w:ind w:firstLine="482" w:firstLineChars="200"/>
        <w:rPr>
          <w:rFonts w:hint="eastAsia" w:ascii="宋体" w:hAnsi="宋体" w:cs="宋体"/>
          <w:b/>
          <w:bCs/>
          <w:color w:val="000000"/>
          <w:sz w:val="24"/>
        </w:rPr>
      </w:pPr>
      <w:r>
        <w:rPr>
          <w:rFonts w:hint="eastAsia" w:ascii="宋体" w:hAnsi="宋体" w:cs="宋体"/>
          <w:b/>
          <w:bCs/>
          <w:color w:val="000000"/>
          <w:sz w:val="24"/>
        </w:rPr>
        <w:t>4.谈判程序</w:t>
      </w:r>
    </w:p>
    <w:p w14:paraId="20A46C2F">
      <w:pPr>
        <w:spacing w:line="360" w:lineRule="auto"/>
        <w:ind w:firstLine="420" w:firstLineChars="200"/>
        <w:rPr>
          <w:rFonts w:hint="eastAsia" w:ascii="宋体" w:hAnsi="宋体" w:cs="宋体"/>
          <w:b/>
          <w:color w:val="000000"/>
          <w:kern w:val="0"/>
          <w:szCs w:val="21"/>
        </w:rPr>
      </w:pPr>
      <w:r>
        <w:rPr>
          <w:rFonts w:hint="eastAsia" w:ascii="宋体" w:hAnsi="宋体" w:cs="宋体"/>
          <w:color w:val="000000"/>
          <w:kern w:val="0"/>
          <w:szCs w:val="21"/>
        </w:rPr>
        <w:t>4.1谈判小组按照“供应商须知前附表”</w:t>
      </w:r>
      <w:r>
        <w:rPr>
          <w:rFonts w:hint="eastAsia" w:ascii="宋体" w:hAnsi="宋体" w:cs="宋体"/>
          <w:color w:val="000000"/>
          <w:szCs w:val="21"/>
        </w:rPr>
        <w:t xml:space="preserve"> </w:t>
      </w:r>
      <w:r>
        <w:rPr>
          <w:rFonts w:hint="eastAsia" w:ascii="宋体" w:hAnsi="宋体" w:cs="宋体"/>
          <w:color w:val="000000"/>
          <w:kern w:val="0"/>
          <w:szCs w:val="21"/>
        </w:rPr>
        <w:t>确定的</w:t>
      </w:r>
      <w:r>
        <w:rPr>
          <w:rFonts w:hint="eastAsia" w:ascii="宋体" w:hAnsi="宋体" w:cs="宋体"/>
          <w:color w:val="000000"/>
          <w:szCs w:val="21"/>
        </w:rPr>
        <w:t>顺序，集中与单一供应商分别进行谈判，并给予所有参加谈判的供应商平等的谈判机会。符合谈判资格的供应商必须在接到谈判通知后规定时间内参加谈判，未在规定时间内参加谈判的视同放弃参加谈判权利，</w:t>
      </w:r>
      <w:r>
        <w:rPr>
          <w:rFonts w:hint="eastAsia" w:ascii="宋体" w:hAnsi="宋体" w:cs="宋体"/>
          <w:b/>
          <w:color w:val="000000"/>
          <w:szCs w:val="21"/>
        </w:rPr>
        <w:t>其响应文件按无效响应处理。</w:t>
      </w:r>
    </w:p>
    <w:p w14:paraId="5ED6FCF2">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4.2在谈判过程中，谈判小组可以根据谈判文件和谈判情况实质性变动采购需求中的技术、货物要求以及合同草案条款，但不得变动谈判文件中的其他内容。实质性变动的内容，须经采购人代表确认。可能实质性变动的内容为采购需求中的技术、货物要求以及合同草案条款。</w:t>
      </w:r>
    </w:p>
    <w:p w14:paraId="78B2C0C1">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4.3对谈判文件作出的实质性变动是谈判文件的有效组成部分，由谈判小组及时以电子澄清函形式同时通知所有参加谈判的供应商。</w:t>
      </w:r>
    </w:p>
    <w:p w14:paraId="7C999B14">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4.4供应商必须按照谈判文件的变动情况和谈判小组的要求以回函的形式重新提交响应文件，并加盖电子公章。供应商为自然人的，必须由本人签字并附身份证明。参加谈判的供应商未在规定时间内重新提交响应文件的，视同退出谈判。</w:t>
      </w:r>
    </w:p>
    <w:p w14:paraId="2BDF4EEB">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4.5谈判中，</w:t>
      </w:r>
      <w:r>
        <w:rPr>
          <w:rFonts w:hint="eastAsia" w:ascii="宋体" w:hAnsi="宋体" w:cs="宋体"/>
          <w:color w:val="000000"/>
          <w:spacing w:val="-6"/>
          <w:szCs w:val="21"/>
        </w:rPr>
        <w:t>谈判的任何一方不得透露与谈判有关的其他供应商的技术资料、价格和其他信息。</w:t>
      </w:r>
    </w:p>
    <w:p w14:paraId="30E36291">
      <w:pPr>
        <w:widowControl/>
        <w:tabs>
          <w:tab w:val="left" w:pos="540"/>
        </w:tabs>
        <w:spacing w:line="360" w:lineRule="auto"/>
        <w:ind w:firstLine="420" w:firstLineChars="200"/>
        <w:jc w:val="left"/>
        <w:rPr>
          <w:rFonts w:hint="eastAsia" w:ascii="宋体" w:hAnsi="宋体" w:cs="宋体"/>
          <w:color w:val="000000"/>
          <w:szCs w:val="21"/>
        </w:rPr>
      </w:pPr>
      <w:r>
        <w:rPr>
          <w:rFonts w:hint="eastAsia" w:ascii="宋体" w:hAnsi="宋体" w:cs="宋体"/>
          <w:color w:val="000000"/>
          <w:szCs w:val="21"/>
        </w:rPr>
        <w:t>4.6谈判小组应对谈判过程和重要谈判内容进行记录，作为评标报告一部分，谈判小组在记录上签字确认。</w:t>
      </w:r>
      <w:r>
        <w:rPr>
          <w:rFonts w:hint="eastAsia" w:ascii="宋体" w:hAnsi="宋体" w:cs="宋体"/>
          <w:b/>
          <w:color w:val="000000"/>
        </w:rPr>
        <w:t>主要内容包括：</w:t>
      </w:r>
    </w:p>
    <w:p w14:paraId="1E491C4F">
      <w:pPr>
        <w:pStyle w:val="35"/>
        <w:spacing w:before="0"/>
        <w:ind w:firstLine="396"/>
        <w:rPr>
          <w:rFonts w:hint="eastAsia" w:ascii="宋体" w:hAnsi="宋体" w:cs="宋体"/>
          <w:color w:val="000000"/>
          <w:spacing w:val="-6"/>
          <w:kern w:val="2"/>
          <w:sz w:val="21"/>
          <w:szCs w:val="21"/>
        </w:rPr>
      </w:pPr>
      <w:r>
        <w:rPr>
          <w:rFonts w:hint="eastAsia" w:ascii="宋体" w:hAnsi="宋体" w:cs="宋体"/>
          <w:color w:val="000000"/>
          <w:spacing w:val="-6"/>
          <w:kern w:val="2"/>
          <w:sz w:val="21"/>
          <w:szCs w:val="21"/>
        </w:rPr>
        <w:t>（1）按照相关规定进行公示的，公示情况说明；</w:t>
      </w:r>
    </w:p>
    <w:p w14:paraId="75CFCF0C">
      <w:pPr>
        <w:pStyle w:val="35"/>
        <w:spacing w:before="0"/>
        <w:ind w:firstLine="396"/>
        <w:rPr>
          <w:rFonts w:hint="eastAsia" w:ascii="宋体" w:hAnsi="宋体" w:cs="宋体"/>
          <w:color w:val="000000"/>
          <w:spacing w:val="-6"/>
          <w:kern w:val="2"/>
          <w:sz w:val="21"/>
          <w:szCs w:val="21"/>
        </w:rPr>
      </w:pPr>
      <w:r>
        <w:rPr>
          <w:rFonts w:hint="eastAsia" w:ascii="宋体" w:hAnsi="宋体" w:cs="宋体"/>
          <w:color w:val="000000"/>
          <w:spacing w:val="-6"/>
          <w:kern w:val="2"/>
          <w:sz w:val="21"/>
          <w:szCs w:val="21"/>
        </w:rPr>
        <w:t>（2）谈判日期和地点，谈判人员名单；</w:t>
      </w:r>
    </w:p>
    <w:p w14:paraId="40470315">
      <w:pPr>
        <w:pStyle w:val="35"/>
        <w:spacing w:before="0"/>
        <w:ind w:firstLine="396"/>
        <w:rPr>
          <w:rFonts w:hint="eastAsia" w:ascii="宋体" w:hAnsi="宋体" w:cs="宋体"/>
          <w:color w:val="000000"/>
          <w:spacing w:val="-6"/>
          <w:kern w:val="2"/>
          <w:sz w:val="21"/>
          <w:szCs w:val="21"/>
        </w:rPr>
      </w:pPr>
      <w:r>
        <w:rPr>
          <w:rFonts w:hint="eastAsia" w:ascii="宋体" w:hAnsi="宋体" w:cs="宋体"/>
          <w:color w:val="000000"/>
          <w:spacing w:val="-6"/>
          <w:kern w:val="2"/>
          <w:sz w:val="21"/>
          <w:szCs w:val="21"/>
        </w:rPr>
        <w:t>（3）合同主要条款及价格商定情况。</w:t>
      </w:r>
    </w:p>
    <w:p w14:paraId="7F4E230D">
      <w:pPr>
        <w:widowControl/>
        <w:tabs>
          <w:tab w:val="left" w:pos="540"/>
        </w:tabs>
        <w:spacing w:line="360" w:lineRule="auto"/>
        <w:ind w:firstLine="420" w:firstLineChars="200"/>
        <w:jc w:val="left"/>
        <w:rPr>
          <w:rFonts w:hint="eastAsia" w:ascii="宋体" w:hAnsi="宋体" w:cs="宋体"/>
          <w:color w:val="000000"/>
          <w:szCs w:val="21"/>
        </w:rPr>
      </w:pPr>
      <w:r>
        <w:rPr>
          <w:rFonts w:hint="eastAsia" w:ascii="宋体" w:hAnsi="宋体" w:cs="宋体"/>
          <w:color w:val="000000"/>
          <w:szCs w:val="21"/>
        </w:rPr>
        <w:t>4.7谈判过程中重新提交的响应文件，供应商可以在开启前补充、修改。</w:t>
      </w:r>
    </w:p>
    <w:p w14:paraId="73A3B589">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4.8对谈判过程提交的响应文件进行有效性、完整性和响应程度审查，通过审查的合格供应商不足3家的，采购人或者采购代理机构应当重新开展采购活动。</w:t>
      </w:r>
    </w:p>
    <w:p w14:paraId="6A7846DF">
      <w:pPr>
        <w:spacing w:line="360" w:lineRule="auto"/>
        <w:ind w:firstLine="482" w:firstLineChars="200"/>
        <w:rPr>
          <w:rFonts w:hint="eastAsia" w:ascii="宋体" w:hAnsi="宋体" w:cs="宋体"/>
          <w:color w:val="000000"/>
          <w:szCs w:val="21"/>
        </w:rPr>
      </w:pPr>
      <w:r>
        <w:rPr>
          <w:rFonts w:hint="eastAsia" w:ascii="宋体" w:hAnsi="宋体" w:cs="宋体"/>
          <w:b/>
          <w:bCs/>
          <w:color w:val="000000"/>
          <w:sz w:val="24"/>
        </w:rPr>
        <w:t>5. 最后报价</w:t>
      </w:r>
    </w:p>
    <w:p w14:paraId="2343CDD4">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5.1谈判文件能够详细列明采购标的的技术、货物要求的，谈判结束后，由谈判小组要求所有继续参加谈判的供应商在规定时间内密封提交最后报价，提交最后报价的供应商不得少于3家，否则必须重新采购。</w:t>
      </w:r>
    </w:p>
    <w:p w14:paraId="7B3BF84E">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5.2谈判文件不能详细列明采购标的的技术、货物要求，需经谈判由供应商提供最后供货方案或者解决方案的，谈判结束后，由谈判小组按照少数服从多数的原则投票推荐3家以上供应商的供货方案或者解决方案，并要求其在规定时间内在</w:t>
      </w:r>
      <w:r>
        <w:rPr>
          <w:rFonts w:hint="eastAsia" w:ascii="宋体" w:hAnsi="宋体" w:cs="宋体"/>
          <w:bCs/>
        </w:rPr>
        <w:t>广西政府采购云平台</w:t>
      </w:r>
      <w:r>
        <w:rPr>
          <w:rFonts w:hint="eastAsia" w:ascii="宋体" w:hAnsi="宋体" w:cs="宋体"/>
          <w:color w:val="000000"/>
          <w:szCs w:val="21"/>
        </w:rPr>
        <w:t>远程不见面开标大厅响应最后报价。</w:t>
      </w:r>
    </w:p>
    <w:p w14:paraId="46B1D4AD">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5.3 最后报价是供应商响应文件的有效组成部分。</w:t>
      </w:r>
    </w:p>
    <w:p w14:paraId="2F38D2EE">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5.4已经提交响应文件的供应商，在提交最后报价之前，可以根据谈判情况退出谈判，退出谈判的供应商的响应文件按无效响应处理。</w:t>
      </w:r>
    </w:p>
    <w:p w14:paraId="3200C562">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5.5供应商未在规定时间内提交最后报价的，</w:t>
      </w:r>
      <w:r>
        <w:rPr>
          <w:rFonts w:hint="eastAsia" w:ascii="宋体" w:hAnsi="宋体" w:cs="宋体"/>
          <w:szCs w:val="21"/>
        </w:rPr>
        <w:t>视为退出谈判，其响应文件按无效处理。</w:t>
      </w:r>
    </w:p>
    <w:p w14:paraId="62A12108">
      <w:pPr>
        <w:spacing w:line="360" w:lineRule="auto"/>
        <w:ind w:firstLine="420" w:firstLineChars="200"/>
        <w:rPr>
          <w:rFonts w:hint="eastAsia" w:ascii="宋体" w:hAnsi="宋体" w:cs="宋体"/>
          <w:color w:val="000000"/>
          <w:szCs w:val="21"/>
        </w:rPr>
      </w:pPr>
      <w:r>
        <w:rPr>
          <w:rFonts w:hint="eastAsia" w:ascii="宋体" w:hAnsi="宋体" w:cs="宋体"/>
          <w:szCs w:val="21"/>
        </w:rPr>
        <w:t>5</w:t>
      </w:r>
      <w:r>
        <w:rPr>
          <w:rFonts w:ascii="宋体" w:hAnsi="宋体" w:cs="宋体"/>
          <w:szCs w:val="21"/>
        </w:rPr>
        <w:t>.</w:t>
      </w:r>
      <w:r>
        <w:rPr>
          <w:rFonts w:hint="eastAsia" w:ascii="宋体" w:hAnsi="宋体" w:cs="宋体"/>
          <w:szCs w:val="21"/>
        </w:rPr>
        <w:t>6最后报价统一开启后，谈判小组对最后报价进行有效性、完整性和响应程度的审查。</w:t>
      </w:r>
    </w:p>
    <w:p w14:paraId="5A7D2757">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 xml:space="preserve">5.7最终响应文件的报价出现前后不一致的，按照本章第3.4条的规定修正。 </w:t>
      </w:r>
    </w:p>
    <w:p w14:paraId="0E5B22FA">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5.8修正后的最终报价出现下列情形的，按无效响应处理：</w:t>
      </w:r>
    </w:p>
    <w:p w14:paraId="595999A6">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（1）供应商不确认的（全流程电子化评标采取在线确认）；</w:t>
      </w:r>
    </w:p>
    <w:p w14:paraId="5D68646C">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2）经供应商确认修正后的响应报价（包含首次报价、最后报价）超过所竞标项目规定的采购预算金额或者最高限价的（如本项目公布了最高限价）（全流程电子化评标多轮报价设置了上线控制价，即预算价）；</w:t>
      </w:r>
    </w:p>
    <w:p w14:paraId="08E16B63">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（3）经供应商确认修正后的响应报价（包含首次报价、最后报价）超过最高限价的（如本项目公布了最高限价）。</w:t>
      </w:r>
    </w:p>
    <w:p w14:paraId="4AE17ADF">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5.8经供应商确认修正后的最后报价作为评审及签订合同的依据。</w:t>
      </w:r>
    </w:p>
    <w:p w14:paraId="4733A8E9">
      <w:pPr>
        <w:spacing w:line="360" w:lineRule="auto"/>
        <w:ind w:firstLine="420" w:firstLineChars="200"/>
        <w:rPr>
          <w:rFonts w:hint="eastAsia" w:ascii="宋体" w:hAnsi="宋体" w:cs="宋体"/>
          <w:b/>
          <w:bCs/>
          <w:color w:val="000000"/>
          <w:szCs w:val="21"/>
        </w:rPr>
      </w:pPr>
      <w:r>
        <w:rPr>
          <w:rFonts w:hint="eastAsia" w:ascii="宋体" w:hAnsi="宋体" w:cs="宋体"/>
          <w:color w:val="000000"/>
          <w:szCs w:val="21"/>
        </w:rPr>
        <w:t>5.9供应商出现最后报价按无效响应处理或者响应文件按无效处理时</w:t>
      </w:r>
      <w:r>
        <w:rPr>
          <w:rFonts w:hint="eastAsia" w:ascii="宋体" w:hAnsi="宋体" w:cs="宋体"/>
          <w:color w:val="000000"/>
          <w:sz w:val="22"/>
          <w:szCs w:val="22"/>
        </w:rPr>
        <w:t>，</w:t>
      </w:r>
      <w:r>
        <w:rPr>
          <w:rFonts w:hint="eastAsia" w:ascii="宋体" w:hAnsi="宋体" w:cs="宋体"/>
          <w:b/>
          <w:bCs/>
          <w:color w:val="000000"/>
          <w:sz w:val="22"/>
          <w:szCs w:val="22"/>
        </w:rPr>
        <w:t>谈判小组应当告知有关供应商</w:t>
      </w:r>
      <w:r>
        <w:rPr>
          <w:rFonts w:hint="eastAsia" w:ascii="宋体" w:hAnsi="宋体" w:cs="宋体"/>
          <w:b/>
          <w:bCs/>
          <w:color w:val="000000"/>
          <w:szCs w:val="21"/>
        </w:rPr>
        <w:t>。</w:t>
      </w:r>
    </w:p>
    <w:p w14:paraId="23E3BBB4">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5.10最后报价结束后，谈判小组不得再与供应商进行任何形式的商谈。</w:t>
      </w:r>
    </w:p>
    <w:p w14:paraId="72A49FAF">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5.11谈判小组认为竞标供应商的竞标报价明显低于其他通过符合性审查竞标供应商的竞标报价，有可能影响产品质量或者不能诚信履约的，应当要求其在评标现场合理的时间内提供书面说明，必要时提交相关证明材料；竞标供应商不能证明其竞标报价合理性的，谈判小组应当将其作为无效竞标处理。</w:t>
      </w:r>
    </w:p>
    <w:p w14:paraId="308EFEBA">
      <w:pPr>
        <w:numPr>
          <w:ilvl w:val="0"/>
          <w:numId w:val="2"/>
        </w:numPr>
        <w:spacing w:line="360" w:lineRule="auto"/>
        <w:ind w:firstLine="482" w:firstLineChars="200"/>
        <w:rPr>
          <w:rFonts w:hint="eastAsia" w:ascii="宋体" w:hAnsi="宋体" w:cs="宋体"/>
          <w:b/>
          <w:bCs/>
          <w:color w:val="auto"/>
          <w:sz w:val="24"/>
        </w:rPr>
      </w:pPr>
      <w:r>
        <w:rPr>
          <w:rFonts w:hint="eastAsia" w:ascii="宋体" w:hAnsi="宋体" w:cs="宋体"/>
          <w:b/>
          <w:bCs/>
          <w:color w:val="auto"/>
          <w:sz w:val="24"/>
        </w:rPr>
        <w:t>最后报价政府采购政策性扣除</w:t>
      </w:r>
    </w:p>
    <w:p w14:paraId="78CEECAD">
      <w:pPr>
        <w:spacing w:line="360" w:lineRule="auto"/>
        <w:ind w:firstLine="420" w:firstLineChars="200"/>
        <w:rPr>
          <w:rFonts w:hint="eastAsia" w:ascii="宋体" w:hAnsi="宋体" w:cs="宋体"/>
          <w:color w:val="auto"/>
        </w:rPr>
      </w:pPr>
      <w:bookmarkStart w:id="40" w:name="_Toc90289793"/>
      <w:bookmarkStart w:id="41" w:name="_Toc22329"/>
      <w:r>
        <w:rPr>
          <w:rFonts w:hint="eastAsia" w:ascii="宋体" w:hAnsi="宋体" w:cs="宋体"/>
          <w:color w:val="auto"/>
          <w:szCs w:val="21"/>
        </w:rPr>
        <w:t>6.1本项目属于专门面向中小企业采购的项目，供应商应为中小微企业、监狱企业、残疾人福利性单位，并根据《政府采购促进中小企业发展管理办法》（财库[2020]46号）中《中小企业声明函》格式要求填报及提供声明函原件或《残疾人福利性单位声明函》原件或属于监狱企业的证明文件复印件，否则响应无效。价格评审时，参加本次项目投标的供应商不重复享受政策，其评审报价=谈判报价</w:t>
      </w:r>
      <w:r>
        <w:rPr>
          <w:rFonts w:hint="eastAsia" w:ascii="宋体" w:hAnsi="宋体" w:cs="宋体"/>
          <w:color w:val="auto"/>
        </w:rPr>
        <w:t>。</w:t>
      </w:r>
    </w:p>
    <w:p w14:paraId="355A9126">
      <w:pPr>
        <w:pStyle w:val="3"/>
        <w:spacing w:before="0" w:after="0" w:line="360" w:lineRule="auto"/>
        <w:ind w:firstLine="640" w:firstLineChars="200"/>
        <w:jc w:val="center"/>
        <w:rPr>
          <w:rFonts w:hint="eastAsia" w:ascii="宋体" w:hAnsi="宋体" w:cs="宋体"/>
          <w:b w:val="0"/>
          <w:color w:val="0000FF"/>
        </w:rPr>
      </w:pPr>
    </w:p>
    <w:bookmarkEnd w:id="40"/>
    <w:bookmarkEnd w:id="41"/>
    <w:p w14:paraId="6E7F32A6">
      <w:pPr>
        <w:pStyle w:val="3"/>
        <w:spacing w:before="0" w:after="0" w:line="360" w:lineRule="auto"/>
        <w:ind w:firstLine="640" w:firstLineChars="200"/>
        <w:jc w:val="center"/>
        <w:rPr>
          <w:rFonts w:hint="eastAsia" w:ascii="宋体" w:hAnsi="宋体" w:cs="宋体"/>
          <w:b w:val="0"/>
          <w:color w:val="000000"/>
        </w:rPr>
      </w:pPr>
      <w:bookmarkStart w:id="42" w:name="_Toc90289796"/>
      <w:bookmarkStart w:id="43" w:name="_Toc24679"/>
      <w:r>
        <w:rPr>
          <w:rFonts w:hint="eastAsia" w:ascii="宋体" w:hAnsi="宋体" w:cs="宋体"/>
          <w:b w:val="0"/>
          <w:color w:val="000000"/>
        </w:rPr>
        <w:t>第二节 评审原则</w:t>
      </w:r>
    </w:p>
    <w:p w14:paraId="20C6EDF6">
      <w:pPr>
        <w:spacing w:line="360" w:lineRule="auto"/>
        <w:ind w:firstLine="480" w:firstLineChars="200"/>
        <w:jc w:val="left"/>
        <w:rPr>
          <w:rFonts w:hint="eastAsia" w:ascii="宋体" w:hAnsi="宋体" w:cs="宋体"/>
          <w:color w:val="000000"/>
          <w:sz w:val="24"/>
          <w:szCs w:val="32"/>
        </w:rPr>
      </w:pPr>
      <w:r>
        <w:rPr>
          <w:rFonts w:hint="eastAsia" w:ascii="宋体" w:hAnsi="宋体" w:cs="宋体"/>
          <w:color w:val="000000"/>
          <w:sz w:val="24"/>
          <w:szCs w:val="32"/>
        </w:rPr>
        <w:t>1.评审原则</w:t>
      </w:r>
    </w:p>
    <w:p w14:paraId="0AA3C053">
      <w:pPr>
        <w:spacing w:line="360" w:lineRule="auto"/>
        <w:ind w:firstLine="420" w:firstLineChars="200"/>
        <w:jc w:val="left"/>
        <w:rPr>
          <w:rFonts w:hint="eastAsia" w:ascii="宋体" w:hAnsi="宋体" w:cs="宋体"/>
          <w:color w:val="000000"/>
        </w:rPr>
      </w:pPr>
      <w:r>
        <w:rPr>
          <w:rFonts w:hint="eastAsia" w:ascii="宋体" w:hAnsi="宋体" w:cs="宋体"/>
          <w:color w:val="000000"/>
        </w:rPr>
        <w:t>1.1谈判小组成员要依法独立评审，并对评审意见承担个人责任。谈判小组成员对需要共同认定的事项存在争议的，按照少数服从多数的原则做出结论。持不同意见的谈判小组成员应当在评审报告上签署不同意见并说明理由，否则视为同意。</w:t>
      </w:r>
    </w:p>
    <w:p w14:paraId="4715EE58">
      <w:pPr>
        <w:spacing w:line="360" w:lineRule="auto"/>
        <w:ind w:firstLine="420" w:firstLineChars="200"/>
        <w:jc w:val="left"/>
        <w:rPr>
          <w:rFonts w:hint="eastAsia" w:ascii="宋体" w:hAnsi="宋体" w:cs="宋体"/>
          <w:color w:val="000000"/>
        </w:rPr>
      </w:pPr>
      <w:r>
        <w:rPr>
          <w:rFonts w:hint="eastAsia" w:ascii="宋体" w:hAnsi="宋体" w:cs="宋体"/>
          <w:color w:val="000000"/>
        </w:rPr>
        <w:t>1.2根据《政府采购非招标采购方式管理办法》（财政部令第74号）第二十一条规定，评审结果汇总完成后，采购人、采购代理机构和谈判小组均不得修改评审结果或者要求重新评审，但资格性检查认定错误、分值汇总计算错误、分项评分超出评分标准范围、客观分评分不一致、经评审委员会一致认定评分畸高、畸低的情形除外。出现上述除外情形的，谈判小组应当现场修改评审结果，并在评审报告中明确记载。</w:t>
      </w:r>
      <w:bookmarkStart w:id="44" w:name="_Toc432194885"/>
      <w:bookmarkStart w:id="45" w:name="_Toc321836413"/>
      <w:bookmarkStart w:id="46" w:name="_Toc432106535"/>
    </w:p>
    <w:bookmarkEnd w:id="44"/>
    <w:bookmarkEnd w:id="45"/>
    <w:bookmarkEnd w:id="46"/>
    <w:p w14:paraId="2F6576AB">
      <w:pPr>
        <w:spacing w:line="360" w:lineRule="auto"/>
        <w:ind w:firstLine="420" w:firstLineChars="200"/>
        <w:rPr>
          <w:rFonts w:hint="eastAsia" w:ascii="宋体" w:hAnsi="宋体" w:cs="宋体"/>
          <w:color w:val="000000"/>
        </w:rPr>
      </w:pPr>
      <w:r>
        <w:rPr>
          <w:rFonts w:hint="eastAsia" w:ascii="宋体" w:hAnsi="宋体" w:cs="宋体"/>
          <w:color w:val="000000"/>
        </w:rPr>
        <w:t>1.3谈判小组发现竞争性谈判文件存在歧义、重大缺陷导致评审工作无法进行，或者竞争性谈判文件内容违反国家有关规定的，要停止评审工作并向采购人或采购代理机构书面说明情况，采购人或采购代理机构应当修改竞争性谈判文件后重新组织采购活动；发现供应商提供虚假材料、串通等违法违规行为的，要及时向采购人或采购代理机构报告。</w:t>
      </w:r>
    </w:p>
    <w:p w14:paraId="628649A6">
      <w:pPr>
        <w:spacing w:line="360" w:lineRule="auto"/>
        <w:ind w:firstLine="480" w:firstLineChars="200"/>
        <w:rPr>
          <w:rFonts w:hint="eastAsia" w:ascii="宋体" w:hAnsi="宋体" w:cs="宋体"/>
          <w:color w:val="000000"/>
          <w:sz w:val="24"/>
          <w:szCs w:val="32"/>
        </w:rPr>
      </w:pPr>
      <w:r>
        <w:rPr>
          <w:rFonts w:hint="eastAsia" w:ascii="宋体" w:hAnsi="宋体" w:cs="宋体"/>
          <w:color w:val="000000"/>
          <w:sz w:val="24"/>
          <w:szCs w:val="32"/>
        </w:rPr>
        <w:t>2.终止竞争性谈判采购活动</w:t>
      </w:r>
    </w:p>
    <w:p w14:paraId="54C442BD">
      <w:pPr>
        <w:spacing w:line="360" w:lineRule="auto"/>
        <w:ind w:firstLine="420" w:firstLineChars="200"/>
        <w:jc w:val="left"/>
        <w:rPr>
          <w:rFonts w:hint="eastAsia" w:ascii="宋体" w:hAnsi="宋体" w:cs="宋体"/>
          <w:color w:val="000000"/>
        </w:rPr>
      </w:pPr>
      <w:r>
        <w:rPr>
          <w:rFonts w:hint="eastAsia" w:ascii="宋体" w:hAnsi="宋体" w:cs="宋体"/>
          <w:color w:val="000000"/>
        </w:rPr>
        <w:t>出现下列情形之一的，采购人或者采购代理机构应当终止竞争性谈判采购活动，发布项目终止公告并说明原因，重新开展采购活动：</w:t>
      </w:r>
    </w:p>
    <w:p w14:paraId="084139E9">
      <w:pPr>
        <w:spacing w:line="360" w:lineRule="auto"/>
        <w:ind w:firstLine="420" w:firstLineChars="200"/>
        <w:jc w:val="left"/>
        <w:rPr>
          <w:rFonts w:hint="eastAsia" w:ascii="宋体" w:hAnsi="宋体" w:cs="宋体"/>
          <w:color w:val="000000"/>
        </w:rPr>
      </w:pPr>
      <w:r>
        <w:rPr>
          <w:rFonts w:hint="eastAsia" w:ascii="宋体" w:hAnsi="宋体" w:cs="宋体"/>
          <w:color w:val="000000"/>
        </w:rPr>
        <w:t xml:space="preserve">（1）因情况变化，不再符合规定的竞争性谈判采购方式适用情形的； </w:t>
      </w:r>
    </w:p>
    <w:p w14:paraId="49574CAD">
      <w:pPr>
        <w:spacing w:line="360" w:lineRule="auto"/>
        <w:ind w:firstLine="420" w:firstLineChars="200"/>
        <w:jc w:val="left"/>
        <w:rPr>
          <w:rFonts w:hint="eastAsia" w:ascii="宋体" w:hAnsi="宋体" w:cs="宋体"/>
          <w:color w:val="000000"/>
        </w:rPr>
      </w:pPr>
      <w:r>
        <w:rPr>
          <w:rFonts w:hint="eastAsia" w:ascii="宋体" w:hAnsi="宋体" w:cs="宋体"/>
          <w:color w:val="000000"/>
        </w:rPr>
        <w:t>（2）出现影响采购公正的违法、违规行为的；</w:t>
      </w:r>
    </w:p>
    <w:p w14:paraId="3525690E">
      <w:pPr>
        <w:spacing w:line="360" w:lineRule="auto"/>
        <w:ind w:firstLine="420" w:firstLineChars="200"/>
        <w:jc w:val="left"/>
        <w:rPr>
          <w:rFonts w:hint="eastAsia" w:ascii="宋体" w:hAnsi="宋体" w:cs="宋体"/>
          <w:color w:val="000000"/>
        </w:rPr>
      </w:pPr>
      <w:r>
        <w:rPr>
          <w:rFonts w:hint="eastAsia" w:ascii="宋体" w:hAnsi="宋体" w:cs="宋体"/>
          <w:color w:val="000000"/>
        </w:rPr>
        <w:t>（3）在采购过程中符合竞争要求的供应商或者报价未超过采购预算的供应商不足3家的，但《政府采购非招标采购方式管理办法》第二十七条第二款规定的情形除外。</w:t>
      </w:r>
    </w:p>
    <w:p w14:paraId="773C209D">
      <w:pPr>
        <w:pStyle w:val="3"/>
        <w:spacing w:before="0" w:after="0" w:line="360" w:lineRule="auto"/>
        <w:ind w:firstLine="640" w:firstLineChars="200"/>
        <w:jc w:val="center"/>
        <w:rPr>
          <w:rFonts w:hint="eastAsia" w:ascii="宋体" w:hAnsi="宋体" w:cs="宋体"/>
          <w:b w:val="0"/>
          <w:color w:val="000000"/>
        </w:rPr>
      </w:pPr>
      <w:bookmarkStart w:id="47" w:name="_Toc90289794"/>
      <w:r>
        <w:rPr>
          <w:rFonts w:hint="eastAsia" w:ascii="宋体" w:hAnsi="宋体" w:cs="宋体"/>
          <w:b w:val="0"/>
          <w:color w:val="000000"/>
        </w:rPr>
        <w:t>第三节 评标报告</w:t>
      </w:r>
      <w:bookmarkEnd w:id="47"/>
    </w:p>
    <w:p w14:paraId="58BC21C4">
      <w:pPr>
        <w:spacing w:line="360" w:lineRule="auto"/>
        <w:ind w:firstLine="480" w:firstLineChars="200"/>
        <w:rPr>
          <w:rFonts w:hint="eastAsia" w:ascii="宋体" w:hAnsi="宋体" w:cs="宋体"/>
          <w:color w:val="000000"/>
          <w:sz w:val="24"/>
          <w:szCs w:val="32"/>
        </w:rPr>
      </w:pPr>
      <w:r>
        <w:rPr>
          <w:rFonts w:hint="eastAsia" w:ascii="宋体" w:hAnsi="宋体" w:cs="宋体"/>
          <w:color w:val="000000"/>
          <w:sz w:val="24"/>
          <w:szCs w:val="32"/>
        </w:rPr>
        <w:t>1.成交标准</w:t>
      </w:r>
    </w:p>
    <w:p w14:paraId="44684A6C">
      <w:pPr>
        <w:spacing w:line="360" w:lineRule="auto"/>
        <w:ind w:firstLine="420" w:firstLineChars="200"/>
        <w:rPr>
          <w:rFonts w:hint="eastAsia" w:ascii="宋体" w:hAnsi="宋体" w:cs="宋体"/>
          <w:color w:val="000000"/>
          <w:sz w:val="24"/>
        </w:rPr>
      </w:pPr>
      <w:r>
        <w:rPr>
          <w:rFonts w:hint="eastAsia" w:ascii="宋体" w:hAnsi="宋体" w:cs="宋体"/>
          <w:color w:val="000000"/>
        </w:rPr>
        <w:t>谈判小组应当从质量和货物均能满足谈判文件实质性响应要求的供应商中，按照评审价由低到高的顺序提出3名以上成交候选人（评审价相同时，按照最后报价由低到高顺序依次推荐；最后报价相同时，由谈判小组按“供应商须知前附表”第26.2条规定的顺序推荐）,并在线编写电子评审报告。</w:t>
      </w:r>
    </w:p>
    <w:p w14:paraId="6FFBF27D">
      <w:pPr>
        <w:spacing w:line="360" w:lineRule="auto"/>
        <w:ind w:firstLine="480" w:firstLineChars="200"/>
        <w:rPr>
          <w:rFonts w:hint="eastAsia" w:ascii="宋体" w:hAnsi="宋体" w:cs="宋体"/>
          <w:color w:val="000000"/>
          <w:sz w:val="24"/>
          <w:szCs w:val="32"/>
        </w:rPr>
      </w:pPr>
      <w:r>
        <w:rPr>
          <w:rFonts w:hint="eastAsia" w:ascii="宋体" w:hAnsi="宋体" w:cs="宋体"/>
          <w:color w:val="000000"/>
          <w:sz w:val="24"/>
          <w:szCs w:val="32"/>
        </w:rPr>
        <w:t>2.评标争议事项处理</w:t>
      </w:r>
    </w:p>
    <w:p w14:paraId="2F929CC6">
      <w:pPr>
        <w:pStyle w:val="35"/>
        <w:spacing w:before="0"/>
        <w:ind w:firstLine="420"/>
        <w:rPr>
          <w:rFonts w:hint="eastAsia" w:ascii="宋体" w:hAnsi="宋体" w:cs="宋体"/>
          <w:color w:val="000000"/>
          <w:kern w:val="2"/>
          <w:sz w:val="21"/>
          <w:szCs w:val="24"/>
        </w:rPr>
      </w:pPr>
      <w:r>
        <w:rPr>
          <w:rFonts w:hint="eastAsia" w:ascii="宋体" w:hAnsi="宋体" w:cs="宋体"/>
          <w:color w:val="000000"/>
          <w:kern w:val="2"/>
          <w:sz w:val="21"/>
          <w:szCs w:val="24"/>
        </w:rPr>
        <w:t>谈判小组成员对需要共同认定的事项存在争议的，应当按照少数服从多数的原则作出结论。持不同意见的谈判小组成员应当在评标报告上签署不同意见及理由，否则视为同意评标报告。</w:t>
      </w:r>
    </w:p>
    <w:p w14:paraId="2695190B">
      <w:pPr>
        <w:pStyle w:val="3"/>
        <w:spacing w:before="0" w:after="0" w:line="360" w:lineRule="auto"/>
        <w:ind w:firstLine="640" w:firstLineChars="200"/>
        <w:jc w:val="center"/>
        <w:rPr>
          <w:rFonts w:hint="eastAsia" w:ascii="宋体" w:hAnsi="宋体" w:cs="宋体"/>
          <w:b w:val="0"/>
          <w:color w:val="000000"/>
        </w:rPr>
      </w:pPr>
      <w:bookmarkStart w:id="48" w:name="_Toc90289795"/>
      <w:r>
        <w:rPr>
          <w:rFonts w:hint="eastAsia" w:ascii="宋体" w:hAnsi="宋体" w:cs="宋体"/>
          <w:b w:val="0"/>
          <w:color w:val="000000"/>
        </w:rPr>
        <w:t>第四节 评审过程的保密与录像</w:t>
      </w:r>
      <w:bookmarkEnd w:id="48"/>
    </w:p>
    <w:p w14:paraId="40EE8EEB">
      <w:pPr>
        <w:spacing w:line="360" w:lineRule="auto"/>
        <w:ind w:firstLine="480" w:firstLineChars="200"/>
        <w:rPr>
          <w:rFonts w:hint="eastAsia" w:ascii="宋体" w:hAnsi="宋体" w:cs="宋体"/>
          <w:color w:val="000000"/>
          <w:sz w:val="24"/>
          <w:szCs w:val="32"/>
        </w:rPr>
      </w:pPr>
      <w:r>
        <w:rPr>
          <w:rFonts w:hint="eastAsia" w:ascii="宋体" w:hAnsi="宋体" w:cs="宋体"/>
          <w:color w:val="000000"/>
          <w:sz w:val="24"/>
          <w:szCs w:val="32"/>
        </w:rPr>
        <w:t>1.保密。</w:t>
      </w:r>
    </w:p>
    <w:p w14:paraId="1AED91A2">
      <w:pPr>
        <w:widowControl/>
        <w:spacing w:line="360" w:lineRule="auto"/>
        <w:ind w:firstLine="420" w:firstLineChars="200"/>
        <w:rPr>
          <w:rFonts w:hint="eastAsia" w:ascii="宋体" w:hAnsi="宋体" w:cs="宋体"/>
          <w:color w:val="000000"/>
        </w:rPr>
      </w:pPr>
      <w:r>
        <w:rPr>
          <w:rFonts w:hint="eastAsia" w:ascii="宋体" w:hAnsi="宋体" w:cs="宋体"/>
          <w:color w:val="000000"/>
        </w:rPr>
        <w:t>评审活动在严格保密的情况下进行。评审过程中凡是与采购响应文件评审和比较、成交供应商推荐等评审有关的情况，以及涉及国家秘密和商业秘密等信息，评审委员会成员、采购人和采购机构工作人员、相关监督人员等与评审有关的人员应当予以保密。</w:t>
      </w:r>
    </w:p>
    <w:p w14:paraId="26F8B989">
      <w:pPr>
        <w:widowControl/>
        <w:spacing w:line="360" w:lineRule="auto"/>
        <w:ind w:firstLine="480" w:firstLineChars="200"/>
        <w:rPr>
          <w:rFonts w:hint="eastAsia" w:ascii="宋体" w:hAnsi="宋体" w:cs="宋体"/>
          <w:color w:val="000000"/>
          <w:sz w:val="24"/>
          <w:szCs w:val="32"/>
        </w:rPr>
      </w:pPr>
      <w:r>
        <w:rPr>
          <w:rFonts w:hint="eastAsia" w:ascii="宋体" w:hAnsi="宋体" w:cs="宋体"/>
          <w:color w:val="000000"/>
          <w:sz w:val="24"/>
          <w:szCs w:val="32"/>
        </w:rPr>
        <w:t>2.录音录像。</w:t>
      </w:r>
    </w:p>
    <w:p w14:paraId="2EF293C3">
      <w:pPr>
        <w:spacing w:line="360" w:lineRule="auto"/>
        <w:ind w:firstLine="420" w:firstLineChars="200"/>
        <w:rPr>
          <w:rFonts w:hint="eastAsia" w:ascii="宋体" w:hAnsi="宋体" w:cs="宋体"/>
          <w:color w:val="000000"/>
        </w:rPr>
      </w:pPr>
      <w:r>
        <w:rPr>
          <w:rFonts w:hint="eastAsia" w:ascii="宋体" w:hAnsi="宋体" w:cs="宋体"/>
          <w:color w:val="000000"/>
        </w:rPr>
        <w:t>采购代理机构对评审工作现场及操作屏幕进行全过程录音录像，录音录像资料作为采购项目文件随其他文件一并存档。</w:t>
      </w:r>
    </w:p>
    <w:p w14:paraId="2B1B7542">
      <w:pPr>
        <w:spacing w:line="360" w:lineRule="auto"/>
        <w:rPr>
          <w:rFonts w:hint="eastAsia" w:ascii="宋体" w:hAnsi="宋体" w:cs="宋体"/>
          <w:color w:val="000000"/>
        </w:rPr>
      </w:pPr>
      <w:r>
        <w:rPr>
          <w:rFonts w:hint="eastAsia" w:ascii="宋体" w:hAnsi="宋体" w:cs="宋体"/>
          <w:color w:val="000000"/>
        </w:rPr>
        <w:br w:type="page"/>
      </w:r>
    </w:p>
    <w:p w14:paraId="576E4183">
      <w:pPr>
        <w:pStyle w:val="2"/>
        <w:spacing w:line="360" w:lineRule="auto"/>
        <w:jc w:val="center"/>
        <w:rPr>
          <w:rFonts w:hint="eastAsia" w:ascii="宋体" w:hAnsi="宋体" w:cs="宋体"/>
          <w:color w:val="000000"/>
        </w:rPr>
      </w:pPr>
      <w:r>
        <w:rPr>
          <w:rFonts w:hint="eastAsia" w:ascii="宋体" w:hAnsi="宋体" w:cs="宋体"/>
          <w:color w:val="000000"/>
        </w:rPr>
        <w:t>第五章 响应文件格式</w:t>
      </w:r>
      <w:bookmarkEnd w:id="42"/>
      <w:bookmarkEnd w:id="43"/>
    </w:p>
    <w:p w14:paraId="3BD424F1">
      <w:pPr>
        <w:rPr>
          <w:b/>
          <w:sz w:val="32"/>
          <w:szCs w:val="32"/>
        </w:rPr>
      </w:pPr>
      <w:bookmarkStart w:id="49" w:name="_Toc71366060"/>
      <w:bookmarkStart w:id="50" w:name="_Toc71365382"/>
      <w:r>
        <w:rPr>
          <w:rFonts w:hint="eastAsia"/>
          <w:b/>
          <w:sz w:val="32"/>
          <w:szCs w:val="32"/>
        </w:rPr>
        <w:t>一、资格证明文件格式</w:t>
      </w:r>
      <w:bookmarkEnd w:id="49"/>
      <w:bookmarkEnd w:id="50"/>
    </w:p>
    <w:p w14:paraId="549A1009">
      <w:pPr>
        <w:snapToGrid w:val="0"/>
        <w:spacing w:before="120" w:beforeLines="50" w:after="50" w:line="360" w:lineRule="auto"/>
        <w:jc w:val="left"/>
        <w:rPr>
          <w:rFonts w:hint="eastAsia" w:ascii="宋体" w:hAnsi="宋体"/>
          <w:b/>
          <w:sz w:val="24"/>
        </w:rPr>
      </w:pPr>
      <w:r>
        <w:rPr>
          <w:rFonts w:hint="eastAsia" w:ascii="宋体" w:hAnsi="宋体"/>
          <w:b/>
          <w:sz w:val="32"/>
          <w:szCs w:val="32"/>
        </w:rPr>
        <w:t>1.资格证明文件封面格式：</w:t>
      </w:r>
      <w:r>
        <w:rPr>
          <w:rFonts w:hint="eastAsia" w:ascii="宋体" w:hAnsi="宋体"/>
          <w:b/>
          <w:sz w:val="24"/>
        </w:rPr>
        <w:t xml:space="preserve"> </w:t>
      </w:r>
    </w:p>
    <w:p w14:paraId="356604FC">
      <w:pPr>
        <w:snapToGrid w:val="0"/>
        <w:spacing w:before="120" w:beforeLines="50" w:after="50"/>
        <w:rPr>
          <w:rFonts w:hint="eastAsia" w:ascii="宋体" w:hAnsi="宋体"/>
          <w:bCs/>
          <w:sz w:val="32"/>
          <w:szCs w:val="20"/>
        </w:rPr>
      </w:pPr>
      <w:r>
        <w:rPr>
          <w:rFonts w:hint="eastAsia" w:ascii="宋体" w:hAnsi="宋体"/>
          <w:sz w:val="24"/>
        </w:rPr>
        <w:t xml:space="preserve">                                                    </w:t>
      </w:r>
    </w:p>
    <w:p w14:paraId="25D9F79D">
      <w:pPr>
        <w:snapToGrid w:val="0"/>
        <w:spacing w:before="120" w:beforeLines="50" w:after="50"/>
        <w:jc w:val="center"/>
        <w:rPr>
          <w:rFonts w:hint="eastAsia" w:ascii="宋体" w:hAnsi="宋体"/>
          <w:sz w:val="44"/>
          <w:szCs w:val="44"/>
        </w:rPr>
      </w:pPr>
      <w:r>
        <w:rPr>
          <w:rFonts w:hint="eastAsia" w:ascii="宋体" w:hAnsi="宋体"/>
          <w:sz w:val="44"/>
          <w:szCs w:val="44"/>
        </w:rPr>
        <w:t>电 子 响 应 文 件</w:t>
      </w:r>
    </w:p>
    <w:p w14:paraId="35FD0120">
      <w:pPr>
        <w:snapToGrid w:val="0"/>
        <w:spacing w:before="120" w:beforeLines="50" w:after="50"/>
        <w:rPr>
          <w:rFonts w:hint="eastAsia" w:ascii="宋体" w:hAnsi="宋体"/>
          <w:sz w:val="24"/>
          <w:szCs w:val="20"/>
        </w:rPr>
      </w:pPr>
    </w:p>
    <w:p w14:paraId="46210037">
      <w:pPr>
        <w:snapToGrid w:val="0"/>
        <w:spacing w:before="120" w:beforeLines="50" w:after="50"/>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资  格  证  明  文  件</w:t>
      </w:r>
    </w:p>
    <w:p w14:paraId="7B1224C7">
      <w:pPr>
        <w:snapToGrid w:val="0"/>
        <w:spacing w:before="120" w:beforeLines="50" w:after="50"/>
        <w:rPr>
          <w:rFonts w:hint="eastAsia" w:ascii="宋体" w:hAnsi="宋体"/>
          <w:bCs/>
          <w:sz w:val="24"/>
          <w:szCs w:val="20"/>
        </w:rPr>
      </w:pPr>
    </w:p>
    <w:p w14:paraId="0219EE97">
      <w:pPr>
        <w:snapToGrid w:val="0"/>
        <w:spacing w:before="120" w:beforeLines="50" w:after="50"/>
        <w:rPr>
          <w:rFonts w:hint="eastAsia" w:ascii="宋体" w:hAnsi="宋体"/>
          <w:bCs/>
          <w:sz w:val="24"/>
          <w:szCs w:val="20"/>
        </w:rPr>
      </w:pPr>
    </w:p>
    <w:p w14:paraId="37E2D9EB">
      <w:pPr>
        <w:snapToGrid w:val="0"/>
        <w:spacing w:before="120" w:beforeLines="50" w:after="50"/>
        <w:rPr>
          <w:rFonts w:hint="eastAsia" w:ascii="宋体" w:hAnsi="宋体"/>
          <w:bCs/>
          <w:sz w:val="24"/>
          <w:szCs w:val="20"/>
        </w:rPr>
      </w:pPr>
    </w:p>
    <w:p w14:paraId="14CED5A8">
      <w:pPr>
        <w:snapToGrid w:val="0"/>
        <w:spacing w:before="120" w:beforeLines="50" w:after="50"/>
        <w:rPr>
          <w:rFonts w:hint="eastAsia" w:ascii="宋体" w:hAnsi="宋体"/>
          <w:bCs/>
          <w:sz w:val="24"/>
          <w:szCs w:val="20"/>
        </w:rPr>
      </w:pPr>
    </w:p>
    <w:p w14:paraId="5DE74ADF">
      <w:pPr>
        <w:snapToGrid w:val="0"/>
        <w:spacing w:before="120" w:beforeLines="50" w:after="50"/>
        <w:ind w:firstLine="640" w:firstLineChars="200"/>
        <w:rPr>
          <w:rFonts w:hint="eastAsia" w:ascii="宋体" w:hAnsi="宋体" w:cs="仿宋_GB2312"/>
          <w:bCs/>
          <w:sz w:val="32"/>
          <w:szCs w:val="32"/>
        </w:rPr>
      </w:pPr>
      <w:r>
        <w:rPr>
          <w:rFonts w:hint="eastAsia" w:ascii="宋体" w:hAnsi="宋体" w:cs="仿宋_GB2312"/>
          <w:bCs/>
          <w:sz w:val="32"/>
          <w:szCs w:val="32"/>
        </w:rPr>
        <w:t>项目名称：</w:t>
      </w:r>
    </w:p>
    <w:p w14:paraId="0D3039BC">
      <w:pPr>
        <w:snapToGrid w:val="0"/>
        <w:spacing w:before="120" w:beforeLines="50" w:after="50"/>
        <w:ind w:firstLine="720" w:firstLineChars="225"/>
        <w:rPr>
          <w:rFonts w:hint="eastAsia" w:ascii="宋体" w:hAnsi="宋体" w:cs="仿宋_GB2312"/>
          <w:bCs/>
          <w:sz w:val="32"/>
          <w:szCs w:val="32"/>
        </w:rPr>
      </w:pPr>
    </w:p>
    <w:p w14:paraId="0E23AA48">
      <w:pPr>
        <w:snapToGrid w:val="0"/>
        <w:spacing w:before="120" w:beforeLines="50" w:after="50"/>
        <w:ind w:firstLine="720" w:firstLineChars="225"/>
        <w:rPr>
          <w:rFonts w:hint="eastAsia" w:ascii="宋体" w:hAnsi="宋体" w:cs="仿宋_GB2312"/>
          <w:bCs/>
          <w:sz w:val="32"/>
          <w:szCs w:val="32"/>
        </w:rPr>
      </w:pPr>
      <w:r>
        <w:rPr>
          <w:rFonts w:hint="eastAsia" w:ascii="宋体" w:hAnsi="宋体" w:cs="仿宋_GB2312"/>
          <w:bCs/>
          <w:sz w:val="32"/>
          <w:szCs w:val="32"/>
        </w:rPr>
        <w:t>项目编号：</w:t>
      </w:r>
    </w:p>
    <w:p w14:paraId="09483C7D">
      <w:pPr>
        <w:snapToGrid w:val="0"/>
        <w:spacing w:before="120" w:beforeLines="50" w:after="50"/>
        <w:ind w:firstLine="720" w:firstLineChars="225"/>
        <w:rPr>
          <w:rFonts w:hint="eastAsia" w:ascii="宋体" w:hAnsi="宋体" w:cs="仿宋_GB2312"/>
          <w:bCs/>
          <w:sz w:val="32"/>
          <w:szCs w:val="32"/>
        </w:rPr>
      </w:pPr>
      <w:r>
        <w:rPr>
          <w:rFonts w:hint="eastAsia" w:ascii="宋体" w:hAnsi="宋体" w:cs="仿宋_GB2312"/>
          <w:bCs/>
          <w:sz w:val="32"/>
          <w:szCs w:val="32"/>
        </w:rPr>
        <w:t xml:space="preserve"> </w:t>
      </w:r>
    </w:p>
    <w:p w14:paraId="334540F5">
      <w:pPr>
        <w:pStyle w:val="7"/>
        <w:snapToGrid w:val="0"/>
        <w:spacing w:before="50" w:after="50"/>
        <w:ind w:firstLine="720" w:firstLineChars="225"/>
        <w:rPr>
          <w:rFonts w:hint="eastAsia" w:ascii="宋体" w:hAnsi="宋体" w:cs="仿宋_GB2312"/>
          <w:bCs/>
          <w:sz w:val="32"/>
          <w:szCs w:val="32"/>
        </w:rPr>
      </w:pPr>
      <w:r>
        <w:rPr>
          <w:rFonts w:hint="eastAsia" w:ascii="宋体" w:hAnsi="宋体" w:cs="仿宋_GB2312"/>
          <w:bCs/>
          <w:sz w:val="32"/>
          <w:szCs w:val="32"/>
        </w:rPr>
        <w:t>供应商名称：</w:t>
      </w:r>
    </w:p>
    <w:p w14:paraId="02D9BDAA">
      <w:pPr>
        <w:snapToGrid w:val="0"/>
        <w:spacing w:before="120" w:beforeLines="50" w:after="50"/>
        <w:ind w:firstLine="640" w:firstLineChars="200"/>
        <w:rPr>
          <w:rFonts w:hint="eastAsia" w:ascii="宋体" w:hAnsi="宋体" w:cs="仿宋_GB2312"/>
          <w:bCs/>
          <w:sz w:val="32"/>
          <w:szCs w:val="32"/>
        </w:rPr>
      </w:pPr>
    </w:p>
    <w:p w14:paraId="764DE13F">
      <w:pPr>
        <w:pStyle w:val="7"/>
        <w:snapToGrid w:val="0"/>
        <w:spacing w:before="50" w:after="50"/>
        <w:ind w:firstLine="1280" w:firstLineChars="400"/>
        <w:rPr>
          <w:rFonts w:hint="eastAsia" w:ascii="宋体" w:hAnsi="宋体" w:cs="仿宋_GB2312"/>
          <w:bCs/>
          <w:sz w:val="32"/>
          <w:szCs w:val="32"/>
        </w:rPr>
      </w:pPr>
    </w:p>
    <w:p w14:paraId="24C71A76">
      <w:pPr>
        <w:snapToGrid w:val="0"/>
        <w:spacing w:before="120" w:beforeLines="50" w:after="50"/>
        <w:jc w:val="center"/>
        <w:rPr>
          <w:rFonts w:hint="eastAsia" w:ascii="宋体" w:hAnsi="宋体" w:cs="仿宋_GB2312"/>
          <w:sz w:val="32"/>
          <w:szCs w:val="32"/>
        </w:rPr>
      </w:pPr>
      <w:r>
        <w:rPr>
          <w:rFonts w:hint="eastAsia" w:ascii="宋体" w:hAnsi="宋体" w:cs="仿宋_GB2312"/>
          <w:sz w:val="32"/>
          <w:szCs w:val="32"/>
        </w:rPr>
        <w:t>年    月    日</w:t>
      </w:r>
    </w:p>
    <w:p w14:paraId="054EF2EB">
      <w:pPr>
        <w:snapToGrid w:val="0"/>
        <w:spacing w:before="120" w:beforeLines="50" w:after="50" w:line="360" w:lineRule="auto"/>
        <w:ind w:left="142"/>
        <w:jc w:val="left"/>
        <w:rPr>
          <w:rFonts w:hint="eastAsia" w:ascii="宋体" w:hAnsi="宋体"/>
          <w:b/>
          <w:bCs/>
          <w:sz w:val="32"/>
          <w:szCs w:val="32"/>
        </w:rPr>
      </w:pPr>
      <w:r>
        <w:rPr>
          <w:rFonts w:ascii="宋体" w:hAnsi="宋体"/>
          <w:sz w:val="24"/>
        </w:rPr>
        <w:br w:type="page"/>
      </w:r>
      <w:r>
        <w:rPr>
          <w:rFonts w:hint="eastAsia" w:ascii="宋体" w:hAnsi="宋体"/>
          <w:b/>
          <w:bCs/>
          <w:sz w:val="32"/>
          <w:szCs w:val="32"/>
        </w:rPr>
        <w:t>2.资格证明文件目录</w:t>
      </w:r>
    </w:p>
    <w:p w14:paraId="40C9D0E0">
      <w:pPr>
        <w:snapToGrid w:val="0"/>
        <w:spacing w:before="120" w:beforeLines="50" w:after="50" w:line="360" w:lineRule="auto"/>
        <w:ind w:firstLine="645"/>
        <w:rPr>
          <w:rFonts w:hint="eastAsia" w:ascii="宋体" w:hAnsi="宋体"/>
          <w:sz w:val="32"/>
          <w:szCs w:val="32"/>
        </w:rPr>
      </w:pPr>
      <w:r>
        <w:rPr>
          <w:rFonts w:hint="eastAsia" w:ascii="宋体" w:hAnsi="宋体"/>
          <w:sz w:val="32"/>
          <w:szCs w:val="32"/>
        </w:rPr>
        <w:t>根据谈判文件规定及供应商提供的材料自行编写目录（部分格式后附）。</w:t>
      </w:r>
    </w:p>
    <w:p w14:paraId="195F015C">
      <w:pPr>
        <w:snapToGrid w:val="0"/>
        <w:spacing w:before="120" w:beforeLines="50" w:after="50" w:line="360" w:lineRule="auto"/>
        <w:rPr>
          <w:rFonts w:hint="eastAsia" w:ascii="宋体" w:hAnsi="宋体"/>
          <w:sz w:val="24"/>
          <w:szCs w:val="20"/>
        </w:rPr>
      </w:pPr>
      <w:r>
        <w:rPr>
          <w:rFonts w:ascii="宋体" w:hAnsi="宋体"/>
          <w:sz w:val="24"/>
          <w:szCs w:val="20"/>
        </w:rPr>
        <w:t xml:space="preserve"> </w:t>
      </w:r>
    </w:p>
    <w:p w14:paraId="6CC3F40C">
      <w:pPr>
        <w:spacing w:line="360" w:lineRule="auto"/>
        <w:rPr>
          <w:rFonts w:hint="eastAsia" w:ascii="宋体" w:hAnsi="宋体"/>
          <w:szCs w:val="21"/>
        </w:rPr>
      </w:pPr>
    </w:p>
    <w:p w14:paraId="34765118">
      <w:pPr>
        <w:spacing w:line="360" w:lineRule="auto"/>
        <w:rPr>
          <w:rFonts w:hint="eastAsia" w:ascii="宋体" w:hAnsi="宋体"/>
          <w:szCs w:val="21"/>
        </w:rPr>
      </w:pPr>
    </w:p>
    <w:p w14:paraId="3A11CC60">
      <w:pPr>
        <w:spacing w:line="360" w:lineRule="auto"/>
        <w:rPr>
          <w:rFonts w:hint="eastAsia" w:ascii="宋体" w:hAnsi="宋体"/>
          <w:szCs w:val="21"/>
        </w:rPr>
      </w:pPr>
    </w:p>
    <w:p w14:paraId="57DA63BA">
      <w:pPr>
        <w:spacing w:line="360" w:lineRule="auto"/>
        <w:rPr>
          <w:rFonts w:hint="eastAsia" w:ascii="宋体" w:hAnsi="宋体"/>
          <w:szCs w:val="21"/>
        </w:rPr>
      </w:pPr>
    </w:p>
    <w:p w14:paraId="7030C324">
      <w:pPr>
        <w:spacing w:line="300" w:lineRule="auto"/>
        <w:rPr>
          <w:rFonts w:hint="eastAsia" w:ascii="宋体" w:hAnsi="宋体"/>
          <w:szCs w:val="21"/>
        </w:rPr>
      </w:pPr>
    </w:p>
    <w:p w14:paraId="19BB1D7D">
      <w:pPr>
        <w:spacing w:line="300" w:lineRule="auto"/>
        <w:rPr>
          <w:rFonts w:hint="eastAsia" w:ascii="宋体" w:hAnsi="宋体"/>
          <w:szCs w:val="21"/>
        </w:rPr>
      </w:pPr>
    </w:p>
    <w:p w14:paraId="3A66FCFB">
      <w:pPr>
        <w:spacing w:line="300" w:lineRule="auto"/>
        <w:rPr>
          <w:rFonts w:hint="eastAsia" w:ascii="宋体" w:hAnsi="宋体"/>
          <w:szCs w:val="21"/>
        </w:rPr>
      </w:pPr>
    </w:p>
    <w:p w14:paraId="1C040858">
      <w:pPr>
        <w:spacing w:line="300" w:lineRule="auto"/>
        <w:rPr>
          <w:rFonts w:hint="eastAsia" w:ascii="宋体" w:hAnsi="宋体"/>
          <w:szCs w:val="21"/>
        </w:rPr>
      </w:pPr>
    </w:p>
    <w:p w14:paraId="61C0E5AB">
      <w:pPr>
        <w:spacing w:line="300" w:lineRule="auto"/>
        <w:rPr>
          <w:rFonts w:hint="eastAsia" w:ascii="宋体" w:hAnsi="宋体"/>
          <w:szCs w:val="21"/>
        </w:rPr>
      </w:pPr>
    </w:p>
    <w:p w14:paraId="4037B8D2">
      <w:pPr>
        <w:spacing w:line="300" w:lineRule="auto"/>
        <w:rPr>
          <w:rFonts w:hint="eastAsia" w:ascii="宋体" w:hAnsi="宋体"/>
          <w:szCs w:val="21"/>
        </w:rPr>
      </w:pPr>
    </w:p>
    <w:p w14:paraId="34BA391D">
      <w:pPr>
        <w:spacing w:line="300" w:lineRule="auto"/>
        <w:rPr>
          <w:rFonts w:hint="eastAsia" w:ascii="宋体" w:hAnsi="宋体"/>
          <w:szCs w:val="21"/>
        </w:rPr>
      </w:pPr>
    </w:p>
    <w:p w14:paraId="672DEBCB">
      <w:pPr>
        <w:spacing w:line="300" w:lineRule="auto"/>
        <w:rPr>
          <w:rFonts w:hint="eastAsia" w:ascii="宋体" w:hAnsi="宋体"/>
          <w:szCs w:val="21"/>
        </w:rPr>
      </w:pPr>
    </w:p>
    <w:p w14:paraId="67BBB7EA">
      <w:pPr>
        <w:spacing w:line="300" w:lineRule="auto"/>
        <w:rPr>
          <w:rFonts w:hint="eastAsia" w:ascii="宋体" w:hAnsi="宋体"/>
          <w:szCs w:val="21"/>
        </w:rPr>
      </w:pPr>
    </w:p>
    <w:p w14:paraId="278B7ECD">
      <w:pPr>
        <w:spacing w:line="300" w:lineRule="auto"/>
        <w:rPr>
          <w:rFonts w:hint="eastAsia" w:ascii="宋体" w:hAnsi="宋体"/>
          <w:szCs w:val="21"/>
        </w:rPr>
      </w:pPr>
    </w:p>
    <w:p w14:paraId="2D8C3C71">
      <w:pPr>
        <w:spacing w:line="300" w:lineRule="auto"/>
        <w:rPr>
          <w:rFonts w:hint="eastAsia" w:ascii="宋体" w:hAnsi="宋体"/>
          <w:szCs w:val="21"/>
        </w:rPr>
      </w:pPr>
    </w:p>
    <w:p w14:paraId="77F776D7">
      <w:pPr>
        <w:spacing w:line="320" w:lineRule="exact"/>
        <w:jc w:val="left"/>
        <w:rPr>
          <w:rFonts w:hint="eastAsia" w:ascii="宋体" w:hAnsi="宋体"/>
          <w:szCs w:val="21"/>
        </w:rPr>
      </w:pPr>
    </w:p>
    <w:p w14:paraId="6B97145B">
      <w:pPr>
        <w:spacing w:line="320" w:lineRule="exact"/>
        <w:jc w:val="center"/>
        <w:rPr>
          <w:rFonts w:hint="eastAsia" w:ascii="宋体" w:hAnsi="宋体"/>
          <w:b/>
          <w:sz w:val="32"/>
          <w:szCs w:val="32"/>
        </w:rPr>
      </w:pPr>
      <w:r>
        <w:rPr>
          <w:rFonts w:ascii="宋体" w:hAnsi="宋体"/>
          <w:b/>
          <w:sz w:val="32"/>
          <w:szCs w:val="32"/>
        </w:rPr>
        <w:br w:type="page"/>
      </w:r>
      <w:r>
        <w:rPr>
          <w:rFonts w:hint="eastAsia" w:ascii="宋体" w:hAnsi="宋体"/>
          <w:b/>
          <w:sz w:val="32"/>
          <w:szCs w:val="32"/>
        </w:rPr>
        <w:t>防城港市政府采购供应商信用承诺函（格式）</w:t>
      </w:r>
    </w:p>
    <w:p w14:paraId="1DF4E9D0">
      <w:pPr>
        <w:spacing w:line="320" w:lineRule="exact"/>
        <w:jc w:val="left"/>
        <w:rPr>
          <w:rFonts w:hint="eastAsia" w:ascii="宋体" w:hAnsi="宋体"/>
          <w:szCs w:val="21"/>
        </w:rPr>
      </w:pPr>
    </w:p>
    <w:p w14:paraId="57BA82B0">
      <w:pPr>
        <w:spacing w:line="360" w:lineRule="auto"/>
        <w:jc w:val="left"/>
        <w:rPr>
          <w:rFonts w:hint="eastAsia" w:ascii="宋体" w:hAnsi="宋体"/>
          <w:sz w:val="24"/>
        </w:rPr>
      </w:pPr>
    </w:p>
    <w:p w14:paraId="293487A2">
      <w:pPr>
        <w:spacing w:line="360" w:lineRule="auto"/>
        <w:jc w:val="left"/>
        <w:rPr>
          <w:rFonts w:hint="eastAsia" w:ascii="宋体" w:hAnsi="宋体"/>
          <w:sz w:val="24"/>
        </w:rPr>
      </w:pPr>
      <w:r>
        <w:rPr>
          <w:rFonts w:hint="eastAsia" w:ascii="宋体" w:hAnsi="宋体"/>
          <w:sz w:val="24"/>
        </w:rPr>
        <w:t>致（采购人或采购代理机构） ：</w:t>
      </w:r>
    </w:p>
    <w:p w14:paraId="5F4428B1">
      <w:pPr>
        <w:spacing w:line="360" w:lineRule="auto"/>
        <w:ind w:firstLine="480" w:firstLineChars="200"/>
        <w:jc w:val="left"/>
        <w:rPr>
          <w:rFonts w:hint="eastAsia" w:ascii="宋体" w:hAnsi="宋体"/>
          <w:sz w:val="24"/>
        </w:rPr>
      </w:pPr>
      <w:r>
        <w:rPr>
          <w:rFonts w:hint="eastAsia" w:ascii="宋体" w:hAnsi="宋体"/>
          <w:sz w:val="24"/>
        </w:rPr>
        <w:t>我方自愿参加</w:t>
      </w:r>
      <w:r>
        <w:rPr>
          <w:rFonts w:hint="eastAsia" w:ascii="宋体" w:hAnsi="宋体"/>
          <w:sz w:val="24"/>
          <w:u w:val="single"/>
        </w:rPr>
        <w:t xml:space="preserve">    （项目名称） </w:t>
      </w:r>
      <w:r>
        <w:rPr>
          <w:rFonts w:hint="eastAsia" w:ascii="宋体" w:hAnsi="宋体"/>
          <w:sz w:val="24"/>
        </w:rPr>
        <w:t>项目（</w:t>
      </w:r>
      <w:r>
        <w:rPr>
          <w:rFonts w:hint="eastAsia" w:ascii="宋体" w:hAnsi="宋体"/>
          <w:sz w:val="24"/>
          <w:u w:val="single"/>
        </w:rPr>
        <w:t xml:space="preserve">项目编号：         </w:t>
      </w:r>
      <w:r>
        <w:rPr>
          <w:rFonts w:hint="eastAsia" w:ascii="宋体" w:hAnsi="宋体"/>
          <w:sz w:val="24"/>
        </w:rPr>
        <w:t xml:space="preserve">）的政府采购活动，严格遵守《中华人民共和国政府采购法》及相关法律法规，依法诚信经营，无条件遵守本次政府采购活动的各项规定，并郑重承诺： </w:t>
      </w:r>
    </w:p>
    <w:p w14:paraId="54D9FC25">
      <w:pPr>
        <w:spacing w:line="360" w:lineRule="auto"/>
        <w:ind w:firstLine="480" w:firstLineChars="200"/>
        <w:jc w:val="left"/>
        <w:rPr>
          <w:rFonts w:hint="eastAsia" w:ascii="宋体" w:hAnsi="宋体"/>
          <w:sz w:val="24"/>
        </w:rPr>
      </w:pPr>
      <w:r>
        <w:rPr>
          <w:rFonts w:hint="eastAsia" w:ascii="宋体" w:hAnsi="宋体"/>
          <w:sz w:val="24"/>
        </w:rPr>
        <w:t xml:space="preserve">1.我方具有符合采购文件资格要求的财务状况报告。 </w:t>
      </w:r>
    </w:p>
    <w:p w14:paraId="49AAFC38">
      <w:pPr>
        <w:spacing w:line="360" w:lineRule="auto"/>
        <w:ind w:firstLine="480" w:firstLineChars="200"/>
        <w:jc w:val="left"/>
        <w:rPr>
          <w:rFonts w:hint="eastAsia" w:ascii="宋体" w:hAnsi="宋体"/>
          <w:sz w:val="24"/>
        </w:rPr>
      </w:pPr>
      <w:r>
        <w:rPr>
          <w:rFonts w:hint="eastAsia" w:ascii="宋体" w:hAnsi="宋体"/>
          <w:sz w:val="24"/>
        </w:rPr>
        <w:t xml:space="preserve">2.我方具有符合采购文件资格要求的依法缴纳税收和社会保障资金的良好记录。 </w:t>
      </w:r>
    </w:p>
    <w:p w14:paraId="3F9AD5F2">
      <w:pPr>
        <w:spacing w:line="360" w:lineRule="auto"/>
        <w:ind w:firstLine="480" w:firstLineChars="200"/>
        <w:jc w:val="left"/>
        <w:rPr>
          <w:rFonts w:hint="eastAsia" w:ascii="宋体" w:hAnsi="宋体"/>
          <w:sz w:val="24"/>
        </w:rPr>
      </w:pPr>
      <w:r>
        <w:rPr>
          <w:rFonts w:hint="eastAsia" w:ascii="宋体" w:hAnsi="宋体"/>
          <w:sz w:val="24"/>
        </w:rPr>
        <w:t xml:space="preserve">3.我方参加政府采购活动前三年内在经营活动中没有重大违法记录。 </w:t>
      </w:r>
    </w:p>
    <w:p w14:paraId="320E8A71">
      <w:pPr>
        <w:spacing w:line="360" w:lineRule="auto"/>
        <w:ind w:firstLine="480" w:firstLineChars="200"/>
        <w:jc w:val="left"/>
        <w:rPr>
          <w:rFonts w:hint="eastAsia" w:ascii="宋体" w:hAnsi="宋体"/>
          <w:sz w:val="24"/>
        </w:rPr>
      </w:pPr>
      <w:r>
        <w:rPr>
          <w:rFonts w:hint="eastAsia" w:ascii="宋体" w:hAnsi="宋体"/>
          <w:sz w:val="24"/>
        </w:rPr>
        <w:t>我方对以上承诺内容的真实性负责。如有虚假，将依法承担相应责任。</w:t>
      </w:r>
    </w:p>
    <w:p w14:paraId="72E1EF9C">
      <w:pPr>
        <w:spacing w:line="360" w:lineRule="auto"/>
        <w:jc w:val="left"/>
        <w:rPr>
          <w:rFonts w:hint="eastAsia" w:ascii="宋体" w:hAnsi="宋体"/>
          <w:sz w:val="24"/>
        </w:rPr>
      </w:pPr>
    </w:p>
    <w:p w14:paraId="60B2165A">
      <w:pPr>
        <w:spacing w:line="360" w:lineRule="auto"/>
        <w:jc w:val="left"/>
        <w:rPr>
          <w:rFonts w:hint="eastAsia" w:ascii="宋体" w:hAnsi="宋体"/>
          <w:sz w:val="24"/>
        </w:rPr>
      </w:pPr>
    </w:p>
    <w:p w14:paraId="2B105D14">
      <w:pPr>
        <w:spacing w:line="360" w:lineRule="auto"/>
        <w:ind w:firstLine="4320" w:firstLineChars="1800"/>
        <w:jc w:val="left"/>
        <w:rPr>
          <w:rFonts w:hint="eastAsia" w:ascii="宋体" w:hAnsi="宋体"/>
          <w:sz w:val="24"/>
        </w:rPr>
      </w:pPr>
      <w:r>
        <w:rPr>
          <w:rFonts w:hint="eastAsia" w:ascii="宋体" w:hAnsi="宋体"/>
          <w:sz w:val="24"/>
        </w:rPr>
        <w:t>供应商名称（电子签章）：</w:t>
      </w:r>
    </w:p>
    <w:p w14:paraId="2DCF8EB3">
      <w:pPr>
        <w:spacing w:line="360" w:lineRule="auto"/>
        <w:ind w:firstLine="4320" w:firstLineChars="1800"/>
        <w:jc w:val="left"/>
        <w:rPr>
          <w:rFonts w:hint="eastAsia" w:ascii="宋体" w:hAnsi="宋体"/>
          <w:sz w:val="24"/>
        </w:rPr>
      </w:pPr>
      <w:r>
        <w:rPr>
          <w:rFonts w:hint="eastAsia" w:ascii="宋体" w:hAnsi="宋体"/>
          <w:sz w:val="24"/>
        </w:rPr>
        <w:t>统一社会信用代码：</w:t>
      </w:r>
    </w:p>
    <w:p w14:paraId="0EA238FB">
      <w:pPr>
        <w:spacing w:line="360" w:lineRule="auto"/>
        <w:ind w:firstLine="3120" w:firstLineChars="1300"/>
        <w:jc w:val="left"/>
        <w:rPr>
          <w:rFonts w:hint="eastAsia" w:ascii="宋体" w:hAnsi="宋体"/>
          <w:sz w:val="24"/>
        </w:rPr>
      </w:pPr>
      <w:r>
        <w:rPr>
          <w:rFonts w:hint="eastAsia" w:ascii="宋体" w:hAnsi="宋体"/>
          <w:sz w:val="24"/>
        </w:rPr>
        <w:t>法定代表人或授权代表(签字或者电子签名)：</w:t>
      </w:r>
    </w:p>
    <w:p w14:paraId="0070A165">
      <w:pPr>
        <w:spacing w:line="360" w:lineRule="auto"/>
        <w:ind w:firstLine="5280" w:firstLineChars="2200"/>
        <w:jc w:val="left"/>
        <w:rPr>
          <w:rFonts w:hint="eastAsia" w:ascii="宋体" w:hAnsi="宋体"/>
          <w:sz w:val="24"/>
        </w:rPr>
      </w:pPr>
      <w:r>
        <w:rPr>
          <w:rFonts w:hint="eastAsia" w:ascii="宋体" w:hAnsi="宋体"/>
          <w:sz w:val="24"/>
        </w:rPr>
        <w:t>日期： 年 月 日</w:t>
      </w:r>
    </w:p>
    <w:p w14:paraId="7BEC599C">
      <w:pPr>
        <w:spacing w:line="360" w:lineRule="auto"/>
        <w:jc w:val="left"/>
        <w:rPr>
          <w:rFonts w:hint="eastAsia" w:ascii="宋体" w:hAnsi="宋体"/>
          <w:sz w:val="24"/>
        </w:rPr>
      </w:pPr>
    </w:p>
    <w:p w14:paraId="35369F2C">
      <w:pPr>
        <w:spacing w:line="360" w:lineRule="auto"/>
        <w:jc w:val="left"/>
        <w:rPr>
          <w:rFonts w:hint="eastAsia" w:ascii="宋体" w:hAnsi="宋体"/>
          <w:sz w:val="24"/>
        </w:rPr>
      </w:pPr>
      <w:r>
        <w:rPr>
          <w:rFonts w:hint="eastAsia" w:ascii="宋体" w:hAnsi="宋体"/>
          <w:sz w:val="24"/>
        </w:rPr>
        <w:t>注：1.供应商须在响应文件中按此模板提供承诺函，未提供视为未实质性响应采购文件要求，按无效响应处理。</w:t>
      </w:r>
    </w:p>
    <w:p w14:paraId="0B8536C6">
      <w:pPr>
        <w:spacing w:line="360" w:lineRule="auto"/>
        <w:jc w:val="left"/>
        <w:rPr>
          <w:rFonts w:hint="eastAsia" w:ascii="宋体" w:hAnsi="宋体"/>
          <w:sz w:val="24"/>
        </w:rPr>
      </w:pPr>
      <w:r>
        <w:rPr>
          <w:rFonts w:hint="eastAsia" w:ascii="宋体" w:hAnsi="宋体"/>
          <w:sz w:val="24"/>
        </w:rPr>
        <w:t>2.供应商的法定代表人（其他组织的为负责人）或者授权代表的签名或盖章应真实、有效，如由授权代表签名或盖章的，应提供“法定代表人授权书”。</w:t>
      </w:r>
    </w:p>
    <w:p w14:paraId="109310F7">
      <w:pPr>
        <w:snapToGrid w:val="0"/>
        <w:spacing w:before="120" w:beforeLines="50" w:after="50"/>
        <w:jc w:val="center"/>
        <w:rPr>
          <w:rFonts w:hint="eastAsia" w:ascii="宋体" w:hAnsi="宋体"/>
          <w:b/>
          <w:sz w:val="32"/>
          <w:szCs w:val="32"/>
        </w:rPr>
      </w:pPr>
    </w:p>
    <w:p w14:paraId="74FE8EB2">
      <w:pPr>
        <w:snapToGrid w:val="0"/>
        <w:spacing w:before="120" w:beforeLines="50" w:after="50"/>
        <w:jc w:val="center"/>
        <w:rPr>
          <w:rFonts w:hint="eastAsia" w:ascii="宋体" w:hAnsi="宋体"/>
          <w:b/>
          <w:sz w:val="32"/>
          <w:szCs w:val="32"/>
        </w:rPr>
      </w:pPr>
    </w:p>
    <w:p w14:paraId="64B540FE">
      <w:pPr>
        <w:snapToGrid w:val="0"/>
        <w:spacing w:before="120" w:beforeLines="50" w:after="50"/>
        <w:jc w:val="center"/>
        <w:rPr>
          <w:rFonts w:hint="eastAsia" w:ascii="宋体" w:hAnsi="宋体"/>
          <w:b/>
          <w:sz w:val="32"/>
          <w:szCs w:val="32"/>
        </w:rPr>
      </w:pPr>
    </w:p>
    <w:p w14:paraId="188B33B5">
      <w:pPr>
        <w:snapToGrid w:val="0"/>
        <w:spacing w:before="120" w:beforeLines="50" w:after="50"/>
        <w:jc w:val="center"/>
        <w:rPr>
          <w:rFonts w:hint="eastAsia" w:ascii="宋体" w:hAnsi="宋体"/>
          <w:b/>
          <w:sz w:val="32"/>
          <w:szCs w:val="32"/>
        </w:rPr>
      </w:pPr>
    </w:p>
    <w:p w14:paraId="2F4B5BA8">
      <w:pPr>
        <w:snapToGrid w:val="0"/>
        <w:spacing w:before="120" w:beforeLines="50" w:after="50"/>
        <w:jc w:val="center"/>
        <w:rPr>
          <w:rFonts w:hint="eastAsia" w:ascii="宋体" w:hAnsi="宋体"/>
          <w:b/>
          <w:sz w:val="32"/>
          <w:szCs w:val="32"/>
        </w:rPr>
      </w:pPr>
    </w:p>
    <w:p w14:paraId="7907F8A5">
      <w:pPr>
        <w:snapToGrid w:val="0"/>
        <w:spacing w:before="120" w:beforeLines="50" w:after="50"/>
        <w:jc w:val="center"/>
        <w:rPr>
          <w:rFonts w:hint="eastAsia" w:ascii="宋体" w:hAnsi="宋体"/>
          <w:b/>
          <w:sz w:val="32"/>
          <w:szCs w:val="32"/>
        </w:rPr>
      </w:pPr>
    </w:p>
    <w:p w14:paraId="41DAD01F">
      <w:pPr>
        <w:snapToGrid w:val="0"/>
        <w:spacing w:before="120" w:beforeLines="50" w:after="50"/>
        <w:jc w:val="center"/>
        <w:rPr>
          <w:rFonts w:hint="eastAsia" w:ascii="宋体" w:hAnsi="宋体"/>
          <w:b/>
          <w:sz w:val="32"/>
          <w:szCs w:val="32"/>
        </w:rPr>
      </w:pPr>
    </w:p>
    <w:p w14:paraId="026F0A9C">
      <w:pPr>
        <w:snapToGrid w:val="0"/>
        <w:spacing w:before="120" w:beforeLines="50" w:after="50"/>
        <w:jc w:val="center"/>
        <w:rPr>
          <w:rFonts w:hint="eastAsia" w:ascii="宋体" w:hAnsi="宋体"/>
          <w:b/>
          <w:sz w:val="32"/>
          <w:szCs w:val="32"/>
        </w:rPr>
      </w:pPr>
      <w:r>
        <w:rPr>
          <w:rFonts w:hint="eastAsia" w:ascii="宋体" w:hAnsi="宋体"/>
          <w:b/>
          <w:sz w:val="32"/>
          <w:szCs w:val="32"/>
        </w:rPr>
        <w:t>供应商直接控股、管理关系信息表</w:t>
      </w:r>
    </w:p>
    <w:p w14:paraId="78F6B1E0">
      <w:pPr>
        <w:snapToGrid w:val="0"/>
        <w:spacing w:before="120" w:beforeLines="50" w:after="50"/>
        <w:jc w:val="center"/>
        <w:rPr>
          <w:rFonts w:hint="eastAsia" w:ascii="宋体" w:hAnsi="宋体"/>
          <w:b/>
          <w:sz w:val="32"/>
          <w:szCs w:val="32"/>
        </w:rPr>
      </w:pPr>
    </w:p>
    <w:p w14:paraId="2B12C8DA">
      <w:pPr>
        <w:snapToGrid w:val="0"/>
        <w:spacing w:before="120" w:beforeLines="50" w:after="50"/>
        <w:jc w:val="center"/>
        <w:rPr>
          <w:rFonts w:hint="eastAsia" w:ascii="宋体" w:hAnsi="宋体"/>
          <w:b/>
          <w:sz w:val="32"/>
          <w:szCs w:val="32"/>
        </w:rPr>
      </w:pPr>
      <w:r>
        <w:rPr>
          <w:rFonts w:hint="eastAsia" w:ascii="宋体" w:hAnsi="宋体"/>
          <w:b/>
          <w:sz w:val="32"/>
          <w:szCs w:val="32"/>
        </w:rPr>
        <w:t>供应商直接控股股东信息表</w:t>
      </w:r>
    </w:p>
    <w:p w14:paraId="0AB021F3">
      <w:pPr>
        <w:snapToGrid w:val="0"/>
        <w:spacing w:before="50" w:after="120" w:afterLines="50"/>
        <w:jc w:val="center"/>
        <w:rPr>
          <w:rFonts w:hint="eastAsia" w:ascii="宋体" w:hAnsi="宋体"/>
          <w:b/>
          <w:sz w:val="32"/>
          <w:szCs w:val="32"/>
        </w:rPr>
      </w:pPr>
    </w:p>
    <w:tbl>
      <w:tblPr>
        <w:tblStyle w:val="24"/>
        <w:tblW w:w="9585" w:type="dxa"/>
        <w:jc w:val="center"/>
        <w:shd w:val="clear" w:color="auto" w:fill="FBFBFB"/>
        <w:tblLayout w:type="fixed"/>
        <w:tblCellMar>
          <w:top w:w="0" w:type="dxa"/>
          <w:left w:w="0" w:type="dxa"/>
          <w:bottom w:w="0" w:type="dxa"/>
          <w:right w:w="0" w:type="dxa"/>
        </w:tblCellMar>
      </w:tblPr>
      <w:tblGrid>
        <w:gridCol w:w="880"/>
        <w:gridCol w:w="2655"/>
        <w:gridCol w:w="1455"/>
        <w:gridCol w:w="3725"/>
        <w:gridCol w:w="870"/>
      </w:tblGrid>
      <w:tr w14:paraId="454CA744">
        <w:tblPrEx>
          <w:shd w:val="clear" w:color="auto" w:fill="FBFBFB"/>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22131715">
            <w:pPr>
              <w:widowControl/>
              <w:spacing w:line="360" w:lineRule="auto"/>
              <w:jc w:val="center"/>
              <w:rPr>
                <w:rFonts w:hint="eastAsia" w:ascii="宋体" w:hAnsi="宋体" w:cs="宋体"/>
                <w:b/>
                <w:bCs/>
                <w:kern w:val="0"/>
                <w:sz w:val="28"/>
                <w:szCs w:val="28"/>
              </w:rPr>
            </w:pPr>
            <w:r>
              <w:rPr>
                <w:rFonts w:hint="eastAsia" w:ascii="宋体" w:hAnsi="宋体" w:cs="宋体"/>
                <w:b/>
                <w:bCs/>
                <w:kern w:val="0"/>
                <w:sz w:val="28"/>
                <w:szCs w:val="28"/>
              </w:rPr>
              <w:t>序号</w:t>
            </w:r>
          </w:p>
        </w:tc>
        <w:tc>
          <w:tcPr>
            <w:tcW w:w="2655"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5169561F">
            <w:pPr>
              <w:widowControl/>
              <w:spacing w:line="360" w:lineRule="auto"/>
              <w:jc w:val="center"/>
              <w:rPr>
                <w:rFonts w:hint="eastAsia" w:ascii="宋体" w:hAnsi="宋体" w:cs="宋体"/>
                <w:b/>
                <w:bCs/>
                <w:kern w:val="0"/>
                <w:sz w:val="28"/>
                <w:szCs w:val="28"/>
              </w:rPr>
            </w:pPr>
            <w:r>
              <w:rPr>
                <w:rFonts w:hint="eastAsia" w:ascii="宋体" w:hAnsi="宋体" w:cs="宋体"/>
                <w:b/>
                <w:bCs/>
                <w:kern w:val="0"/>
                <w:sz w:val="28"/>
                <w:szCs w:val="28"/>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5119C6C4">
            <w:pPr>
              <w:widowControl/>
              <w:spacing w:line="360" w:lineRule="auto"/>
              <w:jc w:val="center"/>
              <w:rPr>
                <w:rFonts w:hint="eastAsia" w:ascii="宋体" w:hAnsi="宋体" w:cs="宋体"/>
                <w:b/>
                <w:bCs/>
                <w:kern w:val="0"/>
                <w:sz w:val="28"/>
                <w:szCs w:val="28"/>
              </w:rPr>
            </w:pPr>
            <w:r>
              <w:rPr>
                <w:rFonts w:hint="eastAsia" w:ascii="宋体" w:hAnsi="宋体" w:cs="宋体"/>
                <w:b/>
                <w:bCs/>
                <w:kern w:val="0"/>
                <w:sz w:val="28"/>
                <w:szCs w:val="28"/>
              </w:rPr>
              <w:t>出资比例</w:t>
            </w:r>
          </w:p>
        </w:tc>
        <w:tc>
          <w:tcPr>
            <w:tcW w:w="3725"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64EB2F6F">
            <w:pPr>
              <w:widowControl/>
              <w:spacing w:line="360" w:lineRule="auto"/>
              <w:jc w:val="center"/>
              <w:rPr>
                <w:rFonts w:hint="eastAsia" w:ascii="宋体" w:hAnsi="宋体" w:cs="宋体"/>
                <w:b/>
                <w:bCs/>
                <w:kern w:val="0"/>
                <w:sz w:val="28"/>
                <w:szCs w:val="28"/>
              </w:rPr>
            </w:pPr>
            <w:r>
              <w:rPr>
                <w:rFonts w:hint="eastAsia" w:ascii="宋体" w:hAnsi="宋体" w:cs="宋体"/>
                <w:b/>
                <w:bCs/>
                <w:kern w:val="0"/>
                <w:sz w:val="28"/>
                <w:szCs w:val="28"/>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2D87942F">
            <w:pPr>
              <w:widowControl/>
              <w:spacing w:line="360" w:lineRule="auto"/>
              <w:jc w:val="center"/>
              <w:rPr>
                <w:rFonts w:hint="eastAsia" w:ascii="宋体" w:hAnsi="宋体" w:cs="宋体"/>
                <w:b/>
                <w:bCs/>
                <w:kern w:val="0"/>
                <w:sz w:val="28"/>
                <w:szCs w:val="28"/>
              </w:rPr>
            </w:pPr>
            <w:r>
              <w:rPr>
                <w:rFonts w:hint="eastAsia" w:ascii="宋体" w:hAnsi="宋体" w:cs="宋体"/>
                <w:b/>
                <w:bCs/>
                <w:kern w:val="0"/>
                <w:sz w:val="28"/>
                <w:szCs w:val="28"/>
              </w:rPr>
              <w:t>备注</w:t>
            </w:r>
          </w:p>
        </w:tc>
      </w:tr>
      <w:tr w14:paraId="3BE6D76D">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8B9AD87">
            <w:pPr>
              <w:widowControl/>
              <w:spacing w:line="360" w:lineRule="auto"/>
              <w:jc w:val="center"/>
              <w:rPr>
                <w:rFonts w:hint="eastAsia" w:ascii="宋体" w:hAnsi="宋体" w:cs="宋体"/>
                <w:kern w:val="0"/>
                <w:sz w:val="28"/>
                <w:szCs w:val="28"/>
              </w:rPr>
            </w:pPr>
            <w:r>
              <w:rPr>
                <w:rFonts w:hint="eastAsia" w:ascii="宋体" w:hAnsi="宋体" w:cs="宋体"/>
                <w:kern w:val="0"/>
                <w:sz w:val="28"/>
                <w:szCs w:val="28"/>
              </w:rPr>
              <w:t>1</w:t>
            </w:r>
          </w:p>
        </w:tc>
        <w:tc>
          <w:tcPr>
            <w:tcW w:w="26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642D501">
            <w:pPr>
              <w:widowControl/>
              <w:spacing w:line="360" w:lineRule="auto"/>
              <w:jc w:val="center"/>
              <w:rPr>
                <w:rFonts w:hint="eastAsia" w:ascii="宋体" w:hAnsi="宋体" w:cs="宋体"/>
                <w:kern w:val="0"/>
                <w:sz w:val="28"/>
                <w:szCs w:val="28"/>
              </w:rPr>
            </w:pPr>
          </w:p>
        </w:tc>
        <w:tc>
          <w:tcPr>
            <w:tcW w:w="14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CF273B5">
            <w:pPr>
              <w:widowControl/>
              <w:spacing w:line="360" w:lineRule="auto"/>
              <w:jc w:val="center"/>
              <w:rPr>
                <w:rFonts w:hint="eastAsia" w:ascii="宋体" w:hAnsi="宋体" w:cs="宋体"/>
                <w:kern w:val="0"/>
                <w:sz w:val="28"/>
                <w:szCs w:val="28"/>
              </w:rPr>
            </w:pPr>
          </w:p>
        </w:tc>
        <w:tc>
          <w:tcPr>
            <w:tcW w:w="372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C4DD9C4">
            <w:pPr>
              <w:widowControl/>
              <w:spacing w:line="360" w:lineRule="auto"/>
              <w:jc w:val="center"/>
              <w:rPr>
                <w:rFonts w:hint="eastAsia" w:ascii="宋体" w:hAnsi="宋体" w:cs="宋体"/>
                <w:kern w:val="0"/>
                <w:sz w:val="28"/>
                <w:szCs w:val="28"/>
              </w:rPr>
            </w:pPr>
          </w:p>
        </w:tc>
        <w:tc>
          <w:tcPr>
            <w:tcW w:w="87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1A82D83">
            <w:pPr>
              <w:widowControl/>
              <w:spacing w:line="360" w:lineRule="auto"/>
              <w:jc w:val="center"/>
              <w:rPr>
                <w:rFonts w:hint="eastAsia" w:ascii="宋体" w:hAnsi="宋体" w:cs="宋体"/>
                <w:kern w:val="0"/>
                <w:sz w:val="28"/>
                <w:szCs w:val="28"/>
              </w:rPr>
            </w:pPr>
          </w:p>
        </w:tc>
      </w:tr>
      <w:tr w14:paraId="525B2D2A">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1E34C76">
            <w:pPr>
              <w:widowControl/>
              <w:spacing w:line="360" w:lineRule="auto"/>
              <w:jc w:val="center"/>
              <w:rPr>
                <w:rFonts w:hint="eastAsia" w:ascii="宋体" w:hAnsi="宋体" w:cs="宋体"/>
                <w:kern w:val="0"/>
                <w:sz w:val="28"/>
                <w:szCs w:val="28"/>
              </w:rPr>
            </w:pPr>
            <w:r>
              <w:rPr>
                <w:rFonts w:hint="eastAsia" w:ascii="宋体" w:hAnsi="宋体" w:cs="宋体"/>
                <w:kern w:val="0"/>
                <w:sz w:val="28"/>
                <w:szCs w:val="28"/>
              </w:rPr>
              <w:t>2</w:t>
            </w:r>
          </w:p>
        </w:tc>
        <w:tc>
          <w:tcPr>
            <w:tcW w:w="26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7F918DF">
            <w:pPr>
              <w:widowControl/>
              <w:spacing w:line="360" w:lineRule="auto"/>
              <w:jc w:val="center"/>
              <w:rPr>
                <w:rFonts w:hint="eastAsia" w:ascii="宋体" w:hAnsi="宋体" w:cs="宋体"/>
                <w:kern w:val="0"/>
                <w:sz w:val="28"/>
                <w:szCs w:val="28"/>
              </w:rPr>
            </w:pPr>
          </w:p>
        </w:tc>
        <w:tc>
          <w:tcPr>
            <w:tcW w:w="14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A3BD9DD">
            <w:pPr>
              <w:widowControl/>
              <w:spacing w:line="360" w:lineRule="auto"/>
              <w:jc w:val="center"/>
              <w:rPr>
                <w:rFonts w:hint="eastAsia" w:ascii="宋体" w:hAnsi="宋体" w:cs="宋体"/>
                <w:kern w:val="0"/>
                <w:sz w:val="28"/>
                <w:szCs w:val="28"/>
              </w:rPr>
            </w:pPr>
          </w:p>
        </w:tc>
        <w:tc>
          <w:tcPr>
            <w:tcW w:w="372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521A544">
            <w:pPr>
              <w:widowControl/>
              <w:spacing w:line="360" w:lineRule="auto"/>
              <w:jc w:val="center"/>
              <w:rPr>
                <w:rFonts w:hint="eastAsia" w:ascii="宋体" w:hAnsi="宋体" w:cs="宋体"/>
                <w:kern w:val="0"/>
                <w:sz w:val="28"/>
                <w:szCs w:val="28"/>
              </w:rPr>
            </w:pPr>
          </w:p>
        </w:tc>
        <w:tc>
          <w:tcPr>
            <w:tcW w:w="87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6CDDB18">
            <w:pPr>
              <w:widowControl/>
              <w:spacing w:line="360" w:lineRule="auto"/>
              <w:jc w:val="center"/>
              <w:rPr>
                <w:rFonts w:hint="eastAsia" w:ascii="宋体" w:hAnsi="宋体" w:cs="宋体"/>
                <w:kern w:val="0"/>
                <w:sz w:val="28"/>
                <w:szCs w:val="28"/>
              </w:rPr>
            </w:pPr>
          </w:p>
        </w:tc>
      </w:tr>
      <w:tr w14:paraId="04DE3BD5">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EE0916F">
            <w:pPr>
              <w:widowControl/>
              <w:spacing w:line="360" w:lineRule="auto"/>
              <w:jc w:val="center"/>
              <w:rPr>
                <w:rFonts w:hint="eastAsia" w:ascii="宋体" w:hAnsi="宋体" w:cs="宋体"/>
                <w:kern w:val="0"/>
                <w:sz w:val="28"/>
                <w:szCs w:val="28"/>
              </w:rPr>
            </w:pPr>
            <w:r>
              <w:rPr>
                <w:rFonts w:hint="eastAsia" w:ascii="宋体" w:hAnsi="宋体" w:cs="宋体"/>
                <w:kern w:val="0"/>
                <w:sz w:val="28"/>
                <w:szCs w:val="28"/>
              </w:rPr>
              <w:t>3</w:t>
            </w:r>
          </w:p>
        </w:tc>
        <w:tc>
          <w:tcPr>
            <w:tcW w:w="26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837F563">
            <w:pPr>
              <w:widowControl/>
              <w:spacing w:line="360" w:lineRule="auto"/>
              <w:jc w:val="center"/>
              <w:rPr>
                <w:rFonts w:hint="eastAsia" w:ascii="宋体" w:hAnsi="宋体" w:cs="宋体"/>
                <w:kern w:val="0"/>
                <w:sz w:val="28"/>
                <w:szCs w:val="28"/>
              </w:rPr>
            </w:pPr>
          </w:p>
        </w:tc>
        <w:tc>
          <w:tcPr>
            <w:tcW w:w="14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5CDBB4A">
            <w:pPr>
              <w:widowControl/>
              <w:spacing w:line="360" w:lineRule="auto"/>
              <w:jc w:val="center"/>
              <w:rPr>
                <w:rFonts w:hint="eastAsia" w:ascii="宋体" w:hAnsi="宋体" w:cs="宋体"/>
                <w:kern w:val="0"/>
                <w:sz w:val="28"/>
                <w:szCs w:val="28"/>
              </w:rPr>
            </w:pPr>
          </w:p>
        </w:tc>
        <w:tc>
          <w:tcPr>
            <w:tcW w:w="372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0970E66">
            <w:pPr>
              <w:widowControl/>
              <w:spacing w:line="360" w:lineRule="auto"/>
              <w:jc w:val="center"/>
              <w:rPr>
                <w:rFonts w:hint="eastAsia" w:ascii="宋体" w:hAnsi="宋体" w:cs="宋体"/>
                <w:kern w:val="0"/>
                <w:sz w:val="28"/>
                <w:szCs w:val="28"/>
              </w:rPr>
            </w:pPr>
          </w:p>
        </w:tc>
        <w:tc>
          <w:tcPr>
            <w:tcW w:w="87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E105D75">
            <w:pPr>
              <w:widowControl/>
              <w:spacing w:line="360" w:lineRule="auto"/>
              <w:jc w:val="center"/>
              <w:rPr>
                <w:rFonts w:hint="eastAsia" w:ascii="宋体" w:hAnsi="宋体" w:cs="宋体"/>
                <w:kern w:val="0"/>
                <w:sz w:val="28"/>
                <w:szCs w:val="28"/>
              </w:rPr>
            </w:pPr>
          </w:p>
        </w:tc>
      </w:tr>
      <w:tr w14:paraId="5D6964E0">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CAA0443">
            <w:pPr>
              <w:widowControl/>
              <w:spacing w:line="360" w:lineRule="auto"/>
              <w:jc w:val="center"/>
              <w:rPr>
                <w:rFonts w:hint="eastAsia" w:ascii="宋体" w:hAnsi="宋体" w:cs="宋体"/>
                <w:kern w:val="0"/>
                <w:sz w:val="28"/>
                <w:szCs w:val="28"/>
              </w:rPr>
            </w:pPr>
            <w:r>
              <w:rPr>
                <w:rFonts w:hint="eastAsia" w:ascii="宋体" w:hAnsi="宋体" w:cs="宋体"/>
                <w:kern w:val="0"/>
                <w:sz w:val="28"/>
                <w:szCs w:val="28"/>
              </w:rPr>
              <w:t>……</w:t>
            </w:r>
          </w:p>
        </w:tc>
        <w:tc>
          <w:tcPr>
            <w:tcW w:w="26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1726CCA">
            <w:pPr>
              <w:widowControl/>
              <w:spacing w:line="360" w:lineRule="auto"/>
              <w:jc w:val="center"/>
              <w:rPr>
                <w:rFonts w:hint="eastAsia" w:ascii="宋体" w:hAnsi="宋体" w:cs="宋体"/>
                <w:kern w:val="0"/>
                <w:sz w:val="28"/>
                <w:szCs w:val="28"/>
              </w:rPr>
            </w:pPr>
          </w:p>
        </w:tc>
        <w:tc>
          <w:tcPr>
            <w:tcW w:w="14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DC42AD2">
            <w:pPr>
              <w:widowControl/>
              <w:spacing w:line="360" w:lineRule="auto"/>
              <w:jc w:val="center"/>
              <w:rPr>
                <w:rFonts w:hint="eastAsia" w:ascii="宋体" w:hAnsi="宋体" w:cs="宋体"/>
                <w:kern w:val="0"/>
                <w:sz w:val="28"/>
                <w:szCs w:val="28"/>
              </w:rPr>
            </w:pPr>
          </w:p>
        </w:tc>
        <w:tc>
          <w:tcPr>
            <w:tcW w:w="372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9AB7EEE">
            <w:pPr>
              <w:widowControl/>
              <w:spacing w:line="360" w:lineRule="auto"/>
              <w:jc w:val="center"/>
              <w:rPr>
                <w:rFonts w:hint="eastAsia" w:ascii="宋体" w:hAnsi="宋体" w:cs="宋体"/>
                <w:kern w:val="0"/>
                <w:sz w:val="28"/>
                <w:szCs w:val="28"/>
              </w:rPr>
            </w:pPr>
          </w:p>
        </w:tc>
        <w:tc>
          <w:tcPr>
            <w:tcW w:w="87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33117C4">
            <w:pPr>
              <w:widowControl/>
              <w:spacing w:line="360" w:lineRule="auto"/>
              <w:jc w:val="center"/>
              <w:rPr>
                <w:rFonts w:hint="eastAsia" w:ascii="宋体" w:hAnsi="宋体" w:cs="宋体"/>
                <w:kern w:val="0"/>
                <w:sz w:val="28"/>
                <w:szCs w:val="28"/>
              </w:rPr>
            </w:pPr>
          </w:p>
        </w:tc>
      </w:tr>
    </w:tbl>
    <w:p w14:paraId="2F4FBD14">
      <w:pPr>
        <w:spacing w:line="360" w:lineRule="auto"/>
        <w:contextualSpacing/>
        <w:jc w:val="left"/>
        <w:rPr>
          <w:rFonts w:hint="eastAsia" w:ascii="宋体" w:hAnsi="宋体" w:cs="宋体"/>
          <w:sz w:val="24"/>
        </w:rPr>
      </w:pPr>
      <w:r>
        <w:rPr>
          <w:rFonts w:hint="eastAsia" w:ascii="宋体" w:hAnsi="宋体" w:cs="宋体"/>
          <w:sz w:val="24"/>
        </w:rPr>
        <w:t>注：</w:t>
      </w:r>
    </w:p>
    <w:p w14:paraId="21158661">
      <w:pPr>
        <w:spacing w:line="360" w:lineRule="auto"/>
        <w:ind w:firstLine="480" w:firstLineChars="200"/>
        <w:contextualSpacing/>
        <w:jc w:val="left"/>
        <w:rPr>
          <w:rFonts w:hint="eastAsia" w:ascii="宋体" w:hAnsi="宋体" w:cs="宋体"/>
          <w:sz w:val="24"/>
        </w:rPr>
      </w:pPr>
      <w:r>
        <w:rPr>
          <w:rFonts w:hint="eastAsia" w:ascii="宋体" w:hAnsi="宋体" w:cs="宋体"/>
          <w:sz w:val="24"/>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51D0F01C">
      <w:pPr>
        <w:spacing w:line="360" w:lineRule="auto"/>
        <w:ind w:firstLine="480" w:firstLineChars="200"/>
        <w:contextualSpacing/>
        <w:jc w:val="left"/>
        <w:rPr>
          <w:rFonts w:hint="eastAsia" w:ascii="宋体" w:hAnsi="宋体" w:cs="宋体"/>
          <w:sz w:val="24"/>
        </w:rPr>
      </w:pPr>
      <w:r>
        <w:rPr>
          <w:rFonts w:hint="eastAsia" w:ascii="宋体" w:hAnsi="宋体" w:cs="宋体"/>
          <w:sz w:val="24"/>
        </w:rPr>
        <w:t>2.本表所指的控股关系仅限于直接控股关系，不包括间接的控股关系。公司实际控制人与公司之间的关系不属于本表所指的直接控股关系。</w:t>
      </w:r>
    </w:p>
    <w:p w14:paraId="579836D7">
      <w:pPr>
        <w:spacing w:line="360" w:lineRule="auto"/>
        <w:ind w:firstLine="480" w:firstLineChars="200"/>
        <w:contextualSpacing/>
        <w:jc w:val="left"/>
        <w:rPr>
          <w:rFonts w:hint="eastAsia" w:ascii="宋体" w:hAnsi="宋体" w:cs="宋体"/>
          <w:sz w:val="24"/>
        </w:rPr>
      </w:pPr>
      <w:r>
        <w:rPr>
          <w:rFonts w:hint="eastAsia" w:ascii="宋体" w:hAnsi="宋体" w:cs="宋体"/>
          <w:sz w:val="24"/>
        </w:rPr>
        <w:t>3.供应商不存在直接控股股东的，</w:t>
      </w:r>
      <w:r>
        <w:rPr>
          <w:rFonts w:hint="eastAsia" w:ascii="宋体" w:hAnsi="宋体"/>
          <w:sz w:val="24"/>
        </w:rPr>
        <w:t>则在“直接控股股东名称”填“无”</w:t>
      </w:r>
      <w:r>
        <w:rPr>
          <w:rFonts w:hint="eastAsia" w:ascii="宋体" w:hAnsi="宋体" w:cs="宋体"/>
          <w:sz w:val="24"/>
        </w:rPr>
        <w:t>。</w:t>
      </w:r>
    </w:p>
    <w:p w14:paraId="057CB9B0">
      <w:pPr>
        <w:spacing w:line="360" w:lineRule="auto"/>
        <w:ind w:firstLine="420" w:firstLineChars="200"/>
        <w:contextualSpacing/>
        <w:jc w:val="left"/>
        <w:rPr>
          <w:rFonts w:hint="eastAsia" w:ascii="宋体" w:hAnsi="宋体" w:cs="宋体"/>
          <w:szCs w:val="21"/>
        </w:rPr>
      </w:pPr>
    </w:p>
    <w:p w14:paraId="1CEC57C7">
      <w:pPr>
        <w:spacing w:line="360" w:lineRule="auto"/>
        <w:ind w:firstLine="560" w:firstLineChars="200"/>
        <w:contextualSpacing/>
        <w:jc w:val="left"/>
        <w:rPr>
          <w:rFonts w:hint="eastAsia" w:ascii="宋体" w:hAnsi="宋体" w:cs="宋体"/>
          <w:sz w:val="28"/>
          <w:szCs w:val="28"/>
        </w:rPr>
      </w:pPr>
    </w:p>
    <w:p w14:paraId="31F021AB">
      <w:pPr>
        <w:spacing w:line="360" w:lineRule="auto"/>
        <w:ind w:right="480"/>
        <w:contextualSpacing/>
        <w:jc w:val="center"/>
        <w:rPr>
          <w:rFonts w:hint="eastAsia" w:ascii="宋体" w:hAnsi="宋体" w:cs="宋体"/>
          <w:sz w:val="24"/>
          <w:u w:val="single"/>
        </w:rPr>
      </w:pPr>
      <w:r>
        <w:rPr>
          <w:rFonts w:hint="eastAsia" w:ascii="宋体" w:hAnsi="宋体" w:cs="宋体"/>
          <w:sz w:val="24"/>
        </w:rPr>
        <w:t xml:space="preserve"> </w:t>
      </w:r>
      <w:r>
        <w:rPr>
          <w:rFonts w:ascii="宋体" w:hAnsi="宋体" w:cs="宋体"/>
          <w:sz w:val="24"/>
        </w:rPr>
        <w:t xml:space="preserve">       </w:t>
      </w:r>
      <w:r>
        <w:rPr>
          <w:rFonts w:hint="eastAsia" w:ascii="宋体" w:hAnsi="宋体" w:cs="宋体"/>
          <w:sz w:val="24"/>
        </w:rPr>
        <w:t>法定代表人或者委托代理人</w:t>
      </w:r>
      <w:r>
        <w:rPr>
          <w:rFonts w:hint="eastAsia" w:ascii="宋体" w:hAnsi="宋体"/>
          <w:sz w:val="24"/>
        </w:rPr>
        <w:t>（签字或者电子签名）</w:t>
      </w:r>
      <w:r>
        <w:rPr>
          <w:rFonts w:hint="eastAsia" w:ascii="宋体" w:hAnsi="宋体" w:cs="宋体"/>
          <w:sz w:val="24"/>
        </w:rPr>
        <w:t>：</w:t>
      </w:r>
      <w:r>
        <w:rPr>
          <w:rFonts w:hint="eastAsia" w:ascii="宋体" w:hAnsi="宋体" w:cs="宋体"/>
          <w:sz w:val="24"/>
          <w:u w:val="single"/>
        </w:rPr>
        <w:t xml:space="preserve"> </w:t>
      </w:r>
      <w:r>
        <w:rPr>
          <w:rFonts w:ascii="宋体" w:hAnsi="宋体" w:cs="宋体"/>
          <w:sz w:val="24"/>
          <w:u w:val="single"/>
        </w:rPr>
        <w:t xml:space="preserve">                   </w:t>
      </w:r>
    </w:p>
    <w:p w14:paraId="644875AF">
      <w:pPr>
        <w:spacing w:line="360" w:lineRule="auto"/>
        <w:ind w:right="480" w:firstLine="3000" w:firstLineChars="1250"/>
        <w:contextualSpacing/>
        <w:rPr>
          <w:rFonts w:hint="eastAsia" w:ascii="宋体" w:hAnsi="宋体" w:cs="宋体"/>
          <w:sz w:val="24"/>
          <w:u w:val="single"/>
        </w:rPr>
      </w:pPr>
      <w:r>
        <w:rPr>
          <w:rFonts w:hint="eastAsia" w:ascii="宋体" w:hAnsi="宋体" w:cs="宋体"/>
          <w:sz w:val="24"/>
        </w:rPr>
        <w:t>供应商</w:t>
      </w:r>
      <w:r>
        <w:rPr>
          <w:rFonts w:hint="eastAsia" w:ascii="宋体" w:hAnsi="宋体"/>
          <w:sz w:val="24"/>
        </w:rPr>
        <w:t>（电子签章）</w:t>
      </w:r>
      <w:r>
        <w:rPr>
          <w:rFonts w:hint="eastAsia" w:ascii="宋体" w:hAnsi="宋体" w:cs="宋体"/>
          <w:sz w:val="24"/>
        </w:rPr>
        <w:t xml:space="preserve">： </w:t>
      </w:r>
      <w:r>
        <w:rPr>
          <w:rFonts w:hint="eastAsia" w:ascii="宋体" w:hAnsi="宋体" w:cs="宋体"/>
          <w:sz w:val="24"/>
          <w:u w:val="single"/>
        </w:rPr>
        <w:t xml:space="preserve">                              </w:t>
      </w:r>
    </w:p>
    <w:p w14:paraId="4AD7AF3D">
      <w:pPr>
        <w:spacing w:line="360" w:lineRule="auto"/>
        <w:ind w:right="480" w:firstLine="5280" w:firstLineChars="2200"/>
        <w:contextualSpacing/>
        <w:rPr>
          <w:rFonts w:hint="eastAsia" w:ascii="宋体" w:hAnsi="宋体" w:cs="宋体"/>
          <w:sz w:val="28"/>
          <w:szCs w:val="28"/>
        </w:rPr>
      </w:pPr>
      <w:r>
        <w:rPr>
          <w:rFonts w:hint="eastAsia" w:ascii="宋体" w:hAnsi="宋体" w:cs="宋体"/>
          <w:sz w:val="24"/>
        </w:rPr>
        <w:t>年    月    日</w:t>
      </w:r>
    </w:p>
    <w:p w14:paraId="4F6A89E1">
      <w:pPr>
        <w:snapToGrid w:val="0"/>
        <w:jc w:val="center"/>
        <w:rPr>
          <w:rFonts w:hint="eastAsia" w:ascii="宋体" w:hAnsi="宋体"/>
          <w:b/>
          <w:sz w:val="28"/>
          <w:szCs w:val="28"/>
        </w:rPr>
      </w:pPr>
      <w:r>
        <w:rPr>
          <w:rFonts w:ascii="宋体" w:hAnsi="宋体"/>
          <w:b/>
          <w:sz w:val="28"/>
          <w:szCs w:val="28"/>
        </w:rPr>
        <w:br w:type="page"/>
      </w:r>
    </w:p>
    <w:p w14:paraId="45386AF5">
      <w:pPr>
        <w:snapToGrid w:val="0"/>
        <w:jc w:val="center"/>
        <w:rPr>
          <w:rFonts w:hint="eastAsia" w:ascii="宋体" w:hAnsi="宋体"/>
          <w:b/>
          <w:sz w:val="32"/>
          <w:szCs w:val="32"/>
        </w:rPr>
      </w:pPr>
      <w:r>
        <w:rPr>
          <w:rFonts w:hint="eastAsia" w:ascii="宋体" w:hAnsi="宋体"/>
          <w:b/>
          <w:sz w:val="32"/>
          <w:szCs w:val="32"/>
        </w:rPr>
        <w:t>供应商直接管理关系信息表</w:t>
      </w:r>
    </w:p>
    <w:p w14:paraId="206C1A43">
      <w:pPr>
        <w:snapToGrid w:val="0"/>
        <w:jc w:val="center"/>
        <w:rPr>
          <w:rFonts w:hint="eastAsia" w:ascii="宋体" w:hAnsi="宋体"/>
          <w:b/>
          <w:sz w:val="32"/>
          <w:szCs w:val="32"/>
        </w:rPr>
      </w:pPr>
    </w:p>
    <w:tbl>
      <w:tblPr>
        <w:tblStyle w:val="24"/>
        <w:tblW w:w="9652" w:type="dxa"/>
        <w:jc w:val="center"/>
        <w:shd w:val="clear" w:color="auto" w:fill="FBFBFB"/>
        <w:tblLayout w:type="fixed"/>
        <w:tblCellMar>
          <w:top w:w="0" w:type="dxa"/>
          <w:left w:w="0" w:type="dxa"/>
          <w:bottom w:w="0" w:type="dxa"/>
          <w:right w:w="0" w:type="dxa"/>
        </w:tblCellMar>
      </w:tblPr>
      <w:tblGrid>
        <w:gridCol w:w="808"/>
        <w:gridCol w:w="3600"/>
        <w:gridCol w:w="3555"/>
        <w:gridCol w:w="1689"/>
      </w:tblGrid>
      <w:tr w14:paraId="659BF22C">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6E384D56">
            <w:pPr>
              <w:widowControl/>
              <w:jc w:val="center"/>
              <w:rPr>
                <w:rFonts w:hint="eastAsia" w:ascii="宋体" w:hAnsi="宋体" w:cs="宋体"/>
                <w:b/>
                <w:bCs/>
                <w:kern w:val="0"/>
                <w:sz w:val="28"/>
                <w:szCs w:val="28"/>
              </w:rPr>
            </w:pPr>
            <w:r>
              <w:rPr>
                <w:rFonts w:hint="eastAsia" w:ascii="宋体" w:hAnsi="宋体" w:cs="宋体"/>
                <w:b/>
                <w:bCs/>
                <w:kern w:val="0"/>
                <w:sz w:val="28"/>
                <w:szCs w:val="28"/>
              </w:rPr>
              <w:t>序号</w:t>
            </w:r>
          </w:p>
        </w:tc>
        <w:tc>
          <w:tcPr>
            <w:tcW w:w="3600"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00FBC3A6">
            <w:pPr>
              <w:widowControl/>
              <w:jc w:val="center"/>
              <w:rPr>
                <w:rFonts w:hint="eastAsia" w:ascii="宋体" w:hAnsi="宋体" w:cs="宋体"/>
                <w:b/>
                <w:bCs/>
                <w:kern w:val="0"/>
                <w:sz w:val="28"/>
                <w:szCs w:val="28"/>
              </w:rPr>
            </w:pPr>
            <w:r>
              <w:rPr>
                <w:rFonts w:hint="eastAsia" w:ascii="宋体" w:hAnsi="宋体" w:cs="宋体"/>
                <w:b/>
                <w:bCs/>
                <w:kern w:val="0"/>
                <w:sz w:val="28"/>
                <w:szCs w:val="28"/>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558D5DE4">
            <w:pPr>
              <w:widowControl/>
              <w:jc w:val="center"/>
              <w:rPr>
                <w:rFonts w:hint="eastAsia" w:ascii="宋体" w:hAnsi="宋体" w:cs="宋体"/>
                <w:b/>
                <w:bCs/>
                <w:kern w:val="0"/>
                <w:sz w:val="28"/>
                <w:szCs w:val="28"/>
              </w:rPr>
            </w:pPr>
            <w:r>
              <w:rPr>
                <w:rFonts w:hint="eastAsia" w:ascii="宋体" w:hAnsi="宋体" w:cs="宋体"/>
                <w:b/>
                <w:bCs/>
                <w:kern w:val="0"/>
                <w:sz w:val="28"/>
                <w:szCs w:val="28"/>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2B57E293">
            <w:pPr>
              <w:widowControl/>
              <w:jc w:val="center"/>
              <w:rPr>
                <w:rFonts w:hint="eastAsia" w:ascii="宋体" w:hAnsi="宋体" w:cs="宋体"/>
                <w:b/>
                <w:bCs/>
                <w:kern w:val="0"/>
                <w:sz w:val="28"/>
                <w:szCs w:val="28"/>
              </w:rPr>
            </w:pPr>
            <w:r>
              <w:rPr>
                <w:rFonts w:hint="eastAsia" w:ascii="宋体" w:hAnsi="宋体" w:cs="宋体"/>
                <w:b/>
                <w:bCs/>
                <w:kern w:val="0"/>
                <w:sz w:val="28"/>
                <w:szCs w:val="28"/>
              </w:rPr>
              <w:t>备注</w:t>
            </w:r>
          </w:p>
        </w:tc>
      </w:tr>
      <w:tr w14:paraId="451375B9">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AA67AD8">
            <w:pPr>
              <w:widowControl/>
              <w:wordWrap w:val="0"/>
              <w:spacing w:line="200" w:lineRule="atLeast"/>
              <w:jc w:val="center"/>
              <w:rPr>
                <w:rFonts w:hint="eastAsia" w:ascii="宋体" w:hAnsi="宋体" w:cs="宋体"/>
                <w:kern w:val="0"/>
                <w:sz w:val="28"/>
                <w:szCs w:val="28"/>
              </w:rPr>
            </w:pPr>
            <w:r>
              <w:rPr>
                <w:rFonts w:hint="eastAsia" w:ascii="宋体" w:hAnsi="宋体" w:cs="宋体"/>
                <w:kern w:val="0"/>
                <w:sz w:val="28"/>
                <w:szCs w:val="28"/>
              </w:rPr>
              <w:t>1</w:t>
            </w:r>
          </w:p>
        </w:tc>
        <w:tc>
          <w:tcPr>
            <w:tcW w:w="360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FC389C8">
            <w:pPr>
              <w:widowControl/>
              <w:wordWrap w:val="0"/>
              <w:spacing w:line="200" w:lineRule="atLeast"/>
              <w:jc w:val="center"/>
              <w:rPr>
                <w:rFonts w:hint="eastAsia" w:ascii="宋体" w:hAnsi="宋体" w:cs="宋体"/>
                <w:kern w:val="0"/>
                <w:sz w:val="28"/>
                <w:szCs w:val="28"/>
              </w:rPr>
            </w:pPr>
          </w:p>
        </w:tc>
        <w:tc>
          <w:tcPr>
            <w:tcW w:w="35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B89AB47">
            <w:pPr>
              <w:widowControl/>
              <w:wordWrap w:val="0"/>
              <w:spacing w:line="200" w:lineRule="atLeast"/>
              <w:jc w:val="center"/>
              <w:rPr>
                <w:rFonts w:hint="eastAsia" w:ascii="宋体" w:hAnsi="宋体" w:cs="宋体"/>
                <w:kern w:val="0"/>
                <w:sz w:val="28"/>
                <w:szCs w:val="28"/>
              </w:rPr>
            </w:pPr>
          </w:p>
        </w:tc>
        <w:tc>
          <w:tcPr>
            <w:tcW w:w="168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B7C92AC">
            <w:pPr>
              <w:widowControl/>
              <w:wordWrap w:val="0"/>
              <w:spacing w:line="200" w:lineRule="atLeast"/>
              <w:jc w:val="center"/>
              <w:rPr>
                <w:rFonts w:hint="eastAsia" w:ascii="宋体" w:hAnsi="宋体" w:cs="宋体"/>
                <w:kern w:val="0"/>
                <w:sz w:val="28"/>
                <w:szCs w:val="28"/>
              </w:rPr>
            </w:pPr>
          </w:p>
        </w:tc>
      </w:tr>
      <w:tr w14:paraId="10A41F87">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6981E9D">
            <w:pPr>
              <w:widowControl/>
              <w:wordWrap w:val="0"/>
              <w:spacing w:line="200" w:lineRule="atLeast"/>
              <w:jc w:val="center"/>
              <w:rPr>
                <w:rFonts w:hint="eastAsia" w:ascii="宋体" w:hAnsi="宋体" w:cs="宋体"/>
                <w:kern w:val="0"/>
                <w:sz w:val="28"/>
                <w:szCs w:val="28"/>
              </w:rPr>
            </w:pPr>
            <w:r>
              <w:rPr>
                <w:rFonts w:hint="eastAsia" w:ascii="宋体" w:hAnsi="宋体" w:cs="宋体"/>
                <w:kern w:val="0"/>
                <w:sz w:val="28"/>
                <w:szCs w:val="28"/>
              </w:rPr>
              <w:t>2</w:t>
            </w:r>
          </w:p>
        </w:tc>
        <w:tc>
          <w:tcPr>
            <w:tcW w:w="360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4DB2FCB">
            <w:pPr>
              <w:widowControl/>
              <w:wordWrap w:val="0"/>
              <w:spacing w:line="200" w:lineRule="atLeast"/>
              <w:jc w:val="center"/>
              <w:rPr>
                <w:rFonts w:hint="eastAsia" w:ascii="宋体" w:hAnsi="宋体" w:cs="宋体"/>
                <w:kern w:val="0"/>
                <w:sz w:val="28"/>
                <w:szCs w:val="28"/>
              </w:rPr>
            </w:pPr>
          </w:p>
        </w:tc>
        <w:tc>
          <w:tcPr>
            <w:tcW w:w="35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7C578E1">
            <w:pPr>
              <w:widowControl/>
              <w:wordWrap w:val="0"/>
              <w:spacing w:line="200" w:lineRule="atLeast"/>
              <w:jc w:val="center"/>
              <w:rPr>
                <w:rFonts w:hint="eastAsia" w:ascii="宋体" w:hAnsi="宋体" w:cs="宋体"/>
                <w:kern w:val="0"/>
                <w:sz w:val="28"/>
                <w:szCs w:val="28"/>
              </w:rPr>
            </w:pPr>
          </w:p>
        </w:tc>
        <w:tc>
          <w:tcPr>
            <w:tcW w:w="168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DBB2C6C">
            <w:pPr>
              <w:widowControl/>
              <w:wordWrap w:val="0"/>
              <w:spacing w:line="200" w:lineRule="atLeast"/>
              <w:jc w:val="center"/>
              <w:rPr>
                <w:rFonts w:hint="eastAsia" w:ascii="宋体" w:hAnsi="宋体" w:cs="宋体"/>
                <w:kern w:val="0"/>
                <w:sz w:val="28"/>
                <w:szCs w:val="28"/>
              </w:rPr>
            </w:pPr>
          </w:p>
        </w:tc>
      </w:tr>
      <w:tr w14:paraId="53DADD91">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35A2DED">
            <w:pPr>
              <w:widowControl/>
              <w:wordWrap w:val="0"/>
              <w:spacing w:line="200" w:lineRule="atLeast"/>
              <w:jc w:val="center"/>
              <w:rPr>
                <w:rFonts w:hint="eastAsia" w:ascii="宋体" w:hAnsi="宋体" w:cs="宋体"/>
                <w:kern w:val="0"/>
                <w:sz w:val="28"/>
                <w:szCs w:val="28"/>
              </w:rPr>
            </w:pPr>
            <w:r>
              <w:rPr>
                <w:rFonts w:hint="eastAsia" w:ascii="宋体" w:hAnsi="宋体" w:cs="宋体"/>
                <w:kern w:val="0"/>
                <w:sz w:val="28"/>
                <w:szCs w:val="28"/>
              </w:rPr>
              <w:t>3</w:t>
            </w:r>
          </w:p>
        </w:tc>
        <w:tc>
          <w:tcPr>
            <w:tcW w:w="360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5A09332">
            <w:pPr>
              <w:widowControl/>
              <w:wordWrap w:val="0"/>
              <w:spacing w:line="200" w:lineRule="atLeast"/>
              <w:jc w:val="center"/>
              <w:rPr>
                <w:rFonts w:hint="eastAsia" w:ascii="宋体" w:hAnsi="宋体" w:cs="宋体"/>
                <w:kern w:val="0"/>
                <w:sz w:val="28"/>
                <w:szCs w:val="28"/>
              </w:rPr>
            </w:pPr>
          </w:p>
        </w:tc>
        <w:tc>
          <w:tcPr>
            <w:tcW w:w="35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C3BC48C">
            <w:pPr>
              <w:widowControl/>
              <w:wordWrap w:val="0"/>
              <w:spacing w:line="200" w:lineRule="atLeast"/>
              <w:jc w:val="center"/>
              <w:rPr>
                <w:rFonts w:hint="eastAsia" w:ascii="宋体" w:hAnsi="宋体" w:cs="宋体"/>
                <w:kern w:val="0"/>
                <w:sz w:val="28"/>
                <w:szCs w:val="28"/>
              </w:rPr>
            </w:pPr>
          </w:p>
        </w:tc>
        <w:tc>
          <w:tcPr>
            <w:tcW w:w="168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BF01177">
            <w:pPr>
              <w:widowControl/>
              <w:wordWrap w:val="0"/>
              <w:spacing w:line="200" w:lineRule="atLeast"/>
              <w:jc w:val="center"/>
              <w:rPr>
                <w:rFonts w:hint="eastAsia" w:ascii="宋体" w:hAnsi="宋体" w:cs="宋体"/>
                <w:kern w:val="0"/>
                <w:sz w:val="28"/>
                <w:szCs w:val="28"/>
              </w:rPr>
            </w:pPr>
          </w:p>
        </w:tc>
      </w:tr>
      <w:tr w14:paraId="06D023E0">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E72EDA1">
            <w:pPr>
              <w:widowControl/>
              <w:wordWrap w:val="0"/>
              <w:spacing w:line="200" w:lineRule="atLeast"/>
              <w:jc w:val="center"/>
              <w:rPr>
                <w:rFonts w:hint="eastAsia" w:ascii="宋体" w:hAnsi="宋体" w:cs="宋体"/>
                <w:kern w:val="0"/>
                <w:sz w:val="28"/>
                <w:szCs w:val="28"/>
              </w:rPr>
            </w:pPr>
            <w:r>
              <w:rPr>
                <w:rFonts w:hint="eastAsia" w:ascii="宋体" w:hAnsi="宋体" w:cs="宋体"/>
                <w:kern w:val="0"/>
                <w:sz w:val="28"/>
                <w:szCs w:val="28"/>
              </w:rPr>
              <w:t>……</w:t>
            </w:r>
          </w:p>
        </w:tc>
        <w:tc>
          <w:tcPr>
            <w:tcW w:w="360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A12E6D1">
            <w:pPr>
              <w:widowControl/>
              <w:wordWrap w:val="0"/>
              <w:spacing w:line="200" w:lineRule="atLeast"/>
              <w:jc w:val="center"/>
              <w:rPr>
                <w:rFonts w:hint="eastAsia" w:ascii="宋体" w:hAnsi="宋体" w:cs="宋体"/>
                <w:kern w:val="0"/>
                <w:sz w:val="28"/>
                <w:szCs w:val="28"/>
              </w:rPr>
            </w:pPr>
          </w:p>
        </w:tc>
        <w:tc>
          <w:tcPr>
            <w:tcW w:w="35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22DDC01">
            <w:pPr>
              <w:widowControl/>
              <w:wordWrap w:val="0"/>
              <w:spacing w:line="200" w:lineRule="atLeast"/>
              <w:jc w:val="center"/>
              <w:rPr>
                <w:rFonts w:hint="eastAsia" w:ascii="宋体" w:hAnsi="宋体" w:cs="宋体"/>
                <w:kern w:val="0"/>
                <w:sz w:val="28"/>
                <w:szCs w:val="28"/>
              </w:rPr>
            </w:pPr>
          </w:p>
        </w:tc>
        <w:tc>
          <w:tcPr>
            <w:tcW w:w="168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45E0AC5">
            <w:pPr>
              <w:widowControl/>
              <w:wordWrap w:val="0"/>
              <w:spacing w:line="200" w:lineRule="atLeast"/>
              <w:jc w:val="center"/>
              <w:rPr>
                <w:rFonts w:hint="eastAsia" w:ascii="宋体" w:hAnsi="宋体" w:cs="宋体"/>
                <w:kern w:val="0"/>
                <w:sz w:val="28"/>
                <w:szCs w:val="28"/>
              </w:rPr>
            </w:pPr>
          </w:p>
        </w:tc>
      </w:tr>
    </w:tbl>
    <w:p w14:paraId="79FD08F6">
      <w:pPr>
        <w:spacing w:line="360" w:lineRule="auto"/>
        <w:contextualSpacing/>
        <w:jc w:val="left"/>
        <w:rPr>
          <w:rFonts w:hint="eastAsia" w:ascii="宋体" w:hAnsi="宋体"/>
          <w:sz w:val="24"/>
        </w:rPr>
      </w:pPr>
      <w:r>
        <w:rPr>
          <w:rFonts w:hint="eastAsia" w:ascii="宋体" w:hAnsi="宋体"/>
          <w:sz w:val="24"/>
        </w:rPr>
        <w:t>注：</w:t>
      </w:r>
    </w:p>
    <w:p w14:paraId="7B4DB53B">
      <w:pPr>
        <w:spacing w:line="360" w:lineRule="auto"/>
        <w:ind w:firstLine="480" w:firstLineChars="200"/>
        <w:contextualSpacing/>
        <w:jc w:val="left"/>
        <w:rPr>
          <w:rFonts w:hint="eastAsia" w:ascii="宋体" w:hAnsi="宋体"/>
          <w:sz w:val="24"/>
        </w:rPr>
      </w:pPr>
      <w:r>
        <w:rPr>
          <w:rFonts w:hint="eastAsia" w:ascii="宋体" w:hAnsi="宋体"/>
          <w:sz w:val="24"/>
        </w:rPr>
        <w:t>1.管理关系：是指不具有出资持股关系的其他单位之间存在的管理与被管理关系，如一些上下级关系的事业单位和团体组织。</w:t>
      </w:r>
    </w:p>
    <w:p w14:paraId="6F2E9FFA">
      <w:pPr>
        <w:spacing w:line="360" w:lineRule="auto"/>
        <w:ind w:firstLine="480" w:firstLineChars="200"/>
        <w:contextualSpacing/>
        <w:jc w:val="left"/>
        <w:rPr>
          <w:rFonts w:hint="eastAsia" w:ascii="宋体" w:hAnsi="宋体"/>
          <w:sz w:val="24"/>
        </w:rPr>
      </w:pPr>
      <w:r>
        <w:rPr>
          <w:rFonts w:hint="eastAsia" w:ascii="宋体" w:hAnsi="宋体"/>
          <w:sz w:val="24"/>
        </w:rPr>
        <w:t>2.</w:t>
      </w:r>
      <w:r>
        <w:rPr>
          <w:rFonts w:hint="eastAsia" w:ascii="宋体" w:hAnsi="宋体"/>
          <w:spacing w:val="-6"/>
          <w:sz w:val="24"/>
        </w:rPr>
        <w:t>本表所指的管理关系仅限于直接管理关系，不包括间接的管理关系。</w:t>
      </w:r>
    </w:p>
    <w:p w14:paraId="6ABC2A49">
      <w:pPr>
        <w:spacing w:line="360" w:lineRule="auto"/>
        <w:ind w:firstLine="480" w:firstLineChars="200"/>
        <w:contextualSpacing/>
        <w:jc w:val="left"/>
        <w:rPr>
          <w:rFonts w:hint="eastAsia" w:ascii="宋体" w:hAnsi="宋体"/>
          <w:sz w:val="24"/>
        </w:rPr>
      </w:pPr>
      <w:r>
        <w:rPr>
          <w:rFonts w:hint="eastAsia" w:ascii="宋体" w:hAnsi="宋体"/>
          <w:sz w:val="24"/>
        </w:rPr>
        <w:t>3.供应商不存在直接管理关系的，则在“直接管理关系单位名称”填“无”。</w:t>
      </w:r>
    </w:p>
    <w:p w14:paraId="4FAF2516">
      <w:pPr>
        <w:spacing w:line="360" w:lineRule="auto"/>
        <w:contextualSpacing/>
        <w:jc w:val="left"/>
        <w:rPr>
          <w:sz w:val="28"/>
          <w:szCs w:val="28"/>
        </w:rPr>
      </w:pPr>
    </w:p>
    <w:p w14:paraId="0D2E8C6B">
      <w:pPr>
        <w:spacing w:line="360" w:lineRule="auto"/>
        <w:contextualSpacing/>
        <w:jc w:val="left"/>
        <w:rPr>
          <w:sz w:val="28"/>
          <w:szCs w:val="28"/>
        </w:rPr>
      </w:pPr>
    </w:p>
    <w:p w14:paraId="4DCDAD07">
      <w:pPr>
        <w:spacing w:line="360" w:lineRule="auto"/>
        <w:contextualSpacing/>
        <w:jc w:val="left"/>
        <w:rPr>
          <w:sz w:val="28"/>
          <w:szCs w:val="28"/>
        </w:rPr>
      </w:pPr>
    </w:p>
    <w:p w14:paraId="6673BC4F">
      <w:pPr>
        <w:spacing w:line="360" w:lineRule="auto"/>
        <w:contextualSpacing/>
        <w:jc w:val="left"/>
        <w:rPr>
          <w:rFonts w:hint="eastAsia" w:ascii="宋体" w:hAnsi="宋体"/>
          <w:sz w:val="28"/>
          <w:szCs w:val="28"/>
        </w:rPr>
      </w:pPr>
    </w:p>
    <w:p w14:paraId="010C0994">
      <w:pPr>
        <w:spacing w:line="360" w:lineRule="auto"/>
        <w:ind w:right="480"/>
        <w:contextualSpacing/>
        <w:jc w:val="center"/>
        <w:rPr>
          <w:rFonts w:hint="eastAsia" w:ascii="宋体" w:hAnsi="宋体"/>
          <w:sz w:val="24"/>
          <w:u w:val="single"/>
        </w:rPr>
      </w:pPr>
      <w:r>
        <w:rPr>
          <w:rFonts w:hint="eastAsia" w:ascii="宋体" w:hAnsi="宋体"/>
          <w:sz w:val="24"/>
        </w:rPr>
        <w:t xml:space="preserve"> </w:t>
      </w:r>
      <w:r>
        <w:rPr>
          <w:rFonts w:ascii="宋体" w:hAnsi="宋体"/>
          <w:sz w:val="24"/>
        </w:rPr>
        <w:t xml:space="preserve">             </w:t>
      </w:r>
      <w:r>
        <w:rPr>
          <w:rFonts w:hint="eastAsia" w:ascii="宋体" w:hAnsi="宋体"/>
          <w:sz w:val="24"/>
        </w:rPr>
        <w:t>法定代表人或者委托代理人（签字或者电子签名）：</w:t>
      </w:r>
      <w:r>
        <w:rPr>
          <w:rFonts w:hint="eastAsia" w:ascii="宋体" w:hAnsi="宋体"/>
          <w:sz w:val="24"/>
          <w:u w:val="single"/>
        </w:rPr>
        <w:t xml:space="preserve"> </w:t>
      </w:r>
      <w:r>
        <w:rPr>
          <w:rFonts w:ascii="宋体" w:hAnsi="宋体"/>
          <w:sz w:val="24"/>
          <w:u w:val="single"/>
        </w:rPr>
        <w:t xml:space="preserve">                  </w:t>
      </w:r>
    </w:p>
    <w:p w14:paraId="45D8354D">
      <w:pPr>
        <w:spacing w:line="360" w:lineRule="auto"/>
        <w:ind w:right="480" w:firstLine="3360" w:firstLineChars="1400"/>
        <w:contextualSpacing/>
        <w:rPr>
          <w:rFonts w:hint="eastAsia" w:ascii="宋体" w:hAnsi="宋体"/>
          <w:sz w:val="24"/>
        </w:rPr>
      </w:pPr>
      <w:r>
        <w:rPr>
          <w:rFonts w:hint="eastAsia" w:ascii="宋体" w:hAnsi="宋体"/>
          <w:sz w:val="24"/>
        </w:rPr>
        <w:t>供应商（电子签章）：</w:t>
      </w:r>
      <w:r>
        <w:rPr>
          <w:rFonts w:hint="eastAsia" w:ascii="宋体" w:hAnsi="宋体"/>
          <w:sz w:val="24"/>
          <w:u w:val="single"/>
        </w:rPr>
        <w:t xml:space="preserve">                </w:t>
      </w:r>
    </w:p>
    <w:p w14:paraId="1281B034">
      <w:pPr>
        <w:spacing w:line="360" w:lineRule="auto"/>
        <w:ind w:right="480" w:firstLine="240" w:firstLineChars="100"/>
        <w:contextualSpacing/>
        <w:jc w:val="center"/>
        <w:rPr>
          <w:rFonts w:hint="eastAsia" w:ascii="宋体" w:hAnsi="宋体"/>
          <w:sz w:val="28"/>
          <w:szCs w:val="28"/>
        </w:rPr>
      </w:pPr>
      <w:r>
        <w:rPr>
          <w:rFonts w:hint="eastAsia" w:ascii="宋体" w:hAnsi="宋体"/>
          <w:sz w:val="24"/>
        </w:rPr>
        <w:t xml:space="preserve">                                        年    月    日</w:t>
      </w:r>
    </w:p>
    <w:p w14:paraId="1451890B">
      <w:pPr>
        <w:spacing w:line="500" w:lineRule="exact"/>
        <w:jc w:val="center"/>
        <w:rPr>
          <w:rFonts w:hint="eastAsia" w:ascii="方正小标宋简体" w:hAnsi="宋体" w:eastAsia="方正小标宋简体"/>
          <w:b/>
          <w:sz w:val="32"/>
          <w:szCs w:val="32"/>
        </w:rPr>
      </w:pPr>
      <w:r>
        <w:rPr>
          <w:rFonts w:ascii="宋体" w:hAnsi="宋体"/>
          <w:b/>
          <w:sz w:val="32"/>
          <w:szCs w:val="32"/>
        </w:rPr>
        <w:br w:type="page"/>
      </w:r>
      <w:r>
        <w:rPr>
          <w:rFonts w:hint="eastAsia" w:ascii="方正小标宋简体" w:hAnsi="宋体" w:eastAsia="方正小标宋简体"/>
          <w:b/>
          <w:sz w:val="32"/>
          <w:szCs w:val="32"/>
        </w:rPr>
        <w:t>竞标声明</w:t>
      </w:r>
    </w:p>
    <w:p w14:paraId="17032FC8">
      <w:pPr>
        <w:spacing w:line="320" w:lineRule="exact"/>
        <w:jc w:val="center"/>
        <w:rPr>
          <w:rFonts w:hint="eastAsia" w:ascii="宋体" w:hAnsi="宋体"/>
          <w:sz w:val="24"/>
          <w:szCs w:val="20"/>
        </w:rPr>
      </w:pPr>
    </w:p>
    <w:p w14:paraId="704CDBC1">
      <w:pPr>
        <w:spacing w:line="360" w:lineRule="auto"/>
        <w:contextualSpacing/>
        <w:rPr>
          <w:rFonts w:hint="eastAsia" w:ascii="宋体" w:hAnsi="宋体" w:cs="宋体"/>
          <w:sz w:val="24"/>
        </w:rPr>
      </w:pPr>
      <w:r>
        <w:rPr>
          <w:rFonts w:hint="eastAsia" w:ascii="宋体" w:hAnsi="宋体" w:cs="宋体"/>
          <w:sz w:val="24"/>
        </w:rPr>
        <w:t>致：</w:t>
      </w:r>
      <w:r>
        <w:rPr>
          <w:rFonts w:hint="eastAsia" w:ascii="宋体" w:hAnsi="宋体" w:cs="宋体"/>
          <w:sz w:val="24"/>
          <w:u w:val="single"/>
        </w:rPr>
        <w:t>（采购人名称）</w:t>
      </w:r>
      <w:r>
        <w:rPr>
          <w:rFonts w:hint="eastAsia" w:ascii="宋体" w:hAnsi="宋体" w:cs="宋体"/>
          <w:sz w:val="24"/>
        </w:rPr>
        <w:t>：</w:t>
      </w:r>
    </w:p>
    <w:p w14:paraId="4F975B9F">
      <w:pPr>
        <w:spacing w:line="360" w:lineRule="auto"/>
        <w:ind w:firstLine="480" w:firstLineChars="200"/>
        <w:contextualSpacing/>
        <w:rPr>
          <w:rFonts w:hint="eastAsia" w:ascii="宋体" w:hAnsi="宋体" w:cs="宋体"/>
          <w:sz w:val="24"/>
        </w:rPr>
      </w:pPr>
      <w:r>
        <w:rPr>
          <w:rFonts w:hint="eastAsia" w:ascii="宋体" w:hAnsi="宋体" w:cs="宋体"/>
          <w:sz w:val="24"/>
        </w:rPr>
        <w:t>我方</w:t>
      </w:r>
      <w:r>
        <w:rPr>
          <w:rFonts w:hint="eastAsia" w:ascii="宋体" w:hAnsi="宋体" w:cs="宋体"/>
          <w:sz w:val="24"/>
          <w:u w:val="single"/>
        </w:rPr>
        <w:t>（供应商名称）</w:t>
      </w:r>
      <w:r>
        <w:rPr>
          <w:rFonts w:hint="eastAsia" w:ascii="宋体" w:hAnsi="宋体" w:cs="宋体"/>
          <w:sz w:val="24"/>
        </w:rPr>
        <w:t>系中华人民共和国合法供应商，经营地址</w:t>
      </w:r>
      <w:r>
        <w:rPr>
          <w:rFonts w:hint="eastAsia" w:ascii="宋体" w:hAnsi="宋体" w:cs="宋体"/>
          <w:sz w:val="24"/>
          <w:u w:val="single"/>
        </w:rPr>
        <w:t xml:space="preserve">                              </w:t>
      </w:r>
      <w:r>
        <w:rPr>
          <w:rFonts w:hint="eastAsia" w:ascii="宋体" w:hAnsi="宋体" w:cs="宋体"/>
          <w:sz w:val="24"/>
        </w:rPr>
        <w:t>。</w:t>
      </w:r>
    </w:p>
    <w:p w14:paraId="7CA2BACD">
      <w:pPr>
        <w:spacing w:line="360" w:lineRule="auto"/>
        <w:ind w:firstLine="480" w:firstLineChars="200"/>
        <w:contextualSpacing/>
        <w:rPr>
          <w:rFonts w:hint="eastAsia" w:ascii="宋体" w:hAnsi="宋体" w:cs="宋体"/>
          <w:sz w:val="24"/>
        </w:rPr>
      </w:pPr>
      <w:r>
        <w:rPr>
          <w:rFonts w:hint="eastAsia" w:ascii="宋体" w:hAnsi="宋体" w:cs="宋体"/>
          <w:sz w:val="24"/>
        </w:rPr>
        <w:t>我方愿意参加贵方组织的</w:t>
      </w:r>
      <w:r>
        <w:rPr>
          <w:rFonts w:hint="eastAsia" w:ascii="宋体" w:hAnsi="宋体" w:cs="宋体"/>
          <w:sz w:val="24"/>
          <w:u w:val="single"/>
        </w:rPr>
        <w:t xml:space="preserve">       （项目名称）</w:t>
      </w:r>
      <w:r>
        <w:rPr>
          <w:rFonts w:hint="eastAsia" w:ascii="宋体" w:hAnsi="宋体" w:cs="宋体"/>
          <w:sz w:val="24"/>
        </w:rPr>
        <w:t>项目</w:t>
      </w:r>
      <w:r>
        <w:rPr>
          <w:rFonts w:hint="eastAsia" w:ascii="宋体" w:hAnsi="宋体" w:cs="宋体"/>
          <w:sz w:val="24"/>
          <w:u w:val="single"/>
        </w:rPr>
        <w:t xml:space="preserve">       </w:t>
      </w:r>
      <w:r>
        <w:rPr>
          <w:rFonts w:hint="eastAsia" w:ascii="宋体" w:hAnsi="宋体" w:cs="宋体"/>
          <w:sz w:val="24"/>
        </w:rPr>
        <w:t>（项目编号）的竞标，为便于贵方公正、择优地确定成交供应商及其竞标产品和服务，我方就本次竞标有关事项郑重声明如下：</w:t>
      </w:r>
    </w:p>
    <w:p w14:paraId="09E534BA">
      <w:pPr>
        <w:spacing w:line="360" w:lineRule="auto"/>
        <w:ind w:firstLine="480" w:firstLineChars="200"/>
        <w:contextualSpacing/>
        <w:rPr>
          <w:rFonts w:hint="eastAsia" w:ascii="宋体" w:hAnsi="宋体" w:cs="宋体"/>
          <w:sz w:val="24"/>
        </w:rPr>
      </w:pPr>
      <w:r>
        <w:rPr>
          <w:rFonts w:hint="eastAsia" w:ascii="宋体" w:hAnsi="宋体" w:cs="宋体"/>
          <w:sz w:val="24"/>
        </w:rPr>
        <w:t>1.我方向贵方提交的所有响应文件、资料都是准确的和真实的。</w:t>
      </w:r>
    </w:p>
    <w:p w14:paraId="39246690">
      <w:pPr>
        <w:spacing w:line="360" w:lineRule="auto"/>
        <w:ind w:firstLine="480" w:firstLineChars="200"/>
        <w:contextualSpacing/>
        <w:rPr>
          <w:rFonts w:hint="eastAsia" w:ascii="宋体" w:hAnsi="宋体" w:cs="宋体"/>
          <w:sz w:val="24"/>
        </w:rPr>
      </w:pPr>
      <w:r>
        <w:rPr>
          <w:rFonts w:hint="eastAsia" w:ascii="宋体" w:hAnsi="宋体" w:cs="宋体"/>
          <w:sz w:val="24"/>
        </w:rPr>
        <w:t>2.</w:t>
      </w:r>
      <w:r>
        <w:rPr>
          <w:rFonts w:hint="eastAsia" w:ascii="宋体" w:hAnsi="宋体"/>
          <w:sz w:val="24"/>
        </w:rPr>
        <w:t>我方不是为本次采购项目提供整体设计、规范编制或者项目管理、监理、检测等服务的供应商</w:t>
      </w:r>
      <w:r>
        <w:rPr>
          <w:rFonts w:hint="eastAsia" w:ascii="宋体" w:hAnsi="宋体" w:cs="宋体"/>
          <w:sz w:val="24"/>
        </w:rPr>
        <w:t>。</w:t>
      </w:r>
    </w:p>
    <w:p w14:paraId="447F757C">
      <w:pPr>
        <w:spacing w:line="360" w:lineRule="auto"/>
        <w:ind w:firstLine="480" w:firstLineChars="200"/>
        <w:contextualSpacing/>
        <w:rPr>
          <w:rFonts w:hint="eastAsia" w:ascii="宋体" w:hAnsi="宋体" w:cs="宋体"/>
          <w:sz w:val="24"/>
        </w:rPr>
      </w:pPr>
      <w:r>
        <w:rPr>
          <w:rFonts w:hint="eastAsia" w:ascii="宋体" w:hAnsi="宋体" w:cs="宋体"/>
          <w:sz w:val="24"/>
        </w:rPr>
        <w:t>3.在此，我方宣布同意如下：</w:t>
      </w:r>
    </w:p>
    <w:p w14:paraId="68CAE159">
      <w:pPr>
        <w:spacing w:line="360" w:lineRule="auto"/>
        <w:ind w:firstLine="480" w:firstLineChars="200"/>
        <w:contextualSpacing/>
        <w:rPr>
          <w:rFonts w:hint="eastAsia" w:ascii="宋体" w:hAnsi="宋体" w:cs="宋体"/>
          <w:sz w:val="24"/>
        </w:rPr>
      </w:pPr>
      <w:r>
        <w:rPr>
          <w:rFonts w:hint="eastAsia" w:ascii="宋体" w:hAnsi="宋体" w:cs="宋体"/>
          <w:sz w:val="24"/>
        </w:rPr>
        <w:t>（1）将按谈判文件的约定履行合同责任和义务；</w:t>
      </w:r>
    </w:p>
    <w:p w14:paraId="4A34023A">
      <w:pPr>
        <w:spacing w:line="360" w:lineRule="auto"/>
        <w:ind w:firstLine="480" w:firstLineChars="200"/>
        <w:contextualSpacing/>
        <w:rPr>
          <w:rFonts w:hint="eastAsia" w:ascii="宋体" w:hAnsi="宋体" w:cs="宋体"/>
          <w:sz w:val="24"/>
        </w:rPr>
      </w:pPr>
      <w:r>
        <w:rPr>
          <w:rFonts w:hint="eastAsia" w:ascii="宋体" w:hAnsi="宋体" w:cs="宋体"/>
          <w:sz w:val="24"/>
        </w:rPr>
        <w:t>（2）已详细审查全部谈判文件，包括补遗文件（如有）；</w:t>
      </w:r>
    </w:p>
    <w:p w14:paraId="48463E51">
      <w:pPr>
        <w:spacing w:line="360" w:lineRule="auto"/>
        <w:ind w:firstLine="480" w:firstLineChars="200"/>
        <w:contextualSpacing/>
        <w:rPr>
          <w:rFonts w:hint="eastAsia" w:ascii="宋体" w:hAnsi="宋体" w:cs="宋体"/>
          <w:sz w:val="24"/>
        </w:rPr>
      </w:pPr>
      <w:r>
        <w:rPr>
          <w:rFonts w:hint="eastAsia" w:ascii="宋体" w:hAnsi="宋体" w:cs="宋体"/>
          <w:sz w:val="24"/>
        </w:rPr>
        <w:t>（3）同意提供按照贵方可能要求的与谈判有关的一切数据或者资料；</w:t>
      </w:r>
    </w:p>
    <w:p w14:paraId="49D17BB2">
      <w:pPr>
        <w:spacing w:line="360" w:lineRule="auto"/>
        <w:ind w:firstLine="480" w:firstLineChars="200"/>
        <w:contextualSpacing/>
        <w:rPr>
          <w:rFonts w:hint="eastAsia" w:ascii="宋体" w:hAnsi="宋体" w:cs="宋体"/>
          <w:sz w:val="24"/>
        </w:rPr>
      </w:pPr>
      <w:r>
        <w:rPr>
          <w:rFonts w:hint="eastAsia" w:ascii="宋体" w:hAnsi="宋体" w:cs="宋体"/>
          <w:sz w:val="24"/>
        </w:rPr>
        <w:t>（4）响应谈判文件规定的竞标有效期。</w:t>
      </w:r>
    </w:p>
    <w:p w14:paraId="04834671">
      <w:pPr>
        <w:spacing w:line="360" w:lineRule="auto"/>
        <w:ind w:firstLine="480" w:firstLineChars="200"/>
        <w:contextualSpacing/>
        <w:rPr>
          <w:rFonts w:hint="eastAsia" w:ascii="宋体" w:hAnsi="宋体" w:cs="宋体"/>
          <w:sz w:val="24"/>
        </w:rPr>
      </w:pPr>
      <w:r>
        <w:rPr>
          <w:rFonts w:hint="eastAsia" w:ascii="宋体" w:hAnsi="宋体" w:cs="宋体"/>
          <w:sz w:val="24"/>
        </w:rPr>
        <w:t>4.我方承诺符合《中华人民共和国政府采购法》第二十二条规定：</w:t>
      </w:r>
    </w:p>
    <w:p w14:paraId="3B320A4F">
      <w:pPr>
        <w:spacing w:line="360" w:lineRule="auto"/>
        <w:ind w:firstLine="480" w:firstLineChars="200"/>
        <w:contextualSpacing/>
        <w:rPr>
          <w:rFonts w:hint="eastAsia" w:ascii="宋体" w:hAnsi="宋体" w:cs="宋体"/>
          <w:sz w:val="24"/>
        </w:rPr>
      </w:pPr>
      <w:r>
        <w:rPr>
          <w:rFonts w:hint="eastAsia" w:ascii="宋体" w:hAnsi="宋体" w:cs="宋体"/>
          <w:sz w:val="24"/>
        </w:rPr>
        <w:t>（1）具有独立承担民事责任的能力；</w:t>
      </w:r>
    </w:p>
    <w:p w14:paraId="09C24774">
      <w:pPr>
        <w:spacing w:line="360" w:lineRule="auto"/>
        <w:ind w:firstLine="480" w:firstLineChars="200"/>
        <w:contextualSpacing/>
        <w:rPr>
          <w:rFonts w:hint="eastAsia" w:ascii="宋体" w:hAnsi="宋体" w:cs="宋体"/>
          <w:sz w:val="24"/>
        </w:rPr>
      </w:pPr>
      <w:r>
        <w:rPr>
          <w:rFonts w:hint="eastAsia" w:ascii="宋体" w:hAnsi="宋体" w:cs="宋体"/>
          <w:sz w:val="24"/>
        </w:rPr>
        <w:t>（2）具有良好的商业信誉和健全的财务会计制度；</w:t>
      </w:r>
    </w:p>
    <w:p w14:paraId="7D3BDCF1">
      <w:pPr>
        <w:spacing w:line="360" w:lineRule="auto"/>
        <w:ind w:firstLine="480" w:firstLineChars="200"/>
        <w:contextualSpacing/>
        <w:rPr>
          <w:rFonts w:hint="eastAsia" w:ascii="宋体" w:hAnsi="宋体" w:cs="宋体"/>
          <w:sz w:val="24"/>
        </w:rPr>
      </w:pPr>
      <w:r>
        <w:rPr>
          <w:rFonts w:hint="eastAsia" w:ascii="宋体" w:hAnsi="宋体" w:cs="宋体"/>
          <w:sz w:val="24"/>
        </w:rPr>
        <w:t>（3）具有履行合同所必需的设备和专业技术能力；</w:t>
      </w:r>
    </w:p>
    <w:p w14:paraId="7C980567">
      <w:pPr>
        <w:spacing w:line="360" w:lineRule="auto"/>
        <w:ind w:firstLine="480" w:firstLineChars="200"/>
        <w:contextualSpacing/>
        <w:rPr>
          <w:rFonts w:hint="eastAsia" w:ascii="宋体" w:hAnsi="宋体" w:cs="宋体"/>
          <w:sz w:val="24"/>
        </w:rPr>
      </w:pPr>
      <w:r>
        <w:rPr>
          <w:rFonts w:hint="eastAsia" w:ascii="宋体" w:hAnsi="宋体" w:cs="宋体"/>
          <w:sz w:val="24"/>
        </w:rPr>
        <w:t>（4）有依法缴纳税收和社会保障资金的良好记录；</w:t>
      </w:r>
    </w:p>
    <w:p w14:paraId="6F144A5C">
      <w:pPr>
        <w:spacing w:line="360" w:lineRule="auto"/>
        <w:ind w:firstLine="480" w:firstLineChars="200"/>
        <w:contextualSpacing/>
        <w:rPr>
          <w:rFonts w:hint="eastAsia" w:ascii="宋体" w:hAnsi="宋体" w:cs="宋体"/>
          <w:sz w:val="24"/>
        </w:rPr>
      </w:pPr>
      <w:r>
        <w:rPr>
          <w:rFonts w:hint="eastAsia" w:ascii="宋体" w:hAnsi="宋体" w:cs="宋体"/>
          <w:sz w:val="24"/>
        </w:rPr>
        <w:t>（5）参加政府采购活动前三年内，在经营活动中没有重大违法记录；</w:t>
      </w:r>
    </w:p>
    <w:p w14:paraId="787594B1">
      <w:pPr>
        <w:spacing w:line="360" w:lineRule="auto"/>
        <w:ind w:firstLine="480" w:firstLineChars="200"/>
        <w:contextualSpacing/>
        <w:rPr>
          <w:rFonts w:hint="eastAsia" w:ascii="宋体" w:hAnsi="宋体" w:cs="宋体"/>
          <w:sz w:val="24"/>
        </w:rPr>
      </w:pPr>
      <w:r>
        <w:rPr>
          <w:rFonts w:hint="eastAsia" w:ascii="宋体" w:hAnsi="宋体" w:cs="宋体"/>
          <w:sz w:val="24"/>
        </w:rPr>
        <w:t>（6）法律、行政法规规定的其他条件。</w:t>
      </w:r>
    </w:p>
    <w:p w14:paraId="51D65272">
      <w:pPr>
        <w:spacing w:line="360" w:lineRule="auto"/>
        <w:ind w:firstLine="480" w:firstLineChars="200"/>
        <w:contextualSpacing/>
        <w:rPr>
          <w:rFonts w:hint="eastAsia" w:ascii="宋体" w:hAnsi="宋体" w:cs="宋体"/>
          <w:sz w:val="24"/>
        </w:rPr>
      </w:pPr>
      <w:r>
        <w:rPr>
          <w:rFonts w:hint="eastAsia" w:ascii="宋体" w:hAnsi="宋体" w:cs="宋体"/>
          <w:sz w:val="24"/>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w:t>
      </w:r>
      <w:r>
        <w:rPr>
          <w:rFonts w:ascii="宋体" w:hAnsi="宋体" w:cs="宋体"/>
          <w:sz w:val="24"/>
        </w:rPr>
        <w:t>重大税收违法失信主体</w:t>
      </w:r>
      <w:r>
        <w:rPr>
          <w:rFonts w:hint="eastAsia" w:ascii="宋体" w:hAnsi="宋体" w:cs="宋体"/>
          <w:sz w:val="24"/>
        </w:rPr>
        <w:t>、政府采购严重违法失信行为记录名单，完全符合《中华人民共和国政府采购法》第二十二条规定的供应商资格条件，我方对此声明负全部法律责任。</w:t>
      </w:r>
    </w:p>
    <w:p w14:paraId="2625BAE7">
      <w:pPr>
        <w:spacing w:line="360" w:lineRule="auto"/>
        <w:ind w:firstLine="480" w:firstLineChars="200"/>
        <w:contextualSpacing/>
        <w:rPr>
          <w:rFonts w:hint="eastAsia" w:ascii="宋体" w:hAnsi="宋体" w:cs="宋体"/>
          <w:sz w:val="24"/>
        </w:rPr>
      </w:pPr>
      <w:r>
        <w:rPr>
          <w:rFonts w:hint="eastAsia" w:ascii="宋体" w:hAnsi="宋体" w:cs="宋体"/>
          <w:sz w:val="24"/>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10800171">
      <w:pPr>
        <w:spacing w:line="360" w:lineRule="auto"/>
        <w:ind w:firstLine="480" w:firstLineChars="200"/>
        <w:contextualSpacing/>
        <w:rPr>
          <w:rFonts w:hint="eastAsia" w:ascii="宋体" w:hAnsi="宋体" w:cs="宋体"/>
          <w:sz w:val="24"/>
        </w:rPr>
      </w:pPr>
      <w:r>
        <w:rPr>
          <w:rFonts w:hint="eastAsia" w:ascii="宋体" w:hAnsi="宋体" w:cs="宋体"/>
          <w:sz w:val="24"/>
        </w:rPr>
        <w:t>□我方本次响应文件</w:t>
      </w:r>
      <w:r>
        <w:rPr>
          <w:rFonts w:hint="eastAsia" w:ascii="宋体" w:hAnsi="宋体" w:cs="宋体"/>
          <w:kern w:val="0"/>
          <w:sz w:val="24"/>
        </w:rPr>
        <w:t>内容中</w:t>
      </w:r>
      <w:r>
        <w:rPr>
          <w:rFonts w:hint="eastAsia" w:ascii="宋体" w:hAnsi="宋体" w:cs="宋体"/>
          <w:sz w:val="24"/>
        </w:rPr>
        <w:t>未</w:t>
      </w:r>
      <w:r>
        <w:rPr>
          <w:rFonts w:hint="eastAsia" w:ascii="宋体" w:hAnsi="宋体" w:cs="宋体"/>
          <w:kern w:val="0"/>
          <w:sz w:val="24"/>
        </w:rPr>
        <w:t>涉及商业秘密；</w:t>
      </w:r>
    </w:p>
    <w:p w14:paraId="19C41782">
      <w:pPr>
        <w:spacing w:line="360" w:lineRule="auto"/>
        <w:ind w:firstLine="480" w:firstLineChars="200"/>
        <w:contextualSpacing/>
        <w:rPr>
          <w:rFonts w:hint="eastAsia" w:ascii="宋体" w:hAnsi="宋体" w:cs="宋体"/>
          <w:sz w:val="24"/>
        </w:rPr>
      </w:pPr>
      <w:r>
        <w:rPr>
          <w:rFonts w:hint="eastAsia" w:ascii="宋体" w:hAnsi="宋体" w:cs="宋体"/>
          <w:sz w:val="24"/>
        </w:rPr>
        <w:t>□我方本次响应文件</w:t>
      </w:r>
      <w:r>
        <w:rPr>
          <w:rFonts w:hint="eastAsia" w:ascii="宋体" w:hAnsi="宋体" w:cs="宋体"/>
          <w:kern w:val="0"/>
          <w:sz w:val="24"/>
        </w:rPr>
        <w:t>涉及商业秘密的内容有：</w:t>
      </w:r>
      <w:r>
        <w:rPr>
          <w:rFonts w:hint="eastAsia" w:ascii="宋体" w:hAnsi="宋体" w:cs="宋体"/>
          <w:kern w:val="0"/>
          <w:sz w:val="24"/>
          <w:u w:val="single"/>
        </w:rPr>
        <w:t xml:space="preserve">                         </w:t>
      </w:r>
      <w:r>
        <w:rPr>
          <w:rFonts w:hint="eastAsia" w:ascii="宋体" w:hAnsi="宋体" w:cs="宋体"/>
          <w:kern w:val="0"/>
          <w:sz w:val="24"/>
        </w:rPr>
        <w:t>；</w:t>
      </w:r>
    </w:p>
    <w:p w14:paraId="12C68655">
      <w:pPr>
        <w:pStyle w:val="18"/>
        <w:spacing w:line="360" w:lineRule="auto"/>
        <w:ind w:firstLine="480" w:firstLineChars="200"/>
        <w:contextualSpacing/>
        <w:rPr>
          <w:rFonts w:hint="eastAsia" w:hAnsi="宋体" w:cs="宋体"/>
          <w:sz w:val="24"/>
          <w:szCs w:val="24"/>
          <w:u w:val="single"/>
        </w:rPr>
      </w:pPr>
      <w:r>
        <w:rPr>
          <w:rFonts w:hint="eastAsia" w:hAnsi="宋体" w:cs="宋体"/>
          <w:sz w:val="24"/>
          <w:szCs w:val="24"/>
        </w:rPr>
        <w:t>7.与本谈判有关的一切正式往来信函请寄：</w:t>
      </w:r>
      <w:r>
        <w:rPr>
          <w:rFonts w:hint="eastAsia" w:hAnsi="宋体" w:cs="宋体"/>
          <w:sz w:val="24"/>
          <w:szCs w:val="24"/>
          <w:u w:val="single"/>
        </w:rPr>
        <w:t xml:space="preserve">                  </w:t>
      </w:r>
      <w:r>
        <w:rPr>
          <w:rFonts w:hint="eastAsia" w:hAnsi="宋体" w:cs="宋体"/>
          <w:sz w:val="24"/>
          <w:szCs w:val="24"/>
        </w:rPr>
        <w:t>邮政编号：</w:t>
      </w:r>
      <w:r>
        <w:rPr>
          <w:rFonts w:hint="eastAsia" w:hAnsi="宋体" w:cs="宋体"/>
          <w:sz w:val="24"/>
          <w:szCs w:val="24"/>
          <w:u w:val="single"/>
        </w:rPr>
        <w:t xml:space="preserve">    </w:t>
      </w:r>
    </w:p>
    <w:p w14:paraId="651C35E1">
      <w:pPr>
        <w:pStyle w:val="18"/>
        <w:spacing w:line="360" w:lineRule="auto"/>
        <w:ind w:firstLine="480" w:firstLineChars="200"/>
        <w:contextualSpacing/>
        <w:rPr>
          <w:rFonts w:hint="eastAsia" w:hAnsi="宋体" w:cs="宋体"/>
          <w:sz w:val="24"/>
          <w:szCs w:val="24"/>
        </w:rPr>
      </w:pPr>
      <w:r>
        <w:rPr>
          <w:rFonts w:hint="eastAsia" w:hAnsi="宋体" w:cs="宋体"/>
          <w:sz w:val="24"/>
          <w:szCs w:val="24"/>
        </w:rPr>
        <w:t>电话/传真：</w:t>
      </w:r>
      <w:r>
        <w:rPr>
          <w:rFonts w:hint="eastAsia" w:hAnsi="宋体" w:cs="宋体"/>
          <w:sz w:val="24"/>
          <w:szCs w:val="24"/>
          <w:u w:val="single"/>
        </w:rPr>
        <w:t xml:space="preserve">                        </w:t>
      </w:r>
      <w:r>
        <w:rPr>
          <w:rFonts w:hint="eastAsia" w:hAnsi="宋体" w:cs="宋体"/>
          <w:sz w:val="24"/>
          <w:szCs w:val="24"/>
        </w:rPr>
        <w:t xml:space="preserve"> 电子邮箱：</w:t>
      </w:r>
      <w:r>
        <w:rPr>
          <w:rFonts w:hint="eastAsia" w:hAnsi="宋体" w:cs="宋体"/>
          <w:sz w:val="24"/>
          <w:szCs w:val="24"/>
          <w:u w:val="single"/>
        </w:rPr>
        <w:t xml:space="preserve">             </w:t>
      </w:r>
      <w:r>
        <w:rPr>
          <w:rFonts w:hint="eastAsia" w:hAnsi="宋体" w:cs="宋体"/>
          <w:sz w:val="24"/>
          <w:szCs w:val="24"/>
        </w:rPr>
        <w:t xml:space="preserve">    </w:t>
      </w:r>
    </w:p>
    <w:p w14:paraId="064BF220">
      <w:pPr>
        <w:pStyle w:val="15"/>
        <w:tabs>
          <w:tab w:val="left" w:pos="939"/>
        </w:tabs>
        <w:spacing w:line="360" w:lineRule="auto"/>
        <w:ind w:left="141" w:leftChars="67" w:firstLine="360" w:firstLineChars="150"/>
        <w:rPr>
          <w:rFonts w:hint="eastAsia" w:ascii="宋体" w:hAnsi="宋体" w:cs="宋体"/>
          <w:sz w:val="24"/>
        </w:rPr>
      </w:pPr>
      <w:r>
        <w:rPr>
          <w:rFonts w:hint="eastAsia" w:ascii="宋体" w:hAnsi="宋体" w:cs="宋体"/>
          <w:sz w:val="24"/>
        </w:rPr>
        <w:t>开户银行：</w:t>
      </w:r>
      <w:r>
        <w:rPr>
          <w:rFonts w:hint="eastAsia" w:ascii="宋体" w:hAnsi="宋体" w:cs="宋体"/>
          <w:sz w:val="24"/>
          <w:u w:val="single"/>
        </w:rPr>
        <w:t xml:space="preserve">                         </w:t>
      </w:r>
      <w:r>
        <w:rPr>
          <w:rFonts w:hint="eastAsia" w:ascii="宋体" w:hAnsi="宋体" w:cs="宋体"/>
          <w:sz w:val="24"/>
        </w:rPr>
        <w:t xml:space="preserve">  账号/行号：</w:t>
      </w:r>
      <w:r>
        <w:rPr>
          <w:rFonts w:hint="eastAsia" w:ascii="宋体" w:hAnsi="宋体" w:cs="宋体"/>
          <w:sz w:val="24"/>
          <w:u w:val="single"/>
        </w:rPr>
        <w:t xml:space="preserve">           </w:t>
      </w:r>
    </w:p>
    <w:p w14:paraId="2A9472FE">
      <w:pPr>
        <w:pStyle w:val="15"/>
        <w:tabs>
          <w:tab w:val="left" w:pos="939"/>
        </w:tabs>
        <w:spacing w:line="360" w:lineRule="auto"/>
        <w:ind w:left="141" w:leftChars="67" w:firstLine="360" w:firstLineChars="150"/>
        <w:rPr>
          <w:rFonts w:hint="eastAsia" w:ascii="宋体" w:hAnsi="宋体" w:cs="宋体"/>
          <w:sz w:val="24"/>
        </w:rPr>
      </w:pPr>
      <w:r>
        <w:rPr>
          <w:rFonts w:hint="eastAsia" w:ascii="宋体" w:hAnsi="宋体" w:cs="宋体"/>
          <w:sz w:val="24"/>
        </w:rPr>
        <w:t>8.以上事项如有虚假或者隐瞒，我方愿意承担一切后果，并不再寻求任何旨在减轻或者免除法律责任的辩解。</w:t>
      </w:r>
    </w:p>
    <w:p w14:paraId="1C0C4B0C">
      <w:pPr>
        <w:pStyle w:val="15"/>
        <w:tabs>
          <w:tab w:val="left" w:pos="939"/>
        </w:tabs>
        <w:spacing w:line="360" w:lineRule="auto"/>
        <w:ind w:left="141" w:leftChars="67" w:firstLine="360" w:firstLineChars="150"/>
        <w:rPr>
          <w:rFonts w:hint="eastAsia" w:ascii="宋体" w:hAnsi="宋体" w:cs="宋体"/>
          <w:szCs w:val="21"/>
        </w:rPr>
      </w:pPr>
      <w:r>
        <w:rPr>
          <w:rFonts w:hint="eastAsia" w:ascii="宋体" w:hAnsi="宋体" w:cs="宋体"/>
          <w:sz w:val="24"/>
        </w:rPr>
        <w:t>特此承诺。</w:t>
      </w:r>
    </w:p>
    <w:p w14:paraId="1EA7DDDC">
      <w:pPr>
        <w:spacing w:line="360" w:lineRule="auto"/>
        <w:contextualSpacing/>
        <w:jc w:val="left"/>
        <w:rPr>
          <w:rFonts w:hint="eastAsia" w:ascii="宋体" w:hAnsi="宋体" w:cs="宋体"/>
          <w:sz w:val="24"/>
        </w:rPr>
      </w:pPr>
    </w:p>
    <w:p w14:paraId="28F6F3E0">
      <w:pPr>
        <w:spacing w:line="360" w:lineRule="auto"/>
        <w:ind w:firstLine="2280" w:firstLineChars="950"/>
        <w:contextualSpacing/>
        <w:rPr>
          <w:sz w:val="24"/>
        </w:rPr>
      </w:pPr>
      <w:r>
        <w:rPr>
          <w:rFonts w:hint="eastAsia"/>
          <w:sz w:val="24"/>
        </w:rPr>
        <w:t>法定代表人（</w:t>
      </w:r>
      <w:r>
        <w:rPr>
          <w:rFonts w:hint="eastAsia" w:ascii="宋体" w:hAnsi="宋体"/>
          <w:sz w:val="24"/>
        </w:rPr>
        <w:t>签字或者盖章或者电子签名</w:t>
      </w:r>
      <w:r>
        <w:rPr>
          <w:rFonts w:hint="eastAsia"/>
          <w:sz w:val="24"/>
        </w:rPr>
        <w:t>）：</w:t>
      </w:r>
      <w:r>
        <w:rPr>
          <w:rFonts w:hint="eastAsia"/>
          <w:sz w:val="24"/>
          <w:u w:val="single"/>
        </w:rPr>
        <w:t xml:space="preserve">           </w:t>
      </w:r>
      <w:r>
        <w:rPr>
          <w:rFonts w:hint="eastAsia"/>
          <w:sz w:val="24"/>
        </w:rPr>
        <w:t xml:space="preserve">  </w:t>
      </w:r>
    </w:p>
    <w:p w14:paraId="24F69FA2">
      <w:pPr>
        <w:spacing w:line="360" w:lineRule="auto"/>
        <w:ind w:firstLine="3840" w:firstLineChars="1600"/>
        <w:contextualSpacing/>
        <w:rPr>
          <w:rFonts w:hint="eastAsia" w:ascii="宋体" w:hAnsi="宋体" w:cs="宋体"/>
          <w:sz w:val="24"/>
          <w:u w:val="single"/>
        </w:rPr>
      </w:pPr>
      <w:r>
        <w:rPr>
          <w:rFonts w:hint="eastAsia"/>
          <w:sz w:val="24"/>
        </w:rPr>
        <w:t>供应商（电子签章）：</w:t>
      </w:r>
      <w:r>
        <w:rPr>
          <w:rFonts w:hint="eastAsia"/>
          <w:sz w:val="24"/>
          <w:u w:val="single"/>
        </w:rPr>
        <w:t xml:space="preserve">                   </w:t>
      </w:r>
    </w:p>
    <w:p w14:paraId="2456D9BA">
      <w:pPr>
        <w:spacing w:line="360" w:lineRule="auto"/>
        <w:ind w:right="482" w:firstLine="240" w:firstLineChars="100"/>
        <w:contextualSpacing/>
        <w:jc w:val="center"/>
        <w:rPr>
          <w:sz w:val="24"/>
        </w:rPr>
      </w:pPr>
      <w:r>
        <w:rPr>
          <w:rFonts w:hint="eastAsia" w:ascii="宋体" w:hAnsi="宋体" w:cs="宋体"/>
          <w:sz w:val="24"/>
        </w:rPr>
        <w:t xml:space="preserve">                                               </w:t>
      </w:r>
      <w:r>
        <w:rPr>
          <w:rFonts w:hint="eastAsia"/>
          <w:sz w:val="24"/>
        </w:rPr>
        <w:t xml:space="preserve">年    月    日 </w:t>
      </w:r>
    </w:p>
    <w:p w14:paraId="32EB802D">
      <w:pPr>
        <w:spacing w:line="360" w:lineRule="auto"/>
        <w:ind w:right="482" w:firstLine="240" w:firstLineChars="100"/>
        <w:contextualSpacing/>
        <w:jc w:val="center"/>
        <w:rPr>
          <w:sz w:val="24"/>
        </w:rPr>
      </w:pPr>
    </w:p>
    <w:p w14:paraId="0FA0FC64">
      <w:pPr>
        <w:spacing w:line="360" w:lineRule="auto"/>
        <w:ind w:right="482" w:firstLine="210" w:firstLineChars="100"/>
        <w:contextualSpacing/>
        <w:jc w:val="center"/>
      </w:pPr>
    </w:p>
    <w:p w14:paraId="2DFF4B17">
      <w:pPr>
        <w:spacing w:line="360" w:lineRule="auto"/>
        <w:ind w:right="482" w:firstLine="210" w:firstLineChars="100"/>
        <w:contextualSpacing/>
        <w:jc w:val="center"/>
      </w:pPr>
    </w:p>
    <w:p w14:paraId="35F08520">
      <w:pPr>
        <w:spacing w:line="360" w:lineRule="auto"/>
        <w:ind w:right="482" w:firstLine="210" w:firstLineChars="100"/>
        <w:contextualSpacing/>
        <w:jc w:val="center"/>
      </w:pPr>
    </w:p>
    <w:p w14:paraId="672FF94F">
      <w:pPr>
        <w:spacing w:line="360" w:lineRule="auto"/>
        <w:ind w:right="482" w:firstLine="210" w:firstLineChars="100"/>
        <w:contextualSpacing/>
        <w:jc w:val="center"/>
      </w:pPr>
    </w:p>
    <w:p w14:paraId="367C3FFD">
      <w:pPr>
        <w:spacing w:line="360" w:lineRule="auto"/>
        <w:ind w:right="482" w:firstLine="210" w:firstLineChars="100"/>
        <w:contextualSpacing/>
        <w:jc w:val="center"/>
      </w:pPr>
    </w:p>
    <w:p w14:paraId="57AFA327">
      <w:pPr>
        <w:spacing w:line="360" w:lineRule="auto"/>
        <w:ind w:right="482" w:firstLine="210" w:firstLineChars="100"/>
        <w:contextualSpacing/>
        <w:jc w:val="center"/>
      </w:pPr>
    </w:p>
    <w:p w14:paraId="0812EBA2">
      <w:pPr>
        <w:spacing w:line="360" w:lineRule="auto"/>
        <w:ind w:right="482" w:firstLine="210" w:firstLineChars="100"/>
        <w:contextualSpacing/>
        <w:jc w:val="center"/>
      </w:pPr>
    </w:p>
    <w:p w14:paraId="58E65EDF">
      <w:pPr>
        <w:spacing w:line="360" w:lineRule="auto"/>
        <w:ind w:right="482" w:firstLine="210" w:firstLineChars="100"/>
        <w:contextualSpacing/>
        <w:jc w:val="center"/>
      </w:pPr>
    </w:p>
    <w:p w14:paraId="18D2739F">
      <w:pPr>
        <w:spacing w:line="360" w:lineRule="auto"/>
        <w:ind w:right="482" w:firstLine="210" w:firstLineChars="100"/>
        <w:contextualSpacing/>
        <w:jc w:val="center"/>
      </w:pPr>
    </w:p>
    <w:p w14:paraId="5CAA4FBC">
      <w:pPr>
        <w:spacing w:line="360" w:lineRule="auto"/>
        <w:ind w:right="482" w:firstLine="210" w:firstLineChars="100"/>
        <w:contextualSpacing/>
        <w:jc w:val="center"/>
      </w:pPr>
    </w:p>
    <w:p w14:paraId="0CC1C940">
      <w:pPr>
        <w:spacing w:line="360" w:lineRule="auto"/>
        <w:ind w:right="482" w:firstLine="210" w:firstLineChars="100"/>
        <w:contextualSpacing/>
        <w:jc w:val="center"/>
      </w:pPr>
    </w:p>
    <w:p w14:paraId="01524996">
      <w:pPr>
        <w:spacing w:line="360" w:lineRule="auto"/>
        <w:ind w:right="482" w:firstLine="210" w:firstLineChars="100"/>
        <w:contextualSpacing/>
        <w:jc w:val="center"/>
      </w:pPr>
    </w:p>
    <w:p w14:paraId="4CDDAED9">
      <w:pPr>
        <w:spacing w:line="360" w:lineRule="auto"/>
        <w:ind w:right="482" w:firstLine="210" w:firstLineChars="100"/>
        <w:contextualSpacing/>
        <w:jc w:val="center"/>
      </w:pPr>
    </w:p>
    <w:p w14:paraId="6F898CE1">
      <w:pPr>
        <w:spacing w:line="360" w:lineRule="auto"/>
        <w:ind w:right="482" w:firstLine="210" w:firstLineChars="100"/>
        <w:contextualSpacing/>
        <w:jc w:val="center"/>
      </w:pPr>
    </w:p>
    <w:p w14:paraId="0AEE7513">
      <w:pPr>
        <w:spacing w:line="360" w:lineRule="auto"/>
        <w:ind w:right="482" w:firstLine="210" w:firstLineChars="100"/>
        <w:contextualSpacing/>
        <w:jc w:val="center"/>
      </w:pPr>
    </w:p>
    <w:p w14:paraId="790E0B94">
      <w:pPr>
        <w:spacing w:line="360" w:lineRule="auto"/>
        <w:ind w:right="482" w:firstLine="210" w:firstLineChars="100"/>
        <w:contextualSpacing/>
        <w:jc w:val="center"/>
      </w:pPr>
    </w:p>
    <w:p w14:paraId="2ADF1704">
      <w:r>
        <w:br w:type="page"/>
      </w:r>
    </w:p>
    <w:p w14:paraId="4B82BDCF">
      <w:pPr>
        <w:adjustRightInd w:val="0"/>
        <w:snapToGrid w:val="0"/>
        <w:spacing w:line="300" w:lineRule="auto"/>
        <w:jc w:val="center"/>
        <w:rPr>
          <w:rFonts w:hint="eastAsia" w:ascii="方正小标宋简体" w:hAnsi="方正小标宋简体" w:eastAsia="方正小标宋简体" w:cs="方正小标宋简体"/>
          <w:bCs/>
          <w:sz w:val="44"/>
          <w:szCs w:val="44"/>
        </w:rPr>
      </w:pPr>
      <w:bookmarkStart w:id="51" w:name="_Toc71365383"/>
      <w:bookmarkStart w:id="52" w:name="_Toc71366061"/>
      <w:r>
        <w:rPr>
          <w:rFonts w:hint="eastAsia" w:ascii="方正小标宋简体" w:hAnsi="方正小标宋简体" w:eastAsia="方正小标宋简体" w:cs="方正小标宋简体"/>
          <w:bCs/>
          <w:sz w:val="44"/>
          <w:szCs w:val="44"/>
        </w:rPr>
        <w:t>中小企业声明函</w:t>
      </w:r>
      <w:bookmarkEnd w:id="51"/>
      <w:bookmarkEnd w:id="52"/>
    </w:p>
    <w:p w14:paraId="71B8815E"/>
    <w:p w14:paraId="4E47E4D0">
      <w:pPr>
        <w:pStyle w:val="12"/>
        <w:spacing w:after="0" w:line="360" w:lineRule="auto"/>
        <w:ind w:left="-426" w:right="142" w:firstLine="640"/>
        <w:contextualSpacing/>
        <w:rPr>
          <w:rFonts w:hint="eastAsia" w:ascii="宋体" w:hAnsi="宋体"/>
          <w:sz w:val="24"/>
        </w:rPr>
      </w:pPr>
      <w:r>
        <w:rPr>
          <w:rFonts w:ascii="宋体" w:hAnsi="宋体"/>
          <w:sz w:val="24"/>
        </w:rPr>
        <w:t>本公司（联合体）郑重声明，根据《政府采购促进中小企业发展管理办法》（财库﹝2020﹞46号）的规定，本公司（联合体）参加</w:t>
      </w:r>
      <w:r>
        <w:rPr>
          <w:rFonts w:hint="eastAsia" w:ascii="宋体" w:hAnsi="宋体"/>
          <w:sz w:val="24"/>
          <w:u w:val="single"/>
        </w:rPr>
        <w:t xml:space="preserve">  </w:t>
      </w:r>
      <w:r>
        <w:rPr>
          <w:rFonts w:ascii="宋体" w:hAnsi="宋体"/>
          <w:sz w:val="24"/>
          <w:u w:val="single"/>
        </w:rPr>
        <w:t>（单位名称）</w:t>
      </w:r>
      <w:r>
        <w:rPr>
          <w:rFonts w:ascii="宋体" w:hAnsi="宋体"/>
          <w:sz w:val="24"/>
        </w:rPr>
        <w:t>的</w:t>
      </w:r>
      <w:r>
        <w:rPr>
          <w:rFonts w:hint="eastAsia" w:ascii="宋体" w:hAnsi="宋体"/>
          <w:sz w:val="24"/>
          <w:u w:val="single"/>
        </w:rPr>
        <w:t xml:space="preserve">  </w:t>
      </w:r>
      <w:r>
        <w:rPr>
          <w:rFonts w:ascii="宋体" w:hAnsi="宋体"/>
          <w:sz w:val="24"/>
          <w:u w:val="single"/>
        </w:rPr>
        <w:t>（项目名称）</w:t>
      </w:r>
      <w:r>
        <w:rPr>
          <w:rFonts w:ascii="宋体" w:hAnsi="宋体"/>
          <w:sz w:val="24"/>
        </w:rPr>
        <w:t>采购活动，提供的货物全部由符合政策要求的中小企业制造。相关企业（含联合体中的中小企业、签订分包意向协议的中小企业）的具体情况如下：</w:t>
      </w:r>
    </w:p>
    <w:p w14:paraId="3721EE88">
      <w:pPr>
        <w:tabs>
          <w:tab w:val="left" w:pos="1384"/>
          <w:tab w:val="left" w:pos="4562"/>
          <w:tab w:val="left" w:pos="6803"/>
        </w:tabs>
        <w:spacing w:line="360" w:lineRule="auto"/>
        <w:ind w:left="-426" w:right="-58" w:firstLine="655"/>
        <w:contextualSpacing/>
        <w:rPr>
          <w:rFonts w:hint="eastAsia" w:ascii="宋体" w:hAnsi="宋体"/>
          <w:sz w:val="24"/>
        </w:rPr>
      </w:pPr>
      <w:r>
        <w:rPr>
          <w:rFonts w:ascii="宋体" w:hAnsi="宋体"/>
          <w:sz w:val="24"/>
        </w:rPr>
        <w:t>1.</w:t>
      </w:r>
      <w:r>
        <w:rPr>
          <w:rFonts w:ascii="宋体" w:hAnsi="宋体"/>
          <w:sz w:val="24"/>
          <w:u w:val="single"/>
        </w:rPr>
        <w:t>（标的名称）</w:t>
      </w:r>
      <w:r>
        <w:rPr>
          <w:rFonts w:ascii="宋体" w:hAnsi="宋体"/>
          <w:sz w:val="24"/>
        </w:rPr>
        <w:t>，属于</w:t>
      </w:r>
      <w:r>
        <w:rPr>
          <w:rFonts w:ascii="宋体" w:hAnsi="宋体"/>
          <w:sz w:val="24"/>
          <w:u w:val="single"/>
        </w:rPr>
        <w:t>（采购文件中明确的所属行业）</w:t>
      </w:r>
      <w:r>
        <w:rPr>
          <w:rFonts w:ascii="宋体" w:hAnsi="宋体"/>
          <w:sz w:val="24"/>
        </w:rPr>
        <w:t>行业；制造商为</w:t>
      </w:r>
      <w:r>
        <w:rPr>
          <w:rFonts w:ascii="宋体" w:hAnsi="宋体"/>
          <w:sz w:val="24"/>
          <w:u w:val="single"/>
        </w:rPr>
        <w:t>（企业名称）</w:t>
      </w:r>
      <w:r>
        <w:rPr>
          <w:rFonts w:ascii="宋体" w:hAnsi="宋体"/>
          <w:sz w:val="24"/>
        </w:rPr>
        <w:t>，从业人员</w:t>
      </w:r>
      <w:r>
        <w:rPr>
          <w:rFonts w:hint="eastAsia" w:ascii="宋体" w:hAnsi="宋体"/>
          <w:sz w:val="24"/>
          <w:u w:val="single"/>
        </w:rPr>
        <w:t xml:space="preserve"> </w:t>
      </w:r>
      <w:r>
        <w:rPr>
          <w:rFonts w:ascii="宋体" w:hAnsi="宋体"/>
          <w:sz w:val="24"/>
          <w:u w:val="single"/>
        </w:rPr>
        <w:t xml:space="preserve">     </w:t>
      </w:r>
      <w:r>
        <w:rPr>
          <w:rFonts w:ascii="宋体" w:hAnsi="宋体"/>
          <w:sz w:val="24"/>
        </w:rPr>
        <w:t>人，营业收入为</w:t>
      </w:r>
      <w:r>
        <w:rPr>
          <w:rFonts w:hint="eastAsia" w:ascii="宋体" w:hAnsi="宋体"/>
          <w:sz w:val="24"/>
          <w:u w:val="single"/>
        </w:rPr>
        <w:t xml:space="preserve"> </w:t>
      </w:r>
      <w:r>
        <w:rPr>
          <w:rFonts w:ascii="宋体" w:hAnsi="宋体"/>
          <w:sz w:val="24"/>
          <w:u w:val="single"/>
        </w:rPr>
        <w:t xml:space="preserve">     </w:t>
      </w:r>
      <w:r>
        <w:rPr>
          <w:rFonts w:ascii="宋体" w:hAnsi="宋体"/>
          <w:sz w:val="24"/>
        </w:rPr>
        <w:t>万元，资产总额为</w:t>
      </w:r>
      <w:r>
        <w:rPr>
          <w:rFonts w:hint="eastAsia" w:ascii="宋体" w:hAnsi="宋体"/>
          <w:sz w:val="24"/>
          <w:u w:val="single"/>
        </w:rPr>
        <w:t xml:space="preserve"> </w:t>
      </w:r>
      <w:r>
        <w:rPr>
          <w:rFonts w:ascii="宋体" w:hAnsi="宋体"/>
          <w:sz w:val="24"/>
          <w:u w:val="single"/>
        </w:rPr>
        <w:t xml:space="preserve">     </w:t>
      </w:r>
      <w:r>
        <w:rPr>
          <w:rFonts w:ascii="宋体" w:hAnsi="宋体"/>
          <w:sz w:val="24"/>
        </w:rPr>
        <w:t>万元，属于</w:t>
      </w:r>
      <w:r>
        <w:rPr>
          <w:rFonts w:ascii="宋体" w:hAnsi="宋体"/>
          <w:sz w:val="24"/>
          <w:u w:val="single"/>
        </w:rPr>
        <w:t>（中型企业、小型企业、微型企业）</w:t>
      </w:r>
      <w:r>
        <w:rPr>
          <w:rFonts w:ascii="宋体" w:hAnsi="宋体"/>
          <w:sz w:val="24"/>
        </w:rPr>
        <w:t>；</w:t>
      </w:r>
    </w:p>
    <w:p w14:paraId="2BC8B19F">
      <w:pPr>
        <w:tabs>
          <w:tab w:val="left" w:pos="1065"/>
          <w:tab w:val="left" w:pos="6477"/>
        </w:tabs>
        <w:spacing w:line="360" w:lineRule="auto"/>
        <w:ind w:left="-426" w:right="-58" w:firstLine="655"/>
        <w:contextualSpacing/>
        <w:rPr>
          <w:rFonts w:hint="eastAsia" w:ascii="宋体" w:hAnsi="宋体"/>
          <w:sz w:val="24"/>
        </w:rPr>
      </w:pPr>
      <w:r>
        <w:rPr>
          <w:rFonts w:ascii="宋体" w:hAnsi="宋体"/>
          <w:sz w:val="24"/>
        </w:rPr>
        <w:t>2.</w:t>
      </w:r>
      <w:r>
        <w:rPr>
          <w:rFonts w:ascii="宋体" w:hAnsi="宋体"/>
          <w:sz w:val="24"/>
          <w:u w:val="single"/>
        </w:rPr>
        <w:t>（标的名称）</w:t>
      </w:r>
      <w:r>
        <w:rPr>
          <w:rFonts w:ascii="宋体" w:hAnsi="宋体"/>
          <w:sz w:val="24"/>
        </w:rPr>
        <w:t>，属于</w:t>
      </w:r>
      <w:r>
        <w:rPr>
          <w:rFonts w:ascii="宋体" w:hAnsi="宋体"/>
          <w:sz w:val="24"/>
          <w:u w:val="single"/>
        </w:rPr>
        <w:t>（采购文件中明确的所属行业）</w:t>
      </w:r>
      <w:r>
        <w:rPr>
          <w:rFonts w:ascii="宋体" w:hAnsi="宋体"/>
          <w:sz w:val="24"/>
        </w:rPr>
        <w:t>行业；制造商为</w:t>
      </w:r>
      <w:r>
        <w:rPr>
          <w:rFonts w:ascii="宋体" w:hAnsi="宋体"/>
          <w:sz w:val="24"/>
          <w:u w:val="single"/>
        </w:rPr>
        <w:t>（企业名称）</w:t>
      </w:r>
      <w:r>
        <w:rPr>
          <w:rFonts w:ascii="宋体" w:hAnsi="宋体"/>
          <w:sz w:val="24"/>
        </w:rPr>
        <w:t>，从业人员</w:t>
      </w:r>
      <w:r>
        <w:rPr>
          <w:rFonts w:hint="eastAsia" w:ascii="宋体" w:hAnsi="宋体"/>
          <w:sz w:val="24"/>
          <w:u w:val="single"/>
        </w:rPr>
        <w:t xml:space="preserve"> </w:t>
      </w:r>
      <w:r>
        <w:rPr>
          <w:rFonts w:ascii="宋体" w:hAnsi="宋体"/>
          <w:sz w:val="24"/>
          <w:u w:val="single"/>
        </w:rPr>
        <w:t xml:space="preserve">     </w:t>
      </w:r>
      <w:r>
        <w:rPr>
          <w:rFonts w:ascii="宋体" w:hAnsi="宋体"/>
          <w:sz w:val="24"/>
        </w:rPr>
        <w:t>人，营业收入为</w:t>
      </w:r>
      <w:r>
        <w:rPr>
          <w:rFonts w:hint="eastAsia" w:ascii="宋体" w:hAnsi="宋体"/>
          <w:sz w:val="24"/>
          <w:u w:val="single"/>
        </w:rPr>
        <w:t xml:space="preserve"> </w:t>
      </w:r>
      <w:r>
        <w:rPr>
          <w:rFonts w:ascii="宋体" w:hAnsi="宋体"/>
          <w:sz w:val="24"/>
          <w:u w:val="single"/>
        </w:rPr>
        <w:t xml:space="preserve">     </w:t>
      </w:r>
      <w:r>
        <w:rPr>
          <w:rFonts w:ascii="宋体" w:hAnsi="宋体"/>
          <w:sz w:val="24"/>
        </w:rPr>
        <w:t>万元，资产总额为</w:t>
      </w:r>
      <w:r>
        <w:rPr>
          <w:rFonts w:hint="eastAsia" w:ascii="宋体" w:hAnsi="宋体"/>
          <w:sz w:val="24"/>
          <w:u w:val="single"/>
        </w:rPr>
        <w:t xml:space="preserve"> </w:t>
      </w:r>
      <w:r>
        <w:rPr>
          <w:rFonts w:ascii="宋体" w:hAnsi="宋体"/>
          <w:sz w:val="24"/>
          <w:u w:val="single"/>
        </w:rPr>
        <w:t xml:space="preserve">     </w:t>
      </w:r>
      <w:r>
        <w:rPr>
          <w:rFonts w:ascii="宋体" w:hAnsi="宋体"/>
          <w:sz w:val="24"/>
        </w:rPr>
        <w:t>万元，属于</w:t>
      </w:r>
      <w:r>
        <w:rPr>
          <w:rFonts w:ascii="宋体" w:hAnsi="宋体"/>
          <w:sz w:val="24"/>
          <w:u w:val="single"/>
        </w:rPr>
        <w:t>（中型企业、小型企业、微型企业）</w:t>
      </w:r>
      <w:r>
        <w:rPr>
          <w:rFonts w:ascii="宋体" w:hAnsi="宋体"/>
          <w:sz w:val="24"/>
        </w:rPr>
        <w:t>；</w:t>
      </w:r>
    </w:p>
    <w:p w14:paraId="4D52EEE9">
      <w:pPr>
        <w:pStyle w:val="12"/>
        <w:spacing w:after="0" w:line="360" w:lineRule="auto"/>
        <w:ind w:left="142" w:right="142"/>
        <w:contextualSpacing/>
        <w:rPr>
          <w:rFonts w:hint="eastAsia" w:ascii="宋体" w:hAnsi="宋体"/>
          <w:sz w:val="24"/>
        </w:rPr>
      </w:pPr>
      <w:r>
        <w:rPr>
          <w:rFonts w:ascii="宋体" w:hAnsi="宋体"/>
          <w:sz w:val="24"/>
        </w:rPr>
        <w:t xml:space="preserve">…… </w:t>
      </w:r>
    </w:p>
    <w:p w14:paraId="01A44BCC">
      <w:pPr>
        <w:pStyle w:val="12"/>
        <w:spacing w:after="0" w:line="360" w:lineRule="auto"/>
        <w:ind w:left="-405" w:leftChars="-193" w:right="142" w:firstLine="453" w:firstLineChars="189"/>
        <w:contextualSpacing/>
        <w:rPr>
          <w:rFonts w:hint="eastAsia" w:ascii="宋体" w:hAnsi="宋体"/>
          <w:sz w:val="24"/>
        </w:rPr>
      </w:pPr>
      <w:r>
        <w:rPr>
          <w:rFonts w:ascii="宋体" w:hAnsi="宋体"/>
          <w:sz w:val="24"/>
        </w:rPr>
        <w:t>以上企业，不属于大企业的分支机构，不存在控股股东为大企业的情形，也不存在与大企业的负责人为同一人的情形。</w:t>
      </w:r>
    </w:p>
    <w:p w14:paraId="16FC7AD9">
      <w:pPr>
        <w:pStyle w:val="12"/>
        <w:spacing w:after="0" w:line="360" w:lineRule="auto"/>
        <w:ind w:left="-426" w:right="142" w:firstLine="567"/>
        <w:contextualSpacing/>
        <w:rPr>
          <w:rFonts w:hint="eastAsia" w:ascii="宋体" w:hAnsi="宋体"/>
          <w:sz w:val="24"/>
        </w:rPr>
      </w:pPr>
      <w:r>
        <w:rPr>
          <w:rFonts w:ascii="宋体" w:hAnsi="宋体"/>
          <w:sz w:val="24"/>
        </w:rPr>
        <w:t>本企业对上述声明内容的真实性负责。如有虚假，将依法承担相应责任。</w:t>
      </w:r>
    </w:p>
    <w:p w14:paraId="6F0190FA">
      <w:pPr>
        <w:pStyle w:val="12"/>
        <w:spacing w:after="0" w:line="360" w:lineRule="auto"/>
        <w:ind w:left="3960" w:right="1808"/>
        <w:contextualSpacing/>
        <w:rPr>
          <w:rFonts w:hint="eastAsia" w:ascii="宋体" w:hAnsi="宋体"/>
          <w:sz w:val="24"/>
        </w:rPr>
      </w:pPr>
    </w:p>
    <w:p w14:paraId="2A23AA5D">
      <w:pPr>
        <w:pStyle w:val="12"/>
        <w:spacing w:after="0" w:line="360" w:lineRule="auto"/>
        <w:ind w:left="3960" w:right="1808"/>
        <w:contextualSpacing/>
        <w:rPr>
          <w:rFonts w:hint="eastAsia" w:ascii="宋体" w:hAnsi="宋体"/>
          <w:sz w:val="24"/>
        </w:rPr>
      </w:pPr>
      <w:r>
        <w:rPr>
          <w:rFonts w:ascii="宋体" w:hAnsi="宋体"/>
          <w:sz w:val="24"/>
        </w:rPr>
        <w:t xml:space="preserve">企业名称（章）： </w:t>
      </w:r>
    </w:p>
    <w:p w14:paraId="354B846F">
      <w:pPr>
        <w:pStyle w:val="12"/>
        <w:spacing w:after="0" w:line="360" w:lineRule="auto"/>
        <w:ind w:left="3960" w:right="1808"/>
        <w:contextualSpacing/>
        <w:rPr>
          <w:rFonts w:hint="eastAsia" w:ascii="宋体" w:hAnsi="宋体"/>
          <w:sz w:val="24"/>
        </w:rPr>
      </w:pPr>
      <w:r>
        <w:rPr>
          <w:rFonts w:ascii="宋体" w:hAnsi="宋体"/>
          <w:sz w:val="24"/>
        </w:rPr>
        <w:t>日</w:t>
      </w:r>
      <w:r>
        <w:rPr>
          <w:rFonts w:hint="eastAsia" w:ascii="宋体" w:hAnsi="宋体"/>
          <w:sz w:val="24"/>
        </w:rPr>
        <w:t xml:space="preserve"> </w:t>
      </w:r>
      <w:r>
        <w:rPr>
          <w:rFonts w:ascii="宋体" w:hAnsi="宋体"/>
          <w:sz w:val="24"/>
        </w:rPr>
        <w:t>期：</w:t>
      </w:r>
    </w:p>
    <w:p w14:paraId="2D245737">
      <w:pPr>
        <w:pStyle w:val="12"/>
        <w:spacing w:after="0" w:line="360" w:lineRule="auto"/>
        <w:ind w:left="3960" w:right="1808"/>
        <w:contextualSpacing/>
      </w:pPr>
    </w:p>
    <w:p w14:paraId="663297FE">
      <w:pPr>
        <w:spacing w:line="360" w:lineRule="auto"/>
        <w:contextualSpacing/>
        <w:jc w:val="left"/>
        <w:rPr>
          <w:rFonts w:hint="eastAsia" w:ascii="宋体" w:hAnsi="宋体" w:cs="仿宋_GB2312"/>
          <w:sz w:val="24"/>
        </w:rPr>
      </w:pPr>
      <w:r>
        <w:rPr>
          <w:rFonts w:hint="eastAsia" w:ascii="宋体" w:hAnsi="宋体" w:cs="仿宋_GB2312"/>
          <w:sz w:val="24"/>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3DFDE243">
      <w:pPr>
        <w:spacing w:line="360" w:lineRule="auto"/>
        <w:contextualSpacing/>
        <w:jc w:val="center"/>
        <w:rPr>
          <w:rFonts w:hint="eastAsia" w:ascii="仿宋_GB2312" w:hAnsi="仿宋_GB2312" w:eastAsia="仿宋_GB2312" w:cs="仿宋_GB2312"/>
          <w:sz w:val="32"/>
          <w:szCs w:val="32"/>
        </w:rPr>
      </w:pPr>
      <w:r>
        <w:rPr>
          <w:rFonts w:ascii="宋体" w:hAnsi="宋体"/>
          <w:sz w:val="24"/>
        </w:rPr>
        <w:br w:type="page"/>
      </w:r>
      <w:r>
        <w:rPr>
          <w:rFonts w:hint="eastAsia" w:ascii="方正小标宋简体" w:hAnsi="方正小标宋简体" w:eastAsia="方正小标宋简体" w:cs="方正小标宋简体"/>
          <w:sz w:val="44"/>
          <w:szCs w:val="44"/>
        </w:rPr>
        <w:t>残疾人福利性单位声明函</w:t>
      </w:r>
    </w:p>
    <w:p w14:paraId="4FDDE8E6">
      <w:pPr>
        <w:spacing w:line="520" w:lineRule="exact"/>
        <w:rPr>
          <w:rFonts w:hint="eastAsia" w:ascii="仿宋_GB2312" w:hAnsi="仿宋_GB2312" w:eastAsia="仿宋_GB2312" w:cs="仿宋_GB2312"/>
          <w:sz w:val="32"/>
          <w:szCs w:val="32"/>
        </w:rPr>
      </w:pPr>
    </w:p>
    <w:p w14:paraId="0F3CA11D">
      <w:pPr>
        <w:spacing w:line="360" w:lineRule="auto"/>
        <w:ind w:firstLine="480" w:firstLineChars="200"/>
        <w:contextualSpacing/>
        <w:rPr>
          <w:rFonts w:hint="eastAsia" w:ascii="宋体" w:hAnsi="宋体" w:cs="仿宋_GB2312"/>
          <w:sz w:val="24"/>
        </w:rPr>
      </w:pPr>
      <w:r>
        <w:rPr>
          <w:rFonts w:hint="eastAsia" w:ascii="宋体" w:hAnsi="宋体" w:cs="仿宋_GB2312"/>
          <w:sz w:val="24"/>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仿宋_GB2312"/>
          <w:sz w:val="24"/>
          <w:u w:val="single"/>
        </w:rPr>
        <w:t xml:space="preserve">       </w:t>
      </w:r>
      <w:r>
        <w:rPr>
          <w:rFonts w:hint="eastAsia" w:ascii="宋体" w:hAnsi="宋体" w:cs="仿宋_GB2312"/>
          <w:sz w:val="24"/>
        </w:rPr>
        <w:t>单位的</w:t>
      </w:r>
      <w:r>
        <w:rPr>
          <w:rFonts w:hint="eastAsia" w:ascii="宋体" w:hAnsi="宋体" w:cs="仿宋_GB2312"/>
          <w:sz w:val="24"/>
          <w:u w:val="single"/>
        </w:rPr>
        <w:t xml:space="preserve">        </w:t>
      </w:r>
      <w:r>
        <w:rPr>
          <w:rFonts w:hint="eastAsia" w:ascii="宋体" w:hAnsi="宋体" w:cs="仿宋_GB2312"/>
          <w:sz w:val="24"/>
        </w:rPr>
        <w:t>项目采购活动提供本单位制造的货物（由本单位承担工程/提供服务），或者提供其他残疾人福利性单位制造的货物（不包括使用非残疾人福利性单位注册商标的货物）。</w:t>
      </w:r>
    </w:p>
    <w:p w14:paraId="23FD9C0B">
      <w:pPr>
        <w:spacing w:line="360" w:lineRule="auto"/>
        <w:ind w:firstLine="480" w:firstLineChars="200"/>
        <w:contextualSpacing/>
        <w:rPr>
          <w:rFonts w:hint="eastAsia" w:ascii="宋体" w:hAnsi="宋体" w:cs="仿宋_GB2312"/>
          <w:sz w:val="24"/>
        </w:rPr>
      </w:pPr>
      <w:r>
        <w:rPr>
          <w:rFonts w:hint="eastAsia" w:ascii="宋体" w:hAnsi="宋体" w:cs="仿宋_GB2312"/>
          <w:sz w:val="24"/>
        </w:rPr>
        <w:t>本单位对上述声明的真实性负责。如有虚假，将依法承担相应责任。</w:t>
      </w:r>
    </w:p>
    <w:p w14:paraId="535828E9">
      <w:pPr>
        <w:spacing w:line="360" w:lineRule="auto"/>
        <w:contextualSpacing/>
        <w:rPr>
          <w:rFonts w:hint="eastAsia" w:ascii="宋体" w:hAnsi="宋体" w:cs="仿宋_GB2312"/>
          <w:sz w:val="24"/>
        </w:rPr>
      </w:pPr>
    </w:p>
    <w:p w14:paraId="78266774">
      <w:pPr>
        <w:spacing w:line="360" w:lineRule="auto"/>
        <w:contextualSpacing/>
        <w:rPr>
          <w:rFonts w:hint="eastAsia" w:ascii="宋体" w:hAnsi="宋体" w:cs="仿宋_GB2312"/>
          <w:sz w:val="24"/>
        </w:rPr>
      </w:pPr>
    </w:p>
    <w:p w14:paraId="745BD429">
      <w:pPr>
        <w:spacing w:line="360" w:lineRule="auto"/>
        <w:contextualSpacing/>
        <w:rPr>
          <w:rFonts w:hint="eastAsia" w:ascii="宋体" w:hAnsi="宋体" w:cs="仿宋_GB2312"/>
          <w:sz w:val="24"/>
        </w:rPr>
      </w:pPr>
    </w:p>
    <w:p w14:paraId="01E70F07">
      <w:pPr>
        <w:spacing w:line="360" w:lineRule="auto"/>
        <w:ind w:firstLine="2400" w:firstLineChars="1000"/>
        <w:contextualSpacing/>
        <w:rPr>
          <w:rFonts w:hint="eastAsia" w:ascii="宋体" w:hAnsi="宋体" w:cs="仿宋_GB2312"/>
          <w:sz w:val="24"/>
        </w:rPr>
      </w:pPr>
      <w:r>
        <w:rPr>
          <w:rFonts w:hint="eastAsia" w:ascii="宋体" w:hAnsi="宋体" w:cs="仿宋_GB2312"/>
          <w:sz w:val="24"/>
        </w:rPr>
        <w:t>单位名称（盖章）：</w:t>
      </w:r>
    </w:p>
    <w:p w14:paraId="183822D6">
      <w:pPr>
        <w:spacing w:line="360" w:lineRule="auto"/>
        <w:ind w:firstLine="3600" w:firstLineChars="1500"/>
        <w:contextualSpacing/>
        <w:rPr>
          <w:rFonts w:hint="eastAsia" w:ascii="宋体" w:hAnsi="宋体" w:cs="仿宋_GB2312"/>
          <w:sz w:val="24"/>
        </w:rPr>
      </w:pPr>
      <w:r>
        <w:rPr>
          <w:rFonts w:hint="eastAsia" w:ascii="宋体" w:hAnsi="宋体" w:cs="仿宋_GB2312"/>
          <w:sz w:val="24"/>
        </w:rPr>
        <w:t>日  期：</w:t>
      </w:r>
    </w:p>
    <w:p w14:paraId="3C9D346D">
      <w:pPr>
        <w:spacing w:line="360" w:lineRule="auto"/>
        <w:contextualSpacing/>
        <w:rPr>
          <w:rFonts w:hint="eastAsia" w:ascii="宋体" w:hAnsi="宋体" w:cs="仿宋_GB2312"/>
          <w:sz w:val="24"/>
        </w:rPr>
      </w:pPr>
    </w:p>
    <w:p w14:paraId="75F10B6B">
      <w:pPr>
        <w:spacing w:line="360" w:lineRule="auto"/>
        <w:contextualSpacing/>
        <w:rPr>
          <w:rFonts w:hint="eastAsia" w:ascii="宋体" w:hAnsi="宋体" w:cs="仿宋_GB2312"/>
          <w:sz w:val="24"/>
        </w:rPr>
      </w:pPr>
    </w:p>
    <w:p w14:paraId="3B4FEF33">
      <w:pPr>
        <w:spacing w:line="360" w:lineRule="auto"/>
        <w:contextualSpacing/>
        <w:rPr>
          <w:rFonts w:hint="eastAsia" w:ascii="宋体" w:hAnsi="宋体" w:cs="仿宋_GB2312"/>
          <w:sz w:val="24"/>
        </w:rPr>
      </w:pPr>
    </w:p>
    <w:p w14:paraId="04983D97">
      <w:pPr>
        <w:spacing w:line="360" w:lineRule="auto"/>
        <w:ind w:firstLine="480" w:firstLineChars="200"/>
        <w:contextualSpacing/>
        <w:rPr>
          <w:rFonts w:hint="eastAsia" w:ascii="宋体" w:hAnsi="宋体" w:cs="仿宋_GB2312"/>
          <w:sz w:val="24"/>
        </w:rPr>
      </w:pPr>
      <w:r>
        <w:rPr>
          <w:rFonts w:hint="eastAsia" w:ascii="宋体" w:hAnsi="宋体" w:cs="仿宋_GB2312"/>
          <w:sz w:val="24"/>
        </w:rPr>
        <w:t>注：请根据自己的真实情况出具《残疾人福利性单位声明函》。依法享受中小企业优惠政策的，采购人或者采购代理机构在公告成交结果时，同时公告其《残疾人福利性单位声明函》，接受社会监督。</w:t>
      </w:r>
    </w:p>
    <w:p w14:paraId="5F7F76F6">
      <w:pPr>
        <w:spacing w:line="360" w:lineRule="auto"/>
        <w:jc w:val="center"/>
        <w:rPr>
          <w:rFonts w:hint="eastAsia" w:ascii="方正小标宋简体" w:hAnsi="方正小标宋简体" w:eastAsia="方正小标宋简体" w:cs="方正小标宋简体"/>
          <w:sz w:val="44"/>
          <w:szCs w:val="44"/>
        </w:rPr>
      </w:pPr>
    </w:p>
    <w:p w14:paraId="3803A28B">
      <w:pPr>
        <w:rPr>
          <w:rFonts w:hint="eastAsia" w:ascii="宋体" w:hAnsi="宋体"/>
          <w:b/>
          <w:bCs/>
          <w:sz w:val="32"/>
          <w:szCs w:val="32"/>
        </w:rPr>
      </w:pPr>
      <w:r>
        <w:rPr>
          <w:rFonts w:hint="eastAsia" w:ascii="宋体" w:hAnsi="宋体"/>
          <w:b/>
          <w:bCs/>
          <w:sz w:val="32"/>
          <w:szCs w:val="32"/>
        </w:rPr>
        <w:br w:type="page"/>
      </w:r>
    </w:p>
    <w:p w14:paraId="7E7F8CE7">
      <w:pPr>
        <w:tabs>
          <w:tab w:val="left" w:pos="4946"/>
        </w:tabs>
        <w:spacing w:line="360" w:lineRule="auto"/>
        <w:ind w:right="482" w:firstLine="321" w:firstLineChars="100"/>
        <w:contextualSpacing/>
        <w:jc w:val="center"/>
        <w:rPr>
          <w:rFonts w:hint="eastAsia" w:ascii="宋体" w:hAnsi="宋体"/>
          <w:b/>
          <w:sz w:val="32"/>
          <w:szCs w:val="32"/>
        </w:rPr>
      </w:pPr>
      <w:r>
        <w:rPr>
          <w:rFonts w:hint="eastAsia" w:ascii="宋体" w:hAnsi="宋体"/>
          <w:b/>
          <w:bCs/>
          <w:sz w:val="32"/>
          <w:szCs w:val="32"/>
        </w:rPr>
        <w:t>二、</w:t>
      </w:r>
      <w:r>
        <w:rPr>
          <w:rFonts w:hint="eastAsia" w:ascii="宋体" w:hAnsi="宋体"/>
          <w:b/>
          <w:sz w:val="32"/>
          <w:szCs w:val="32"/>
        </w:rPr>
        <w:t>报价文件格式</w:t>
      </w:r>
    </w:p>
    <w:p w14:paraId="7E4D7506">
      <w:pPr>
        <w:snapToGrid w:val="0"/>
        <w:spacing w:before="120" w:beforeLines="50" w:after="50" w:line="360" w:lineRule="auto"/>
        <w:jc w:val="left"/>
        <w:rPr>
          <w:rFonts w:hint="eastAsia" w:ascii="宋体" w:hAnsi="宋体"/>
          <w:b/>
          <w:sz w:val="32"/>
          <w:szCs w:val="32"/>
        </w:rPr>
      </w:pPr>
      <w:r>
        <w:rPr>
          <w:rFonts w:hint="eastAsia" w:ascii="宋体" w:hAnsi="宋体"/>
          <w:b/>
          <w:sz w:val="32"/>
          <w:szCs w:val="32"/>
        </w:rPr>
        <w:t>1.报价文件封面格式</w:t>
      </w:r>
    </w:p>
    <w:p w14:paraId="7C8F51CD">
      <w:pPr>
        <w:snapToGrid w:val="0"/>
        <w:spacing w:before="120" w:beforeLines="50" w:after="50"/>
        <w:rPr>
          <w:rFonts w:hint="eastAsia" w:ascii="宋体" w:hAnsi="宋体"/>
          <w:bCs/>
          <w:sz w:val="32"/>
          <w:szCs w:val="20"/>
        </w:rPr>
      </w:pPr>
      <w:r>
        <w:rPr>
          <w:rFonts w:hint="eastAsia" w:ascii="宋体" w:hAnsi="宋体"/>
          <w:sz w:val="24"/>
        </w:rPr>
        <w:t xml:space="preserve">                                                    </w:t>
      </w:r>
    </w:p>
    <w:p w14:paraId="21421199">
      <w:pPr>
        <w:snapToGrid w:val="0"/>
        <w:spacing w:before="120" w:beforeLines="50" w:after="50"/>
        <w:jc w:val="center"/>
        <w:rPr>
          <w:rFonts w:hint="eastAsia" w:ascii="宋体" w:hAnsi="宋体"/>
          <w:sz w:val="24"/>
          <w:szCs w:val="20"/>
        </w:rPr>
      </w:pPr>
      <w:r>
        <w:rPr>
          <w:rFonts w:hint="eastAsia" w:ascii="宋体" w:hAnsi="宋体"/>
          <w:sz w:val="44"/>
          <w:szCs w:val="44"/>
        </w:rPr>
        <w:t>电 子 响 应 文 件</w:t>
      </w:r>
    </w:p>
    <w:p w14:paraId="7EA9D240">
      <w:pPr>
        <w:snapToGrid w:val="0"/>
        <w:spacing w:before="120" w:beforeLines="50" w:after="50"/>
        <w:rPr>
          <w:rFonts w:hint="eastAsia" w:ascii="宋体" w:hAnsi="宋体"/>
          <w:sz w:val="24"/>
          <w:szCs w:val="20"/>
        </w:rPr>
      </w:pPr>
    </w:p>
    <w:p w14:paraId="53F3DFE1">
      <w:pPr>
        <w:snapToGrid w:val="0"/>
        <w:spacing w:before="120" w:beforeLines="50" w:after="50"/>
        <w:rPr>
          <w:rFonts w:hint="eastAsia" w:ascii="宋体" w:hAnsi="宋体"/>
          <w:sz w:val="24"/>
          <w:szCs w:val="20"/>
        </w:rPr>
      </w:pPr>
    </w:p>
    <w:p w14:paraId="4DE093AD">
      <w:pPr>
        <w:snapToGrid w:val="0"/>
        <w:spacing w:before="120" w:beforeLines="50" w:after="50"/>
        <w:jc w:val="center"/>
        <w:rPr>
          <w:rFonts w:hint="eastAsia" w:ascii="方正小标宋简体" w:hAnsi="方正小标宋简体" w:eastAsia="方正小标宋简体" w:cs="方正小标宋简体"/>
          <w:bCs/>
          <w:sz w:val="52"/>
          <w:szCs w:val="52"/>
        </w:rPr>
      </w:pPr>
      <w:r>
        <w:rPr>
          <w:rFonts w:hint="eastAsia" w:ascii="方正小标宋简体" w:hAnsi="方正小标宋简体" w:eastAsia="方正小标宋简体" w:cs="方正小标宋简体"/>
          <w:bCs/>
          <w:sz w:val="52"/>
          <w:szCs w:val="52"/>
        </w:rPr>
        <w:t>报  价  文  件</w:t>
      </w:r>
    </w:p>
    <w:p w14:paraId="3B8E44FD">
      <w:pPr>
        <w:snapToGrid w:val="0"/>
        <w:spacing w:before="120" w:beforeLines="50" w:after="50"/>
        <w:rPr>
          <w:rFonts w:hint="eastAsia" w:ascii="宋体" w:hAnsi="宋体"/>
          <w:bCs/>
          <w:sz w:val="24"/>
          <w:szCs w:val="20"/>
        </w:rPr>
      </w:pPr>
    </w:p>
    <w:p w14:paraId="5BF98263">
      <w:pPr>
        <w:snapToGrid w:val="0"/>
        <w:spacing w:before="120" w:beforeLines="50" w:after="50"/>
        <w:rPr>
          <w:rFonts w:hint="eastAsia" w:ascii="宋体" w:hAnsi="宋体"/>
          <w:bCs/>
          <w:sz w:val="24"/>
          <w:szCs w:val="20"/>
        </w:rPr>
      </w:pPr>
    </w:p>
    <w:p w14:paraId="0E0C0010">
      <w:pPr>
        <w:snapToGrid w:val="0"/>
        <w:spacing w:before="120" w:beforeLines="50" w:after="50"/>
        <w:rPr>
          <w:rFonts w:hint="eastAsia" w:ascii="宋体" w:hAnsi="宋体"/>
          <w:bCs/>
          <w:sz w:val="24"/>
          <w:szCs w:val="20"/>
        </w:rPr>
      </w:pPr>
    </w:p>
    <w:p w14:paraId="7D6B0F18">
      <w:pPr>
        <w:snapToGrid w:val="0"/>
        <w:spacing w:before="120" w:beforeLines="50" w:after="50"/>
        <w:rPr>
          <w:rFonts w:hint="eastAsia" w:ascii="宋体" w:hAnsi="宋体"/>
          <w:bCs/>
          <w:sz w:val="24"/>
          <w:szCs w:val="20"/>
        </w:rPr>
      </w:pPr>
    </w:p>
    <w:p w14:paraId="0F2F0F25">
      <w:pPr>
        <w:snapToGrid w:val="0"/>
        <w:spacing w:before="120" w:beforeLines="50" w:after="50"/>
        <w:ind w:firstLine="640" w:firstLineChars="200"/>
        <w:rPr>
          <w:rFonts w:hint="eastAsia" w:ascii="宋体" w:hAnsi="宋体" w:cs="仿宋_GB2312"/>
          <w:bCs/>
          <w:sz w:val="32"/>
          <w:szCs w:val="32"/>
        </w:rPr>
      </w:pPr>
      <w:r>
        <w:rPr>
          <w:rFonts w:hint="eastAsia" w:ascii="宋体" w:hAnsi="宋体" w:cs="仿宋_GB2312"/>
          <w:bCs/>
          <w:sz w:val="32"/>
          <w:szCs w:val="32"/>
        </w:rPr>
        <w:t>项目名称：</w:t>
      </w:r>
    </w:p>
    <w:p w14:paraId="1B64C8FF">
      <w:pPr>
        <w:snapToGrid w:val="0"/>
        <w:spacing w:before="120" w:beforeLines="50" w:after="50"/>
        <w:ind w:firstLine="720" w:firstLineChars="225"/>
        <w:rPr>
          <w:rFonts w:hint="eastAsia" w:ascii="宋体" w:hAnsi="宋体" w:cs="仿宋_GB2312"/>
          <w:bCs/>
          <w:sz w:val="32"/>
          <w:szCs w:val="32"/>
        </w:rPr>
      </w:pPr>
    </w:p>
    <w:p w14:paraId="047FAE37">
      <w:pPr>
        <w:snapToGrid w:val="0"/>
        <w:spacing w:before="120" w:beforeLines="50" w:after="50"/>
        <w:ind w:firstLine="640" w:firstLineChars="200"/>
        <w:rPr>
          <w:rFonts w:hint="eastAsia" w:ascii="宋体" w:hAnsi="宋体" w:cs="仿宋_GB2312"/>
          <w:bCs/>
          <w:sz w:val="32"/>
          <w:szCs w:val="32"/>
        </w:rPr>
      </w:pPr>
      <w:r>
        <w:rPr>
          <w:rFonts w:hint="eastAsia" w:ascii="宋体" w:hAnsi="宋体" w:cs="仿宋_GB2312"/>
          <w:bCs/>
          <w:sz w:val="32"/>
          <w:szCs w:val="32"/>
        </w:rPr>
        <w:t>项目编号：</w:t>
      </w:r>
    </w:p>
    <w:p w14:paraId="314B23B6">
      <w:pPr>
        <w:snapToGrid w:val="0"/>
        <w:spacing w:before="120" w:beforeLines="50" w:after="50"/>
        <w:ind w:firstLine="720" w:firstLineChars="225"/>
        <w:rPr>
          <w:rFonts w:hint="eastAsia" w:ascii="宋体" w:hAnsi="宋体" w:cs="仿宋_GB2312"/>
          <w:bCs/>
          <w:sz w:val="32"/>
          <w:szCs w:val="32"/>
        </w:rPr>
      </w:pPr>
      <w:r>
        <w:rPr>
          <w:rFonts w:hint="eastAsia" w:ascii="宋体" w:hAnsi="宋体" w:cs="仿宋_GB2312"/>
          <w:bCs/>
          <w:sz w:val="32"/>
          <w:szCs w:val="32"/>
        </w:rPr>
        <w:t xml:space="preserve"> </w:t>
      </w:r>
    </w:p>
    <w:p w14:paraId="2AA5CBA5">
      <w:pPr>
        <w:pStyle w:val="7"/>
        <w:snapToGrid w:val="0"/>
        <w:spacing w:before="50" w:after="50"/>
        <w:ind w:firstLine="640" w:firstLineChars="200"/>
        <w:rPr>
          <w:rFonts w:hint="eastAsia" w:ascii="宋体" w:hAnsi="宋体" w:cs="仿宋_GB2312"/>
          <w:bCs/>
          <w:sz w:val="32"/>
          <w:szCs w:val="32"/>
        </w:rPr>
      </w:pPr>
      <w:r>
        <w:rPr>
          <w:rFonts w:hint="eastAsia" w:ascii="宋体" w:hAnsi="宋体" w:cs="仿宋_GB2312"/>
          <w:bCs/>
          <w:sz w:val="32"/>
          <w:szCs w:val="32"/>
        </w:rPr>
        <w:t>供应商名称：</w:t>
      </w:r>
    </w:p>
    <w:p w14:paraId="35823A34">
      <w:pPr>
        <w:pStyle w:val="7"/>
        <w:snapToGrid w:val="0"/>
        <w:spacing w:before="50" w:after="50"/>
        <w:ind w:firstLine="640" w:firstLineChars="200"/>
        <w:rPr>
          <w:rFonts w:hint="eastAsia" w:ascii="宋体" w:hAnsi="宋体" w:cs="仿宋_GB2312"/>
          <w:bCs/>
          <w:sz w:val="32"/>
          <w:szCs w:val="32"/>
        </w:rPr>
      </w:pPr>
    </w:p>
    <w:p w14:paraId="5FFFBEBF">
      <w:pPr>
        <w:pStyle w:val="7"/>
        <w:snapToGrid w:val="0"/>
        <w:spacing w:before="50" w:after="50"/>
        <w:ind w:firstLine="720" w:firstLineChars="225"/>
        <w:rPr>
          <w:rFonts w:hint="eastAsia" w:ascii="宋体" w:hAnsi="宋体" w:cs="仿宋_GB2312"/>
          <w:bCs/>
          <w:sz w:val="32"/>
          <w:szCs w:val="32"/>
        </w:rPr>
      </w:pPr>
    </w:p>
    <w:p w14:paraId="714587C4">
      <w:pPr>
        <w:pStyle w:val="7"/>
        <w:snapToGrid w:val="0"/>
        <w:spacing w:before="50" w:after="50"/>
        <w:ind w:firstLine="0"/>
        <w:rPr>
          <w:rFonts w:hint="eastAsia" w:ascii="宋体" w:hAnsi="宋体" w:cs="仿宋_GB2312"/>
          <w:bCs/>
          <w:sz w:val="32"/>
          <w:szCs w:val="32"/>
        </w:rPr>
      </w:pPr>
    </w:p>
    <w:p w14:paraId="13765701">
      <w:pPr>
        <w:pStyle w:val="7"/>
        <w:snapToGrid w:val="0"/>
        <w:spacing w:before="50" w:after="50"/>
        <w:ind w:firstLine="1280" w:firstLineChars="400"/>
        <w:rPr>
          <w:rFonts w:hint="eastAsia" w:ascii="宋体" w:hAnsi="宋体" w:cs="仿宋_GB2312"/>
          <w:bCs/>
          <w:sz w:val="32"/>
          <w:szCs w:val="32"/>
        </w:rPr>
      </w:pPr>
    </w:p>
    <w:p w14:paraId="3DF46AF3">
      <w:pPr>
        <w:snapToGrid w:val="0"/>
        <w:spacing w:before="120" w:beforeLines="50" w:after="50"/>
        <w:jc w:val="center"/>
        <w:rPr>
          <w:rFonts w:hint="eastAsia" w:ascii="宋体" w:hAnsi="宋体" w:cs="仿宋_GB2312"/>
          <w:sz w:val="32"/>
          <w:szCs w:val="32"/>
        </w:rPr>
      </w:pPr>
      <w:r>
        <w:rPr>
          <w:rFonts w:hint="eastAsia" w:ascii="宋体" w:hAnsi="宋体" w:cs="仿宋_GB2312"/>
          <w:sz w:val="32"/>
          <w:szCs w:val="32"/>
        </w:rPr>
        <w:t>年    月    日</w:t>
      </w:r>
    </w:p>
    <w:p w14:paraId="64B7BED9">
      <w:pPr>
        <w:snapToGrid w:val="0"/>
        <w:spacing w:before="120" w:beforeLines="50" w:after="50" w:line="360" w:lineRule="auto"/>
        <w:ind w:left="142"/>
        <w:jc w:val="left"/>
        <w:rPr>
          <w:rFonts w:hint="eastAsia" w:ascii="宋体" w:hAnsi="宋体"/>
          <w:b/>
          <w:bCs/>
          <w:sz w:val="24"/>
        </w:rPr>
      </w:pPr>
      <w:r>
        <w:rPr>
          <w:rFonts w:ascii="宋体" w:hAnsi="宋体"/>
          <w:szCs w:val="21"/>
        </w:rPr>
        <w:br w:type="page"/>
      </w:r>
      <w:r>
        <w:rPr>
          <w:rFonts w:hint="eastAsia" w:ascii="宋体" w:hAnsi="宋体"/>
          <w:b/>
          <w:bCs/>
          <w:sz w:val="32"/>
          <w:szCs w:val="32"/>
        </w:rPr>
        <w:t>2.报价文件目录</w:t>
      </w:r>
    </w:p>
    <w:p w14:paraId="78216B1D">
      <w:pPr>
        <w:tabs>
          <w:tab w:val="left" w:pos="3479"/>
        </w:tabs>
        <w:spacing w:line="520" w:lineRule="exact"/>
        <w:jc w:val="left"/>
        <w:rPr>
          <w:rFonts w:hint="eastAsia" w:ascii="宋体" w:hAnsi="宋体"/>
          <w:sz w:val="32"/>
          <w:szCs w:val="32"/>
        </w:rPr>
      </w:pPr>
      <w:r>
        <w:rPr>
          <w:rFonts w:hint="eastAsia" w:ascii="宋体" w:hAnsi="宋体"/>
          <w:sz w:val="32"/>
          <w:szCs w:val="32"/>
        </w:rPr>
        <w:t>根据谈判文件规定及供应商提供的材料自行编写目录（部分格式后附）。</w:t>
      </w:r>
    </w:p>
    <w:p w14:paraId="35172109">
      <w:pPr>
        <w:tabs>
          <w:tab w:val="left" w:pos="3479"/>
        </w:tabs>
        <w:spacing w:line="520" w:lineRule="exact"/>
        <w:jc w:val="center"/>
        <w:rPr>
          <w:rFonts w:hint="eastAsia" w:ascii="方正小标宋简体" w:hAnsi="方正小标宋简体" w:eastAsia="方正小标宋简体" w:cs="方正小标宋简体"/>
          <w:bCs/>
          <w:sz w:val="32"/>
          <w:szCs w:val="32"/>
        </w:rPr>
      </w:pPr>
      <w:r>
        <w:rPr>
          <w:rFonts w:ascii="宋体" w:hAnsi="宋体"/>
          <w:szCs w:val="21"/>
        </w:rPr>
        <w:br w:type="page"/>
      </w:r>
      <w:r>
        <w:rPr>
          <w:rFonts w:hint="eastAsia" w:ascii="方正小标宋简体" w:hAnsi="方正小标宋简体" w:eastAsia="方正小标宋简体" w:cs="方正小标宋简体"/>
          <w:bCs/>
          <w:sz w:val="44"/>
          <w:szCs w:val="44"/>
        </w:rPr>
        <w:t>竞  标  报  价  表</w:t>
      </w:r>
    </w:p>
    <w:p w14:paraId="535B2684">
      <w:pPr>
        <w:spacing w:line="520" w:lineRule="exact"/>
        <w:jc w:val="center"/>
        <w:rPr>
          <w:rFonts w:hint="eastAsia" w:ascii="方正小标宋简体" w:hAnsi="方正小标宋简体" w:eastAsia="方正小标宋简体" w:cs="方正小标宋简体"/>
          <w:bCs/>
          <w:sz w:val="32"/>
          <w:szCs w:val="32"/>
        </w:rPr>
      </w:pPr>
    </w:p>
    <w:p w14:paraId="6AE18465">
      <w:pPr>
        <w:snapToGrid w:val="0"/>
        <w:spacing w:before="50" w:after="50" w:line="360" w:lineRule="auto"/>
        <w:rPr>
          <w:rFonts w:hint="eastAsia" w:ascii="宋体" w:hAnsi="宋体" w:cs="宋体"/>
          <w:color w:val="000000"/>
          <w:sz w:val="24"/>
        </w:rPr>
      </w:pPr>
      <w:r>
        <w:rPr>
          <w:rFonts w:hint="eastAsia" w:ascii="宋体" w:hAnsi="宋体" w:cs="宋体"/>
          <w:color w:val="000000"/>
          <w:sz w:val="24"/>
        </w:rPr>
        <w:t>项目名称：</w:t>
      </w:r>
      <w:r>
        <w:rPr>
          <w:rFonts w:hint="eastAsia" w:ascii="宋体" w:hAnsi="宋体" w:cs="宋体"/>
          <w:color w:val="000000"/>
          <w:sz w:val="24"/>
          <w:u w:val="single"/>
        </w:rPr>
        <w:t xml:space="preserve">           </w:t>
      </w:r>
      <w:r>
        <w:rPr>
          <w:rFonts w:hint="eastAsia" w:ascii="宋体" w:hAnsi="宋体" w:cs="宋体"/>
          <w:color w:val="000000"/>
          <w:sz w:val="24"/>
        </w:rPr>
        <w:t xml:space="preserve">         项目编号：</w:t>
      </w:r>
      <w:r>
        <w:rPr>
          <w:rFonts w:hint="eastAsia" w:ascii="宋体" w:hAnsi="宋体" w:cs="宋体"/>
          <w:color w:val="000000"/>
          <w:sz w:val="24"/>
          <w:u w:val="single"/>
        </w:rPr>
        <w:t xml:space="preserve">            </w:t>
      </w:r>
      <w:r>
        <w:rPr>
          <w:rFonts w:hint="eastAsia" w:ascii="宋体" w:hAnsi="宋体" w:cs="宋体"/>
          <w:color w:val="000000"/>
          <w:sz w:val="24"/>
        </w:rPr>
        <w:t xml:space="preserve">        </w:t>
      </w:r>
    </w:p>
    <w:p w14:paraId="68A10CDA">
      <w:pPr>
        <w:snapToGrid w:val="0"/>
        <w:spacing w:before="50" w:after="50" w:line="360" w:lineRule="auto"/>
        <w:rPr>
          <w:rFonts w:hint="eastAsia" w:ascii="宋体" w:hAnsi="宋体" w:cs="宋体"/>
          <w:color w:val="000000"/>
          <w:sz w:val="24"/>
        </w:rPr>
      </w:pPr>
      <w:r>
        <w:rPr>
          <w:rFonts w:hint="eastAsia" w:ascii="宋体" w:hAnsi="宋体" w:cs="宋体"/>
          <w:color w:val="000000"/>
          <w:sz w:val="24"/>
        </w:rPr>
        <w:t>供应商名称：</w:t>
      </w:r>
      <w:r>
        <w:rPr>
          <w:rFonts w:hint="eastAsia" w:ascii="宋体" w:hAnsi="宋体" w:cs="宋体"/>
          <w:color w:val="000000"/>
          <w:sz w:val="24"/>
          <w:u w:val="single"/>
        </w:rPr>
        <w:t xml:space="preserve">                     </w:t>
      </w:r>
      <w:r>
        <w:rPr>
          <w:rFonts w:hint="eastAsia" w:ascii="宋体" w:hAnsi="宋体" w:cs="宋体"/>
          <w:color w:val="000000"/>
          <w:sz w:val="24"/>
        </w:rPr>
        <w:t xml:space="preserve">             </w:t>
      </w:r>
    </w:p>
    <w:p w14:paraId="0576F246">
      <w:pPr>
        <w:snapToGrid w:val="0"/>
        <w:spacing w:before="50" w:after="50" w:line="360" w:lineRule="auto"/>
        <w:rPr>
          <w:rFonts w:hint="eastAsia" w:ascii="宋体" w:hAnsi="宋体" w:cs="宋体"/>
          <w:color w:val="000000"/>
          <w:sz w:val="24"/>
        </w:rPr>
      </w:pPr>
      <w:r>
        <w:rPr>
          <w:rFonts w:hint="eastAsia" w:ascii="宋体" w:hAnsi="宋体" w:cs="宋体"/>
          <w:color w:val="000000"/>
          <w:sz w:val="24"/>
        </w:rPr>
        <w:t xml:space="preserve">                                                                      单位：元</w:t>
      </w:r>
    </w:p>
    <w:tbl>
      <w:tblPr>
        <w:tblStyle w:val="24"/>
        <w:tblW w:w="4807"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52"/>
        <w:gridCol w:w="1525"/>
        <w:gridCol w:w="1310"/>
        <w:gridCol w:w="977"/>
        <w:gridCol w:w="1256"/>
        <w:gridCol w:w="1142"/>
        <w:gridCol w:w="921"/>
        <w:gridCol w:w="1700"/>
      </w:tblGrid>
      <w:tr w14:paraId="6AEF36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392" w:type="pct"/>
            <w:tcBorders>
              <w:top w:val="single" w:color="auto" w:sz="4" w:space="0"/>
              <w:left w:val="single" w:color="auto" w:sz="4" w:space="0"/>
              <w:bottom w:val="single" w:color="auto" w:sz="4" w:space="0"/>
              <w:right w:val="single" w:color="auto" w:sz="4" w:space="0"/>
            </w:tcBorders>
            <w:vAlign w:val="center"/>
          </w:tcPr>
          <w:p w14:paraId="5855BCFD">
            <w:pPr>
              <w:snapToGrid w:val="0"/>
              <w:spacing w:before="50" w:after="50" w:line="360" w:lineRule="auto"/>
              <w:jc w:val="center"/>
              <w:rPr>
                <w:rFonts w:ascii="宋体" w:hAnsi="宋体"/>
                <w:b/>
                <w:color w:val="000000"/>
                <w:sz w:val="24"/>
              </w:rPr>
            </w:pPr>
            <w:r>
              <w:rPr>
                <w:rFonts w:hint="eastAsia" w:ascii="宋体" w:hAnsi="宋体"/>
                <w:b/>
                <w:color w:val="000000"/>
                <w:sz w:val="24"/>
              </w:rPr>
              <w:t>序号</w:t>
            </w:r>
          </w:p>
        </w:tc>
        <w:tc>
          <w:tcPr>
            <w:tcW w:w="795" w:type="pct"/>
            <w:tcBorders>
              <w:top w:val="single" w:color="auto" w:sz="4" w:space="0"/>
              <w:left w:val="single" w:color="auto" w:sz="4" w:space="0"/>
              <w:bottom w:val="single" w:color="auto" w:sz="4" w:space="0"/>
              <w:right w:val="single" w:color="auto" w:sz="4" w:space="0"/>
            </w:tcBorders>
            <w:vAlign w:val="center"/>
          </w:tcPr>
          <w:p w14:paraId="5DFC4B4E">
            <w:pPr>
              <w:snapToGrid w:val="0"/>
              <w:spacing w:before="50" w:after="50" w:line="360" w:lineRule="auto"/>
              <w:jc w:val="center"/>
              <w:rPr>
                <w:rFonts w:ascii="宋体" w:hAnsi="宋体"/>
                <w:b/>
                <w:color w:val="000000"/>
                <w:sz w:val="24"/>
              </w:rPr>
            </w:pPr>
            <w:r>
              <w:rPr>
                <w:rFonts w:hint="eastAsia" w:ascii="宋体" w:hAnsi="宋体"/>
                <w:b/>
                <w:color w:val="000000"/>
                <w:sz w:val="24"/>
                <w:lang w:val="zh-CN"/>
              </w:rPr>
              <w:t>货物名称</w:t>
            </w:r>
          </w:p>
        </w:tc>
        <w:tc>
          <w:tcPr>
            <w:tcW w:w="683" w:type="pct"/>
            <w:tcBorders>
              <w:top w:val="single" w:color="auto" w:sz="4" w:space="0"/>
              <w:left w:val="single" w:color="auto" w:sz="4" w:space="0"/>
              <w:bottom w:val="single" w:color="auto" w:sz="4" w:space="0"/>
              <w:right w:val="single" w:color="auto" w:sz="4" w:space="0"/>
            </w:tcBorders>
            <w:vAlign w:val="center"/>
          </w:tcPr>
          <w:p w14:paraId="3C5CE079">
            <w:pPr>
              <w:snapToGrid w:val="0"/>
              <w:spacing w:before="50" w:after="50" w:line="360" w:lineRule="auto"/>
              <w:jc w:val="center"/>
              <w:rPr>
                <w:rFonts w:ascii="宋体" w:hAnsi="宋体"/>
                <w:b/>
                <w:color w:val="000000"/>
                <w:sz w:val="24"/>
              </w:rPr>
            </w:pPr>
            <w:r>
              <w:rPr>
                <w:rFonts w:hint="eastAsia" w:ascii="宋体" w:hAnsi="宋体"/>
                <w:b/>
                <w:color w:val="000000"/>
                <w:sz w:val="24"/>
              </w:rPr>
              <w:t>规格型号</w:t>
            </w:r>
          </w:p>
        </w:tc>
        <w:tc>
          <w:tcPr>
            <w:tcW w:w="509" w:type="pct"/>
            <w:tcBorders>
              <w:top w:val="single" w:color="auto" w:sz="4" w:space="0"/>
              <w:left w:val="single" w:color="auto" w:sz="4" w:space="0"/>
              <w:bottom w:val="single" w:color="auto" w:sz="4" w:space="0"/>
              <w:right w:val="single" w:color="auto" w:sz="4" w:space="0"/>
            </w:tcBorders>
            <w:vAlign w:val="center"/>
          </w:tcPr>
          <w:p w14:paraId="5AAAD9F7">
            <w:pPr>
              <w:snapToGrid w:val="0"/>
              <w:spacing w:before="50" w:after="50" w:line="360" w:lineRule="auto"/>
              <w:jc w:val="center"/>
              <w:rPr>
                <w:rFonts w:ascii="宋体" w:hAnsi="宋体"/>
                <w:b/>
                <w:color w:val="000000"/>
                <w:sz w:val="24"/>
              </w:rPr>
            </w:pPr>
            <w:r>
              <w:rPr>
                <w:rFonts w:hint="eastAsia" w:ascii="宋体" w:hAnsi="宋体"/>
                <w:b/>
                <w:color w:val="000000"/>
                <w:sz w:val="24"/>
              </w:rPr>
              <w:t>品牌</w:t>
            </w:r>
          </w:p>
        </w:tc>
        <w:tc>
          <w:tcPr>
            <w:tcW w:w="655" w:type="pct"/>
            <w:tcBorders>
              <w:top w:val="single" w:color="auto" w:sz="4" w:space="0"/>
              <w:left w:val="single" w:color="auto" w:sz="4" w:space="0"/>
              <w:bottom w:val="single" w:color="auto" w:sz="4" w:space="0"/>
              <w:right w:val="single" w:color="auto" w:sz="4" w:space="0"/>
            </w:tcBorders>
            <w:vAlign w:val="center"/>
          </w:tcPr>
          <w:p w14:paraId="665FB4CF">
            <w:pPr>
              <w:snapToGrid w:val="0"/>
              <w:spacing w:before="50" w:after="50" w:line="360" w:lineRule="auto"/>
              <w:jc w:val="center"/>
              <w:rPr>
                <w:rFonts w:ascii="宋体" w:hAnsi="宋体"/>
                <w:b/>
                <w:color w:val="000000"/>
                <w:sz w:val="24"/>
              </w:rPr>
            </w:pPr>
            <w:r>
              <w:rPr>
                <w:rFonts w:hint="eastAsia" w:ascii="宋体" w:hAnsi="宋体"/>
                <w:b/>
                <w:color w:val="000000"/>
                <w:sz w:val="24"/>
              </w:rPr>
              <w:t>生产厂家</w:t>
            </w:r>
          </w:p>
        </w:tc>
        <w:tc>
          <w:tcPr>
            <w:tcW w:w="595" w:type="pct"/>
            <w:tcBorders>
              <w:top w:val="single" w:color="auto" w:sz="4" w:space="0"/>
              <w:left w:val="single" w:color="auto" w:sz="4" w:space="0"/>
              <w:bottom w:val="single" w:color="auto" w:sz="4" w:space="0"/>
              <w:right w:val="single" w:color="auto" w:sz="4" w:space="0"/>
            </w:tcBorders>
            <w:vAlign w:val="center"/>
          </w:tcPr>
          <w:p w14:paraId="5858BA78">
            <w:pPr>
              <w:snapToGrid w:val="0"/>
              <w:spacing w:before="50" w:after="50" w:line="360" w:lineRule="auto"/>
              <w:jc w:val="center"/>
              <w:rPr>
                <w:rFonts w:ascii="宋体" w:hAnsi="宋体"/>
                <w:b/>
                <w:color w:val="000000"/>
                <w:sz w:val="24"/>
              </w:rPr>
            </w:pPr>
            <w:r>
              <w:rPr>
                <w:rFonts w:hint="eastAsia" w:ascii="宋体" w:hAnsi="宋体"/>
                <w:b/>
                <w:color w:val="000000"/>
                <w:sz w:val="24"/>
              </w:rPr>
              <w:t>数量及单位①</w:t>
            </w:r>
          </w:p>
        </w:tc>
        <w:tc>
          <w:tcPr>
            <w:tcW w:w="480" w:type="pct"/>
            <w:tcBorders>
              <w:top w:val="single" w:color="auto" w:sz="4" w:space="0"/>
              <w:left w:val="single" w:color="auto" w:sz="4" w:space="0"/>
              <w:bottom w:val="single" w:color="auto" w:sz="4" w:space="0"/>
              <w:right w:val="single" w:color="auto" w:sz="4" w:space="0"/>
            </w:tcBorders>
            <w:vAlign w:val="center"/>
          </w:tcPr>
          <w:p w14:paraId="770BA320">
            <w:pPr>
              <w:snapToGrid w:val="0"/>
              <w:spacing w:before="50" w:after="50" w:line="360" w:lineRule="auto"/>
              <w:jc w:val="center"/>
              <w:rPr>
                <w:rFonts w:ascii="宋体" w:hAnsi="宋体"/>
                <w:b/>
                <w:color w:val="000000"/>
                <w:sz w:val="24"/>
              </w:rPr>
            </w:pPr>
            <w:r>
              <w:rPr>
                <w:rFonts w:hint="eastAsia" w:ascii="宋体" w:hAnsi="宋体"/>
                <w:b/>
                <w:color w:val="000000"/>
                <w:sz w:val="24"/>
              </w:rPr>
              <w:t>单价</w:t>
            </w:r>
          </w:p>
          <w:p w14:paraId="0C986795">
            <w:pPr>
              <w:snapToGrid w:val="0"/>
              <w:spacing w:before="50" w:after="50" w:line="360" w:lineRule="auto"/>
              <w:jc w:val="center"/>
              <w:rPr>
                <w:rFonts w:ascii="宋体" w:hAnsi="宋体"/>
                <w:b/>
                <w:color w:val="000000"/>
                <w:sz w:val="24"/>
              </w:rPr>
            </w:pPr>
            <w:r>
              <w:rPr>
                <w:rFonts w:hint="eastAsia" w:ascii="宋体" w:hAnsi="宋体"/>
                <w:b/>
                <w:color w:val="000000"/>
                <w:sz w:val="24"/>
              </w:rPr>
              <w:t>②</w:t>
            </w:r>
          </w:p>
        </w:tc>
        <w:tc>
          <w:tcPr>
            <w:tcW w:w="886" w:type="pct"/>
            <w:tcBorders>
              <w:top w:val="single" w:color="auto" w:sz="4" w:space="0"/>
              <w:left w:val="single" w:color="auto" w:sz="4" w:space="0"/>
              <w:bottom w:val="single" w:color="auto" w:sz="4" w:space="0"/>
              <w:right w:val="single" w:color="auto" w:sz="4" w:space="0"/>
            </w:tcBorders>
            <w:vAlign w:val="center"/>
          </w:tcPr>
          <w:p w14:paraId="287C69DB">
            <w:pPr>
              <w:snapToGrid w:val="0"/>
              <w:spacing w:before="50" w:after="50" w:line="360" w:lineRule="auto"/>
              <w:jc w:val="center"/>
              <w:rPr>
                <w:rFonts w:ascii="宋体" w:hAnsi="宋体"/>
                <w:b/>
                <w:color w:val="000000"/>
                <w:sz w:val="24"/>
              </w:rPr>
            </w:pPr>
            <w:r>
              <w:rPr>
                <w:rFonts w:hint="eastAsia" w:ascii="宋体" w:hAnsi="宋体"/>
                <w:b/>
                <w:color w:val="000000"/>
                <w:sz w:val="24"/>
              </w:rPr>
              <w:t xml:space="preserve">单项合价 </w:t>
            </w:r>
          </w:p>
          <w:p w14:paraId="14E37779">
            <w:pPr>
              <w:snapToGrid w:val="0"/>
              <w:spacing w:before="50" w:after="50" w:line="360" w:lineRule="auto"/>
              <w:jc w:val="center"/>
              <w:rPr>
                <w:rFonts w:ascii="宋体" w:hAnsi="宋体"/>
                <w:b/>
                <w:color w:val="000000"/>
                <w:sz w:val="24"/>
              </w:rPr>
            </w:pPr>
            <w:r>
              <w:rPr>
                <w:rFonts w:ascii="宋体" w:hAnsi="宋体"/>
                <w:b/>
                <w:color w:val="000000"/>
                <w:sz w:val="24"/>
              </w:rPr>
              <w:t>③</w:t>
            </w:r>
            <w:r>
              <w:rPr>
                <w:rFonts w:hint="eastAsia" w:ascii="宋体" w:hAnsi="宋体"/>
                <w:b/>
                <w:color w:val="000000"/>
                <w:sz w:val="24"/>
              </w:rPr>
              <w:t>=①×②</w:t>
            </w:r>
          </w:p>
        </w:tc>
      </w:tr>
      <w:tr w14:paraId="5453C1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1" w:hRule="atLeast"/>
          <w:jc w:val="center"/>
        </w:trPr>
        <w:tc>
          <w:tcPr>
            <w:tcW w:w="392" w:type="pct"/>
            <w:tcBorders>
              <w:top w:val="single" w:color="auto" w:sz="4" w:space="0"/>
              <w:left w:val="single" w:color="auto" w:sz="4" w:space="0"/>
              <w:bottom w:val="single" w:color="auto" w:sz="4" w:space="0"/>
              <w:right w:val="single" w:color="auto" w:sz="4" w:space="0"/>
            </w:tcBorders>
            <w:vAlign w:val="center"/>
          </w:tcPr>
          <w:p w14:paraId="632B8F4F">
            <w:pPr>
              <w:snapToGrid w:val="0"/>
              <w:spacing w:before="50" w:after="50" w:line="360" w:lineRule="auto"/>
              <w:jc w:val="center"/>
              <w:rPr>
                <w:rFonts w:ascii="宋体" w:hAnsi="宋体"/>
                <w:b/>
                <w:color w:val="000000"/>
                <w:sz w:val="24"/>
              </w:rPr>
            </w:pPr>
            <w:r>
              <w:rPr>
                <w:rFonts w:hint="eastAsia" w:ascii="宋体" w:hAnsi="宋体"/>
                <w:b/>
                <w:color w:val="000000"/>
                <w:sz w:val="24"/>
              </w:rPr>
              <w:t>1</w:t>
            </w:r>
          </w:p>
        </w:tc>
        <w:tc>
          <w:tcPr>
            <w:tcW w:w="795" w:type="pct"/>
            <w:tcBorders>
              <w:top w:val="single" w:color="auto" w:sz="4" w:space="0"/>
              <w:left w:val="single" w:color="auto" w:sz="4" w:space="0"/>
              <w:bottom w:val="single" w:color="auto" w:sz="4" w:space="0"/>
              <w:right w:val="single" w:color="auto" w:sz="4" w:space="0"/>
            </w:tcBorders>
            <w:vAlign w:val="bottom"/>
          </w:tcPr>
          <w:p w14:paraId="5F973956">
            <w:pPr>
              <w:widowControl/>
              <w:spacing w:line="240" w:lineRule="auto"/>
              <w:jc w:val="center"/>
              <w:textAlignment w:val="center"/>
              <w:rPr>
                <w:rFonts w:ascii="宋体" w:hAnsi="宋体"/>
                <w:b/>
                <w:color w:val="000000"/>
                <w:sz w:val="24"/>
              </w:rPr>
            </w:pPr>
            <w:r>
              <w:rPr>
                <w:rFonts w:hint="eastAsia" w:ascii="宋体" w:hAnsi="宋体" w:cs="宋体"/>
                <w:color w:val="000000"/>
                <w:sz w:val="24"/>
              </w:rPr>
              <w:t>生物电反馈刺激仪</w:t>
            </w:r>
          </w:p>
        </w:tc>
        <w:tc>
          <w:tcPr>
            <w:tcW w:w="683" w:type="pct"/>
            <w:tcBorders>
              <w:top w:val="single" w:color="auto" w:sz="4" w:space="0"/>
              <w:left w:val="single" w:color="auto" w:sz="4" w:space="0"/>
              <w:bottom w:val="single" w:color="auto" w:sz="4" w:space="0"/>
              <w:right w:val="single" w:color="auto" w:sz="4" w:space="0"/>
            </w:tcBorders>
            <w:vAlign w:val="center"/>
          </w:tcPr>
          <w:p w14:paraId="24CE6E00">
            <w:pPr>
              <w:snapToGrid w:val="0"/>
              <w:spacing w:before="50" w:after="50" w:line="360" w:lineRule="auto"/>
              <w:rPr>
                <w:rFonts w:ascii="宋体" w:hAnsi="宋体"/>
                <w:color w:val="000000"/>
                <w:sz w:val="24"/>
              </w:rPr>
            </w:pPr>
          </w:p>
        </w:tc>
        <w:tc>
          <w:tcPr>
            <w:tcW w:w="509" w:type="pct"/>
            <w:tcBorders>
              <w:top w:val="single" w:color="auto" w:sz="4" w:space="0"/>
              <w:left w:val="single" w:color="auto" w:sz="4" w:space="0"/>
              <w:bottom w:val="single" w:color="auto" w:sz="4" w:space="0"/>
              <w:right w:val="single" w:color="auto" w:sz="4" w:space="0"/>
            </w:tcBorders>
            <w:vAlign w:val="center"/>
          </w:tcPr>
          <w:p w14:paraId="6EA013A9">
            <w:pPr>
              <w:snapToGrid w:val="0"/>
              <w:spacing w:before="50" w:after="50" w:line="360" w:lineRule="auto"/>
              <w:rPr>
                <w:rFonts w:ascii="宋体" w:hAnsi="宋体"/>
                <w:color w:val="000000"/>
                <w:sz w:val="24"/>
              </w:rPr>
            </w:pPr>
          </w:p>
        </w:tc>
        <w:tc>
          <w:tcPr>
            <w:tcW w:w="655" w:type="pct"/>
            <w:tcBorders>
              <w:top w:val="single" w:color="auto" w:sz="4" w:space="0"/>
              <w:left w:val="single" w:color="auto" w:sz="4" w:space="0"/>
              <w:bottom w:val="single" w:color="auto" w:sz="4" w:space="0"/>
              <w:right w:val="single" w:color="auto" w:sz="4" w:space="0"/>
            </w:tcBorders>
            <w:vAlign w:val="center"/>
          </w:tcPr>
          <w:p w14:paraId="08F14A6D">
            <w:pPr>
              <w:snapToGrid w:val="0"/>
              <w:spacing w:before="50" w:after="50" w:line="360" w:lineRule="auto"/>
              <w:rPr>
                <w:rFonts w:ascii="宋体" w:hAnsi="宋体"/>
                <w:color w:val="000000"/>
                <w:sz w:val="24"/>
              </w:rPr>
            </w:pPr>
          </w:p>
        </w:tc>
        <w:tc>
          <w:tcPr>
            <w:tcW w:w="595" w:type="pct"/>
            <w:tcBorders>
              <w:top w:val="single" w:color="auto" w:sz="4" w:space="0"/>
              <w:left w:val="single" w:color="auto" w:sz="4" w:space="0"/>
              <w:bottom w:val="single" w:color="auto" w:sz="4" w:space="0"/>
              <w:right w:val="single" w:color="auto" w:sz="4" w:space="0"/>
            </w:tcBorders>
            <w:vAlign w:val="center"/>
          </w:tcPr>
          <w:p w14:paraId="6A839E44">
            <w:pPr>
              <w:snapToGrid w:val="0"/>
              <w:spacing w:before="50" w:after="50" w:line="360" w:lineRule="auto"/>
              <w:rPr>
                <w:rFonts w:ascii="宋体" w:hAnsi="宋体"/>
                <w:color w:val="000000"/>
                <w:sz w:val="24"/>
              </w:rPr>
            </w:pPr>
          </w:p>
        </w:tc>
        <w:tc>
          <w:tcPr>
            <w:tcW w:w="480" w:type="pct"/>
            <w:tcBorders>
              <w:top w:val="single" w:color="auto" w:sz="4" w:space="0"/>
              <w:left w:val="single" w:color="auto" w:sz="4" w:space="0"/>
              <w:bottom w:val="single" w:color="auto" w:sz="4" w:space="0"/>
              <w:right w:val="single" w:color="auto" w:sz="4" w:space="0"/>
            </w:tcBorders>
            <w:vAlign w:val="center"/>
          </w:tcPr>
          <w:p w14:paraId="29BE5522">
            <w:pPr>
              <w:snapToGrid w:val="0"/>
              <w:spacing w:before="50" w:after="50" w:line="360" w:lineRule="auto"/>
              <w:rPr>
                <w:rFonts w:ascii="宋体" w:hAnsi="宋体"/>
                <w:color w:val="000000"/>
                <w:sz w:val="24"/>
              </w:rPr>
            </w:pPr>
          </w:p>
        </w:tc>
        <w:tc>
          <w:tcPr>
            <w:tcW w:w="886" w:type="pct"/>
            <w:tcBorders>
              <w:top w:val="single" w:color="auto" w:sz="4" w:space="0"/>
              <w:left w:val="single" w:color="auto" w:sz="4" w:space="0"/>
              <w:bottom w:val="single" w:color="auto" w:sz="4" w:space="0"/>
              <w:right w:val="single" w:color="auto" w:sz="4" w:space="0"/>
            </w:tcBorders>
            <w:vAlign w:val="center"/>
          </w:tcPr>
          <w:p w14:paraId="4F098182">
            <w:pPr>
              <w:snapToGrid w:val="0"/>
              <w:spacing w:before="50" w:after="50" w:line="360" w:lineRule="auto"/>
              <w:rPr>
                <w:rFonts w:ascii="宋体" w:hAnsi="宋体"/>
                <w:color w:val="000000"/>
                <w:sz w:val="24"/>
              </w:rPr>
            </w:pPr>
          </w:p>
        </w:tc>
      </w:tr>
      <w:tr w14:paraId="092650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jc w:val="center"/>
        </w:trPr>
        <w:tc>
          <w:tcPr>
            <w:tcW w:w="392" w:type="pct"/>
            <w:tcBorders>
              <w:top w:val="single" w:color="auto" w:sz="4" w:space="0"/>
              <w:left w:val="single" w:color="auto" w:sz="4" w:space="0"/>
              <w:bottom w:val="single" w:color="auto" w:sz="4" w:space="0"/>
              <w:right w:val="single" w:color="auto" w:sz="4" w:space="0"/>
            </w:tcBorders>
            <w:vAlign w:val="center"/>
          </w:tcPr>
          <w:p w14:paraId="6EBF51E2">
            <w:pPr>
              <w:snapToGrid w:val="0"/>
              <w:spacing w:before="50" w:after="50" w:line="360" w:lineRule="auto"/>
              <w:jc w:val="center"/>
              <w:rPr>
                <w:rFonts w:ascii="宋体" w:hAnsi="宋体"/>
                <w:b/>
                <w:color w:val="000000"/>
                <w:sz w:val="24"/>
              </w:rPr>
            </w:pPr>
            <w:r>
              <w:rPr>
                <w:rFonts w:hint="eastAsia" w:ascii="宋体" w:hAnsi="宋体"/>
                <w:b/>
                <w:color w:val="000000"/>
                <w:sz w:val="24"/>
              </w:rPr>
              <w:t>2</w:t>
            </w:r>
          </w:p>
        </w:tc>
        <w:tc>
          <w:tcPr>
            <w:tcW w:w="795" w:type="pct"/>
            <w:tcBorders>
              <w:top w:val="single" w:color="auto" w:sz="4" w:space="0"/>
              <w:left w:val="single" w:color="auto" w:sz="4" w:space="0"/>
              <w:bottom w:val="single" w:color="auto" w:sz="4" w:space="0"/>
              <w:right w:val="single" w:color="auto" w:sz="4" w:space="0"/>
            </w:tcBorders>
            <w:vAlign w:val="bottom"/>
          </w:tcPr>
          <w:p w14:paraId="6A890D0F">
            <w:pPr>
              <w:widowControl/>
              <w:spacing w:line="240" w:lineRule="auto"/>
              <w:jc w:val="center"/>
              <w:textAlignment w:val="center"/>
              <w:rPr>
                <w:rFonts w:ascii="宋体" w:hAnsi="宋体"/>
                <w:b/>
                <w:color w:val="000000"/>
                <w:sz w:val="24"/>
              </w:rPr>
            </w:pPr>
            <w:r>
              <w:rPr>
                <w:rFonts w:hint="eastAsia" w:ascii="宋体" w:hAnsi="宋体" w:cs="宋体"/>
                <w:color w:val="000000"/>
                <w:sz w:val="24"/>
              </w:rPr>
              <w:t>颅磁刺激治疗仪</w:t>
            </w:r>
          </w:p>
        </w:tc>
        <w:tc>
          <w:tcPr>
            <w:tcW w:w="683" w:type="pct"/>
            <w:tcBorders>
              <w:top w:val="single" w:color="auto" w:sz="4" w:space="0"/>
              <w:left w:val="single" w:color="auto" w:sz="4" w:space="0"/>
              <w:bottom w:val="single" w:color="auto" w:sz="4" w:space="0"/>
              <w:right w:val="single" w:color="auto" w:sz="4" w:space="0"/>
            </w:tcBorders>
            <w:vAlign w:val="center"/>
          </w:tcPr>
          <w:p w14:paraId="5A87E190">
            <w:pPr>
              <w:snapToGrid w:val="0"/>
              <w:spacing w:before="50" w:after="50" w:line="360" w:lineRule="auto"/>
              <w:rPr>
                <w:rFonts w:ascii="宋体" w:hAnsi="宋体"/>
                <w:color w:val="000000"/>
                <w:sz w:val="24"/>
              </w:rPr>
            </w:pPr>
          </w:p>
        </w:tc>
        <w:tc>
          <w:tcPr>
            <w:tcW w:w="509" w:type="pct"/>
            <w:tcBorders>
              <w:top w:val="single" w:color="auto" w:sz="4" w:space="0"/>
              <w:left w:val="single" w:color="auto" w:sz="4" w:space="0"/>
              <w:bottom w:val="single" w:color="auto" w:sz="4" w:space="0"/>
              <w:right w:val="single" w:color="auto" w:sz="4" w:space="0"/>
            </w:tcBorders>
            <w:vAlign w:val="center"/>
          </w:tcPr>
          <w:p w14:paraId="5FD3A4D4">
            <w:pPr>
              <w:snapToGrid w:val="0"/>
              <w:spacing w:before="50" w:after="50" w:line="360" w:lineRule="auto"/>
              <w:rPr>
                <w:rFonts w:ascii="宋体" w:hAnsi="宋体"/>
                <w:color w:val="000000"/>
                <w:sz w:val="24"/>
              </w:rPr>
            </w:pPr>
          </w:p>
        </w:tc>
        <w:tc>
          <w:tcPr>
            <w:tcW w:w="655" w:type="pct"/>
            <w:tcBorders>
              <w:top w:val="single" w:color="auto" w:sz="4" w:space="0"/>
              <w:left w:val="single" w:color="auto" w:sz="4" w:space="0"/>
              <w:bottom w:val="single" w:color="auto" w:sz="4" w:space="0"/>
              <w:right w:val="single" w:color="auto" w:sz="4" w:space="0"/>
            </w:tcBorders>
            <w:vAlign w:val="center"/>
          </w:tcPr>
          <w:p w14:paraId="0608E34F">
            <w:pPr>
              <w:snapToGrid w:val="0"/>
              <w:spacing w:before="50" w:after="50" w:line="360" w:lineRule="auto"/>
              <w:rPr>
                <w:rFonts w:ascii="宋体" w:hAnsi="宋体"/>
                <w:color w:val="000000"/>
                <w:sz w:val="24"/>
              </w:rPr>
            </w:pPr>
          </w:p>
        </w:tc>
        <w:tc>
          <w:tcPr>
            <w:tcW w:w="595" w:type="pct"/>
            <w:tcBorders>
              <w:top w:val="single" w:color="auto" w:sz="4" w:space="0"/>
              <w:left w:val="single" w:color="auto" w:sz="4" w:space="0"/>
              <w:bottom w:val="single" w:color="auto" w:sz="4" w:space="0"/>
              <w:right w:val="single" w:color="auto" w:sz="4" w:space="0"/>
            </w:tcBorders>
            <w:vAlign w:val="center"/>
          </w:tcPr>
          <w:p w14:paraId="3C94E647">
            <w:pPr>
              <w:snapToGrid w:val="0"/>
              <w:spacing w:before="50" w:after="50" w:line="360" w:lineRule="auto"/>
              <w:rPr>
                <w:rFonts w:ascii="宋体" w:hAnsi="宋体"/>
                <w:color w:val="000000"/>
                <w:sz w:val="24"/>
              </w:rPr>
            </w:pPr>
          </w:p>
        </w:tc>
        <w:tc>
          <w:tcPr>
            <w:tcW w:w="480" w:type="pct"/>
            <w:tcBorders>
              <w:top w:val="single" w:color="auto" w:sz="4" w:space="0"/>
              <w:left w:val="single" w:color="auto" w:sz="4" w:space="0"/>
              <w:bottom w:val="single" w:color="auto" w:sz="4" w:space="0"/>
              <w:right w:val="single" w:color="auto" w:sz="4" w:space="0"/>
            </w:tcBorders>
            <w:vAlign w:val="center"/>
          </w:tcPr>
          <w:p w14:paraId="19A8C879">
            <w:pPr>
              <w:snapToGrid w:val="0"/>
              <w:spacing w:before="50" w:after="50" w:line="360" w:lineRule="auto"/>
              <w:rPr>
                <w:rFonts w:ascii="宋体" w:hAnsi="宋体"/>
                <w:color w:val="000000"/>
                <w:sz w:val="24"/>
              </w:rPr>
            </w:pPr>
          </w:p>
        </w:tc>
        <w:tc>
          <w:tcPr>
            <w:tcW w:w="886" w:type="pct"/>
            <w:tcBorders>
              <w:top w:val="single" w:color="auto" w:sz="4" w:space="0"/>
              <w:left w:val="single" w:color="auto" w:sz="4" w:space="0"/>
              <w:bottom w:val="single" w:color="auto" w:sz="4" w:space="0"/>
              <w:right w:val="single" w:color="auto" w:sz="4" w:space="0"/>
            </w:tcBorders>
            <w:vAlign w:val="center"/>
          </w:tcPr>
          <w:p w14:paraId="3E902BE2">
            <w:pPr>
              <w:snapToGrid w:val="0"/>
              <w:spacing w:before="50" w:after="50" w:line="360" w:lineRule="auto"/>
              <w:rPr>
                <w:rFonts w:ascii="宋体" w:hAnsi="宋体"/>
                <w:color w:val="000000"/>
                <w:sz w:val="24"/>
              </w:rPr>
            </w:pPr>
          </w:p>
        </w:tc>
      </w:tr>
      <w:tr w14:paraId="762869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jc w:val="center"/>
        </w:trPr>
        <w:tc>
          <w:tcPr>
            <w:tcW w:w="392" w:type="pct"/>
            <w:tcBorders>
              <w:top w:val="single" w:color="auto" w:sz="4" w:space="0"/>
              <w:left w:val="single" w:color="auto" w:sz="4" w:space="0"/>
              <w:bottom w:val="single" w:color="auto" w:sz="4" w:space="0"/>
              <w:right w:val="single" w:color="auto" w:sz="4" w:space="0"/>
            </w:tcBorders>
            <w:vAlign w:val="center"/>
          </w:tcPr>
          <w:p w14:paraId="402BA3CD">
            <w:pPr>
              <w:snapToGrid w:val="0"/>
              <w:spacing w:before="50" w:after="50" w:line="360" w:lineRule="auto"/>
              <w:jc w:val="center"/>
              <w:rPr>
                <w:rFonts w:ascii="宋体" w:hAnsi="宋体"/>
                <w:b/>
                <w:color w:val="000000"/>
                <w:sz w:val="24"/>
              </w:rPr>
            </w:pPr>
            <w:r>
              <w:rPr>
                <w:rFonts w:hint="eastAsia" w:ascii="宋体" w:hAnsi="宋体"/>
                <w:b/>
                <w:color w:val="000000"/>
                <w:sz w:val="24"/>
              </w:rPr>
              <w:t>3</w:t>
            </w:r>
          </w:p>
        </w:tc>
        <w:tc>
          <w:tcPr>
            <w:tcW w:w="795" w:type="pct"/>
            <w:tcBorders>
              <w:top w:val="single" w:color="auto" w:sz="4" w:space="0"/>
              <w:left w:val="single" w:color="auto" w:sz="4" w:space="0"/>
              <w:bottom w:val="single" w:color="auto" w:sz="4" w:space="0"/>
              <w:right w:val="single" w:color="auto" w:sz="4" w:space="0"/>
            </w:tcBorders>
            <w:vAlign w:val="center"/>
          </w:tcPr>
          <w:p w14:paraId="182EFBF2">
            <w:pPr>
              <w:widowControl/>
              <w:spacing w:line="240" w:lineRule="auto"/>
              <w:jc w:val="center"/>
              <w:textAlignment w:val="center"/>
              <w:rPr>
                <w:rFonts w:ascii="宋体" w:hAnsi="宋体"/>
                <w:b/>
                <w:color w:val="000000"/>
                <w:sz w:val="24"/>
              </w:rPr>
            </w:pPr>
            <w:r>
              <w:rPr>
                <w:rFonts w:hint="eastAsia" w:ascii="宋体" w:hAnsi="宋体" w:cs="宋体"/>
                <w:color w:val="000000"/>
                <w:sz w:val="24"/>
              </w:rPr>
              <w:t>脑电图机</w:t>
            </w:r>
          </w:p>
        </w:tc>
        <w:tc>
          <w:tcPr>
            <w:tcW w:w="683" w:type="pct"/>
            <w:tcBorders>
              <w:top w:val="single" w:color="auto" w:sz="4" w:space="0"/>
              <w:left w:val="single" w:color="auto" w:sz="4" w:space="0"/>
              <w:bottom w:val="single" w:color="auto" w:sz="4" w:space="0"/>
              <w:right w:val="single" w:color="auto" w:sz="4" w:space="0"/>
            </w:tcBorders>
            <w:vAlign w:val="center"/>
          </w:tcPr>
          <w:p w14:paraId="27E9C101">
            <w:pPr>
              <w:snapToGrid w:val="0"/>
              <w:spacing w:before="50" w:after="50" w:line="360" w:lineRule="auto"/>
              <w:rPr>
                <w:rFonts w:ascii="宋体" w:hAnsi="宋体"/>
                <w:color w:val="000000"/>
                <w:sz w:val="24"/>
              </w:rPr>
            </w:pPr>
          </w:p>
        </w:tc>
        <w:tc>
          <w:tcPr>
            <w:tcW w:w="509" w:type="pct"/>
            <w:tcBorders>
              <w:top w:val="single" w:color="auto" w:sz="4" w:space="0"/>
              <w:left w:val="single" w:color="auto" w:sz="4" w:space="0"/>
              <w:bottom w:val="single" w:color="auto" w:sz="4" w:space="0"/>
              <w:right w:val="single" w:color="auto" w:sz="4" w:space="0"/>
            </w:tcBorders>
            <w:vAlign w:val="center"/>
          </w:tcPr>
          <w:p w14:paraId="494A3F13">
            <w:pPr>
              <w:snapToGrid w:val="0"/>
              <w:spacing w:before="50" w:after="50" w:line="360" w:lineRule="auto"/>
              <w:rPr>
                <w:rFonts w:ascii="宋体" w:hAnsi="宋体"/>
                <w:color w:val="000000"/>
                <w:sz w:val="24"/>
              </w:rPr>
            </w:pPr>
          </w:p>
        </w:tc>
        <w:tc>
          <w:tcPr>
            <w:tcW w:w="655" w:type="pct"/>
            <w:tcBorders>
              <w:top w:val="single" w:color="auto" w:sz="4" w:space="0"/>
              <w:left w:val="single" w:color="auto" w:sz="4" w:space="0"/>
              <w:bottom w:val="single" w:color="auto" w:sz="4" w:space="0"/>
              <w:right w:val="single" w:color="auto" w:sz="4" w:space="0"/>
            </w:tcBorders>
            <w:vAlign w:val="center"/>
          </w:tcPr>
          <w:p w14:paraId="3E089712">
            <w:pPr>
              <w:snapToGrid w:val="0"/>
              <w:spacing w:before="50" w:after="50" w:line="360" w:lineRule="auto"/>
              <w:rPr>
                <w:rFonts w:ascii="宋体" w:hAnsi="宋体"/>
                <w:color w:val="000000"/>
                <w:sz w:val="24"/>
              </w:rPr>
            </w:pPr>
          </w:p>
        </w:tc>
        <w:tc>
          <w:tcPr>
            <w:tcW w:w="595" w:type="pct"/>
            <w:tcBorders>
              <w:top w:val="single" w:color="auto" w:sz="4" w:space="0"/>
              <w:left w:val="single" w:color="auto" w:sz="4" w:space="0"/>
              <w:bottom w:val="single" w:color="auto" w:sz="4" w:space="0"/>
              <w:right w:val="single" w:color="auto" w:sz="4" w:space="0"/>
            </w:tcBorders>
            <w:vAlign w:val="center"/>
          </w:tcPr>
          <w:p w14:paraId="7D955D21">
            <w:pPr>
              <w:snapToGrid w:val="0"/>
              <w:spacing w:before="50" w:after="50" w:line="360" w:lineRule="auto"/>
              <w:rPr>
                <w:rFonts w:ascii="宋体" w:hAnsi="宋体"/>
                <w:color w:val="000000"/>
                <w:sz w:val="24"/>
              </w:rPr>
            </w:pPr>
          </w:p>
        </w:tc>
        <w:tc>
          <w:tcPr>
            <w:tcW w:w="480" w:type="pct"/>
            <w:tcBorders>
              <w:top w:val="single" w:color="auto" w:sz="4" w:space="0"/>
              <w:left w:val="single" w:color="auto" w:sz="4" w:space="0"/>
              <w:bottom w:val="single" w:color="auto" w:sz="4" w:space="0"/>
              <w:right w:val="single" w:color="auto" w:sz="4" w:space="0"/>
            </w:tcBorders>
            <w:vAlign w:val="center"/>
          </w:tcPr>
          <w:p w14:paraId="26E0FF6A">
            <w:pPr>
              <w:snapToGrid w:val="0"/>
              <w:spacing w:before="50" w:after="50" w:line="360" w:lineRule="auto"/>
              <w:rPr>
                <w:rFonts w:ascii="宋体" w:hAnsi="宋体"/>
                <w:color w:val="000000"/>
                <w:sz w:val="24"/>
              </w:rPr>
            </w:pPr>
          </w:p>
        </w:tc>
        <w:tc>
          <w:tcPr>
            <w:tcW w:w="886" w:type="pct"/>
            <w:tcBorders>
              <w:top w:val="single" w:color="auto" w:sz="4" w:space="0"/>
              <w:left w:val="single" w:color="auto" w:sz="4" w:space="0"/>
              <w:bottom w:val="single" w:color="auto" w:sz="4" w:space="0"/>
              <w:right w:val="single" w:color="auto" w:sz="4" w:space="0"/>
            </w:tcBorders>
            <w:vAlign w:val="center"/>
          </w:tcPr>
          <w:p w14:paraId="22CD396E">
            <w:pPr>
              <w:snapToGrid w:val="0"/>
              <w:spacing w:before="50" w:after="50" w:line="360" w:lineRule="auto"/>
              <w:rPr>
                <w:rFonts w:ascii="宋体" w:hAnsi="宋体"/>
                <w:color w:val="000000"/>
                <w:sz w:val="24"/>
              </w:rPr>
            </w:pPr>
          </w:p>
        </w:tc>
      </w:tr>
      <w:tr w14:paraId="02531C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9" w:hRule="atLeast"/>
          <w:jc w:val="center"/>
        </w:trPr>
        <w:tc>
          <w:tcPr>
            <w:tcW w:w="5000" w:type="pct"/>
            <w:gridSpan w:val="8"/>
            <w:tcBorders>
              <w:top w:val="single" w:color="auto" w:sz="4" w:space="0"/>
              <w:left w:val="single" w:color="auto" w:sz="4" w:space="0"/>
              <w:bottom w:val="single" w:color="auto" w:sz="4" w:space="0"/>
              <w:right w:val="single" w:color="auto" w:sz="4" w:space="0"/>
            </w:tcBorders>
            <w:vAlign w:val="center"/>
          </w:tcPr>
          <w:p w14:paraId="7AD331C8">
            <w:pPr>
              <w:snapToGrid w:val="0"/>
              <w:spacing w:before="50" w:after="50" w:line="360" w:lineRule="auto"/>
              <w:rPr>
                <w:rFonts w:ascii="宋体" w:hAnsi="宋体" w:cs="仿宋_GB2312"/>
                <w:color w:val="000000"/>
                <w:sz w:val="24"/>
              </w:rPr>
            </w:pPr>
            <w:r>
              <w:rPr>
                <w:rFonts w:hint="eastAsia" w:ascii="宋体" w:hAnsi="宋体" w:cs="仿宋_GB2312"/>
                <w:color w:val="000000"/>
                <w:sz w:val="24"/>
              </w:rPr>
              <w:t>总报价（ 包含税费等所有费用 ）：（大写）人民币</w:t>
            </w:r>
            <w:r>
              <w:rPr>
                <w:rFonts w:hint="eastAsia" w:ascii="宋体" w:hAnsi="宋体" w:cs="仿宋_GB2312"/>
                <w:color w:val="000000"/>
                <w:sz w:val="24"/>
                <w:u w:val="single"/>
              </w:rPr>
              <w:t xml:space="preserve">           </w:t>
            </w:r>
            <w:r>
              <w:rPr>
                <w:rFonts w:hint="eastAsia" w:ascii="宋体" w:hAnsi="宋体" w:cs="仿宋_GB2312"/>
                <w:color w:val="000000"/>
                <w:sz w:val="24"/>
              </w:rPr>
              <w:t>（￥</w:t>
            </w:r>
            <w:r>
              <w:rPr>
                <w:rFonts w:hint="eastAsia" w:ascii="宋体" w:hAnsi="宋体" w:cs="仿宋_GB2312"/>
                <w:color w:val="000000"/>
                <w:sz w:val="24"/>
                <w:u w:val="single"/>
              </w:rPr>
              <w:t xml:space="preserve">           </w:t>
            </w:r>
            <w:r>
              <w:rPr>
                <w:rFonts w:hint="eastAsia" w:ascii="宋体" w:hAnsi="宋体" w:cs="仿宋_GB2312"/>
                <w:color w:val="000000"/>
                <w:sz w:val="24"/>
              </w:rPr>
              <w:t>）</w:t>
            </w:r>
          </w:p>
        </w:tc>
      </w:tr>
      <w:tr w14:paraId="39E692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9" w:hRule="atLeast"/>
          <w:jc w:val="center"/>
        </w:trPr>
        <w:tc>
          <w:tcPr>
            <w:tcW w:w="5000" w:type="pct"/>
            <w:gridSpan w:val="8"/>
            <w:tcBorders>
              <w:top w:val="single" w:color="auto" w:sz="4" w:space="0"/>
              <w:left w:val="single" w:color="auto" w:sz="4" w:space="0"/>
              <w:bottom w:val="single" w:color="auto" w:sz="4" w:space="0"/>
              <w:right w:val="single" w:color="auto" w:sz="4" w:space="0"/>
            </w:tcBorders>
            <w:vAlign w:val="center"/>
          </w:tcPr>
          <w:p w14:paraId="4DF10FB0">
            <w:pPr>
              <w:snapToGrid w:val="0"/>
              <w:spacing w:before="50" w:after="50" w:line="360" w:lineRule="auto"/>
              <w:rPr>
                <w:rFonts w:ascii="宋体" w:hAnsi="宋体" w:cs="仿宋_GB2312"/>
                <w:color w:val="000000"/>
                <w:sz w:val="24"/>
              </w:rPr>
            </w:pPr>
            <w:r>
              <w:rPr>
                <w:rFonts w:hint="eastAsia" w:ascii="宋体" w:hAnsi="宋体" w:cs="仿宋_GB2312"/>
                <w:color w:val="000000"/>
                <w:sz w:val="24"/>
              </w:rPr>
              <w:t>合同履行期限：</w:t>
            </w:r>
          </w:p>
        </w:tc>
      </w:tr>
      <w:tr w14:paraId="46B9EE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9" w:hRule="atLeast"/>
          <w:jc w:val="center"/>
        </w:trPr>
        <w:tc>
          <w:tcPr>
            <w:tcW w:w="5000" w:type="pct"/>
            <w:gridSpan w:val="8"/>
            <w:tcBorders>
              <w:top w:val="single" w:color="auto" w:sz="4" w:space="0"/>
              <w:left w:val="single" w:color="auto" w:sz="4" w:space="0"/>
              <w:bottom w:val="single" w:color="auto" w:sz="4" w:space="0"/>
              <w:right w:val="single" w:color="auto" w:sz="4" w:space="0"/>
            </w:tcBorders>
            <w:vAlign w:val="center"/>
          </w:tcPr>
          <w:p w14:paraId="75CF10FA">
            <w:pPr>
              <w:snapToGrid w:val="0"/>
              <w:spacing w:before="50" w:after="50" w:line="360" w:lineRule="auto"/>
              <w:rPr>
                <w:rFonts w:ascii="宋体" w:hAnsi="宋体" w:cs="仿宋_GB2312"/>
                <w:color w:val="000000"/>
                <w:sz w:val="24"/>
              </w:rPr>
            </w:pPr>
            <w:r>
              <w:rPr>
                <w:rFonts w:hint="eastAsia" w:ascii="宋体" w:hAnsi="宋体" w:cs="仿宋_GB2312"/>
                <w:color w:val="000000"/>
                <w:sz w:val="24"/>
              </w:rPr>
              <w:t>优惠及其它：</w:t>
            </w:r>
          </w:p>
        </w:tc>
      </w:tr>
    </w:tbl>
    <w:p w14:paraId="476C395E">
      <w:pPr>
        <w:spacing w:line="360" w:lineRule="auto"/>
        <w:contextualSpacing/>
        <w:jc w:val="left"/>
        <w:rPr>
          <w:rFonts w:hint="eastAsia" w:ascii="宋体" w:hAnsi="宋体" w:cs="仿宋_GB2312"/>
          <w:sz w:val="24"/>
        </w:rPr>
      </w:pPr>
      <w:r>
        <w:rPr>
          <w:rFonts w:hint="eastAsia" w:ascii="宋体" w:hAnsi="宋体" w:cs="仿宋_GB2312"/>
          <w:sz w:val="24"/>
        </w:rPr>
        <w:t xml:space="preserve">注: </w:t>
      </w:r>
    </w:p>
    <w:p w14:paraId="1DE1A537">
      <w:pPr>
        <w:spacing w:line="360" w:lineRule="auto"/>
        <w:ind w:firstLine="480" w:firstLineChars="200"/>
        <w:contextualSpacing/>
        <w:jc w:val="left"/>
        <w:rPr>
          <w:rFonts w:hint="eastAsia" w:ascii="宋体" w:hAnsi="宋体" w:cs="仿宋_GB2312"/>
          <w:sz w:val="24"/>
        </w:rPr>
      </w:pPr>
      <w:r>
        <w:rPr>
          <w:rFonts w:hint="eastAsia" w:ascii="宋体" w:hAnsi="宋体" w:cs="仿宋_GB2312"/>
          <w:sz w:val="24"/>
        </w:rPr>
        <w:t>1</w:t>
      </w:r>
      <w:r>
        <w:rPr>
          <w:rFonts w:ascii="宋体" w:hAnsi="宋体" w:cs="仿宋_GB2312"/>
          <w:sz w:val="24"/>
        </w:rPr>
        <w:t>.</w:t>
      </w:r>
      <w:r>
        <w:rPr>
          <w:rFonts w:hint="eastAsia" w:ascii="宋体" w:hAnsi="宋体"/>
          <w:sz w:val="24"/>
        </w:rPr>
        <w:t xml:space="preserve"> 以上竞标报价表中“货物名称、数量及单位、规格型号</w:t>
      </w:r>
      <w:r>
        <w:rPr>
          <w:rFonts w:hint="eastAsia" w:ascii="宋体" w:hAnsi="宋体"/>
          <w:sz w:val="24"/>
          <w:lang w:eastAsia="zh-CN"/>
        </w:rPr>
        <w:t>、品牌、生产厂家</w:t>
      </w:r>
      <w:r>
        <w:rPr>
          <w:rFonts w:hint="eastAsia" w:ascii="宋体" w:hAnsi="宋体"/>
          <w:sz w:val="24"/>
        </w:rPr>
        <w:t>”必须如实填写完整，填写有缺漏</w:t>
      </w:r>
      <w:r>
        <w:rPr>
          <w:rFonts w:hint="eastAsia" w:ascii="宋体" w:hAnsi="宋体"/>
          <w:bCs/>
          <w:sz w:val="24"/>
        </w:rPr>
        <w:t>的，</w:t>
      </w:r>
      <w:r>
        <w:rPr>
          <w:rFonts w:hint="eastAsia" w:ascii="宋体" w:hAnsi="宋体" w:cs="仿宋_GB2312"/>
          <w:b/>
          <w:sz w:val="24"/>
        </w:rPr>
        <w:t>其响应文件按无效处理</w:t>
      </w:r>
      <w:r>
        <w:rPr>
          <w:rFonts w:hint="eastAsia" w:ascii="宋体" w:hAnsi="宋体"/>
          <w:b/>
          <w:sz w:val="24"/>
        </w:rPr>
        <w:t>。</w:t>
      </w:r>
    </w:p>
    <w:p w14:paraId="748BEF31">
      <w:pPr>
        <w:spacing w:line="360" w:lineRule="auto"/>
        <w:ind w:firstLine="480" w:firstLineChars="200"/>
        <w:contextualSpacing/>
        <w:jc w:val="left"/>
        <w:rPr>
          <w:rFonts w:hint="eastAsia" w:ascii="宋体" w:hAnsi="宋体" w:cs="仿宋_GB2312"/>
          <w:sz w:val="24"/>
        </w:rPr>
      </w:pPr>
      <w:r>
        <w:rPr>
          <w:rFonts w:ascii="宋体" w:hAnsi="宋体" w:cs="仿宋_GB2312"/>
          <w:sz w:val="24"/>
        </w:rPr>
        <w:t>2</w:t>
      </w:r>
      <w:r>
        <w:rPr>
          <w:rFonts w:hint="eastAsia" w:ascii="宋体" w:hAnsi="宋体" w:cs="仿宋_GB2312"/>
          <w:sz w:val="24"/>
        </w:rPr>
        <w:t>.供应商的报价表必须加盖供应商电子签章并由法定代表人或者委托代理人签字或者电子签名，</w:t>
      </w:r>
      <w:r>
        <w:rPr>
          <w:rFonts w:hint="eastAsia" w:ascii="宋体" w:hAnsi="宋体" w:cs="仿宋_GB2312"/>
          <w:b/>
          <w:sz w:val="24"/>
        </w:rPr>
        <w:t>否则其响应文件按无效处理</w:t>
      </w:r>
      <w:r>
        <w:rPr>
          <w:rFonts w:hint="eastAsia" w:ascii="宋体" w:hAnsi="宋体" w:cs="仿宋_GB2312"/>
          <w:sz w:val="24"/>
        </w:rPr>
        <w:t>。</w:t>
      </w:r>
    </w:p>
    <w:p w14:paraId="37641E31">
      <w:pPr>
        <w:spacing w:line="360" w:lineRule="auto"/>
        <w:ind w:firstLine="480" w:firstLineChars="200"/>
        <w:contextualSpacing/>
        <w:jc w:val="left"/>
        <w:rPr>
          <w:rFonts w:hint="eastAsia" w:ascii="宋体" w:hAnsi="宋体" w:cs="仿宋_GB2312"/>
          <w:b/>
          <w:sz w:val="24"/>
        </w:rPr>
      </w:pPr>
      <w:r>
        <w:rPr>
          <w:rFonts w:ascii="宋体" w:hAnsi="宋体" w:cs="仿宋_GB2312"/>
          <w:bCs/>
          <w:sz w:val="24"/>
        </w:rPr>
        <w:t>3</w:t>
      </w:r>
      <w:r>
        <w:rPr>
          <w:rFonts w:hint="eastAsia" w:ascii="宋体" w:hAnsi="宋体" w:cs="仿宋_GB2312"/>
          <w:bCs/>
          <w:sz w:val="24"/>
        </w:rPr>
        <w:t>.</w:t>
      </w:r>
      <w:r>
        <w:rPr>
          <w:rFonts w:hint="eastAsia" w:ascii="宋体" w:hAnsi="宋体" w:cs="仿宋_GB2312"/>
          <w:sz w:val="24"/>
        </w:rPr>
        <w:t>报价一经涂改，应在涂改处加盖供应商公章或者加盖电子签章或者由法定代表人或者授权委托人签字</w:t>
      </w:r>
      <w:r>
        <w:rPr>
          <w:rFonts w:hint="eastAsia" w:ascii="宋体" w:hAnsi="宋体"/>
          <w:sz w:val="24"/>
        </w:rPr>
        <w:t>（或者电子签名）</w:t>
      </w:r>
      <w:r>
        <w:rPr>
          <w:rFonts w:hint="eastAsia" w:ascii="宋体" w:hAnsi="宋体" w:cs="仿宋_GB2312"/>
          <w:b/>
          <w:sz w:val="24"/>
        </w:rPr>
        <w:t>，否则其响应文件按无效处理。</w:t>
      </w:r>
    </w:p>
    <w:p w14:paraId="16E70D27">
      <w:pPr>
        <w:spacing w:line="360" w:lineRule="auto"/>
        <w:ind w:firstLine="480" w:firstLineChars="200"/>
        <w:contextualSpacing/>
        <w:jc w:val="left"/>
        <w:rPr>
          <w:rFonts w:hint="eastAsia" w:ascii="宋体" w:hAnsi="宋体" w:cs="仿宋_GB2312"/>
          <w:szCs w:val="21"/>
        </w:rPr>
      </w:pPr>
      <w:r>
        <w:rPr>
          <w:rFonts w:ascii="宋体" w:hAnsi="宋体" w:cs="仿宋_GB2312"/>
          <w:sz w:val="24"/>
        </w:rPr>
        <w:t>4</w:t>
      </w:r>
      <w:r>
        <w:rPr>
          <w:rFonts w:hint="eastAsia" w:ascii="宋体" w:hAnsi="宋体" w:cs="仿宋_GB2312"/>
          <w:sz w:val="24"/>
        </w:rPr>
        <w:t>.谈判文件中列明采购专用耗材的，应按谈判文件规定的耗材量或者按耗材的常规试用量提供报价。</w:t>
      </w:r>
    </w:p>
    <w:p w14:paraId="38F0525B">
      <w:pPr>
        <w:autoSpaceDE w:val="0"/>
        <w:autoSpaceDN w:val="0"/>
        <w:spacing w:line="360" w:lineRule="auto"/>
        <w:ind w:left="4335" w:leftChars="1950" w:hanging="240" w:hangingChars="100"/>
        <w:rPr>
          <w:rFonts w:hint="eastAsia" w:ascii="宋体" w:hAnsi="宋体" w:cs="宋体"/>
          <w:color w:val="000000"/>
          <w:kern w:val="0"/>
          <w:sz w:val="24"/>
        </w:rPr>
      </w:pPr>
    </w:p>
    <w:p w14:paraId="769447F2">
      <w:pPr>
        <w:autoSpaceDE w:val="0"/>
        <w:autoSpaceDN w:val="0"/>
        <w:spacing w:line="360" w:lineRule="auto"/>
        <w:ind w:left="4335" w:leftChars="1950" w:hanging="240" w:hangingChars="100"/>
        <w:rPr>
          <w:rFonts w:hint="eastAsia" w:ascii="宋体" w:hAnsi="宋体" w:cs="宋体"/>
          <w:color w:val="000000"/>
          <w:kern w:val="0"/>
          <w:sz w:val="24"/>
        </w:rPr>
      </w:pPr>
    </w:p>
    <w:p w14:paraId="3198F56B">
      <w:pPr>
        <w:autoSpaceDE w:val="0"/>
        <w:autoSpaceDN w:val="0"/>
        <w:spacing w:line="360" w:lineRule="auto"/>
        <w:ind w:left="4335" w:leftChars="1950" w:hanging="240" w:hangingChars="100"/>
        <w:rPr>
          <w:rFonts w:hint="eastAsia" w:ascii="宋体" w:hAnsi="宋体" w:cs="宋体"/>
          <w:color w:val="000000"/>
          <w:kern w:val="0"/>
          <w:sz w:val="24"/>
        </w:rPr>
      </w:pPr>
      <w:r>
        <w:rPr>
          <w:rFonts w:hint="eastAsia" w:ascii="宋体" w:hAnsi="宋体" w:cs="宋体"/>
          <w:color w:val="000000"/>
          <w:kern w:val="0"/>
          <w:sz w:val="24"/>
        </w:rPr>
        <w:t>供应商名称（电子签章）：</w:t>
      </w:r>
    </w:p>
    <w:p w14:paraId="540BCFEE">
      <w:pPr>
        <w:autoSpaceDE w:val="0"/>
        <w:autoSpaceDN w:val="0"/>
        <w:spacing w:line="360" w:lineRule="auto"/>
        <w:ind w:firstLine="4080" w:firstLineChars="1700"/>
        <w:rPr>
          <w:rFonts w:hint="eastAsia" w:ascii="宋体" w:hAnsi="宋体" w:cs="宋体"/>
          <w:color w:val="000000"/>
          <w:kern w:val="0"/>
          <w:sz w:val="24"/>
          <w:lang w:val="zh-CN"/>
        </w:rPr>
      </w:pPr>
      <w:r>
        <w:rPr>
          <w:rFonts w:hint="eastAsia" w:ascii="宋体" w:hAnsi="宋体" w:cs="宋体"/>
          <w:color w:val="000000"/>
          <w:kern w:val="0"/>
          <w:sz w:val="24"/>
          <w:lang w:val="zh-CN"/>
        </w:rPr>
        <w:t>日期：  年  月   日</w:t>
      </w:r>
    </w:p>
    <w:p w14:paraId="6434B0EE">
      <w:pPr>
        <w:spacing w:line="360" w:lineRule="auto"/>
        <w:ind w:right="-817" w:rightChars="-389"/>
        <w:contextualSpacing/>
        <w:rPr>
          <w:rFonts w:hint="eastAsia" w:ascii="宋体" w:hAnsi="宋体"/>
          <w:b/>
          <w:sz w:val="32"/>
          <w:szCs w:val="32"/>
        </w:rPr>
      </w:pPr>
      <w:r>
        <w:rPr>
          <w:rFonts w:ascii="宋体" w:hAnsi="宋体" w:cs="仿宋_GB2312"/>
          <w:sz w:val="24"/>
        </w:rPr>
        <w:br w:type="page"/>
      </w:r>
      <w:r>
        <w:rPr>
          <w:rFonts w:hint="eastAsia" w:ascii="宋体" w:hAnsi="宋体"/>
          <w:b/>
          <w:bCs/>
          <w:sz w:val="32"/>
          <w:szCs w:val="32"/>
        </w:rPr>
        <w:t>三、</w:t>
      </w:r>
      <w:r>
        <w:rPr>
          <w:rFonts w:hint="eastAsia" w:ascii="宋体" w:hAnsi="宋体"/>
          <w:b/>
          <w:sz w:val="32"/>
          <w:szCs w:val="32"/>
        </w:rPr>
        <w:t xml:space="preserve">商务技术文件格式 </w:t>
      </w:r>
    </w:p>
    <w:p w14:paraId="547481A3">
      <w:pPr>
        <w:snapToGrid w:val="0"/>
        <w:spacing w:before="120" w:beforeLines="50" w:after="50" w:line="360" w:lineRule="auto"/>
        <w:jc w:val="left"/>
        <w:rPr>
          <w:rFonts w:hint="eastAsia" w:ascii="宋体" w:hAnsi="宋体"/>
          <w:b/>
          <w:sz w:val="32"/>
          <w:szCs w:val="32"/>
        </w:rPr>
      </w:pPr>
      <w:r>
        <w:rPr>
          <w:rFonts w:hint="eastAsia" w:ascii="宋体" w:hAnsi="宋体"/>
          <w:b/>
          <w:sz w:val="32"/>
          <w:szCs w:val="32"/>
        </w:rPr>
        <w:t>1.商务技术文件封面格式</w:t>
      </w:r>
    </w:p>
    <w:p w14:paraId="149E28A1">
      <w:pPr>
        <w:snapToGrid w:val="0"/>
        <w:spacing w:before="120" w:beforeLines="50" w:after="50"/>
        <w:rPr>
          <w:rFonts w:hint="eastAsia" w:ascii="宋体" w:hAnsi="宋体"/>
          <w:bCs/>
          <w:sz w:val="32"/>
          <w:szCs w:val="20"/>
        </w:rPr>
      </w:pPr>
      <w:r>
        <w:rPr>
          <w:rFonts w:hint="eastAsia" w:ascii="宋体" w:hAnsi="宋体"/>
          <w:sz w:val="24"/>
        </w:rPr>
        <w:t xml:space="preserve">                                                    </w:t>
      </w:r>
    </w:p>
    <w:p w14:paraId="128956DF">
      <w:pPr>
        <w:snapToGrid w:val="0"/>
        <w:spacing w:before="120" w:beforeLines="50" w:after="50"/>
        <w:jc w:val="center"/>
        <w:rPr>
          <w:rFonts w:hint="eastAsia" w:ascii="宋体" w:hAnsi="宋体"/>
          <w:sz w:val="24"/>
          <w:szCs w:val="20"/>
        </w:rPr>
      </w:pPr>
      <w:r>
        <w:rPr>
          <w:rFonts w:hint="eastAsia" w:ascii="宋体" w:hAnsi="宋体"/>
          <w:sz w:val="44"/>
          <w:szCs w:val="44"/>
        </w:rPr>
        <w:t>电 子 响 应 文 件</w:t>
      </w:r>
    </w:p>
    <w:p w14:paraId="39D66D32">
      <w:pPr>
        <w:snapToGrid w:val="0"/>
        <w:spacing w:before="120" w:beforeLines="50" w:after="50"/>
        <w:rPr>
          <w:rFonts w:hint="eastAsia" w:ascii="宋体" w:hAnsi="宋体"/>
          <w:sz w:val="24"/>
          <w:szCs w:val="20"/>
        </w:rPr>
      </w:pPr>
    </w:p>
    <w:p w14:paraId="7227FC3D">
      <w:pPr>
        <w:snapToGrid w:val="0"/>
        <w:spacing w:before="120" w:beforeLines="50" w:after="50"/>
        <w:rPr>
          <w:rFonts w:hint="eastAsia" w:ascii="宋体" w:hAnsi="宋体"/>
          <w:sz w:val="24"/>
          <w:szCs w:val="20"/>
        </w:rPr>
      </w:pPr>
    </w:p>
    <w:p w14:paraId="0304B1A4">
      <w:pPr>
        <w:snapToGrid w:val="0"/>
        <w:spacing w:before="120" w:beforeLines="50" w:after="50"/>
        <w:jc w:val="center"/>
        <w:rPr>
          <w:rFonts w:hint="eastAsia" w:ascii="方正小标宋简体" w:hAnsi="方正小标宋简体" w:eastAsia="方正小标宋简体" w:cs="方正小标宋简体"/>
          <w:bCs/>
          <w:sz w:val="48"/>
          <w:szCs w:val="48"/>
        </w:rPr>
      </w:pPr>
      <w:r>
        <w:rPr>
          <w:rFonts w:hint="eastAsia" w:ascii="方正小标宋简体" w:hAnsi="方正小标宋简体" w:eastAsia="方正小标宋简体" w:cs="方正小标宋简体"/>
          <w:bCs/>
          <w:sz w:val="48"/>
          <w:szCs w:val="48"/>
        </w:rPr>
        <w:t>商  务  技  术  文  件</w:t>
      </w:r>
    </w:p>
    <w:p w14:paraId="661F8F42">
      <w:pPr>
        <w:snapToGrid w:val="0"/>
        <w:spacing w:before="120" w:beforeLines="50" w:after="50"/>
        <w:rPr>
          <w:rFonts w:hint="eastAsia" w:ascii="宋体" w:hAnsi="宋体"/>
          <w:bCs/>
          <w:sz w:val="24"/>
          <w:szCs w:val="20"/>
        </w:rPr>
      </w:pPr>
    </w:p>
    <w:p w14:paraId="63C7B709">
      <w:pPr>
        <w:snapToGrid w:val="0"/>
        <w:spacing w:before="120" w:beforeLines="50" w:after="50"/>
        <w:rPr>
          <w:rFonts w:hint="eastAsia" w:ascii="宋体" w:hAnsi="宋体"/>
          <w:bCs/>
          <w:sz w:val="24"/>
          <w:szCs w:val="20"/>
        </w:rPr>
      </w:pPr>
    </w:p>
    <w:p w14:paraId="7FC5BFDD">
      <w:pPr>
        <w:snapToGrid w:val="0"/>
        <w:spacing w:before="120" w:beforeLines="50" w:after="50"/>
        <w:rPr>
          <w:rFonts w:hint="eastAsia" w:ascii="宋体" w:hAnsi="宋体"/>
          <w:bCs/>
          <w:sz w:val="24"/>
          <w:szCs w:val="20"/>
        </w:rPr>
      </w:pPr>
    </w:p>
    <w:p w14:paraId="605E7B31">
      <w:pPr>
        <w:snapToGrid w:val="0"/>
        <w:spacing w:before="120" w:beforeLines="50" w:after="50"/>
        <w:rPr>
          <w:rFonts w:hint="eastAsia" w:ascii="宋体" w:hAnsi="宋体"/>
          <w:bCs/>
          <w:sz w:val="24"/>
          <w:szCs w:val="20"/>
        </w:rPr>
      </w:pPr>
    </w:p>
    <w:p w14:paraId="23A8F506">
      <w:pPr>
        <w:snapToGrid w:val="0"/>
        <w:spacing w:before="120" w:beforeLines="50" w:after="50"/>
        <w:rPr>
          <w:rFonts w:hint="eastAsia" w:ascii="宋体" w:hAnsi="宋体"/>
          <w:bCs/>
          <w:sz w:val="24"/>
          <w:szCs w:val="20"/>
        </w:rPr>
      </w:pPr>
    </w:p>
    <w:p w14:paraId="23CCA213">
      <w:pPr>
        <w:snapToGrid w:val="0"/>
        <w:spacing w:before="120" w:beforeLines="50" w:after="50"/>
        <w:ind w:firstLine="640" w:firstLineChars="200"/>
        <w:rPr>
          <w:rFonts w:hint="eastAsia" w:ascii="宋体" w:hAnsi="宋体" w:cs="仿宋_GB2312"/>
          <w:bCs/>
          <w:sz w:val="32"/>
          <w:szCs w:val="32"/>
        </w:rPr>
      </w:pPr>
      <w:r>
        <w:rPr>
          <w:rFonts w:hint="eastAsia" w:ascii="宋体" w:hAnsi="宋体" w:cs="仿宋_GB2312"/>
          <w:bCs/>
          <w:sz w:val="32"/>
          <w:szCs w:val="32"/>
        </w:rPr>
        <w:t>项目名称：</w:t>
      </w:r>
    </w:p>
    <w:p w14:paraId="7C7283E5">
      <w:pPr>
        <w:snapToGrid w:val="0"/>
        <w:spacing w:before="120" w:beforeLines="50" w:after="50"/>
        <w:ind w:firstLine="720" w:firstLineChars="225"/>
        <w:rPr>
          <w:rFonts w:hint="eastAsia" w:ascii="宋体" w:hAnsi="宋体" w:cs="仿宋_GB2312"/>
          <w:bCs/>
          <w:sz w:val="32"/>
          <w:szCs w:val="32"/>
        </w:rPr>
      </w:pPr>
    </w:p>
    <w:p w14:paraId="503AF5F4">
      <w:pPr>
        <w:snapToGrid w:val="0"/>
        <w:spacing w:before="120" w:beforeLines="50" w:after="50"/>
        <w:ind w:firstLine="640" w:firstLineChars="200"/>
        <w:rPr>
          <w:rFonts w:hint="eastAsia" w:ascii="宋体" w:hAnsi="宋体" w:cs="仿宋_GB2312"/>
          <w:bCs/>
          <w:sz w:val="32"/>
          <w:szCs w:val="32"/>
        </w:rPr>
      </w:pPr>
      <w:r>
        <w:rPr>
          <w:rFonts w:hint="eastAsia" w:ascii="宋体" w:hAnsi="宋体" w:cs="仿宋_GB2312"/>
          <w:bCs/>
          <w:sz w:val="32"/>
          <w:szCs w:val="32"/>
        </w:rPr>
        <w:t>项目编号：</w:t>
      </w:r>
    </w:p>
    <w:p w14:paraId="00FA84F6">
      <w:pPr>
        <w:snapToGrid w:val="0"/>
        <w:spacing w:before="120" w:beforeLines="50" w:after="50"/>
        <w:ind w:firstLine="720" w:firstLineChars="225"/>
        <w:rPr>
          <w:rFonts w:hint="eastAsia" w:ascii="宋体" w:hAnsi="宋体" w:cs="仿宋_GB2312"/>
          <w:bCs/>
          <w:sz w:val="32"/>
          <w:szCs w:val="32"/>
        </w:rPr>
      </w:pPr>
      <w:r>
        <w:rPr>
          <w:rFonts w:hint="eastAsia" w:ascii="宋体" w:hAnsi="宋体" w:cs="仿宋_GB2312"/>
          <w:bCs/>
          <w:sz w:val="32"/>
          <w:szCs w:val="32"/>
        </w:rPr>
        <w:t xml:space="preserve"> </w:t>
      </w:r>
    </w:p>
    <w:p w14:paraId="25CB7363">
      <w:pPr>
        <w:pStyle w:val="7"/>
        <w:snapToGrid w:val="0"/>
        <w:spacing w:before="50" w:after="50"/>
        <w:ind w:firstLine="640" w:firstLineChars="200"/>
        <w:rPr>
          <w:rFonts w:hint="eastAsia" w:ascii="宋体" w:hAnsi="宋体" w:cs="仿宋_GB2312"/>
          <w:bCs/>
          <w:sz w:val="32"/>
          <w:szCs w:val="32"/>
        </w:rPr>
      </w:pPr>
      <w:r>
        <w:rPr>
          <w:rFonts w:hint="eastAsia" w:ascii="宋体" w:hAnsi="宋体" w:cs="仿宋_GB2312"/>
          <w:bCs/>
          <w:sz w:val="32"/>
          <w:szCs w:val="32"/>
        </w:rPr>
        <w:t>供应商名称：</w:t>
      </w:r>
    </w:p>
    <w:p w14:paraId="09166247">
      <w:pPr>
        <w:pStyle w:val="7"/>
        <w:snapToGrid w:val="0"/>
        <w:spacing w:before="50" w:after="50"/>
        <w:ind w:firstLine="640" w:firstLineChars="200"/>
        <w:rPr>
          <w:rFonts w:hint="eastAsia" w:ascii="宋体" w:hAnsi="宋体" w:cs="仿宋_GB2312"/>
          <w:bCs/>
          <w:sz w:val="32"/>
          <w:szCs w:val="32"/>
        </w:rPr>
      </w:pPr>
    </w:p>
    <w:p w14:paraId="3AC4FD72">
      <w:pPr>
        <w:pStyle w:val="7"/>
        <w:snapToGrid w:val="0"/>
        <w:spacing w:before="50" w:after="50"/>
        <w:ind w:firstLine="720" w:firstLineChars="225"/>
        <w:rPr>
          <w:rFonts w:hint="eastAsia" w:ascii="宋体" w:hAnsi="宋体" w:cs="仿宋_GB2312"/>
          <w:bCs/>
          <w:sz w:val="32"/>
          <w:szCs w:val="32"/>
        </w:rPr>
      </w:pPr>
    </w:p>
    <w:p w14:paraId="323BD0B9">
      <w:pPr>
        <w:pStyle w:val="7"/>
        <w:snapToGrid w:val="0"/>
        <w:spacing w:before="50" w:after="50"/>
        <w:ind w:firstLine="0"/>
        <w:rPr>
          <w:rFonts w:hint="eastAsia" w:ascii="宋体" w:hAnsi="宋体" w:cs="仿宋_GB2312"/>
          <w:bCs/>
          <w:sz w:val="32"/>
          <w:szCs w:val="32"/>
        </w:rPr>
      </w:pPr>
    </w:p>
    <w:p w14:paraId="3BC32452">
      <w:pPr>
        <w:pStyle w:val="7"/>
        <w:snapToGrid w:val="0"/>
        <w:spacing w:before="50" w:after="50"/>
        <w:ind w:firstLine="1280" w:firstLineChars="400"/>
        <w:rPr>
          <w:rFonts w:hint="eastAsia" w:ascii="宋体" w:hAnsi="宋体" w:cs="仿宋_GB2312"/>
          <w:bCs/>
          <w:sz w:val="32"/>
          <w:szCs w:val="32"/>
        </w:rPr>
      </w:pPr>
    </w:p>
    <w:p w14:paraId="485532D5">
      <w:pPr>
        <w:snapToGrid w:val="0"/>
        <w:spacing w:before="120" w:beforeLines="50" w:after="50"/>
        <w:jc w:val="center"/>
        <w:rPr>
          <w:rFonts w:hint="eastAsia" w:ascii="宋体" w:hAnsi="宋体" w:cs="仿宋_GB2312"/>
          <w:sz w:val="32"/>
          <w:szCs w:val="32"/>
        </w:rPr>
      </w:pPr>
      <w:r>
        <w:rPr>
          <w:rFonts w:hint="eastAsia" w:ascii="宋体" w:hAnsi="宋体" w:cs="仿宋_GB2312"/>
          <w:sz w:val="32"/>
          <w:szCs w:val="32"/>
        </w:rPr>
        <w:t>年    月    日</w:t>
      </w:r>
    </w:p>
    <w:p w14:paraId="078BF571">
      <w:pPr>
        <w:snapToGrid w:val="0"/>
        <w:spacing w:before="120" w:beforeLines="50" w:after="50" w:line="360" w:lineRule="auto"/>
        <w:ind w:left="142"/>
        <w:jc w:val="left"/>
        <w:rPr>
          <w:rFonts w:hint="eastAsia" w:ascii="宋体" w:hAnsi="宋体"/>
          <w:b/>
          <w:bCs/>
          <w:sz w:val="24"/>
        </w:rPr>
      </w:pPr>
      <w:r>
        <w:rPr>
          <w:rFonts w:ascii="宋体" w:hAnsi="宋体"/>
          <w:sz w:val="24"/>
        </w:rPr>
        <w:br w:type="page"/>
      </w:r>
      <w:r>
        <w:rPr>
          <w:rFonts w:hint="eastAsia" w:ascii="宋体" w:hAnsi="宋体"/>
          <w:b/>
          <w:bCs/>
          <w:sz w:val="32"/>
          <w:szCs w:val="32"/>
        </w:rPr>
        <w:t>2.商务技术文件目录</w:t>
      </w:r>
    </w:p>
    <w:p w14:paraId="1F539E49">
      <w:pPr>
        <w:snapToGrid w:val="0"/>
        <w:spacing w:before="120" w:beforeLines="50" w:after="50" w:line="360" w:lineRule="auto"/>
        <w:ind w:firstLine="640" w:firstLineChars="200"/>
        <w:rPr>
          <w:rFonts w:hint="eastAsia" w:ascii="宋体" w:hAnsi="宋体"/>
          <w:sz w:val="32"/>
          <w:szCs w:val="32"/>
        </w:rPr>
      </w:pPr>
      <w:r>
        <w:rPr>
          <w:rFonts w:hint="eastAsia" w:ascii="宋体" w:hAnsi="宋体"/>
          <w:sz w:val="32"/>
          <w:szCs w:val="32"/>
        </w:rPr>
        <w:t>根据谈判文件规定及供应商提供的材料自行编写目录（部分格式后附）。</w:t>
      </w:r>
    </w:p>
    <w:p w14:paraId="65EC0CC4">
      <w:pPr>
        <w:spacing w:line="400" w:lineRule="exact"/>
        <w:rPr>
          <w:rFonts w:hint="eastAsia" w:ascii="仿宋_GB2312" w:hAnsi="仿宋_GB2312" w:eastAsia="仿宋_GB2312" w:cs="仿宋_GB2312"/>
          <w:sz w:val="32"/>
          <w:szCs w:val="32"/>
        </w:rPr>
      </w:pPr>
    </w:p>
    <w:p w14:paraId="2BB2A886">
      <w:pPr>
        <w:spacing w:line="520" w:lineRule="exact"/>
        <w:jc w:val="center"/>
        <w:rPr>
          <w:rFonts w:hint="eastAsia" w:ascii="仿宋_GB2312" w:hAnsi="仿宋_GB2312" w:eastAsia="仿宋_GB2312" w:cs="仿宋_GB2312"/>
          <w:sz w:val="32"/>
          <w:szCs w:val="32"/>
        </w:rPr>
      </w:pPr>
      <w:r>
        <w:rPr>
          <w:rFonts w:hint="eastAsia" w:ascii="方正小标宋简体" w:hAnsi="方正小标宋简体" w:eastAsia="方正小标宋简体" w:cs="方正小标宋简体"/>
          <w:sz w:val="44"/>
          <w:szCs w:val="44"/>
        </w:rPr>
        <w:br w:type="page"/>
      </w:r>
      <w:r>
        <w:rPr>
          <w:rFonts w:hint="eastAsia" w:ascii="方正小标宋简体" w:hAnsi="方正小标宋简体" w:eastAsia="方正小标宋简体" w:cs="方正小标宋简体"/>
          <w:sz w:val="44"/>
          <w:szCs w:val="44"/>
        </w:rPr>
        <w:t>无串通竞标行为的承诺函</w:t>
      </w:r>
    </w:p>
    <w:p w14:paraId="7FF7F70A">
      <w:pPr>
        <w:spacing w:line="360" w:lineRule="auto"/>
        <w:ind w:firstLine="640" w:firstLineChars="200"/>
        <w:contextualSpacing/>
        <w:rPr>
          <w:rFonts w:hint="eastAsia" w:ascii="仿宋_GB2312" w:hAnsi="仿宋_GB2312" w:eastAsia="仿宋_GB2312" w:cs="仿宋_GB2312"/>
          <w:sz w:val="32"/>
          <w:szCs w:val="32"/>
        </w:rPr>
      </w:pPr>
    </w:p>
    <w:p w14:paraId="66CD3D15">
      <w:pPr>
        <w:spacing w:line="360" w:lineRule="auto"/>
        <w:ind w:firstLine="482" w:firstLineChars="200"/>
        <w:contextualSpacing/>
        <w:rPr>
          <w:rFonts w:hint="eastAsia" w:ascii="宋体" w:hAnsi="宋体" w:cs="仿宋_GB2312"/>
          <w:b/>
          <w:bCs/>
          <w:sz w:val="24"/>
        </w:rPr>
      </w:pPr>
      <w:r>
        <w:rPr>
          <w:rFonts w:hint="eastAsia" w:ascii="宋体" w:hAnsi="宋体" w:cs="仿宋_GB2312"/>
          <w:b/>
          <w:bCs/>
          <w:sz w:val="24"/>
        </w:rPr>
        <w:t>一、我方承诺无下列相互串通竞标的情形：</w:t>
      </w:r>
    </w:p>
    <w:p w14:paraId="6AAD319B">
      <w:pPr>
        <w:spacing w:line="360" w:lineRule="auto"/>
        <w:ind w:firstLine="480" w:firstLineChars="200"/>
        <w:contextualSpacing/>
        <w:rPr>
          <w:rFonts w:hint="eastAsia" w:ascii="宋体" w:hAnsi="宋体" w:cs="仿宋_GB2312"/>
          <w:sz w:val="24"/>
        </w:rPr>
      </w:pPr>
      <w:r>
        <w:rPr>
          <w:rFonts w:hint="eastAsia" w:ascii="宋体" w:hAnsi="宋体" w:cs="仿宋_GB2312"/>
          <w:sz w:val="24"/>
        </w:rPr>
        <w:t>1.不同供应商的响应文件由同一单位或者个人编制；</w:t>
      </w:r>
    </w:p>
    <w:p w14:paraId="1155057E">
      <w:pPr>
        <w:spacing w:line="360" w:lineRule="auto"/>
        <w:ind w:firstLine="480" w:firstLineChars="200"/>
        <w:contextualSpacing/>
        <w:rPr>
          <w:rFonts w:hint="eastAsia" w:ascii="宋体" w:hAnsi="宋体" w:cs="仿宋_GB2312"/>
          <w:sz w:val="24"/>
        </w:rPr>
      </w:pPr>
      <w:r>
        <w:rPr>
          <w:rFonts w:hint="eastAsia" w:ascii="宋体" w:hAnsi="宋体" w:cs="仿宋_GB2312"/>
          <w:sz w:val="24"/>
        </w:rPr>
        <w:t>2.不同供应商委托同一单位或者个人办理竞标事宜；</w:t>
      </w:r>
    </w:p>
    <w:p w14:paraId="05C061C2">
      <w:pPr>
        <w:spacing w:line="360" w:lineRule="auto"/>
        <w:ind w:firstLine="480" w:firstLineChars="200"/>
        <w:contextualSpacing/>
        <w:rPr>
          <w:rFonts w:hint="eastAsia" w:ascii="宋体" w:hAnsi="宋体" w:cs="仿宋_GB2312"/>
          <w:sz w:val="24"/>
        </w:rPr>
      </w:pPr>
      <w:r>
        <w:rPr>
          <w:rFonts w:hint="eastAsia" w:ascii="宋体" w:hAnsi="宋体" w:cs="仿宋_GB2312"/>
          <w:sz w:val="24"/>
        </w:rPr>
        <w:t>3.不同的供应商的响应文件载明的项目管理员为同一个人；</w:t>
      </w:r>
    </w:p>
    <w:p w14:paraId="4072FEAF">
      <w:pPr>
        <w:spacing w:line="360" w:lineRule="auto"/>
        <w:ind w:firstLine="480" w:firstLineChars="200"/>
        <w:contextualSpacing/>
        <w:rPr>
          <w:rFonts w:hint="eastAsia" w:ascii="宋体" w:hAnsi="宋体" w:cs="仿宋_GB2312"/>
          <w:sz w:val="24"/>
        </w:rPr>
      </w:pPr>
      <w:r>
        <w:rPr>
          <w:rFonts w:hint="eastAsia" w:ascii="宋体" w:hAnsi="宋体" w:cs="仿宋_GB2312"/>
          <w:sz w:val="24"/>
        </w:rPr>
        <w:t>4.不</w:t>
      </w:r>
      <w:r>
        <w:rPr>
          <w:rFonts w:hint="eastAsia" w:ascii="宋体" w:hAnsi="宋体" w:cs="仿宋_GB2312"/>
          <w:spacing w:val="-6"/>
          <w:sz w:val="24"/>
        </w:rPr>
        <w:t>同供应商的响应文件异常一致或者竞标报价呈规律性差异；</w:t>
      </w:r>
    </w:p>
    <w:p w14:paraId="16A143B0">
      <w:pPr>
        <w:spacing w:line="360" w:lineRule="auto"/>
        <w:ind w:firstLine="480" w:firstLineChars="200"/>
        <w:contextualSpacing/>
        <w:rPr>
          <w:rFonts w:hint="eastAsia" w:ascii="宋体" w:hAnsi="宋体" w:cs="仿宋_GB2312"/>
          <w:sz w:val="24"/>
        </w:rPr>
      </w:pPr>
      <w:r>
        <w:rPr>
          <w:rFonts w:hint="eastAsia" w:ascii="宋体" w:hAnsi="宋体" w:cs="仿宋_GB2312"/>
          <w:sz w:val="24"/>
        </w:rPr>
        <w:t>5.不同供应商的响应文件相互混装；</w:t>
      </w:r>
    </w:p>
    <w:p w14:paraId="43AE6EAF">
      <w:pPr>
        <w:spacing w:line="360" w:lineRule="auto"/>
        <w:ind w:firstLine="482" w:firstLineChars="200"/>
        <w:contextualSpacing/>
        <w:rPr>
          <w:rFonts w:hint="eastAsia" w:ascii="宋体" w:hAnsi="宋体" w:cs="仿宋_GB2312"/>
          <w:b/>
          <w:bCs/>
          <w:sz w:val="24"/>
        </w:rPr>
      </w:pPr>
      <w:r>
        <w:rPr>
          <w:rFonts w:hint="eastAsia" w:ascii="宋体" w:hAnsi="宋体" w:cs="仿宋_GB2312"/>
          <w:b/>
          <w:bCs/>
          <w:sz w:val="24"/>
        </w:rPr>
        <w:t>二、我方承诺无下列恶意串通的情形：</w:t>
      </w:r>
    </w:p>
    <w:p w14:paraId="15D90ED0">
      <w:pPr>
        <w:spacing w:line="360" w:lineRule="auto"/>
        <w:ind w:firstLine="480" w:firstLineChars="200"/>
        <w:contextualSpacing/>
        <w:rPr>
          <w:rFonts w:hint="eastAsia" w:ascii="宋体" w:hAnsi="宋体" w:cs="仿宋_GB2312"/>
          <w:sz w:val="24"/>
        </w:rPr>
      </w:pPr>
      <w:r>
        <w:rPr>
          <w:rFonts w:hint="eastAsia" w:ascii="宋体" w:hAnsi="宋体" w:cs="仿宋_GB2312"/>
          <w:sz w:val="24"/>
        </w:rPr>
        <w:t>1.供应商直接或者间接从采购人或者采购代理机构处获得其他供应商的相关信息并修改其响应文件；</w:t>
      </w:r>
    </w:p>
    <w:p w14:paraId="4319EFDE">
      <w:pPr>
        <w:spacing w:line="360" w:lineRule="auto"/>
        <w:ind w:firstLine="480" w:firstLineChars="200"/>
        <w:contextualSpacing/>
        <w:rPr>
          <w:rFonts w:hint="eastAsia" w:ascii="宋体" w:hAnsi="宋体" w:cs="仿宋_GB2312"/>
          <w:sz w:val="24"/>
        </w:rPr>
      </w:pPr>
      <w:r>
        <w:rPr>
          <w:rFonts w:hint="eastAsia" w:ascii="宋体" w:hAnsi="宋体" w:cs="仿宋_GB2312"/>
          <w:sz w:val="24"/>
        </w:rPr>
        <w:t>2.供应商按照采购人或者采购代理机构的授意撤换、修改响应文件；</w:t>
      </w:r>
    </w:p>
    <w:p w14:paraId="5513FB3A">
      <w:pPr>
        <w:spacing w:line="360" w:lineRule="auto"/>
        <w:ind w:firstLine="480" w:firstLineChars="200"/>
        <w:contextualSpacing/>
        <w:rPr>
          <w:rFonts w:hint="eastAsia" w:ascii="宋体" w:hAnsi="宋体" w:cs="仿宋_GB2312"/>
          <w:sz w:val="24"/>
        </w:rPr>
      </w:pPr>
      <w:r>
        <w:rPr>
          <w:rFonts w:hint="eastAsia" w:ascii="宋体" w:hAnsi="宋体" w:cs="仿宋_GB2312"/>
          <w:sz w:val="24"/>
        </w:rPr>
        <w:t>3.供</w:t>
      </w:r>
      <w:r>
        <w:rPr>
          <w:rFonts w:hint="eastAsia" w:ascii="宋体" w:hAnsi="宋体" w:cs="仿宋_GB2312"/>
          <w:spacing w:val="-6"/>
          <w:sz w:val="24"/>
        </w:rPr>
        <w:t>应商之间协商报价、技术方案等响应文件的实质性内容；</w:t>
      </w:r>
    </w:p>
    <w:p w14:paraId="7A99C944">
      <w:pPr>
        <w:spacing w:line="360" w:lineRule="auto"/>
        <w:ind w:firstLine="480" w:firstLineChars="200"/>
        <w:contextualSpacing/>
        <w:rPr>
          <w:rFonts w:hint="eastAsia" w:ascii="宋体" w:hAnsi="宋体" w:cs="仿宋_GB2312"/>
          <w:sz w:val="24"/>
        </w:rPr>
      </w:pPr>
      <w:r>
        <w:rPr>
          <w:rFonts w:hint="eastAsia" w:ascii="宋体" w:hAnsi="宋体" w:cs="仿宋_GB2312"/>
          <w:sz w:val="24"/>
        </w:rPr>
        <w:t>4.属于同一集团、协会、商会等组织成员的供应商按照该组织要求协同参加政府采购活动；</w:t>
      </w:r>
    </w:p>
    <w:p w14:paraId="78CB36CD">
      <w:pPr>
        <w:spacing w:line="360" w:lineRule="auto"/>
        <w:ind w:firstLine="480" w:firstLineChars="200"/>
        <w:contextualSpacing/>
        <w:rPr>
          <w:rFonts w:hint="eastAsia" w:ascii="宋体" w:hAnsi="宋体" w:cs="仿宋_GB2312"/>
          <w:sz w:val="24"/>
        </w:rPr>
      </w:pPr>
      <w:r>
        <w:rPr>
          <w:rFonts w:hint="eastAsia" w:ascii="宋体" w:hAnsi="宋体" w:cs="仿宋_GB2312"/>
          <w:sz w:val="24"/>
        </w:rPr>
        <w:t>5.供应商之间事先约定一致抬高或者压低竞标报价，或者在竞争性谈判项目中事先约定轮流以高价位或者低价位成交，或者事先约定由某一特定供应商成交，然后再参加竞标；</w:t>
      </w:r>
    </w:p>
    <w:p w14:paraId="2702557A">
      <w:pPr>
        <w:spacing w:line="360" w:lineRule="auto"/>
        <w:ind w:firstLine="480" w:firstLineChars="200"/>
        <w:contextualSpacing/>
        <w:rPr>
          <w:rFonts w:hint="eastAsia" w:ascii="宋体" w:hAnsi="宋体" w:cs="仿宋_GB2312"/>
          <w:sz w:val="24"/>
        </w:rPr>
      </w:pPr>
      <w:r>
        <w:rPr>
          <w:rFonts w:hint="eastAsia" w:ascii="宋体" w:hAnsi="宋体" w:cs="仿宋_GB2312"/>
          <w:sz w:val="24"/>
        </w:rPr>
        <w:t>6.供应商之间商定部分供应商放弃参加政府采购活动或者放弃成交；</w:t>
      </w:r>
    </w:p>
    <w:p w14:paraId="1F95FEAA">
      <w:pPr>
        <w:spacing w:line="360" w:lineRule="auto"/>
        <w:ind w:firstLine="480" w:firstLineChars="200"/>
        <w:contextualSpacing/>
        <w:rPr>
          <w:rFonts w:hint="eastAsia" w:ascii="宋体" w:hAnsi="宋体" w:cs="仿宋_GB2312"/>
          <w:sz w:val="24"/>
        </w:rPr>
      </w:pPr>
      <w:r>
        <w:rPr>
          <w:rFonts w:hint="eastAsia" w:ascii="宋体" w:hAnsi="宋体" w:cs="仿宋_GB2312"/>
          <w:sz w:val="24"/>
        </w:rPr>
        <w:t>7.供应商与采购人或者采购代理机构之间、供应商相互之间，为</w:t>
      </w:r>
      <w:r>
        <w:rPr>
          <w:rFonts w:hint="eastAsia" w:ascii="宋体" w:hAnsi="宋体" w:cs="仿宋_GB2312"/>
          <w:spacing w:val="-6"/>
          <w:sz w:val="24"/>
        </w:rPr>
        <w:t>谋求特定供应商成交或者排斥其他供应商的其他串通行为。</w:t>
      </w:r>
    </w:p>
    <w:p w14:paraId="58579553">
      <w:pPr>
        <w:spacing w:line="360" w:lineRule="auto"/>
        <w:ind w:firstLine="480" w:firstLineChars="200"/>
        <w:contextualSpacing/>
        <w:rPr>
          <w:rFonts w:hint="eastAsia" w:ascii="宋体" w:hAnsi="宋体" w:cs="仿宋_GB2312"/>
          <w:sz w:val="24"/>
        </w:rPr>
      </w:pPr>
    </w:p>
    <w:p w14:paraId="33087BA0">
      <w:pPr>
        <w:spacing w:line="360" w:lineRule="auto"/>
        <w:ind w:firstLine="482" w:firstLineChars="200"/>
        <w:contextualSpacing/>
        <w:rPr>
          <w:rFonts w:hint="eastAsia" w:ascii="宋体" w:hAnsi="宋体" w:cs="仿宋_GB2312"/>
          <w:b/>
          <w:bCs/>
          <w:sz w:val="24"/>
        </w:rPr>
      </w:pPr>
      <w:r>
        <w:rPr>
          <w:rFonts w:hint="eastAsia" w:ascii="宋体" w:hAnsi="宋体" w:cs="仿宋_GB2312"/>
          <w:b/>
          <w:bCs/>
          <w:sz w:val="24"/>
        </w:rPr>
        <w:t>以上情形一经核查属实，我方愿意承担一切后果，并不再寻求任何旨在减轻或者免除法律责任的辩解。</w:t>
      </w:r>
    </w:p>
    <w:p w14:paraId="677B873C">
      <w:pPr>
        <w:spacing w:line="360" w:lineRule="auto"/>
        <w:ind w:firstLine="480" w:firstLineChars="200"/>
        <w:contextualSpacing/>
        <w:rPr>
          <w:rFonts w:hint="eastAsia" w:ascii="宋体" w:hAnsi="宋体" w:cs="仿宋_GB2312"/>
          <w:sz w:val="24"/>
        </w:rPr>
      </w:pPr>
    </w:p>
    <w:p w14:paraId="08FFE809">
      <w:pPr>
        <w:spacing w:line="360" w:lineRule="auto"/>
        <w:contextualSpacing/>
        <w:rPr>
          <w:rFonts w:hint="eastAsia" w:ascii="宋体" w:hAnsi="宋体" w:cs="仿宋_GB2312"/>
          <w:sz w:val="24"/>
        </w:rPr>
      </w:pPr>
    </w:p>
    <w:p w14:paraId="5C754F93">
      <w:pPr>
        <w:spacing w:line="360" w:lineRule="auto"/>
        <w:ind w:firstLine="3600" w:firstLineChars="1500"/>
        <w:contextualSpacing/>
        <w:rPr>
          <w:rFonts w:hint="eastAsia" w:ascii="宋体" w:hAnsi="宋体" w:cs="仿宋_GB2312"/>
          <w:sz w:val="24"/>
        </w:rPr>
      </w:pPr>
      <w:r>
        <w:rPr>
          <w:rFonts w:hint="eastAsia" w:ascii="宋体" w:hAnsi="宋体" w:cs="仿宋_GB2312"/>
          <w:sz w:val="24"/>
        </w:rPr>
        <w:t>供应商（电子签章）：</w:t>
      </w:r>
    </w:p>
    <w:p w14:paraId="1B7A9DFC">
      <w:pPr>
        <w:spacing w:line="360" w:lineRule="auto"/>
        <w:ind w:firstLine="480" w:firstLineChars="200"/>
        <w:contextualSpacing/>
        <w:jc w:val="center"/>
        <w:rPr>
          <w:rFonts w:hint="eastAsia" w:ascii="宋体" w:hAnsi="宋体" w:cs="仿宋_GB2312"/>
          <w:sz w:val="24"/>
        </w:rPr>
      </w:pPr>
      <w:r>
        <w:rPr>
          <w:rFonts w:hint="eastAsia" w:ascii="宋体" w:hAnsi="宋体" w:cs="仿宋_GB2312"/>
          <w:sz w:val="24"/>
        </w:rPr>
        <w:t xml:space="preserve">                               年   月   日</w:t>
      </w:r>
    </w:p>
    <w:p w14:paraId="4A0B8F62">
      <w:pPr>
        <w:spacing w:line="360" w:lineRule="auto"/>
        <w:ind w:firstLine="640" w:firstLineChars="200"/>
        <w:contextualSpacing/>
        <w:jc w:val="center"/>
        <w:rPr>
          <w:rFonts w:hint="eastAsia" w:ascii="宋体" w:hAnsi="宋体" w:cs="仿宋_GB2312"/>
          <w:sz w:val="32"/>
          <w:szCs w:val="32"/>
        </w:rPr>
      </w:pPr>
    </w:p>
    <w:p w14:paraId="38887D57">
      <w:pPr>
        <w:spacing w:before="240" w:beforeLines="100" w:after="120" w:afterLines="50" w:line="520" w:lineRule="exact"/>
        <w:ind w:left="540"/>
        <w:jc w:val="center"/>
        <w:rPr>
          <w:rFonts w:hint="eastAsia" w:ascii="方正小标宋简体" w:hAnsi="方正小标宋简体" w:eastAsia="方正小标宋简体" w:cs="方正小标宋简体"/>
          <w:bCs/>
          <w:sz w:val="44"/>
          <w:szCs w:val="44"/>
        </w:rPr>
      </w:pPr>
    </w:p>
    <w:p w14:paraId="673D4B2B">
      <w:pPr>
        <w:spacing w:before="240" w:beforeLines="100" w:after="120" w:afterLines="50" w:line="520" w:lineRule="exact"/>
        <w:ind w:left="540"/>
        <w:jc w:val="center"/>
        <w:rPr>
          <w:rFonts w:hint="eastAsia" w:ascii="仿宋_GB2312" w:hAnsi="仿宋_GB2312" w:eastAsia="仿宋_GB2312" w:cs="仿宋_GB2312"/>
          <w:sz w:val="32"/>
          <w:szCs w:val="32"/>
        </w:rPr>
      </w:pPr>
      <w:r>
        <w:rPr>
          <w:rFonts w:hint="eastAsia" w:ascii="方正小标宋简体" w:hAnsi="方正小标宋简体" w:eastAsia="方正小标宋简体" w:cs="方正小标宋简体"/>
          <w:bCs/>
          <w:sz w:val="44"/>
          <w:szCs w:val="44"/>
        </w:rPr>
        <w:t>法定代表人证明书</w:t>
      </w:r>
    </w:p>
    <w:p w14:paraId="3579A549">
      <w:pPr>
        <w:spacing w:line="360" w:lineRule="auto"/>
        <w:ind w:left="540"/>
        <w:contextualSpacing/>
        <w:rPr>
          <w:rFonts w:hint="eastAsia" w:ascii="仿宋_GB2312" w:hAnsi="仿宋_GB2312" w:eastAsia="仿宋_GB2312" w:cs="仿宋_GB2312"/>
          <w:sz w:val="32"/>
          <w:szCs w:val="32"/>
        </w:rPr>
      </w:pPr>
    </w:p>
    <w:p w14:paraId="16C6B43E">
      <w:pPr>
        <w:spacing w:line="360" w:lineRule="auto"/>
        <w:ind w:left="540"/>
        <w:contextualSpacing/>
        <w:rPr>
          <w:rFonts w:hint="eastAsia" w:ascii="宋体" w:hAnsi="宋体" w:cs="仿宋_GB2312"/>
          <w:sz w:val="24"/>
        </w:rPr>
      </w:pPr>
      <w:r>
        <w:rPr>
          <w:rFonts w:hint="eastAsia" w:ascii="宋体" w:hAnsi="宋体" w:cs="仿宋_GB2312"/>
          <w:sz w:val="24"/>
        </w:rPr>
        <w:t>供应商名称：</w:t>
      </w:r>
      <w:r>
        <w:rPr>
          <w:rFonts w:hint="eastAsia" w:ascii="宋体" w:hAnsi="宋体" w:cs="仿宋_GB2312"/>
          <w:sz w:val="24"/>
          <w:u w:val="single"/>
        </w:rPr>
        <w:t xml:space="preserve">                                                        </w:t>
      </w:r>
    </w:p>
    <w:p w14:paraId="5FFD7661">
      <w:pPr>
        <w:spacing w:line="360" w:lineRule="auto"/>
        <w:ind w:left="540"/>
        <w:contextualSpacing/>
        <w:rPr>
          <w:rFonts w:hint="eastAsia" w:ascii="宋体" w:hAnsi="宋体" w:cs="仿宋_GB2312"/>
          <w:sz w:val="24"/>
        </w:rPr>
      </w:pPr>
      <w:r>
        <w:rPr>
          <w:rFonts w:hint="eastAsia" w:ascii="宋体" w:hAnsi="宋体" w:cs="仿宋_GB2312"/>
          <w:sz w:val="24"/>
        </w:rPr>
        <w:t>地    址：</w:t>
      </w:r>
      <w:r>
        <w:rPr>
          <w:rFonts w:hint="eastAsia" w:ascii="宋体" w:hAnsi="宋体" w:cs="仿宋_GB2312"/>
          <w:sz w:val="24"/>
          <w:u w:val="single"/>
        </w:rPr>
        <w:t xml:space="preserve">                                                        </w:t>
      </w:r>
    </w:p>
    <w:p w14:paraId="19B3487F">
      <w:pPr>
        <w:spacing w:line="360" w:lineRule="auto"/>
        <w:ind w:left="540"/>
        <w:contextualSpacing/>
        <w:rPr>
          <w:rFonts w:hint="eastAsia" w:ascii="宋体" w:hAnsi="宋体" w:cs="仿宋_GB2312"/>
          <w:sz w:val="24"/>
        </w:rPr>
      </w:pPr>
      <w:r>
        <w:rPr>
          <w:rFonts w:hint="eastAsia" w:ascii="宋体" w:hAnsi="宋体" w:cs="仿宋_GB2312"/>
          <w:sz w:val="24"/>
        </w:rPr>
        <w:t>姓    名：</w:t>
      </w:r>
      <w:r>
        <w:rPr>
          <w:rFonts w:hint="eastAsia" w:ascii="宋体" w:hAnsi="宋体" w:cs="仿宋_GB2312"/>
          <w:sz w:val="24"/>
          <w:u w:val="single"/>
        </w:rPr>
        <w:t xml:space="preserve">               </w:t>
      </w:r>
      <w:r>
        <w:rPr>
          <w:rFonts w:hint="eastAsia" w:ascii="宋体" w:hAnsi="宋体" w:cs="仿宋_GB2312"/>
          <w:sz w:val="24"/>
        </w:rPr>
        <w:t>性      别：</w:t>
      </w:r>
      <w:r>
        <w:rPr>
          <w:rFonts w:hint="eastAsia" w:ascii="宋体" w:hAnsi="宋体" w:cs="仿宋_GB2312"/>
          <w:sz w:val="24"/>
          <w:u w:val="single"/>
        </w:rPr>
        <w:t xml:space="preserve">                </w:t>
      </w:r>
    </w:p>
    <w:p w14:paraId="0DF10123">
      <w:pPr>
        <w:spacing w:line="360" w:lineRule="auto"/>
        <w:ind w:left="540"/>
        <w:contextualSpacing/>
        <w:rPr>
          <w:rFonts w:hint="eastAsia" w:ascii="宋体" w:hAnsi="宋体" w:cs="仿宋_GB2312"/>
          <w:sz w:val="24"/>
          <w:u w:val="single"/>
        </w:rPr>
      </w:pPr>
      <w:r>
        <w:rPr>
          <w:rFonts w:hint="eastAsia" w:ascii="宋体" w:hAnsi="宋体" w:cs="仿宋_GB2312"/>
          <w:sz w:val="24"/>
        </w:rPr>
        <w:t>年    龄：</w:t>
      </w:r>
      <w:r>
        <w:rPr>
          <w:rFonts w:hint="eastAsia" w:ascii="宋体" w:hAnsi="宋体" w:cs="仿宋_GB2312"/>
          <w:sz w:val="24"/>
          <w:u w:val="single"/>
        </w:rPr>
        <w:t xml:space="preserve">               </w:t>
      </w:r>
      <w:r>
        <w:rPr>
          <w:rFonts w:hint="eastAsia" w:ascii="宋体" w:hAnsi="宋体" w:cs="仿宋_GB2312"/>
          <w:sz w:val="24"/>
        </w:rPr>
        <w:t>职      务：</w:t>
      </w:r>
      <w:r>
        <w:rPr>
          <w:rFonts w:hint="eastAsia" w:ascii="宋体" w:hAnsi="宋体" w:cs="仿宋_GB2312"/>
          <w:sz w:val="24"/>
          <w:u w:val="single"/>
        </w:rPr>
        <w:t xml:space="preserve">                </w:t>
      </w:r>
    </w:p>
    <w:p w14:paraId="71C55CC0">
      <w:pPr>
        <w:spacing w:line="360" w:lineRule="auto"/>
        <w:ind w:left="540"/>
        <w:contextualSpacing/>
        <w:rPr>
          <w:rFonts w:hint="eastAsia" w:ascii="宋体" w:hAnsi="宋体" w:cs="仿宋_GB2312"/>
          <w:sz w:val="24"/>
        </w:rPr>
      </w:pPr>
      <w:r>
        <w:rPr>
          <w:rFonts w:hint="eastAsia" w:ascii="宋体" w:hAnsi="宋体" w:cs="仿宋_GB2312"/>
          <w:sz w:val="24"/>
        </w:rPr>
        <w:t>身份证号码：</w:t>
      </w:r>
      <w:r>
        <w:rPr>
          <w:rFonts w:hint="eastAsia" w:ascii="宋体" w:hAnsi="宋体" w:cs="仿宋_GB2312"/>
          <w:sz w:val="24"/>
          <w:u w:val="single"/>
        </w:rPr>
        <w:t xml:space="preserve">                                        </w:t>
      </w:r>
    </w:p>
    <w:p w14:paraId="3B842511">
      <w:pPr>
        <w:spacing w:line="360" w:lineRule="auto"/>
        <w:ind w:left="540"/>
        <w:contextualSpacing/>
        <w:rPr>
          <w:rFonts w:hint="eastAsia" w:ascii="宋体" w:hAnsi="宋体" w:cs="仿宋_GB2312"/>
          <w:sz w:val="24"/>
        </w:rPr>
      </w:pPr>
      <w:r>
        <w:rPr>
          <w:rFonts w:hint="eastAsia" w:ascii="宋体" w:hAnsi="宋体" w:cs="仿宋_GB2312"/>
          <w:sz w:val="24"/>
        </w:rPr>
        <w:t>系</w:t>
      </w:r>
      <w:r>
        <w:rPr>
          <w:rFonts w:hint="eastAsia" w:ascii="宋体" w:hAnsi="宋体" w:cs="仿宋_GB2312"/>
          <w:sz w:val="24"/>
          <w:u w:val="single"/>
        </w:rPr>
        <w:t xml:space="preserve"> </w:t>
      </w:r>
      <w:r>
        <w:rPr>
          <w:rFonts w:ascii="宋体" w:hAnsi="宋体" w:cs="仿宋_GB2312"/>
          <w:sz w:val="24"/>
          <w:u w:val="single"/>
        </w:rPr>
        <w:t xml:space="preserve">  </w:t>
      </w:r>
      <w:r>
        <w:rPr>
          <w:rFonts w:hint="eastAsia" w:ascii="宋体" w:hAnsi="宋体" w:cs="仿宋_GB2312"/>
          <w:sz w:val="24"/>
          <w:u w:val="single"/>
        </w:rPr>
        <w:t xml:space="preserve">            </w:t>
      </w:r>
      <w:r>
        <w:rPr>
          <w:rFonts w:ascii="宋体" w:hAnsi="宋体" w:cs="仿宋_GB2312"/>
          <w:sz w:val="24"/>
          <w:u w:val="single"/>
        </w:rPr>
        <w:t xml:space="preserve"> </w:t>
      </w:r>
      <w:r>
        <w:rPr>
          <w:rFonts w:hint="eastAsia" w:ascii="宋体" w:hAnsi="宋体" w:cs="仿宋_GB2312"/>
          <w:sz w:val="24"/>
          <w:u w:val="single"/>
        </w:rPr>
        <w:t xml:space="preserve">（供应商名称） </w:t>
      </w:r>
      <w:r>
        <w:rPr>
          <w:rFonts w:ascii="宋体" w:hAnsi="宋体" w:cs="仿宋_GB2312"/>
          <w:sz w:val="24"/>
          <w:u w:val="single"/>
        </w:rPr>
        <w:t xml:space="preserve">  </w:t>
      </w:r>
      <w:r>
        <w:rPr>
          <w:rFonts w:hint="eastAsia" w:ascii="宋体" w:hAnsi="宋体" w:cs="仿宋_GB2312"/>
          <w:sz w:val="24"/>
        </w:rPr>
        <w:t>的法定代表人。</w:t>
      </w:r>
    </w:p>
    <w:p w14:paraId="578EC5A1">
      <w:pPr>
        <w:spacing w:line="360" w:lineRule="auto"/>
        <w:ind w:left="540"/>
        <w:contextualSpacing/>
        <w:rPr>
          <w:rFonts w:hint="eastAsia" w:ascii="宋体" w:hAnsi="宋体" w:cs="仿宋_GB2312"/>
          <w:sz w:val="24"/>
        </w:rPr>
      </w:pPr>
      <w:r>
        <w:rPr>
          <w:rFonts w:hint="eastAsia" w:ascii="宋体" w:hAnsi="宋体" w:cs="仿宋_GB2312"/>
          <w:sz w:val="24"/>
        </w:rPr>
        <w:t>特此证明。</w:t>
      </w:r>
    </w:p>
    <w:p w14:paraId="1B40A422">
      <w:pPr>
        <w:spacing w:line="360" w:lineRule="auto"/>
        <w:ind w:left="540"/>
        <w:contextualSpacing/>
        <w:rPr>
          <w:rFonts w:hint="eastAsia" w:ascii="宋体" w:hAnsi="宋体" w:cs="仿宋_GB2312"/>
          <w:sz w:val="24"/>
        </w:rPr>
      </w:pPr>
    </w:p>
    <w:p w14:paraId="19E55C62">
      <w:pPr>
        <w:spacing w:line="360" w:lineRule="auto"/>
        <w:ind w:left="540"/>
        <w:contextualSpacing/>
        <w:rPr>
          <w:rFonts w:hint="eastAsia" w:ascii="宋体" w:hAnsi="宋体" w:cs="仿宋_GB2312"/>
          <w:sz w:val="24"/>
        </w:rPr>
      </w:pPr>
    </w:p>
    <w:p w14:paraId="0F15DFA4">
      <w:pPr>
        <w:spacing w:line="360" w:lineRule="auto"/>
        <w:ind w:left="540"/>
        <w:contextualSpacing/>
        <w:rPr>
          <w:rFonts w:hint="eastAsia" w:ascii="宋体" w:hAnsi="宋体" w:cs="仿宋_GB2312"/>
          <w:sz w:val="24"/>
        </w:rPr>
      </w:pPr>
    </w:p>
    <w:p w14:paraId="5531475B">
      <w:pPr>
        <w:spacing w:line="360" w:lineRule="auto"/>
        <w:ind w:left="540"/>
        <w:contextualSpacing/>
        <w:rPr>
          <w:rFonts w:hint="eastAsia" w:ascii="宋体" w:hAnsi="宋体" w:cs="仿宋_GB2312"/>
          <w:sz w:val="24"/>
        </w:rPr>
      </w:pPr>
      <w:r>
        <w:rPr>
          <w:rFonts w:hint="eastAsia" w:ascii="宋体" w:hAnsi="宋体" w:cs="仿宋_GB2312"/>
          <w:sz w:val="24"/>
        </w:rPr>
        <w:t>附件：法定代表人有效身份证正反面复印件</w:t>
      </w:r>
    </w:p>
    <w:p w14:paraId="5E8B5169">
      <w:pPr>
        <w:spacing w:line="360" w:lineRule="auto"/>
        <w:ind w:left="540"/>
        <w:contextualSpacing/>
        <w:rPr>
          <w:rFonts w:hint="eastAsia" w:ascii="宋体" w:hAnsi="宋体" w:cs="仿宋_GB2312"/>
          <w:sz w:val="24"/>
        </w:rPr>
      </w:pPr>
    </w:p>
    <w:p w14:paraId="21BF23CE">
      <w:pPr>
        <w:spacing w:line="360" w:lineRule="auto"/>
        <w:ind w:left="540"/>
        <w:contextualSpacing/>
        <w:jc w:val="center"/>
        <w:rPr>
          <w:rFonts w:hint="eastAsia" w:ascii="宋体" w:hAnsi="宋体" w:cs="仿宋_GB2312"/>
          <w:sz w:val="24"/>
        </w:rPr>
      </w:pPr>
      <w:r>
        <w:rPr>
          <w:rFonts w:hint="eastAsia" w:ascii="宋体" w:hAnsi="宋体" w:cs="仿宋_GB2312"/>
          <w:sz w:val="24"/>
        </w:rPr>
        <w:t>供应商（电子签章）：</w:t>
      </w:r>
      <w:r>
        <w:rPr>
          <w:rFonts w:hint="eastAsia" w:ascii="宋体" w:hAnsi="宋体" w:cs="仿宋_GB2312"/>
          <w:sz w:val="24"/>
          <w:u w:val="single"/>
        </w:rPr>
        <w:t xml:space="preserve">               </w:t>
      </w:r>
    </w:p>
    <w:p w14:paraId="3CCD5693">
      <w:pPr>
        <w:spacing w:line="360" w:lineRule="auto"/>
        <w:ind w:firstLine="4560" w:firstLineChars="1900"/>
        <w:contextualSpacing/>
        <w:rPr>
          <w:rFonts w:hint="eastAsia" w:ascii="宋体" w:hAnsi="宋体" w:cs="仿宋_GB2312"/>
          <w:sz w:val="24"/>
        </w:rPr>
      </w:pPr>
      <w:r>
        <w:rPr>
          <w:rFonts w:hint="eastAsia" w:ascii="宋体" w:hAnsi="宋体" w:cs="仿宋_GB2312"/>
          <w:sz w:val="24"/>
          <w:u w:val="single"/>
        </w:rPr>
        <w:t xml:space="preserve">     </w:t>
      </w:r>
      <w:r>
        <w:rPr>
          <w:rFonts w:hint="eastAsia" w:ascii="宋体" w:hAnsi="宋体" w:cs="仿宋_GB2312"/>
          <w:sz w:val="24"/>
        </w:rPr>
        <w:t>年</w:t>
      </w:r>
      <w:r>
        <w:rPr>
          <w:rFonts w:hint="eastAsia" w:ascii="宋体" w:hAnsi="宋体" w:cs="仿宋_GB2312"/>
          <w:sz w:val="24"/>
          <w:u w:val="single"/>
        </w:rPr>
        <w:t xml:space="preserve">     </w:t>
      </w:r>
      <w:r>
        <w:rPr>
          <w:rFonts w:hint="eastAsia" w:ascii="宋体" w:hAnsi="宋体" w:cs="仿宋_GB2312"/>
          <w:sz w:val="24"/>
        </w:rPr>
        <w:t>月</w:t>
      </w:r>
      <w:r>
        <w:rPr>
          <w:rFonts w:hint="eastAsia" w:ascii="宋体" w:hAnsi="宋体" w:cs="仿宋_GB2312"/>
          <w:sz w:val="24"/>
          <w:u w:val="single"/>
        </w:rPr>
        <w:t xml:space="preserve">     </w:t>
      </w:r>
      <w:r>
        <w:rPr>
          <w:rFonts w:hint="eastAsia" w:ascii="宋体" w:hAnsi="宋体" w:cs="仿宋_GB2312"/>
          <w:sz w:val="24"/>
        </w:rPr>
        <w:t>日</w:t>
      </w:r>
    </w:p>
    <w:p w14:paraId="2C7F1CD8">
      <w:pPr>
        <w:spacing w:line="360" w:lineRule="auto"/>
        <w:contextualSpacing/>
        <w:jc w:val="center"/>
        <w:rPr>
          <w:rFonts w:hint="eastAsia" w:ascii="宋体" w:hAnsi="宋体" w:cs="仿宋_GB2312"/>
          <w:b/>
          <w:sz w:val="24"/>
        </w:rPr>
      </w:pPr>
    </w:p>
    <w:p w14:paraId="23826356">
      <w:pPr>
        <w:spacing w:line="360" w:lineRule="auto"/>
        <w:contextualSpacing/>
        <w:jc w:val="left"/>
        <w:rPr>
          <w:rFonts w:hint="eastAsia" w:ascii="宋体" w:hAnsi="宋体" w:cs="仿宋_GB2312"/>
          <w:sz w:val="24"/>
        </w:rPr>
      </w:pPr>
      <w:r>
        <w:rPr>
          <w:rFonts w:hint="eastAsia" w:ascii="宋体" w:hAnsi="宋体" w:cs="仿宋_GB2312"/>
          <w:sz w:val="24"/>
        </w:rPr>
        <w:t>注：自然人竞标的无需提供。</w:t>
      </w:r>
    </w:p>
    <w:p w14:paraId="5C299E0D">
      <w:pPr>
        <w:adjustRightInd w:val="0"/>
        <w:snapToGrid w:val="0"/>
        <w:spacing w:line="300" w:lineRule="auto"/>
        <w:jc w:val="left"/>
        <w:rPr>
          <w:rFonts w:hint="eastAsia" w:ascii="宋体" w:hAnsi="宋体"/>
          <w:b/>
          <w:szCs w:val="21"/>
        </w:rPr>
      </w:pPr>
    </w:p>
    <w:p w14:paraId="43A14153">
      <w:pPr>
        <w:spacing w:line="52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r>
        <w:rPr>
          <w:rFonts w:hint="eastAsia" w:ascii="方正小标宋简体" w:hAnsi="方正小标宋简体" w:eastAsia="方正小标宋简体" w:cs="方正小标宋简体"/>
          <w:sz w:val="44"/>
          <w:szCs w:val="44"/>
        </w:rPr>
        <w:t>法定代表人授权委托书</w:t>
      </w:r>
    </w:p>
    <w:p w14:paraId="1C53D682">
      <w:pPr>
        <w:spacing w:line="52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（如有委托时）</w:t>
      </w:r>
    </w:p>
    <w:p w14:paraId="57590C65">
      <w:pPr>
        <w:spacing w:line="360" w:lineRule="auto"/>
        <w:contextualSpacing/>
        <w:rPr>
          <w:rFonts w:hint="eastAsia" w:ascii="仿宋_GB2312" w:hAnsi="仿宋_GB2312" w:eastAsia="仿宋_GB2312" w:cs="仿宋_GB2312"/>
          <w:sz w:val="32"/>
          <w:szCs w:val="32"/>
        </w:rPr>
      </w:pPr>
    </w:p>
    <w:p w14:paraId="0E3D705C">
      <w:pPr>
        <w:spacing w:line="360" w:lineRule="auto"/>
        <w:contextualSpacing/>
        <w:rPr>
          <w:rFonts w:hint="eastAsia" w:ascii="宋体" w:hAnsi="宋体" w:cs="仿宋_GB2312"/>
          <w:sz w:val="24"/>
        </w:rPr>
      </w:pPr>
      <w:r>
        <w:rPr>
          <w:rFonts w:hint="eastAsia" w:ascii="宋体" w:hAnsi="宋体" w:cs="仿宋_GB2312"/>
          <w:sz w:val="24"/>
        </w:rPr>
        <w:t>致：</w:t>
      </w:r>
      <w:r>
        <w:rPr>
          <w:rFonts w:hint="eastAsia" w:ascii="宋体" w:hAnsi="宋体" w:cs="仿宋_GB2312"/>
          <w:sz w:val="24"/>
          <w:u w:val="single"/>
        </w:rPr>
        <w:t>（采购人名称）</w:t>
      </w:r>
      <w:r>
        <w:rPr>
          <w:rFonts w:hint="eastAsia" w:ascii="宋体" w:hAnsi="宋体" w:cs="仿宋_GB2312"/>
          <w:sz w:val="24"/>
        </w:rPr>
        <w:t>：</w:t>
      </w:r>
    </w:p>
    <w:p w14:paraId="660C41F3">
      <w:pPr>
        <w:spacing w:line="360" w:lineRule="auto"/>
        <w:ind w:firstLine="480" w:firstLineChars="200"/>
        <w:contextualSpacing/>
        <w:rPr>
          <w:rFonts w:hint="eastAsia" w:ascii="宋体" w:hAnsi="宋体" w:cs="仿宋_GB2312"/>
          <w:sz w:val="24"/>
        </w:rPr>
      </w:pPr>
      <w:r>
        <w:rPr>
          <w:rFonts w:hint="eastAsia" w:ascii="宋体" w:hAnsi="宋体" w:cs="仿宋_GB2312"/>
          <w:sz w:val="24"/>
        </w:rPr>
        <w:t>我</w:t>
      </w:r>
      <w:r>
        <w:rPr>
          <w:rFonts w:hint="eastAsia" w:ascii="宋体" w:hAnsi="宋体" w:cs="仿宋_GB2312"/>
          <w:sz w:val="24"/>
          <w:u w:val="single"/>
        </w:rPr>
        <w:t xml:space="preserve">   （姓名）  </w:t>
      </w:r>
      <w:r>
        <w:rPr>
          <w:rFonts w:hint="eastAsia" w:ascii="宋体" w:hAnsi="宋体" w:cs="仿宋_GB2312"/>
          <w:sz w:val="24"/>
        </w:rPr>
        <w:t>系</w:t>
      </w:r>
      <w:r>
        <w:rPr>
          <w:rFonts w:hint="eastAsia" w:ascii="宋体" w:hAnsi="宋体" w:cs="仿宋_GB2312"/>
          <w:sz w:val="24"/>
          <w:u w:val="single"/>
        </w:rPr>
        <w:t xml:space="preserve">   （供应商名称）  </w:t>
      </w:r>
      <w:r>
        <w:rPr>
          <w:rFonts w:hint="eastAsia" w:ascii="宋体" w:hAnsi="宋体" w:cs="仿宋_GB2312"/>
          <w:sz w:val="24"/>
        </w:rPr>
        <w:t>的（</w:t>
      </w:r>
      <w:r>
        <w:rPr>
          <w:rFonts w:hint="eastAsia" w:ascii="宋体" w:hAnsi="宋体" w:cs="仿宋_GB2312"/>
          <w:sz w:val="24"/>
          <w:u w:val="single"/>
        </w:rPr>
        <w:sym w:font="Wingdings 2" w:char="00A3"/>
      </w:r>
      <w:r>
        <w:rPr>
          <w:rFonts w:hint="eastAsia" w:ascii="宋体" w:hAnsi="宋体" w:cs="仿宋_GB2312"/>
          <w:sz w:val="24"/>
          <w:u w:val="single"/>
        </w:rPr>
        <w:t>法定代表人/□负责人/□自然人本人</w:t>
      </w:r>
      <w:r>
        <w:rPr>
          <w:rFonts w:hint="eastAsia" w:ascii="宋体" w:hAnsi="宋体" w:cs="仿宋_GB2312"/>
          <w:sz w:val="24"/>
        </w:rPr>
        <w:t>），现授权</w:t>
      </w:r>
      <w:r>
        <w:rPr>
          <w:rFonts w:hint="eastAsia" w:ascii="宋体" w:hAnsi="宋体" w:cs="仿宋_GB2312"/>
          <w:sz w:val="24"/>
          <w:u w:val="single"/>
        </w:rPr>
        <w:t xml:space="preserve"> （姓名） </w:t>
      </w:r>
      <w:r>
        <w:rPr>
          <w:rFonts w:hint="eastAsia" w:ascii="宋体" w:hAnsi="宋体" w:cs="仿宋_GB2312"/>
          <w:sz w:val="24"/>
        </w:rPr>
        <w:t>以我方的名义参加</w:t>
      </w:r>
      <w:r>
        <w:rPr>
          <w:rFonts w:hint="eastAsia" w:ascii="宋体" w:hAnsi="宋体" w:cs="仿宋_GB2312"/>
          <w:sz w:val="24"/>
          <w:u w:val="single"/>
        </w:rPr>
        <w:t xml:space="preserve">              </w:t>
      </w:r>
      <w:r>
        <w:rPr>
          <w:rFonts w:hint="eastAsia" w:ascii="宋体" w:hAnsi="宋体" w:cs="宋体"/>
          <w:sz w:val="24"/>
          <w:u w:val="single"/>
        </w:rPr>
        <w:t>（项目名称）</w:t>
      </w:r>
      <w:r>
        <w:rPr>
          <w:rFonts w:hint="eastAsia" w:ascii="宋体" w:hAnsi="宋体" w:cs="宋体"/>
          <w:sz w:val="24"/>
        </w:rPr>
        <w:t>项目</w:t>
      </w:r>
      <w:r>
        <w:rPr>
          <w:rFonts w:hint="eastAsia" w:ascii="宋体" w:hAnsi="宋体" w:cs="仿宋_GB2312"/>
          <w:sz w:val="24"/>
        </w:rPr>
        <w:t>的竞标活动，并代表我方全权办理针对上述项目的所有采购程序和环节的具体事务和签署相关文件。</w:t>
      </w:r>
    </w:p>
    <w:p w14:paraId="7F4B00E2">
      <w:pPr>
        <w:spacing w:line="360" w:lineRule="auto"/>
        <w:contextualSpacing/>
        <w:rPr>
          <w:rFonts w:hint="eastAsia" w:ascii="宋体" w:hAnsi="宋体" w:cs="仿宋_GB2312"/>
          <w:sz w:val="24"/>
        </w:rPr>
      </w:pPr>
      <w:r>
        <w:rPr>
          <w:rFonts w:hint="eastAsia" w:ascii="宋体" w:hAnsi="宋体" w:cs="仿宋_GB2312"/>
          <w:sz w:val="24"/>
        </w:rPr>
        <w:t xml:space="preserve">    我方对委托代理人的</w:t>
      </w:r>
      <w:r>
        <w:rPr>
          <w:rFonts w:hint="eastAsia" w:ascii="宋体" w:hAnsi="宋体"/>
          <w:sz w:val="24"/>
        </w:rPr>
        <w:t>签字或者电子签名</w:t>
      </w:r>
      <w:r>
        <w:rPr>
          <w:rFonts w:hint="eastAsia" w:ascii="宋体" w:hAnsi="宋体" w:cs="仿宋_GB2312"/>
          <w:sz w:val="24"/>
        </w:rPr>
        <w:t>事项负全部责任。</w:t>
      </w:r>
    </w:p>
    <w:p w14:paraId="7B6DD6BC">
      <w:pPr>
        <w:spacing w:line="360" w:lineRule="auto"/>
        <w:ind w:firstLine="480" w:firstLineChars="200"/>
        <w:contextualSpacing/>
        <w:rPr>
          <w:rFonts w:hint="eastAsia" w:ascii="宋体" w:hAnsi="宋体" w:cs="仿宋_GB2312"/>
          <w:sz w:val="24"/>
        </w:rPr>
      </w:pPr>
      <w:r>
        <w:rPr>
          <w:rFonts w:hint="eastAsia" w:ascii="宋体" w:hAnsi="宋体" w:cs="仿宋_GB2312"/>
          <w:sz w:val="24"/>
        </w:rPr>
        <w:t>本授权书自签署之日起生效，在撤销授权的书面通知以前，本授权书一直有效。委托代理人在授权书有效期内签署的所有文件不因授权的撤销而失效。</w:t>
      </w:r>
    </w:p>
    <w:p w14:paraId="3FD3D538">
      <w:pPr>
        <w:spacing w:line="360" w:lineRule="auto"/>
        <w:ind w:firstLine="480" w:firstLineChars="200"/>
        <w:contextualSpacing/>
        <w:rPr>
          <w:rFonts w:hint="eastAsia" w:ascii="宋体" w:hAnsi="宋体" w:cs="仿宋_GB2312"/>
          <w:sz w:val="24"/>
        </w:rPr>
      </w:pPr>
      <w:r>
        <w:rPr>
          <w:rFonts w:hint="eastAsia" w:ascii="宋体" w:hAnsi="宋体" w:cs="仿宋_GB2312"/>
          <w:sz w:val="24"/>
        </w:rPr>
        <w:t>委托代理人无转委托权，特此委托。</w:t>
      </w:r>
    </w:p>
    <w:p w14:paraId="3CA7A6FA">
      <w:pPr>
        <w:spacing w:line="360" w:lineRule="auto"/>
        <w:ind w:firstLine="480" w:firstLineChars="200"/>
        <w:contextualSpacing/>
        <w:rPr>
          <w:rFonts w:hint="eastAsia" w:ascii="宋体" w:hAnsi="宋体" w:cs="仿宋_GB2312"/>
          <w:sz w:val="24"/>
        </w:rPr>
      </w:pPr>
      <w:r>
        <w:rPr>
          <w:rFonts w:hint="eastAsia" w:ascii="宋体" w:hAnsi="宋体" w:cs="仿宋_GB2312"/>
          <w:sz w:val="24"/>
        </w:rPr>
        <w:t>附：法定代表人身份证明书及委托代理人有效身份证正反面复印件</w:t>
      </w:r>
    </w:p>
    <w:p w14:paraId="06BD924D">
      <w:pPr>
        <w:spacing w:line="360" w:lineRule="auto"/>
        <w:contextualSpacing/>
        <w:rPr>
          <w:rFonts w:hint="eastAsia" w:ascii="宋体" w:hAnsi="宋体" w:cs="仿宋_GB2312"/>
          <w:sz w:val="24"/>
        </w:rPr>
      </w:pPr>
    </w:p>
    <w:p w14:paraId="31A24068">
      <w:pPr>
        <w:spacing w:line="360" w:lineRule="auto"/>
        <w:contextualSpacing/>
        <w:rPr>
          <w:rFonts w:hint="eastAsia" w:ascii="宋体" w:hAnsi="宋体" w:cs="仿宋_GB2312"/>
          <w:sz w:val="24"/>
        </w:rPr>
      </w:pPr>
      <w:r>
        <w:rPr>
          <w:rFonts w:hint="eastAsia" w:ascii="宋体" w:hAnsi="宋体" w:cs="仿宋_GB2312"/>
          <w:sz w:val="24"/>
        </w:rPr>
        <w:t>委托代理人（</w:t>
      </w:r>
      <w:r>
        <w:rPr>
          <w:rFonts w:hint="eastAsia" w:ascii="宋体" w:hAnsi="宋体"/>
          <w:sz w:val="24"/>
        </w:rPr>
        <w:t>签字或者电子签名</w:t>
      </w:r>
      <w:r>
        <w:rPr>
          <w:rFonts w:hint="eastAsia" w:ascii="宋体" w:hAnsi="宋体" w:cs="仿宋_GB2312"/>
          <w:sz w:val="24"/>
        </w:rPr>
        <w:t xml:space="preserve">）：     法定代表人（签字或者盖章或者电子签名）：                    </w:t>
      </w:r>
    </w:p>
    <w:p w14:paraId="388DA49B">
      <w:pPr>
        <w:spacing w:line="360" w:lineRule="auto"/>
        <w:contextualSpacing/>
        <w:rPr>
          <w:rFonts w:hint="eastAsia" w:ascii="宋体" w:hAnsi="宋体" w:cs="仿宋_GB2312"/>
          <w:sz w:val="24"/>
        </w:rPr>
      </w:pPr>
      <w:r>
        <w:rPr>
          <w:rFonts w:hint="eastAsia" w:ascii="宋体" w:hAnsi="宋体" w:cs="仿宋_GB2312"/>
          <w:sz w:val="24"/>
        </w:rPr>
        <w:t xml:space="preserve">委托代理人身份证号码：                              </w:t>
      </w:r>
    </w:p>
    <w:p w14:paraId="2CF0AB72">
      <w:pPr>
        <w:spacing w:line="360" w:lineRule="auto"/>
        <w:contextualSpacing/>
        <w:rPr>
          <w:rFonts w:hint="eastAsia" w:ascii="宋体" w:hAnsi="宋体" w:cs="仿宋_GB2312"/>
          <w:sz w:val="24"/>
        </w:rPr>
      </w:pPr>
      <w:r>
        <w:rPr>
          <w:rFonts w:hint="eastAsia" w:ascii="宋体" w:hAnsi="宋体" w:cs="仿宋_GB2312"/>
          <w:sz w:val="24"/>
        </w:rPr>
        <w:t xml:space="preserve">                                </w:t>
      </w:r>
    </w:p>
    <w:p w14:paraId="27EE05CA">
      <w:pPr>
        <w:spacing w:line="360" w:lineRule="auto"/>
        <w:contextualSpacing/>
        <w:rPr>
          <w:rFonts w:hint="eastAsia" w:ascii="宋体" w:hAnsi="宋体" w:cs="仿宋_GB2312"/>
          <w:sz w:val="24"/>
        </w:rPr>
      </w:pPr>
      <w:r>
        <w:rPr>
          <w:rFonts w:hint="eastAsia" w:ascii="宋体" w:hAnsi="宋体" w:cs="仿宋_GB2312"/>
          <w:sz w:val="24"/>
        </w:rPr>
        <w:t xml:space="preserve">                         供应商（电子签章）：                      </w:t>
      </w:r>
    </w:p>
    <w:p w14:paraId="7160D3E5">
      <w:pPr>
        <w:spacing w:line="360" w:lineRule="auto"/>
        <w:contextualSpacing/>
        <w:rPr>
          <w:rFonts w:hint="eastAsia" w:ascii="宋体" w:hAnsi="宋体" w:cs="仿宋_GB2312"/>
          <w:sz w:val="24"/>
        </w:rPr>
      </w:pPr>
      <w:r>
        <w:rPr>
          <w:rFonts w:hint="eastAsia" w:ascii="宋体" w:hAnsi="宋体" w:cs="仿宋_GB2312"/>
          <w:sz w:val="24"/>
        </w:rPr>
        <w:t xml:space="preserve">                                         年    月    日</w:t>
      </w:r>
    </w:p>
    <w:p w14:paraId="2AADFD44">
      <w:pPr>
        <w:spacing w:line="360" w:lineRule="auto"/>
        <w:contextualSpacing/>
        <w:rPr>
          <w:rFonts w:hint="eastAsia" w:ascii="宋体" w:hAnsi="宋体" w:cs="仿宋_GB2312"/>
          <w:sz w:val="24"/>
        </w:rPr>
      </w:pPr>
    </w:p>
    <w:p w14:paraId="6FD9E3F4">
      <w:pPr>
        <w:spacing w:line="360" w:lineRule="auto"/>
        <w:contextualSpacing/>
        <w:rPr>
          <w:rFonts w:hint="eastAsia" w:ascii="宋体" w:hAnsi="宋体" w:cs="仿宋_GB2312"/>
          <w:sz w:val="24"/>
        </w:rPr>
      </w:pPr>
      <w:r>
        <w:rPr>
          <w:rFonts w:hint="eastAsia" w:ascii="宋体" w:hAnsi="宋体" w:cs="仿宋_GB2312"/>
          <w:sz w:val="24"/>
        </w:rPr>
        <w:t>注：1. 法定代表人必须在授权委托书上签字或者盖章</w:t>
      </w:r>
      <w:r>
        <w:rPr>
          <w:rFonts w:hint="eastAsia" w:ascii="宋体" w:hAnsi="宋体"/>
          <w:sz w:val="24"/>
        </w:rPr>
        <w:t>或者电子签名</w:t>
      </w:r>
      <w:r>
        <w:rPr>
          <w:rFonts w:hint="eastAsia" w:ascii="宋体" w:hAnsi="宋体" w:cs="仿宋_GB2312"/>
          <w:sz w:val="24"/>
        </w:rPr>
        <w:t>，委托代理人必须在授权委托书上签字或者电子签名，</w:t>
      </w:r>
      <w:r>
        <w:rPr>
          <w:rFonts w:hint="eastAsia" w:ascii="宋体" w:hAnsi="宋体" w:cs="仿宋_GB2312"/>
          <w:b/>
          <w:sz w:val="24"/>
        </w:rPr>
        <w:t>否则其响应文件按无效响应处理。</w:t>
      </w:r>
    </w:p>
    <w:p w14:paraId="150B0812">
      <w:pPr>
        <w:spacing w:line="360" w:lineRule="auto"/>
        <w:ind w:firstLine="480" w:firstLineChars="200"/>
        <w:contextualSpacing/>
        <w:jc w:val="left"/>
        <w:rPr>
          <w:rFonts w:hint="eastAsia" w:ascii="宋体" w:hAnsi="宋体" w:cs="仿宋_GB2312"/>
          <w:sz w:val="24"/>
        </w:rPr>
      </w:pPr>
      <w:r>
        <w:rPr>
          <w:rFonts w:ascii="宋体" w:hAnsi="宋体" w:cs="仿宋_GB2312"/>
          <w:sz w:val="24"/>
        </w:rPr>
        <w:t>2.</w:t>
      </w:r>
      <w:r>
        <w:rPr>
          <w:rFonts w:hint="eastAsia" w:ascii="宋体" w:hAnsi="宋体" w:cs="仿宋_GB2312"/>
          <w:sz w:val="24"/>
        </w:rPr>
        <w:t>法人、其他组织竞标时“我方”是指“我单位”，自然人竞标时“我方”是指“本人”。</w:t>
      </w:r>
    </w:p>
    <w:p w14:paraId="63415AE7">
      <w:pPr>
        <w:spacing w:line="360" w:lineRule="auto"/>
        <w:ind w:firstLine="420" w:firstLineChars="200"/>
        <w:contextualSpacing/>
        <w:jc w:val="left"/>
        <w:rPr>
          <w:rFonts w:hint="eastAsia" w:ascii="仿宋_GB2312" w:hAnsi="仿宋_GB2312" w:eastAsia="仿宋_GB2312" w:cs="仿宋_GB2312"/>
          <w:szCs w:val="21"/>
        </w:rPr>
      </w:pPr>
    </w:p>
    <w:p w14:paraId="5D492AE1">
      <w:pPr>
        <w:spacing w:line="520" w:lineRule="exact"/>
        <w:contextualSpacing/>
        <w:jc w:val="center"/>
        <w:rPr>
          <w:rFonts w:hint="eastAsia" w:ascii="方正小标宋简体" w:hAnsi="方正小标宋简体" w:eastAsia="方正小标宋简体" w:cs="方正小标宋简体"/>
          <w:bCs/>
          <w:sz w:val="44"/>
          <w:szCs w:val="44"/>
        </w:rPr>
      </w:pPr>
      <w:r>
        <w:rPr>
          <w:rFonts w:ascii="仿宋_GB2312" w:hAnsi="仿宋_GB2312" w:eastAsia="仿宋_GB2312" w:cs="仿宋_GB2312"/>
          <w:szCs w:val="21"/>
        </w:rPr>
        <w:br w:type="page"/>
      </w:r>
      <w:r>
        <w:rPr>
          <w:rFonts w:hint="eastAsia" w:ascii="方正小标宋简体" w:hAnsi="方正小标宋简体" w:eastAsia="方正小标宋简体" w:cs="方正小标宋简体"/>
          <w:bCs/>
          <w:sz w:val="44"/>
          <w:szCs w:val="44"/>
        </w:rPr>
        <w:t>商务要求偏离表格式</w:t>
      </w:r>
    </w:p>
    <w:tbl>
      <w:tblPr>
        <w:tblStyle w:val="24"/>
        <w:tblpPr w:leftFromText="180" w:rightFromText="180" w:vertAnchor="text" w:horzAnchor="margin" w:tblpXSpec="center" w:tblpY="311"/>
        <w:tblOverlap w:val="never"/>
        <w:tblW w:w="930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78"/>
        <w:gridCol w:w="2668"/>
        <w:gridCol w:w="2633"/>
        <w:gridCol w:w="1829"/>
      </w:tblGrid>
      <w:tr w14:paraId="569EE1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jc w:val="center"/>
        </w:trPr>
        <w:tc>
          <w:tcPr>
            <w:tcW w:w="2178" w:type="dxa"/>
            <w:tcBorders>
              <w:top w:val="single" w:color="auto" w:sz="4" w:space="0"/>
              <w:left w:val="single" w:color="auto" w:sz="4" w:space="0"/>
              <w:bottom w:val="single" w:color="auto" w:sz="4" w:space="0"/>
              <w:right w:val="single" w:color="auto" w:sz="4" w:space="0"/>
            </w:tcBorders>
            <w:vAlign w:val="center"/>
          </w:tcPr>
          <w:p w14:paraId="5AFEE735">
            <w:pPr>
              <w:snapToGrid w:val="0"/>
              <w:spacing w:before="120" w:beforeLines="50" w:line="360" w:lineRule="auto"/>
              <w:jc w:val="center"/>
              <w:rPr>
                <w:rFonts w:hint="eastAsia" w:ascii="宋体" w:hAnsi="宋体" w:cs="宋体"/>
                <w:szCs w:val="21"/>
              </w:rPr>
            </w:pPr>
            <w:r>
              <w:rPr>
                <w:rFonts w:hint="eastAsia" w:ascii="宋体" w:hAnsi="宋体" w:cs="宋体"/>
                <w:szCs w:val="21"/>
              </w:rPr>
              <w:t>项目</w:t>
            </w:r>
          </w:p>
        </w:tc>
        <w:tc>
          <w:tcPr>
            <w:tcW w:w="2668" w:type="dxa"/>
            <w:tcBorders>
              <w:top w:val="single" w:color="auto" w:sz="4" w:space="0"/>
              <w:left w:val="single" w:color="auto" w:sz="4" w:space="0"/>
              <w:bottom w:val="single" w:color="auto" w:sz="4" w:space="0"/>
              <w:right w:val="single" w:color="auto" w:sz="4" w:space="0"/>
            </w:tcBorders>
            <w:vAlign w:val="center"/>
          </w:tcPr>
          <w:p w14:paraId="7FF8C48D">
            <w:pPr>
              <w:snapToGrid w:val="0"/>
              <w:spacing w:before="120" w:beforeLines="50" w:line="360" w:lineRule="auto"/>
              <w:jc w:val="center"/>
              <w:rPr>
                <w:rFonts w:hint="eastAsia" w:ascii="宋体" w:hAnsi="宋体" w:cs="宋体"/>
                <w:szCs w:val="21"/>
              </w:rPr>
            </w:pPr>
            <w:r>
              <w:rPr>
                <w:rFonts w:hint="eastAsia" w:ascii="宋体" w:hAnsi="宋体" w:cs="宋体"/>
                <w:szCs w:val="21"/>
              </w:rPr>
              <w:t>谈判文件商务要求</w:t>
            </w:r>
          </w:p>
        </w:tc>
        <w:tc>
          <w:tcPr>
            <w:tcW w:w="2633" w:type="dxa"/>
            <w:tcBorders>
              <w:top w:val="single" w:color="auto" w:sz="4" w:space="0"/>
              <w:left w:val="single" w:color="auto" w:sz="4" w:space="0"/>
              <w:bottom w:val="single" w:color="auto" w:sz="4" w:space="0"/>
              <w:right w:val="single" w:color="auto" w:sz="4" w:space="0"/>
            </w:tcBorders>
            <w:vAlign w:val="center"/>
          </w:tcPr>
          <w:p w14:paraId="05994F6F">
            <w:pPr>
              <w:snapToGrid w:val="0"/>
              <w:spacing w:before="120" w:beforeLines="50" w:line="360" w:lineRule="auto"/>
              <w:jc w:val="center"/>
              <w:rPr>
                <w:rFonts w:hint="eastAsia" w:ascii="宋体" w:hAnsi="宋体" w:cs="宋体"/>
                <w:szCs w:val="21"/>
              </w:rPr>
            </w:pPr>
            <w:r>
              <w:rPr>
                <w:rFonts w:hint="eastAsia" w:ascii="宋体" w:hAnsi="宋体" w:cs="宋体"/>
                <w:szCs w:val="21"/>
              </w:rPr>
              <w:t>供应商的响应</w:t>
            </w:r>
          </w:p>
        </w:tc>
        <w:tc>
          <w:tcPr>
            <w:tcW w:w="1829" w:type="dxa"/>
            <w:tcBorders>
              <w:top w:val="single" w:color="auto" w:sz="4" w:space="0"/>
              <w:left w:val="single" w:color="auto" w:sz="4" w:space="0"/>
              <w:bottom w:val="single" w:color="auto" w:sz="4" w:space="0"/>
              <w:right w:val="single" w:color="auto" w:sz="4" w:space="0"/>
            </w:tcBorders>
            <w:vAlign w:val="center"/>
          </w:tcPr>
          <w:p w14:paraId="658912B0">
            <w:pPr>
              <w:snapToGrid w:val="0"/>
              <w:spacing w:before="120" w:beforeLines="50" w:line="360" w:lineRule="auto"/>
              <w:jc w:val="center"/>
              <w:rPr>
                <w:rFonts w:hint="eastAsia" w:ascii="宋体" w:hAnsi="宋体" w:cs="宋体"/>
                <w:szCs w:val="21"/>
              </w:rPr>
            </w:pPr>
            <w:r>
              <w:rPr>
                <w:rFonts w:hint="eastAsia" w:ascii="宋体" w:hAnsi="宋体" w:cs="宋体"/>
                <w:szCs w:val="21"/>
              </w:rPr>
              <w:t>偏离说明</w:t>
            </w:r>
          </w:p>
        </w:tc>
      </w:tr>
      <w:tr w14:paraId="529268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0" w:hRule="atLeast"/>
          <w:jc w:val="center"/>
        </w:trPr>
        <w:tc>
          <w:tcPr>
            <w:tcW w:w="2178" w:type="dxa"/>
            <w:tcBorders>
              <w:top w:val="single" w:color="auto" w:sz="4" w:space="0"/>
              <w:left w:val="single" w:color="auto" w:sz="4" w:space="0"/>
              <w:bottom w:val="single" w:color="auto" w:sz="4" w:space="0"/>
              <w:right w:val="single" w:color="auto" w:sz="4" w:space="0"/>
            </w:tcBorders>
            <w:vAlign w:val="center"/>
          </w:tcPr>
          <w:p w14:paraId="282D6866">
            <w:pPr>
              <w:spacing w:line="300" w:lineRule="atLeast"/>
              <w:jc w:val="center"/>
              <w:rPr>
                <w:rFonts w:hint="eastAsia" w:ascii="宋体" w:hAnsi="宋体" w:cs="宋体"/>
                <w:szCs w:val="21"/>
              </w:rPr>
            </w:pPr>
            <w:r>
              <w:rPr>
                <w:rFonts w:hint="eastAsia" w:ascii="宋体" w:hAnsi="宋体" w:cs="宋体"/>
                <w:szCs w:val="21"/>
              </w:rPr>
              <w:t>合同签订时间</w:t>
            </w:r>
          </w:p>
        </w:tc>
        <w:tc>
          <w:tcPr>
            <w:tcW w:w="2668" w:type="dxa"/>
            <w:tcBorders>
              <w:top w:val="single" w:color="auto" w:sz="4" w:space="0"/>
              <w:left w:val="single" w:color="auto" w:sz="4" w:space="0"/>
              <w:bottom w:val="single" w:color="auto" w:sz="4" w:space="0"/>
              <w:right w:val="single" w:color="auto" w:sz="4" w:space="0"/>
            </w:tcBorders>
            <w:vAlign w:val="center"/>
          </w:tcPr>
          <w:p w14:paraId="710AEA5E">
            <w:pPr>
              <w:jc w:val="center"/>
              <w:rPr>
                <w:rFonts w:hint="eastAsia" w:ascii="宋体" w:hAnsi="宋体" w:cs="宋体"/>
                <w:szCs w:val="21"/>
              </w:rPr>
            </w:pPr>
          </w:p>
        </w:tc>
        <w:tc>
          <w:tcPr>
            <w:tcW w:w="2633" w:type="dxa"/>
            <w:tcBorders>
              <w:top w:val="single" w:color="auto" w:sz="4" w:space="0"/>
              <w:left w:val="single" w:color="auto" w:sz="4" w:space="0"/>
              <w:bottom w:val="single" w:color="auto" w:sz="4" w:space="0"/>
              <w:right w:val="single" w:color="auto" w:sz="4" w:space="0"/>
            </w:tcBorders>
            <w:vAlign w:val="center"/>
          </w:tcPr>
          <w:p w14:paraId="4ACE05C5">
            <w:pPr>
              <w:snapToGrid w:val="0"/>
              <w:spacing w:before="120" w:beforeLines="50" w:line="360" w:lineRule="auto"/>
              <w:jc w:val="center"/>
              <w:rPr>
                <w:rFonts w:hint="eastAsia" w:ascii="宋体" w:hAnsi="宋体" w:cs="宋体"/>
                <w:szCs w:val="21"/>
              </w:rPr>
            </w:pPr>
          </w:p>
        </w:tc>
        <w:tc>
          <w:tcPr>
            <w:tcW w:w="1829" w:type="dxa"/>
            <w:tcBorders>
              <w:top w:val="single" w:color="auto" w:sz="4" w:space="0"/>
              <w:left w:val="single" w:color="auto" w:sz="4" w:space="0"/>
              <w:bottom w:val="single" w:color="auto" w:sz="4" w:space="0"/>
              <w:right w:val="single" w:color="auto" w:sz="4" w:space="0"/>
            </w:tcBorders>
            <w:vAlign w:val="center"/>
          </w:tcPr>
          <w:p w14:paraId="5CC02683">
            <w:pPr>
              <w:snapToGrid w:val="0"/>
              <w:spacing w:before="120" w:beforeLines="50" w:line="360" w:lineRule="auto"/>
              <w:jc w:val="center"/>
              <w:rPr>
                <w:rFonts w:hint="eastAsia" w:ascii="宋体" w:hAnsi="宋体" w:cs="宋体"/>
                <w:szCs w:val="21"/>
              </w:rPr>
            </w:pPr>
          </w:p>
        </w:tc>
      </w:tr>
      <w:tr w14:paraId="71412E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2" w:hRule="atLeast"/>
          <w:jc w:val="center"/>
        </w:trPr>
        <w:tc>
          <w:tcPr>
            <w:tcW w:w="2178" w:type="dxa"/>
            <w:tcBorders>
              <w:top w:val="single" w:color="auto" w:sz="4" w:space="0"/>
              <w:left w:val="single" w:color="auto" w:sz="4" w:space="0"/>
              <w:bottom w:val="single" w:color="auto" w:sz="4" w:space="0"/>
              <w:right w:val="single" w:color="auto" w:sz="4" w:space="0"/>
            </w:tcBorders>
            <w:vAlign w:val="center"/>
          </w:tcPr>
          <w:p w14:paraId="55C0BCF6">
            <w:pPr>
              <w:spacing w:line="400" w:lineRule="atLeast"/>
              <w:jc w:val="center"/>
              <w:rPr>
                <w:rFonts w:hint="eastAsia" w:ascii="宋体" w:hAnsi="宋体" w:cs="宋体"/>
                <w:szCs w:val="21"/>
              </w:rPr>
            </w:pPr>
            <w:r>
              <w:rPr>
                <w:rFonts w:hint="eastAsia" w:ascii="宋体" w:hAnsi="宋体" w:cs="宋体"/>
                <w:szCs w:val="21"/>
              </w:rPr>
              <w:t>竞标报价</w:t>
            </w:r>
          </w:p>
        </w:tc>
        <w:tc>
          <w:tcPr>
            <w:tcW w:w="2668" w:type="dxa"/>
            <w:tcBorders>
              <w:top w:val="single" w:color="auto" w:sz="4" w:space="0"/>
              <w:left w:val="single" w:color="auto" w:sz="4" w:space="0"/>
              <w:bottom w:val="single" w:color="auto" w:sz="4" w:space="0"/>
              <w:right w:val="single" w:color="auto" w:sz="4" w:space="0"/>
            </w:tcBorders>
            <w:vAlign w:val="center"/>
          </w:tcPr>
          <w:p w14:paraId="5E1E12DD">
            <w:pPr>
              <w:jc w:val="center"/>
              <w:rPr>
                <w:rFonts w:hint="eastAsia" w:ascii="宋体" w:hAnsi="宋体" w:cs="宋体"/>
                <w:szCs w:val="21"/>
              </w:rPr>
            </w:pPr>
          </w:p>
        </w:tc>
        <w:tc>
          <w:tcPr>
            <w:tcW w:w="2633" w:type="dxa"/>
            <w:tcBorders>
              <w:top w:val="single" w:color="auto" w:sz="4" w:space="0"/>
              <w:left w:val="single" w:color="auto" w:sz="4" w:space="0"/>
              <w:bottom w:val="single" w:color="auto" w:sz="4" w:space="0"/>
              <w:right w:val="single" w:color="auto" w:sz="4" w:space="0"/>
            </w:tcBorders>
            <w:vAlign w:val="center"/>
          </w:tcPr>
          <w:p w14:paraId="42C69EE6">
            <w:pPr>
              <w:snapToGrid w:val="0"/>
              <w:spacing w:before="120" w:beforeLines="50" w:line="360" w:lineRule="auto"/>
              <w:ind w:left="43"/>
              <w:jc w:val="center"/>
              <w:rPr>
                <w:rFonts w:hint="eastAsia" w:ascii="宋体" w:hAnsi="宋体" w:cs="宋体"/>
                <w:szCs w:val="21"/>
              </w:rPr>
            </w:pPr>
          </w:p>
        </w:tc>
        <w:tc>
          <w:tcPr>
            <w:tcW w:w="1829" w:type="dxa"/>
            <w:tcBorders>
              <w:top w:val="single" w:color="auto" w:sz="4" w:space="0"/>
              <w:left w:val="single" w:color="auto" w:sz="4" w:space="0"/>
              <w:bottom w:val="single" w:color="auto" w:sz="4" w:space="0"/>
              <w:right w:val="single" w:color="auto" w:sz="4" w:space="0"/>
            </w:tcBorders>
            <w:vAlign w:val="center"/>
          </w:tcPr>
          <w:p w14:paraId="58CAA5A2">
            <w:pPr>
              <w:snapToGrid w:val="0"/>
              <w:spacing w:before="120" w:beforeLines="50" w:line="360" w:lineRule="auto"/>
              <w:ind w:left="43"/>
              <w:jc w:val="center"/>
              <w:rPr>
                <w:rFonts w:hint="eastAsia" w:ascii="宋体" w:hAnsi="宋体" w:cs="宋体"/>
                <w:szCs w:val="21"/>
              </w:rPr>
            </w:pPr>
          </w:p>
        </w:tc>
      </w:tr>
      <w:tr w14:paraId="4C2A86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3" w:hRule="atLeast"/>
          <w:jc w:val="center"/>
        </w:trPr>
        <w:tc>
          <w:tcPr>
            <w:tcW w:w="2178" w:type="dxa"/>
            <w:tcBorders>
              <w:top w:val="single" w:color="auto" w:sz="4" w:space="0"/>
              <w:left w:val="single" w:color="auto" w:sz="4" w:space="0"/>
              <w:bottom w:val="single" w:color="auto" w:sz="4" w:space="0"/>
              <w:right w:val="single" w:color="auto" w:sz="4" w:space="0"/>
            </w:tcBorders>
            <w:vAlign w:val="center"/>
          </w:tcPr>
          <w:p w14:paraId="6C8F1416">
            <w:pPr>
              <w:spacing w:line="400" w:lineRule="atLeast"/>
              <w:jc w:val="center"/>
              <w:rPr>
                <w:rFonts w:hint="eastAsia" w:ascii="宋体" w:hAnsi="宋体" w:cs="宋体"/>
                <w:szCs w:val="21"/>
              </w:rPr>
            </w:pPr>
            <w:r>
              <w:rPr>
                <w:rFonts w:hint="eastAsia" w:ascii="宋体" w:hAnsi="宋体" w:cs="宋体"/>
                <w:szCs w:val="21"/>
              </w:rPr>
              <w:t>质保期</w:t>
            </w:r>
          </w:p>
        </w:tc>
        <w:tc>
          <w:tcPr>
            <w:tcW w:w="2668" w:type="dxa"/>
            <w:tcBorders>
              <w:top w:val="single" w:color="auto" w:sz="4" w:space="0"/>
              <w:left w:val="single" w:color="auto" w:sz="4" w:space="0"/>
              <w:bottom w:val="single" w:color="auto" w:sz="4" w:space="0"/>
              <w:right w:val="single" w:color="auto" w:sz="4" w:space="0"/>
            </w:tcBorders>
            <w:vAlign w:val="center"/>
          </w:tcPr>
          <w:p w14:paraId="48027884">
            <w:pPr>
              <w:jc w:val="center"/>
              <w:rPr>
                <w:rFonts w:hint="eastAsia" w:ascii="宋体" w:hAnsi="宋体" w:cs="宋体"/>
                <w:szCs w:val="21"/>
              </w:rPr>
            </w:pPr>
          </w:p>
        </w:tc>
        <w:tc>
          <w:tcPr>
            <w:tcW w:w="2633" w:type="dxa"/>
            <w:tcBorders>
              <w:top w:val="single" w:color="auto" w:sz="4" w:space="0"/>
              <w:left w:val="single" w:color="auto" w:sz="4" w:space="0"/>
              <w:bottom w:val="single" w:color="auto" w:sz="4" w:space="0"/>
              <w:right w:val="single" w:color="auto" w:sz="4" w:space="0"/>
            </w:tcBorders>
            <w:vAlign w:val="center"/>
          </w:tcPr>
          <w:p w14:paraId="21D648C8">
            <w:pPr>
              <w:snapToGrid w:val="0"/>
              <w:spacing w:before="120" w:beforeLines="50" w:line="360" w:lineRule="auto"/>
              <w:ind w:left="43"/>
              <w:jc w:val="center"/>
              <w:rPr>
                <w:rFonts w:hint="eastAsia" w:ascii="宋体" w:hAnsi="宋体" w:cs="宋体"/>
                <w:szCs w:val="21"/>
              </w:rPr>
            </w:pPr>
          </w:p>
        </w:tc>
        <w:tc>
          <w:tcPr>
            <w:tcW w:w="1829" w:type="dxa"/>
            <w:tcBorders>
              <w:top w:val="single" w:color="auto" w:sz="4" w:space="0"/>
              <w:left w:val="single" w:color="auto" w:sz="4" w:space="0"/>
              <w:bottom w:val="single" w:color="auto" w:sz="4" w:space="0"/>
              <w:right w:val="single" w:color="auto" w:sz="4" w:space="0"/>
            </w:tcBorders>
            <w:vAlign w:val="center"/>
          </w:tcPr>
          <w:p w14:paraId="34B2D88E">
            <w:pPr>
              <w:snapToGrid w:val="0"/>
              <w:spacing w:before="120" w:beforeLines="50" w:line="360" w:lineRule="auto"/>
              <w:ind w:left="43"/>
              <w:jc w:val="center"/>
              <w:rPr>
                <w:rFonts w:hint="eastAsia" w:ascii="宋体" w:hAnsi="宋体" w:cs="宋体"/>
                <w:szCs w:val="21"/>
              </w:rPr>
            </w:pPr>
          </w:p>
        </w:tc>
      </w:tr>
      <w:tr w14:paraId="2BAEEC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3" w:hRule="atLeast"/>
          <w:jc w:val="center"/>
        </w:trPr>
        <w:tc>
          <w:tcPr>
            <w:tcW w:w="2178" w:type="dxa"/>
            <w:tcBorders>
              <w:top w:val="single" w:color="auto" w:sz="4" w:space="0"/>
              <w:left w:val="single" w:color="auto" w:sz="4" w:space="0"/>
              <w:bottom w:val="single" w:color="auto" w:sz="4" w:space="0"/>
              <w:right w:val="single" w:color="auto" w:sz="4" w:space="0"/>
            </w:tcBorders>
            <w:vAlign w:val="center"/>
          </w:tcPr>
          <w:p w14:paraId="16729D1F">
            <w:pPr>
              <w:spacing w:line="400" w:lineRule="atLeast"/>
              <w:jc w:val="center"/>
              <w:rPr>
                <w:rFonts w:hint="eastAsia" w:ascii="宋体" w:hAnsi="宋体" w:cs="宋体"/>
                <w:szCs w:val="21"/>
              </w:rPr>
            </w:pPr>
            <w:r>
              <w:rPr>
                <w:rFonts w:hint="eastAsia" w:ascii="宋体" w:hAnsi="宋体" w:cs="宋体"/>
                <w:szCs w:val="21"/>
              </w:rPr>
              <w:t>交付的时间</w:t>
            </w:r>
          </w:p>
          <w:p w14:paraId="46026C3A">
            <w:pPr>
              <w:spacing w:line="400" w:lineRule="atLeast"/>
              <w:jc w:val="center"/>
              <w:rPr>
                <w:rFonts w:hint="eastAsia" w:ascii="宋体" w:hAnsi="宋体" w:cs="宋体"/>
                <w:szCs w:val="21"/>
              </w:rPr>
            </w:pPr>
            <w:r>
              <w:rPr>
                <w:rFonts w:hint="eastAsia" w:ascii="宋体" w:hAnsi="宋体" w:cs="宋体"/>
                <w:szCs w:val="21"/>
              </w:rPr>
              <w:t>和地点</w:t>
            </w:r>
          </w:p>
        </w:tc>
        <w:tc>
          <w:tcPr>
            <w:tcW w:w="2668" w:type="dxa"/>
            <w:tcBorders>
              <w:top w:val="single" w:color="auto" w:sz="4" w:space="0"/>
              <w:left w:val="single" w:color="auto" w:sz="4" w:space="0"/>
              <w:bottom w:val="single" w:color="auto" w:sz="4" w:space="0"/>
              <w:right w:val="single" w:color="auto" w:sz="4" w:space="0"/>
            </w:tcBorders>
            <w:vAlign w:val="center"/>
          </w:tcPr>
          <w:p w14:paraId="65FECF39">
            <w:pPr>
              <w:jc w:val="center"/>
              <w:rPr>
                <w:rFonts w:hint="eastAsia" w:ascii="宋体" w:hAnsi="宋体" w:cs="宋体"/>
                <w:szCs w:val="21"/>
              </w:rPr>
            </w:pPr>
          </w:p>
        </w:tc>
        <w:tc>
          <w:tcPr>
            <w:tcW w:w="2633" w:type="dxa"/>
            <w:tcBorders>
              <w:top w:val="single" w:color="auto" w:sz="4" w:space="0"/>
              <w:left w:val="single" w:color="auto" w:sz="4" w:space="0"/>
              <w:bottom w:val="single" w:color="auto" w:sz="4" w:space="0"/>
              <w:right w:val="single" w:color="auto" w:sz="4" w:space="0"/>
            </w:tcBorders>
            <w:vAlign w:val="center"/>
          </w:tcPr>
          <w:p w14:paraId="7B60BBF5">
            <w:pPr>
              <w:snapToGrid w:val="0"/>
              <w:spacing w:before="120" w:beforeLines="50" w:line="360" w:lineRule="auto"/>
              <w:ind w:left="43"/>
              <w:jc w:val="center"/>
              <w:rPr>
                <w:rFonts w:hint="eastAsia" w:ascii="宋体" w:hAnsi="宋体" w:cs="宋体"/>
                <w:szCs w:val="21"/>
              </w:rPr>
            </w:pPr>
          </w:p>
        </w:tc>
        <w:tc>
          <w:tcPr>
            <w:tcW w:w="1829" w:type="dxa"/>
            <w:tcBorders>
              <w:top w:val="single" w:color="auto" w:sz="4" w:space="0"/>
              <w:left w:val="single" w:color="auto" w:sz="4" w:space="0"/>
              <w:bottom w:val="single" w:color="auto" w:sz="4" w:space="0"/>
              <w:right w:val="single" w:color="auto" w:sz="4" w:space="0"/>
            </w:tcBorders>
            <w:vAlign w:val="center"/>
          </w:tcPr>
          <w:p w14:paraId="4917A8AE">
            <w:pPr>
              <w:snapToGrid w:val="0"/>
              <w:spacing w:before="120" w:beforeLines="50" w:line="360" w:lineRule="auto"/>
              <w:ind w:left="43"/>
              <w:jc w:val="center"/>
              <w:rPr>
                <w:rFonts w:hint="eastAsia" w:ascii="宋体" w:hAnsi="宋体" w:cs="宋体"/>
                <w:szCs w:val="21"/>
              </w:rPr>
            </w:pPr>
          </w:p>
        </w:tc>
      </w:tr>
      <w:tr w14:paraId="67A982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9" w:hRule="atLeast"/>
          <w:jc w:val="center"/>
        </w:trPr>
        <w:tc>
          <w:tcPr>
            <w:tcW w:w="2178" w:type="dxa"/>
            <w:tcBorders>
              <w:top w:val="single" w:color="auto" w:sz="4" w:space="0"/>
              <w:left w:val="single" w:color="auto" w:sz="4" w:space="0"/>
              <w:bottom w:val="single" w:color="auto" w:sz="4" w:space="0"/>
              <w:right w:val="single" w:color="auto" w:sz="4" w:space="0"/>
            </w:tcBorders>
            <w:vAlign w:val="center"/>
          </w:tcPr>
          <w:p w14:paraId="70B9D3E0">
            <w:pPr>
              <w:spacing w:line="400" w:lineRule="atLeast"/>
              <w:jc w:val="center"/>
              <w:rPr>
                <w:rFonts w:hint="eastAsia" w:ascii="宋体" w:hAnsi="宋体" w:cs="宋体"/>
                <w:szCs w:val="21"/>
              </w:rPr>
            </w:pPr>
            <w:r>
              <w:rPr>
                <w:rFonts w:hint="eastAsia" w:ascii="宋体" w:hAnsi="宋体" w:cs="宋体"/>
                <w:szCs w:val="21"/>
              </w:rPr>
              <w:t>售后服务要求</w:t>
            </w:r>
          </w:p>
        </w:tc>
        <w:tc>
          <w:tcPr>
            <w:tcW w:w="2668" w:type="dxa"/>
            <w:tcBorders>
              <w:top w:val="single" w:color="auto" w:sz="4" w:space="0"/>
              <w:left w:val="single" w:color="auto" w:sz="4" w:space="0"/>
              <w:bottom w:val="single" w:color="auto" w:sz="4" w:space="0"/>
              <w:right w:val="single" w:color="auto" w:sz="4" w:space="0"/>
            </w:tcBorders>
            <w:vAlign w:val="center"/>
          </w:tcPr>
          <w:p w14:paraId="24023954">
            <w:pPr>
              <w:jc w:val="center"/>
              <w:rPr>
                <w:rFonts w:hint="eastAsia" w:ascii="宋体" w:hAnsi="宋体" w:cs="宋体"/>
                <w:szCs w:val="21"/>
              </w:rPr>
            </w:pPr>
          </w:p>
        </w:tc>
        <w:tc>
          <w:tcPr>
            <w:tcW w:w="2633" w:type="dxa"/>
            <w:tcBorders>
              <w:top w:val="single" w:color="auto" w:sz="4" w:space="0"/>
              <w:left w:val="single" w:color="auto" w:sz="4" w:space="0"/>
              <w:bottom w:val="single" w:color="auto" w:sz="4" w:space="0"/>
              <w:right w:val="single" w:color="auto" w:sz="4" w:space="0"/>
            </w:tcBorders>
            <w:vAlign w:val="center"/>
          </w:tcPr>
          <w:p w14:paraId="045E1639">
            <w:pPr>
              <w:snapToGrid w:val="0"/>
              <w:spacing w:before="120" w:beforeLines="50" w:line="360" w:lineRule="auto"/>
              <w:ind w:left="43"/>
              <w:jc w:val="center"/>
              <w:rPr>
                <w:rFonts w:hint="eastAsia" w:ascii="宋体" w:hAnsi="宋体" w:cs="宋体"/>
                <w:szCs w:val="21"/>
              </w:rPr>
            </w:pPr>
          </w:p>
        </w:tc>
        <w:tc>
          <w:tcPr>
            <w:tcW w:w="1829" w:type="dxa"/>
            <w:tcBorders>
              <w:top w:val="single" w:color="auto" w:sz="4" w:space="0"/>
              <w:left w:val="single" w:color="auto" w:sz="4" w:space="0"/>
              <w:bottom w:val="single" w:color="auto" w:sz="4" w:space="0"/>
              <w:right w:val="single" w:color="auto" w:sz="4" w:space="0"/>
            </w:tcBorders>
            <w:vAlign w:val="center"/>
          </w:tcPr>
          <w:p w14:paraId="28873FDB">
            <w:pPr>
              <w:snapToGrid w:val="0"/>
              <w:spacing w:before="120" w:beforeLines="50" w:line="360" w:lineRule="auto"/>
              <w:ind w:left="43"/>
              <w:jc w:val="center"/>
              <w:rPr>
                <w:rFonts w:hint="eastAsia" w:ascii="宋体" w:hAnsi="宋体" w:cs="宋体"/>
                <w:szCs w:val="21"/>
              </w:rPr>
            </w:pPr>
          </w:p>
        </w:tc>
      </w:tr>
      <w:tr w14:paraId="37984A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9" w:hRule="atLeast"/>
          <w:jc w:val="center"/>
        </w:trPr>
        <w:tc>
          <w:tcPr>
            <w:tcW w:w="2178" w:type="dxa"/>
            <w:tcBorders>
              <w:top w:val="single" w:color="auto" w:sz="4" w:space="0"/>
              <w:left w:val="single" w:color="auto" w:sz="4" w:space="0"/>
              <w:bottom w:val="single" w:color="auto" w:sz="4" w:space="0"/>
              <w:right w:val="single" w:color="auto" w:sz="4" w:space="0"/>
            </w:tcBorders>
            <w:vAlign w:val="center"/>
          </w:tcPr>
          <w:p w14:paraId="6CFCC56B">
            <w:pPr>
              <w:spacing w:line="400" w:lineRule="atLeast"/>
              <w:jc w:val="center"/>
              <w:rPr>
                <w:rFonts w:hint="eastAsia" w:ascii="宋体" w:hAnsi="宋体"/>
                <w:szCs w:val="21"/>
              </w:rPr>
            </w:pPr>
            <w:r>
              <w:rPr>
                <w:rFonts w:hint="eastAsia" w:ascii="宋体" w:hAnsi="宋体" w:cs="宋体"/>
                <w:szCs w:val="21"/>
              </w:rPr>
              <w:t>其他要求</w:t>
            </w:r>
          </w:p>
        </w:tc>
        <w:tc>
          <w:tcPr>
            <w:tcW w:w="2668" w:type="dxa"/>
            <w:tcBorders>
              <w:top w:val="single" w:color="auto" w:sz="4" w:space="0"/>
              <w:left w:val="single" w:color="auto" w:sz="4" w:space="0"/>
              <w:bottom w:val="single" w:color="auto" w:sz="4" w:space="0"/>
              <w:right w:val="single" w:color="auto" w:sz="4" w:space="0"/>
            </w:tcBorders>
            <w:vAlign w:val="center"/>
          </w:tcPr>
          <w:p w14:paraId="382E7A74">
            <w:pPr>
              <w:jc w:val="center"/>
              <w:rPr>
                <w:rFonts w:hint="eastAsia" w:ascii="宋体" w:hAnsi="宋体" w:cs="宋体"/>
                <w:szCs w:val="21"/>
              </w:rPr>
            </w:pPr>
          </w:p>
        </w:tc>
        <w:tc>
          <w:tcPr>
            <w:tcW w:w="2633" w:type="dxa"/>
            <w:tcBorders>
              <w:top w:val="single" w:color="auto" w:sz="4" w:space="0"/>
              <w:left w:val="single" w:color="auto" w:sz="4" w:space="0"/>
              <w:bottom w:val="single" w:color="auto" w:sz="4" w:space="0"/>
              <w:right w:val="single" w:color="auto" w:sz="4" w:space="0"/>
            </w:tcBorders>
            <w:vAlign w:val="center"/>
          </w:tcPr>
          <w:p w14:paraId="6A1C9339">
            <w:pPr>
              <w:snapToGrid w:val="0"/>
              <w:spacing w:before="120" w:beforeLines="50" w:line="360" w:lineRule="auto"/>
              <w:ind w:left="43"/>
              <w:jc w:val="center"/>
              <w:rPr>
                <w:rFonts w:hint="eastAsia" w:ascii="宋体" w:hAnsi="宋体" w:cs="宋体"/>
                <w:szCs w:val="21"/>
              </w:rPr>
            </w:pPr>
          </w:p>
        </w:tc>
        <w:tc>
          <w:tcPr>
            <w:tcW w:w="1829" w:type="dxa"/>
            <w:tcBorders>
              <w:top w:val="single" w:color="auto" w:sz="4" w:space="0"/>
              <w:left w:val="single" w:color="auto" w:sz="4" w:space="0"/>
              <w:bottom w:val="single" w:color="auto" w:sz="4" w:space="0"/>
              <w:right w:val="single" w:color="auto" w:sz="4" w:space="0"/>
            </w:tcBorders>
            <w:vAlign w:val="center"/>
          </w:tcPr>
          <w:p w14:paraId="6548DECD">
            <w:pPr>
              <w:snapToGrid w:val="0"/>
              <w:spacing w:before="120" w:beforeLines="50" w:line="360" w:lineRule="auto"/>
              <w:ind w:left="43"/>
              <w:jc w:val="center"/>
              <w:rPr>
                <w:rFonts w:hint="eastAsia" w:ascii="宋体" w:hAnsi="宋体" w:cs="宋体"/>
                <w:szCs w:val="21"/>
              </w:rPr>
            </w:pPr>
          </w:p>
        </w:tc>
      </w:tr>
      <w:tr w14:paraId="14E190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9" w:hRule="atLeast"/>
          <w:jc w:val="center"/>
        </w:trPr>
        <w:tc>
          <w:tcPr>
            <w:tcW w:w="2178" w:type="dxa"/>
            <w:tcBorders>
              <w:top w:val="single" w:color="auto" w:sz="4" w:space="0"/>
              <w:left w:val="single" w:color="auto" w:sz="4" w:space="0"/>
              <w:bottom w:val="single" w:color="auto" w:sz="4" w:space="0"/>
              <w:right w:val="single" w:color="auto" w:sz="4" w:space="0"/>
            </w:tcBorders>
            <w:vAlign w:val="center"/>
          </w:tcPr>
          <w:p w14:paraId="686707B2">
            <w:pPr>
              <w:spacing w:line="400" w:lineRule="atLeast"/>
              <w:jc w:val="center"/>
              <w:rPr>
                <w:rFonts w:hint="eastAsia" w:ascii="宋体" w:hAnsi="宋体" w:cs="宋体"/>
                <w:szCs w:val="21"/>
              </w:rPr>
            </w:pPr>
            <w:r>
              <w:rPr>
                <w:rFonts w:hint="eastAsia" w:ascii="宋体" w:hAnsi="宋体" w:cs="宋体"/>
                <w:szCs w:val="21"/>
              </w:rPr>
              <w:t>付款条件</w:t>
            </w:r>
          </w:p>
        </w:tc>
        <w:tc>
          <w:tcPr>
            <w:tcW w:w="2668" w:type="dxa"/>
            <w:tcBorders>
              <w:top w:val="single" w:color="auto" w:sz="4" w:space="0"/>
              <w:left w:val="single" w:color="auto" w:sz="4" w:space="0"/>
              <w:bottom w:val="single" w:color="auto" w:sz="4" w:space="0"/>
              <w:right w:val="single" w:color="auto" w:sz="4" w:space="0"/>
            </w:tcBorders>
            <w:vAlign w:val="center"/>
          </w:tcPr>
          <w:p w14:paraId="539F1972">
            <w:pPr>
              <w:jc w:val="center"/>
              <w:rPr>
                <w:rFonts w:hint="eastAsia" w:ascii="宋体" w:hAnsi="宋体" w:cs="宋体"/>
                <w:szCs w:val="21"/>
              </w:rPr>
            </w:pPr>
          </w:p>
        </w:tc>
        <w:tc>
          <w:tcPr>
            <w:tcW w:w="2633" w:type="dxa"/>
            <w:tcBorders>
              <w:top w:val="single" w:color="auto" w:sz="4" w:space="0"/>
              <w:left w:val="single" w:color="auto" w:sz="4" w:space="0"/>
              <w:bottom w:val="single" w:color="auto" w:sz="4" w:space="0"/>
              <w:right w:val="single" w:color="auto" w:sz="4" w:space="0"/>
            </w:tcBorders>
            <w:vAlign w:val="center"/>
          </w:tcPr>
          <w:p w14:paraId="19A005D4">
            <w:pPr>
              <w:snapToGrid w:val="0"/>
              <w:spacing w:before="120" w:beforeLines="50" w:line="360" w:lineRule="auto"/>
              <w:ind w:left="43"/>
              <w:jc w:val="center"/>
              <w:rPr>
                <w:rFonts w:hint="eastAsia" w:ascii="宋体" w:hAnsi="宋体" w:cs="宋体"/>
                <w:szCs w:val="21"/>
              </w:rPr>
            </w:pPr>
          </w:p>
        </w:tc>
        <w:tc>
          <w:tcPr>
            <w:tcW w:w="1829" w:type="dxa"/>
            <w:tcBorders>
              <w:top w:val="single" w:color="auto" w:sz="4" w:space="0"/>
              <w:left w:val="single" w:color="auto" w:sz="4" w:space="0"/>
              <w:bottom w:val="single" w:color="auto" w:sz="4" w:space="0"/>
              <w:right w:val="single" w:color="auto" w:sz="4" w:space="0"/>
            </w:tcBorders>
            <w:vAlign w:val="center"/>
          </w:tcPr>
          <w:p w14:paraId="2B0C6092">
            <w:pPr>
              <w:snapToGrid w:val="0"/>
              <w:spacing w:before="120" w:beforeLines="50" w:line="360" w:lineRule="auto"/>
              <w:ind w:left="43"/>
              <w:jc w:val="center"/>
              <w:rPr>
                <w:rFonts w:hint="eastAsia" w:ascii="宋体" w:hAnsi="宋体" w:cs="宋体"/>
                <w:szCs w:val="21"/>
              </w:rPr>
            </w:pPr>
          </w:p>
        </w:tc>
      </w:tr>
      <w:tr w14:paraId="0729C5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3" w:hRule="atLeast"/>
          <w:jc w:val="center"/>
        </w:trPr>
        <w:tc>
          <w:tcPr>
            <w:tcW w:w="2178" w:type="dxa"/>
            <w:tcBorders>
              <w:top w:val="single" w:color="auto" w:sz="4" w:space="0"/>
              <w:left w:val="single" w:color="auto" w:sz="4" w:space="0"/>
              <w:bottom w:val="single" w:color="auto" w:sz="4" w:space="0"/>
              <w:right w:val="single" w:color="auto" w:sz="4" w:space="0"/>
            </w:tcBorders>
            <w:vAlign w:val="center"/>
          </w:tcPr>
          <w:p w14:paraId="2C75AD21">
            <w:pPr>
              <w:spacing w:line="300" w:lineRule="atLeast"/>
              <w:jc w:val="center"/>
              <w:rPr>
                <w:rFonts w:hint="eastAsia" w:ascii="宋体" w:hAnsi="宋体" w:cs="宋体"/>
                <w:szCs w:val="21"/>
              </w:rPr>
            </w:pPr>
            <w:r>
              <w:rPr>
                <w:rFonts w:ascii="宋体" w:hAnsi="宋体" w:cs="宋体"/>
                <w:szCs w:val="21"/>
              </w:rPr>
              <w:t>……</w:t>
            </w:r>
          </w:p>
        </w:tc>
        <w:tc>
          <w:tcPr>
            <w:tcW w:w="2668" w:type="dxa"/>
            <w:tcBorders>
              <w:top w:val="single" w:color="auto" w:sz="4" w:space="0"/>
              <w:left w:val="single" w:color="auto" w:sz="4" w:space="0"/>
              <w:bottom w:val="single" w:color="auto" w:sz="4" w:space="0"/>
              <w:right w:val="single" w:color="auto" w:sz="4" w:space="0"/>
            </w:tcBorders>
            <w:vAlign w:val="center"/>
          </w:tcPr>
          <w:p w14:paraId="397F9984">
            <w:pPr>
              <w:jc w:val="center"/>
              <w:rPr>
                <w:rFonts w:hint="eastAsia" w:ascii="宋体" w:hAnsi="宋体" w:cs="宋体"/>
                <w:szCs w:val="21"/>
              </w:rPr>
            </w:pPr>
          </w:p>
        </w:tc>
        <w:tc>
          <w:tcPr>
            <w:tcW w:w="2633" w:type="dxa"/>
            <w:tcBorders>
              <w:top w:val="single" w:color="auto" w:sz="4" w:space="0"/>
              <w:left w:val="single" w:color="auto" w:sz="4" w:space="0"/>
              <w:bottom w:val="single" w:color="auto" w:sz="4" w:space="0"/>
              <w:right w:val="single" w:color="auto" w:sz="4" w:space="0"/>
            </w:tcBorders>
            <w:vAlign w:val="center"/>
          </w:tcPr>
          <w:p w14:paraId="6F311E37">
            <w:pPr>
              <w:snapToGrid w:val="0"/>
              <w:spacing w:before="120" w:beforeLines="50" w:line="360" w:lineRule="auto"/>
              <w:ind w:left="43"/>
              <w:jc w:val="center"/>
              <w:rPr>
                <w:rFonts w:hint="eastAsia" w:ascii="宋体" w:hAnsi="宋体" w:cs="宋体"/>
                <w:szCs w:val="21"/>
              </w:rPr>
            </w:pPr>
          </w:p>
        </w:tc>
        <w:tc>
          <w:tcPr>
            <w:tcW w:w="1829" w:type="dxa"/>
            <w:tcBorders>
              <w:top w:val="single" w:color="auto" w:sz="4" w:space="0"/>
              <w:left w:val="single" w:color="auto" w:sz="4" w:space="0"/>
              <w:bottom w:val="single" w:color="auto" w:sz="4" w:space="0"/>
              <w:right w:val="single" w:color="auto" w:sz="4" w:space="0"/>
            </w:tcBorders>
            <w:vAlign w:val="center"/>
          </w:tcPr>
          <w:p w14:paraId="4A6105D6">
            <w:pPr>
              <w:snapToGrid w:val="0"/>
              <w:spacing w:before="120" w:beforeLines="50" w:line="360" w:lineRule="auto"/>
              <w:ind w:left="43"/>
              <w:jc w:val="center"/>
              <w:rPr>
                <w:rFonts w:hint="eastAsia" w:ascii="宋体" w:hAnsi="宋体" w:cs="宋体"/>
                <w:szCs w:val="21"/>
              </w:rPr>
            </w:pPr>
          </w:p>
        </w:tc>
      </w:tr>
    </w:tbl>
    <w:p w14:paraId="6881E2CC">
      <w:pPr>
        <w:pStyle w:val="11"/>
        <w:spacing w:after="0" w:line="360" w:lineRule="auto"/>
        <w:contextualSpacing/>
        <w:rPr>
          <w:rFonts w:hint="eastAsia" w:ascii="宋体" w:hAnsi="宋体"/>
          <w:kern w:val="0"/>
          <w:sz w:val="24"/>
          <w:szCs w:val="24"/>
        </w:rPr>
      </w:pPr>
      <w:r>
        <w:rPr>
          <w:rFonts w:hint="eastAsia" w:ascii="宋体" w:hAnsi="宋体"/>
          <w:kern w:val="0"/>
          <w:sz w:val="24"/>
          <w:szCs w:val="24"/>
        </w:rPr>
        <w:t>注：</w:t>
      </w:r>
    </w:p>
    <w:p w14:paraId="59E69A2E">
      <w:pPr>
        <w:pStyle w:val="11"/>
        <w:spacing w:after="0" w:line="360" w:lineRule="auto"/>
        <w:contextualSpacing/>
        <w:rPr>
          <w:rFonts w:hint="eastAsia" w:ascii="宋体" w:hAnsi="宋体"/>
          <w:kern w:val="0"/>
          <w:sz w:val="24"/>
          <w:szCs w:val="24"/>
        </w:rPr>
      </w:pPr>
      <w:r>
        <w:rPr>
          <w:rFonts w:hint="eastAsia" w:ascii="宋体" w:hAnsi="宋体"/>
          <w:kern w:val="0"/>
          <w:sz w:val="24"/>
          <w:szCs w:val="24"/>
        </w:rPr>
        <w:t>1. 说明：应对照谈判文件“第三章 采购需求”中的商务要求逐条明确响应，并作出偏离说明。</w:t>
      </w:r>
    </w:p>
    <w:p w14:paraId="7EB5AA07">
      <w:pPr>
        <w:pStyle w:val="11"/>
        <w:spacing w:after="0" w:line="360" w:lineRule="auto"/>
        <w:contextualSpacing/>
        <w:rPr>
          <w:rFonts w:hint="eastAsia" w:ascii="宋体" w:hAnsi="宋体"/>
          <w:kern w:val="0"/>
          <w:sz w:val="24"/>
          <w:szCs w:val="24"/>
        </w:rPr>
      </w:pPr>
      <w:r>
        <w:rPr>
          <w:rFonts w:hint="eastAsia" w:ascii="宋体" w:hAnsi="宋体"/>
          <w:kern w:val="0"/>
          <w:sz w:val="24"/>
          <w:szCs w:val="24"/>
        </w:rPr>
        <w:t>2.供应商应根据自身的承诺，对照谈判文件要求在“偏离说明”中注明“正偏离”、“负偏离”或者“无偏离”。既不属于“正偏离”也不属于“负偏离”即为“无偏离”。</w:t>
      </w:r>
    </w:p>
    <w:p w14:paraId="1A48CE26">
      <w:pPr>
        <w:spacing w:line="360" w:lineRule="auto"/>
        <w:contextualSpacing/>
        <w:jc w:val="left"/>
        <w:rPr>
          <w:rFonts w:hint="eastAsia" w:ascii="宋体" w:hAnsi="宋体" w:cs="仿宋_GB2312"/>
          <w:sz w:val="24"/>
          <w:u w:val="single"/>
        </w:rPr>
      </w:pPr>
    </w:p>
    <w:p w14:paraId="7619482A">
      <w:pPr>
        <w:spacing w:line="360" w:lineRule="auto"/>
        <w:contextualSpacing/>
        <w:jc w:val="left"/>
        <w:rPr>
          <w:rFonts w:hint="eastAsia" w:ascii="宋体" w:hAnsi="宋体" w:cs="仿宋_GB2312"/>
          <w:sz w:val="24"/>
          <w:u w:val="single"/>
        </w:rPr>
      </w:pPr>
    </w:p>
    <w:p w14:paraId="42F27496">
      <w:pPr>
        <w:spacing w:line="360" w:lineRule="auto"/>
        <w:ind w:right="-817" w:rightChars="-389"/>
        <w:contextualSpacing/>
        <w:jc w:val="center"/>
        <w:rPr>
          <w:rFonts w:hint="eastAsia" w:ascii="宋体" w:hAnsi="宋体" w:cs="仿宋_GB2312"/>
          <w:sz w:val="24"/>
        </w:rPr>
      </w:pPr>
      <w:r>
        <w:rPr>
          <w:rFonts w:hint="eastAsia" w:ascii="宋体" w:hAnsi="宋体" w:cs="仿宋_GB2312"/>
          <w:sz w:val="24"/>
        </w:rPr>
        <w:t>法定代表人或者委托代理人（签字或者电子签名）：</w:t>
      </w:r>
    </w:p>
    <w:p w14:paraId="6A6F65BF">
      <w:pPr>
        <w:spacing w:line="360" w:lineRule="auto"/>
        <w:ind w:right="-817" w:rightChars="-389" w:firstLine="2880" w:firstLineChars="1200"/>
        <w:contextualSpacing/>
        <w:rPr>
          <w:rFonts w:hint="eastAsia" w:ascii="宋体" w:hAnsi="宋体" w:cs="仿宋_GB2312"/>
          <w:sz w:val="24"/>
        </w:rPr>
      </w:pPr>
      <w:r>
        <w:rPr>
          <w:rFonts w:hint="eastAsia" w:ascii="宋体" w:hAnsi="宋体" w:cs="仿宋_GB2312"/>
          <w:sz w:val="24"/>
        </w:rPr>
        <w:t xml:space="preserve">供应商（电子签章）：      </w:t>
      </w:r>
    </w:p>
    <w:p w14:paraId="4E9F469F">
      <w:pPr>
        <w:spacing w:line="360" w:lineRule="auto"/>
        <w:ind w:right="-817" w:rightChars="-389" w:firstLine="2880" w:firstLineChars="1200"/>
        <w:contextualSpacing/>
        <w:rPr>
          <w:rFonts w:hint="eastAsia" w:ascii="宋体" w:hAnsi="宋体" w:cs="仿宋_GB2312"/>
          <w:sz w:val="24"/>
        </w:rPr>
      </w:pPr>
      <w:r>
        <w:rPr>
          <w:rFonts w:hint="eastAsia" w:ascii="宋体" w:hAnsi="宋体" w:cs="仿宋_GB2312"/>
          <w:sz w:val="24"/>
        </w:rPr>
        <w:t>日期：   年   月   日</w:t>
      </w:r>
    </w:p>
    <w:p w14:paraId="4F6533BA">
      <w:pPr>
        <w:spacing w:line="360" w:lineRule="auto"/>
        <w:ind w:right="-817" w:rightChars="-389" w:firstLine="2880" w:firstLineChars="1200"/>
        <w:contextualSpacing/>
        <w:rPr>
          <w:rFonts w:hint="eastAsia" w:ascii="宋体" w:hAnsi="宋体" w:cs="仿宋_GB2312"/>
          <w:sz w:val="24"/>
        </w:rPr>
      </w:pPr>
    </w:p>
    <w:p w14:paraId="787E4AF9">
      <w:pPr>
        <w:spacing w:line="360" w:lineRule="auto"/>
        <w:ind w:right="-817" w:rightChars="-389" w:firstLine="2880" w:firstLineChars="1200"/>
        <w:contextualSpacing/>
        <w:rPr>
          <w:rFonts w:hint="eastAsia" w:ascii="宋体" w:hAnsi="宋体" w:cs="仿宋_GB2312"/>
          <w:sz w:val="24"/>
        </w:rPr>
      </w:pPr>
    </w:p>
    <w:p w14:paraId="200F1B95">
      <w:pPr>
        <w:spacing w:line="360" w:lineRule="auto"/>
        <w:ind w:right="-817" w:rightChars="-389" w:firstLine="2880" w:firstLineChars="1200"/>
        <w:contextualSpacing/>
        <w:rPr>
          <w:rFonts w:hint="eastAsia" w:ascii="宋体" w:hAnsi="宋体" w:cs="仿宋_GB2312"/>
          <w:sz w:val="24"/>
        </w:rPr>
      </w:pPr>
    </w:p>
    <w:p w14:paraId="7EA1F6F8">
      <w:pPr>
        <w:spacing w:line="360" w:lineRule="auto"/>
        <w:ind w:right="-817" w:rightChars="-389" w:firstLine="2880" w:firstLineChars="1200"/>
        <w:contextualSpacing/>
        <w:rPr>
          <w:rFonts w:hint="eastAsia" w:ascii="宋体" w:hAnsi="宋体" w:cs="仿宋_GB2312"/>
          <w:sz w:val="24"/>
        </w:rPr>
      </w:pPr>
    </w:p>
    <w:p w14:paraId="268C921D">
      <w:pPr>
        <w:adjustRightInd w:val="0"/>
        <w:snapToGrid w:val="0"/>
        <w:spacing w:line="300" w:lineRule="auto"/>
        <w:rPr>
          <w:rFonts w:hint="eastAsia" w:ascii="方正小标宋简体" w:hAnsi="方正小标宋简体" w:eastAsia="方正小标宋简体" w:cs="方正小标宋简体"/>
          <w:bCs/>
          <w:sz w:val="44"/>
          <w:szCs w:val="44"/>
        </w:rPr>
      </w:pPr>
    </w:p>
    <w:p w14:paraId="79CE2C7C">
      <w:pPr>
        <w:adjustRightInd w:val="0"/>
        <w:snapToGrid w:val="0"/>
        <w:spacing w:line="520" w:lineRule="exact"/>
        <w:jc w:val="center"/>
        <w:rPr>
          <w:rFonts w:hint="eastAsia" w:ascii="宋体" w:hAnsi="宋体"/>
          <w:b/>
          <w:sz w:val="32"/>
          <w:szCs w:val="32"/>
        </w:rPr>
      </w:pPr>
      <w:r>
        <w:rPr>
          <w:rFonts w:hint="eastAsia" w:ascii="方正小标宋简体" w:hAnsi="方正小标宋简体" w:eastAsia="方正小标宋简体" w:cs="方正小标宋简体"/>
          <w:bCs/>
          <w:sz w:val="44"/>
          <w:szCs w:val="44"/>
        </w:rPr>
        <w:t>货物配置清单</w:t>
      </w:r>
    </w:p>
    <w:p w14:paraId="758D9BF6">
      <w:pPr>
        <w:spacing w:line="300" w:lineRule="auto"/>
        <w:rPr>
          <w:rFonts w:hint="eastAsia" w:ascii="宋体" w:hAnsi="宋体"/>
          <w:szCs w:val="21"/>
        </w:rPr>
      </w:pPr>
    </w:p>
    <w:p w14:paraId="54A52394">
      <w:pPr>
        <w:spacing w:line="360" w:lineRule="auto"/>
        <w:rPr>
          <w:rFonts w:hint="eastAsia" w:ascii="宋体" w:hAnsi="宋体" w:cs="仿宋_GB2312"/>
          <w:sz w:val="24"/>
        </w:rPr>
      </w:pPr>
      <w:r>
        <w:rPr>
          <w:rFonts w:hint="eastAsia" w:ascii="宋体" w:hAnsi="宋体" w:cs="仿宋_GB2312"/>
          <w:sz w:val="24"/>
        </w:rPr>
        <w:t>项目编号：</w:t>
      </w:r>
      <w:r>
        <w:rPr>
          <w:rFonts w:hint="eastAsia" w:ascii="宋体" w:hAnsi="宋体" w:cs="仿宋_GB2312"/>
          <w:sz w:val="24"/>
          <w:u w:val="single"/>
        </w:rPr>
        <w:t xml:space="preserve">                 </w:t>
      </w:r>
      <w:r>
        <w:rPr>
          <w:rFonts w:hint="eastAsia" w:ascii="宋体" w:hAnsi="宋体" w:cs="仿宋_GB2312"/>
          <w:sz w:val="24"/>
        </w:rPr>
        <w:t xml:space="preserve"> </w:t>
      </w:r>
    </w:p>
    <w:p w14:paraId="5E52BE4E">
      <w:pPr>
        <w:spacing w:line="360" w:lineRule="auto"/>
        <w:rPr>
          <w:rFonts w:hint="eastAsia" w:ascii="宋体" w:hAnsi="宋体" w:cs="仿宋_GB2312"/>
          <w:sz w:val="24"/>
        </w:rPr>
      </w:pPr>
      <w:r>
        <w:rPr>
          <w:rFonts w:hint="eastAsia" w:ascii="宋体" w:hAnsi="宋体" w:cs="仿宋_GB2312"/>
          <w:sz w:val="24"/>
        </w:rPr>
        <w:t>项目名称：</w:t>
      </w:r>
      <w:r>
        <w:rPr>
          <w:rFonts w:hint="eastAsia" w:ascii="宋体" w:hAnsi="宋体" w:cs="仿宋_GB2312"/>
          <w:sz w:val="24"/>
          <w:u w:val="single"/>
        </w:rPr>
        <w:t xml:space="preserve">                 </w:t>
      </w:r>
      <w:r>
        <w:rPr>
          <w:rFonts w:hint="eastAsia" w:ascii="宋体" w:hAnsi="宋体" w:cs="仿宋_GB2312"/>
          <w:sz w:val="24"/>
        </w:rPr>
        <w:t xml:space="preserve"> </w:t>
      </w:r>
    </w:p>
    <w:tbl>
      <w:tblPr>
        <w:tblStyle w:val="24"/>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23"/>
        <w:gridCol w:w="1387"/>
        <w:gridCol w:w="895"/>
        <w:gridCol w:w="997"/>
        <w:gridCol w:w="1989"/>
        <w:gridCol w:w="1387"/>
        <w:gridCol w:w="821"/>
        <w:gridCol w:w="1667"/>
      </w:tblGrid>
      <w:tr w14:paraId="00FCE4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413" w:type="pct"/>
            <w:tcBorders>
              <w:top w:val="single" w:color="auto" w:sz="4" w:space="0"/>
              <w:left w:val="single" w:color="auto" w:sz="4" w:space="0"/>
              <w:bottom w:val="single" w:color="auto" w:sz="4" w:space="0"/>
              <w:right w:val="single" w:color="auto" w:sz="4" w:space="0"/>
            </w:tcBorders>
            <w:vAlign w:val="center"/>
          </w:tcPr>
          <w:p w14:paraId="275B9280">
            <w:pPr>
              <w:snapToGrid w:val="0"/>
              <w:spacing w:before="50" w:after="50"/>
              <w:jc w:val="center"/>
              <w:rPr>
                <w:rFonts w:hint="eastAsia" w:ascii="宋体" w:hAnsi="宋体"/>
                <w:sz w:val="24"/>
              </w:rPr>
            </w:pPr>
            <w:r>
              <w:rPr>
                <w:rFonts w:hint="eastAsia" w:ascii="宋体" w:hAnsi="宋体"/>
                <w:sz w:val="24"/>
              </w:rPr>
              <w:t>序号</w:t>
            </w:r>
          </w:p>
        </w:tc>
        <w:tc>
          <w:tcPr>
            <w:tcW w:w="696" w:type="pct"/>
            <w:tcBorders>
              <w:top w:val="single" w:color="auto" w:sz="4" w:space="0"/>
              <w:left w:val="single" w:color="auto" w:sz="4" w:space="0"/>
              <w:bottom w:val="single" w:color="auto" w:sz="4" w:space="0"/>
              <w:right w:val="single" w:color="auto" w:sz="4" w:space="0"/>
            </w:tcBorders>
            <w:vAlign w:val="center"/>
          </w:tcPr>
          <w:p w14:paraId="7F0FFC02">
            <w:pPr>
              <w:snapToGrid w:val="0"/>
              <w:spacing w:before="50" w:after="50"/>
              <w:jc w:val="center"/>
              <w:rPr>
                <w:rFonts w:hint="eastAsia" w:ascii="宋体" w:hAnsi="宋体"/>
                <w:sz w:val="24"/>
              </w:rPr>
            </w:pPr>
            <w:r>
              <w:rPr>
                <w:rFonts w:hint="eastAsia" w:ascii="宋体" w:hAnsi="宋体"/>
                <w:sz w:val="24"/>
              </w:rPr>
              <w:t>货物名称</w:t>
            </w:r>
          </w:p>
        </w:tc>
        <w:tc>
          <w:tcPr>
            <w:tcW w:w="449" w:type="pct"/>
            <w:tcBorders>
              <w:top w:val="single" w:color="auto" w:sz="4" w:space="0"/>
              <w:left w:val="single" w:color="auto" w:sz="4" w:space="0"/>
              <w:bottom w:val="single" w:color="auto" w:sz="4" w:space="0"/>
              <w:right w:val="single" w:color="auto" w:sz="4" w:space="0"/>
            </w:tcBorders>
            <w:vAlign w:val="center"/>
          </w:tcPr>
          <w:p w14:paraId="2343CBD2">
            <w:pPr>
              <w:snapToGrid w:val="0"/>
              <w:spacing w:before="50" w:after="50"/>
              <w:jc w:val="center"/>
              <w:rPr>
                <w:rFonts w:hint="eastAsia" w:ascii="宋体" w:hAnsi="宋体"/>
                <w:sz w:val="24"/>
              </w:rPr>
            </w:pPr>
            <w:r>
              <w:rPr>
                <w:rFonts w:hint="eastAsia" w:ascii="宋体" w:hAnsi="宋体"/>
                <w:sz w:val="24"/>
              </w:rPr>
              <w:t>数量及单位</w:t>
            </w:r>
          </w:p>
        </w:tc>
        <w:tc>
          <w:tcPr>
            <w:tcW w:w="500" w:type="pct"/>
            <w:tcBorders>
              <w:top w:val="single" w:color="auto" w:sz="4" w:space="0"/>
              <w:left w:val="single" w:color="auto" w:sz="4" w:space="0"/>
              <w:bottom w:val="single" w:color="auto" w:sz="4" w:space="0"/>
              <w:right w:val="single" w:color="auto" w:sz="4" w:space="0"/>
            </w:tcBorders>
            <w:vAlign w:val="center"/>
          </w:tcPr>
          <w:p w14:paraId="7AEEEAC3">
            <w:pPr>
              <w:snapToGrid w:val="0"/>
              <w:spacing w:before="50" w:after="50"/>
              <w:jc w:val="center"/>
              <w:rPr>
                <w:rFonts w:hint="eastAsia" w:ascii="宋体" w:hAnsi="宋体"/>
                <w:sz w:val="24"/>
              </w:rPr>
            </w:pPr>
            <w:r>
              <w:rPr>
                <w:rFonts w:hint="eastAsia" w:ascii="宋体" w:hAnsi="宋体"/>
                <w:sz w:val="24"/>
              </w:rPr>
              <w:t>品牌</w:t>
            </w:r>
          </w:p>
        </w:tc>
        <w:tc>
          <w:tcPr>
            <w:tcW w:w="998" w:type="pct"/>
            <w:tcBorders>
              <w:top w:val="single" w:color="auto" w:sz="4" w:space="0"/>
              <w:left w:val="single" w:color="auto" w:sz="4" w:space="0"/>
              <w:bottom w:val="single" w:color="auto" w:sz="4" w:space="0"/>
              <w:right w:val="single" w:color="auto" w:sz="4" w:space="0"/>
            </w:tcBorders>
          </w:tcPr>
          <w:p w14:paraId="3AB132E0">
            <w:pPr>
              <w:snapToGrid w:val="0"/>
              <w:spacing w:before="50" w:after="50"/>
              <w:jc w:val="center"/>
              <w:rPr>
                <w:rFonts w:hint="eastAsia" w:ascii="宋体" w:hAnsi="宋体"/>
                <w:sz w:val="24"/>
              </w:rPr>
            </w:pPr>
          </w:p>
          <w:p w14:paraId="3AF994EA">
            <w:pPr>
              <w:snapToGrid w:val="0"/>
              <w:spacing w:before="50" w:after="50"/>
              <w:jc w:val="center"/>
              <w:rPr>
                <w:rFonts w:hint="eastAsia" w:ascii="宋体" w:hAnsi="宋体"/>
                <w:sz w:val="24"/>
              </w:rPr>
            </w:pPr>
            <w:r>
              <w:rPr>
                <w:rFonts w:hint="eastAsia" w:ascii="宋体" w:hAnsi="宋体"/>
                <w:sz w:val="24"/>
              </w:rPr>
              <w:t>规格型号</w:t>
            </w:r>
          </w:p>
        </w:tc>
        <w:tc>
          <w:tcPr>
            <w:tcW w:w="696" w:type="pct"/>
            <w:tcBorders>
              <w:top w:val="single" w:color="auto" w:sz="4" w:space="0"/>
              <w:left w:val="single" w:color="auto" w:sz="4" w:space="0"/>
              <w:bottom w:val="single" w:color="auto" w:sz="4" w:space="0"/>
              <w:right w:val="single" w:color="auto" w:sz="4" w:space="0"/>
            </w:tcBorders>
            <w:vAlign w:val="center"/>
          </w:tcPr>
          <w:p w14:paraId="13D2B12C">
            <w:pPr>
              <w:snapToGrid w:val="0"/>
              <w:spacing w:before="50" w:after="50"/>
              <w:jc w:val="center"/>
              <w:rPr>
                <w:rFonts w:hint="eastAsia" w:ascii="宋体" w:hAnsi="宋体"/>
                <w:sz w:val="24"/>
              </w:rPr>
            </w:pPr>
            <w:r>
              <w:rPr>
                <w:rFonts w:hint="eastAsia" w:ascii="宋体" w:hAnsi="宋体"/>
                <w:sz w:val="24"/>
              </w:rPr>
              <w:t>制造商</w:t>
            </w:r>
          </w:p>
        </w:tc>
        <w:tc>
          <w:tcPr>
            <w:tcW w:w="412" w:type="pct"/>
            <w:tcBorders>
              <w:top w:val="single" w:color="auto" w:sz="4" w:space="0"/>
              <w:left w:val="single" w:color="auto" w:sz="4" w:space="0"/>
              <w:bottom w:val="single" w:color="auto" w:sz="4" w:space="0"/>
              <w:right w:val="single" w:color="auto" w:sz="4" w:space="0"/>
            </w:tcBorders>
            <w:vAlign w:val="center"/>
          </w:tcPr>
          <w:p w14:paraId="14E3A87F">
            <w:pPr>
              <w:snapToGrid w:val="0"/>
              <w:spacing w:before="50" w:after="50"/>
              <w:jc w:val="center"/>
              <w:rPr>
                <w:rFonts w:hint="eastAsia" w:ascii="宋体" w:hAnsi="宋体"/>
                <w:sz w:val="24"/>
              </w:rPr>
            </w:pPr>
            <w:r>
              <w:rPr>
                <w:rFonts w:hint="eastAsia" w:ascii="宋体" w:hAnsi="宋体"/>
                <w:sz w:val="24"/>
              </w:rPr>
              <w:t>原产地</w:t>
            </w:r>
          </w:p>
        </w:tc>
        <w:tc>
          <w:tcPr>
            <w:tcW w:w="836" w:type="pct"/>
            <w:tcBorders>
              <w:top w:val="single" w:color="auto" w:sz="4" w:space="0"/>
              <w:left w:val="single" w:color="auto" w:sz="4" w:space="0"/>
              <w:bottom w:val="single" w:color="auto" w:sz="4" w:space="0"/>
              <w:right w:val="single" w:color="auto" w:sz="4" w:space="0"/>
            </w:tcBorders>
            <w:vAlign w:val="center"/>
          </w:tcPr>
          <w:p w14:paraId="7CC3DCDC">
            <w:pPr>
              <w:snapToGrid w:val="0"/>
              <w:spacing w:before="50" w:after="50"/>
              <w:jc w:val="center"/>
              <w:rPr>
                <w:rFonts w:hint="eastAsia" w:ascii="宋体" w:hAnsi="宋体"/>
                <w:sz w:val="24"/>
              </w:rPr>
            </w:pPr>
            <w:r>
              <w:rPr>
                <w:rFonts w:hint="eastAsia" w:ascii="宋体" w:hAnsi="宋体"/>
                <w:sz w:val="24"/>
              </w:rPr>
              <w:t>参数性能、指标及配置</w:t>
            </w:r>
          </w:p>
        </w:tc>
      </w:tr>
      <w:tr w14:paraId="6C6905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9" w:hRule="atLeast"/>
          <w:jc w:val="center"/>
        </w:trPr>
        <w:tc>
          <w:tcPr>
            <w:tcW w:w="413" w:type="pct"/>
            <w:tcBorders>
              <w:top w:val="single" w:color="auto" w:sz="4" w:space="0"/>
              <w:left w:val="single" w:color="auto" w:sz="4" w:space="0"/>
              <w:bottom w:val="single" w:color="auto" w:sz="4" w:space="0"/>
              <w:right w:val="single" w:color="auto" w:sz="4" w:space="0"/>
            </w:tcBorders>
            <w:vAlign w:val="center"/>
          </w:tcPr>
          <w:p w14:paraId="00C87160">
            <w:pPr>
              <w:snapToGrid w:val="0"/>
              <w:spacing w:before="50" w:after="50"/>
              <w:jc w:val="center"/>
              <w:rPr>
                <w:rFonts w:hint="eastAsia" w:ascii="宋体" w:hAnsi="宋体"/>
                <w:sz w:val="24"/>
              </w:rPr>
            </w:pPr>
          </w:p>
        </w:tc>
        <w:tc>
          <w:tcPr>
            <w:tcW w:w="696" w:type="pct"/>
            <w:tcBorders>
              <w:top w:val="single" w:color="auto" w:sz="4" w:space="0"/>
              <w:left w:val="single" w:color="auto" w:sz="4" w:space="0"/>
              <w:bottom w:val="single" w:color="auto" w:sz="4" w:space="0"/>
              <w:right w:val="single" w:color="auto" w:sz="4" w:space="0"/>
            </w:tcBorders>
            <w:vAlign w:val="center"/>
          </w:tcPr>
          <w:p w14:paraId="24B229DF">
            <w:pPr>
              <w:snapToGrid w:val="0"/>
              <w:spacing w:before="50" w:after="50"/>
              <w:jc w:val="center"/>
              <w:rPr>
                <w:rFonts w:hint="eastAsia" w:ascii="宋体" w:hAnsi="宋体"/>
                <w:sz w:val="24"/>
              </w:rPr>
            </w:pPr>
          </w:p>
        </w:tc>
        <w:tc>
          <w:tcPr>
            <w:tcW w:w="449" w:type="pct"/>
            <w:tcBorders>
              <w:top w:val="single" w:color="auto" w:sz="4" w:space="0"/>
              <w:left w:val="single" w:color="auto" w:sz="4" w:space="0"/>
              <w:bottom w:val="single" w:color="auto" w:sz="4" w:space="0"/>
              <w:right w:val="single" w:color="auto" w:sz="4" w:space="0"/>
            </w:tcBorders>
            <w:vAlign w:val="center"/>
          </w:tcPr>
          <w:p w14:paraId="61FD259D">
            <w:pPr>
              <w:snapToGrid w:val="0"/>
              <w:spacing w:before="50" w:after="50"/>
              <w:jc w:val="center"/>
              <w:rPr>
                <w:rFonts w:hint="eastAsia" w:ascii="宋体" w:hAnsi="宋体"/>
                <w:sz w:val="24"/>
              </w:rPr>
            </w:pPr>
          </w:p>
        </w:tc>
        <w:tc>
          <w:tcPr>
            <w:tcW w:w="500" w:type="pct"/>
            <w:tcBorders>
              <w:top w:val="single" w:color="auto" w:sz="4" w:space="0"/>
              <w:left w:val="single" w:color="auto" w:sz="4" w:space="0"/>
              <w:bottom w:val="single" w:color="auto" w:sz="4" w:space="0"/>
              <w:right w:val="single" w:color="auto" w:sz="4" w:space="0"/>
            </w:tcBorders>
            <w:vAlign w:val="center"/>
          </w:tcPr>
          <w:p w14:paraId="4798E22C">
            <w:pPr>
              <w:snapToGrid w:val="0"/>
              <w:spacing w:before="50" w:after="50"/>
              <w:jc w:val="center"/>
              <w:rPr>
                <w:rFonts w:hint="eastAsia" w:ascii="宋体" w:hAnsi="宋体"/>
                <w:sz w:val="24"/>
              </w:rPr>
            </w:pPr>
          </w:p>
        </w:tc>
        <w:tc>
          <w:tcPr>
            <w:tcW w:w="998" w:type="pct"/>
            <w:tcBorders>
              <w:top w:val="single" w:color="auto" w:sz="4" w:space="0"/>
              <w:left w:val="single" w:color="auto" w:sz="4" w:space="0"/>
              <w:bottom w:val="single" w:color="auto" w:sz="4" w:space="0"/>
              <w:right w:val="single" w:color="auto" w:sz="4" w:space="0"/>
            </w:tcBorders>
          </w:tcPr>
          <w:p w14:paraId="4F2983F5">
            <w:pPr>
              <w:snapToGrid w:val="0"/>
              <w:spacing w:before="50" w:after="50"/>
              <w:jc w:val="center"/>
              <w:rPr>
                <w:rFonts w:hint="eastAsia" w:ascii="宋体" w:hAnsi="宋体"/>
                <w:sz w:val="24"/>
              </w:rPr>
            </w:pPr>
          </w:p>
        </w:tc>
        <w:tc>
          <w:tcPr>
            <w:tcW w:w="696" w:type="pct"/>
            <w:tcBorders>
              <w:top w:val="single" w:color="auto" w:sz="4" w:space="0"/>
              <w:left w:val="single" w:color="auto" w:sz="4" w:space="0"/>
              <w:bottom w:val="single" w:color="auto" w:sz="4" w:space="0"/>
              <w:right w:val="single" w:color="auto" w:sz="4" w:space="0"/>
            </w:tcBorders>
            <w:vAlign w:val="center"/>
          </w:tcPr>
          <w:p w14:paraId="06B81CE8">
            <w:pPr>
              <w:snapToGrid w:val="0"/>
              <w:spacing w:before="50" w:after="50"/>
              <w:jc w:val="center"/>
              <w:rPr>
                <w:rFonts w:hint="eastAsia" w:ascii="宋体" w:hAnsi="宋体"/>
                <w:sz w:val="24"/>
              </w:rPr>
            </w:pPr>
          </w:p>
        </w:tc>
        <w:tc>
          <w:tcPr>
            <w:tcW w:w="412" w:type="pct"/>
            <w:tcBorders>
              <w:top w:val="single" w:color="auto" w:sz="4" w:space="0"/>
              <w:left w:val="single" w:color="auto" w:sz="4" w:space="0"/>
              <w:bottom w:val="single" w:color="auto" w:sz="4" w:space="0"/>
              <w:right w:val="single" w:color="auto" w:sz="4" w:space="0"/>
            </w:tcBorders>
            <w:vAlign w:val="center"/>
          </w:tcPr>
          <w:p w14:paraId="6039AE05">
            <w:pPr>
              <w:snapToGrid w:val="0"/>
              <w:spacing w:before="50" w:after="50"/>
              <w:jc w:val="center"/>
              <w:rPr>
                <w:rFonts w:hint="eastAsia" w:ascii="宋体" w:hAnsi="宋体"/>
                <w:sz w:val="24"/>
              </w:rPr>
            </w:pPr>
          </w:p>
        </w:tc>
        <w:tc>
          <w:tcPr>
            <w:tcW w:w="836" w:type="pct"/>
            <w:tcBorders>
              <w:top w:val="single" w:color="auto" w:sz="4" w:space="0"/>
              <w:left w:val="single" w:color="auto" w:sz="4" w:space="0"/>
              <w:bottom w:val="single" w:color="auto" w:sz="4" w:space="0"/>
              <w:right w:val="single" w:color="auto" w:sz="4" w:space="0"/>
            </w:tcBorders>
            <w:vAlign w:val="center"/>
          </w:tcPr>
          <w:p w14:paraId="1FD5E96F">
            <w:pPr>
              <w:snapToGrid w:val="0"/>
              <w:spacing w:before="50" w:after="50"/>
              <w:jc w:val="center"/>
              <w:rPr>
                <w:rFonts w:hint="eastAsia" w:ascii="宋体" w:hAnsi="宋体"/>
                <w:sz w:val="24"/>
              </w:rPr>
            </w:pPr>
          </w:p>
        </w:tc>
      </w:tr>
      <w:tr w14:paraId="3B4135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413" w:type="pct"/>
            <w:tcBorders>
              <w:top w:val="single" w:color="auto" w:sz="4" w:space="0"/>
              <w:left w:val="single" w:color="auto" w:sz="4" w:space="0"/>
              <w:bottom w:val="single" w:color="auto" w:sz="4" w:space="0"/>
              <w:right w:val="single" w:color="auto" w:sz="4" w:space="0"/>
            </w:tcBorders>
            <w:vAlign w:val="center"/>
          </w:tcPr>
          <w:p w14:paraId="13F9EA2C">
            <w:pPr>
              <w:snapToGrid w:val="0"/>
              <w:spacing w:before="50" w:after="50"/>
              <w:jc w:val="center"/>
              <w:rPr>
                <w:rFonts w:hint="eastAsia" w:ascii="宋体" w:hAnsi="宋体"/>
                <w:sz w:val="24"/>
              </w:rPr>
            </w:pPr>
          </w:p>
        </w:tc>
        <w:tc>
          <w:tcPr>
            <w:tcW w:w="696" w:type="pct"/>
            <w:tcBorders>
              <w:top w:val="single" w:color="auto" w:sz="4" w:space="0"/>
              <w:left w:val="single" w:color="auto" w:sz="4" w:space="0"/>
              <w:bottom w:val="single" w:color="auto" w:sz="4" w:space="0"/>
              <w:right w:val="single" w:color="auto" w:sz="4" w:space="0"/>
            </w:tcBorders>
            <w:vAlign w:val="center"/>
          </w:tcPr>
          <w:p w14:paraId="75994FB4">
            <w:pPr>
              <w:snapToGrid w:val="0"/>
              <w:spacing w:before="50" w:after="50"/>
              <w:jc w:val="center"/>
              <w:rPr>
                <w:rFonts w:hint="eastAsia" w:ascii="宋体" w:hAnsi="宋体"/>
                <w:sz w:val="24"/>
              </w:rPr>
            </w:pPr>
          </w:p>
        </w:tc>
        <w:tc>
          <w:tcPr>
            <w:tcW w:w="449" w:type="pct"/>
            <w:tcBorders>
              <w:top w:val="single" w:color="auto" w:sz="4" w:space="0"/>
              <w:left w:val="single" w:color="auto" w:sz="4" w:space="0"/>
              <w:bottom w:val="single" w:color="auto" w:sz="4" w:space="0"/>
              <w:right w:val="single" w:color="auto" w:sz="4" w:space="0"/>
            </w:tcBorders>
            <w:vAlign w:val="center"/>
          </w:tcPr>
          <w:p w14:paraId="1593B5AA">
            <w:pPr>
              <w:snapToGrid w:val="0"/>
              <w:spacing w:before="50" w:after="50"/>
              <w:jc w:val="center"/>
              <w:rPr>
                <w:rFonts w:hint="eastAsia" w:ascii="宋体" w:hAnsi="宋体"/>
                <w:sz w:val="24"/>
              </w:rPr>
            </w:pPr>
          </w:p>
        </w:tc>
        <w:tc>
          <w:tcPr>
            <w:tcW w:w="500" w:type="pct"/>
            <w:tcBorders>
              <w:top w:val="single" w:color="auto" w:sz="4" w:space="0"/>
              <w:left w:val="single" w:color="auto" w:sz="4" w:space="0"/>
              <w:bottom w:val="single" w:color="auto" w:sz="4" w:space="0"/>
              <w:right w:val="single" w:color="auto" w:sz="4" w:space="0"/>
            </w:tcBorders>
            <w:vAlign w:val="center"/>
          </w:tcPr>
          <w:p w14:paraId="5EACE53E">
            <w:pPr>
              <w:snapToGrid w:val="0"/>
              <w:spacing w:before="50" w:after="50"/>
              <w:jc w:val="center"/>
              <w:rPr>
                <w:rFonts w:hint="eastAsia" w:ascii="宋体" w:hAnsi="宋体"/>
                <w:sz w:val="24"/>
              </w:rPr>
            </w:pPr>
          </w:p>
        </w:tc>
        <w:tc>
          <w:tcPr>
            <w:tcW w:w="998" w:type="pct"/>
            <w:tcBorders>
              <w:top w:val="single" w:color="auto" w:sz="4" w:space="0"/>
              <w:left w:val="single" w:color="auto" w:sz="4" w:space="0"/>
              <w:bottom w:val="single" w:color="auto" w:sz="4" w:space="0"/>
              <w:right w:val="single" w:color="auto" w:sz="4" w:space="0"/>
            </w:tcBorders>
          </w:tcPr>
          <w:p w14:paraId="29E354FD">
            <w:pPr>
              <w:snapToGrid w:val="0"/>
              <w:spacing w:before="50" w:after="50"/>
              <w:jc w:val="center"/>
              <w:rPr>
                <w:rFonts w:hint="eastAsia" w:ascii="宋体" w:hAnsi="宋体"/>
                <w:sz w:val="24"/>
              </w:rPr>
            </w:pPr>
          </w:p>
        </w:tc>
        <w:tc>
          <w:tcPr>
            <w:tcW w:w="696" w:type="pct"/>
            <w:tcBorders>
              <w:top w:val="single" w:color="auto" w:sz="4" w:space="0"/>
              <w:left w:val="single" w:color="auto" w:sz="4" w:space="0"/>
              <w:bottom w:val="single" w:color="auto" w:sz="4" w:space="0"/>
              <w:right w:val="single" w:color="auto" w:sz="4" w:space="0"/>
            </w:tcBorders>
            <w:vAlign w:val="center"/>
          </w:tcPr>
          <w:p w14:paraId="1140431B">
            <w:pPr>
              <w:snapToGrid w:val="0"/>
              <w:spacing w:before="50" w:after="50"/>
              <w:jc w:val="center"/>
              <w:rPr>
                <w:rFonts w:hint="eastAsia" w:ascii="宋体" w:hAnsi="宋体"/>
                <w:sz w:val="24"/>
              </w:rPr>
            </w:pPr>
          </w:p>
        </w:tc>
        <w:tc>
          <w:tcPr>
            <w:tcW w:w="412" w:type="pct"/>
            <w:tcBorders>
              <w:top w:val="single" w:color="auto" w:sz="4" w:space="0"/>
              <w:left w:val="single" w:color="auto" w:sz="4" w:space="0"/>
              <w:bottom w:val="single" w:color="auto" w:sz="4" w:space="0"/>
              <w:right w:val="single" w:color="auto" w:sz="4" w:space="0"/>
            </w:tcBorders>
            <w:vAlign w:val="center"/>
          </w:tcPr>
          <w:p w14:paraId="695B2A70">
            <w:pPr>
              <w:snapToGrid w:val="0"/>
              <w:spacing w:before="50" w:after="50"/>
              <w:jc w:val="center"/>
              <w:rPr>
                <w:rFonts w:hint="eastAsia" w:ascii="宋体" w:hAnsi="宋体"/>
                <w:sz w:val="24"/>
              </w:rPr>
            </w:pPr>
          </w:p>
        </w:tc>
        <w:tc>
          <w:tcPr>
            <w:tcW w:w="836" w:type="pct"/>
            <w:tcBorders>
              <w:top w:val="single" w:color="auto" w:sz="4" w:space="0"/>
              <w:left w:val="single" w:color="auto" w:sz="4" w:space="0"/>
              <w:bottom w:val="single" w:color="auto" w:sz="4" w:space="0"/>
              <w:right w:val="single" w:color="auto" w:sz="4" w:space="0"/>
            </w:tcBorders>
            <w:vAlign w:val="center"/>
          </w:tcPr>
          <w:p w14:paraId="6977FD67">
            <w:pPr>
              <w:snapToGrid w:val="0"/>
              <w:spacing w:before="50" w:after="50"/>
              <w:jc w:val="center"/>
              <w:rPr>
                <w:rFonts w:hint="eastAsia" w:ascii="宋体" w:hAnsi="宋体"/>
                <w:sz w:val="24"/>
              </w:rPr>
            </w:pPr>
          </w:p>
        </w:tc>
      </w:tr>
      <w:tr w14:paraId="747B99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5" w:hRule="atLeast"/>
          <w:jc w:val="center"/>
        </w:trPr>
        <w:tc>
          <w:tcPr>
            <w:tcW w:w="413" w:type="pct"/>
            <w:tcBorders>
              <w:top w:val="single" w:color="auto" w:sz="4" w:space="0"/>
              <w:left w:val="single" w:color="auto" w:sz="4" w:space="0"/>
              <w:bottom w:val="single" w:color="auto" w:sz="4" w:space="0"/>
              <w:right w:val="single" w:color="auto" w:sz="4" w:space="0"/>
            </w:tcBorders>
            <w:vAlign w:val="center"/>
          </w:tcPr>
          <w:p w14:paraId="4FB8F992">
            <w:pPr>
              <w:snapToGrid w:val="0"/>
              <w:spacing w:before="50" w:after="50"/>
              <w:jc w:val="center"/>
              <w:rPr>
                <w:rFonts w:hint="eastAsia" w:ascii="宋体" w:hAnsi="宋体"/>
                <w:sz w:val="24"/>
              </w:rPr>
            </w:pPr>
          </w:p>
        </w:tc>
        <w:tc>
          <w:tcPr>
            <w:tcW w:w="696" w:type="pct"/>
            <w:tcBorders>
              <w:top w:val="single" w:color="auto" w:sz="4" w:space="0"/>
              <w:left w:val="single" w:color="auto" w:sz="4" w:space="0"/>
              <w:bottom w:val="single" w:color="auto" w:sz="4" w:space="0"/>
              <w:right w:val="single" w:color="auto" w:sz="4" w:space="0"/>
            </w:tcBorders>
            <w:vAlign w:val="center"/>
          </w:tcPr>
          <w:p w14:paraId="064B2D8F">
            <w:pPr>
              <w:snapToGrid w:val="0"/>
              <w:spacing w:before="50" w:after="50"/>
              <w:jc w:val="center"/>
              <w:rPr>
                <w:rFonts w:hint="eastAsia" w:ascii="宋体" w:hAnsi="宋体"/>
                <w:sz w:val="24"/>
              </w:rPr>
            </w:pPr>
          </w:p>
        </w:tc>
        <w:tc>
          <w:tcPr>
            <w:tcW w:w="449" w:type="pct"/>
            <w:tcBorders>
              <w:top w:val="single" w:color="auto" w:sz="4" w:space="0"/>
              <w:left w:val="single" w:color="auto" w:sz="4" w:space="0"/>
              <w:bottom w:val="single" w:color="auto" w:sz="4" w:space="0"/>
              <w:right w:val="single" w:color="auto" w:sz="4" w:space="0"/>
            </w:tcBorders>
            <w:vAlign w:val="center"/>
          </w:tcPr>
          <w:p w14:paraId="0D1F806C">
            <w:pPr>
              <w:snapToGrid w:val="0"/>
              <w:spacing w:before="50" w:after="50"/>
              <w:jc w:val="center"/>
              <w:rPr>
                <w:rFonts w:hint="eastAsia" w:ascii="宋体" w:hAnsi="宋体"/>
                <w:sz w:val="24"/>
              </w:rPr>
            </w:pPr>
          </w:p>
        </w:tc>
        <w:tc>
          <w:tcPr>
            <w:tcW w:w="500" w:type="pct"/>
            <w:tcBorders>
              <w:top w:val="single" w:color="auto" w:sz="4" w:space="0"/>
              <w:left w:val="single" w:color="auto" w:sz="4" w:space="0"/>
              <w:bottom w:val="single" w:color="auto" w:sz="4" w:space="0"/>
              <w:right w:val="single" w:color="auto" w:sz="4" w:space="0"/>
            </w:tcBorders>
            <w:vAlign w:val="center"/>
          </w:tcPr>
          <w:p w14:paraId="0C8E6EED">
            <w:pPr>
              <w:snapToGrid w:val="0"/>
              <w:spacing w:before="50" w:after="50"/>
              <w:jc w:val="center"/>
              <w:rPr>
                <w:rFonts w:hint="eastAsia" w:ascii="宋体" w:hAnsi="宋体"/>
                <w:sz w:val="24"/>
              </w:rPr>
            </w:pPr>
          </w:p>
        </w:tc>
        <w:tc>
          <w:tcPr>
            <w:tcW w:w="998" w:type="pct"/>
            <w:tcBorders>
              <w:top w:val="single" w:color="auto" w:sz="4" w:space="0"/>
              <w:left w:val="single" w:color="auto" w:sz="4" w:space="0"/>
              <w:bottom w:val="single" w:color="auto" w:sz="4" w:space="0"/>
              <w:right w:val="single" w:color="auto" w:sz="4" w:space="0"/>
            </w:tcBorders>
          </w:tcPr>
          <w:p w14:paraId="4F423CB5">
            <w:pPr>
              <w:snapToGrid w:val="0"/>
              <w:spacing w:before="50" w:after="50"/>
              <w:jc w:val="center"/>
              <w:rPr>
                <w:rFonts w:hint="eastAsia" w:ascii="宋体" w:hAnsi="宋体"/>
                <w:sz w:val="24"/>
              </w:rPr>
            </w:pPr>
          </w:p>
        </w:tc>
        <w:tc>
          <w:tcPr>
            <w:tcW w:w="696" w:type="pct"/>
            <w:tcBorders>
              <w:top w:val="single" w:color="auto" w:sz="4" w:space="0"/>
              <w:left w:val="single" w:color="auto" w:sz="4" w:space="0"/>
              <w:bottom w:val="single" w:color="auto" w:sz="4" w:space="0"/>
              <w:right w:val="single" w:color="auto" w:sz="4" w:space="0"/>
            </w:tcBorders>
            <w:vAlign w:val="center"/>
          </w:tcPr>
          <w:p w14:paraId="3B1FD7F3">
            <w:pPr>
              <w:snapToGrid w:val="0"/>
              <w:spacing w:before="50" w:after="50"/>
              <w:jc w:val="center"/>
              <w:rPr>
                <w:rFonts w:hint="eastAsia" w:ascii="宋体" w:hAnsi="宋体"/>
                <w:sz w:val="24"/>
              </w:rPr>
            </w:pPr>
          </w:p>
        </w:tc>
        <w:tc>
          <w:tcPr>
            <w:tcW w:w="412" w:type="pct"/>
            <w:tcBorders>
              <w:top w:val="single" w:color="auto" w:sz="4" w:space="0"/>
              <w:left w:val="single" w:color="auto" w:sz="4" w:space="0"/>
              <w:bottom w:val="single" w:color="auto" w:sz="4" w:space="0"/>
              <w:right w:val="single" w:color="auto" w:sz="4" w:space="0"/>
            </w:tcBorders>
            <w:vAlign w:val="center"/>
          </w:tcPr>
          <w:p w14:paraId="4FAC6A35">
            <w:pPr>
              <w:snapToGrid w:val="0"/>
              <w:spacing w:before="50" w:after="50"/>
              <w:jc w:val="center"/>
              <w:rPr>
                <w:rFonts w:hint="eastAsia" w:ascii="宋体" w:hAnsi="宋体"/>
                <w:sz w:val="24"/>
              </w:rPr>
            </w:pPr>
          </w:p>
        </w:tc>
        <w:tc>
          <w:tcPr>
            <w:tcW w:w="836" w:type="pct"/>
            <w:tcBorders>
              <w:top w:val="single" w:color="auto" w:sz="4" w:space="0"/>
              <w:left w:val="single" w:color="auto" w:sz="4" w:space="0"/>
              <w:bottom w:val="single" w:color="auto" w:sz="4" w:space="0"/>
              <w:right w:val="single" w:color="auto" w:sz="4" w:space="0"/>
            </w:tcBorders>
            <w:vAlign w:val="center"/>
          </w:tcPr>
          <w:p w14:paraId="2473406F">
            <w:pPr>
              <w:snapToGrid w:val="0"/>
              <w:spacing w:before="50" w:after="50"/>
              <w:jc w:val="center"/>
              <w:rPr>
                <w:rFonts w:hint="eastAsia" w:ascii="宋体" w:hAnsi="宋体"/>
                <w:sz w:val="24"/>
              </w:rPr>
            </w:pPr>
          </w:p>
        </w:tc>
      </w:tr>
    </w:tbl>
    <w:p w14:paraId="44B2E532">
      <w:pPr>
        <w:spacing w:line="360" w:lineRule="auto"/>
        <w:contextualSpacing/>
        <w:rPr>
          <w:rFonts w:hint="eastAsia" w:ascii="宋体" w:hAnsi="宋体"/>
          <w:sz w:val="24"/>
        </w:rPr>
      </w:pPr>
      <w:r>
        <w:rPr>
          <w:rFonts w:hint="eastAsia" w:ascii="宋体" w:hAnsi="宋体"/>
          <w:sz w:val="24"/>
        </w:rPr>
        <w:t>备注：</w:t>
      </w:r>
    </w:p>
    <w:p w14:paraId="1E0F8ACE">
      <w:pPr>
        <w:tabs>
          <w:tab w:val="left" w:pos="1065"/>
        </w:tabs>
        <w:adjustRightInd w:val="0"/>
        <w:spacing w:line="360" w:lineRule="auto"/>
        <w:contextualSpacing/>
        <w:rPr>
          <w:rFonts w:hint="eastAsia" w:ascii="宋体" w:hAnsi="宋体" w:cs="仿宋_GB2312"/>
          <w:sz w:val="24"/>
        </w:rPr>
      </w:pPr>
      <w:r>
        <w:rPr>
          <w:rFonts w:hint="eastAsia" w:ascii="宋体" w:hAnsi="宋体"/>
          <w:b/>
          <w:bCs/>
          <w:sz w:val="24"/>
        </w:rPr>
        <w:t>以上货物配置清单中“货物名称、数量及单位、品牌、规格型号、制造商、原产地、参数性能、指标及配置”必须如实填写完整，品牌、规格型号没有则填无，填写有缺漏的，响应文件按无效处理</w:t>
      </w:r>
      <w:r>
        <w:rPr>
          <w:rFonts w:hint="eastAsia" w:ascii="宋体" w:hAnsi="宋体"/>
          <w:b/>
          <w:sz w:val="24"/>
        </w:rPr>
        <w:t>。</w:t>
      </w:r>
      <w:r>
        <w:rPr>
          <w:rFonts w:hint="eastAsia" w:ascii="宋体" w:hAnsi="宋体"/>
          <w:sz w:val="24"/>
        </w:rPr>
        <w:t>货物名称、数量及单位、品牌必须与“竞标报价表”一致，</w:t>
      </w:r>
      <w:r>
        <w:rPr>
          <w:rFonts w:hint="eastAsia" w:ascii="宋体" w:hAnsi="宋体"/>
          <w:bCs/>
          <w:sz w:val="24"/>
        </w:rPr>
        <w:t>否则响应文件按无效处理</w:t>
      </w:r>
      <w:r>
        <w:rPr>
          <w:rFonts w:hint="eastAsia" w:ascii="宋体" w:hAnsi="宋体"/>
          <w:b/>
          <w:sz w:val="24"/>
        </w:rPr>
        <w:t>。</w:t>
      </w:r>
      <w:r>
        <w:rPr>
          <w:rFonts w:hint="eastAsia" w:ascii="宋体" w:hAnsi="宋体" w:cs="仿宋_GB2312"/>
          <w:sz w:val="24"/>
        </w:rPr>
        <w:tab/>
      </w:r>
    </w:p>
    <w:p w14:paraId="554CB9EE">
      <w:pPr>
        <w:adjustRightInd w:val="0"/>
        <w:spacing w:line="360" w:lineRule="auto"/>
        <w:contextualSpacing/>
        <w:jc w:val="left"/>
        <w:rPr>
          <w:rFonts w:hint="eastAsia" w:ascii="宋体" w:hAnsi="宋体" w:cs="仿宋_GB2312"/>
          <w:sz w:val="24"/>
        </w:rPr>
      </w:pPr>
    </w:p>
    <w:p w14:paraId="7B85C908">
      <w:pPr>
        <w:adjustRightInd w:val="0"/>
        <w:spacing w:line="360" w:lineRule="auto"/>
        <w:contextualSpacing/>
        <w:jc w:val="left"/>
        <w:rPr>
          <w:rFonts w:hint="eastAsia" w:ascii="宋体" w:hAnsi="宋体" w:cs="仿宋_GB2312"/>
          <w:sz w:val="24"/>
        </w:rPr>
      </w:pPr>
    </w:p>
    <w:p w14:paraId="567E357C">
      <w:pPr>
        <w:adjustRightInd w:val="0"/>
        <w:spacing w:line="360" w:lineRule="auto"/>
        <w:contextualSpacing/>
        <w:jc w:val="left"/>
        <w:rPr>
          <w:rFonts w:hint="eastAsia" w:ascii="宋体" w:hAnsi="宋体" w:cs="仿宋_GB2312"/>
          <w:sz w:val="24"/>
        </w:rPr>
      </w:pPr>
    </w:p>
    <w:p w14:paraId="42D6C05F">
      <w:pPr>
        <w:spacing w:line="360" w:lineRule="auto"/>
        <w:ind w:right="-817" w:rightChars="-389"/>
        <w:contextualSpacing/>
        <w:jc w:val="center"/>
        <w:rPr>
          <w:rFonts w:hint="eastAsia" w:ascii="宋体" w:hAnsi="宋体" w:cs="仿宋_GB2312"/>
          <w:sz w:val="24"/>
        </w:rPr>
      </w:pPr>
      <w:r>
        <w:rPr>
          <w:rFonts w:hint="eastAsia" w:ascii="宋体" w:hAnsi="宋体" w:cs="仿宋_GB2312"/>
          <w:sz w:val="24"/>
        </w:rPr>
        <w:t>法定代表人或者委托代理人（签字或者电子签名）：</w:t>
      </w:r>
    </w:p>
    <w:p w14:paraId="439ECCAF">
      <w:pPr>
        <w:spacing w:line="360" w:lineRule="auto"/>
        <w:ind w:right="-817" w:rightChars="-389" w:firstLine="2880" w:firstLineChars="1200"/>
        <w:contextualSpacing/>
        <w:rPr>
          <w:rFonts w:hint="eastAsia" w:ascii="宋体" w:hAnsi="宋体" w:cs="仿宋_GB2312"/>
          <w:sz w:val="24"/>
        </w:rPr>
      </w:pPr>
      <w:r>
        <w:rPr>
          <w:rFonts w:hint="eastAsia" w:ascii="宋体" w:hAnsi="宋体" w:cs="仿宋_GB2312"/>
          <w:sz w:val="24"/>
        </w:rPr>
        <w:t xml:space="preserve">供应商（电子签章）：      </w:t>
      </w:r>
    </w:p>
    <w:p w14:paraId="3E1F3D0D">
      <w:pPr>
        <w:spacing w:line="360" w:lineRule="auto"/>
        <w:ind w:right="-817" w:rightChars="-389" w:firstLine="2880" w:firstLineChars="1200"/>
        <w:contextualSpacing/>
        <w:rPr>
          <w:rFonts w:hint="eastAsia" w:ascii="仿宋_GB2312" w:hAnsi="仿宋_GB2312" w:eastAsia="仿宋_GB2312" w:cs="仿宋_GB2312"/>
          <w:b/>
          <w:sz w:val="32"/>
          <w:szCs w:val="32"/>
        </w:rPr>
      </w:pPr>
      <w:r>
        <w:rPr>
          <w:rFonts w:hint="eastAsia" w:ascii="宋体" w:hAnsi="宋体" w:cs="仿宋_GB2312"/>
          <w:sz w:val="24"/>
        </w:rPr>
        <w:t>日期：   年   月   日</w:t>
      </w:r>
    </w:p>
    <w:p w14:paraId="4F75EFA4">
      <w:pPr>
        <w:adjustRightInd w:val="0"/>
        <w:snapToGrid w:val="0"/>
        <w:spacing w:line="300" w:lineRule="auto"/>
        <w:rPr>
          <w:rFonts w:hint="eastAsia" w:ascii="宋体" w:hAnsi="宋体"/>
          <w:szCs w:val="21"/>
          <w:u w:val="single"/>
        </w:rPr>
      </w:pPr>
    </w:p>
    <w:p w14:paraId="7A775133">
      <w:pPr>
        <w:adjustRightInd w:val="0"/>
        <w:snapToGrid w:val="0"/>
        <w:spacing w:line="300" w:lineRule="auto"/>
        <w:jc w:val="center"/>
        <w:rPr>
          <w:rFonts w:hint="eastAsia" w:ascii="方正小标宋简体" w:hAnsi="方正小标宋简体" w:eastAsia="方正小标宋简体" w:cs="方正小标宋简体"/>
          <w:bCs/>
          <w:sz w:val="44"/>
          <w:szCs w:val="44"/>
        </w:rPr>
      </w:pPr>
    </w:p>
    <w:p w14:paraId="4E72FD93">
      <w:pP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br w:type="page"/>
      </w:r>
    </w:p>
    <w:p w14:paraId="2C76C78C">
      <w:pPr>
        <w:adjustRightInd w:val="0"/>
        <w:snapToGrid w:val="0"/>
        <w:spacing w:line="300" w:lineRule="auto"/>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技术要求偏离表</w:t>
      </w:r>
    </w:p>
    <w:p w14:paraId="63D202D9">
      <w:pPr>
        <w:spacing w:line="520" w:lineRule="exact"/>
        <w:rPr>
          <w:rFonts w:hint="eastAsia" w:ascii="仿宋_GB2312" w:hAnsi="仿宋_GB2312" w:eastAsia="仿宋_GB2312" w:cs="仿宋_GB2312"/>
          <w:sz w:val="32"/>
          <w:szCs w:val="32"/>
        </w:rPr>
      </w:pPr>
    </w:p>
    <w:p w14:paraId="0AC4397E">
      <w:pPr>
        <w:spacing w:line="360" w:lineRule="auto"/>
        <w:rPr>
          <w:rFonts w:hint="eastAsia" w:ascii="宋体" w:hAnsi="宋体" w:cs="仿宋_GB2312"/>
          <w:sz w:val="24"/>
          <w:u w:val="single"/>
        </w:rPr>
      </w:pPr>
      <w:r>
        <w:rPr>
          <w:rFonts w:hint="eastAsia" w:ascii="宋体" w:hAnsi="宋体" w:cs="仿宋_GB2312"/>
          <w:sz w:val="24"/>
        </w:rPr>
        <w:t>采购项目编号：</w:t>
      </w:r>
      <w:r>
        <w:rPr>
          <w:rFonts w:hint="eastAsia" w:ascii="宋体" w:hAnsi="宋体" w:cs="仿宋_GB2312"/>
          <w:sz w:val="24"/>
          <w:u w:val="single"/>
        </w:rPr>
        <w:t xml:space="preserve">                 </w:t>
      </w:r>
    </w:p>
    <w:p w14:paraId="24DE5783">
      <w:pPr>
        <w:spacing w:line="360" w:lineRule="auto"/>
        <w:rPr>
          <w:rFonts w:hint="eastAsia" w:ascii="宋体" w:hAnsi="宋体" w:cs="仿宋_GB2312"/>
          <w:sz w:val="24"/>
        </w:rPr>
      </w:pPr>
      <w:r>
        <w:rPr>
          <w:rFonts w:hint="eastAsia" w:ascii="宋体" w:hAnsi="宋体" w:cs="仿宋_GB2312"/>
          <w:sz w:val="24"/>
        </w:rPr>
        <w:t>采购项目名称：</w:t>
      </w:r>
      <w:r>
        <w:rPr>
          <w:rFonts w:hint="eastAsia" w:ascii="宋体" w:hAnsi="宋体" w:cs="仿宋_GB2312"/>
          <w:sz w:val="24"/>
          <w:u w:val="single"/>
        </w:rPr>
        <w:t xml:space="preserve">                 </w:t>
      </w:r>
      <w:r>
        <w:rPr>
          <w:rFonts w:hint="eastAsia" w:ascii="宋体" w:hAnsi="宋体" w:cs="仿宋_GB2312"/>
          <w:sz w:val="24"/>
        </w:rPr>
        <w:t xml:space="preserve">  </w:t>
      </w:r>
    </w:p>
    <w:tbl>
      <w:tblPr>
        <w:tblStyle w:val="24"/>
        <w:tblW w:w="5000"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004"/>
        <w:gridCol w:w="1005"/>
        <w:gridCol w:w="3329"/>
        <w:gridCol w:w="2996"/>
        <w:gridCol w:w="1632"/>
      </w:tblGrid>
      <w:tr w14:paraId="768A6D1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616" w:hRule="atLeast"/>
          <w:jc w:val="center"/>
        </w:trPr>
        <w:tc>
          <w:tcPr>
            <w:tcW w:w="504" w:type="pct"/>
            <w:vAlign w:val="bottom"/>
          </w:tcPr>
          <w:p w14:paraId="00D01409">
            <w:pPr>
              <w:pStyle w:val="14"/>
              <w:spacing w:line="360" w:lineRule="auto"/>
              <w:ind w:firstLine="0" w:firstLineChars="0"/>
              <w:jc w:val="center"/>
              <w:rPr>
                <w:rFonts w:hint="eastAsia" w:ascii="宋体" w:hAnsi="宋体" w:eastAsia="宋体" w:cs="仿宋_GB2312"/>
                <w:kern w:val="2"/>
                <w:sz w:val="24"/>
                <w:szCs w:val="24"/>
              </w:rPr>
            </w:pPr>
            <w:r>
              <w:rPr>
                <w:rFonts w:hint="eastAsia" w:ascii="宋体" w:hAnsi="宋体" w:eastAsia="宋体" w:cs="仿宋_GB2312"/>
                <w:kern w:val="2"/>
                <w:sz w:val="24"/>
                <w:szCs w:val="24"/>
              </w:rPr>
              <w:t>序号</w:t>
            </w:r>
          </w:p>
        </w:tc>
        <w:tc>
          <w:tcPr>
            <w:tcW w:w="504" w:type="pct"/>
            <w:tcBorders>
              <w:right w:val="single" w:color="auto" w:sz="4" w:space="0"/>
            </w:tcBorders>
            <w:vAlign w:val="bottom"/>
          </w:tcPr>
          <w:p w14:paraId="499D4FC5">
            <w:pPr>
              <w:pStyle w:val="14"/>
              <w:spacing w:line="360" w:lineRule="auto"/>
              <w:ind w:firstLine="0" w:firstLineChars="0"/>
              <w:jc w:val="center"/>
              <w:rPr>
                <w:rFonts w:hint="eastAsia" w:ascii="宋体" w:hAnsi="宋体" w:eastAsia="宋体" w:cs="仿宋_GB2312"/>
                <w:kern w:val="2"/>
                <w:sz w:val="24"/>
                <w:szCs w:val="24"/>
              </w:rPr>
            </w:pPr>
            <w:r>
              <w:rPr>
                <w:rFonts w:hint="eastAsia" w:ascii="宋体" w:hAnsi="宋体" w:eastAsia="宋体" w:cs="仿宋_GB2312"/>
                <w:kern w:val="2"/>
                <w:sz w:val="24"/>
                <w:szCs w:val="24"/>
              </w:rPr>
              <w:t>名称</w:t>
            </w:r>
          </w:p>
        </w:tc>
        <w:tc>
          <w:tcPr>
            <w:tcW w:w="1670" w:type="pct"/>
            <w:tcBorders>
              <w:left w:val="single" w:color="auto" w:sz="4" w:space="0"/>
            </w:tcBorders>
            <w:vAlign w:val="bottom"/>
          </w:tcPr>
          <w:p w14:paraId="330A22BE">
            <w:pPr>
              <w:pStyle w:val="14"/>
              <w:spacing w:line="360" w:lineRule="auto"/>
              <w:ind w:firstLine="0" w:firstLineChars="0"/>
              <w:jc w:val="center"/>
              <w:rPr>
                <w:rFonts w:hint="eastAsia" w:ascii="宋体" w:hAnsi="宋体" w:eastAsia="宋体" w:cs="仿宋_GB2312"/>
                <w:kern w:val="2"/>
                <w:sz w:val="24"/>
                <w:szCs w:val="24"/>
              </w:rPr>
            </w:pPr>
            <w:r>
              <w:rPr>
                <w:rFonts w:hint="eastAsia" w:ascii="宋体" w:hAnsi="宋体" w:eastAsia="宋体" w:cs="仿宋_GB2312"/>
                <w:kern w:val="2"/>
                <w:sz w:val="24"/>
                <w:szCs w:val="24"/>
              </w:rPr>
              <w:t>谈判文件要求</w:t>
            </w:r>
          </w:p>
        </w:tc>
        <w:tc>
          <w:tcPr>
            <w:tcW w:w="1503" w:type="pct"/>
            <w:vAlign w:val="bottom"/>
          </w:tcPr>
          <w:p w14:paraId="26E3A0BA">
            <w:pPr>
              <w:pStyle w:val="14"/>
              <w:spacing w:line="360" w:lineRule="auto"/>
              <w:ind w:firstLine="0" w:firstLineChars="0"/>
              <w:jc w:val="center"/>
              <w:rPr>
                <w:rFonts w:hint="eastAsia" w:ascii="宋体" w:hAnsi="宋体" w:eastAsia="宋体" w:cs="仿宋_GB2312"/>
                <w:kern w:val="2"/>
                <w:sz w:val="24"/>
                <w:szCs w:val="24"/>
              </w:rPr>
            </w:pPr>
            <w:r>
              <w:rPr>
                <w:rFonts w:hint="eastAsia" w:ascii="宋体" w:hAnsi="宋体" w:eastAsia="宋体" w:cs="仿宋_GB2312"/>
                <w:kern w:val="2"/>
                <w:sz w:val="24"/>
                <w:szCs w:val="24"/>
              </w:rPr>
              <w:t>竞标响应</w:t>
            </w:r>
          </w:p>
        </w:tc>
        <w:tc>
          <w:tcPr>
            <w:tcW w:w="820" w:type="pct"/>
            <w:vAlign w:val="bottom"/>
          </w:tcPr>
          <w:p w14:paraId="0599C0E9">
            <w:pPr>
              <w:pStyle w:val="14"/>
              <w:spacing w:line="360" w:lineRule="auto"/>
              <w:ind w:firstLine="0" w:firstLineChars="0"/>
              <w:jc w:val="center"/>
              <w:rPr>
                <w:rFonts w:hint="eastAsia" w:ascii="宋体" w:hAnsi="宋体" w:eastAsia="宋体" w:cs="仿宋_GB2312"/>
                <w:kern w:val="2"/>
                <w:sz w:val="24"/>
                <w:szCs w:val="24"/>
              </w:rPr>
            </w:pPr>
            <w:r>
              <w:rPr>
                <w:rFonts w:hint="eastAsia" w:ascii="宋体" w:hAnsi="宋体" w:eastAsia="宋体" w:cs="仿宋_GB2312"/>
                <w:kern w:val="2"/>
                <w:sz w:val="24"/>
                <w:szCs w:val="24"/>
              </w:rPr>
              <w:t>偏离说明</w:t>
            </w:r>
          </w:p>
        </w:tc>
      </w:tr>
      <w:tr w14:paraId="7B6236E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4" w:type="pct"/>
            <w:vAlign w:val="center"/>
          </w:tcPr>
          <w:p w14:paraId="37888312">
            <w:pPr>
              <w:pStyle w:val="14"/>
              <w:spacing w:line="360" w:lineRule="auto"/>
              <w:ind w:firstLine="0" w:firstLineChars="0"/>
              <w:jc w:val="center"/>
              <w:rPr>
                <w:rFonts w:hint="eastAsia" w:ascii="宋体" w:hAnsi="宋体" w:eastAsia="宋体" w:cs="仿宋_GB2312"/>
                <w:kern w:val="2"/>
                <w:sz w:val="24"/>
                <w:szCs w:val="24"/>
              </w:rPr>
            </w:pPr>
            <w:r>
              <w:rPr>
                <w:rFonts w:hint="eastAsia" w:ascii="宋体" w:hAnsi="宋体" w:eastAsia="宋体" w:cs="仿宋_GB2312"/>
                <w:kern w:val="2"/>
                <w:sz w:val="24"/>
                <w:szCs w:val="24"/>
              </w:rPr>
              <w:t>1</w:t>
            </w:r>
          </w:p>
        </w:tc>
        <w:tc>
          <w:tcPr>
            <w:tcW w:w="504" w:type="pct"/>
            <w:tcBorders>
              <w:right w:val="single" w:color="auto" w:sz="4" w:space="0"/>
            </w:tcBorders>
            <w:vAlign w:val="center"/>
          </w:tcPr>
          <w:p w14:paraId="0B191080">
            <w:pPr>
              <w:pStyle w:val="14"/>
              <w:spacing w:line="360" w:lineRule="auto"/>
              <w:ind w:firstLine="0" w:firstLineChars="0"/>
              <w:jc w:val="center"/>
              <w:rPr>
                <w:rFonts w:hint="eastAsia" w:ascii="宋体" w:hAnsi="宋体" w:eastAsia="宋体" w:cs="仿宋_GB2312"/>
                <w:kern w:val="2"/>
                <w:sz w:val="24"/>
                <w:szCs w:val="24"/>
              </w:rPr>
            </w:pPr>
          </w:p>
        </w:tc>
        <w:tc>
          <w:tcPr>
            <w:tcW w:w="1670" w:type="pct"/>
            <w:tcBorders>
              <w:left w:val="single" w:color="auto" w:sz="4" w:space="0"/>
            </w:tcBorders>
            <w:vAlign w:val="center"/>
          </w:tcPr>
          <w:p w14:paraId="5B9AB280">
            <w:pPr>
              <w:pStyle w:val="14"/>
              <w:spacing w:line="360" w:lineRule="auto"/>
              <w:ind w:firstLine="0" w:firstLineChars="0"/>
              <w:jc w:val="center"/>
              <w:rPr>
                <w:rFonts w:hint="eastAsia" w:ascii="宋体" w:hAnsi="宋体" w:eastAsia="宋体" w:cs="仿宋_GB2312"/>
                <w:kern w:val="2"/>
                <w:sz w:val="24"/>
                <w:szCs w:val="24"/>
              </w:rPr>
            </w:pPr>
          </w:p>
        </w:tc>
        <w:tc>
          <w:tcPr>
            <w:tcW w:w="1503" w:type="pct"/>
            <w:vAlign w:val="center"/>
          </w:tcPr>
          <w:p w14:paraId="58BEB496">
            <w:pPr>
              <w:pStyle w:val="14"/>
              <w:spacing w:line="360" w:lineRule="auto"/>
              <w:ind w:firstLine="0" w:firstLineChars="0"/>
              <w:jc w:val="center"/>
              <w:rPr>
                <w:rFonts w:hint="eastAsia" w:ascii="宋体" w:hAnsi="宋体" w:eastAsia="宋体" w:cs="仿宋_GB2312"/>
                <w:kern w:val="2"/>
                <w:sz w:val="24"/>
                <w:szCs w:val="24"/>
              </w:rPr>
            </w:pPr>
          </w:p>
        </w:tc>
        <w:tc>
          <w:tcPr>
            <w:tcW w:w="820" w:type="pct"/>
            <w:vAlign w:val="center"/>
          </w:tcPr>
          <w:p w14:paraId="2722C166">
            <w:pPr>
              <w:pStyle w:val="14"/>
              <w:spacing w:line="360" w:lineRule="auto"/>
              <w:ind w:firstLine="0" w:firstLineChars="0"/>
              <w:jc w:val="center"/>
              <w:rPr>
                <w:rFonts w:hint="eastAsia" w:ascii="宋体" w:hAnsi="宋体" w:eastAsia="宋体" w:cs="仿宋_GB2312"/>
                <w:kern w:val="2"/>
                <w:sz w:val="24"/>
                <w:szCs w:val="24"/>
              </w:rPr>
            </w:pPr>
          </w:p>
        </w:tc>
      </w:tr>
      <w:tr w14:paraId="5446EE3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4" w:type="pct"/>
            <w:vAlign w:val="center"/>
          </w:tcPr>
          <w:p w14:paraId="01E11563">
            <w:pPr>
              <w:pStyle w:val="14"/>
              <w:spacing w:line="360" w:lineRule="auto"/>
              <w:ind w:firstLine="0" w:firstLineChars="0"/>
              <w:jc w:val="center"/>
              <w:rPr>
                <w:rFonts w:hint="eastAsia" w:ascii="宋体" w:hAnsi="宋体" w:eastAsia="宋体" w:cs="仿宋_GB2312"/>
                <w:kern w:val="2"/>
                <w:sz w:val="24"/>
                <w:szCs w:val="24"/>
              </w:rPr>
            </w:pPr>
            <w:r>
              <w:rPr>
                <w:rFonts w:hint="eastAsia" w:ascii="宋体" w:hAnsi="宋体" w:eastAsia="宋体" w:cs="仿宋_GB2312"/>
                <w:kern w:val="2"/>
                <w:sz w:val="24"/>
                <w:szCs w:val="24"/>
              </w:rPr>
              <w:t>2</w:t>
            </w:r>
          </w:p>
        </w:tc>
        <w:tc>
          <w:tcPr>
            <w:tcW w:w="504" w:type="pct"/>
            <w:tcBorders>
              <w:right w:val="single" w:color="auto" w:sz="4" w:space="0"/>
            </w:tcBorders>
            <w:vAlign w:val="center"/>
          </w:tcPr>
          <w:p w14:paraId="32FE25F2">
            <w:pPr>
              <w:pStyle w:val="14"/>
              <w:spacing w:line="360" w:lineRule="auto"/>
              <w:ind w:firstLine="0" w:firstLineChars="0"/>
              <w:jc w:val="center"/>
              <w:rPr>
                <w:rFonts w:hint="eastAsia" w:ascii="宋体" w:hAnsi="宋体" w:eastAsia="宋体" w:cs="仿宋_GB2312"/>
                <w:kern w:val="2"/>
                <w:sz w:val="24"/>
                <w:szCs w:val="24"/>
              </w:rPr>
            </w:pPr>
          </w:p>
        </w:tc>
        <w:tc>
          <w:tcPr>
            <w:tcW w:w="1670" w:type="pct"/>
            <w:tcBorders>
              <w:left w:val="single" w:color="auto" w:sz="4" w:space="0"/>
            </w:tcBorders>
            <w:vAlign w:val="center"/>
          </w:tcPr>
          <w:p w14:paraId="5B028A7C">
            <w:pPr>
              <w:pStyle w:val="14"/>
              <w:spacing w:line="360" w:lineRule="auto"/>
              <w:ind w:firstLine="0" w:firstLineChars="0"/>
              <w:jc w:val="center"/>
              <w:rPr>
                <w:rFonts w:hint="eastAsia" w:ascii="宋体" w:hAnsi="宋体" w:eastAsia="宋体" w:cs="仿宋_GB2312"/>
                <w:kern w:val="2"/>
                <w:sz w:val="24"/>
                <w:szCs w:val="24"/>
              </w:rPr>
            </w:pPr>
          </w:p>
        </w:tc>
        <w:tc>
          <w:tcPr>
            <w:tcW w:w="1503" w:type="pct"/>
            <w:vAlign w:val="center"/>
          </w:tcPr>
          <w:p w14:paraId="0B87922A">
            <w:pPr>
              <w:pStyle w:val="14"/>
              <w:spacing w:line="360" w:lineRule="auto"/>
              <w:ind w:firstLine="0" w:firstLineChars="0"/>
              <w:jc w:val="center"/>
              <w:rPr>
                <w:rFonts w:hint="eastAsia" w:ascii="宋体" w:hAnsi="宋体" w:eastAsia="宋体" w:cs="仿宋_GB2312"/>
                <w:kern w:val="2"/>
                <w:sz w:val="24"/>
                <w:szCs w:val="24"/>
              </w:rPr>
            </w:pPr>
          </w:p>
        </w:tc>
        <w:tc>
          <w:tcPr>
            <w:tcW w:w="820" w:type="pct"/>
            <w:vAlign w:val="center"/>
          </w:tcPr>
          <w:p w14:paraId="6AFF03F0">
            <w:pPr>
              <w:pStyle w:val="14"/>
              <w:spacing w:line="360" w:lineRule="auto"/>
              <w:ind w:firstLine="0" w:firstLineChars="0"/>
              <w:jc w:val="center"/>
              <w:rPr>
                <w:rFonts w:hint="eastAsia" w:ascii="宋体" w:hAnsi="宋体" w:eastAsia="宋体" w:cs="仿宋_GB2312"/>
                <w:kern w:val="2"/>
                <w:sz w:val="24"/>
                <w:szCs w:val="24"/>
              </w:rPr>
            </w:pPr>
          </w:p>
        </w:tc>
      </w:tr>
      <w:tr w14:paraId="1B6F339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4" w:type="pct"/>
            <w:vAlign w:val="center"/>
          </w:tcPr>
          <w:p w14:paraId="402EBBA2">
            <w:pPr>
              <w:pStyle w:val="14"/>
              <w:spacing w:line="360" w:lineRule="auto"/>
              <w:ind w:firstLine="0" w:firstLineChars="0"/>
              <w:jc w:val="center"/>
              <w:rPr>
                <w:rFonts w:hint="eastAsia" w:ascii="宋体" w:hAnsi="宋体" w:eastAsia="宋体" w:cs="仿宋_GB2312"/>
                <w:kern w:val="2"/>
                <w:sz w:val="24"/>
                <w:szCs w:val="24"/>
              </w:rPr>
            </w:pPr>
            <w:r>
              <w:rPr>
                <w:rFonts w:hint="eastAsia" w:ascii="宋体" w:hAnsi="宋体" w:eastAsia="宋体" w:cs="仿宋_GB2312"/>
                <w:kern w:val="2"/>
                <w:sz w:val="24"/>
                <w:szCs w:val="24"/>
              </w:rPr>
              <w:t>3</w:t>
            </w:r>
          </w:p>
        </w:tc>
        <w:tc>
          <w:tcPr>
            <w:tcW w:w="504" w:type="pct"/>
            <w:tcBorders>
              <w:right w:val="single" w:color="auto" w:sz="4" w:space="0"/>
            </w:tcBorders>
            <w:vAlign w:val="center"/>
          </w:tcPr>
          <w:p w14:paraId="5BE0FA09">
            <w:pPr>
              <w:pStyle w:val="14"/>
              <w:spacing w:line="360" w:lineRule="auto"/>
              <w:ind w:firstLine="0" w:firstLineChars="0"/>
              <w:jc w:val="center"/>
              <w:rPr>
                <w:rFonts w:hint="eastAsia" w:ascii="宋体" w:hAnsi="宋体" w:eastAsia="宋体" w:cs="仿宋_GB2312"/>
                <w:kern w:val="2"/>
                <w:sz w:val="24"/>
                <w:szCs w:val="24"/>
              </w:rPr>
            </w:pPr>
          </w:p>
        </w:tc>
        <w:tc>
          <w:tcPr>
            <w:tcW w:w="1670" w:type="pct"/>
            <w:tcBorders>
              <w:left w:val="single" w:color="auto" w:sz="4" w:space="0"/>
            </w:tcBorders>
            <w:vAlign w:val="center"/>
          </w:tcPr>
          <w:p w14:paraId="60E51059">
            <w:pPr>
              <w:pStyle w:val="14"/>
              <w:spacing w:line="360" w:lineRule="auto"/>
              <w:ind w:firstLine="0" w:firstLineChars="0"/>
              <w:jc w:val="center"/>
              <w:rPr>
                <w:rFonts w:hint="eastAsia" w:ascii="宋体" w:hAnsi="宋体" w:eastAsia="宋体" w:cs="仿宋_GB2312"/>
                <w:kern w:val="2"/>
                <w:sz w:val="24"/>
                <w:szCs w:val="24"/>
              </w:rPr>
            </w:pPr>
          </w:p>
        </w:tc>
        <w:tc>
          <w:tcPr>
            <w:tcW w:w="1503" w:type="pct"/>
            <w:vAlign w:val="center"/>
          </w:tcPr>
          <w:p w14:paraId="4EB10172">
            <w:pPr>
              <w:pStyle w:val="14"/>
              <w:spacing w:line="360" w:lineRule="auto"/>
              <w:ind w:firstLine="0" w:firstLineChars="0"/>
              <w:jc w:val="center"/>
              <w:rPr>
                <w:rFonts w:hint="eastAsia" w:ascii="宋体" w:hAnsi="宋体" w:eastAsia="宋体" w:cs="仿宋_GB2312"/>
                <w:kern w:val="2"/>
                <w:sz w:val="24"/>
                <w:szCs w:val="24"/>
              </w:rPr>
            </w:pPr>
          </w:p>
        </w:tc>
        <w:tc>
          <w:tcPr>
            <w:tcW w:w="820" w:type="pct"/>
            <w:vAlign w:val="center"/>
          </w:tcPr>
          <w:p w14:paraId="77914774">
            <w:pPr>
              <w:pStyle w:val="14"/>
              <w:spacing w:line="360" w:lineRule="auto"/>
              <w:ind w:firstLine="0" w:firstLineChars="0"/>
              <w:jc w:val="center"/>
              <w:rPr>
                <w:rFonts w:hint="eastAsia" w:ascii="宋体" w:hAnsi="宋体" w:eastAsia="宋体" w:cs="仿宋_GB2312"/>
                <w:kern w:val="2"/>
                <w:sz w:val="24"/>
                <w:szCs w:val="24"/>
              </w:rPr>
            </w:pPr>
          </w:p>
        </w:tc>
      </w:tr>
      <w:tr w14:paraId="55C4C87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4" w:type="pct"/>
            <w:vAlign w:val="center"/>
          </w:tcPr>
          <w:p w14:paraId="1419F00F">
            <w:pPr>
              <w:pStyle w:val="14"/>
              <w:spacing w:line="360" w:lineRule="auto"/>
              <w:ind w:firstLine="0" w:firstLineChars="0"/>
              <w:jc w:val="center"/>
              <w:rPr>
                <w:rFonts w:hint="eastAsia" w:ascii="宋体" w:hAnsi="宋体" w:eastAsia="宋体" w:cs="仿宋_GB2312"/>
                <w:kern w:val="2"/>
                <w:sz w:val="24"/>
                <w:szCs w:val="24"/>
              </w:rPr>
            </w:pPr>
            <w:r>
              <w:rPr>
                <w:rFonts w:hint="eastAsia" w:ascii="宋体" w:hAnsi="宋体" w:eastAsia="宋体" w:cs="仿宋_GB2312"/>
                <w:kern w:val="2"/>
                <w:sz w:val="24"/>
                <w:szCs w:val="24"/>
              </w:rPr>
              <w:t>4</w:t>
            </w:r>
          </w:p>
        </w:tc>
        <w:tc>
          <w:tcPr>
            <w:tcW w:w="504" w:type="pct"/>
            <w:tcBorders>
              <w:right w:val="single" w:color="auto" w:sz="4" w:space="0"/>
            </w:tcBorders>
            <w:vAlign w:val="center"/>
          </w:tcPr>
          <w:p w14:paraId="421B33A2">
            <w:pPr>
              <w:pStyle w:val="14"/>
              <w:spacing w:line="360" w:lineRule="auto"/>
              <w:ind w:firstLine="0" w:firstLineChars="0"/>
              <w:jc w:val="center"/>
              <w:rPr>
                <w:rFonts w:hint="eastAsia" w:ascii="宋体" w:hAnsi="宋体" w:eastAsia="宋体" w:cs="仿宋_GB2312"/>
                <w:kern w:val="2"/>
                <w:sz w:val="24"/>
                <w:szCs w:val="24"/>
              </w:rPr>
            </w:pPr>
          </w:p>
        </w:tc>
        <w:tc>
          <w:tcPr>
            <w:tcW w:w="1670" w:type="pct"/>
            <w:tcBorders>
              <w:left w:val="single" w:color="auto" w:sz="4" w:space="0"/>
            </w:tcBorders>
            <w:vAlign w:val="center"/>
          </w:tcPr>
          <w:p w14:paraId="2898B2EE">
            <w:pPr>
              <w:pStyle w:val="14"/>
              <w:spacing w:line="360" w:lineRule="auto"/>
              <w:ind w:firstLine="0" w:firstLineChars="0"/>
              <w:jc w:val="center"/>
              <w:rPr>
                <w:rFonts w:hint="eastAsia" w:ascii="宋体" w:hAnsi="宋体" w:eastAsia="宋体" w:cs="仿宋_GB2312"/>
                <w:kern w:val="2"/>
                <w:sz w:val="24"/>
                <w:szCs w:val="24"/>
              </w:rPr>
            </w:pPr>
          </w:p>
        </w:tc>
        <w:tc>
          <w:tcPr>
            <w:tcW w:w="1503" w:type="pct"/>
            <w:vAlign w:val="center"/>
          </w:tcPr>
          <w:p w14:paraId="05152F94">
            <w:pPr>
              <w:pStyle w:val="14"/>
              <w:spacing w:line="360" w:lineRule="auto"/>
              <w:ind w:firstLine="0" w:firstLineChars="0"/>
              <w:jc w:val="center"/>
              <w:rPr>
                <w:rFonts w:hint="eastAsia" w:ascii="宋体" w:hAnsi="宋体" w:eastAsia="宋体" w:cs="仿宋_GB2312"/>
                <w:kern w:val="2"/>
                <w:sz w:val="24"/>
                <w:szCs w:val="24"/>
              </w:rPr>
            </w:pPr>
          </w:p>
        </w:tc>
        <w:tc>
          <w:tcPr>
            <w:tcW w:w="820" w:type="pct"/>
            <w:vAlign w:val="center"/>
          </w:tcPr>
          <w:p w14:paraId="18CEEF73">
            <w:pPr>
              <w:pStyle w:val="14"/>
              <w:spacing w:line="360" w:lineRule="auto"/>
              <w:ind w:firstLine="0" w:firstLineChars="0"/>
              <w:jc w:val="center"/>
              <w:rPr>
                <w:rFonts w:hint="eastAsia" w:ascii="宋体" w:hAnsi="宋体" w:eastAsia="宋体" w:cs="仿宋_GB2312"/>
                <w:kern w:val="2"/>
                <w:sz w:val="24"/>
                <w:szCs w:val="24"/>
              </w:rPr>
            </w:pPr>
          </w:p>
        </w:tc>
      </w:tr>
      <w:tr w14:paraId="0963DD3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4" w:type="pct"/>
            <w:vAlign w:val="center"/>
          </w:tcPr>
          <w:p w14:paraId="794B9E8C">
            <w:pPr>
              <w:pStyle w:val="14"/>
              <w:spacing w:line="360" w:lineRule="auto"/>
              <w:ind w:firstLine="0" w:firstLineChars="0"/>
              <w:jc w:val="center"/>
              <w:rPr>
                <w:rFonts w:hint="eastAsia" w:ascii="宋体" w:hAnsi="宋体" w:eastAsia="宋体" w:cs="仿宋_GB2312"/>
                <w:kern w:val="2"/>
                <w:sz w:val="24"/>
                <w:szCs w:val="24"/>
              </w:rPr>
            </w:pPr>
            <w:r>
              <w:rPr>
                <w:rFonts w:hint="eastAsia" w:ascii="宋体" w:hAnsi="宋体" w:eastAsia="宋体" w:cs="仿宋_GB2312"/>
                <w:kern w:val="2"/>
                <w:sz w:val="24"/>
                <w:szCs w:val="24"/>
              </w:rPr>
              <w:t>5</w:t>
            </w:r>
          </w:p>
        </w:tc>
        <w:tc>
          <w:tcPr>
            <w:tcW w:w="504" w:type="pct"/>
            <w:tcBorders>
              <w:right w:val="single" w:color="auto" w:sz="4" w:space="0"/>
            </w:tcBorders>
            <w:vAlign w:val="center"/>
          </w:tcPr>
          <w:p w14:paraId="650E63D5">
            <w:pPr>
              <w:pStyle w:val="14"/>
              <w:spacing w:line="360" w:lineRule="auto"/>
              <w:ind w:firstLine="0" w:firstLineChars="0"/>
              <w:jc w:val="center"/>
              <w:rPr>
                <w:rFonts w:hint="eastAsia" w:ascii="宋体" w:hAnsi="宋体" w:eastAsia="宋体" w:cs="仿宋_GB2312"/>
                <w:kern w:val="2"/>
                <w:sz w:val="24"/>
                <w:szCs w:val="24"/>
              </w:rPr>
            </w:pPr>
          </w:p>
        </w:tc>
        <w:tc>
          <w:tcPr>
            <w:tcW w:w="1670" w:type="pct"/>
            <w:tcBorders>
              <w:left w:val="single" w:color="auto" w:sz="4" w:space="0"/>
            </w:tcBorders>
            <w:vAlign w:val="center"/>
          </w:tcPr>
          <w:p w14:paraId="7418CFB2">
            <w:pPr>
              <w:pStyle w:val="14"/>
              <w:spacing w:line="360" w:lineRule="auto"/>
              <w:ind w:firstLine="0" w:firstLineChars="0"/>
              <w:jc w:val="center"/>
              <w:rPr>
                <w:rFonts w:hint="eastAsia" w:ascii="宋体" w:hAnsi="宋体" w:eastAsia="宋体" w:cs="仿宋_GB2312"/>
                <w:kern w:val="2"/>
                <w:sz w:val="24"/>
                <w:szCs w:val="24"/>
              </w:rPr>
            </w:pPr>
          </w:p>
        </w:tc>
        <w:tc>
          <w:tcPr>
            <w:tcW w:w="1503" w:type="pct"/>
            <w:vAlign w:val="center"/>
          </w:tcPr>
          <w:p w14:paraId="76E4E063">
            <w:pPr>
              <w:pStyle w:val="14"/>
              <w:spacing w:line="360" w:lineRule="auto"/>
              <w:ind w:firstLine="0" w:firstLineChars="0"/>
              <w:jc w:val="center"/>
              <w:rPr>
                <w:rFonts w:hint="eastAsia" w:ascii="宋体" w:hAnsi="宋体" w:eastAsia="宋体" w:cs="仿宋_GB2312"/>
                <w:kern w:val="2"/>
                <w:sz w:val="24"/>
                <w:szCs w:val="24"/>
              </w:rPr>
            </w:pPr>
          </w:p>
        </w:tc>
        <w:tc>
          <w:tcPr>
            <w:tcW w:w="820" w:type="pct"/>
            <w:vAlign w:val="center"/>
          </w:tcPr>
          <w:p w14:paraId="45813891">
            <w:pPr>
              <w:pStyle w:val="14"/>
              <w:spacing w:line="360" w:lineRule="auto"/>
              <w:ind w:firstLine="0" w:firstLineChars="0"/>
              <w:jc w:val="center"/>
              <w:rPr>
                <w:rFonts w:hint="eastAsia" w:ascii="宋体" w:hAnsi="宋体" w:eastAsia="宋体" w:cs="仿宋_GB2312"/>
                <w:kern w:val="2"/>
                <w:sz w:val="24"/>
                <w:szCs w:val="24"/>
              </w:rPr>
            </w:pPr>
          </w:p>
        </w:tc>
      </w:tr>
      <w:tr w14:paraId="42CB41A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504" w:type="pct"/>
            <w:vAlign w:val="center"/>
          </w:tcPr>
          <w:p w14:paraId="572AF002">
            <w:pPr>
              <w:pStyle w:val="14"/>
              <w:spacing w:line="360" w:lineRule="auto"/>
              <w:ind w:firstLine="0" w:firstLineChars="0"/>
              <w:jc w:val="center"/>
              <w:rPr>
                <w:rFonts w:hint="eastAsia" w:ascii="宋体" w:hAnsi="宋体" w:eastAsia="宋体" w:cs="仿宋_GB2312"/>
                <w:kern w:val="2"/>
                <w:sz w:val="24"/>
                <w:szCs w:val="24"/>
              </w:rPr>
            </w:pPr>
            <w:r>
              <w:rPr>
                <w:rFonts w:hint="eastAsia" w:ascii="宋体" w:hAnsi="宋体" w:eastAsia="宋体" w:cs="仿宋_GB2312"/>
                <w:kern w:val="2"/>
                <w:sz w:val="24"/>
                <w:szCs w:val="24"/>
              </w:rPr>
              <w:t>…</w:t>
            </w:r>
          </w:p>
        </w:tc>
        <w:tc>
          <w:tcPr>
            <w:tcW w:w="504" w:type="pct"/>
            <w:tcBorders>
              <w:right w:val="single" w:color="auto" w:sz="4" w:space="0"/>
            </w:tcBorders>
            <w:vAlign w:val="center"/>
          </w:tcPr>
          <w:p w14:paraId="254652D2">
            <w:pPr>
              <w:pStyle w:val="14"/>
              <w:spacing w:line="360" w:lineRule="auto"/>
              <w:ind w:firstLine="0" w:firstLineChars="0"/>
              <w:jc w:val="center"/>
              <w:rPr>
                <w:rFonts w:hint="eastAsia" w:ascii="宋体" w:hAnsi="宋体" w:eastAsia="宋体" w:cs="仿宋_GB2312"/>
                <w:kern w:val="2"/>
                <w:sz w:val="24"/>
                <w:szCs w:val="24"/>
              </w:rPr>
            </w:pPr>
          </w:p>
        </w:tc>
        <w:tc>
          <w:tcPr>
            <w:tcW w:w="1670" w:type="pct"/>
            <w:tcBorders>
              <w:left w:val="single" w:color="auto" w:sz="4" w:space="0"/>
            </w:tcBorders>
            <w:vAlign w:val="center"/>
          </w:tcPr>
          <w:p w14:paraId="15E410D1">
            <w:pPr>
              <w:pStyle w:val="14"/>
              <w:spacing w:line="360" w:lineRule="auto"/>
              <w:ind w:firstLine="0" w:firstLineChars="0"/>
              <w:jc w:val="center"/>
              <w:rPr>
                <w:rFonts w:hint="eastAsia" w:ascii="宋体" w:hAnsi="宋体" w:eastAsia="宋体" w:cs="仿宋_GB2312"/>
                <w:kern w:val="2"/>
                <w:sz w:val="24"/>
                <w:szCs w:val="24"/>
              </w:rPr>
            </w:pPr>
          </w:p>
        </w:tc>
        <w:tc>
          <w:tcPr>
            <w:tcW w:w="1503" w:type="pct"/>
            <w:vAlign w:val="center"/>
          </w:tcPr>
          <w:p w14:paraId="6965E330">
            <w:pPr>
              <w:pStyle w:val="14"/>
              <w:spacing w:line="360" w:lineRule="auto"/>
              <w:ind w:firstLine="0" w:firstLineChars="0"/>
              <w:jc w:val="center"/>
              <w:rPr>
                <w:rFonts w:hint="eastAsia" w:ascii="宋体" w:hAnsi="宋体" w:eastAsia="宋体" w:cs="仿宋_GB2312"/>
                <w:kern w:val="2"/>
                <w:sz w:val="24"/>
                <w:szCs w:val="24"/>
              </w:rPr>
            </w:pPr>
          </w:p>
        </w:tc>
        <w:tc>
          <w:tcPr>
            <w:tcW w:w="820" w:type="pct"/>
            <w:tcBorders>
              <w:right w:val="single" w:color="auto" w:sz="4" w:space="0"/>
            </w:tcBorders>
            <w:vAlign w:val="center"/>
          </w:tcPr>
          <w:p w14:paraId="04C98A4C">
            <w:pPr>
              <w:pStyle w:val="14"/>
              <w:spacing w:line="360" w:lineRule="auto"/>
              <w:ind w:firstLine="0" w:firstLineChars="0"/>
              <w:jc w:val="center"/>
              <w:rPr>
                <w:rFonts w:hint="eastAsia" w:ascii="宋体" w:hAnsi="宋体" w:eastAsia="宋体" w:cs="仿宋_GB2312"/>
                <w:kern w:val="2"/>
                <w:sz w:val="24"/>
                <w:szCs w:val="24"/>
              </w:rPr>
            </w:pPr>
          </w:p>
        </w:tc>
      </w:tr>
    </w:tbl>
    <w:p w14:paraId="0AA183ED">
      <w:pPr>
        <w:pStyle w:val="14"/>
        <w:spacing w:line="360" w:lineRule="auto"/>
        <w:ind w:firstLine="0" w:firstLineChars="0"/>
        <w:contextualSpacing/>
        <w:rPr>
          <w:rFonts w:hint="eastAsia" w:ascii="宋体" w:hAnsi="宋体" w:eastAsia="宋体" w:cs="仿宋_GB2312"/>
          <w:sz w:val="24"/>
          <w:szCs w:val="24"/>
        </w:rPr>
      </w:pPr>
      <w:r>
        <w:rPr>
          <w:rFonts w:hint="eastAsia" w:ascii="宋体" w:hAnsi="宋体" w:eastAsia="宋体" w:cs="仿宋_GB2312"/>
          <w:sz w:val="24"/>
          <w:szCs w:val="24"/>
        </w:rPr>
        <w:t>注：</w:t>
      </w:r>
    </w:p>
    <w:p w14:paraId="714EC4AE">
      <w:pPr>
        <w:pStyle w:val="14"/>
        <w:spacing w:line="360" w:lineRule="auto"/>
        <w:ind w:firstLine="0" w:firstLineChars="0"/>
        <w:contextualSpacing/>
        <w:rPr>
          <w:rFonts w:hint="eastAsia" w:ascii="宋体" w:hAnsi="宋体" w:eastAsia="宋体" w:cs="仿宋_GB2312"/>
          <w:sz w:val="24"/>
          <w:szCs w:val="24"/>
        </w:rPr>
      </w:pPr>
      <w:r>
        <w:rPr>
          <w:rFonts w:hint="eastAsia" w:ascii="宋体" w:hAnsi="宋体" w:eastAsia="宋体" w:cs="仿宋_GB2312"/>
          <w:sz w:val="24"/>
          <w:szCs w:val="24"/>
        </w:rPr>
        <w:t>1. 说明：应对照谈判文件“第三章 采购需求”中的技术要求逐条实质性响应，并作出偏离说明。</w:t>
      </w:r>
    </w:p>
    <w:p w14:paraId="75DC4024">
      <w:pPr>
        <w:pStyle w:val="14"/>
        <w:spacing w:line="360" w:lineRule="auto"/>
        <w:ind w:firstLine="0" w:firstLineChars="0"/>
        <w:contextualSpacing/>
        <w:rPr>
          <w:rFonts w:hint="eastAsia" w:ascii="宋体" w:hAnsi="宋体" w:eastAsia="宋体" w:cs="仿宋_GB2312"/>
          <w:sz w:val="24"/>
          <w:szCs w:val="24"/>
        </w:rPr>
      </w:pPr>
      <w:r>
        <w:rPr>
          <w:rFonts w:hint="eastAsia" w:ascii="宋体" w:hAnsi="宋体" w:eastAsia="宋体" w:cs="仿宋_GB2312"/>
          <w:sz w:val="24"/>
          <w:szCs w:val="24"/>
        </w:rPr>
        <w:t>2.供应商应根据竞标设备的性能指标，对照谈判文件要求，在“偏离说明”中注明“正偏离”、“负偏离”或者“无偏离”。既不属于“正偏离”也不属于“负偏离”即为“无偏离”。</w:t>
      </w:r>
    </w:p>
    <w:p w14:paraId="1D95ABE0">
      <w:pPr>
        <w:pStyle w:val="14"/>
        <w:spacing w:line="360" w:lineRule="auto"/>
        <w:ind w:firstLine="0" w:firstLineChars="0"/>
        <w:contextualSpacing/>
        <w:rPr>
          <w:rFonts w:hint="eastAsia" w:ascii="宋体" w:hAnsi="宋体" w:eastAsia="宋体" w:cs="仿宋_GB2312"/>
          <w:sz w:val="24"/>
          <w:szCs w:val="24"/>
        </w:rPr>
      </w:pPr>
    </w:p>
    <w:p w14:paraId="11EF8187">
      <w:pPr>
        <w:pStyle w:val="14"/>
        <w:spacing w:line="360" w:lineRule="auto"/>
        <w:ind w:firstLine="0" w:firstLineChars="0"/>
        <w:contextualSpacing/>
        <w:rPr>
          <w:rFonts w:hint="eastAsia" w:ascii="宋体" w:hAnsi="宋体" w:eastAsia="宋体" w:cs="仿宋_GB2312"/>
          <w:sz w:val="24"/>
          <w:szCs w:val="24"/>
        </w:rPr>
      </w:pPr>
    </w:p>
    <w:p w14:paraId="2C48C0A8">
      <w:pPr>
        <w:spacing w:line="360" w:lineRule="auto"/>
        <w:ind w:right="-817" w:rightChars="-389"/>
        <w:contextualSpacing/>
        <w:rPr>
          <w:rFonts w:hint="eastAsia" w:ascii="宋体" w:hAnsi="宋体" w:cs="仿宋_GB2312"/>
          <w:sz w:val="24"/>
        </w:rPr>
      </w:pPr>
    </w:p>
    <w:p w14:paraId="7E13B1BD">
      <w:pPr>
        <w:spacing w:line="360" w:lineRule="auto"/>
        <w:ind w:right="-817" w:rightChars="-389"/>
        <w:contextualSpacing/>
        <w:jc w:val="center"/>
        <w:rPr>
          <w:rFonts w:hint="eastAsia" w:ascii="宋体" w:hAnsi="宋体" w:cs="仿宋_GB2312"/>
          <w:sz w:val="24"/>
        </w:rPr>
      </w:pPr>
      <w:r>
        <w:rPr>
          <w:rFonts w:hint="eastAsia" w:ascii="宋体" w:hAnsi="宋体" w:cs="仿宋_GB2312"/>
          <w:sz w:val="24"/>
        </w:rPr>
        <w:t>法定代表人或者委托代理人（签字或者电子签名）：</w:t>
      </w:r>
    </w:p>
    <w:p w14:paraId="54968F27">
      <w:pPr>
        <w:spacing w:line="360" w:lineRule="auto"/>
        <w:ind w:right="-817" w:rightChars="-389" w:firstLine="2880" w:firstLineChars="1200"/>
        <w:contextualSpacing/>
        <w:rPr>
          <w:rFonts w:hint="eastAsia" w:ascii="宋体" w:hAnsi="宋体" w:cs="仿宋_GB2312"/>
          <w:sz w:val="24"/>
        </w:rPr>
      </w:pPr>
      <w:r>
        <w:rPr>
          <w:rFonts w:hint="eastAsia" w:ascii="宋体" w:hAnsi="宋体" w:cs="仿宋_GB2312"/>
          <w:sz w:val="24"/>
        </w:rPr>
        <w:t xml:space="preserve">供应商（电子签章）：      </w:t>
      </w:r>
    </w:p>
    <w:p w14:paraId="2EFEAFCC">
      <w:pPr>
        <w:spacing w:line="360" w:lineRule="auto"/>
        <w:ind w:right="-817" w:rightChars="-389" w:firstLine="2880" w:firstLineChars="1200"/>
        <w:contextualSpacing/>
        <w:rPr>
          <w:rFonts w:hint="eastAsia" w:ascii="仿宋_GB2312" w:hAnsi="仿宋_GB2312" w:eastAsia="仿宋_GB2312" w:cs="仿宋_GB2312"/>
          <w:sz w:val="32"/>
          <w:szCs w:val="32"/>
        </w:rPr>
      </w:pPr>
      <w:r>
        <w:rPr>
          <w:rFonts w:hint="eastAsia" w:ascii="宋体" w:hAnsi="宋体" w:cs="仿宋_GB2312"/>
          <w:sz w:val="24"/>
        </w:rPr>
        <w:t>日期：   年   月   日</w:t>
      </w:r>
    </w:p>
    <w:p w14:paraId="7BAAFCC6">
      <w:pPr>
        <w:spacing w:line="300" w:lineRule="auto"/>
        <w:rPr>
          <w:rFonts w:hint="eastAsia" w:ascii="宋体" w:hAnsi="宋体"/>
          <w:szCs w:val="21"/>
        </w:rPr>
      </w:pPr>
      <w:r>
        <w:rPr>
          <w:rFonts w:ascii="宋体" w:hAnsi="宋体"/>
          <w:b/>
          <w:bCs/>
          <w:sz w:val="24"/>
        </w:rPr>
        <w:br w:type="page"/>
      </w:r>
    </w:p>
    <w:p w14:paraId="69B025B3">
      <w:pPr>
        <w:spacing w:line="360" w:lineRule="auto"/>
        <w:jc w:val="center"/>
        <w:rPr>
          <w:rFonts w:hint="eastAsia" w:ascii="宋体" w:hAnsi="宋体"/>
          <w:b/>
          <w:bCs/>
          <w:sz w:val="32"/>
          <w:szCs w:val="32"/>
        </w:rPr>
      </w:pPr>
      <w:r>
        <w:rPr>
          <w:rFonts w:hint="eastAsia" w:ascii="方正小标宋简体" w:hAnsi="方正小标宋简体" w:eastAsia="方正小标宋简体" w:cs="方正小标宋简体"/>
          <w:sz w:val="44"/>
          <w:szCs w:val="44"/>
        </w:rPr>
        <w:t>质疑函（格式）</w:t>
      </w:r>
    </w:p>
    <w:p w14:paraId="25A321EA">
      <w:pPr>
        <w:pStyle w:val="18"/>
        <w:spacing w:line="360" w:lineRule="auto"/>
        <w:ind w:firstLine="482" w:firstLineChars="200"/>
        <w:contextualSpacing/>
        <w:rPr>
          <w:rFonts w:hint="eastAsia" w:hAnsi="宋体"/>
          <w:b/>
          <w:bCs/>
          <w:sz w:val="24"/>
          <w:szCs w:val="24"/>
        </w:rPr>
      </w:pPr>
      <w:r>
        <w:rPr>
          <w:rFonts w:hint="eastAsia" w:hAnsi="宋体"/>
          <w:b/>
          <w:bCs/>
          <w:sz w:val="24"/>
          <w:szCs w:val="24"/>
        </w:rPr>
        <w:t>一、质疑供应商基本信息：</w:t>
      </w:r>
    </w:p>
    <w:p w14:paraId="7E58D855">
      <w:pPr>
        <w:pStyle w:val="18"/>
        <w:spacing w:line="360" w:lineRule="auto"/>
        <w:ind w:firstLine="480" w:firstLineChars="200"/>
        <w:contextualSpacing/>
        <w:rPr>
          <w:rFonts w:hint="eastAsia" w:hAnsi="宋体"/>
          <w:bCs/>
          <w:sz w:val="24"/>
          <w:szCs w:val="24"/>
          <w:u w:val="single"/>
        </w:rPr>
      </w:pPr>
      <w:r>
        <w:rPr>
          <w:rFonts w:hint="eastAsia" w:hAnsi="宋体"/>
          <w:bCs/>
          <w:sz w:val="24"/>
          <w:szCs w:val="24"/>
        </w:rPr>
        <w:t>质疑供应商：</w:t>
      </w:r>
      <w:r>
        <w:rPr>
          <w:rFonts w:hint="eastAsia" w:hAnsi="宋体"/>
          <w:bCs/>
          <w:sz w:val="24"/>
          <w:szCs w:val="24"/>
          <w:u w:val="single"/>
        </w:rPr>
        <w:t xml:space="preserve">                                       </w:t>
      </w:r>
      <w:r>
        <w:rPr>
          <w:rFonts w:hint="eastAsia" w:hAnsi="宋体"/>
          <w:bCs/>
          <w:sz w:val="24"/>
          <w:szCs w:val="24"/>
        </w:rPr>
        <w:t xml:space="preserve">                 </w:t>
      </w:r>
    </w:p>
    <w:p w14:paraId="31703C47">
      <w:pPr>
        <w:pStyle w:val="18"/>
        <w:spacing w:line="360" w:lineRule="auto"/>
        <w:ind w:firstLine="480" w:firstLineChars="200"/>
        <w:contextualSpacing/>
        <w:rPr>
          <w:rFonts w:hint="eastAsia" w:hAnsi="宋体"/>
          <w:bCs/>
          <w:sz w:val="24"/>
          <w:szCs w:val="24"/>
        </w:rPr>
      </w:pPr>
      <w:r>
        <w:rPr>
          <w:rFonts w:hAnsi="宋体"/>
          <w:bCs/>
          <w:sz w:val="24"/>
          <w:szCs w:val="24"/>
        </w:rPr>
        <w:t>地址</w:t>
      </w:r>
      <w:r>
        <w:rPr>
          <w:rFonts w:hint="eastAsia" w:hAnsi="宋体"/>
          <w:bCs/>
          <w:sz w:val="24"/>
          <w:szCs w:val="24"/>
        </w:rPr>
        <w:t>：</w:t>
      </w:r>
      <w:r>
        <w:rPr>
          <w:rFonts w:hint="eastAsia" w:hAnsi="宋体"/>
          <w:bCs/>
          <w:sz w:val="24"/>
          <w:szCs w:val="24"/>
          <w:u w:val="single"/>
        </w:rPr>
        <w:t xml:space="preserve">                                          </w:t>
      </w:r>
      <w:r>
        <w:rPr>
          <w:rFonts w:hAnsi="宋体"/>
          <w:bCs/>
          <w:sz w:val="24"/>
          <w:szCs w:val="24"/>
        </w:rPr>
        <w:t>邮编</w:t>
      </w:r>
      <w:r>
        <w:rPr>
          <w:rFonts w:hint="eastAsia" w:hAnsi="宋体"/>
          <w:bCs/>
          <w:sz w:val="24"/>
          <w:szCs w:val="24"/>
        </w:rPr>
        <w:t>：</w:t>
      </w:r>
      <w:r>
        <w:rPr>
          <w:rFonts w:hint="eastAsia" w:hAnsi="宋体"/>
          <w:bCs/>
          <w:sz w:val="24"/>
          <w:szCs w:val="24"/>
          <w:u w:val="single"/>
        </w:rPr>
        <w:t xml:space="preserve">                  </w:t>
      </w:r>
      <w:r>
        <w:rPr>
          <w:rFonts w:hint="eastAsia" w:hAnsi="宋体"/>
          <w:bCs/>
          <w:sz w:val="24"/>
          <w:szCs w:val="24"/>
        </w:rPr>
        <w:t xml:space="preserve">                 </w:t>
      </w:r>
    </w:p>
    <w:p w14:paraId="39C52BF6">
      <w:pPr>
        <w:pStyle w:val="18"/>
        <w:spacing w:line="360" w:lineRule="auto"/>
        <w:ind w:firstLine="480" w:firstLineChars="200"/>
        <w:contextualSpacing/>
        <w:rPr>
          <w:rFonts w:hint="eastAsia" w:hAnsi="宋体"/>
          <w:bCs/>
          <w:sz w:val="24"/>
          <w:szCs w:val="24"/>
        </w:rPr>
      </w:pPr>
      <w:r>
        <w:rPr>
          <w:rFonts w:hAnsi="宋体"/>
          <w:bCs/>
          <w:sz w:val="24"/>
          <w:szCs w:val="24"/>
        </w:rPr>
        <w:t>联系人</w:t>
      </w:r>
      <w:r>
        <w:rPr>
          <w:rFonts w:hint="eastAsia" w:hAnsi="宋体"/>
          <w:bCs/>
          <w:sz w:val="24"/>
          <w:szCs w:val="24"/>
        </w:rPr>
        <w:t>：</w:t>
      </w:r>
      <w:r>
        <w:rPr>
          <w:rFonts w:hint="eastAsia" w:hAnsi="宋体"/>
          <w:bCs/>
          <w:sz w:val="24"/>
          <w:szCs w:val="24"/>
          <w:u w:val="single"/>
        </w:rPr>
        <w:t xml:space="preserve">                     </w:t>
      </w:r>
      <w:r>
        <w:rPr>
          <w:rFonts w:hAnsi="宋体"/>
          <w:bCs/>
          <w:sz w:val="24"/>
          <w:szCs w:val="24"/>
        </w:rPr>
        <w:t>联系电话</w:t>
      </w:r>
      <w:r>
        <w:rPr>
          <w:rFonts w:hint="eastAsia" w:hAnsi="宋体"/>
          <w:bCs/>
          <w:sz w:val="24"/>
          <w:szCs w:val="24"/>
        </w:rPr>
        <w:t>：</w:t>
      </w:r>
      <w:r>
        <w:rPr>
          <w:rFonts w:hint="eastAsia" w:hAnsi="宋体"/>
          <w:bCs/>
          <w:sz w:val="24"/>
          <w:szCs w:val="24"/>
          <w:u w:val="single"/>
        </w:rPr>
        <w:t xml:space="preserve">                 </w:t>
      </w:r>
    </w:p>
    <w:p w14:paraId="5C3450BC">
      <w:pPr>
        <w:pStyle w:val="18"/>
        <w:spacing w:line="360" w:lineRule="auto"/>
        <w:ind w:firstLine="480" w:firstLineChars="200"/>
        <w:contextualSpacing/>
        <w:rPr>
          <w:rFonts w:hint="eastAsia" w:hAnsi="宋体"/>
          <w:bCs/>
          <w:sz w:val="24"/>
          <w:szCs w:val="24"/>
        </w:rPr>
      </w:pPr>
      <w:r>
        <w:rPr>
          <w:rFonts w:hint="eastAsia" w:hAnsi="宋体"/>
          <w:bCs/>
          <w:sz w:val="24"/>
          <w:szCs w:val="24"/>
        </w:rPr>
        <w:t>授权代表：</w:t>
      </w:r>
      <w:r>
        <w:rPr>
          <w:rFonts w:hint="eastAsia" w:hAnsi="宋体"/>
          <w:bCs/>
          <w:sz w:val="24"/>
          <w:szCs w:val="24"/>
          <w:u w:val="single"/>
        </w:rPr>
        <w:t xml:space="preserve">                      </w:t>
      </w:r>
    </w:p>
    <w:p w14:paraId="5E0A2A5D">
      <w:pPr>
        <w:pStyle w:val="18"/>
        <w:spacing w:line="360" w:lineRule="auto"/>
        <w:ind w:firstLine="480" w:firstLineChars="200"/>
        <w:contextualSpacing/>
        <w:rPr>
          <w:rFonts w:hint="eastAsia" w:hAnsi="宋体"/>
          <w:bCs/>
          <w:sz w:val="24"/>
          <w:szCs w:val="24"/>
          <w:u w:val="single"/>
        </w:rPr>
      </w:pPr>
      <w:r>
        <w:rPr>
          <w:rFonts w:hAnsi="宋体"/>
          <w:bCs/>
          <w:sz w:val="24"/>
          <w:szCs w:val="24"/>
        </w:rPr>
        <w:t>联系</w:t>
      </w:r>
      <w:r>
        <w:rPr>
          <w:rFonts w:hint="eastAsia" w:hAnsi="宋体"/>
          <w:bCs/>
          <w:sz w:val="24"/>
          <w:szCs w:val="24"/>
        </w:rPr>
        <w:t>电话：</w:t>
      </w:r>
      <w:r>
        <w:rPr>
          <w:rFonts w:hint="eastAsia" w:hAnsi="宋体"/>
          <w:bCs/>
          <w:sz w:val="24"/>
          <w:szCs w:val="24"/>
          <w:u w:val="single"/>
        </w:rPr>
        <w:t xml:space="preserve">                      </w:t>
      </w:r>
    </w:p>
    <w:p w14:paraId="47082B78">
      <w:pPr>
        <w:pStyle w:val="18"/>
        <w:spacing w:line="360" w:lineRule="auto"/>
        <w:ind w:firstLine="480" w:firstLineChars="200"/>
        <w:contextualSpacing/>
        <w:rPr>
          <w:rFonts w:hint="eastAsia" w:hAnsi="宋体"/>
          <w:bCs/>
          <w:sz w:val="24"/>
          <w:szCs w:val="24"/>
        </w:rPr>
      </w:pPr>
      <w:r>
        <w:rPr>
          <w:rFonts w:hAnsi="宋体"/>
          <w:bCs/>
          <w:sz w:val="24"/>
          <w:szCs w:val="24"/>
        </w:rPr>
        <w:t>地址</w:t>
      </w:r>
      <w:r>
        <w:rPr>
          <w:rFonts w:hint="eastAsia" w:hAnsi="宋体"/>
          <w:bCs/>
          <w:sz w:val="24"/>
          <w:szCs w:val="24"/>
        </w:rPr>
        <w:t>：</w:t>
      </w:r>
      <w:r>
        <w:rPr>
          <w:rFonts w:hint="eastAsia" w:hAnsi="宋体"/>
          <w:bCs/>
          <w:sz w:val="24"/>
          <w:szCs w:val="24"/>
          <w:u w:val="single"/>
        </w:rPr>
        <w:t xml:space="preserve">                 </w:t>
      </w:r>
      <w:r>
        <w:rPr>
          <w:rFonts w:hAnsi="宋体"/>
          <w:bCs/>
          <w:sz w:val="24"/>
          <w:szCs w:val="24"/>
        </w:rPr>
        <w:t>邮编</w:t>
      </w:r>
      <w:r>
        <w:rPr>
          <w:rFonts w:hint="eastAsia" w:hAnsi="宋体"/>
          <w:bCs/>
          <w:sz w:val="24"/>
          <w:szCs w:val="24"/>
        </w:rPr>
        <w:t>：</w:t>
      </w:r>
      <w:r>
        <w:rPr>
          <w:rFonts w:hint="eastAsia" w:hAnsi="宋体"/>
          <w:bCs/>
          <w:sz w:val="24"/>
          <w:szCs w:val="24"/>
          <w:u w:val="single"/>
        </w:rPr>
        <w:t xml:space="preserve">                  </w:t>
      </w:r>
      <w:r>
        <w:rPr>
          <w:rFonts w:hint="eastAsia" w:hAnsi="宋体"/>
          <w:bCs/>
          <w:sz w:val="24"/>
          <w:szCs w:val="24"/>
        </w:rPr>
        <w:t xml:space="preserve">     </w:t>
      </w:r>
    </w:p>
    <w:p w14:paraId="1F7873D6">
      <w:pPr>
        <w:pStyle w:val="18"/>
        <w:spacing w:line="360" w:lineRule="auto"/>
        <w:ind w:firstLine="482" w:firstLineChars="200"/>
        <w:contextualSpacing/>
        <w:rPr>
          <w:rFonts w:hint="eastAsia" w:hAnsi="宋体"/>
          <w:b/>
          <w:bCs/>
          <w:sz w:val="24"/>
          <w:szCs w:val="24"/>
        </w:rPr>
      </w:pPr>
      <w:r>
        <w:rPr>
          <w:rFonts w:hint="eastAsia" w:hAnsi="宋体"/>
          <w:b/>
          <w:bCs/>
          <w:sz w:val="24"/>
          <w:szCs w:val="24"/>
        </w:rPr>
        <w:t>二、质疑项目基本情况：</w:t>
      </w:r>
    </w:p>
    <w:p w14:paraId="6B009907">
      <w:pPr>
        <w:pStyle w:val="18"/>
        <w:spacing w:line="360" w:lineRule="auto"/>
        <w:ind w:left="25" w:leftChars="12" w:firstLine="472" w:firstLineChars="197"/>
        <w:contextualSpacing/>
        <w:rPr>
          <w:rFonts w:hint="eastAsia" w:hAnsi="宋体"/>
          <w:sz w:val="24"/>
          <w:szCs w:val="24"/>
        </w:rPr>
      </w:pPr>
      <w:r>
        <w:rPr>
          <w:rFonts w:hint="eastAsia" w:hAnsi="宋体"/>
          <w:bCs/>
          <w:sz w:val="24"/>
          <w:szCs w:val="24"/>
        </w:rPr>
        <w:t>质疑</w:t>
      </w:r>
      <w:r>
        <w:rPr>
          <w:rFonts w:hint="eastAsia" w:hAnsi="宋体"/>
          <w:sz w:val="24"/>
          <w:szCs w:val="24"/>
        </w:rPr>
        <w:t>项目的名称：</w:t>
      </w:r>
      <w:r>
        <w:rPr>
          <w:rFonts w:hint="eastAsia" w:hAnsi="宋体"/>
          <w:bCs/>
          <w:sz w:val="24"/>
          <w:szCs w:val="24"/>
          <w:u w:val="single"/>
        </w:rPr>
        <w:t xml:space="preserve">                                     </w:t>
      </w:r>
    </w:p>
    <w:p w14:paraId="10FB9BE7">
      <w:pPr>
        <w:pStyle w:val="18"/>
        <w:spacing w:line="360" w:lineRule="auto"/>
        <w:ind w:left="25" w:leftChars="12" w:firstLine="472" w:firstLineChars="197"/>
        <w:contextualSpacing/>
        <w:rPr>
          <w:rFonts w:hint="eastAsia" w:hAnsi="宋体"/>
          <w:sz w:val="24"/>
          <w:szCs w:val="24"/>
        </w:rPr>
      </w:pPr>
      <w:r>
        <w:rPr>
          <w:rFonts w:hint="eastAsia" w:hAnsi="宋体"/>
          <w:bCs/>
          <w:sz w:val="24"/>
          <w:szCs w:val="24"/>
        </w:rPr>
        <w:t>质疑</w:t>
      </w:r>
      <w:r>
        <w:rPr>
          <w:rFonts w:hint="eastAsia" w:hAnsi="宋体"/>
          <w:sz w:val="24"/>
          <w:szCs w:val="24"/>
        </w:rPr>
        <w:t>项目的编号：</w:t>
      </w:r>
      <w:r>
        <w:rPr>
          <w:rFonts w:hint="eastAsia" w:hAnsi="宋体"/>
          <w:bCs/>
          <w:sz w:val="24"/>
          <w:szCs w:val="24"/>
          <w:u w:val="single"/>
        </w:rPr>
        <w:t xml:space="preserve">                                     </w:t>
      </w:r>
    </w:p>
    <w:p w14:paraId="1F98B839">
      <w:pPr>
        <w:pStyle w:val="18"/>
        <w:spacing w:line="360" w:lineRule="auto"/>
        <w:ind w:left="25" w:leftChars="12" w:firstLine="472" w:firstLineChars="197"/>
        <w:contextualSpacing/>
        <w:rPr>
          <w:rFonts w:hint="eastAsia" w:hAnsi="宋体"/>
          <w:sz w:val="24"/>
          <w:szCs w:val="24"/>
        </w:rPr>
      </w:pPr>
      <w:r>
        <w:rPr>
          <w:rFonts w:hint="eastAsia" w:hAnsi="宋体"/>
          <w:sz w:val="24"/>
          <w:szCs w:val="24"/>
        </w:rPr>
        <w:t>采购人名称：</w:t>
      </w:r>
      <w:r>
        <w:rPr>
          <w:rFonts w:hint="eastAsia" w:hAnsi="宋体"/>
          <w:bCs/>
          <w:sz w:val="24"/>
          <w:szCs w:val="24"/>
          <w:u w:val="single"/>
        </w:rPr>
        <w:t xml:space="preserve">                                         </w:t>
      </w:r>
    </w:p>
    <w:p w14:paraId="40E02B3D">
      <w:pPr>
        <w:pStyle w:val="18"/>
        <w:spacing w:line="360" w:lineRule="auto"/>
        <w:ind w:left="25" w:leftChars="12" w:firstLine="472" w:firstLineChars="197"/>
        <w:contextualSpacing/>
        <w:rPr>
          <w:rFonts w:hint="eastAsia" w:hAnsi="宋体"/>
          <w:sz w:val="24"/>
          <w:szCs w:val="24"/>
        </w:rPr>
      </w:pPr>
      <w:r>
        <w:rPr>
          <w:rFonts w:hint="eastAsia" w:hAnsi="宋体"/>
          <w:sz w:val="24"/>
          <w:szCs w:val="24"/>
        </w:rPr>
        <w:t>质疑事项：</w:t>
      </w:r>
    </w:p>
    <w:p w14:paraId="72E79667">
      <w:pPr>
        <w:pStyle w:val="18"/>
        <w:spacing w:line="360" w:lineRule="auto"/>
        <w:ind w:left="25" w:leftChars="12" w:firstLine="352" w:firstLineChars="147"/>
        <w:contextualSpacing/>
        <w:rPr>
          <w:rFonts w:hint="eastAsia" w:hAnsi="宋体"/>
          <w:sz w:val="24"/>
          <w:szCs w:val="24"/>
        </w:rPr>
      </w:pPr>
      <w:r>
        <w:rPr>
          <w:rFonts w:hint="eastAsia" w:hAnsi="宋体"/>
          <w:sz w:val="24"/>
          <w:szCs w:val="24"/>
        </w:rPr>
        <w:t>□采购文件   采购文件获取日期：</w:t>
      </w:r>
      <w:r>
        <w:rPr>
          <w:rFonts w:hint="eastAsia" w:hAnsi="宋体"/>
          <w:bCs/>
          <w:sz w:val="24"/>
          <w:szCs w:val="24"/>
          <w:u w:val="single"/>
        </w:rPr>
        <w:t xml:space="preserve">                                   </w:t>
      </w:r>
    </w:p>
    <w:p w14:paraId="3981E60E">
      <w:pPr>
        <w:pStyle w:val="18"/>
        <w:spacing w:line="360" w:lineRule="auto"/>
        <w:ind w:left="25" w:leftChars="12" w:firstLine="352" w:firstLineChars="147"/>
        <w:contextualSpacing/>
        <w:rPr>
          <w:rFonts w:hint="eastAsia" w:hAnsi="宋体"/>
          <w:sz w:val="24"/>
          <w:szCs w:val="24"/>
        </w:rPr>
      </w:pPr>
      <w:r>
        <w:rPr>
          <w:rFonts w:hint="eastAsia" w:hAnsi="宋体"/>
          <w:sz w:val="24"/>
          <w:szCs w:val="24"/>
        </w:rPr>
        <w:t xml:space="preserve">□采购过程   </w:t>
      </w:r>
    </w:p>
    <w:p w14:paraId="47636BA5">
      <w:pPr>
        <w:pStyle w:val="18"/>
        <w:spacing w:line="360" w:lineRule="auto"/>
        <w:ind w:left="25" w:leftChars="12" w:firstLine="352" w:firstLineChars="147"/>
        <w:contextualSpacing/>
        <w:rPr>
          <w:rFonts w:hint="eastAsia" w:hAnsi="宋体"/>
          <w:bCs/>
          <w:sz w:val="24"/>
          <w:szCs w:val="24"/>
          <w:u w:val="single"/>
        </w:rPr>
      </w:pPr>
      <w:r>
        <w:rPr>
          <w:rFonts w:hint="eastAsia" w:hAnsi="宋体"/>
          <w:sz w:val="24"/>
          <w:szCs w:val="24"/>
        </w:rPr>
        <w:t xml:space="preserve">□成交结果   </w:t>
      </w:r>
    </w:p>
    <w:p w14:paraId="4C257A7F">
      <w:pPr>
        <w:pStyle w:val="18"/>
        <w:spacing w:line="360" w:lineRule="auto"/>
        <w:ind w:left="25" w:leftChars="12" w:firstLine="472" w:firstLineChars="196"/>
        <w:contextualSpacing/>
        <w:rPr>
          <w:rFonts w:hint="eastAsia" w:hAnsi="宋体"/>
          <w:b/>
          <w:sz w:val="24"/>
          <w:szCs w:val="24"/>
        </w:rPr>
      </w:pPr>
      <w:r>
        <w:rPr>
          <w:rFonts w:hint="eastAsia" w:hAnsi="宋体"/>
          <w:b/>
          <w:sz w:val="24"/>
          <w:szCs w:val="24"/>
        </w:rPr>
        <w:t>三、质疑事项具体内容</w:t>
      </w:r>
    </w:p>
    <w:p w14:paraId="54D94702">
      <w:pPr>
        <w:pStyle w:val="18"/>
        <w:spacing w:line="360" w:lineRule="auto"/>
        <w:ind w:left="25" w:leftChars="12" w:firstLine="472" w:firstLineChars="197"/>
        <w:contextualSpacing/>
        <w:rPr>
          <w:rFonts w:hint="eastAsia" w:hAnsi="宋体"/>
          <w:sz w:val="24"/>
          <w:szCs w:val="24"/>
        </w:rPr>
      </w:pPr>
      <w:r>
        <w:rPr>
          <w:rFonts w:hint="eastAsia" w:hAnsi="宋体"/>
          <w:sz w:val="24"/>
          <w:szCs w:val="24"/>
        </w:rPr>
        <w:t>质疑事项1：</w:t>
      </w:r>
      <w:r>
        <w:rPr>
          <w:rFonts w:hint="eastAsia" w:hAnsi="宋体"/>
          <w:bCs/>
          <w:sz w:val="24"/>
          <w:szCs w:val="24"/>
          <w:u w:val="single"/>
        </w:rPr>
        <w:t xml:space="preserve">                                                                    </w:t>
      </w:r>
    </w:p>
    <w:p w14:paraId="2E85EEA5">
      <w:pPr>
        <w:pStyle w:val="18"/>
        <w:spacing w:line="360" w:lineRule="auto"/>
        <w:ind w:left="25" w:leftChars="12" w:firstLine="472" w:firstLineChars="197"/>
        <w:contextualSpacing/>
        <w:rPr>
          <w:rFonts w:hint="eastAsia" w:hAnsi="宋体"/>
          <w:sz w:val="24"/>
          <w:szCs w:val="24"/>
        </w:rPr>
      </w:pPr>
      <w:r>
        <w:rPr>
          <w:rFonts w:hint="eastAsia" w:hAnsi="宋体"/>
          <w:sz w:val="24"/>
          <w:szCs w:val="24"/>
        </w:rPr>
        <w:t>事实依据：</w:t>
      </w:r>
      <w:r>
        <w:rPr>
          <w:rFonts w:hint="eastAsia" w:hAnsi="宋体"/>
          <w:bCs/>
          <w:sz w:val="24"/>
          <w:szCs w:val="24"/>
          <w:u w:val="single"/>
        </w:rPr>
        <w:t xml:space="preserve">                                                                      </w:t>
      </w:r>
    </w:p>
    <w:p w14:paraId="6320FE64">
      <w:pPr>
        <w:pStyle w:val="18"/>
        <w:spacing w:line="360" w:lineRule="auto"/>
        <w:ind w:left="25" w:leftChars="12" w:firstLine="472" w:firstLineChars="197"/>
        <w:contextualSpacing/>
        <w:rPr>
          <w:rFonts w:hint="eastAsia" w:hAnsi="宋体"/>
          <w:sz w:val="24"/>
          <w:szCs w:val="24"/>
        </w:rPr>
      </w:pPr>
      <w:r>
        <w:rPr>
          <w:rFonts w:hint="eastAsia" w:hAnsi="宋体"/>
          <w:sz w:val="24"/>
          <w:szCs w:val="24"/>
        </w:rPr>
        <w:t>法律依据：</w:t>
      </w:r>
      <w:r>
        <w:rPr>
          <w:rFonts w:hint="eastAsia" w:hAnsi="宋体"/>
          <w:sz w:val="24"/>
          <w:szCs w:val="24"/>
          <w:u w:val="single"/>
        </w:rPr>
        <w:t xml:space="preserve">                                                        </w:t>
      </w:r>
      <w:r>
        <w:rPr>
          <w:rFonts w:hint="eastAsia" w:hAnsi="宋体"/>
          <w:bCs/>
          <w:sz w:val="24"/>
          <w:szCs w:val="24"/>
          <w:u w:val="single"/>
        </w:rPr>
        <w:t xml:space="preserve">               </w:t>
      </w:r>
    </w:p>
    <w:p w14:paraId="03CC22FD">
      <w:pPr>
        <w:pStyle w:val="18"/>
        <w:spacing w:line="360" w:lineRule="auto"/>
        <w:ind w:left="25" w:leftChars="12" w:firstLine="472" w:firstLineChars="197"/>
        <w:contextualSpacing/>
        <w:rPr>
          <w:rFonts w:hint="eastAsia" w:hAnsi="宋体"/>
          <w:sz w:val="24"/>
          <w:szCs w:val="24"/>
        </w:rPr>
      </w:pPr>
      <w:r>
        <w:rPr>
          <w:rFonts w:hint="eastAsia" w:hAnsi="宋体"/>
          <w:sz w:val="24"/>
          <w:szCs w:val="24"/>
        </w:rPr>
        <w:t>质疑事项2</w:t>
      </w:r>
    </w:p>
    <w:p w14:paraId="49670386">
      <w:pPr>
        <w:pStyle w:val="18"/>
        <w:spacing w:line="360" w:lineRule="auto"/>
        <w:ind w:left="25" w:leftChars="12" w:firstLine="472" w:firstLineChars="197"/>
        <w:contextualSpacing/>
        <w:rPr>
          <w:rFonts w:hint="eastAsia" w:hAnsi="宋体"/>
          <w:sz w:val="24"/>
          <w:szCs w:val="24"/>
        </w:rPr>
      </w:pPr>
      <w:r>
        <w:rPr>
          <w:rFonts w:hAnsi="宋体"/>
          <w:sz w:val="24"/>
          <w:szCs w:val="24"/>
        </w:rPr>
        <w:t>……</w:t>
      </w:r>
    </w:p>
    <w:p w14:paraId="0FFF0DB0">
      <w:pPr>
        <w:pStyle w:val="18"/>
        <w:spacing w:line="360" w:lineRule="auto"/>
        <w:ind w:left="25" w:leftChars="12" w:firstLine="472" w:firstLineChars="197"/>
        <w:contextualSpacing/>
        <w:rPr>
          <w:rFonts w:hint="eastAsia" w:hAnsi="宋体"/>
          <w:sz w:val="24"/>
          <w:szCs w:val="24"/>
        </w:rPr>
      </w:pPr>
      <w:r>
        <w:rPr>
          <w:rFonts w:hint="eastAsia" w:hAnsi="宋体"/>
          <w:sz w:val="24"/>
          <w:szCs w:val="24"/>
        </w:rPr>
        <w:t>四、与质疑事项相关的质疑请求：</w:t>
      </w:r>
    </w:p>
    <w:p w14:paraId="46BCE2E4">
      <w:pPr>
        <w:pStyle w:val="18"/>
        <w:spacing w:line="360" w:lineRule="auto"/>
        <w:ind w:left="25" w:leftChars="12" w:firstLine="472" w:firstLineChars="197"/>
        <w:contextualSpacing/>
        <w:rPr>
          <w:rFonts w:hint="eastAsia" w:hAnsi="宋体"/>
          <w:sz w:val="24"/>
          <w:szCs w:val="24"/>
        </w:rPr>
      </w:pPr>
      <w:r>
        <w:rPr>
          <w:rFonts w:hint="eastAsia" w:hAnsi="宋体"/>
          <w:sz w:val="24"/>
          <w:szCs w:val="24"/>
        </w:rPr>
        <w:t>请求：</w:t>
      </w:r>
      <w:r>
        <w:rPr>
          <w:rFonts w:hint="eastAsia" w:hAnsi="宋体"/>
          <w:bCs/>
          <w:sz w:val="24"/>
          <w:szCs w:val="24"/>
          <w:u w:val="single"/>
        </w:rPr>
        <w:t xml:space="preserve">                                                                </w:t>
      </w:r>
    </w:p>
    <w:p w14:paraId="57592961">
      <w:pPr>
        <w:pStyle w:val="18"/>
        <w:spacing w:line="360" w:lineRule="auto"/>
        <w:ind w:left="25" w:leftChars="12" w:firstLine="352" w:firstLineChars="147"/>
        <w:contextualSpacing/>
        <w:rPr>
          <w:rFonts w:hint="eastAsia" w:hAnsi="宋体"/>
          <w:sz w:val="24"/>
          <w:szCs w:val="24"/>
        </w:rPr>
      </w:pPr>
    </w:p>
    <w:p w14:paraId="1295654D">
      <w:pPr>
        <w:pStyle w:val="18"/>
        <w:spacing w:line="360" w:lineRule="auto"/>
        <w:ind w:left="25" w:leftChars="12" w:firstLine="472" w:firstLineChars="197"/>
        <w:contextualSpacing/>
        <w:rPr>
          <w:rFonts w:hint="eastAsia" w:hAnsi="宋体"/>
          <w:sz w:val="24"/>
          <w:szCs w:val="24"/>
        </w:rPr>
      </w:pPr>
      <w:r>
        <w:rPr>
          <w:rFonts w:hint="eastAsia" w:hAnsi="宋体"/>
          <w:sz w:val="24"/>
          <w:szCs w:val="24"/>
        </w:rPr>
        <w:t>签字（签章）：                                       公章：</w:t>
      </w:r>
    </w:p>
    <w:p w14:paraId="085C0681">
      <w:pPr>
        <w:pStyle w:val="18"/>
        <w:spacing w:line="360" w:lineRule="auto"/>
        <w:ind w:left="25" w:leftChars="12" w:firstLine="352" w:firstLineChars="147"/>
        <w:contextualSpacing/>
        <w:rPr>
          <w:rFonts w:hint="eastAsia" w:hAnsi="宋体"/>
          <w:sz w:val="24"/>
          <w:szCs w:val="24"/>
        </w:rPr>
      </w:pPr>
    </w:p>
    <w:p w14:paraId="4D7239EF">
      <w:pPr>
        <w:pStyle w:val="18"/>
        <w:spacing w:line="360" w:lineRule="auto"/>
        <w:ind w:left="25" w:leftChars="12" w:firstLine="472" w:firstLineChars="197"/>
        <w:contextualSpacing/>
        <w:rPr>
          <w:rFonts w:hint="eastAsia" w:hAnsi="宋体"/>
          <w:sz w:val="24"/>
          <w:szCs w:val="24"/>
        </w:rPr>
      </w:pPr>
      <w:r>
        <w:rPr>
          <w:rFonts w:hint="eastAsia" w:hAnsi="宋体"/>
          <w:sz w:val="24"/>
          <w:szCs w:val="24"/>
        </w:rPr>
        <w:t>日期：</w:t>
      </w:r>
    </w:p>
    <w:p w14:paraId="32257312">
      <w:pPr>
        <w:pStyle w:val="18"/>
        <w:spacing w:line="360" w:lineRule="auto"/>
        <w:contextualSpacing/>
        <w:rPr>
          <w:rFonts w:hint="eastAsia" w:hAnsi="宋体"/>
          <w:b/>
          <w:sz w:val="24"/>
          <w:szCs w:val="24"/>
        </w:rPr>
      </w:pPr>
    </w:p>
    <w:p w14:paraId="61BC4CEF">
      <w:pPr>
        <w:pStyle w:val="18"/>
        <w:spacing w:line="360" w:lineRule="auto"/>
        <w:contextualSpacing/>
        <w:rPr>
          <w:rFonts w:hint="eastAsia" w:hAnsi="宋体"/>
          <w:b/>
          <w:sz w:val="24"/>
          <w:szCs w:val="24"/>
        </w:rPr>
      </w:pPr>
      <w:r>
        <w:rPr>
          <w:rFonts w:hint="eastAsia" w:hAnsi="宋体"/>
          <w:b/>
          <w:sz w:val="24"/>
          <w:szCs w:val="24"/>
        </w:rPr>
        <w:t>说明：</w:t>
      </w:r>
    </w:p>
    <w:p w14:paraId="0FE04D09">
      <w:pPr>
        <w:pStyle w:val="18"/>
        <w:spacing w:line="360" w:lineRule="auto"/>
        <w:ind w:left="25" w:leftChars="12" w:firstLine="354" w:firstLineChars="147"/>
        <w:contextualSpacing/>
        <w:rPr>
          <w:rFonts w:hint="eastAsia" w:hAnsi="宋体"/>
          <w:b/>
          <w:bCs/>
          <w:sz w:val="24"/>
          <w:szCs w:val="24"/>
        </w:rPr>
      </w:pPr>
      <w:r>
        <w:rPr>
          <w:rFonts w:hint="eastAsia" w:hAnsi="宋体"/>
          <w:b/>
          <w:sz w:val="24"/>
          <w:szCs w:val="24"/>
        </w:rPr>
        <w:t>1.供应商提出质疑时，应提交质疑函和必要的证明材料</w:t>
      </w:r>
      <w:r>
        <w:rPr>
          <w:rFonts w:hint="eastAsia" w:hAnsi="宋体"/>
          <w:b/>
          <w:bCs/>
          <w:sz w:val="24"/>
          <w:szCs w:val="24"/>
        </w:rPr>
        <w:t>。</w:t>
      </w:r>
    </w:p>
    <w:p w14:paraId="2AF80E70">
      <w:pPr>
        <w:pStyle w:val="18"/>
        <w:spacing w:line="360" w:lineRule="auto"/>
        <w:ind w:left="25" w:leftChars="12" w:firstLine="354" w:firstLineChars="147"/>
        <w:contextualSpacing/>
        <w:rPr>
          <w:rFonts w:hint="eastAsia" w:hAnsi="宋体"/>
          <w:b/>
          <w:sz w:val="24"/>
          <w:szCs w:val="24"/>
        </w:rPr>
      </w:pPr>
      <w:r>
        <w:rPr>
          <w:rFonts w:hint="eastAsia" w:hAnsi="宋体"/>
          <w:b/>
          <w:sz w:val="24"/>
          <w:szCs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094EB30F">
      <w:pPr>
        <w:pStyle w:val="18"/>
        <w:spacing w:line="360" w:lineRule="auto"/>
        <w:ind w:left="25" w:leftChars="12" w:firstLine="354" w:firstLineChars="147"/>
        <w:contextualSpacing/>
        <w:rPr>
          <w:rFonts w:hint="eastAsia" w:hAnsi="宋体"/>
          <w:b/>
          <w:sz w:val="24"/>
          <w:szCs w:val="24"/>
        </w:rPr>
      </w:pPr>
      <w:r>
        <w:rPr>
          <w:rFonts w:hint="eastAsia" w:hAnsi="宋体"/>
          <w:b/>
          <w:sz w:val="24"/>
          <w:szCs w:val="24"/>
        </w:rPr>
        <w:t>3.质疑函的质疑事项应具体、明确，并有必要的事实依据和法律依据。</w:t>
      </w:r>
    </w:p>
    <w:p w14:paraId="2B380E28">
      <w:pPr>
        <w:pStyle w:val="18"/>
        <w:spacing w:line="360" w:lineRule="auto"/>
        <w:ind w:left="25" w:leftChars="12" w:firstLine="354" w:firstLineChars="147"/>
        <w:contextualSpacing/>
        <w:rPr>
          <w:rFonts w:hint="eastAsia" w:hAnsi="宋体"/>
          <w:b/>
          <w:sz w:val="24"/>
          <w:szCs w:val="24"/>
        </w:rPr>
      </w:pPr>
      <w:r>
        <w:rPr>
          <w:rFonts w:hint="eastAsia" w:hAnsi="宋体"/>
          <w:b/>
          <w:sz w:val="24"/>
          <w:szCs w:val="24"/>
        </w:rPr>
        <w:t>4.质疑函的质疑请求应与质疑事项相关。</w:t>
      </w:r>
    </w:p>
    <w:p w14:paraId="2083E7DB">
      <w:pPr>
        <w:pStyle w:val="18"/>
        <w:spacing w:line="360" w:lineRule="auto"/>
        <w:ind w:left="25" w:leftChars="12" w:firstLine="354" w:firstLineChars="147"/>
        <w:contextualSpacing/>
        <w:rPr>
          <w:rFonts w:hint="eastAsia" w:hAnsi="宋体"/>
          <w:b/>
        </w:rPr>
      </w:pPr>
      <w:r>
        <w:rPr>
          <w:rFonts w:hint="eastAsia" w:hAnsi="宋体"/>
          <w:b/>
          <w:sz w:val="24"/>
          <w:szCs w:val="24"/>
        </w:rPr>
        <w:t>5.质疑供应商为法人或者其他组织的，质疑函应由法定代表人、主要负责人，或者其授权代表签字或者盖章，并加盖公章。</w:t>
      </w:r>
    </w:p>
    <w:p w14:paraId="7F626F6E">
      <w:pPr>
        <w:pStyle w:val="18"/>
        <w:snapToGrid w:val="0"/>
        <w:rPr>
          <w:b/>
          <w:sz w:val="24"/>
          <w:szCs w:val="24"/>
        </w:rPr>
      </w:pPr>
    </w:p>
    <w:p w14:paraId="7E59DBF9">
      <w:r>
        <w:br w:type="page"/>
      </w:r>
    </w:p>
    <w:p w14:paraId="5858D9F7">
      <w:pPr>
        <w:spacing w:line="360" w:lineRule="auto"/>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投诉书（格式）</w:t>
      </w:r>
    </w:p>
    <w:p w14:paraId="63AEB1F8">
      <w:pPr>
        <w:pStyle w:val="18"/>
        <w:snapToGrid w:val="0"/>
        <w:spacing w:line="360" w:lineRule="auto"/>
        <w:ind w:firstLine="482" w:firstLineChars="200"/>
        <w:rPr>
          <w:rFonts w:hint="eastAsia" w:hAnsi="宋体"/>
          <w:b/>
          <w:bCs/>
          <w:sz w:val="24"/>
          <w:szCs w:val="24"/>
        </w:rPr>
      </w:pPr>
      <w:r>
        <w:rPr>
          <w:rFonts w:hint="eastAsia" w:hAnsi="宋体"/>
          <w:b/>
          <w:bCs/>
          <w:sz w:val="24"/>
          <w:szCs w:val="24"/>
        </w:rPr>
        <w:t>一、投诉相关主体基本情况：</w:t>
      </w:r>
    </w:p>
    <w:p w14:paraId="3FEE5DBF">
      <w:pPr>
        <w:pStyle w:val="18"/>
        <w:snapToGrid w:val="0"/>
        <w:spacing w:line="360" w:lineRule="auto"/>
        <w:ind w:firstLine="480" w:firstLineChars="200"/>
        <w:rPr>
          <w:rFonts w:hint="eastAsia" w:hAnsi="宋体"/>
          <w:bCs/>
          <w:sz w:val="24"/>
          <w:szCs w:val="24"/>
          <w:u w:val="single"/>
        </w:rPr>
      </w:pPr>
      <w:r>
        <w:rPr>
          <w:rFonts w:hint="eastAsia" w:hAnsi="宋体"/>
          <w:bCs/>
          <w:sz w:val="24"/>
          <w:szCs w:val="24"/>
        </w:rPr>
        <w:t>供应商：</w:t>
      </w:r>
      <w:r>
        <w:rPr>
          <w:rFonts w:hint="eastAsia" w:hAnsi="宋体"/>
          <w:bCs/>
          <w:sz w:val="24"/>
          <w:szCs w:val="24"/>
          <w:u w:val="single"/>
        </w:rPr>
        <w:t xml:space="preserve">                                                                        </w:t>
      </w:r>
      <w:r>
        <w:rPr>
          <w:rFonts w:hint="eastAsia" w:hAnsi="宋体"/>
          <w:bCs/>
          <w:sz w:val="24"/>
          <w:szCs w:val="24"/>
        </w:rPr>
        <w:t xml:space="preserve">                 </w:t>
      </w:r>
    </w:p>
    <w:p w14:paraId="368F3C62">
      <w:pPr>
        <w:pStyle w:val="18"/>
        <w:snapToGrid w:val="0"/>
        <w:spacing w:line="360" w:lineRule="auto"/>
        <w:ind w:firstLine="480" w:firstLineChars="200"/>
        <w:rPr>
          <w:rFonts w:hint="eastAsia" w:hAnsi="宋体"/>
          <w:bCs/>
          <w:sz w:val="24"/>
          <w:szCs w:val="24"/>
        </w:rPr>
      </w:pPr>
      <w:r>
        <w:rPr>
          <w:rFonts w:hAnsi="宋体"/>
          <w:bCs/>
          <w:sz w:val="24"/>
          <w:szCs w:val="24"/>
        </w:rPr>
        <w:t>地址</w:t>
      </w:r>
      <w:r>
        <w:rPr>
          <w:rFonts w:hint="eastAsia" w:hAnsi="宋体"/>
          <w:bCs/>
          <w:sz w:val="24"/>
          <w:szCs w:val="24"/>
        </w:rPr>
        <w:t>：</w:t>
      </w:r>
      <w:r>
        <w:rPr>
          <w:rFonts w:hint="eastAsia" w:hAnsi="宋体"/>
          <w:bCs/>
          <w:sz w:val="24"/>
          <w:szCs w:val="24"/>
          <w:u w:val="single"/>
        </w:rPr>
        <w:t xml:space="preserve">                                          </w:t>
      </w:r>
      <w:r>
        <w:rPr>
          <w:rFonts w:hAnsi="宋体"/>
          <w:bCs/>
          <w:sz w:val="24"/>
          <w:szCs w:val="24"/>
        </w:rPr>
        <w:t>邮编</w:t>
      </w:r>
      <w:r>
        <w:rPr>
          <w:rFonts w:hint="eastAsia" w:hAnsi="宋体"/>
          <w:bCs/>
          <w:sz w:val="24"/>
          <w:szCs w:val="24"/>
        </w:rPr>
        <w:t>：</w:t>
      </w:r>
      <w:r>
        <w:rPr>
          <w:rFonts w:hint="eastAsia" w:hAnsi="宋体"/>
          <w:bCs/>
          <w:sz w:val="24"/>
          <w:szCs w:val="24"/>
          <w:u w:val="single"/>
        </w:rPr>
        <w:t xml:space="preserve">                          </w:t>
      </w:r>
      <w:r>
        <w:rPr>
          <w:rFonts w:hint="eastAsia" w:hAnsi="宋体"/>
          <w:bCs/>
          <w:sz w:val="24"/>
          <w:szCs w:val="24"/>
        </w:rPr>
        <w:t xml:space="preserve">                 </w:t>
      </w:r>
    </w:p>
    <w:p w14:paraId="300C46D5">
      <w:pPr>
        <w:pStyle w:val="18"/>
        <w:snapToGrid w:val="0"/>
        <w:spacing w:line="360" w:lineRule="auto"/>
        <w:ind w:firstLine="480" w:firstLineChars="200"/>
        <w:rPr>
          <w:rFonts w:hint="eastAsia" w:hAnsi="宋体"/>
          <w:bCs/>
          <w:sz w:val="24"/>
          <w:szCs w:val="24"/>
          <w:u w:val="single"/>
        </w:rPr>
      </w:pPr>
      <w:r>
        <w:rPr>
          <w:rFonts w:hint="eastAsia" w:hAnsi="宋体"/>
          <w:bCs/>
          <w:sz w:val="24"/>
          <w:szCs w:val="24"/>
        </w:rPr>
        <w:t>法定代表人/主要负责人：</w:t>
      </w:r>
      <w:r>
        <w:rPr>
          <w:rFonts w:hint="eastAsia" w:hAnsi="宋体"/>
          <w:bCs/>
          <w:sz w:val="24"/>
          <w:szCs w:val="24"/>
          <w:u w:val="single"/>
        </w:rPr>
        <w:t xml:space="preserve">                                                         </w:t>
      </w:r>
    </w:p>
    <w:p w14:paraId="62061AF0">
      <w:pPr>
        <w:pStyle w:val="18"/>
        <w:snapToGrid w:val="0"/>
        <w:spacing w:line="360" w:lineRule="auto"/>
        <w:ind w:firstLine="480" w:firstLineChars="200"/>
        <w:rPr>
          <w:rFonts w:hint="eastAsia" w:hAnsi="宋体"/>
          <w:bCs/>
          <w:sz w:val="24"/>
          <w:szCs w:val="24"/>
        </w:rPr>
      </w:pPr>
      <w:r>
        <w:rPr>
          <w:rFonts w:hAnsi="宋体"/>
          <w:bCs/>
          <w:sz w:val="24"/>
          <w:szCs w:val="24"/>
        </w:rPr>
        <w:t>联系电话</w:t>
      </w:r>
      <w:r>
        <w:rPr>
          <w:rFonts w:hint="eastAsia" w:hAnsi="宋体"/>
          <w:bCs/>
          <w:sz w:val="24"/>
          <w:szCs w:val="24"/>
        </w:rPr>
        <w:t>：</w:t>
      </w:r>
      <w:r>
        <w:rPr>
          <w:rFonts w:hint="eastAsia" w:hAnsi="宋体"/>
          <w:bCs/>
          <w:sz w:val="24"/>
          <w:szCs w:val="24"/>
          <w:u w:val="single"/>
        </w:rPr>
        <w:t xml:space="preserve">                                         </w:t>
      </w:r>
    </w:p>
    <w:p w14:paraId="1F4466EB">
      <w:pPr>
        <w:pStyle w:val="18"/>
        <w:snapToGrid w:val="0"/>
        <w:spacing w:line="360" w:lineRule="auto"/>
        <w:ind w:firstLine="480" w:firstLineChars="200"/>
        <w:rPr>
          <w:rFonts w:hint="eastAsia" w:hAnsi="宋体"/>
          <w:bCs/>
          <w:sz w:val="24"/>
          <w:szCs w:val="24"/>
          <w:u w:val="single"/>
        </w:rPr>
      </w:pPr>
      <w:r>
        <w:rPr>
          <w:rFonts w:hint="eastAsia" w:hAnsi="宋体"/>
          <w:bCs/>
          <w:sz w:val="24"/>
          <w:szCs w:val="24"/>
        </w:rPr>
        <w:t>授权代表：</w:t>
      </w:r>
      <w:r>
        <w:rPr>
          <w:rFonts w:hint="eastAsia" w:hAnsi="宋体"/>
          <w:bCs/>
          <w:sz w:val="24"/>
          <w:szCs w:val="24"/>
          <w:u w:val="single"/>
        </w:rPr>
        <w:t xml:space="preserve">                                         </w:t>
      </w:r>
      <w:r>
        <w:rPr>
          <w:rFonts w:hAnsi="宋体"/>
          <w:bCs/>
          <w:sz w:val="24"/>
          <w:szCs w:val="24"/>
        </w:rPr>
        <w:t>联系</w:t>
      </w:r>
      <w:r>
        <w:rPr>
          <w:rFonts w:hint="eastAsia" w:hAnsi="宋体"/>
          <w:bCs/>
          <w:sz w:val="24"/>
          <w:szCs w:val="24"/>
        </w:rPr>
        <w:t>电话：</w:t>
      </w:r>
      <w:r>
        <w:rPr>
          <w:rFonts w:hint="eastAsia" w:hAnsi="宋体"/>
          <w:bCs/>
          <w:sz w:val="24"/>
          <w:szCs w:val="24"/>
          <w:u w:val="single"/>
        </w:rPr>
        <w:t xml:space="preserve">                   </w:t>
      </w:r>
    </w:p>
    <w:p w14:paraId="1E2D1745">
      <w:pPr>
        <w:pStyle w:val="18"/>
        <w:snapToGrid w:val="0"/>
        <w:spacing w:line="360" w:lineRule="auto"/>
        <w:ind w:firstLine="480" w:firstLineChars="200"/>
        <w:rPr>
          <w:rFonts w:hint="eastAsia" w:hAnsi="宋体"/>
          <w:bCs/>
          <w:sz w:val="24"/>
          <w:szCs w:val="24"/>
          <w:u w:val="single"/>
        </w:rPr>
      </w:pPr>
      <w:r>
        <w:rPr>
          <w:rFonts w:hAnsi="宋体"/>
          <w:bCs/>
          <w:sz w:val="24"/>
          <w:szCs w:val="24"/>
        </w:rPr>
        <w:t>地址</w:t>
      </w:r>
      <w:r>
        <w:rPr>
          <w:rFonts w:hint="eastAsia" w:hAnsi="宋体"/>
          <w:bCs/>
          <w:sz w:val="24"/>
          <w:szCs w:val="24"/>
        </w:rPr>
        <w:t>：</w:t>
      </w:r>
      <w:r>
        <w:rPr>
          <w:rFonts w:hint="eastAsia" w:hAnsi="宋体"/>
          <w:bCs/>
          <w:sz w:val="24"/>
          <w:szCs w:val="24"/>
          <w:u w:val="single"/>
        </w:rPr>
        <w:t xml:space="preserve">                                                            </w:t>
      </w:r>
    </w:p>
    <w:p w14:paraId="42E279FF">
      <w:pPr>
        <w:pStyle w:val="18"/>
        <w:snapToGrid w:val="0"/>
        <w:spacing w:line="360" w:lineRule="auto"/>
        <w:ind w:firstLine="480" w:firstLineChars="200"/>
        <w:rPr>
          <w:rFonts w:hint="eastAsia" w:hAnsi="宋体"/>
          <w:bCs/>
          <w:sz w:val="24"/>
          <w:szCs w:val="24"/>
        </w:rPr>
      </w:pPr>
      <w:r>
        <w:rPr>
          <w:rFonts w:hAnsi="宋体"/>
          <w:bCs/>
          <w:sz w:val="24"/>
          <w:szCs w:val="24"/>
        </w:rPr>
        <w:t>邮编</w:t>
      </w:r>
      <w:r>
        <w:rPr>
          <w:rFonts w:hint="eastAsia" w:hAnsi="宋体"/>
          <w:bCs/>
          <w:sz w:val="24"/>
          <w:szCs w:val="24"/>
        </w:rPr>
        <w:t>：</w:t>
      </w:r>
      <w:r>
        <w:rPr>
          <w:rFonts w:hint="eastAsia" w:hAnsi="宋体"/>
          <w:bCs/>
          <w:sz w:val="24"/>
          <w:szCs w:val="24"/>
          <w:u w:val="single"/>
        </w:rPr>
        <w:t xml:space="preserve">         </w:t>
      </w:r>
      <w:r>
        <w:rPr>
          <w:rFonts w:hint="eastAsia" w:hAnsi="宋体"/>
          <w:bCs/>
          <w:sz w:val="24"/>
          <w:szCs w:val="24"/>
        </w:rPr>
        <w:t xml:space="preserve">   </w:t>
      </w:r>
    </w:p>
    <w:p w14:paraId="056F13DE">
      <w:pPr>
        <w:pStyle w:val="18"/>
        <w:snapToGrid w:val="0"/>
        <w:spacing w:line="360" w:lineRule="auto"/>
        <w:ind w:firstLine="480" w:firstLineChars="200"/>
        <w:rPr>
          <w:rFonts w:hint="eastAsia" w:hAnsi="宋体"/>
          <w:bCs/>
          <w:sz w:val="24"/>
          <w:szCs w:val="24"/>
        </w:rPr>
      </w:pPr>
      <w:r>
        <w:rPr>
          <w:rFonts w:hint="eastAsia" w:hAnsi="宋体"/>
          <w:bCs/>
          <w:sz w:val="24"/>
          <w:szCs w:val="24"/>
        </w:rPr>
        <w:t>被投诉人1：</w:t>
      </w:r>
    </w:p>
    <w:p w14:paraId="1159D22A">
      <w:pPr>
        <w:pStyle w:val="18"/>
        <w:snapToGrid w:val="0"/>
        <w:spacing w:line="360" w:lineRule="auto"/>
        <w:ind w:firstLine="480" w:firstLineChars="200"/>
        <w:rPr>
          <w:rFonts w:hint="eastAsia" w:hAnsi="宋体"/>
          <w:bCs/>
          <w:sz w:val="24"/>
          <w:szCs w:val="24"/>
          <w:u w:val="single"/>
        </w:rPr>
      </w:pPr>
      <w:r>
        <w:rPr>
          <w:rFonts w:hint="eastAsia" w:hAnsi="宋体"/>
          <w:bCs/>
          <w:sz w:val="24"/>
          <w:szCs w:val="24"/>
        </w:rPr>
        <w:t>地址：</w:t>
      </w:r>
      <w:r>
        <w:rPr>
          <w:rFonts w:hint="eastAsia" w:hAnsi="宋体"/>
          <w:bCs/>
          <w:sz w:val="24"/>
          <w:szCs w:val="24"/>
          <w:u w:val="single"/>
        </w:rPr>
        <w:t xml:space="preserve">                                                            </w:t>
      </w:r>
    </w:p>
    <w:p w14:paraId="3DE056AC">
      <w:pPr>
        <w:pStyle w:val="18"/>
        <w:snapToGrid w:val="0"/>
        <w:spacing w:line="360" w:lineRule="auto"/>
        <w:ind w:firstLine="480" w:firstLineChars="200"/>
        <w:rPr>
          <w:rFonts w:hint="eastAsia" w:hAnsi="宋体"/>
          <w:bCs/>
          <w:sz w:val="24"/>
          <w:szCs w:val="24"/>
        </w:rPr>
      </w:pPr>
      <w:r>
        <w:rPr>
          <w:rFonts w:hAnsi="宋体"/>
          <w:bCs/>
          <w:sz w:val="24"/>
          <w:szCs w:val="24"/>
        </w:rPr>
        <w:t>邮编</w:t>
      </w:r>
      <w:r>
        <w:rPr>
          <w:rFonts w:hint="eastAsia" w:hAnsi="宋体"/>
          <w:bCs/>
          <w:sz w:val="24"/>
          <w:szCs w:val="24"/>
        </w:rPr>
        <w:t>：</w:t>
      </w:r>
      <w:r>
        <w:rPr>
          <w:rFonts w:hint="eastAsia" w:hAnsi="宋体"/>
          <w:bCs/>
          <w:sz w:val="24"/>
          <w:szCs w:val="24"/>
          <w:u w:val="single"/>
        </w:rPr>
        <w:t xml:space="preserve">         </w:t>
      </w:r>
      <w:r>
        <w:rPr>
          <w:rFonts w:hint="eastAsia" w:hAnsi="宋体"/>
          <w:bCs/>
          <w:sz w:val="24"/>
          <w:szCs w:val="24"/>
        </w:rPr>
        <w:t xml:space="preserve">  </w:t>
      </w:r>
    </w:p>
    <w:p w14:paraId="6269CDEA">
      <w:pPr>
        <w:pStyle w:val="18"/>
        <w:snapToGrid w:val="0"/>
        <w:spacing w:line="360" w:lineRule="auto"/>
        <w:ind w:firstLine="480" w:firstLineChars="200"/>
        <w:rPr>
          <w:rFonts w:hint="eastAsia" w:hAnsi="宋体"/>
          <w:bCs/>
          <w:sz w:val="24"/>
          <w:szCs w:val="24"/>
          <w:u w:val="single"/>
        </w:rPr>
      </w:pPr>
      <w:r>
        <w:rPr>
          <w:rFonts w:hint="eastAsia" w:hAnsi="宋体"/>
          <w:bCs/>
          <w:sz w:val="24"/>
          <w:szCs w:val="24"/>
        </w:rPr>
        <w:t>联系人：</w:t>
      </w:r>
      <w:r>
        <w:rPr>
          <w:rFonts w:hint="eastAsia" w:hAnsi="宋体"/>
          <w:bCs/>
          <w:sz w:val="24"/>
          <w:szCs w:val="24"/>
          <w:u w:val="single"/>
        </w:rPr>
        <w:t xml:space="preserve">                                                </w:t>
      </w:r>
      <w:r>
        <w:rPr>
          <w:rFonts w:hAnsi="宋体"/>
          <w:bCs/>
          <w:sz w:val="24"/>
          <w:szCs w:val="24"/>
        </w:rPr>
        <w:t>联系</w:t>
      </w:r>
      <w:r>
        <w:rPr>
          <w:rFonts w:hint="eastAsia" w:hAnsi="宋体"/>
          <w:bCs/>
          <w:sz w:val="24"/>
          <w:szCs w:val="24"/>
        </w:rPr>
        <w:t>电话：</w:t>
      </w:r>
      <w:r>
        <w:rPr>
          <w:rFonts w:hint="eastAsia" w:hAnsi="宋体"/>
          <w:bCs/>
          <w:sz w:val="24"/>
          <w:szCs w:val="24"/>
          <w:u w:val="single"/>
        </w:rPr>
        <w:t xml:space="preserve">                </w:t>
      </w:r>
    </w:p>
    <w:p w14:paraId="100D6426">
      <w:pPr>
        <w:pStyle w:val="18"/>
        <w:snapToGrid w:val="0"/>
        <w:spacing w:line="360" w:lineRule="auto"/>
        <w:ind w:firstLine="480" w:firstLineChars="200"/>
        <w:rPr>
          <w:rFonts w:hint="eastAsia" w:hAnsi="宋体"/>
          <w:bCs/>
          <w:sz w:val="24"/>
          <w:szCs w:val="24"/>
        </w:rPr>
      </w:pPr>
      <w:r>
        <w:rPr>
          <w:rFonts w:hint="eastAsia" w:hAnsi="宋体"/>
          <w:bCs/>
          <w:sz w:val="24"/>
          <w:szCs w:val="24"/>
        </w:rPr>
        <w:t>被投诉人2：</w:t>
      </w:r>
    </w:p>
    <w:p w14:paraId="6CC7CCFC">
      <w:pPr>
        <w:pStyle w:val="18"/>
        <w:snapToGrid w:val="0"/>
        <w:spacing w:line="360" w:lineRule="auto"/>
        <w:ind w:firstLine="480" w:firstLineChars="200"/>
        <w:rPr>
          <w:rFonts w:hint="eastAsia" w:hAnsi="宋体"/>
          <w:bCs/>
          <w:sz w:val="24"/>
          <w:szCs w:val="24"/>
        </w:rPr>
      </w:pPr>
      <w:r>
        <w:rPr>
          <w:rFonts w:hAnsi="宋体"/>
          <w:bCs/>
          <w:sz w:val="24"/>
          <w:szCs w:val="24"/>
        </w:rPr>
        <w:t>……</w:t>
      </w:r>
    </w:p>
    <w:p w14:paraId="480FCED1">
      <w:pPr>
        <w:pStyle w:val="18"/>
        <w:snapToGrid w:val="0"/>
        <w:spacing w:line="360" w:lineRule="auto"/>
        <w:ind w:firstLine="480" w:firstLineChars="200"/>
        <w:rPr>
          <w:rFonts w:hint="eastAsia" w:hAnsi="宋体"/>
          <w:bCs/>
          <w:sz w:val="24"/>
          <w:szCs w:val="24"/>
          <w:u w:val="single"/>
        </w:rPr>
      </w:pPr>
      <w:r>
        <w:rPr>
          <w:rFonts w:hint="eastAsia" w:hAnsi="宋体"/>
          <w:bCs/>
          <w:sz w:val="24"/>
          <w:szCs w:val="24"/>
        </w:rPr>
        <w:t>相关供应商：</w:t>
      </w:r>
      <w:r>
        <w:rPr>
          <w:rFonts w:hint="eastAsia" w:hAnsi="宋体"/>
          <w:bCs/>
          <w:sz w:val="24"/>
          <w:szCs w:val="24"/>
          <w:u w:val="single"/>
        </w:rPr>
        <w:t xml:space="preserve">                                                                       </w:t>
      </w:r>
    </w:p>
    <w:p w14:paraId="217DF7BA">
      <w:pPr>
        <w:pStyle w:val="18"/>
        <w:snapToGrid w:val="0"/>
        <w:spacing w:line="360" w:lineRule="auto"/>
        <w:ind w:firstLine="480" w:firstLineChars="200"/>
        <w:rPr>
          <w:rFonts w:hint="eastAsia" w:hAnsi="宋体"/>
          <w:bCs/>
          <w:sz w:val="24"/>
          <w:szCs w:val="24"/>
          <w:u w:val="single"/>
        </w:rPr>
      </w:pPr>
      <w:r>
        <w:rPr>
          <w:rFonts w:hAnsi="宋体"/>
          <w:bCs/>
          <w:sz w:val="24"/>
          <w:szCs w:val="24"/>
        </w:rPr>
        <w:t>地址</w:t>
      </w:r>
      <w:r>
        <w:rPr>
          <w:rFonts w:hint="eastAsia" w:hAnsi="宋体"/>
          <w:bCs/>
          <w:sz w:val="24"/>
          <w:szCs w:val="24"/>
        </w:rPr>
        <w:t>：</w:t>
      </w:r>
      <w:r>
        <w:rPr>
          <w:rFonts w:hint="eastAsia" w:hAnsi="宋体"/>
          <w:bCs/>
          <w:sz w:val="24"/>
          <w:szCs w:val="24"/>
          <w:u w:val="single"/>
        </w:rPr>
        <w:t xml:space="preserve">                                              </w:t>
      </w:r>
      <w:r>
        <w:rPr>
          <w:rFonts w:hAnsi="宋体"/>
          <w:bCs/>
          <w:sz w:val="24"/>
          <w:szCs w:val="24"/>
        </w:rPr>
        <w:t>邮编</w:t>
      </w:r>
      <w:r>
        <w:rPr>
          <w:rFonts w:hint="eastAsia" w:hAnsi="宋体"/>
          <w:bCs/>
          <w:sz w:val="24"/>
          <w:szCs w:val="24"/>
        </w:rPr>
        <w:t>：</w:t>
      </w:r>
      <w:r>
        <w:rPr>
          <w:rFonts w:hint="eastAsia" w:hAnsi="宋体"/>
          <w:bCs/>
          <w:sz w:val="24"/>
          <w:szCs w:val="24"/>
          <w:u w:val="single"/>
        </w:rPr>
        <w:t xml:space="preserve">                         </w:t>
      </w:r>
    </w:p>
    <w:p w14:paraId="78955F34">
      <w:pPr>
        <w:pStyle w:val="18"/>
        <w:snapToGrid w:val="0"/>
        <w:spacing w:line="360" w:lineRule="auto"/>
        <w:ind w:firstLine="480" w:firstLineChars="200"/>
        <w:rPr>
          <w:rFonts w:hint="eastAsia" w:hAnsi="宋体"/>
          <w:bCs/>
          <w:sz w:val="24"/>
          <w:szCs w:val="24"/>
        </w:rPr>
      </w:pPr>
      <w:r>
        <w:rPr>
          <w:rFonts w:hint="eastAsia" w:hAnsi="宋体"/>
          <w:bCs/>
          <w:sz w:val="24"/>
          <w:szCs w:val="24"/>
        </w:rPr>
        <w:t>联系人：</w:t>
      </w:r>
      <w:r>
        <w:rPr>
          <w:rFonts w:hint="eastAsia" w:hAnsi="宋体"/>
          <w:bCs/>
          <w:sz w:val="24"/>
          <w:szCs w:val="24"/>
          <w:u w:val="single"/>
        </w:rPr>
        <w:t xml:space="preserve">                                            </w:t>
      </w:r>
      <w:r>
        <w:rPr>
          <w:rFonts w:hAnsi="宋体"/>
          <w:bCs/>
          <w:sz w:val="24"/>
          <w:szCs w:val="24"/>
        </w:rPr>
        <w:t>联系</w:t>
      </w:r>
      <w:r>
        <w:rPr>
          <w:rFonts w:hint="eastAsia" w:hAnsi="宋体"/>
          <w:bCs/>
          <w:sz w:val="24"/>
          <w:szCs w:val="24"/>
        </w:rPr>
        <w:t>电话：</w:t>
      </w:r>
      <w:r>
        <w:rPr>
          <w:rFonts w:hint="eastAsia" w:hAnsi="宋体"/>
          <w:bCs/>
          <w:sz w:val="24"/>
          <w:szCs w:val="24"/>
          <w:u w:val="single"/>
        </w:rPr>
        <w:t xml:space="preserve">                     </w:t>
      </w:r>
      <w:r>
        <w:rPr>
          <w:rFonts w:hint="eastAsia" w:hAnsi="宋体"/>
          <w:bCs/>
          <w:sz w:val="24"/>
          <w:szCs w:val="24"/>
        </w:rPr>
        <w:t xml:space="preserve">                </w:t>
      </w:r>
    </w:p>
    <w:p w14:paraId="1572366B">
      <w:pPr>
        <w:pStyle w:val="18"/>
        <w:snapToGrid w:val="0"/>
        <w:spacing w:line="360" w:lineRule="auto"/>
        <w:ind w:firstLine="482" w:firstLineChars="200"/>
        <w:rPr>
          <w:rFonts w:hint="eastAsia" w:hAnsi="宋体"/>
          <w:b/>
          <w:bCs/>
          <w:sz w:val="24"/>
          <w:szCs w:val="24"/>
        </w:rPr>
      </w:pPr>
      <w:r>
        <w:rPr>
          <w:rFonts w:hint="eastAsia" w:hAnsi="宋体"/>
          <w:b/>
          <w:bCs/>
          <w:sz w:val="24"/>
          <w:szCs w:val="24"/>
        </w:rPr>
        <w:t>二、投诉项目基本情况：</w:t>
      </w:r>
    </w:p>
    <w:p w14:paraId="599E6955">
      <w:pPr>
        <w:pStyle w:val="18"/>
        <w:spacing w:line="360" w:lineRule="auto"/>
        <w:ind w:left="25" w:leftChars="12" w:firstLine="472" w:firstLineChars="197"/>
        <w:rPr>
          <w:rFonts w:hint="eastAsia" w:hAnsi="宋体"/>
          <w:sz w:val="24"/>
          <w:szCs w:val="24"/>
        </w:rPr>
      </w:pPr>
      <w:r>
        <w:rPr>
          <w:rFonts w:hint="eastAsia" w:hAnsi="宋体"/>
          <w:bCs/>
          <w:sz w:val="24"/>
          <w:szCs w:val="24"/>
        </w:rPr>
        <w:t>采购</w:t>
      </w:r>
      <w:r>
        <w:rPr>
          <w:rFonts w:hint="eastAsia" w:hAnsi="宋体"/>
          <w:sz w:val="24"/>
          <w:szCs w:val="24"/>
        </w:rPr>
        <w:t>项目的名称：</w:t>
      </w:r>
      <w:r>
        <w:rPr>
          <w:rFonts w:hint="eastAsia" w:hAnsi="宋体"/>
          <w:bCs/>
          <w:sz w:val="24"/>
          <w:szCs w:val="24"/>
          <w:u w:val="single"/>
        </w:rPr>
        <w:t xml:space="preserve">                                                                   </w:t>
      </w:r>
    </w:p>
    <w:p w14:paraId="2D3BC024">
      <w:pPr>
        <w:pStyle w:val="18"/>
        <w:spacing w:line="360" w:lineRule="auto"/>
        <w:ind w:left="25" w:leftChars="12" w:firstLine="472" w:firstLineChars="197"/>
        <w:rPr>
          <w:rFonts w:hint="eastAsia" w:hAnsi="宋体"/>
          <w:sz w:val="24"/>
          <w:szCs w:val="24"/>
        </w:rPr>
      </w:pPr>
      <w:r>
        <w:rPr>
          <w:rFonts w:hint="eastAsia" w:hAnsi="宋体"/>
          <w:bCs/>
          <w:sz w:val="24"/>
          <w:szCs w:val="24"/>
        </w:rPr>
        <w:t>采购</w:t>
      </w:r>
      <w:r>
        <w:rPr>
          <w:rFonts w:hint="eastAsia" w:hAnsi="宋体"/>
          <w:sz w:val="24"/>
          <w:szCs w:val="24"/>
        </w:rPr>
        <w:t>项目的编号：</w:t>
      </w:r>
      <w:r>
        <w:rPr>
          <w:rFonts w:hint="eastAsia" w:hAnsi="宋体"/>
          <w:bCs/>
          <w:sz w:val="24"/>
          <w:szCs w:val="24"/>
          <w:u w:val="single"/>
        </w:rPr>
        <w:t xml:space="preserve">                                          </w:t>
      </w:r>
    </w:p>
    <w:p w14:paraId="6846EBE2">
      <w:pPr>
        <w:pStyle w:val="18"/>
        <w:spacing w:line="360" w:lineRule="auto"/>
        <w:ind w:left="25" w:leftChars="12" w:firstLine="472" w:firstLineChars="197"/>
        <w:rPr>
          <w:rFonts w:hint="eastAsia" w:hAnsi="宋体"/>
          <w:bCs/>
          <w:sz w:val="24"/>
          <w:szCs w:val="24"/>
          <w:u w:val="single"/>
        </w:rPr>
      </w:pPr>
      <w:r>
        <w:rPr>
          <w:rFonts w:hint="eastAsia" w:hAnsi="宋体"/>
          <w:sz w:val="24"/>
          <w:szCs w:val="24"/>
        </w:rPr>
        <w:t>采购人名称：</w:t>
      </w:r>
      <w:r>
        <w:rPr>
          <w:rFonts w:hint="eastAsia" w:hAnsi="宋体"/>
          <w:bCs/>
          <w:sz w:val="24"/>
          <w:szCs w:val="24"/>
          <w:u w:val="single"/>
        </w:rPr>
        <w:t xml:space="preserve">                                                                        </w:t>
      </w:r>
    </w:p>
    <w:p w14:paraId="03D42FE5">
      <w:pPr>
        <w:pStyle w:val="18"/>
        <w:spacing w:line="360" w:lineRule="auto"/>
        <w:ind w:left="25" w:leftChars="12" w:firstLine="472" w:firstLineChars="197"/>
        <w:rPr>
          <w:rFonts w:hint="eastAsia" w:hAnsi="宋体"/>
          <w:bCs/>
          <w:sz w:val="24"/>
          <w:szCs w:val="24"/>
          <w:u w:val="single"/>
        </w:rPr>
      </w:pPr>
      <w:r>
        <w:rPr>
          <w:rFonts w:hint="eastAsia" w:hAnsi="宋体"/>
          <w:sz w:val="24"/>
          <w:szCs w:val="24"/>
        </w:rPr>
        <w:t>代理机构名称：</w:t>
      </w:r>
      <w:r>
        <w:rPr>
          <w:rFonts w:hint="eastAsia" w:hAnsi="宋体"/>
          <w:bCs/>
          <w:sz w:val="24"/>
          <w:szCs w:val="24"/>
          <w:u w:val="single"/>
        </w:rPr>
        <w:t xml:space="preserve">                                                                      </w:t>
      </w:r>
    </w:p>
    <w:p w14:paraId="7E3E2227">
      <w:pPr>
        <w:pStyle w:val="18"/>
        <w:spacing w:line="360" w:lineRule="auto"/>
        <w:ind w:left="25" w:leftChars="12" w:firstLine="472" w:firstLineChars="197"/>
        <w:rPr>
          <w:rFonts w:hint="eastAsia" w:hAnsi="宋体"/>
          <w:bCs/>
          <w:sz w:val="24"/>
          <w:szCs w:val="24"/>
          <w:u w:val="single"/>
        </w:rPr>
      </w:pPr>
      <w:r>
        <w:rPr>
          <w:rFonts w:hint="eastAsia" w:hAnsi="宋体"/>
          <w:bCs/>
          <w:sz w:val="24"/>
          <w:szCs w:val="24"/>
        </w:rPr>
        <w:t>采购文件公告：</w:t>
      </w:r>
      <w:r>
        <w:rPr>
          <w:rFonts w:hint="eastAsia" w:hAnsi="宋体"/>
          <w:bCs/>
          <w:sz w:val="24"/>
          <w:szCs w:val="24"/>
          <w:u w:val="single"/>
        </w:rPr>
        <w:t>是/否</w:t>
      </w:r>
      <w:r>
        <w:rPr>
          <w:rFonts w:hint="eastAsia" w:hAnsi="宋体"/>
          <w:bCs/>
          <w:sz w:val="24"/>
          <w:szCs w:val="24"/>
        </w:rPr>
        <w:t>公告期限：</w:t>
      </w:r>
      <w:r>
        <w:rPr>
          <w:rFonts w:hint="eastAsia" w:hAnsi="宋体"/>
          <w:bCs/>
          <w:sz w:val="24"/>
          <w:szCs w:val="24"/>
          <w:u w:val="single"/>
        </w:rPr>
        <w:t xml:space="preserve">                                                       </w:t>
      </w:r>
    </w:p>
    <w:p w14:paraId="30B13AB0">
      <w:pPr>
        <w:pStyle w:val="18"/>
        <w:spacing w:line="360" w:lineRule="auto"/>
        <w:ind w:left="25" w:leftChars="12" w:firstLine="472" w:firstLineChars="197"/>
        <w:rPr>
          <w:rFonts w:hint="eastAsia" w:hAnsi="宋体"/>
          <w:b/>
          <w:sz w:val="24"/>
          <w:szCs w:val="24"/>
        </w:rPr>
      </w:pPr>
      <w:r>
        <w:rPr>
          <w:rFonts w:hint="eastAsia" w:hAnsi="宋体"/>
          <w:bCs/>
          <w:sz w:val="24"/>
          <w:szCs w:val="24"/>
        </w:rPr>
        <w:t>采购结果公告：</w:t>
      </w:r>
      <w:r>
        <w:rPr>
          <w:rFonts w:hint="eastAsia" w:hAnsi="宋体"/>
          <w:bCs/>
          <w:sz w:val="24"/>
          <w:szCs w:val="24"/>
          <w:u w:val="single"/>
        </w:rPr>
        <w:t>是/否</w:t>
      </w:r>
      <w:r>
        <w:rPr>
          <w:rFonts w:hint="eastAsia" w:hAnsi="宋体"/>
          <w:bCs/>
          <w:sz w:val="24"/>
          <w:szCs w:val="24"/>
        </w:rPr>
        <w:t>公告期限：</w:t>
      </w:r>
      <w:r>
        <w:rPr>
          <w:rFonts w:hint="eastAsia" w:hAnsi="宋体"/>
          <w:bCs/>
          <w:sz w:val="24"/>
          <w:szCs w:val="24"/>
          <w:u w:val="single"/>
        </w:rPr>
        <w:t xml:space="preserve">                                                       </w:t>
      </w:r>
    </w:p>
    <w:p w14:paraId="1A2549FB">
      <w:pPr>
        <w:pStyle w:val="18"/>
        <w:spacing w:line="360" w:lineRule="auto"/>
        <w:ind w:left="25" w:leftChars="12" w:firstLine="472" w:firstLineChars="196"/>
        <w:rPr>
          <w:rFonts w:hint="eastAsia" w:hAnsi="宋体"/>
          <w:b/>
          <w:sz w:val="24"/>
          <w:szCs w:val="24"/>
        </w:rPr>
      </w:pPr>
      <w:r>
        <w:rPr>
          <w:rFonts w:hint="eastAsia" w:hAnsi="宋体"/>
          <w:b/>
          <w:sz w:val="24"/>
          <w:szCs w:val="24"/>
        </w:rPr>
        <w:t>三、质疑基本情况</w:t>
      </w:r>
    </w:p>
    <w:p w14:paraId="2393E612">
      <w:pPr>
        <w:pStyle w:val="18"/>
        <w:spacing w:line="360" w:lineRule="auto"/>
        <w:ind w:left="23" w:leftChars="11" w:firstLine="540" w:firstLineChars="225"/>
        <w:rPr>
          <w:rFonts w:hint="eastAsia" w:hAnsi="宋体"/>
          <w:sz w:val="24"/>
          <w:szCs w:val="24"/>
        </w:rPr>
      </w:pPr>
      <w:r>
        <w:rPr>
          <w:rFonts w:hint="eastAsia" w:hAnsi="宋体"/>
          <w:sz w:val="24"/>
          <w:szCs w:val="24"/>
        </w:rPr>
        <w:t>投诉人于</w:t>
      </w:r>
      <w:r>
        <w:rPr>
          <w:rFonts w:hint="eastAsia" w:hAnsi="宋体"/>
          <w:sz w:val="24"/>
          <w:szCs w:val="24"/>
          <w:u w:val="single"/>
        </w:rPr>
        <w:t xml:space="preserve">      </w:t>
      </w:r>
      <w:r>
        <w:rPr>
          <w:rFonts w:hint="eastAsia" w:hAnsi="宋体"/>
          <w:sz w:val="24"/>
          <w:szCs w:val="24"/>
        </w:rPr>
        <w:t>年</w:t>
      </w:r>
      <w:r>
        <w:rPr>
          <w:rFonts w:hint="eastAsia" w:hAnsi="宋体"/>
          <w:sz w:val="24"/>
          <w:szCs w:val="24"/>
          <w:u w:val="single"/>
        </w:rPr>
        <w:t xml:space="preserve">   </w:t>
      </w:r>
      <w:r>
        <w:rPr>
          <w:rFonts w:hint="eastAsia" w:hAnsi="宋体"/>
          <w:sz w:val="24"/>
          <w:szCs w:val="24"/>
        </w:rPr>
        <w:t>月</w:t>
      </w:r>
      <w:r>
        <w:rPr>
          <w:rFonts w:hint="eastAsia" w:hAnsi="宋体"/>
          <w:sz w:val="24"/>
          <w:szCs w:val="24"/>
          <w:u w:val="single"/>
        </w:rPr>
        <w:t xml:space="preserve">   </w:t>
      </w:r>
      <w:r>
        <w:rPr>
          <w:rFonts w:hint="eastAsia" w:hAnsi="宋体"/>
          <w:sz w:val="24"/>
          <w:szCs w:val="24"/>
        </w:rPr>
        <w:t>日，向</w:t>
      </w:r>
      <w:r>
        <w:rPr>
          <w:rFonts w:hint="eastAsia" w:hAnsi="宋体"/>
          <w:sz w:val="24"/>
          <w:szCs w:val="24"/>
          <w:u w:val="single"/>
        </w:rPr>
        <w:t xml:space="preserve">                                </w:t>
      </w:r>
      <w:r>
        <w:rPr>
          <w:rFonts w:hint="eastAsia" w:hAnsi="宋体"/>
          <w:sz w:val="24"/>
          <w:szCs w:val="24"/>
        </w:rPr>
        <w:t>提出质疑，质疑事项为：</w:t>
      </w:r>
    </w:p>
    <w:p w14:paraId="7BEE09BE">
      <w:pPr>
        <w:pStyle w:val="18"/>
        <w:spacing w:line="360" w:lineRule="auto"/>
        <w:ind w:left="23" w:leftChars="11" w:firstLine="540" w:firstLineChars="225"/>
        <w:rPr>
          <w:rFonts w:hint="eastAsia" w:hAnsi="宋体"/>
          <w:bCs/>
          <w:sz w:val="24"/>
          <w:szCs w:val="24"/>
          <w:u w:val="single"/>
        </w:rPr>
      </w:pPr>
      <w:r>
        <w:rPr>
          <w:rFonts w:hint="eastAsia" w:hAnsi="宋体"/>
          <w:sz w:val="24"/>
          <w:szCs w:val="24"/>
        </w:rPr>
        <w:t xml:space="preserve">    </w:t>
      </w:r>
      <w:r>
        <w:rPr>
          <w:rFonts w:hint="eastAsia" w:hAnsi="宋体"/>
          <w:bCs/>
          <w:sz w:val="24"/>
          <w:szCs w:val="24"/>
          <w:u w:val="single"/>
        </w:rPr>
        <w:t xml:space="preserve">                                                                                      </w:t>
      </w:r>
    </w:p>
    <w:p w14:paraId="75F8A99E">
      <w:pPr>
        <w:pStyle w:val="18"/>
        <w:spacing w:line="360" w:lineRule="auto"/>
        <w:ind w:left="23" w:leftChars="11" w:firstLine="540" w:firstLineChars="225"/>
        <w:rPr>
          <w:rFonts w:hint="eastAsia" w:hAnsi="宋体"/>
          <w:bCs/>
          <w:sz w:val="24"/>
          <w:szCs w:val="24"/>
          <w:u w:val="single"/>
        </w:rPr>
      </w:pPr>
      <w:r>
        <w:rPr>
          <w:rFonts w:hint="eastAsia" w:hAnsi="宋体"/>
          <w:bCs/>
          <w:sz w:val="24"/>
          <w:szCs w:val="24"/>
        </w:rPr>
        <w:t xml:space="preserve">    </w:t>
      </w:r>
      <w:r>
        <w:rPr>
          <w:rFonts w:hint="eastAsia" w:hAnsi="宋体"/>
          <w:bCs/>
          <w:sz w:val="24"/>
          <w:szCs w:val="24"/>
          <w:u w:val="single"/>
        </w:rPr>
        <w:t xml:space="preserve">                                                                                      </w:t>
      </w:r>
    </w:p>
    <w:p w14:paraId="5F900C4E">
      <w:pPr>
        <w:pStyle w:val="18"/>
        <w:spacing w:line="360" w:lineRule="auto"/>
        <w:ind w:left="23" w:leftChars="11" w:firstLine="540" w:firstLineChars="225"/>
        <w:rPr>
          <w:rFonts w:hint="eastAsia" w:hAnsi="宋体"/>
          <w:sz w:val="24"/>
          <w:szCs w:val="24"/>
        </w:rPr>
      </w:pPr>
      <w:r>
        <w:rPr>
          <w:rFonts w:hint="eastAsia" w:hAnsi="宋体"/>
          <w:bCs/>
          <w:sz w:val="24"/>
          <w:szCs w:val="24"/>
          <w:u w:val="single"/>
        </w:rPr>
        <w:t>采购人/代理机构</w:t>
      </w:r>
      <w:r>
        <w:rPr>
          <w:rFonts w:hint="eastAsia" w:hAnsi="宋体"/>
          <w:bCs/>
          <w:sz w:val="24"/>
          <w:szCs w:val="24"/>
        </w:rPr>
        <w:t>于</w:t>
      </w:r>
      <w:r>
        <w:rPr>
          <w:rFonts w:hint="eastAsia" w:hAnsi="宋体"/>
          <w:sz w:val="24"/>
          <w:szCs w:val="24"/>
          <w:u w:val="single"/>
        </w:rPr>
        <w:t xml:space="preserve">      </w:t>
      </w:r>
      <w:r>
        <w:rPr>
          <w:rFonts w:hint="eastAsia" w:hAnsi="宋体"/>
          <w:sz w:val="24"/>
          <w:szCs w:val="24"/>
        </w:rPr>
        <w:t>年</w:t>
      </w:r>
      <w:r>
        <w:rPr>
          <w:rFonts w:hint="eastAsia" w:hAnsi="宋体"/>
          <w:sz w:val="24"/>
          <w:szCs w:val="24"/>
          <w:u w:val="single"/>
        </w:rPr>
        <w:t xml:space="preserve">   </w:t>
      </w:r>
      <w:r>
        <w:rPr>
          <w:rFonts w:hint="eastAsia" w:hAnsi="宋体"/>
          <w:sz w:val="24"/>
          <w:szCs w:val="24"/>
        </w:rPr>
        <w:t>月</w:t>
      </w:r>
      <w:r>
        <w:rPr>
          <w:rFonts w:hint="eastAsia" w:hAnsi="宋体"/>
          <w:sz w:val="24"/>
          <w:szCs w:val="24"/>
          <w:u w:val="single"/>
        </w:rPr>
        <w:t xml:space="preserve">   </w:t>
      </w:r>
      <w:r>
        <w:rPr>
          <w:rFonts w:hint="eastAsia" w:hAnsi="宋体"/>
          <w:sz w:val="24"/>
          <w:szCs w:val="24"/>
        </w:rPr>
        <w:t>日，</w:t>
      </w:r>
      <w:r>
        <w:rPr>
          <w:rFonts w:hint="eastAsia" w:hAnsi="宋体"/>
          <w:bCs/>
          <w:sz w:val="24"/>
          <w:szCs w:val="24"/>
        </w:rPr>
        <w:t xml:space="preserve">就质疑事项作出了答复/没有在法定期限内作出答复。                                                                                             </w:t>
      </w:r>
    </w:p>
    <w:p w14:paraId="3434FA8E">
      <w:pPr>
        <w:pStyle w:val="18"/>
        <w:spacing w:line="360" w:lineRule="auto"/>
        <w:ind w:left="25" w:leftChars="12" w:firstLine="472" w:firstLineChars="196"/>
        <w:rPr>
          <w:rFonts w:hint="eastAsia" w:hAnsi="宋体"/>
          <w:b/>
          <w:sz w:val="24"/>
          <w:szCs w:val="24"/>
        </w:rPr>
      </w:pPr>
      <w:r>
        <w:rPr>
          <w:rFonts w:hint="eastAsia" w:hAnsi="宋体"/>
          <w:b/>
          <w:sz w:val="24"/>
          <w:szCs w:val="24"/>
        </w:rPr>
        <w:t>四、投诉事项具体内容</w:t>
      </w:r>
    </w:p>
    <w:p w14:paraId="6F7CFAD7">
      <w:pPr>
        <w:pStyle w:val="18"/>
        <w:spacing w:line="360" w:lineRule="auto"/>
        <w:ind w:left="25" w:leftChars="12" w:firstLine="472" w:firstLineChars="197"/>
        <w:rPr>
          <w:rFonts w:hint="eastAsia" w:hAnsi="宋体"/>
          <w:bCs/>
          <w:sz w:val="24"/>
          <w:szCs w:val="24"/>
          <w:u w:val="single"/>
        </w:rPr>
      </w:pPr>
      <w:r>
        <w:rPr>
          <w:rFonts w:hint="eastAsia" w:hAnsi="宋体"/>
          <w:sz w:val="24"/>
          <w:szCs w:val="24"/>
        </w:rPr>
        <w:t>投诉事项1：</w:t>
      </w:r>
      <w:r>
        <w:rPr>
          <w:rFonts w:hint="eastAsia" w:hAnsi="宋体"/>
          <w:bCs/>
          <w:sz w:val="24"/>
          <w:szCs w:val="24"/>
          <w:u w:val="single"/>
        </w:rPr>
        <w:t xml:space="preserve">                                                                           </w:t>
      </w:r>
    </w:p>
    <w:p w14:paraId="28B00178">
      <w:pPr>
        <w:pStyle w:val="18"/>
        <w:spacing w:line="360" w:lineRule="auto"/>
        <w:ind w:firstLine="480" w:firstLineChars="200"/>
        <w:rPr>
          <w:rFonts w:hint="eastAsia" w:hAnsi="宋体"/>
          <w:bCs/>
          <w:sz w:val="24"/>
          <w:szCs w:val="24"/>
          <w:u w:val="single"/>
        </w:rPr>
      </w:pPr>
      <w:r>
        <w:rPr>
          <w:rFonts w:hint="eastAsia" w:hAnsi="宋体"/>
          <w:bCs/>
          <w:sz w:val="24"/>
          <w:szCs w:val="24"/>
        </w:rPr>
        <w:t>事实依据：</w:t>
      </w:r>
      <w:r>
        <w:rPr>
          <w:rFonts w:hint="eastAsia" w:hAnsi="宋体"/>
          <w:sz w:val="24"/>
          <w:szCs w:val="24"/>
        </w:rPr>
        <w:t xml:space="preserve"> </w:t>
      </w:r>
      <w:r>
        <w:rPr>
          <w:rFonts w:hint="eastAsia" w:hAnsi="宋体"/>
          <w:bCs/>
          <w:sz w:val="24"/>
          <w:szCs w:val="24"/>
          <w:u w:val="single"/>
        </w:rPr>
        <w:t xml:space="preserve">                                                                                      </w:t>
      </w:r>
    </w:p>
    <w:p w14:paraId="033519B6">
      <w:pPr>
        <w:pStyle w:val="18"/>
        <w:spacing w:line="360" w:lineRule="auto"/>
        <w:ind w:left="25" w:leftChars="12" w:firstLine="472" w:firstLineChars="197"/>
        <w:rPr>
          <w:rFonts w:hint="eastAsia" w:hAnsi="宋体"/>
          <w:sz w:val="24"/>
          <w:szCs w:val="24"/>
        </w:rPr>
      </w:pPr>
      <w:r>
        <w:rPr>
          <w:rFonts w:hint="eastAsia" w:hAnsi="宋体"/>
          <w:bCs/>
          <w:sz w:val="24"/>
          <w:szCs w:val="24"/>
          <w:u w:val="single"/>
        </w:rPr>
        <w:t xml:space="preserve">                                                                                        </w:t>
      </w:r>
    </w:p>
    <w:p w14:paraId="272808AD">
      <w:pPr>
        <w:pStyle w:val="18"/>
        <w:spacing w:line="360" w:lineRule="auto"/>
        <w:ind w:firstLine="480" w:firstLineChars="200"/>
        <w:rPr>
          <w:rFonts w:hint="eastAsia" w:hAnsi="宋体"/>
          <w:bCs/>
          <w:sz w:val="24"/>
          <w:szCs w:val="24"/>
          <w:u w:val="single"/>
        </w:rPr>
      </w:pPr>
      <w:r>
        <w:rPr>
          <w:rFonts w:hint="eastAsia" w:hAnsi="宋体"/>
          <w:bCs/>
          <w:sz w:val="24"/>
          <w:szCs w:val="24"/>
        </w:rPr>
        <w:t>法律依据：</w:t>
      </w:r>
      <w:r>
        <w:rPr>
          <w:rFonts w:hint="eastAsia" w:hAnsi="宋体"/>
          <w:sz w:val="24"/>
          <w:szCs w:val="24"/>
        </w:rPr>
        <w:t xml:space="preserve"> </w:t>
      </w:r>
      <w:r>
        <w:rPr>
          <w:rFonts w:hint="eastAsia" w:hAnsi="宋体"/>
          <w:bCs/>
          <w:sz w:val="24"/>
          <w:szCs w:val="24"/>
          <w:u w:val="single"/>
        </w:rPr>
        <w:t xml:space="preserve">                                                                                      </w:t>
      </w:r>
    </w:p>
    <w:p w14:paraId="45E1991C">
      <w:pPr>
        <w:pStyle w:val="18"/>
        <w:spacing w:line="360" w:lineRule="auto"/>
        <w:ind w:left="25" w:leftChars="12" w:firstLine="352" w:firstLineChars="147"/>
        <w:rPr>
          <w:rFonts w:hint="eastAsia" w:hAnsi="宋体"/>
          <w:bCs/>
          <w:sz w:val="24"/>
          <w:szCs w:val="24"/>
          <w:u w:val="single"/>
        </w:rPr>
      </w:pPr>
      <w:r>
        <w:rPr>
          <w:rFonts w:hint="eastAsia" w:hAnsi="宋体"/>
          <w:bCs/>
          <w:sz w:val="24"/>
          <w:szCs w:val="24"/>
        </w:rPr>
        <w:t xml:space="preserve"> </w:t>
      </w:r>
      <w:r>
        <w:rPr>
          <w:rFonts w:hint="eastAsia" w:hAnsi="宋体"/>
          <w:bCs/>
          <w:sz w:val="24"/>
          <w:szCs w:val="24"/>
          <w:u w:val="single"/>
        </w:rPr>
        <w:t xml:space="preserve">                                                                                        </w:t>
      </w:r>
    </w:p>
    <w:p w14:paraId="7ABBA3DB">
      <w:pPr>
        <w:pStyle w:val="18"/>
        <w:spacing w:line="360" w:lineRule="auto"/>
        <w:ind w:left="25" w:leftChars="12" w:firstLine="472" w:firstLineChars="197"/>
        <w:rPr>
          <w:rFonts w:hint="eastAsia" w:hAnsi="宋体"/>
          <w:bCs/>
          <w:sz w:val="24"/>
          <w:szCs w:val="24"/>
        </w:rPr>
      </w:pPr>
      <w:r>
        <w:rPr>
          <w:rFonts w:hint="eastAsia" w:hAnsi="宋体"/>
          <w:sz w:val="24"/>
          <w:szCs w:val="24"/>
        </w:rPr>
        <w:t xml:space="preserve">投诉事项2  </w:t>
      </w:r>
      <w:r>
        <w:rPr>
          <w:rFonts w:hint="eastAsia" w:hAnsi="宋体"/>
          <w:bCs/>
          <w:sz w:val="24"/>
          <w:szCs w:val="24"/>
        </w:rPr>
        <w:t xml:space="preserve">   </w:t>
      </w:r>
    </w:p>
    <w:p w14:paraId="0B89FCDA">
      <w:pPr>
        <w:pStyle w:val="18"/>
        <w:spacing w:line="360" w:lineRule="auto"/>
        <w:ind w:left="25" w:leftChars="12" w:firstLine="472" w:firstLineChars="197"/>
        <w:rPr>
          <w:rFonts w:hint="eastAsia" w:hAnsi="宋体"/>
          <w:bCs/>
          <w:sz w:val="24"/>
          <w:szCs w:val="24"/>
        </w:rPr>
      </w:pPr>
      <w:r>
        <w:rPr>
          <w:rFonts w:hAnsi="宋体"/>
          <w:bCs/>
          <w:sz w:val="24"/>
          <w:szCs w:val="24"/>
        </w:rPr>
        <w:t>……</w:t>
      </w:r>
    </w:p>
    <w:p w14:paraId="47B5E713">
      <w:pPr>
        <w:pStyle w:val="18"/>
        <w:spacing w:line="360" w:lineRule="auto"/>
        <w:ind w:left="25" w:leftChars="12" w:firstLine="472" w:firstLineChars="196"/>
        <w:rPr>
          <w:rFonts w:hint="eastAsia" w:hAnsi="宋体"/>
          <w:b/>
          <w:sz w:val="24"/>
          <w:szCs w:val="24"/>
        </w:rPr>
      </w:pPr>
      <w:r>
        <w:rPr>
          <w:rFonts w:hint="eastAsia" w:hAnsi="宋体"/>
          <w:b/>
          <w:sz w:val="24"/>
          <w:szCs w:val="24"/>
        </w:rPr>
        <w:t>五、与投诉事项相关的投诉请求：</w:t>
      </w:r>
    </w:p>
    <w:p w14:paraId="286EA05E">
      <w:pPr>
        <w:pStyle w:val="18"/>
        <w:spacing w:line="360" w:lineRule="auto"/>
        <w:ind w:left="25" w:leftChars="12" w:firstLine="472" w:firstLineChars="197"/>
        <w:rPr>
          <w:rFonts w:hint="eastAsia" w:hAnsi="宋体"/>
          <w:sz w:val="24"/>
          <w:szCs w:val="24"/>
        </w:rPr>
      </w:pPr>
      <w:r>
        <w:rPr>
          <w:rFonts w:hint="eastAsia" w:hAnsi="宋体"/>
          <w:sz w:val="24"/>
          <w:szCs w:val="24"/>
        </w:rPr>
        <w:t>请求：</w:t>
      </w:r>
      <w:r>
        <w:rPr>
          <w:rFonts w:hint="eastAsia" w:hAnsi="宋体"/>
          <w:bCs/>
          <w:sz w:val="24"/>
          <w:szCs w:val="24"/>
          <w:u w:val="single"/>
        </w:rPr>
        <w:t xml:space="preserve">                                                                                 </w:t>
      </w:r>
    </w:p>
    <w:p w14:paraId="370AEF2B">
      <w:pPr>
        <w:pStyle w:val="18"/>
        <w:spacing w:line="360" w:lineRule="auto"/>
        <w:ind w:left="25" w:leftChars="12" w:firstLine="352" w:firstLineChars="147"/>
        <w:rPr>
          <w:rFonts w:hint="eastAsia" w:hAnsi="宋体"/>
          <w:sz w:val="24"/>
          <w:szCs w:val="24"/>
        </w:rPr>
      </w:pPr>
    </w:p>
    <w:p w14:paraId="3986273A">
      <w:pPr>
        <w:pStyle w:val="18"/>
        <w:spacing w:line="360" w:lineRule="auto"/>
        <w:ind w:left="25" w:leftChars="12" w:firstLine="472" w:firstLineChars="197"/>
        <w:rPr>
          <w:rFonts w:hint="eastAsia" w:hAnsi="宋体"/>
          <w:sz w:val="24"/>
          <w:szCs w:val="24"/>
        </w:rPr>
      </w:pPr>
      <w:r>
        <w:rPr>
          <w:rFonts w:hint="eastAsia" w:hAnsi="宋体"/>
          <w:sz w:val="24"/>
          <w:szCs w:val="24"/>
        </w:rPr>
        <w:t>签字（签章）：                                       公章：</w:t>
      </w:r>
    </w:p>
    <w:p w14:paraId="6A9BB768">
      <w:pPr>
        <w:pStyle w:val="18"/>
        <w:spacing w:line="360" w:lineRule="auto"/>
        <w:ind w:left="25" w:leftChars="12" w:firstLine="352" w:firstLineChars="147"/>
        <w:rPr>
          <w:rFonts w:hint="eastAsia" w:hAnsi="宋体"/>
          <w:sz w:val="24"/>
          <w:szCs w:val="24"/>
        </w:rPr>
      </w:pPr>
    </w:p>
    <w:p w14:paraId="72D7FABA">
      <w:pPr>
        <w:pStyle w:val="18"/>
        <w:spacing w:line="360" w:lineRule="auto"/>
        <w:ind w:left="25" w:leftChars="12" w:firstLine="472" w:firstLineChars="197"/>
        <w:rPr>
          <w:rFonts w:hint="eastAsia" w:hAnsi="宋体"/>
          <w:sz w:val="24"/>
          <w:szCs w:val="24"/>
        </w:rPr>
      </w:pPr>
      <w:r>
        <w:rPr>
          <w:rFonts w:hint="eastAsia" w:hAnsi="宋体"/>
          <w:sz w:val="24"/>
          <w:szCs w:val="24"/>
        </w:rPr>
        <w:t>日期：</w:t>
      </w:r>
    </w:p>
    <w:p w14:paraId="62BAABA0">
      <w:pPr>
        <w:pStyle w:val="18"/>
        <w:spacing w:line="360" w:lineRule="auto"/>
        <w:ind w:left="25" w:leftChars="12" w:firstLine="472" w:firstLineChars="197"/>
        <w:rPr>
          <w:rFonts w:hint="eastAsia" w:hAnsi="宋体"/>
          <w:sz w:val="24"/>
          <w:szCs w:val="24"/>
        </w:rPr>
      </w:pPr>
      <w:r>
        <w:rPr>
          <w:rFonts w:hint="eastAsia" w:hAnsi="宋体"/>
          <w:bCs/>
          <w:sz w:val="24"/>
          <w:szCs w:val="24"/>
        </w:rPr>
        <w:t xml:space="preserve">                                                                                 </w:t>
      </w:r>
    </w:p>
    <w:p w14:paraId="2E571548">
      <w:pPr>
        <w:pStyle w:val="18"/>
        <w:snapToGrid w:val="0"/>
        <w:spacing w:line="360" w:lineRule="auto"/>
        <w:rPr>
          <w:rFonts w:hint="eastAsia" w:hAnsi="宋体"/>
          <w:b/>
          <w:sz w:val="24"/>
          <w:szCs w:val="24"/>
        </w:rPr>
      </w:pPr>
    </w:p>
    <w:p w14:paraId="5DD8442B">
      <w:pPr>
        <w:pStyle w:val="18"/>
        <w:snapToGrid w:val="0"/>
        <w:spacing w:line="360" w:lineRule="auto"/>
        <w:rPr>
          <w:rFonts w:hint="eastAsia" w:hAnsi="宋体"/>
          <w:b/>
          <w:sz w:val="24"/>
          <w:szCs w:val="24"/>
        </w:rPr>
      </w:pPr>
      <w:r>
        <w:rPr>
          <w:rFonts w:hint="eastAsia" w:hAnsi="宋体"/>
          <w:b/>
          <w:sz w:val="24"/>
          <w:szCs w:val="24"/>
        </w:rPr>
        <w:t>说明：</w:t>
      </w:r>
    </w:p>
    <w:p w14:paraId="4CBC1DBB">
      <w:pPr>
        <w:pStyle w:val="18"/>
        <w:spacing w:line="360" w:lineRule="auto"/>
        <w:ind w:left="25" w:leftChars="12" w:firstLine="354" w:firstLineChars="147"/>
        <w:rPr>
          <w:rFonts w:hint="eastAsia" w:hAnsi="宋体"/>
          <w:b/>
          <w:bCs/>
          <w:sz w:val="24"/>
          <w:szCs w:val="24"/>
        </w:rPr>
      </w:pPr>
      <w:r>
        <w:rPr>
          <w:rFonts w:hint="eastAsia" w:hAnsi="宋体"/>
          <w:b/>
          <w:sz w:val="24"/>
          <w:szCs w:val="24"/>
        </w:rPr>
        <w:t>1.投诉人提起投诉时，应当提交投诉书和必要的证明材料，并按照被投诉人和与投诉事项有关的供应商数量提供投诉书副本</w:t>
      </w:r>
      <w:r>
        <w:rPr>
          <w:rFonts w:hint="eastAsia" w:hAnsi="宋体"/>
          <w:b/>
          <w:bCs/>
          <w:sz w:val="24"/>
          <w:szCs w:val="24"/>
        </w:rPr>
        <w:t>。</w:t>
      </w:r>
    </w:p>
    <w:p w14:paraId="67CD6F4A">
      <w:pPr>
        <w:pStyle w:val="18"/>
        <w:spacing w:line="360" w:lineRule="auto"/>
        <w:ind w:left="25" w:leftChars="12" w:firstLine="354" w:firstLineChars="147"/>
        <w:rPr>
          <w:rFonts w:hint="eastAsia" w:hAnsi="宋体"/>
          <w:b/>
          <w:sz w:val="24"/>
          <w:szCs w:val="24"/>
        </w:rPr>
      </w:pPr>
      <w:r>
        <w:rPr>
          <w:rFonts w:hint="eastAsia" w:hAnsi="宋体"/>
          <w:b/>
          <w:sz w:val="24"/>
          <w:szCs w:val="24"/>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4F335A59">
      <w:pPr>
        <w:pStyle w:val="18"/>
        <w:spacing w:line="360" w:lineRule="auto"/>
        <w:ind w:left="25" w:leftChars="12" w:firstLine="354" w:firstLineChars="147"/>
        <w:rPr>
          <w:rFonts w:hint="eastAsia" w:hAnsi="宋体"/>
          <w:b/>
          <w:sz w:val="24"/>
          <w:szCs w:val="24"/>
        </w:rPr>
      </w:pPr>
      <w:r>
        <w:rPr>
          <w:rFonts w:hint="eastAsia" w:hAnsi="宋体"/>
          <w:b/>
          <w:sz w:val="24"/>
          <w:szCs w:val="24"/>
        </w:rPr>
        <w:t>3.投诉书应简要列明质疑事项，质疑函、质疑答复等作为附件材料提供。</w:t>
      </w:r>
    </w:p>
    <w:p w14:paraId="001DFAD4">
      <w:pPr>
        <w:pStyle w:val="18"/>
        <w:spacing w:line="360" w:lineRule="auto"/>
        <w:ind w:left="25" w:leftChars="12" w:firstLine="354" w:firstLineChars="147"/>
        <w:rPr>
          <w:rFonts w:hint="eastAsia" w:hAnsi="宋体"/>
          <w:b/>
          <w:sz w:val="24"/>
          <w:szCs w:val="24"/>
        </w:rPr>
      </w:pPr>
      <w:r>
        <w:rPr>
          <w:rFonts w:hint="eastAsia" w:hAnsi="宋体"/>
          <w:b/>
          <w:sz w:val="24"/>
          <w:szCs w:val="24"/>
        </w:rPr>
        <w:t>4.投诉书的投诉事项应具体、明确，并有必要的事实依据和法律依据。</w:t>
      </w:r>
    </w:p>
    <w:p w14:paraId="192C391C">
      <w:pPr>
        <w:pStyle w:val="18"/>
        <w:spacing w:line="360" w:lineRule="auto"/>
        <w:ind w:left="25" w:leftChars="12" w:firstLine="354" w:firstLineChars="147"/>
        <w:rPr>
          <w:rFonts w:hint="eastAsia" w:hAnsi="宋体"/>
          <w:b/>
          <w:sz w:val="24"/>
          <w:szCs w:val="24"/>
        </w:rPr>
      </w:pPr>
      <w:r>
        <w:rPr>
          <w:rFonts w:hint="eastAsia" w:hAnsi="宋体"/>
          <w:b/>
          <w:sz w:val="24"/>
          <w:szCs w:val="24"/>
        </w:rPr>
        <w:t>5.投诉书的投诉请求应与投诉事项相关。</w:t>
      </w:r>
    </w:p>
    <w:p w14:paraId="5097B373">
      <w:pPr>
        <w:pStyle w:val="18"/>
        <w:spacing w:line="360" w:lineRule="auto"/>
        <w:ind w:left="25" w:leftChars="12" w:firstLine="354" w:firstLineChars="147"/>
        <w:rPr>
          <w:rFonts w:hint="eastAsia" w:hAnsi="宋体"/>
          <w:b/>
          <w:sz w:val="24"/>
          <w:szCs w:val="24"/>
        </w:rPr>
      </w:pPr>
      <w:r>
        <w:rPr>
          <w:rFonts w:hint="eastAsia" w:hAnsi="宋体"/>
          <w:b/>
          <w:sz w:val="24"/>
          <w:szCs w:val="24"/>
        </w:rPr>
        <w:t>6.投诉人为法人或者其他组织的，投诉书应由法定代表人、主要负责人，或者其授权代表签字或者盖章，并加盖公章。</w:t>
      </w:r>
    </w:p>
    <w:p w14:paraId="66CC2789">
      <w:pPr>
        <w:pStyle w:val="2"/>
        <w:jc w:val="center"/>
      </w:pPr>
    </w:p>
    <w:p w14:paraId="4115A03D">
      <w:pPr>
        <w:pStyle w:val="2"/>
        <w:jc w:val="center"/>
      </w:pPr>
    </w:p>
    <w:p w14:paraId="75B12C75">
      <w:pPr>
        <w:pStyle w:val="2"/>
        <w:jc w:val="center"/>
      </w:pPr>
      <w:bookmarkStart w:id="53" w:name="_Toc883"/>
      <w:r>
        <w:rPr>
          <w:rFonts w:hint="eastAsia"/>
        </w:rPr>
        <w:t>第六章 拟签订的合同文本</w:t>
      </w:r>
      <w:bookmarkEnd w:id="53"/>
    </w:p>
    <w:p w14:paraId="29037EB7">
      <w:pPr>
        <w:snapToGrid w:val="0"/>
        <w:spacing w:line="380" w:lineRule="exact"/>
        <w:ind w:right="480"/>
        <w:jc w:val="center"/>
        <w:rPr>
          <w:rFonts w:hint="eastAsia" w:ascii="华文中宋" w:hAnsi="华文中宋" w:eastAsia="华文中宋"/>
          <w:b/>
          <w:bCs/>
          <w:sz w:val="36"/>
          <w:szCs w:val="36"/>
        </w:rPr>
      </w:pPr>
    </w:p>
    <w:p w14:paraId="0620EFDA">
      <w:pPr>
        <w:rPr>
          <w:rFonts w:hint="eastAsia" w:ascii="华文中宋" w:hAnsi="华文中宋" w:eastAsia="华文中宋"/>
          <w:b/>
          <w:bCs/>
          <w:sz w:val="36"/>
          <w:szCs w:val="36"/>
        </w:rPr>
      </w:pPr>
      <w:r>
        <w:rPr>
          <w:rFonts w:hint="eastAsia" w:ascii="华文中宋" w:hAnsi="华文中宋" w:eastAsia="华文中宋"/>
          <w:b/>
          <w:bCs/>
          <w:sz w:val="36"/>
          <w:szCs w:val="36"/>
        </w:rPr>
        <w:br w:type="page"/>
      </w:r>
    </w:p>
    <w:p w14:paraId="389E289B">
      <w:pPr>
        <w:snapToGrid w:val="0"/>
        <w:spacing w:line="360" w:lineRule="auto"/>
        <w:jc w:val="center"/>
        <w:rPr>
          <w:rFonts w:hint="eastAsia" w:ascii="宋体" w:hAnsi="宋体"/>
          <w:b/>
          <w:bCs/>
          <w:color w:val="000000"/>
          <w:sz w:val="32"/>
          <w:szCs w:val="32"/>
        </w:rPr>
      </w:pPr>
      <w:r>
        <w:rPr>
          <w:rFonts w:hint="eastAsia" w:ascii="宋体" w:hAnsi="宋体"/>
          <w:b/>
          <w:bCs/>
          <w:color w:val="000000"/>
          <w:sz w:val="32"/>
          <w:szCs w:val="32"/>
        </w:rPr>
        <w:t>政府采购合同（格式）</w:t>
      </w:r>
    </w:p>
    <w:p w14:paraId="268894CE">
      <w:pPr>
        <w:snapToGrid w:val="0"/>
        <w:spacing w:line="360" w:lineRule="auto"/>
        <w:ind w:right="480" w:firstLine="240" w:firstLineChars="100"/>
        <w:rPr>
          <w:rFonts w:hint="eastAsia" w:ascii="宋体" w:hAnsi="宋体"/>
          <w:bCs/>
          <w:color w:val="000000"/>
          <w:sz w:val="24"/>
          <w:u w:val="single"/>
        </w:rPr>
      </w:pPr>
      <w:r>
        <w:rPr>
          <w:rFonts w:hint="eastAsia" w:ascii="宋体" w:hAnsi="宋体"/>
          <w:bCs/>
          <w:color w:val="000000"/>
          <w:sz w:val="24"/>
        </w:rPr>
        <w:t>合同编号：</w:t>
      </w:r>
      <w:r>
        <w:rPr>
          <w:rFonts w:hint="eastAsia" w:ascii="宋体" w:hAnsi="宋体"/>
          <w:bCs/>
          <w:color w:val="000000"/>
          <w:sz w:val="24"/>
          <w:u w:val="single"/>
        </w:rPr>
        <w:t xml:space="preserve">                                </w:t>
      </w:r>
    </w:p>
    <w:p w14:paraId="60C17C26">
      <w:pPr>
        <w:snapToGrid w:val="0"/>
        <w:spacing w:line="360" w:lineRule="auto"/>
        <w:ind w:firstLine="240" w:firstLineChars="100"/>
        <w:rPr>
          <w:rFonts w:hint="eastAsia" w:ascii="宋体" w:hAnsi="宋体"/>
          <w:color w:val="000000"/>
          <w:sz w:val="24"/>
          <w:u w:val="single"/>
        </w:rPr>
      </w:pPr>
      <w:r>
        <w:rPr>
          <w:rFonts w:hint="eastAsia" w:ascii="宋体" w:hAnsi="宋体"/>
          <w:color w:val="000000"/>
          <w:sz w:val="24"/>
        </w:rPr>
        <w:t>采购人（甲方）：</w:t>
      </w:r>
      <w:r>
        <w:rPr>
          <w:rFonts w:hint="eastAsia" w:ascii="宋体" w:hAnsi="宋体"/>
          <w:color w:val="000000"/>
          <w:sz w:val="24"/>
          <w:u w:val="single"/>
        </w:rPr>
        <w:t xml:space="preserve">                </w:t>
      </w:r>
      <w:r>
        <w:rPr>
          <w:rFonts w:hint="eastAsia" w:ascii="宋体" w:hAnsi="宋体"/>
          <w:color w:val="000000"/>
          <w:sz w:val="24"/>
        </w:rPr>
        <w:t xml:space="preserve">  </w:t>
      </w:r>
    </w:p>
    <w:p w14:paraId="79C4AB6C">
      <w:pPr>
        <w:snapToGrid w:val="0"/>
        <w:spacing w:line="360" w:lineRule="auto"/>
        <w:ind w:firstLine="240" w:firstLineChars="100"/>
        <w:rPr>
          <w:rFonts w:hint="eastAsia" w:ascii="宋体" w:hAnsi="宋体"/>
          <w:color w:val="000000"/>
          <w:sz w:val="24"/>
          <w:u w:val="single"/>
        </w:rPr>
      </w:pPr>
      <w:r>
        <w:rPr>
          <w:rFonts w:hint="eastAsia" w:ascii="宋体" w:hAnsi="宋体"/>
          <w:color w:val="000000"/>
          <w:sz w:val="24"/>
        </w:rPr>
        <w:t>供应商（乙方）：</w:t>
      </w:r>
      <w:r>
        <w:rPr>
          <w:rFonts w:hint="eastAsia" w:ascii="宋体" w:hAnsi="宋体"/>
          <w:color w:val="000000"/>
          <w:sz w:val="24"/>
          <w:u w:val="single"/>
        </w:rPr>
        <w:t xml:space="preserve">               </w:t>
      </w:r>
    </w:p>
    <w:p w14:paraId="08F1447A">
      <w:pPr>
        <w:snapToGrid w:val="0"/>
        <w:spacing w:line="360" w:lineRule="auto"/>
        <w:ind w:firstLine="200" w:firstLineChars="100"/>
        <w:rPr>
          <w:rFonts w:hint="eastAsia" w:ascii="宋体" w:hAnsi="宋体"/>
          <w:color w:val="000000"/>
          <w:sz w:val="24"/>
        </w:rPr>
      </w:pPr>
      <w:r>
        <w:rPr>
          <w:rFonts w:hint="eastAsia" w:ascii="宋体" w:hAnsi="宋体"/>
          <w:color w:val="000000"/>
          <w:spacing w:val="-20"/>
          <w:sz w:val="24"/>
        </w:rPr>
        <w:t>采 购 计 划 号：</w:t>
      </w:r>
      <w:r>
        <w:rPr>
          <w:rFonts w:hint="eastAsia" w:ascii="宋体" w:hAnsi="宋体"/>
          <w:color w:val="000000"/>
          <w:sz w:val="24"/>
          <w:u w:val="single"/>
        </w:rPr>
        <w:t xml:space="preserve">                  </w:t>
      </w:r>
    </w:p>
    <w:p w14:paraId="2ADCA1B6">
      <w:pPr>
        <w:snapToGrid w:val="0"/>
        <w:spacing w:line="360" w:lineRule="auto"/>
        <w:ind w:firstLine="240" w:firstLineChars="100"/>
        <w:rPr>
          <w:rFonts w:hint="eastAsia" w:ascii="宋体" w:hAnsi="宋体"/>
          <w:color w:val="000000"/>
          <w:sz w:val="24"/>
          <w:u w:val="single"/>
        </w:rPr>
      </w:pPr>
      <w:r>
        <w:rPr>
          <w:rFonts w:hint="eastAsia" w:ascii="宋体" w:hAnsi="宋体"/>
          <w:color w:val="000000"/>
          <w:sz w:val="24"/>
        </w:rPr>
        <w:t>项目名称：</w:t>
      </w:r>
      <w:r>
        <w:rPr>
          <w:rFonts w:hint="eastAsia" w:ascii="宋体" w:hAnsi="宋体"/>
          <w:bCs/>
          <w:sz w:val="24"/>
          <w:u w:val="single"/>
        </w:rPr>
        <w:t xml:space="preserve">                 </w:t>
      </w:r>
    </w:p>
    <w:p w14:paraId="6D348F18">
      <w:pPr>
        <w:spacing w:line="360" w:lineRule="auto"/>
        <w:ind w:firstLine="240" w:firstLineChars="100"/>
        <w:rPr>
          <w:rFonts w:hint="eastAsia" w:ascii="宋体" w:hAnsi="宋体"/>
          <w:bCs/>
          <w:sz w:val="24"/>
        </w:rPr>
      </w:pPr>
      <w:r>
        <w:rPr>
          <w:rFonts w:hint="eastAsia" w:ascii="宋体" w:hAnsi="宋体"/>
          <w:color w:val="000000"/>
          <w:sz w:val="24"/>
        </w:rPr>
        <w:t xml:space="preserve">项目编号：  </w:t>
      </w:r>
      <w:r>
        <w:rPr>
          <w:rFonts w:hint="eastAsia" w:ascii="宋体" w:hAnsi="宋体"/>
          <w:bCs/>
          <w:sz w:val="24"/>
          <w:u w:val="single"/>
        </w:rPr>
        <w:t xml:space="preserve">                </w:t>
      </w:r>
    </w:p>
    <w:p w14:paraId="14626C9B">
      <w:pPr>
        <w:snapToGrid w:val="0"/>
        <w:spacing w:line="360" w:lineRule="auto"/>
        <w:ind w:firstLine="240" w:firstLineChars="100"/>
        <w:rPr>
          <w:rFonts w:hint="eastAsia" w:ascii="宋体" w:hAnsi="宋体"/>
          <w:color w:val="000000"/>
          <w:sz w:val="24"/>
        </w:rPr>
      </w:pPr>
      <w:r>
        <w:rPr>
          <w:rFonts w:hint="eastAsia" w:ascii="宋体" w:hAnsi="宋体"/>
          <w:color w:val="000000"/>
          <w:sz w:val="24"/>
        </w:rPr>
        <w:t>合同类型：</w:t>
      </w:r>
      <w:r>
        <w:rPr>
          <w:rFonts w:hint="eastAsia" w:ascii="宋体" w:hAnsi="宋体"/>
          <w:color w:val="000000"/>
          <w:sz w:val="24"/>
          <w:u w:val="single"/>
        </w:rPr>
        <w:t>买卖合同</w:t>
      </w:r>
      <w:r>
        <w:rPr>
          <w:rFonts w:hint="eastAsia" w:ascii="宋体" w:hAnsi="宋体"/>
          <w:i/>
          <w:color w:val="000000"/>
          <w:sz w:val="24"/>
        </w:rPr>
        <w:t>（备注：货物采购一般为买卖合同）</w:t>
      </w:r>
    </w:p>
    <w:p w14:paraId="1EED248B">
      <w:pPr>
        <w:spacing w:line="360" w:lineRule="auto"/>
        <w:ind w:firstLine="240" w:firstLineChars="100"/>
        <w:rPr>
          <w:rFonts w:hint="eastAsia" w:ascii="宋体" w:hAnsi="宋体" w:cs="宋体"/>
          <w:color w:val="000000"/>
          <w:sz w:val="24"/>
        </w:rPr>
      </w:pPr>
      <w:r>
        <w:rPr>
          <w:rFonts w:hint="eastAsia" w:ascii="宋体" w:hAnsi="宋体" w:cs="宋体"/>
          <w:color w:val="000000"/>
          <w:sz w:val="24"/>
        </w:rPr>
        <w:t>本合同为中小企业预留合同：</w:t>
      </w:r>
      <w:r>
        <w:rPr>
          <w:rFonts w:hint="eastAsia" w:ascii="宋体" w:hAnsi="宋体" w:cs="宋体"/>
          <w:i/>
          <w:color w:val="000000"/>
          <w:sz w:val="24"/>
          <w:u w:val="single"/>
        </w:rPr>
        <w:t>（否）</w:t>
      </w:r>
      <w:r>
        <w:rPr>
          <w:rFonts w:hint="eastAsia" w:ascii="宋体" w:hAnsi="宋体" w:cs="宋体"/>
          <w:color w:val="000000"/>
          <w:sz w:val="24"/>
        </w:rPr>
        <w:t>。</w:t>
      </w:r>
    </w:p>
    <w:p w14:paraId="0A9F9EBF">
      <w:pPr>
        <w:spacing w:after="120" w:line="360" w:lineRule="auto"/>
        <w:rPr>
          <w:rFonts w:hint="eastAsia" w:ascii="宋体" w:hAnsi="宋体"/>
          <w:color w:val="000000"/>
          <w:sz w:val="24"/>
        </w:rPr>
      </w:pPr>
    </w:p>
    <w:p w14:paraId="2899CC58">
      <w:pPr>
        <w:snapToGrid w:val="0"/>
        <w:spacing w:line="360" w:lineRule="auto"/>
        <w:ind w:firstLine="480" w:firstLineChars="200"/>
        <w:rPr>
          <w:rFonts w:hint="eastAsia" w:ascii="宋体" w:hAnsi="宋体"/>
          <w:color w:val="000000"/>
          <w:sz w:val="24"/>
        </w:rPr>
      </w:pPr>
      <w:r>
        <w:rPr>
          <w:rFonts w:hint="eastAsia" w:ascii="宋体" w:hAnsi="宋体"/>
          <w:color w:val="000000"/>
          <w:sz w:val="24"/>
        </w:rPr>
        <w:t>根据《中华人民共和国政府采购法》、《中华人民共和国民法典》等法律、法规规定，按照采购文件规定条款和乙方投标（竞标）承诺，甲乙双方签订本合同。</w:t>
      </w:r>
    </w:p>
    <w:p w14:paraId="2F412655">
      <w:pPr>
        <w:snapToGrid w:val="0"/>
        <w:spacing w:line="360" w:lineRule="auto"/>
        <w:ind w:firstLine="482" w:firstLineChars="200"/>
        <w:rPr>
          <w:rFonts w:hint="eastAsia" w:ascii="宋体" w:hAnsi="宋体"/>
          <w:b/>
          <w:color w:val="000000"/>
          <w:sz w:val="24"/>
        </w:rPr>
      </w:pPr>
      <w:r>
        <w:rPr>
          <w:rFonts w:hint="eastAsia" w:ascii="宋体" w:hAnsi="宋体"/>
          <w:b/>
          <w:color w:val="000000"/>
          <w:sz w:val="24"/>
        </w:rPr>
        <w:t>第一条　合同标的</w:t>
      </w:r>
    </w:p>
    <w:tbl>
      <w:tblPr>
        <w:tblStyle w:val="24"/>
        <w:tblW w:w="96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287"/>
        <w:gridCol w:w="1191"/>
        <w:gridCol w:w="1339"/>
        <w:gridCol w:w="1185"/>
        <w:gridCol w:w="975"/>
        <w:gridCol w:w="731"/>
        <w:gridCol w:w="1080"/>
        <w:gridCol w:w="1174"/>
      </w:tblGrid>
      <w:tr w14:paraId="4B887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jc w:val="center"/>
        </w:trPr>
        <w:tc>
          <w:tcPr>
            <w:tcW w:w="709" w:type="dxa"/>
            <w:vAlign w:val="center"/>
          </w:tcPr>
          <w:p w14:paraId="716866F7">
            <w:pPr>
              <w:snapToGrid w:val="0"/>
              <w:spacing w:line="360" w:lineRule="auto"/>
              <w:jc w:val="center"/>
              <w:rPr>
                <w:rFonts w:hint="eastAsia" w:ascii="宋体" w:hAnsi="宋体"/>
                <w:color w:val="000000"/>
                <w:sz w:val="24"/>
              </w:rPr>
            </w:pPr>
            <w:r>
              <w:rPr>
                <w:rFonts w:hint="eastAsia" w:ascii="宋体" w:hAnsi="宋体"/>
                <w:color w:val="000000"/>
                <w:sz w:val="24"/>
              </w:rPr>
              <w:t>序号</w:t>
            </w:r>
          </w:p>
        </w:tc>
        <w:tc>
          <w:tcPr>
            <w:tcW w:w="1287" w:type="dxa"/>
            <w:vAlign w:val="center"/>
          </w:tcPr>
          <w:p w14:paraId="4D42F4A3">
            <w:pPr>
              <w:snapToGrid w:val="0"/>
              <w:spacing w:line="360" w:lineRule="auto"/>
              <w:jc w:val="center"/>
              <w:rPr>
                <w:rFonts w:hint="eastAsia" w:ascii="宋体" w:hAnsi="宋体"/>
                <w:color w:val="000000"/>
                <w:sz w:val="24"/>
              </w:rPr>
            </w:pPr>
            <w:r>
              <w:rPr>
                <w:rFonts w:hint="eastAsia" w:ascii="宋体" w:hAnsi="宋体"/>
                <w:color w:val="000000"/>
                <w:sz w:val="24"/>
              </w:rPr>
              <w:t>标的名称</w:t>
            </w:r>
          </w:p>
        </w:tc>
        <w:tc>
          <w:tcPr>
            <w:tcW w:w="1191" w:type="dxa"/>
            <w:vAlign w:val="center"/>
          </w:tcPr>
          <w:p w14:paraId="1CAFE211">
            <w:pPr>
              <w:snapToGrid w:val="0"/>
              <w:spacing w:line="360" w:lineRule="auto"/>
              <w:jc w:val="center"/>
              <w:rPr>
                <w:rFonts w:hint="eastAsia" w:ascii="宋体" w:hAnsi="宋体"/>
                <w:color w:val="000000"/>
                <w:sz w:val="24"/>
              </w:rPr>
            </w:pPr>
            <w:r>
              <w:rPr>
                <w:rFonts w:hint="eastAsia" w:ascii="宋体" w:hAnsi="宋体"/>
                <w:color w:val="000000"/>
                <w:sz w:val="24"/>
              </w:rPr>
              <w:t>商标品牌</w:t>
            </w:r>
          </w:p>
        </w:tc>
        <w:tc>
          <w:tcPr>
            <w:tcW w:w="1339" w:type="dxa"/>
            <w:vAlign w:val="center"/>
          </w:tcPr>
          <w:p w14:paraId="22805947">
            <w:pPr>
              <w:snapToGrid w:val="0"/>
              <w:spacing w:line="360" w:lineRule="auto"/>
              <w:jc w:val="center"/>
              <w:rPr>
                <w:rFonts w:hint="eastAsia" w:ascii="宋体" w:hAnsi="宋体"/>
                <w:color w:val="000000"/>
                <w:sz w:val="24"/>
              </w:rPr>
            </w:pPr>
            <w:r>
              <w:rPr>
                <w:rFonts w:hint="eastAsia" w:ascii="宋体" w:hAnsi="宋体"/>
                <w:color w:val="000000"/>
                <w:sz w:val="24"/>
              </w:rPr>
              <w:t>规格型号</w:t>
            </w:r>
          </w:p>
        </w:tc>
        <w:tc>
          <w:tcPr>
            <w:tcW w:w="1185" w:type="dxa"/>
            <w:vAlign w:val="center"/>
          </w:tcPr>
          <w:p w14:paraId="30EDCDFD">
            <w:pPr>
              <w:snapToGrid w:val="0"/>
              <w:spacing w:line="360" w:lineRule="auto"/>
              <w:jc w:val="center"/>
              <w:rPr>
                <w:rFonts w:hint="eastAsia" w:ascii="宋体" w:hAnsi="宋体"/>
                <w:color w:val="000000"/>
                <w:sz w:val="24"/>
              </w:rPr>
            </w:pPr>
            <w:r>
              <w:rPr>
                <w:rFonts w:hint="eastAsia" w:ascii="宋体" w:hAnsi="宋体"/>
                <w:color w:val="000000"/>
                <w:sz w:val="24"/>
              </w:rPr>
              <w:t>生产厂家</w:t>
            </w:r>
          </w:p>
        </w:tc>
        <w:tc>
          <w:tcPr>
            <w:tcW w:w="975" w:type="dxa"/>
            <w:vAlign w:val="center"/>
          </w:tcPr>
          <w:p w14:paraId="2E042A8B">
            <w:pPr>
              <w:snapToGrid w:val="0"/>
              <w:spacing w:line="360" w:lineRule="auto"/>
              <w:jc w:val="center"/>
              <w:rPr>
                <w:rFonts w:hint="eastAsia" w:ascii="宋体" w:hAnsi="宋体"/>
                <w:color w:val="000000"/>
                <w:sz w:val="24"/>
              </w:rPr>
            </w:pPr>
            <w:r>
              <w:rPr>
                <w:rFonts w:hint="eastAsia" w:ascii="宋体" w:hAnsi="宋体"/>
                <w:color w:val="000000"/>
                <w:sz w:val="24"/>
              </w:rPr>
              <w:t>数  量</w:t>
            </w:r>
          </w:p>
        </w:tc>
        <w:tc>
          <w:tcPr>
            <w:tcW w:w="731" w:type="dxa"/>
            <w:vAlign w:val="center"/>
          </w:tcPr>
          <w:p w14:paraId="70E0E2D8">
            <w:pPr>
              <w:snapToGrid w:val="0"/>
              <w:spacing w:line="360" w:lineRule="auto"/>
              <w:jc w:val="center"/>
              <w:rPr>
                <w:rFonts w:hint="eastAsia" w:ascii="宋体" w:hAnsi="宋体"/>
                <w:color w:val="000000"/>
                <w:sz w:val="24"/>
              </w:rPr>
            </w:pPr>
            <w:r>
              <w:rPr>
                <w:rFonts w:hint="eastAsia" w:ascii="宋体" w:hAnsi="宋体"/>
                <w:color w:val="000000"/>
                <w:sz w:val="24"/>
              </w:rPr>
              <w:t>单位</w:t>
            </w:r>
          </w:p>
        </w:tc>
        <w:tc>
          <w:tcPr>
            <w:tcW w:w="1080" w:type="dxa"/>
            <w:vAlign w:val="center"/>
          </w:tcPr>
          <w:p w14:paraId="7E6B7C30">
            <w:pPr>
              <w:snapToGrid w:val="0"/>
              <w:spacing w:line="360" w:lineRule="auto"/>
              <w:jc w:val="center"/>
              <w:rPr>
                <w:rFonts w:hint="eastAsia" w:ascii="宋体" w:hAnsi="宋体"/>
                <w:color w:val="000000"/>
                <w:sz w:val="24"/>
              </w:rPr>
            </w:pPr>
            <w:r>
              <w:rPr>
                <w:rFonts w:hint="eastAsia" w:ascii="宋体" w:hAnsi="宋体"/>
                <w:color w:val="000000"/>
                <w:sz w:val="24"/>
              </w:rPr>
              <w:t>单  价</w:t>
            </w:r>
          </w:p>
          <w:p w14:paraId="7C884A39">
            <w:pPr>
              <w:snapToGrid w:val="0"/>
              <w:spacing w:line="360" w:lineRule="auto"/>
              <w:jc w:val="center"/>
              <w:rPr>
                <w:rFonts w:hint="eastAsia" w:ascii="宋体" w:hAnsi="宋体"/>
                <w:color w:val="000000"/>
                <w:sz w:val="24"/>
              </w:rPr>
            </w:pPr>
            <w:r>
              <w:rPr>
                <w:rFonts w:hint="eastAsia" w:ascii="宋体" w:hAnsi="宋体"/>
                <w:color w:val="000000"/>
                <w:sz w:val="24"/>
              </w:rPr>
              <w:t>（元）</w:t>
            </w:r>
          </w:p>
        </w:tc>
        <w:tc>
          <w:tcPr>
            <w:tcW w:w="1174" w:type="dxa"/>
            <w:vAlign w:val="center"/>
          </w:tcPr>
          <w:p w14:paraId="1394789A">
            <w:pPr>
              <w:snapToGrid w:val="0"/>
              <w:spacing w:line="360" w:lineRule="auto"/>
              <w:jc w:val="center"/>
              <w:rPr>
                <w:rFonts w:hint="eastAsia" w:ascii="宋体" w:hAnsi="宋体"/>
                <w:color w:val="000000"/>
                <w:sz w:val="24"/>
              </w:rPr>
            </w:pPr>
            <w:r>
              <w:rPr>
                <w:rFonts w:hint="eastAsia" w:ascii="宋体" w:hAnsi="宋体"/>
                <w:color w:val="000000"/>
                <w:sz w:val="24"/>
              </w:rPr>
              <w:t>金  额</w:t>
            </w:r>
          </w:p>
          <w:p w14:paraId="41E36437">
            <w:pPr>
              <w:snapToGrid w:val="0"/>
              <w:spacing w:line="360" w:lineRule="auto"/>
              <w:jc w:val="center"/>
              <w:rPr>
                <w:rFonts w:hint="eastAsia" w:ascii="宋体" w:hAnsi="宋体"/>
                <w:color w:val="000000"/>
                <w:sz w:val="24"/>
              </w:rPr>
            </w:pPr>
            <w:r>
              <w:rPr>
                <w:rFonts w:hint="eastAsia" w:ascii="宋体" w:hAnsi="宋体"/>
                <w:color w:val="000000"/>
                <w:sz w:val="24"/>
              </w:rPr>
              <w:t>（元）</w:t>
            </w:r>
          </w:p>
        </w:tc>
      </w:tr>
      <w:tr w14:paraId="47F23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709" w:type="dxa"/>
            <w:vAlign w:val="center"/>
          </w:tcPr>
          <w:p w14:paraId="4DFBADAC">
            <w:pPr>
              <w:snapToGrid w:val="0"/>
              <w:spacing w:line="360" w:lineRule="auto"/>
              <w:jc w:val="center"/>
              <w:rPr>
                <w:rFonts w:hint="eastAsia" w:ascii="宋体" w:hAnsi="宋体"/>
                <w:color w:val="000000"/>
                <w:sz w:val="24"/>
              </w:rPr>
            </w:pPr>
          </w:p>
        </w:tc>
        <w:tc>
          <w:tcPr>
            <w:tcW w:w="1287" w:type="dxa"/>
            <w:vAlign w:val="center"/>
          </w:tcPr>
          <w:p w14:paraId="4B4285B0">
            <w:pPr>
              <w:snapToGrid w:val="0"/>
              <w:spacing w:line="360" w:lineRule="auto"/>
              <w:jc w:val="center"/>
              <w:rPr>
                <w:rFonts w:hint="eastAsia" w:ascii="宋体" w:hAnsi="宋体"/>
                <w:color w:val="000000"/>
                <w:sz w:val="24"/>
              </w:rPr>
            </w:pPr>
          </w:p>
        </w:tc>
        <w:tc>
          <w:tcPr>
            <w:tcW w:w="1191" w:type="dxa"/>
            <w:vAlign w:val="center"/>
          </w:tcPr>
          <w:p w14:paraId="520F817C">
            <w:pPr>
              <w:snapToGrid w:val="0"/>
              <w:spacing w:line="360" w:lineRule="auto"/>
              <w:jc w:val="center"/>
              <w:rPr>
                <w:rFonts w:hint="eastAsia" w:ascii="宋体" w:hAnsi="宋体"/>
                <w:color w:val="000000"/>
                <w:sz w:val="24"/>
              </w:rPr>
            </w:pPr>
          </w:p>
        </w:tc>
        <w:tc>
          <w:tcPr>
            <w:tcW w:w="1339" w:type="dxa"/>
            <w:vAlign w:val="center"/>
          </w:tcPr>
          <w:p w14:paraId="37E75601">
            <w:pPr>
              <w:snapToGrid w:val="0"/>
              <w:spacing w:line="360" w:lineRule="auto"/>
              <w:jc w:val="center"/>
              <w:rPr>
                <w:rFonts w:hint="eastAsia" w:ascii="宋体" w:hAnsi="宋体"/>
                <w:color w:val="000000"/>
                <w:sz w:val="24"/>
              </w:rPr>
            </w:pPr>
          </w:p>
        </w:tc>
        <w:tc>
          <w:tcPr>
            <w:tcW w:w="1185" w:type="dxa"/>
            <w:vAlign w:val="center"/>
          </w:tcPr>
          <w:p w14:paraId="40DB23AE">
            <w:pPr>
              <w:snapToGrid w:val="0"/>
              <w:spacing w:line="360" w:lineRule="auto"/>
              <w:jc w:val="center"/>
              <w:rPr>
                <w:rFonts w:hint="eastAsia" w:ascii="宋体" w:hAnsi="宋体"/>
                <w:color w:val="000000"/>
                <w:sz w:val="24"/>
              </w:rPr>
            </w:pPr>
          </w:p>
        </w:tc>
        <w:tc>
          <w:tcPr>
            <w:tcW w:w="975" w:type="dxa"/>
            <w:vAlign w:val="center"/>
          </w:tcPr>
          <w:p w14:paraId="31F49058">
            <w:pPr>
              <w:snapToGrid w:val="0"/>
              <w:spacing w:line="360" w:lineRule="auto"/>
              <w:jc w:val="center"/>
              <w:rPr>
                <w:rFonts w:hint="eastAsia" w:ascii="宋体" w:hAnsi="宋体"/>
                <w:color w:val="000000"/>
                <w:sz w:val="24"/>
              </w:rPr>
            </w:pPr>
          </w:p>
        </w:tc>
        <w:tc>
          <w:tcPr>
            <w:tcW w:w="731" w:type="dxa"/>
            <w:vAlign w:val="center"/>
          </w:tcPr>
          <w:p w14:paraId="0E525A69">
            <w:pPr>
              <w:snapToGrid w:val="0"/>
              <w:spacing w:line="360" w:lineRule="auto"/>
              <w:jc w:val="center"/>
              <w:rPr>
                <w:rFonts w:hint="eastAsia" w:ascii="宋体" w:hAnsi="宋体"/>
                <w:color w:val="000000"/>
                <w:sz w:val="24"/>
              </w:rPr>
            </w:pPr>
          </w:p>
        </w:tc>
        <w:tc>
          <w:tcPr>
            <w:tcW w:w="1080" w:type="dxa"/>
            <w:vAlign w:val="center"/>
          </w:tcPr>
          <w:p w14:paraId="08632AD7">
            <w:pPr>
              <w:snapToGrid w:val="0"/>
              <w:spacing w:line="360" w:lineRule="auto"/>
              <w:jc w:val="center"/>
              <w:rPr>
                <w:rFonts w:hint="eastAsia" w:ascii="宋体" w:hAnsi="宋体"/>
                <w:color w:val="000000"/>
                <w:sz w:val="24"/>
              </w:rPr>
            </w:pPr>
          </w:p>
        </w:tc>
        <w:tc>
          <w:tcPr>
            <w:tcW w:w="1174" w:type="dxa"/>
            <w:vAlign w:val="center"/>
          </w:tcPr>
          <w:p w14:paraId="5F6F3286">
            <w:pPr>
              <w:snapToGrid w:val="0"/>
              <w:spacing w:line="360" w:lineRule="auto"/>
              <w:jc w:val="center"/>
              <w:rPr>
                <w:rFonts w:hint="eastAsia" w:ascii="宋体" w:hAnsi="宋体"/>
                <w:color w:val="000000"/>
                <w:sz w:val="24"/>
              </w:rPr>
            </w:pPr>
          </w:p>
        </w:tc>
      </w:tr>
      <w:tr w14:paraId="4A900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709" w:type="dxa"/>
            <w:vAlign w:val="center"/>
          </w:tcPr>
          <w:p w14:paraId="3218A4A6">
            <w:pPr>
              <w:snapToGrid w:val="0"/>
              <w:spacing w:line="360" w:lineRule="auto"/>
              <w:jc w:val="center"/>
              <w:rPr>
                <w:rFonts w:hint="eastAsia" w:ascii="宋体" w:hAnsi="宋体"/>
                <w:color w:val="000000"/>
                <w:sz w:val="24"/>
              </w:rPr>
            </w:pPr>
            <w:r>
              <w:rPr>
                <w:rFonts w:hint="eastAsia" w:ascii="宋体" w:hAnsi="宋体"/>
                <w:color w:val="000000"/>
                <w:sz w:val="24"/>
              </w:rPr>
              <w:t>……</w:t>
            </w:r>
          </w:p>
        </w:tc>
        <w:tc>
          <w:tcPr>
            <w:tcW w:w="1287" w:type="dxa"/>
            <w:vAlign w:val="center"/>
          </w:tcPr>
          <w:p w14:paraId="767134E4">
            <w:pPr>
              <w:snapToGrid w:val="0"/>
              <w:spacing w:line="360" w:lineRule="auto"/>
              <w:jc w:val="center"/>
              <w:rPr>
                <w:rFonts w:hint="eastAsia" w:ascii="宋体" w:hAnsi="宋体"/>
                <w:color w:val="000000"/>
                <w:sz w:val="24"/>
              </w:rPr>
            </w:pPr>
          </w:p>
        </w:tc>
        <w:tc>
          <w:tcPr>
            <w:tcW w:w="1191" w:type="dxa"/>
            <w:vAlign w:val="center"/>
          </w:tcPr>
          <w:p w14:paraId="7006FEB2">
            <w:pPr>
              <w:snapToGrid w:val="0"/>
              <w:spacing w:line="360" w:lineRule="auto"/>
              <w:jc w:val="center"/>
              <w:rPr>
                <w:rFonts w:hint="eastAsia" w:ascii="宋体" w:hAnsi="宋体"/>
                <w:color w:val="000000"/>
                <w:sz w:val="24"/>
              </w:rPr>
            </w:pPr>
          </w:p>
        </w:tc>
        <w:tc>
          <w:tcPr>
            <w:tcW w:w="1339" w:type="dxa"/>
            <w:vAlign w:val="center"/>
          </w:tcPr>
          <w:p w14:paraId="5765D3D8">
            <w:pPr>
              <w:snapToGrid w:val="0"/>
              <w:spacing w:line="360" w:lineRule="auto"/>
              <w:jc w:val="center"/>
              <w:rPr>
                <w:rFonts w:hint="eastAsia" w:ascii="宋体" w:hAnsi="宋体"/>
                <w:color w:val="000000"/>
                <w:sz w:val="24"/>
              </w:rPr>
            </w:pPr>
          </w:p>
        </w:tc>
        <w:tc>
          <w:tcPr>
            <w:tcW w:w="1185" w:type="dxa"/>
            <w:vAlign w:val="center"/>
          </w:tcPr>
          <w:p w14:paraId="787CF5EF">
            <w:pPr>
              <w:snapToGrid w:val="0"/>
              <w:spacing w:line="360" w:lineRule="auto"/>
              <w:jc w:val="center"/>
              <w:rPr>
                <w:rFonts w:hint="eastAsia" w:ascii="宋体" w:hAnsi="宋体"/>
                <w:color w:val="000000"/>
                <w:sz w:val="24"/>
              </w:rPr>
            </w:pPr>
          </w:p>
        </w:tc>
        <w:tc>
          <w:tcPr>
            <w:tcW w:w="975" w:type="dxa"/>
            <w:vAlign w:val="center"/>
          </w:tcPr>
          <w:p w14:paraId="6CF3C450">
            <w:pPr>
              <w:snapToGrid w:val="0"/>
              <w:spacing w:line="360" w:lineRule="auto"/>
              <w:jc w:val="center"/>
              <w:rPr>
                <w:rFonts w:hint="eastAsia" w:ascii="宋体" w:hAnsi="宋体"/>
                <w:color w:val="000000"/>
                <w:sz w:val="24"/>
              </w:rPr>
            </w:pPr>
          </w:p>
        </w:tc>
        <w:tc>
          <w:tcPr>
            <w:tcW w:w="731" w:type="dxa"/>
            <w:vAlign w:val="center"/>
          </w:tcPr>
          <w:p w14:paraId="5EBF1FE1">
            <w:pPr>
              <w:snapToGrid w:val="0"/>
              <w:spacing w:line="360" w:lineRule="auto"/>
              <w:jc w:val="center"/>
              <w:rPr>
                <w:rFonts w:hint="eastAsia" w:ascii="宋体" w:hAnsi="宋体"/>
                <w:color w:val="000000"/>
                <w:sz w:val="24"/>
              </w:rPr>
            </w:pPr>
          </w:p>
        </w:tc>
        <w:tc>
          <w:tcPr>
            <w:tcW w:w="1080" w:type="dxa"/>
            <w:vAlign w:val="center"/>
          </w:tcPr>
          <w:p w14:paraId="6536ED74">
            <w:pPr>
              <w:snapToGrid w:val="0"/>
              <w:spacing w:line="360" w:lineRule="auto"/>
              <w:jc w:val="center"/>
              <w:rPr>
                <w:rFonts w:hint="eastAsia" w:ascii="宋体" w:hAnsi="宋体"/>
                <w:color w:val="000000"/>
                <w:sz w:val="24"/>
              </w:rPr>
            </w:pPr>
          </w:p>
        </w:tc>
        <w:tc>
          <w:tcPr>
            <w:tcW w:w="1174" w:type="dxa"/>
            <w:vAlign w:val="center"/>
          </w:tcPr>
          <w:p w14:paraId="07405881">
            <w:pPr>
              <w:snapToGrid w:val="0"/>
              <w:spacing w:line="360" w:lineRule="auto"/>
              <w:jc w:val="center"/>
              <w:rPr>
                <w:rFonts w:hint="eastAsia" w:ascii="宋体" w:hAnsi="宋体"/>
                <w:color w:val="000000"/>
                <w:sz w:val="24"/>
              </w:rPr>
            </w:pPr>
          </w:p>
        </w:tc>
      </w:tr>
      <w:tr w14:paraId="26B6B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9671" w:type="dxa"/>
            <w:gridSpan w:val="9"/>
            <w:vAlign w:val="center"/>
          </w:tcPr>
          <w:p w14:paraId="134705D0">
            <w:pPr>
              <w:snapToGrid w:val="0"/>
              <w:spacing w:line="360" w:lineRule="auto"/>
              <w:rPr>
                <w:rFonts w:hint="eastAsia" w:ascii="宋体" w:hAnsi="宋体"/>
                <w:color w:val="000000"/>
                <w:sz w:val="24"/>
              </w:rPr>
            </w:pPr>
            <w:r>
              <w:rPr>
                <w:rFonts w:hint="eastAsia" w:ascii="宋体" w:hAnsi="宋体"/>
                <w:color w:val="000000"/>
                <w:sz w:val="24"/>
              </w:rPr>
              <w:t>合计金额（人民币）：</w:t>
            </w:r>
            <w:r>
              <w:rPr>
                <w:rFonts w:hint="eastAsia" w:ascii="宋体" w:hAnsi="宋体"/>
                <w:color w:val="000000"/>
                <w:sz w:val="24"/>
                <w:u w:val="single"/>
              </w:rPr>
              <w:t xml:space="preserve">    （小写）     元 </w:t>
            </w:r>
          </w:p>
        </w:tc>
      </w:tr>
    </w:tbl>
    <w:p w14:paraId="4A7236F5">
      <w:pPr>
        <w:snapToGrid w:val="0"/>
        <w:spacing w:line="360" w:lineRule="auto"/>
        <w:ind w:firstLine="482" w:firstLineChars="200"/>
        <w:rPr>
          <w:rFonts w:hint="eastAsia" w:ascii="宋体" w:hAnsi="宋体"/>
          <w:color w:val="000000"/>
          <w:sz w:val="24"/>
        </w:rPr>
      </w:pPr>
      <w:r>
        <w:rPr>
          <w:rFonts w:hint="eastAsia" w:ascii="宋体" w:hAnsi="宋体"/>
          <w:b/>
          <w:color w:val="000000"/>
          <w:sz w:val="24"/>
        </w:rPr>
        <w:t>第二条　标的质量</w:t>
      </w:r>
    </w:p>
    <w:p w14:paraId="1AB33DFB">
      <w:pPr>
        <w:snapToGrid w:val="0"/>
        <w:spacing w:line="360" w:lineRule="auto"/>
        <w:ind w:firstLine="480" w:firstLineChars="200"/>
        <w:rPr>
          <w:rFonts w:hint="eastAsia" w:ascii="宋体" w:hAnsi="宋体"/>
          <w:color w:val="000000"/>
          <w:sz w:val="24"/>
        </w:rPr>
      </w:pPr>
      <w:r>
        <w:rPr>
          <w:rFonts w:hint="eastAsia" w:ascii="宋体" w:hAnsi="宋体"/>
          <w:color w:val="000000"/>
          <w:sz w:val="24"/>
        </w:rPr>
        <w:t>1.乙方所提供标的的名称、商标品牌、生产厂家、规格型号、技术参数等内容必须与乙方投标（响应）文件及有关承诺相一致，且满足项目实施要求。</w:t>
      </w:r>
    </w:p>
    <w:p w14:paraId="695D8C04">
      <w:pPr>
        <w:snapToGrid w:val="0"/>
        <w:spacing w:line="360" w:lineRule="auto"/>
        <w:ind w:firstLine="480" w:firstLineChars="200"/>
        <w:rPr>
          <w:rFonts w:hint="eastAsia" w:ascii="宋体" w:hAnsi="宋体"/>
          <w:color w:val="000000"/>
          <w:sz w:val="24"/>
        </w:rPr>
      </w:pPr>
      <w:r>
        <w:rPr>
          <w:rFonts w:hint="eastAsia" w:ascii="宋体" w:hAnsi="宋体"/>
          <w:color w:val="000000"/>
          <w:sz w:val="24"/>
        </w:rPr>
        <w:t>2.乙方所提供的货物必须是全新、未使用的原装产品，且在正常安装、使用和保养条件下，其使用寿命期内各项指标均达到投标（响应）文件的承诺。</w:t>
      </w:r>
    </w:p>
    <w:p w14:paraId="44D15A62">
      <w:pPr>
        <w:snapToGrid w:val="0"/>
        <w:spacing w:line="360" w:lineRule="auto"/>
        <w:ind w:firstLine="482" w:firstLineChars="200"/>
        <w:rPr>
          <w:rFonts w:hint="eastAsia" w:ascii="宋体" w:hAnsi="宋体"/>
          <w:color w:val="000000"/>
          <w:sz w:val="24"/>
        </w:rPr>
      </w:pPr>
      <w:r>
        <w:rPr>
          <w:rFonts w:hint="eastAsia" w:ascii="宋体" w:hAnsi="宋体"/>
          <w:b/>
          <w:color w:val="000000"/>
          <w:sz w:val="24"/>
        </w:rPr>
        <w:t>第三条　</w:t>
      </w:r>
      <w:r>
        <w:rPr>
          <w:rFonts w:hint="eastAsia" w:ascii="宋体" w:hAnsi="宋体"/>
          <w:color w:val="000000"/>
          <w:sz w:val="24"/>
        </w:rPr>
        <w:t>履行时间（期限）、地点和方式</w:t>
      </w:r>
    </w:p>
    <w:p w14:paraId="2E852EC7">
      <w:pPr>
        <w:snapToGrid w:val="0"/>
        <w:spacing w:line="336" w:lineRule="auto"/>
        <w:ind w:firstLine="480" w:firstLineChars="200"/>
        <w:rPr>
          <w:rFonts w:hint="eastAsia" w:ascii="宋体" w:hAnsi="宋体"/>
          <w:i/>
          <w:color w:val="000000"/>
          <w:sz w:val="24"/>
        </w:rPr>
      </w:pPr>
      <w:r>
        <w:rPr>
          <w:rFonts w:hint="eastAsia" w:ascii="宋体" w:hAnsi="宋体" w:cs="宋体"/>
          <w:color w:val="000000"/>
          <w:sz w:val="24"/>
        </w:rPr>
        <w:t>1.履行时间（期限）：</w:t>
      </w:r>
      <w:r>
        <w:rPr>
          <w:rFonts w:hint="eastAsia" w:ascii="宋体" w:hAnsi="宋体"/>
          <w:bCs/>
          <w:sz w:val="24"/>
          <w:u w:val="single"/>
        </w:rPr>
        <w:t>自签订合同之日起30日内交货安装调试完毕并交付使用</w:t>
      </w:r>
      <w:r>
        <w:rPr>
          <w:rFonts w:hint="eastAsia" w:ascii="宋体" w:hAnsi="宋体"/>
          <w:bCs/>
          <w:sz w:val="24"/>
        </w:rPr>
        <w:t>。</w:t>
      </w:r>
    </w:p>
    <w:p w14:paraId="46606594">
      <w:pPr>
        <w:snapToGrid w:val="0"/>
        <w:spacing w:line="336" w:lineRule="auto"/>
        <w:ind w:firstLine="480" w:firstLineChars="200"/>
        <w:rPr>
          <w:rFonts w:hint="eastAsia" w:ascii="宋体" w:hAnsi="宋体" w:cs="宋体"/>
          <w:color w:val="000000"/>
          <w:sz w:val="24"/>
        </w:rPr>
      </w:pPr>
      <w:r>
        <w:rPr>
          <w:rFonts w:hint="eastAsia" w:ascii="宋体" w:hAnsi="宋体" w:cs="宋体"/>
          <w:color w:val="000000"/>
          <w:sz w:val="24"/>
        </w:rPr>
        <w:t>2.履行地点：</w:t>
      </w:r>
      <w:r>
        <w:rPr>
          <w:rFonts w:hint="eastAsia" w:ascii="宋体" w:hAnsi="宋体"/>
          <w:bCs/>
          <w:sz w:val="24"/>
          <w:u w:val="single"/>
        </w:rPr>
        <w:t>甲方指定地点</w:t>
      </w:r>
      <w:r>
        <w:rPr>
          <w:rFonts w:hint="eastAsia" w:ascii="宋体" w:hAnsi="宋体"/>
          <w:bCs/>
          <w:sz w:val="24"/>
        </w:rPr>
        <w:t>。</w:t>
      </w:r>
      <w:r>
        <w:rPr>
          <w:rFonts w:hint="eastAsia" w:ascii="宋体" w:hAnsi="宋体" w:cs="宋体"/>
          <w:color w:val="000000"/>
          <w:sz w:val="24"/>
        </w:rPr>
        <w:t xml:space="preserve">     </w:t>
      </w:r>
    </w:p>
    <w:p w14:paraId="7B25BE12">
      <w:pPr>
        <w:snapToGrid w:val="0"/>
        <w:spacing w:line="336" w:lineRule="auto"/>
        <w:ind w:firstLine="480" w:firstLineChars="200"/>
        <w:rPr>
          <w:rFonts w:hint="eastAsia" w:ascii="宋体" w:hAnsi="宋体" w:cs="宋体"/>
          <w:color w:val="000000"/>
          <w:sz w:val="24"/>
        </w:rPr>
      </w:pPr>
      <w:r>
        <w:rPr>
          <w:rFonts w:hint="eastAsia" w:ascii="宋体" w:hAnsi="宋体" w:cs="宋体"/>
          <w:color w:val="000000"/>
          <w:sz w:val="24"/>
        </w:rPr>
        <w:t>3.履行方式</w:t>
      </w:r>
    </w:p>
    <w:p w14:paraId="71F9BA89">
      <w:pPr>
        <w:snapToGrid w:val="0"/>
        <w:spacing w:line="336" w:lineRule="auto"/>
        <w:ind w:firstLine="480" w:firstLineChars="200"/>
        <w:rPr>
          <w:rFonts w:hint="eastAsia" w:ascii="宋体" w:hAnsi="宋体" w:cs="宋体"/>
          <w:color w:val="000000"/>
          <w:sz w:val="24"/>
        </w:rPr>
      </w:pPr>
      <w:r>
        <w:rPr>
          <w:rFonts w:hint="eastAsia" w:ascii="宋体" w:hAnsi="宋体" w:cs="宋体"/>
          <w:color w:val="000000"/>
          <w:sz w:val="24"/>
        </w:rPr>
        <w:t>（1）</w:t>
      </w:r>
      <w:r>
        <w:rPr>
          <w:rFonts w:hint="eastAsia" w:ascii="宋体" w:hAnsi="宋体"/>
          <w:color w:val="000000"/>
          <w:sz w:val="24"/>
        </w:rPr>
        <w:t>乙方负责货物运输，</w:t>
      </w:r>
      <w:r>
        <w:rPr>
          <w:rFonts w:hint="eastAsia" w:ascii="宋体" w:hAnsi="宋体" w:cs="宋体"/>
          <w:color w:val="000000"/>
          <w:sz w:val="24"/>
        </w:rPr>
        <w:t>货物的运输方式：</w:t>
      </w:r>
      <w:r>
        <w:rPr>
          <w:rFonts w:hint="eastAsia" w:ascii="宋体" w:hAnsi="宋体" w:cs="宋体"/>
          <w:color w:val="000000"/>
          <w:sz w:val="24"/>
          <w:u w:val="single"/>
        </w:rPr>
        <w:t xml:space="preserve">          </w:t>
      </w:r>
      <w:r>
        <w:rPr>
          <w:rFonts w:hint="eastAsia" w:ascii="宋体" w:hAnsi="宋体" w:cs="宋体"/>
          <w:color w:val="000000"/>
          <w:sz w:val="24"/>
        </w:rPr>
        <w:t>。</w:t>
      </w:r>
    </w:p>
    <w:p w14:paraId="14761FAB">
      <w:pPr>
        <w:snapToGrid w:val="0"/>
        <w:spacing w:line="312" w:lineRule="auto"/>
        <w:ind w:firstLine="480" w:firstLineChars="200"/>
        <w:rPr>
          <w:rFonts w:hint="eastAsia" w:ascii="宋体" w:hAnsi="宋体" w:cs="宋体"/>
          <w:color w:val="000000"/>
          <w:sz w:val="24"/>
        </w:rPr>
      </w:pPr>
      <w:r>
        <w:rPr>
          <w:rFonts w:hint="eastAsia" w:ascii="宋体" w:hAnsi="宋体" w:cs="宋体"/>
          <w:color w:val="000000"/>
          <w:sz w:val="24"/>
        </w:rPr>
        <w:t>（2）交货方式：</w:t>
      </w:r>
      <w:r>
        <w:rPr>
          <w:rFonts w:hint="eastAsia" w:ascii="宋体" w:hAnsi="宋体" w:cs="宋体"/>
          <w:color w:val="000000"/>
          <w:sz w:val="24"/>
          <w:u w:val="single"/>
        </w:rPr>
        <w:t>乙方将货物送到甲方指定地点。</w:t>
      </w:r>
    </w:p>
    <w:p w14:paraId="12A9AD61">
      <w:pPr>
        <w:snapToGrid w:val="0"/>
        <w:spacing w:line="360" w:lineRule="auto"/>
        <w:ind w:firstLine="482" w:firstLineChars="200"/>
        <w:rPr>
          <w:rFonts w:hint="eastAsia" w:ascii="宋体" w:hAnsi="宋体"/>
          <w:b/>
          <w:color w:val="000000"/>
          <w:sz w:val="24"/>
        </w:rPr>
      </w:pPr>
      <w:r>
        <w:rPr>
          <w:rFonts w:hint="eastAsia" w:ascii="宋体" w:hAnsi="宋体"/>
          <w:b/>
          <w:color w:val="000000"/>
          <w:sz w:val="24"/>
        </w:rPr>
        <w:t>第四条　包装方式</w:t>
      </w:r>
    </w:p>
    <w:p w14:paraId="126D15F1">
      <w:pPr>
        <w:snapToGrid w:val="0"/>
        <w:spacing w:line="360" w:lineRule="auto"/>
        <w:ind w:firstLine="480" w:firstLineChars="200"/>
        <w:rPr>
          <w:rFonts w:hint="eastAsia" w:ascii="宋体" w:hAnsi="宋体"/>
          <w:color w:val="000000"/>
          <w:sz w:val="24"/>
        </w:rPr>
      </w:pPr>
      <w:r>
        <w:rPr>
          <w:rFonts w:hint="eastAsia" w:ascii="宋体" w:hAnsi="宋体"/>
          <w:color w:val="000000"/>
          <w:sz w:val="24"/>
        </w:rPr>
        <w:t>1.乙方提供的货物均应按投标（响应）文件承诺的要求的包装材料、包装标准、包装方式进行包装。</w:t>
      </w:r>
    </w:p>
    <w:p w14:paraId="7DEF7EC3">
      <w:pPr>
        <w:snapToGrid w:val="0"/>
        <w:spacing w:line="360" w:lineRule="auto"/>
        <w:ind w:firstLine="480" w:firstLineChars="200"/>
        <w:rPr>
          <w:rFonts w:hint="eastAsia" w:ascii="宋体" w:hAnsi="宋体"/>
          <w:color w:val="000000"/>
          <w:kern w:val="0"/>
          <w:sz w:val="24"/>
        </w:rPr>
      </w:pPr>
      <w:r>
        <w:rPr>
          <w:rFonts w:hint="eastAsia" w:ascii="宋体" w:hAnsi="宋体"/>
          <w:color w:val="000000"/>
          <w:kern w:val="0"/>
          <w:sz w:val="24"/>
        </w:rPr>
        <w:t>2.乙方应在货物发运前对其进行满足运输距离、防水、防潮、防震、防锈和防破损装卸等要求包装，以保证货物安全运达甲方指定地点。</w:t>
      </w:r>
    </w:p>
    <w:p w14:paraId="67DEF23A">
      <w:pPr>
        <w:spacing w:after="120" w:line="360" w:lineRule="auto"/>
        <w:ind w:firstLine="480" w:firstLineChars="200"/>
        <w:rPr>
          <w:rFonts w:hint="eastAsia" w:hAnsi="宋体"/>
          <w:color w:val="000000"/>
          <w:sz w:val="24"/>
        </w:rPr>
      </w:pPr>
      <w:r>
        <w:rPr>
          <w:rFonts w:hint="eastAsia" w:hAnsi="宋体"/>
          <w:color w:val="000000"/>
          <w:sz w:val="24"/>
        </w:rPr>
        <w:t>3.货物的使用说明书、质量检验证明书、质量合格证、随配附件和工具以及清单一并附于货物包装内。</w:t>
      </w:r>
    </w:p>
    <w:p w14:paraId="6EFF90C8">
      <w:pPr>
        <w:snapToGrid w:val="0"/>
        <w:spacing w:line="360" w:lineRule="auto"/>
        <w:ind w:firstLine="482" w:firstLineChars="200"/>
        <w:rPr>
          <w:rFonts w:hint="eastAsia" w:ascii="宋体" w:hAnsi="宋体"/>
          <w:color w:val="000000"/>
          <w:sz w:val="24"/>
        </w:rPr>
      </w:pPr>
      <w:r>
        <w:rPr>
          <w:rFonts w:hint="eastAsia" w:ascii="宋体" w:hAnsi="宋体"/>
          <w:b/>
          <w:color w:val="000000"/>
          <w:sz w:val="24"/>
        </w:rPr>
        <w:t>第五条　安装和培训</w:t>
      </w:r>
    </w:p>
    <w:p w14:paraId="5D623035">
      <w:pPr>
        <w:snapToGrid w:val="0"/>
        <w:spacing w:line="360" w:lineRule="auto"/>
        <w:ind w:firstLine="480" w:firstLineChars="200"/>
        <w:rPr>
          <w:rFonts w:hint="eastAsia" w:ascii="宋体" w:hAnsi="宋体"/>
          <w:color w:val="000000"/>
          <w:sz w:val="24"/>
        </w:rPr>
      </w:pPr>
      <w:r>
        <w:rPr>
          <w:rFonts w:hint="eastAsia" w:ascii="宋体" w:hAnsi="宋体"/>
          <w:color w:val="000000"/>
          <w:sz w:val="24"/>
        </w:rPr>
        <w:t>1.安装时间：</w:t>
      </w:r>
      <w:r>
        <w:rPr>
          <w:rFonts w:hint="eastAsia" w:ascii="宋体" w:hAnsi="宋体"/>
          <w:color w:val="000000"/>
          <w:sz w:val="24"/>
          <w:u w:val="single"/>
        </w:rPr>
        <w:t xml:space="preserve">                </w:t>
      </w:r>
      <w:r>
        <w:rPr>
          <w:rFonts w:hint="eastAsia" w:ascii="宋体" w:hAnsi="宋体"/>
          <w:color w:val="000000"/>
          <w:sz w:val="24"/>
        </w:rPr>
        <w:t>；</w:t>
      </w:r>
    </w:p>
    <w:p w14:paraId="1AE03C4B">
      <w:pPr>
        <w:snapToGrid w:val="0"/>
        <w:spacing w:line="360" w:lineRule="auto"/>
        <w:ind w:firstLine="720" w:firstLineChars="300"/>
        <w:rPr>
          <w:rFonts w:hint="eastAsia" w:ascii="宋体" w:hAnsi="宋体"/>
          <w:color w:val="000000"/>
          <w:sz w:val="24"/>
        </w:rPr>
      </w:pPr>
      <w:r>
        <w:rPr>
          <w:rFonts w:hint="eastAsia" w:ascii="宋体" w:hAnsi="宋体"/>
          <w:color w:val="000000"/>
          <w:sz w:val="24"/>
        </w:rPr>
        <w:t>安装地点：</w:t>
      </w:r>
      <w:r>
        <w:rPr>
          <w:rFonts w:hint="eastAsia" w:ascii="宋体" w:hAnsi="宋体"/>
          <w:color w:val="000000"/>
          <w:sz w:val="24"/>
          <w:u w:val="single"/>
        </w:rPr>
        <w:t xml:space="preserve">    </w:t>
      </w:r>
      <w:r>
        <w:rPr>
          <w:rFonts w:hint="eastAsia" w:ascii="宋体" w:hAnsi="宋体"/>
          <w:bCs/>
          <w:sz w:val="24"/>
          <w:u w:val="single"/>
        </w:rPr>
        <w:t>甲方指定地点</w:t>
      </w:r>
      <w:r>
        <w:rPr>
          <w:rFonts w:hint="eastAsia" w:ascii="宋体" w:hAnsi="宋体"/>
          <w:color w:val="000000"/>
          <w:sz w:val="24"/>
          <w:u w:val="single"/>
        </w:rPr>
        <w:t xml:space="preserve">    </w:t>
      </w:r>
      <w:r>
        <w:rPr>
          <w:rFonts w:hint="eastAsia" w:ascii="宋体" w:hAnsi="宋体"/>
          <w:color w:val="000000"/>
          <w:sz w:val="24"/>
        </w:rPr>
        <w:t>。</w:t>
      </w:r>
    </w:p>
    <w:p w14:paraId="2775D753">
      <w:pPr>
        <w:snapToGrid w:val="0"/>
        <w:spacing w:line="360" w:lineRule="auto"/>
        <w:ind w:firstLine="480" w:firstLineChars="200"/>
        <w:rPr>
          <w:rFonts w:hint="eastAsia" w:ascii="宋体" w:hAnsi="宋体"/>
          <w:color w:val="000000"/>
          <w:sz w:val="24"/>
        </w:rPr>
      </w:pPr>
      <w:r>
        <w:rPr>
          <w:rFonts w:hint="eastAsia" w:ascii="宋体" w:hAnsi="宋体"/>
          <w:color w:val="000000"/>
          <w:sz w:val="24"/>
        </w:rPr>
        <w:t>2.安装要求：</w:t>
      </w:r>
      <w:r>
        <w:rPr>
          <w:rFonts w:hint="eastAsia"/>
          <w:sz w:val="24"/>
          <w:u w:val="single"/>
        </w:rPr>
        <w:t xml:space="preserve"> 所提供的货物型号、技术规格、技术参数等应符合</w:t>
      </w:r>
      <w:r>
        <w:rPr>
          <w:rFonts w:hint="eastAsia"/>
          <w:sz w:val="24"/>
          <w:u w:val="single"/>
          <w:lang w:eastAsia="zh-Hans"/>
        </w:rPr>
        <w:t>国家标准、行业标准、地方标准等标准、规范（上述标准、规范有出入的，以较严格</w:t>
      </w:r>
      <w:r>
        <w:rPr>
          <w:rFonts w:hint="eastAsia"/>
          <w:sz w:val="24"/>
          <w:u w:val="single"/>
        </w:rPr>
        <w:t>的</w:t>
      </w:r>
      <w:r>
        <w:rPr>
          <w:rFonts w:hint="eastAsia"/>
          <w:sz w:val="24"/>
          <w:u w:val="single"/>
          <w:lang w:eastAsia="zh-Hans"/>
        </w:rPr>
        <w:t>为准）</w:t>
      </w:r>
      <w:r>
        <w:rPr>
          <w:rFonts w:hint="eastAsia"/>
          <w:sz w:val="24"/>
          <w:u w:val="single"/>
        </w:rPr>
        <w:t>，并与公告规定、采购文件及投标文件承诺的质量相一致</w:t>
      </w:r>
      <w:r>
        <w:rPr>
          <w:rFonts w:hint="eastAsia" w:ascii="宋体" w:hAnsi="宋体"/>
          <w:color w:val="000000"/>
          <w:sz w:val="24"/>
        </w:rPr>
        <w:t>。</w:t>
      </w:r>
    </w:p>
    <w:p w14:paraId="6ED248F7">
      <w:pPr>
        <w:snapToGrid w:val="0"/>
        <w:spacing w:line="360" w:lineRule="auto"/>
        <w:ind w:firstLine="480" w:firstLineChars="200"/>
        <w:rPr>
          <w:rFonts w:hint="eastAsia" w:ascii="宋体" w:hAnsi="宋体"/>
          <w:color w:val="000000"/>
          <w:sz w:val="24"/>
        </w:rPr>
      </w:pPr>
      <w:r>
        <w:rPr>
          <w:rFonts w:hint="eastAsia" w:ascii="宋体" w:hAnsi="宋体"/>
          <w:color w:val="000000"/>
          <w:sz w:val="24"/>
        </w:rPr>
        <w:t>3.甲方应提供必要安装条件（如场地、电源、水源等）。</w:t>
      </w:r>
    </w:p>
    <w:p w14:paraId="14462651">
      <w:pPr>
        <w:spacing w:after="120" w:line="360" w:lineRule="auto"/>
        <w:ind w:firstLine="480" w:firstLineChars="200"/>
        <w:rPr>
          <w:rFonts w:hint="eastAsia" w:ascii="宋体" w:hAnsi="宋体"/>
          <w:color w:val="000000"/>
          <w:sz w:val="24"/>
        </w:rPr>
      </w:pPr>
      <w:r>
        <w:rPr>
          <w:rFonts w:hint="eastAsia" w:ascii="宋体" w:hAnsi="宋体"/>
          <w:color w:val="000000"/>
          <w:sz w:val="24"/>
        </w:rPr>
        <w:t>4.乙方应当按照投标（响应）文件的承诺对甲方有关人员进行培训。培训时间：</w:t>
      </w:r>
      <w:r>
        <w:rPr>
          <w:rFonts w:hint="eastAsia"/>
          <w:sz w:val="24"/>
          <w:u w:val="single"/>
        </w:rPr>
        <w:t xml:space="preserve">   个工作日</w:t>
      </w:r>
      <w:r>
        <w:rPr>
          <w:rFonts w:hint="eastAsia" w:ascii="宋体" w:hAnsi="宋体"/>
          <w:color w:val="000000"/>
          <w:sz w:val="24"/>
          <w:u w:val="single"/>
        </w:rPr>
        <w:t xml:space="preserve"> </w:t>
      </w:r>
      <w:r>
        <w:rPr>
          <w:rFonts w:hint="eastAsia" w:ascii="宋体" w:hAnsi="宋体"/>
          <w:color w:val="000000"/>
          <w:sz w:val="24"/>
        </w:rPr>
        <w:t>；培训地点：</w:t>
      </w:r>
      <w:r>
        <w:rPr>
          <w:rFonts w:hint="eastAsia" w:ascii="宋体" w:hAnsi="宋体"/>
          <w:color w:val="000000"/>
          <w:sz w:val="24"/>
          <w:u w:val="single"/>
        </w:rPr>
        <w:t xml:space="preserve">     </w:t>
      </w:r>
      <w:r>
        <w:rPr>
          <w:rFonts w:hint="eastAsia" w:ascii="宋体" w:hAnsi="宋体"/>
          <w:bCs/>
          <w:sz w:val="24"/>
          <w:u w:val="single"/>
        </w:rPr>
        <w:t>甲方指定地点</w:t>
      </w:r>
      <w:r>
        <w:rPr>
          <w:rFonts w:hint="eastAsia" w:ascii="宋体" w:hAnsi="宋体"/>
          <w:color w:val="000000"/>
          <w:sz w:val="24"/>
          <w:u w:val="single"/>
        </w:rPr>
        <w:t xml:space="preserve">       </w:t>
      </w:r>
      <w:r>
        <w:rPr>
          <w:rFonts w:hint="eastAsia" w:ascii="宋体" w:hAnsi="宋体"/>
          <w:color w:val="000000"/>
          <w:sz w:val="24"/>
        </w:rPr>
        <w:t>。</w:t>
      </w:r>
    </w:p>
    <w:p w14:paraId="6238AB32">
      <w:pPr>
        <w:snapToGrid w:val="0"/>
        <w:spacing w:line="360" w:lineRule="auto"/>
        <w:ind w:firstLine="482" w:firstLineChars="200"/>
        <w:rPr>
          <w:rFonts w:hint="eastAsia" w:ascii="宋体" w:hAnsi="宋体"/>
          <w:b/>
          <w:color w:val="000000"/>
          <w:sz w:val="24"/>
        </w:rPr>
      </w:pPr>
      <w:r>
        <w:rPr>
          <w:rFonts w:hint="eastAsia" w:ascii="宋体" w:hAnsi="宋体"/>
          <w:b/>
          <w:color w:val="000000"/>
          <w:sz w:val="24"/>
        </w:rPr>
        <w:t>第六条　合同价款及支付</w:t>
      </w:r>
    </w:p>
    <w:p w14:paraId="330C78BA">
      <w:pPr>
        <w:snapToGrid w:val="0"/>
        <w:spacing w:line="360" w:lineRule="auto"/>
        <w:ind w:firstLine="480" w:firstLineChars="200"/>
        <w:rPr>
          <w:rFonts w:hint="eastAsia" w:ascii="宋体" w:hAnsi="宋体"/>
          <w:color w:val="000000"/>
          <w:kern w:val="0"/>
          <w:sz w:val="24"/>
        </w:rPr>
      </w:pPr>
      <w:r>
        <w:rPr>
          <w:rFonts w:hint="eastAsia" w:ascii="宋体" w:hAnsi="宋体"/>
          <w:color w:val="000000"/>
          <w:kern w:val="0"/>
          <w:sz w:val="24"/>
        </w:rPr>
        <w:t>1.本合同以人民币付款。</w:t>
      </w:r>
    </w:p>
    <w:p w14:paraId="00805011">
      <w:pPr>
        <w:snapToGrid w:val="0"/>
        <w:spacing w:line="360" w:lineRule="auto"/>
        <w:ind w:firstLine="480" w:firstLineChars="200"/>
        <w:rPr>
          <w:rFonts w:hint="eastAsia" w:ascii="宋体" w:hAnsi="宋体"/>
          <w:color w:val="000000"/>
          <w:kern w:val="0"/>
          <w:sz w:val="24"/>
        </w:rPr>
      </w:pPr>
      <w:r>
        <w:rPr>
          <w:rFonts w:hint="eastAsia" w:ascii="宋体" w:hAnsi="宋体"/>
          <w:color w:val="000000"/>
          <w:kern w:val="0"/>
          <w:sz w:val="24"/>
        </w:rPr>
        <w:t>2.合同价款：</w:t>
      </w:r>
      <w:r>
        <w:rPr>
          <w:rFonts w:hint="eastAsia" w:ascii="宋体" w:hAnsi="宋体"/>
          <w:color w:val="000000"/>
          <w:kern w:val="0"/>
          <w:sz w:val="24"/>
          <w:u w:val="single"/>
        </w:rPr>
        <w:t xml:space="preserve">      </w:t>
      </w:r>
      <w:r>
        <w:rPr>
          <w:rFonts w:hint="eastAsia" w:ascii="宋体" w:hAnsi="宋体"/>
          <w:color w:val="000000"/>
          <w:sz w:val="24"/>
          <w:u w:val="single"/>
        </w:rPr>
        <w:t xml:space="preserve">（小写）   元 </w:t>
      </w:r>
      <w:r>
        <w:rPr>
          <w:rFonts w:hint="eastAsia" w:ascii="宋体" w:hAnsi="宋体"/>
          <w:color w:val="000000"/>
          <w:kern w:val="0"/>
          <w:sz w:val="24"/>
        </w:rPr>
        <w:t>。</w:t>
      </w:r>
    </w:p>
    <w:p w14:paraId="558C3D25">
      <w:pPr>
        <w:snapToGrid w:val="0"/>
        <w:spacing w:line="360" w:lineRule="auto"/>
        <w:ind w:firstLine="480" w:firstLineChars="200"/>
        <w:jc w:val="left"/>
        <w:rPr>
          <w:rFonts w:hint="eastAsia" w:ascii="宋体" w:hAnsi="宋体"/>
          <w:color w:val="000000"/>
          <w:sz w:val="24"/>
        </w:rPr>
      </w:pPr>
      <w:r>
        <w:rPr>
          <w:rFonts w:hint="eastAsia" w:ascii="宋体" w:hAnsi="宋体"/>
          <w:color w:val="000000"/>
          <w:sz w:val="24"/>
        </w:rPr>
        <w:t>3.合同价款包括：</w:t>
      </w:r>
    </w:p>
    <w:p w14:paraId="00128B4A">
      <w:pPr>
        <w:spacing w:line="360" w:lineRule="auto"/>
        <w:ind w:firstLine="480" w:firstLineChars="200"/>
        <w:rPr>
          <w:rFonts w:hint="eastAsia" w:ascii="宋体" w:hAnsi="宋体"/>
          <w:bCs/>
          <w:color w:val="000000"/>
          <w:kern w:val="0"/>
          <w:sz w:val="24"/>
        </w:rPr>
      </w:pPr>
      <w:r>
        <w:rPr>
          <w:rFonts w:hint="eastAsia" w:ascii="宋体" w:hAnsi="宋体"/>
          <w:bCs/>
          <w:color w:val="000000"/>
          <w:kern w:val="0"/>
          <w:sz w:val="24"/>
        </w:rPr>
        <w:t>（1）货物的价格；</w:t>
      </w:r>
    </w:p>
    <w:p w14:paraId="62764277">
      <w:pPr>
        <w:spacing w:line="360" w:lineRule="auto"/>
        <w:ind w:firstLine="480" w:firstLineChars="200"/>
        <w:rPr>
          <w:rFonts w:hint="eastAsia" w:ascii="宋体" w:hAnsi="宋体"/>
          <w:bCs/>
          <w:color w:val="000000"/>
          <w:kern w:val="0"/>
          <w:sz w:val="24"/>
        </w:rPr>
      </w:pPr>
      <w:r>
        <w:rPr>
          <w:rFonts w:hint="eastAsia" w:ascii="宋体" w:hAnsi="宋体"/>
          <w:bCs/>
          <w:color w:val="000000"/>
          <w:kern w:val="0"/>
          <w:sz w:val="24"/>
        </w:rPr>
        <w:t>（2）货物涉及的所有设备、标准附件、备品备件、专用工具的价格；</w:t>
      </w:r>
    </w:p>
    <w:p w14:paraId="6DE0ABFE">
      <w:pPr>
        <w:spacing w:line="360" w:lineRule="auto"/>
        <w:ind w:firstLine="480" w:firstLineChars="200"/>
        <w:rPr>
          <w:rFonts w:hint="eastAsia" w:ascii="宋体" w:hAnsi="宋体"/>
          <w:bCs/>
          <w:color w:val="000000"/>
          <w:kern w:val="0"/>
          <w:sz w:val="24"/>
        </w:rPr>
      </w:pPr>
      <w:r>
        <w:rPr>
          <w:rFonts w:hint="eastAsia" w:ascii="宋体" w:hAnsi="宋体"/>
          <w:bCs/>
          <w:color w:val="000000"/>
          <w:kern w:val="0"/>
          <w:sz w:val="24"/>
        </w:rPr>
        <w:t>（3）运输、装卸、调试、培训、技术支持、组织验收、售后服务等费用；</w:t>
      </w:r>
    </w:p>
    <w:p w14:paraId="5F3311CD">
      <w:pPr>
        <w:spacing w:line="360" w:lineRule="auto"/>
        <w:ind w:firstLine="480" w:firstLineChars="200"/>
        <w:rPr>
          <w:rFonts w:hint="eastAsia" w:ascii="宋体" w:hAnsi="宋体"/>
          <w:bCs/>
          <w:color w:val="000000"/>
          <w:kern w:val="0"/>
          <w:sz w:val="24"/>
        </w:rPr>
      </w:pPr>
      <w:r>
        <w:rPr>
          <w:rFonts w:hint="eastAsia" w:ascii="宋体" w:hAnsi="宋体"/>
          <w:bCs/>
          <w:color w:val="000000"/>
          <w:kern w:val="0"/>
          <w:sz w:val="24"/>
        </w:rPr>
        <w:t>（4）必要的保险费用和各项税费；</w:t>
      </w:r>
    </w:p>
    <w:p w14:paraId="453EE048">
      <w:pPr>
        <w:spacing w:line="360" w:lineRule="auto"/>
        <w:ind w:firstLine="480" w:firstLineChars="200"/>
        <w:rPr>
          <w:rFonts w:hint="eastAsia" w:ascii="宋体" w:hAnsi="宋体"/>
          <w:bCs/>
          <w:color w:val="000000"/>
          <w:kern w:val="0"/>
          <w:sz w:val="24"/>
        </w:rPr>
      </w:pPr>
      <w:r>
        <w:rPr>
          <w:rFonts w:hint="eastAsia" w:ascii="宋体" w:hAnsi="宋体"/>
          <w:bCs/>
          <w:color w:val="000000"/>
          <w:kern w:val="0"/>
          <w:sz w:val="24"/>
        </w:rPr>
        <w:t>（5）安装费用等所有费用。</w:t>
      </w:r>
    </w:p>
    <w:p w14:paraId="182EF8D5">
      <w:pPr>
        <w:spacing w:line="360" w:lineRule="auto"/>
        <w:ind w:firstLine="480" w:firstLineChars="200"/>
        <w:rPr>
          <w:rFonts w:hint="eastAsia" w:ascii="宋体" w:hAnsi="宋体" w:eastAsia="宋体" w:cs="Times New Roman"/>
          <w:color w:val="000000"/>
          <w:kern w:val="0"/>
          <w:sz w:val="24"/>
        </w:rPr>
      </w:pPr>
      <w:r>
        <w:rPr>
          <w:rFonts w:hint="eastAsia" w:ascii="宋体" w:hAnsi="宋体"/>
          <w:bCs/>
          <w:color w:val="000000"/>
          <w:kern w:val="0"/>
          <w:sz w:val="24"/>
        </w:rPr>
        <w:t>4.</w:t>
      </w:r>
      <w:r>
        <w:rPr>
          <w:rFonts w:hint="eastAsia" w:ascii="宋体" w:hAnsi="宋体"/>
          <w:color w:val="000000"/>
          <w:kern w:val="0"/>
          <w:sz w:val="24"/>
        </w:rPr>
        <w:t>付款进度安排：</w:t>
      </w:r>
      <w:r>
        <w:rPr>
          <w:rFonts w:hint="eastAsia" w:ascii="宋体" w:hAnsi="宋体" w:eastAsia="宋体" w:cs="Times New Roman"/>
          <w:color w:val="000000"/>
          <w:kern w:val="0"/>
          <w:sz w:val="24"/>
        </w:rPr>
        <w:t>采用分期付款方式，成交人自合同签订后开具货款全额发票，采购人在财政资金到位10个工作日内支付合同款的50%给成交人，自设备安装验收合格正常使用后，60日内支付剩余的合同金额给成交人（不计利息）。</w:t>
      </w:r>
    </w:p>
    <w:p w14:paraId="5D0CD294">
      <w:pPr>
        <w:snapToGrid w:val="0"/>
        <w:spacing w:line="360" w:lineRule="auto"/>
        <w:ind w:firstLine="480" w:firstLineChars="200"/>
        <w:rPr>
          <w:rFonts w:hint="eastAsia" w:ascii="宋体" w:hAnsi="宋体"/>
          <w:b/>
          <w:color w:val="000000"/>
          <w:sz w:val="24"/>
        </w:rPr>
      </w:pPr>
      <w:r>
        <w:rPr>
          <w:rFonts w:hint="eastAsia" w:hAnsi="宋体"/>
          <w:color w:val="000000"/>
          <w:sz w:val="24"/>
        </w:rPr>
        <w:t>5.资金支付方式：</w:t>
      </w:r>
      <w:r>
        <w:rPr>
          <w:rFonts w:hint="eastAsia" w:hAnsi="宋体"/>
          <w:color w:val="000000"/>
          <w:sz w:val="24"/>
          <w:u w:val="single"/>
        </w:rPr>
        <w:t>银行转账</w:t>
      </w:r>
      <w:r>
        <w:rPr>
          <w:rFonts w:hint="eastAsia" w:hAnsi="宋体"/>
          <w:color w:val="000000"/>
          <w:sz w:val="24"/>
        </w:rPr>
        <w:t>。</w:t>
      </w:r>
    </w:p>
    <w:p w14:paraId="4FF75161">
      <w:pPr>
        <w:snapToGrid w:val="0"/>
        <w:spacing w:line="360" w:lineRule="auto"/>
        <w:ind w:firstLine="482" w:firstLineChars="200"/>
        <w:rPr>
          <w:rFonts w:hint="eastAsia" w:ascii="宋体" w:hAnsi="宋体"/>
          <w:b/>
          <w:color w:val="000000"/>
          <w:sz w:val="24"/>
        </w:rPr>
      </w:pPr>
      <w:r>
        <w:rPr>
          <w:rFonts w:hint="eastAsia" w:ascii="宋体" w:hAnsi="宋体"/>
          <w:b/>
          <w:color w:val="000000"/>
          <w:sz w:val="24"/>
        </w:rPr>
        <w:t>第七条　验收、交付标准和方法</w:t>
      </w:r>
    </w:p>
    <w:p w14:paraId="5DF9D95E">
      <w:pPr>
        <w:snapToGrid w:val="0"/>
        <w:spacing w:line="360" w:lineRule="auto"/>
        <w:ind w:firstLine="480" w:firstLineChars="200"/>
        <w:rPr>
          <w:rFonts w:hint="eastAsia" w:ascii="宋体" w:hAnsi="宋体"/>
          <w:color w:val="000000"/>
          <w:sz w:val="24"/>
        </w:rPr>
      </w:pPr>
      <w:r>
        <w:rPr>
          <w:rFonts w:hint="eastAsia" w:ascii="宋体" w:hAnsi="宋体"/>
          <w:color w:val="000000"/>
          <w:sz w:val="24"/>
        </w:rPr>
        <w:t>1.验收标准和方法</w:t>
      </w:r>
    </w:p>
    <w:p w14:paraId="5514D0E6">
      <w:pPr>
        <w:snapToGrid w:val="0"/>
        <w:spacing w:line="360" w:lineRule="auto"/>
        <w:ind w:firstLine="480" w:firstLineChars="200"/>
        <w:rPr>
          <w:rFonts w:hint="eastAsia" w:ascii="宋体" w:hAnsi="宋体"/>
          <w:color w:val="000000"/>
          <w:sz w:val="24"/>
        </w:rPr>
      </w:pPr>
      <w:r>
        <w:rPr>
          <w:rFonts w:hint="eastAsia" w:ascii="宋体" w:hAnsi="宋体"/>
          <w:color w:val="000000"/>
          <w:sz w:val="24"/>
        </w:rPr>
        <w:t xml:space="preserve">（1）验收标准： </w:t>
      </w:r>
    </w:p>
    <w:p w14:paraId="1A9EFB06">
      <w:pPr>
        <w:snapToGrid w:val="0"/>
        <w:spacing w:line="360" w:lineRule="auto"/>
        <w:ind w:firstLine="480" w:firstLineChars="200"/>
        <w:rPr>
          <w:rFonts w:hint="eastAsia" w:ascii="宋体" w:hAnsi="宋体"/>
          <w:color w:val="000000"/>
          <w:sz w:val="24"/>
        </w:rPr>
      </w:pPr>
      <w:r>
        <w:rPr>
          <w:rFonts w:hint="eastAsia" w:ascii="宋体" w:hAnsi="宋体"/>
          <w:color w:val="000000"/>
          <w:sz w:val="24"/>
        </w:rPr>
        <w:t>1）所有货物必须是全新产品。交货前不允许提前开箱、调试；货物备齐后通知采购人对货物进行清点、核实，由采购人、成交人双方派代表当场开箱验货，并按合同条款逐条检验签收后，双方代表签字，否则不予验收。如供货时出现有设备停产的情况，须提供具备与原设备技术参数要求相同或高于原设备技术参数要求的替代产品，并经采购人确认后方可更换。</w:t>
      </w:r>
    </w:p>
    <w:p w14:paraId="6010C522">
      <w:pPr>
        <w:snapToGrid w:val="0"/>
        <w:spacing w:line="360" w:lineRule="auto"/>
        <w:ind w:firstLine="480" w:firstLineChars="200"/>
        <w:rPr>
          <w:rFonts w:hint="eastAsia" w:ascii="宋体" w:hAnsi="宋体"/>
          <w:color w:val="000000"/>
          <w:sz w:val="24"/>
        </w:rPr>
      </w:pPr>
      <w:r>
        <w:rPr>
          <w:rFonts w:hint="eastAsia" w:ascii="宋体" w:hAnsi="宋体"/>
          <w:color w:val="000000"/>
          <w:sz w:val="24"/>
        </w:rPr>
        <w:t>2）交货时，所有产品均严格按采购文件上的技术规格要求、成交供应商响应和承诺的技术参数及性能和国家有关标准进行验收，达不到实质性要求的视为产品验收不合格，并按相关规定处理、处罚。</w:t>
      </w:r>
    </w:p>
    <w:p w14:paraId="7E678CC7">
      <w:pPr>
        <w:snapToGrid w:val="0"/>
        <w:spacing w:line="360" w:lineRule="auto"/>
        <w:ind w:firstLine="480" w:firstLineChars="200"/>
        <w:rPr>
          <w:rFonts w:hint="eastAsia" w:ascii="宋体" w:hAnsi="宋体"/>
          <w:color w:val="000000"/>
          <w:sz w:val="24"/>
        </w:rPr>
      </w:pPr>
      <w:r>
        <w:rPr>
          <w:rFonts w:hint="eastAsia" w:ascii="宋体" w:hAnsi="宋体"/>
          <w:color w:val="000000"/>
          <w:sz w:val="24"/>
        </w:rPr>
        <w:t>3）成交供应商承诺所提供的产品（包括硬件、配套软件）为符合国家知识产权法律法规要求的正规正版产品，不属于假冒伪劣商品；成交供应商还应保证采购人不受到第三方关于侵犯知识产权以及专利权、商标权或工业设计权等知识产权方面的指控，任何第三方如果提出此方面指控均与采购人无关，成交供应商应与第三方交涉，并承担可能发生的一切法律责任、费用和后果；若采购人因此而遭致损失的，成交供应商须赔偿该损失。</w:t>
      </w:r>
    </w:p>
    <w:p w14:paraId="6590AFEB">
      <w:pPr>
        <w:snapToGrid w:val="0"/>
        <w:spacing w:line="360" w:lineRule="auto"/>
        <w:ind w:firstLine="480" w:firstLineChars="200"/>
        <w:rPr>
          <w:rFonts w:hint="eastAsia" w:ascii="宋体" w:hAnsi="宋体"/>
          <w:color w:val="000000"/>
          <w:sz w:val="24"/>
        </w:rPr>
      </w:pPr>
      <w:r>
        <w:rPr>
          <w:rFonts w:hint="eastAsia" w:ascii="宋体" w:hAnsi="宋体"/>
          <w:color w:val="000000"/>
          <w:sz w:val="24"/>
        </w:rPr>
        <w:t>4）采购人有权委托第三方项目进行验收，单次验收费用不超过合同金额的2%，验收费用由成交人承担。供应商在进行报价时应将验收费用考虑在内。</w:t>
      </w:r>
    </w:p>
    <w:p w14:paraId="7AB9AD7F">
      <w:pPr>
        <w:snapToGrid w:val="0"/>
        <w:spacing w:line="360" w:lineRule="auto"/>
        <w:ind w:firstLine="480" w:firstLineChars="200"/>
        <w:rPr>
          <w:rFonts w:hint="eastAsia" w:ascii="宋体" w:hAnsi="宋体"/>
          <w:color w:val="000000"/>
          <w:sz w:val="24"/>
        </w:rPr>
      </w:pPr>
      <w:r>
        <w:rPr>
          <w:rFonts w:hint="eastAsia" w:ascii="宋体" w:hAnsi="宋体"/>
          <w:color w:val="000000"/>
          <w:sz w:val="24"/>
        </w:rPr>
        <w:t xml:space="preserve">5）符合采购文件参数要求及响应参数要求。 </w:t>
      </w:r>
    </w:p>
    <w:p w14:paraId="4041ED41">
      <w:pPr>
        <w:snapToGrid w:val="0"/>
        <w:spacing w:line="360" w:lineRule="auto"/>
        <w:ind w:firstLine="480" w:firstLineChars="200"/>
        <w:rPr>
          <w:rFonts w:hint="eastAsia" w:ascii="宋体" w:hAnsi="宋体"/>
          <w:color w:val="000000"/>
          <w:sz w:val="24"/>
        </w:rPr>
      </w:pPr>
      <w:r>
        <w:rPr>
          <w:rFonts w:hint="eastAsia" w:ascii="宋体" w:hAnsi="宋体"/>
          <w:color w:val="000000"/>
          <w:sz w:val="24"/>
        </w:rPr>
        <w:t>（2）验收程序及方法：</w:t>
      </w:r>
    </w:p>
    <w:p w14:paraId="3C37A3DD">
      <w:pPr>
        <w:snapToGrid w:val="0"/>
        <w:spacing w:line="360" w:lineRule="auto"/>
        <w:ind w:firstLine="480" w:firstLineChars="200"/>
        <w:rPr>
          <w:rFonts w:hint="eastAsia" w:ascii="宋体" w:hAnsi="宋体"/>
          <w:color w:val="000000"/>
          <w:sz w:val="24"/>
        </w:rPr>
      </w:pPr>
      <w:r>
        <w:rPr>
          <w:rFonts w:hint="eastAsia" w:ascii="宋体" w:hAnsi="宋体"/>
          <w:color w:val="000000"/>
          <w:sz w:val="24"/>
        </w:rPr>
        <w:t>1）乙方履行完合同义务后，书面向甲方提交验收申请。</w:t>
      </w:r>
    </w:p>
    <w:p w14:paraId="3D96398A">
      <w:pPr>
        <w:snapToGrid w:val="0"/>
        <w:spacing w:line="360" w:lineRule="auto"/>
        <w:ind w:firstLine="480" w:firstLineChars="200"/>
        <w:rPr>
          <w:rFonts w:hint="eastAsia" w:ascii="宋体" w:hAnsi="宋体"/>
          <w:color w:val="000000"/>
          <w:sz w:val="24"/>
        </w:rPr>
      </w:pPr>
      <w:r>
        <w:rPr>
          <w:rFonts w:hint="eastAsia" w:ascii="宋体" w:hAnsi="宋体"/>
          <w:color w:val="000000"/>
          <w:sz w:val="24"/>
        </w:rPr>
        <w:t>2）甲方收到乙方验收申请之日起7个工作日内组织验收，并提出验收意见。甲方委托第三方机构组织项目验收的，其验收时间以该项目验收方案确定的验收时间为准。</w:t>
      </w:r>
    </w:p>
    <w:p w14:paraId="472A3E52">
      <w:pPr>
        <w:spacing w:line="360" w:lineRule="auto"/>
        <w:ind w:firstLine="480" w:firstLineChars="200"/>
        <w:rPr>
          <w:rFonts w:hint="eastAsia" w:ascii="宋体" w:hAnsi="宋体"/>
          <w:color w:val="000000"/>
          <w:sz w:val="24"/>
        </w:rPr>
      </w:pPr>
      <w:r>
        <w:rPr>
          <w:rFonts w:hint="eastAsia" w:ascii="宋体" w:hAnsi="宋体"/>
          <w:color w:val="000000"/>
          <w:sz w:val="24"/>
        </w:rPr>
        <w:t>3）本项目验收由验收小组按照采购合同约定对每一项技术和商务要求的履约情况进行确认。</w:t>
      </w:r>
    </w:p>
    <w:p w14:paraId="3AA5ABCD">
      <w:pPr>
        <w:spacing w:line="360" w:lineRule="auto"/>
        <w:ind w:firstLine="480" w:firstLineChars="200"/>
        <w:rPr>
          <w:rFonts w:hint="eastAsia" w:ascii="宋体" w:hAnsi="宋体" w:cs="宋体"/>
          <w:color w:val="000000"/>
          <w:kern w:val="0"/>
          <w:sz w:val="24"/>
        </w:rPr>
      </w:pPr>
      <w:r>
        <w:rPr>
          <w:rFonts w:hint="eastAsia" w:ascii="宋体" w:hAnsi="宋体"/>
          <w:color w:val="000000"/>
          <w:sz w:val="24"/>
        </w:rPr>
        <w:t>4）验收结束后，验收小组出具采购验收书，验收书应当包括每一项技术和商务要求的履约情况，并列明项目总体评价，由验收小组、甲方和乙方共同签署。甲方委托第三方机构组织项目验收的，其验收结果以第三方机构出具验收书结论为准，甲方和乙方共同签署确认。</w:t>
      </w:r>
    </w:p>
    <w:p w14:paraId="00BCB36A">
      <w:pPr>
        <w:spacing w:line="360" w:lineRule="auto"/>
        <w:ind w:firstLine="480" w:firstLineChars="200"/>
        <w:rPr>
          <w:rFonts w:hint="eastAsia" w:ascii="宋体" w:hAnsi="宋体"/>
          <w:color w:val="000000"/>
          <w:sz w:val="24"/>
        </w:rPr>
      </w:pPr>
      <w:r>
        <w:rPr>
          <w:rFonts w:hint="eastAsia" w:ascii="宋体" w:hAnsi="宋体"/>
          <w:color w:val="000000"/>
          <w:sz w:val="24"/>
        </w:rPr>
        <w:t>5）验收过程中所产生的一切费用均由乙方承担。</w:t>
      </w:r>
    </w:p>
    <w:p w14:paraId="623B981D">
      <w:pPr>
        <w:spacing w:line="360" w:lineRule="auto"/>
        <w:ind w:firstLine="480" w:firstLineChars="200"/>
        <w:rPr>
          <w:rFonts w:hint="eastAsia" w:ascii="宋体" w:hAnsi="宋体" w:cs="宋体"/>
          <w:color w:val="000000"/>
          <w:sz w:val="24"/>
        </w:rPr>
      </w:pPr>
      <w:r>
        <w:rPr>
          <w:rFonts w:hint="eastAsia" w:ascii="宋体" w:hAnsi="宋体"/>
          <w:color w:val="000000"/>
          <w:sz w:val="24"/>
        </w:rPr>
        <w:t>6）</w:t>
      </w:r>
      <w:r>
        <w:rPr>
          <w:rFonts w:hint="eastAsia"/>
          <w:color w:val="000000"/>
          <w:sz w:val="24"/>
        </w:rPr>
        <w:t>验收书</w:t>
      </w:r>
      <w:r>
        <w:rPr>
          <w:rFonts w:hint="eastAsia" w:ascii="宋体" w:hAnsi="宋体" w:cs="宋体"/>
          <w:color w:val="000000"/>
          <w:sz w:val="24"/>
        </w:rPr>
        <w:t>一式</w:t>
      </w:r>
      <w:r>
        <w:rPr>
          <w:rFonts w:hint="eastAsia" w:ascii="宋体" w:hAnsi="宋体" w:cs="宋体"/>
          <w:color w:val="000000"/>
          <w:sz w:val="24"/>
          <w:u w:val="single"/>
        </w:rPr>
        <w:t xml:space="preserve"> 3 </w:t>
      </w:r>
      <w:r>
        <w:rPr>
          <w:rFonts w:hint="eastAsia" w:ascii="宋体" w:hAnsi="宋体" w:cs="宋体"/>
          <w:color w:val="000000"/>
          <w:sz w:val="24"/>
        </w:rPr>
        <w:t>份，甲乙双方各执</w:t>
      </w:r>
      <w:r>
        <w:rPr>
          <w:rFonts w:hint="eastAsia" w:ascii="宋体" w:hAnsi="宋体" w:cs="宋体"/>
          <w:color w:val="000000"/>
          <w:sz w:val="24"/>
          <w:u w:val="single"/>
        </w:rPr>
        <w:t xml:space="preserve"> 1 </w:t>
      </w:r>
      <w:r>
        <w:rPr>
          <w:rFonts w:hint="eastAsia" w:ascii="宋体" w:hAnsi="宋体" w:cs="宋体"/>
          <w:color w:val="000000"/>
          <w:sz w:val="24"/>
        </w:rPr>
        <w:t xml:space="preserve">份、受托第三方机构一份（如有）。 </w:t>
      </w:r>
    </w:p>
    <w:p w14:paraId="234769A1">
      <w:pPr>
        <w:spacing w:line="360" w:lineRule="auto"/>
        <w:ind w:firstLine="480" w:firstLineChars="200"/>
        <w:rPr>
          <w:rFonts w:hint="eastAsia" w:ascii="宋体" w:hAnsi="宋体"/>
          <w:color w:val="000000"/>
          <w:sz w:val="24"/>
        </w:rPr>
      </w:pPr>
      <w:r>
        <w:rPr>
          <w:rFonts w:hint="eastAsia" w:ascii="宋体" w:hAnsi="宋体" w:cs="宋体"/>
          <w:color w:val="000000"/>
          <w:sz w:val="24"/>
        </w:rPr>
        <w:t>7）验收结论不合格的，乙方应自收到验收书后</w:t>
      </w:r>
      <w:r>
        <w:rPr>
          <w:rFonts w:hint="eastAsia" w:ascii="宋体" w:hAnsi="宋体" w:cs="宋体"/>
          <w:color w:val="000000"/>
          <w:sz w:val="24"/>
          <w:u w:val="single"/>
        </w:rPr>
        <w:t xml:space="preserve"> 7 </w:t>
      </w:r>
      <w:r>
        <w:rPr>
          <w:rFonts w:hint="eastAsia" w:ascii="宋体" w:hAnsi="宋体" w:cs="宋体"/>
          <w:color w:val="000000"/>
          <w:sz w:val="24"/>
        </w:rPr>
        <w:t>日内及时予以解决。经乙方对验收结论不合格的货物进行整改后，仍然达不到要求的，经双方协商，</w:t>
      </w:r>
      <w:r>
        <w:rPr>
          <w:rFonts w:hint="eastAsia" w:ascii="宋体" w:hAnsi="宋体"/>
          <w:color w:val="000000"/>
          <w:sz w:val="24"/>
        </w:rPr>
        <w:t>可按以下办法处理：</w:t>
      </w:r>
    </w:p>
    <w:p w14:paraId="05AC034F">
      <w:pPr>
        <w:spacing w:line="360" w:lineRule="auto"/>
        <w:ind w:firstLine="480" w:firstLineChars="200"/>
        <w:rPr>
          <w:rFonts w:hint="eastAsia" w:ascii="宋体" w:hAnsi="宋体"/>
          <w:color w:val="000000"/>
          <w:sz w:val="24"/>
        </w:rPr>
      </w:pPr>
      <w:r>
        <w:rPr>
          <w:rFonts w:hint="eastAsia" w:ascii="宋体" w:hAnsi="宋体"/>
          <w:color w:val="000000"/>
          <w:sz w:val="24"/>
        </w:rPr>
        <w:t>①更换：由乙方承担所发生的全部费用。</w:t>
      </w:r>
    </w:p>
    <w:p w14:paraId="33079B8E">
      <w:pPr>
        <w:spacing w:line="360" w:lineRule="auto"/>
        <w:ind w:firstLine="480" w:firstLineChars="200"/>
        <w:rPr>
          <w:rFonts w:hint="eastAsia" w:ascii="宋体" w:hAnsi="宋体"/>
          <w:color w:val="000000"/>
          <w:sz w:val="24"/>
        </w:rPr>
      </w:pPr>
      <w:r>
        <w:rPr>
          <w:rFonts w:hint="eastAsia" w:ascii="宋体" w:hAnsi="宋体"/>
          <w:color w:val="000000"/>
          <w:sz w:val="24"/>
        </w:rPr>
        <w:t>②贬值处理：由甲乙双方合议定价。</w:t>
      </w:r>
    </w:p>
    <w:p w14:paraId="45E776B8">
      <w:pPr>
        <w:spacing w:line="360" w:lineRule="auto"/>
        <w:ind w:firstLine="480" w:firstLineChars="200"/>
        <w:rPr>
          <w:rFonts w:hint="eastAsia" w:ascii="宋体" w:hAnsi="宋体"/>
          <w:color w:val="000000"/>
          <w:sz w:val="24"/>
        </w:rPr>
      </w:pPr>
      <w:r>
        <w:rPr>
          <w:rFonts w:hint="eastAsia" w:ascii="宋体" w:hAnsi="宋体"/>
          <w:color w:val="000000"/>
          <w:sz w:val="24"/>
        </w:rPr>
        <w:t>2.交付标准和方法</w:t>
      </w:r>
    </w:p>
    <w:p w14:paraId="5BC24C68">
      <w:pPr>
        <w:spacing w:line="360" w:lineRule="auto"/>
        <w:ind w:firstLine="480" w:firstLineChars="200"/>
        <w:rPr>
          <w:rFonts w:hint="eastAsia" w:ascii="宋体" w:hAnsi="宋体"/>
          <w:color w:val="000000"/>
          <w:sz w:val="24"/>
        </w:rPr>
      </w:pPr>
      <w:r>
        <w:rPr>
          <w:rFonts w:hint="eastAsia" w:ascii="宋体" w:hAnsi="宋体"/>
          <w:color w:val="000000"/>
          <w:sz w:val="24"/>
        </w:rPr>
        <w:t>（1）除售后服务验收外，验收结论合格的，乙方应自收到验收书后</w:t>
      </w:r>
      <w:r>
        <w:rPr>
          <w:rFonts w:hint="eastAsia" w:ascii="宋体" w:hAnsi="宋体"/>
          <w:color w:val="000000"/>
          <w:sz w:val="24"/>
          <w:u w:val="single"/>
        </w:rPr>
        <w:t xml:space="preserve">   </w:t>
      </w:r>
      <w:r>
        <w:rPr>
          <w:rFonts w:hint="eastAsia" w:ascii="宋体" w:hAnsi="宋体"/>
          <w:color w:val="000000"/>
          <w:sz w:val="24"/>
        </w:rPr>
        <w:t>日内向甲方交付使用。</w:t>
      </w:r>
    </w:p>
    <w:p w14:paraId="47FA0A45">
      <w:pPr>
        <w:snapToGrid w:val="0"/>
        <w:spacing w:line="360" w:lineRule="auto"/>
        <w:ind w:firstLine="480" w:firstLineChars="200"/>
        <w:rPr>
          <w:rFonts w:hint="eastAsia" w:ascii="宋体" w:hAnsi="宋体"/>
          <w:b/>
          <w:color w:val="000000"/>
          <w:sz w:val="24"/>
        </w:rPr>
      </w:pPr>
      <w:r>
        <w:rPr>
          <w:rFonts w:hint="eastAsia" w:ascii="宋体" w:hAnsi="宋体"/>
          <w:color w:val="000000"/>
          <w:sz w:val="24"/>
        </w:rPr>
        <w:t>（2）货物的所有权和风险自交付时起由乙方转移至甲方，货物交付给甲方之前所有风险均由乙方承担。</w:t>
      </w:r>
    </w:p>
    <w:p w14:paraId="5E68E6C3">
      <w:pPr>
        <w:snapToGrid w:val="0"/>
        <w:spacing w:line="360" w:lineRule="auto"/>
        <w:ind w:firstLine="482" w:firstLineChars="200"/>
        <w:rPr>
          <w:rFonts w:hint="eastAsia" w:ascii="宋体" w:hAnsi="宋体"/>
          <w:b/>
          <w:color w:val="000000"/>
          <w:sz w:val="24"/>
        </w:rPr>
      </w:pPr>
      <w:r>
        <w:rPr>
          <w:rFonts w:hint="eastAsia" w:ascii="宋体" w:hAnsi="宋体"/>
          <w:b/>
          <w:color w:val="000000"/>
          <w:sz w:val="24"/>
        </w:rPr>
        <w:t>第八条  售后服务</w:t>
      </w:r>
    </w:p>
    <w:p w14:paraId="79699DAE">
      <w:pPr>
        <w:snapToGrid w:val="0"/>
        <w:spacing w:line="360" w:lineRule="auto"/>
        <w:ind w:firstLine="480" w:firstLineChars="200"/>
        <w:rPr>
          <w:rFonts w:hint="eastAsia" w:ascii="宋体" w:hAnsi="宋体"/>
          <w:color w:val="000000"/>
          <w:sz w:val="24"/>
        </w:rPr>
      </w:pPr>
      <w:r>
        <w:rPr>
          <w:rFonts w:hint="eastAsia" w:ascii="宋体" w:hAnsi="宋体"/>
          <w:color w:val="000000"/>
          <w:sz w:val="24"/>
        </w:rPr>
        <w:t>1.乙方应按照国家有关法律法规规定以及投标（响应）文件承诺，为甲方提供售后服务。</w:t>
      </w:r>
    </w:p>
    <w:p w14:paraId="63D30A0E">
      <w:pPr>
        <w:snapToGrid w:val="0"/>
        <w:spacing w:line="360" w:lineRule="auto"/>
        <w:ind w:firstLine="480" w:firstLineChars="200"/>
        <w:rPr>
          <w:rFonts w:hint="eastAsia" w:ascii="宋体" w:hAnsi="宋体"/>
          <w:color w:val="000000"/>
          <w:sz w:val="24"/>
          <w:u w:val="single"/>
        </w:rPr>
      </w:pPr>
      <w:r>
        <w:rPr>
          <w:rFonts w:hint="eastAsia" w:ascii="宋体" w:hAnsi="宋体"/>
          <w:color w:val="000000"/>
          <w:sz w:val="24"/>
        </w:rPr>
        <w:t>2.质</w:t>
      </w:r>
      <w:r>
        <w:rPr>
          <w:rFonts w:hint="eastAsia" w:ascii="宋体" w:hAnsi="宋体"/>
          <w:color w:val="auto"/>
          <w:sz w:val="24"/>
        </w:rPr>
        <w:t>量保修:</w:t>
      </w:r>
      <w:r>
        <w:rPr>
          <w:rFonts w:hint="eastAsia" w:ascii="宋体" w:hAnsi="宋体"/>
          <w:color w:val="auto"/>
          <w:sz w:val="24"/>
          <w:u w:val="single"/>
        </w:rPr>
        <w:t>生物电反馈刺激仪质保期不少于2年，颅磁刺激治疗仪，脑电图机质保期不少于3年，质保期内上门维修、更换零部件。质保期满后，以优惠价格提供终生维修和备件更换（质保期从设备安装完成并验收合格之日起开始）。</w:t>
      </w:r>
    </w:p>
    <w:p w14:paraId="4F61ABC6">
      <w:pPr>
        <w:snapToGrid w:val="0"/>
        <w:spacing w:line="360" w:lineRule="auto"/>
        <w:ind w:firstLine="482" w:firstLineChars="200"/>
        <w:rPr>
          <w:rFonts w:hint="eastAsia" w:ascii="宋体" w:hAnsi="宋体"/>
          <w:b/>
          <w:color w:val="000000"/>
          <w:sz w:val="24"/>
        </w:rPr>
      </w:pPr>
      <w:r>
        <w:rPr>
          <w:rFonts w:hint="eastAsia" w:ascii="宋体" w:hAnsi="宋体"/>
          <w:b/>
          <w:color w:val="000000"/>
          <w:sz w:val="24"/>
        </w:rPr>
        <w:t>第</w:t>
      </w:r>
      <w:r>
        <w:rPr>
          <w:rFonts w:hint="eastAsia" w:ascii="宋体" w:hAnsi="宋体"/>
          <w:b/>
          <w:color w:val="000000"/>
          <w:sz w:val="24"/>
          <w:lang w:val="en-US" w:eastAsia="zh-CN"/>
        </w:rPr>
        <w:t>九</w:t>
      </w:r>
      <w:r>
        <w:rPr>
          <w:rFonts w:hint="eastAsia" w:ascii="宋体" w:hAnsi="宋体"/>
          <w:b/>
          <w:color w:val="000000"/>
          <w:sz w:val="24"/>
        </w:rPr>
        <w:t>条　违约责任</w:t>
      </w:r>
    </w:p>
    <w:p w14:paraId="7107AA3C">
      <w:pPr>
        <w:snapToGrid w:val="0"/>
        <w:spacing w:line="360" w:lineRule="auto"/>
        <w:ind w:firstLine="480" w:firstLineChars="200"/>
        <w:rPr>
          <w:rFonts w:hint="eastAsia" w:ascii="宋体" w:hAnsi="宋体"/>
          <w:color w:val="000000"/>
          <w:kern w:val="0"/>
          <w:sz w:val="24"/>
        </w:rPr>
      </w:pPr>
      <w:r>
        <w:rPr>
          <w:rFonts w:hint="eastAsia" w:ascii="宋体" w:hAnsi="宋体"/>
          <w:color w:val="000000"/>
          <w:kern w:val="0"/>
          <w:sz w:val="24"/>
        </w:rPr>
        <w:t>1.合同一方不履行合同义务、履行合同义务不符合约定或者违反合同项下所作保证的， 应向对方承担继续履行、采取修理、更换、退货等补救措施或者赔偿损失等违约责任。</w:t>
      </w:r>
    </w:p>
    <w:p w14:paraId="4E1AC1CC">
      <w:pPr>
        <w:snapToGrid w:val="0"/>
        <w:spacing w:line="360" w:lineRule="auto"/>
        <w:ind w:firstLine="480" w:firstLineChars="200"/>
        <w:rPr>
          <w:rFonts w:hint="eastAsia" w:ascii="宋体" w:hAnsi="宋体"/>
          <w:color w:val="000000"/>
          <w:kern w:val="0"/>
          <w:sz w:val="24"/>
        </w:rPr>
      </w:pPr>
      <w:r>
        <w:rPr>
          <w:rFonts w:hint="eastAsia" w:ascii="宋体" w:hAnsi="宋体"/>
          <w:color w:val="000000"/>
          <w:kern w:val="0"/>
          <w:sz w:val="24"/>
        </w:rPr>
        <w:t>2.乙方未能按时交付货物的，应向甲方支付迟延交付违约金。迟延交付违约金的计算方法如下：</w:t>
      </w:r>
    </w:p>
    <w:p w14:paraId="73898EA4">
      <w:pPr>
        <w:snapToGrid w:val="0"/>
        <w:spacing w:line="360" w:lineRule="auto"/>
        <w:ind w:firstLine="480" w:firstLineChars="200"/>
        <w:rPr>
          <w:rFonts w:hint="eastAsia" w:ascii="宋体" w:hAnsi="宋体"/>
          <w:color w:val="000000"/>
          <w:kern w:val="0"/>
          <w:sz w:val="24"/>
        </w:rPr>
      </w:pPr>
      <w:r>
        <w:rPr>
          <w:rFonts w:hint="eastAsia" w:ascii="宋体" w:hAnsi="宋体"/>
          <w:color w:val="000000"/>
          <w:kern w:val="0"/>
          <w:sz w:val="24"/>
        </w:rPr>
        <w:t>（1）从迟交的第一周到第四周，每周迟延交付违约金为合同价款（报酬）的</w:t>
      </w:r>
      <w:r>
        <w:rPr>
          <w:rFonts w:hint="eastAsia" w:ascii="宋体" w:hAnsi="宋体"/>
          <w:i/>
          <w:color w:val="000000"/>
          <w:kern w:val="0"/>
          <w:sz w:val="24"/>
          <w:u w:val="single"/>
        </w:rPr>
        <w:t xml:space="preserve"> 0.5% </w:t>
      </w:r>
      <w:r>
        <w:rPr>
          <w:rFonts w:hint="eastAsia" w:ascii="宋体" w:hAnsi="宋体"/>
          <w:color w:val="000000"/>
          <w:kern w:val="0"/>
          <w:sz w:val="24"/>
        </w:rPr>
        <w:t>；</w:t>
      </w:r>
    </w:p>
    <w:p w14:paraId="7F321A1E">
      <w:pPr>
        <w:snapToGrid w:val="0"/>
        <w:spacing w:line="360" w:lineRule="auto"/>
        <w:ind w:firstLine="480" w:firstLineChars="200"/>
        <w:rPr>
          <w:rFonts w:hint="eastAsia" w:ascii="宋体" w:hAnsi="宋体"/>
          <w:color w:val="000000"/>
          <w:kern w:val="0"/>
          <w:sz w:val="24"/>
        </w:rPr>
      </w:pPr>
      <w:r>
        <w:rPr>
          <w:rFonts w:hint="eastAsia" w:ascii="宋体" w:hAnsi="宋体"/>
          <w:color w:val="000000"/>
          <w:kern w:val="0"/>
          <w:sz w:val="24"/>
        </w:rPr>
        <w:t>（2）从迟交的第五周到第八周，每周迟延交付违约金为合同价款（报酬）的</w:t>
      </w:r>
      <w:r>
        <w:rPr>
          <w:rFonts w:hint="eastAsia" w:ascii="宋体" w:hAnsi="宋体"/>
          <w:i/>
          <w:color w:val="000000"/>
          <w:kern w:val="0"/>
          <w:sz w:val="24"/>
          <w:u w:val="single"/>
        </w:rPr>
        <w:t xml:space="preserve"> 1% </w:t>
      </w:r>
      <w:r>
        <w:rPr>
          <w:rFonts w:hint="eastAsia" w:ascii="宋体" w:hAnsi="宋体"/>
          <w:color w:val="000000"/>
          <w:kern w:val="0"/>
          <w:sz w:val="24"/>
        </w:rPr>
        <w:t>；</w:t>
      </w:r>
    </w:p>
    <w:p w14:paraId="4020EA82">
      <w:pPr>
        <w:snapToGrid w:val="0"/>
        <w:spacing w:line="360" w:lineRule="auto"/>
        <w:ind w:firstLine="480" w:firstLineChars="200"/>
        <w:rPr>
          <w:rFonts w:hint="eastAsia" w:ascii="宋体" w:hAnsi="宋体"/>
          <w:color w:val="000000"/>
          <w:kern w:val="0"/>
          <w:sz w:val="24"/>
        </w:rPr>
      </w:pPr>
      <w:r>
        <w:rPr>
          <w:rFonts w:hint="eastAsia" w:ascii="宋体" w:hAnsi="宋体"/>
          <w:color w:val="000000"/>
          <w:kern w:val="0"/>
          <w:sz w:val="24"/>
        </w:rPr>
        <w:t>（3）从迟交第九周起，每周迟延交付违约金为合同价款（报酬）的</w:t>
      </w:r>
      <w:r>
        <w:rPr>
          <w:rFonts w:hint="eastAsia" w:ascii="宋体" w:hAnsi="宋体"/>
          <w:i/>
          <w:color w:val="000000"/>
          <w:kern w:val="0"/>
          <w:sz w:val="24"/>
          <w:u w:val="single"/>
        </w:rPr>
        <w:t xml:space="preserve"> 1.5% </w:t>
      </w:r>
      <w:r>
        <w:rPr>
          <w:rFonts w:hint="eastAsia" w:ascii="宋体" w:hAnsi="宋体"/>
          <w:color w:val="000000"/>
          <w:kern w:val="0"/>
          <w:sz w:val="24"/>
        </w:rPr>
        <w:t>。在计算迟延交付违约金时，迟交不足一周的按一周计算。迟延交付违约金的总额不得超过合同价款（报酬）的</w:t>
      </w:r>
      <w:r>
        <w:rPr>
          <w:rFonts w:hint="eastAsia" w:ascii="宋体" w:hAnsi="宋体"/>
          <w:color w:val="000000"/>
          <w:kern w:val="0"/>
          <w:sz w:val="24"/>
          <w:u w:val="single"/>
        </w:rPr>
        <w:t xml:space="preserve"> 10% </w:t>
      </w:r>
      <w:r>
        <w:rPr>
          <w:rFonts w:hint="eastAsia" w:ascii="宋体" w:hAnsi="宋体"/>
          <w:color w:val="000000"/>
          <w:kern w:val="0"/>
          <w:sz w:val="24"/>
        </w:rPr>
        <w:t>。迟延交付违约金的支付不能免除乙方继续交付相关合同货物的义务，但如迟延交付必然导致合同货物安装、调试、验收等工作推迟的，相关工作应相应顺延。</w:t>
      </w:r>
    </w:p>
    <w:p w14:paraId="49D14F93">
      <w:pPr>
        <w:snapToGrid w:val="0"/>
        <w:spacing w:line="360" w:lineRule="auto"/>
        <w:ind w:firstLine="480" w:firstLineChars="200"/>
        <w:rPr>
          <w:rFonts w:hint="eastAsia" w:ascii="宋体" w:hAnsi="宋体"/>
          <w:color w:val="000000"/>
          <w:kern w:val="0"/>
          <w:sz w:val="24"/>
        </w:rPr>
      </w:pPr>
      <w:r>
        <w:rPr>
          <w:rFonts w:hint="eastAsia" w:ascii="宋体" w:hAnsi="宋体"/>
          <w:color w:val="000000"/>
          <w:kern w:val="0"/>
          <w:sz w:val="24"/>
        </w:rPr>
        <w:t>3.甲方未能按合同约定支付合同价款的，应向乙方支付延迟付款违约金。迟延付款违约金的计算方法如下：</w:t>
      </w:r>
    </w:p>
    <w:p w14:paraId="7DE685C7">
      <w:pPr>
        <w:snapToGrid w:val="0"/>
        <w:spacing w:line="360" w:lineRule="auto"/>
        <w:ind w:firstLine="480" w:firstLineChars="200"/>
        <w:rPr>
          <w:rFonts w:hint="eastAsia" w:ascii="宋体" w:hAnsi="宋体"/>
          <w:color w:val="000000"/>
          <w:kern w:val="0"/>
          <w:sz w:val="24"/>
        </w:rPr>
      </w:pPr>
      <w:r>
        <w:rPr>
          <w:rFonts w:hint="eastAsia" w:ascii="宋体" w:hAnsi="宋体"/>
          <w:color w:val="000000"/>
          <w:kern w:val="0"/>
          <w:sz w:val="24"/>
        </w:rPr>
        <w:t>（1）从迟付的第一周到第四周，每周迟延付款违约金为迟延付款金额的</w:t>
      </w:r>
      <w:r>
        <w:rPr>
          <w:rFonts w:hint="eastAsia" w:ascii="宋体" w:hAnsi="宋体"/>
          <w:i/>
          <w:color w:val="000000"/>
          <w:kern w:val="0"/>
          <w:sz w:val="24"/>
          <w:u w:val="single"/>
        </w:rPr>
        <w:t xml:space="preserve"> 0.5% </w:t>
      </w:r>
      <w:r>
        <w:rPr>
          <w:rFonts w:hint="eastAsia" w:ascii="宋体" w:hAnsi="宋体"/>
          <w:color w:val="000000"/>
          <w:kern w:val="0"/>
          <w:sz w:val="24"/>
        </w:rPr>
        <w:t>；</w:t>
      </w:r>
    </w:p>
    <w:p w14:paraId="0FA71929">
      <w:pPr>
        <w:snapToGrid w:val="0"/>
        <w:spacing w:line="360" w:lineRule="auto"/>
        <w:ind w:firstLine="480" w:firstLineChars="200"/>
        <w:rPr>
          <w:rFonts w:hint="eastAsia" w:ascii="宋体" w:hAnsi="宋体"/>
          <w:color w:val="000000"/>
          <w:kern w:val="0"/>
          <w:sz w:val="24"/>
        </w:rPr>
      </w:pPr>
      <w:r>
        <w:rPr>
          <w:rFonts w:hint="eastAsia" w:ascii="宋体" w:hAnsi="宋体"/>
          <w:color w:val="000000"/>
          <w:kern w:val="0"/>
          <w:sz w:val="24"/>
        </w:rPr>
        <w:t>（2）从迟付的第五周到第八周，每周迟延付款违约金为迟延付款金额的</w:t>
      </w:r>
      <w:r>
        <w:rPr>
          <w:rFonts w:hint="eastAsia" w:ascii="宋体" w:hAnsi="宋体"/>
          <w:i/>
          <w:color w:val="000000"/>
          <w:kern w:val="0"/>
          <w:sz w:val="24"/>
          <w:u w:val="single"/>
        </w:rPr>
        <w:t xml:space="preserve"> 1% </w:t>
      </w:r>
      <w:r>
        <w:rPr>
          <w:rFonts w:hint="eastAsia" w:ascii="宋体" w:hAnsi="宋体"/>
          <w:color w:val="000000"/>
          <w:kern w:val="0"/>
          <w:sz w:val="24"/>
        </w:rPr>
        <w:t>；</w:t>
      </w:r>
    </w:p>
    <w:p w14:paraId="187CE2BC">
      <w:pPr>
        <w:snapToGrid w:val="0"/>
        <w:spacing w:line="360" w:lineRule="auto"/>
        <w:ind w:firstLine="480" w:firstLineChars="200"/>
        <w:rPr>
          <w:rFonts w:hint="eastAsia" w:ascii="宋体" w:hAnsi="宋体"/>
          <w:color w:val="000000"/>
          <w:kern w:val="0"/>
          <w:sz w:val="24"/>
        </w:rPr>
      </w:pPr>
      <w:r>
        <w:rPr>
          <w:rFonts w:hint="eastAsia" w:ascii="宋体" w:hAnsi="宋体"/>
          <w:color w:val="000000"/>
          <w:kern w:val="0"/>
          <w:sz w:val="24"/>
        </w:rPr>
        <w:t>（3）从迟付第九周起，每周迟延付款违约金为迟延付款金额的</w:t>
      </w:r>
      <w:r>
        <w:rPr>
          <w:rFonts w:hint="eastAsia" w:ascii="宋体" w:hAnsi="宋体"/>
          <w:i/>
          <w:color w:val="000000"/>
          <w:kern w:val="0"/>
          <w:sz w:val="24"/>
          <w:u w:val="single"/>
        </w:rPr>
        <w:t xml:space="preserve"> 1.5% </w:t>
      </w:r>
      <w:r>
        <w:rPr>
          <w:rFonts w:hint="eastAsia" w:ascii="宋体" w:hAnsi="宋体"/>
          <w:color w:val="000000"/>
          <w:kern w:val="0"/>
          <w:sz w:val="24"/>
        </w:rPr>
        <w:t>。在计算迟延付款违约金时，迟付不足一周的按一周计算。迟延付款违约金的总额不得超过合同价格的</w:t>
      </w:r>
      <w:r>
        <w:rPr>
          <w:rFonts w:hint="eastAsia" w:ascii="宋体" w:hAnsi="宋体"/>
          <w:color w:val="000000"/>
          <w:kern w:val="0"/>
          <w:sz w:val="24"/>
          <w:u w:val="single"/>
        </w:rPr>
        <w:t xml:space="preserve"> 10% </w:t>
      </w:r>
      <w:r>
        <w:rPr>
          <w:rFonts w:hint="eastAsia" w:ascii="宋体" w:hAnsi="宋体"/>
          <w:color w:val="000000"/>
          <w:kern w:val="0"/>
          <w:sz w:val="24"/>
        </w:rPr>
        <w:t>。</w:t>
      </w:r>
    </w:p>
    <w:p w14:paraId="0A12F98D">
      <w:pPr>
        <w:snapToGrid w:val="0"/>
        <w:spacing w:line="360" w:lineRule="auto"/>
        <w:ind w:firstLine="480" w:firstLineChars="200"/>
        <w:rPr>
          <w:rFonts w:hint="eastAsia" w:ascii="宋体" w:hAnsi="宋体"/>
          <w:color w:val="000000"/>
          <w:kern w:val="0"/>
          <w:sz w:val="24"/>
        </w:rPr>
      </w:pPr>
      <w:r>
        <w:rPr>
          <w:rFonts w:hint="eastAsia" w:ascii="宋体" w:hAnsi="宋体"/>
          <w:color w:val="000000"/>
          <w:kern w:val="0"/>
          <w:sz w:val="24"/>
        </w:rPr>
        <w:t>4.乙方未按本合同和投标（响应）文件承诺提供售后服务的，</w:t>
      </w:r>
      <w:r>
        <w:rPr>
          <w:rFonts w:hint="eastAsia" w:ascii="宋体" w:hAnsi="宋体"/>
          <w:color w:val="000000"/>
          <w:kern w:val="0"/>
          <w:sz w:val="24"/>
          <w:lang w:val="en-US" w:eastAsia="zh-CN"/>
        </w:rPr>
        <w:t>每出现1次该情形的，则</w:t>
      </w:r>
      <w:r>
        <w:rPr>
          <w:rFonts w:hint="eastAsia" w:ascii="宋体" w:hAnsi="宋体"/>
          <w:color w:val="000000"/>
          <w:kern w:val="0"/>
          <w:sz w:val="24"/>
        </w:rPr>
        <w:t>乙方应按本合同价款（报酬）的</w:t>
      </w:r>
      <w:r>
        <w:rPr>
          <w:rFonts w:hint="eastAsia" w:ascii="宋体" w:hAnsi="宋体"/>
          <w:color w:val="000000"/>
          <w:kern w:val="0"/>
          <w:sz w:val="24"/>
          <w:u w:val="single"/>
        </w:rPr>
        <w:t xml:space="preserve"> 1 </w:t>
      </w:r>
      <w:r>
        <w:rPr>
          <w:rFonts w:hint="eastAsia" w:ascii="宋体" w:hAnsi="宋体"/>
          <w:color w:val="000000"/>
          <w:kern w:val="0"/>
          <w:sz w:val="24"/>
        </w:rPr>
        <w:t>%向甲方支付违约金。</w:t>
      </w:r>
    </w:p>
    <w:p w14:paraId="14FC52FE">
      <w:pPr>
        <w:snapToGrid w:val="0"/>
        <w:spacing w:line="360" w:lineRule="auto"/>
        <w:ind w:firstLine="480" w:firstLineChars="200"/>
        <w:rPr>
          <w:rFonts w:hint="eastAsia" w:ascii="宋体" w:hAnsi="宋体"/>
          <w:color w:val="000000"/>
          <w:kern w:val="0"/>
          <w:sz w:val="24"/>
        </w:rPr>
      </w:pPr>
      <w:r>
        <w:rPr>
          <w:rFonts w:hint="eastAsia" w:ascii="宋体" w:hAnsi="宋体"/>
          <w:color w:val="000000"/>
          <w:kern w:val="0"/>
          <w:sz w:val="24"/>
        </w:rPr>
        <w:t>5.因某一方原因导致变更、中止或者终止政府采购合同的，该方应当对另一方受到的损失予以赔偿或者补偿。</w:t>
      </w:r>
    </w:p>
    <w:p w14:paraId="63827EC9">
      <w:pPr>
        <w:snapToGrid w:val="0"/>
        <w:spacing w:line="360" w:lineRule="auto"/>
        <w:ind w:firstLine="480" w:firstLineChars="200"/>
        <w:rPr>
          <w:rFonts w:hint="eastAsia" w:ascii="宋体" w:hAnsi="宋体"/>
          <w:color w:val="000000"/>
          <w:kern w:val="0"/>
          <w:sz w:val="24"/>
        </w:rPr>
      </w:pPr>
      <w:r>
        <w:rPr>
          <w:rFonts w:hint="eastAsia" w:ascii="宋体" w:hAnsi="宋体"/>
          <w:color w:val="000000"/>
          <w:kern w:val="0"/>
          <w:sz w:val="24"/>
        </w:rPr>
        <w:t>6.其它违约责任按《中华人民共和国民法典》处理。</w:t>
      </w:r>
    </w:p>
    <w:p w14:paraId="2F0899AA">
      <w:pPr>
        <w:snapToGrid w:val="0"/>
        <w:spacing w:line="360" w:lineRule="auto"/>
        <w:ind w:firstLine="480" w:firstLineChars="200"/>
        <w:rPr>
          <w:rFonts w:hint="default" w:ascii="宋体" w:hAnsi="宋体" w:eastAsia="宋体"/>
          <w:color w:val="000000"/>
          <w:kern w:val="0"/>
          <w:sz w:val="24"/>
          <w:lang w:val="en-US" w:eastAsia="zh-CN"/>
        </w:rPr>
      </w:pPr>
      <w:r>
        <w:rPr>
          <w:rFonts w:hint="eastAsia" w:ascii="宋体" w:hAnsi="宋体"/>
          <w:color w:val="000000"/>
          <w:kern w:val="0"/>
          <w:sz w:val="24"/>
          <w:lang w:val="en-US" w:eastAsia="zh-CN"/>
        </w:rPr>
        <w:t>7.本合同所称的损失，违约责任，除明确约定以外，还包括但不限于甲方因维权而支出的诉讼费、保全费、因财产保全产生的保函费、差旅费、律师费等。</w:t>
      </w:r>
    </w:p>
    <w:p w14:paraId="77FBDBDB">
      <w:pPr>
        <w:snapToGrid w:val="0"/>
        <w:spacing w:line="360" w:lineRule="auto"/>
        <w:ind w:firstLine="472" w:firstLineChars="196"/>
        <w:rPr>
          <w:rFonts w:hint="eastAsia" w:ascii="宋体" w:hAnsi="宋体"/>
          <w:b/>
          <w:color w:val="000000"/>
          <w:kern w:val="0"/>
          <w:sz w:val="24"/>
        </w:rPr>
      </w:pPr>
      <w:r>
        <w:rPr>
          <w:rFonts w:hint="eastAsia" w:ascii="宋体" w:hAnsi="宋体"/>
          <w:b/>
          <w:color w:val="000000"/>
          <w:kern w:val="0"/>
          <w:sz w:val="24"/>
        </w:rPr>
        <w:t>第十一条  不可抗力事件处理</w:t>
      </w:r>
    </w:p>
    <w:p w14:paraId="142E5D3E">
      <w:pPr>
        <w:snapToGrid w:val="0"/>
        <w:spacing w:line="360" w:lineRule="auto"/>
        <w:ind w:firstLine="480" w:firstLineChars="200"/>
        <w:rPr>
          <w:rFonts w:hint="eastAsia" w:ascii="宋体" w:hAnsi="宋体"/>
          <w:color w:val="000000"/>
          <w:kern w:val="0"/>
          <w:sz w:val="24"/>
        </w:rPr>
      </w:pPr>
      <w:r>
        <w:rPr>
          <w:rFonts w:hint="eastAsia" w:ascii="宋体" w:hAnsi="宋体"/>
          <w:color w:val="000000"/>
          <w:kern w:val="0"/>
          <w:sz w:val="24"/>
        </w:rPr>
        <w:t>1.在合同有效期内，任何一方因不可抗力事件导致不能履行合同，则合同履行期可延长，其延长期与不可抗力影响期相同。</w:t>
      </w:r>
    </w:p>
    <w:p w14:paraId="51BBD097">
      <w:pPr>
        <w:snapToGrid w:val="0"/>
        <w:spacing w:line="360" w:lineRule="auto"/>
        <w:ind w:firstLine="480" w:firstLineChars="200"/>
        <w:rPr>
          <w:rFonts w:hint="eastAsia" w:ascii="宋体" w:hAnsi="宋体"/>
          <w:color w:val="000000"/>
          <w:kern w:val="0"/>
          <w:sz w:val="24"/>
        </w:rPr>
      </w:pPr>
      <w:r>
        <w:rPr>
          <w:rFonts w:hint="eastAsia" w:ascii="宋体" w:hAnsi="宋体"/>
          <w:color w:val="000000"/>
          <w:kern w:val="0"/>
          <w:sz w:val="24"/>
        </w:rPr>
        <w:t>2.不可抗力事件发生后，应立即通知对方，并寄送有关权威机构出具的证明。</w:t>
      </w:r>
    </w:p>
    <w:p w14:paraId="2D3E0C1F">
      <w:pPr>
        <w:snapToGrid w:val="0"/>
        <w:spacing w:line="360" w:lineRule="auto"/>
        <w:ind w:firstLine="480" w:firstLineChars="200"/>
        <w:rPr>
          <w:rFonts w:hint="eastAsia" w:ascii="宋体" w:hAnsi="宋体"/>
          <w:color w:val="000000"/>
          <w:sz w:val="24"/>
        </w:rPr>
      </w:pPr>
      <w:r>
        <w:rPr>
          <w:rFonts w:hint="eastAsia" w:ascii="宋体" w:hAnsi="宋体"/>
          <w:color w:val="000000"/>
          <w:sz w:val="24"/>
        </w:rPr>
        <w:t>3.不可抗力事件延续一百二十天以上，双方应通过友好协商，确定是否继续履行合同。</w:t>
      </w:r>
    </w:p>
    <w:p w14:paraId="4063BDE1">
      <w:pPr>
        <w:snapToGrid w:val="0"/>
        <w:spacing w:line="360" w:lineRule="auto"/>
        <w:ind w:firstLine="482" w:firstLineChars="200"/>
        <w:rPr>
          <w:rFonts w:hint="eastAsia" w:ascii="宋体" w:hAnsi="宋体"/>
          <w:color w:val="000000"/>
          <w:sz w:val="24"/>
        </w:rPr>
      </w:pPr>
      <w:r>
        <w:rPr>
          <w:rFonts w:hint="eastAsia" w:ascii="宋体" w:hAnsi="宋体"/>
          <w:b/>
          <w:color w:val="000000"/>
          <w:sz w:val="24"/>
        </w:rPr>
        <w:t>第十二条  合同争议解决</w:t>
      </w:r>
    </w:p>
    <w:p w14:paraId="4D78388E">
      <w:pPr>
        <w:snapToGrid w:val="0"/>
        <w:spacing w:line="360" w:lineRule="auto"/>
        <w:ind w:firstLine="480" w:firstLineChars="200"/>
        <w:rPr>
          <w:rFonts w:hint="eastAsia" w:ascii="宋体" w:hAnsi="宋体"/>
          <w:color w:val="000000"/>
          <w:sz w:val="24"/>
        </w:rPr>
      </w:pPr>
      <w:r>
        <w:rPr>
          <w:rFonts w:hint="eastAsia" w:ascii="宋体" w:hAnsi="宋体"/>
          <w:color w:val="000000"/>
          <w:sz w:val="24"/>
        </w:rPr>
        <w:t>1.因货物质量问题发生争议的，应邀请国家认可的质量检测机构对货物质量进行鉴定。货物符合标准的，鉴定费由甲方承担；货物不符合标准的，鉴定费由乙方承担。一方对货物质量有争议，但另一方不配合进行检测的，对货物质量有争议的一方有权自行选择有相应检测资质的检测部门进行质量确认，并按前述约定确定检测费承担主体。</w:t>
      </w:r>
    </w:p>
    <w:p w14:paraId="181E74EF">
      <w:pPr>
        <w:autoSpaceDE w:val="0"/>
        <w:autoSpaceDN w:val="0"/>
        <w:adjustRightInd w:val="0"/>
        <w:spacing w:line="360" w:lineRule="auto"/>
        <w:ind w:left="100" w:right="42" w:firstLine="420"/>
        <w:rPr>
          <w:rFonts w:hint="eastAsia" w:ascii="宋体" w:hAnsi="宋体"/>
          <w:color w:val="000000"/>
          <w:sz w:val="24"/>
        </w:rPr>
      </w:pPr>
      <w:r>
        <w:rPr>
          <w:rFonts w:hint="eastAsia" w:ascii="宋体" w:hAnsi="宋体"/>
          <w:color w:val="000000"/>
          <w:sz w:val="24"/>
        </w:rPr>
        <w:t>2.因履行本合同引起的或者与本合同有关的争议，甲乙双方应首先通过友好协商解决，如果协商不能解决，向甲方所在地</w:t>
      </w:r>
      <w:r>
        <w:rPr>
          <w:rFonts w:hint="eastAsia" w:ascii="宋体" w:hAnsi="宋体"/>
          <w:color w:val="000000"/>
          <w:sz w:val="24"/>
          <w:lang w:val="en-US" w:eastAsia="zh-CN"/>
        </w:rPr>
        <w:t>的人民法院</w:t>
      </w:r>
      <w:r>
        <w:rPr>
          <w:rFonts w:hint="eastAsia" w:ascii="宋体" w:hAnsi="宋体"/>
          <w:color w:val="000000"/>
          <w:sz w:val="24"/>
        </w:rPr>
        <w:t>提起诉讼。</w:t>
      </w:r>
    </w:p>
    <w:p w14:paraId="6378A407">
      <w:pPr>
        <w:snapToGrid w:val="0"/>
        <w:spacing w:line="360" w:lineRule="auto"/>
        <w:ind w:firstLine="482" w:firstLineChars="200"/>
        <w:rPr>
          <w:rFonts w:hint="eastAsia" w:ascii="宋体" w:hAnsi="宋体"/>
          <w:b/>
          <w:color w:val="000000"/>
          <w:sz w:val="24"/>
        </w:rPr>
      </w:pPr>
      <w:r>
        <w:rPr>
          <w:rFonts w:hint="eastAsia" w:ascii="宋体" w:hAnsi="宋体"/>
          <w:b/>
          <w:color w:val="000000"/>
          <w:sz w:val="24"/>
        </w:rPr>
        <w:t>第十三条　合同的变更、中止或者终止</w:t>
      </w:r>
    </w:p>
    <w:p w14:paraId="26398B05">
      <w:pPr>
        <w:snapToGrid w:val="0"/>
        <w:spacing w:line="360" w:lineRule="auto"/>
        <w:ind w:firstLine="480" w:firstLineChars="200"/>
        <w:rPr>
          <w:rFonts w:hint="eastAsia" w:ascii="宋体" w:hAnsi="宋体"/>
          <w:color w:val="000000"/>
          <w:sz w:val="24"/>
        </w:rPr>
      </w:pPr>
      <w:r>
        <w:rPr>
          <w:rFonts w:hint="eastAsia" w:ascii="宋体" w:hAnsi="宋体"/>
          <w:color w:val="000000"/>
          <w:sz w:val="24"/>
        </w:rPr>
        <w:t>1. 除《中华人民共和国政府采购法》第五十条规定的情形外，本合同一经签订，甲乙双方不得擅自变更、中止或者终止合同。</w:t>
      </w:r>
    </w:p>
    <w:p w14:paraId="0896F691">
      <w:pPr>
        <w:spacing w:after="120" w:line="360" w:lineRule="auto"/>
        <w:ind w:firstLine="480" w:firstLineChars="200"/>
        <w:rPr>
          <w:rFonts w:hint="eastAsia" w:ascii="宋体" w:hAnsi="宋体"/>
          <w:color w:val="000000"/>
          <w:sz w:val="24"/>
        </w:rPr>
      </w:pPr>
      <w:r>
        <w:rPr>
          <w:rFonts w:hint="eastAsia" w:ascii="宋体" w:hAnsi="宋体"/>
          <w:color w:val="000000"/>
          <w:sz w:val="24"/>
        </w:rPr>
        <w:t>2.采购合同继续履行将损害国家利益和社会公共利益的，双方当事人应当变更、中止或者终止合同。有过错的一方应当承担赔偿责任，双方都有过错的，各自承担相应的责任。</w:t>
      </w:r>
    </w:p>
    <w:p w14:paraId="227DD18C">
      <w:pPr>
        <w:snapToGrid w:val="0"/>
        <w:spacing w:line="360" w:lineRule="auto"/>
        <w:ind w:firstLine="482" w:firstLineChars="200"/>
        <w:rPr>
          <w:rFonts w:hint="eastAsia" w:ascii="宋体" w:hAnsi="宋体"/>
          <w:b/>
          <w:color w:val="000000"/>
          <w:sz w:val="24"/>
        </w:rPr>
      </w:pPr>
      <w:r>
        <w:rPr>
          <w:rFonts w:hint="eastAsia" w:ascii="宋体" w:hAnsi="宋体"/>
          <w:b/>
          <w:color w:val="000000"/>
          <w:sz w:val="24"/>
        </w:rPr>
        <w:t>第十四条　</w:t>
      </w:r>
      <w:r>
        <w:rPr>
          <w:rFonts w:hint="eastAsia" w:ascii="宋体" w:hAnsi="宋体" w:cs="微软雅黑"/>
          <w:b/>
          <w:color w:val="000000"/>
          <w:kern w:val="0"/>
          <w:sz w:val="24"/>
        </w:rPr>
        <w:t>合</w:t>
      </w:r>
      <w:r>
        <w:rPr>
          <w:rFonts w:hint="eastAsia" w:ascii="宋体" w:hAnsi="宋体" w:cs="微软雅黑"/>
          <w:b/>
          <w:color w:val="000000"/>
          <w:spacing w:val="-2"/>
          <w:kern w:val="0"/>
          <w:sz w:val="24"/>
        </w:rPr>
        <w:t>同</w:t>
      </w:r>
      <w:r>
        <w:rPr>
          <w:rFonts w:hint="eastAsia" w:ascii="宋体" w:hAnsi="宋体" w:cs="微软雅黑"/>
          <w:b/>
          <w:color w:val="000000"/>
          <w:kern w:val="0"/>
          <w:sz w:val="24"/>
        </w:rPr>
        <w:t>文</w:t>
      </w:r>
      <w:r>
        <w:rPr>
          <w:rFonts w:hint="eastAsia" w:ascii="宋体" w:hAnsi="宋体" w:cs="微软雅黑"/>
          <w:b/>
          <w:color w:val="000000"/>
          <w:spacing w:val="-2"/>
          <w:kern w:val="0"/>
          <w:sz w:val="24"/>
        </w:rPr>
        <w:t>件构成</w:t>
      </w:r>
    </w:p>
    <w:p w14:paraId="4FDCBC87">
      <w:pPr>
        <w:snapToGrid w:val="0"/>
        <w:spacing w:line="360" w:lineRule="auto"/>
        <w:ind w:left="420" w:leftChars="200"/>
        <w:rPr>
          <w:rFonts w:hint="eastAsia" w:ascii="宋体" w:hAnsi="宋体"/>
          <w:color w:val="000000"/>
          <w:kern w:val="0"/>
          <w:sz w:val="24"/>
        </w:rPr>
      </w:pPr>
      <w:r>
        <w:rPr>
          <w:rFonts w:hint="eastAsia" w:ascii="宋体" w:hAnsi="宋体"/>
          <w:color w:val="000000"/>
          <w:kern w:val="0"/>
          <w:sz w:val="24"/>
        </w:rPr>
        <w:t>1.政府采购合同</w:t>
      </w:r>
    </w:p>
    <w:p w14:paraId="62396A9F">
      <w:pPr>
        <w:snapToGrid w:val="0"/>
        <w:spacing w:line="360" w:lineRule="auto"/>
        <w:ind w:left="420" w:leftChars="200"/>
        <w:rPr>
          <w:rFonts w:hint="eastAsia" w:ascii="宋体" w:hAnsi="宋体"/>
          <w:color w:val="000000"/>
          <w:kern w:val="0"/>
          <w:sz w:val="24"/>
        </w:rPr>
      </w:pPr>
      <w:r>
        <w:rPr>
          <w:rFonts w:hint="eastAsia" w:ascii="宋体" w:hAnsi="宋体"/>
          <w:color w:val="000000"/>
          <w:kern w:val="0"/>
          <w:sz w:val="24"/>
        </w:rPr>
        <w:t>2.中标（成交）通知书；</w:t>
      </w:r>
    </w:p>
    <w:p w14:paraId="4FBC3EF6">
      <w:pPr>
        <w:snapToGrid w:val="0"/>
        <w:spacing w:line="360" w:lineRule="auto"/>
        <w:ind w:left="420" w:leftChars="200"/>
        <w:rPr>
          <w:rFonts w:hint="eastAsia" w:ascii="宋体" w:hAnsi="宋体"/>
          <w:color w:val="000000"/>
          <w:kern w:val="0"/>
          <w:sz w:val="24"/>
        </w:rPr>
      </w:pPr>
      <w:r>
        <w:rPr>
          <w:rFonts w:hint="eastAsia" w:ascii="宋体" w:hAnsi="宋体"/>
          <w:color w:val="000000"/>
          <w:kern w:val="0"/>
          <w:sz w:val="24"/>
        </w:rPr>
        <w:t>3.投标（响应）文件；</w:t>
      </w:r>
    </w:p>
    <w:p w14:paraId="03C83E1C">
      <w:pPr>
        <w:snapToGrid w:val="0"/>
        <w:spacing w:line="360" w:lineRule="auto"/>
        <w:ind w:left="420" w:leftChars="200"/>
        <w:rPr>
          <w:rFonts w:hint="eastAsia" w:ascii="宋体" w:hAnsi="宋体"/>
          <w:color w:val="000000"/>
          <w:kern w:val="0"/>
          <w:sz w:val="24"/>
        </w:rPr>
      </w:pPr>
      <w:r>
        <w:rPr>
          <w:rFonts w:hint="eastAsia" w:ascii="宋体" w:hAnsi="宋体"/>
          <w:color w:val="000000"/>
          <w:kern w:val="0"/>
          <w:sz w:val="24"/>
        </w:rPr>
        <w:t>4.采购文件及更正公告（澄清或补充通知）；</w:t>
      </w:r>
    </w:p>
    <w:p w14:paraId="34036A60">
      <w:pPr>
        <w:snapToGrid w:val="0"/>
        <w:spacing w:line="360" w:lineRule="auto"/>
        <w:ind w:left="420" w:leftChars="200"/>
        <w:rPr>
          <w:rFonts w:hint="eastAsia" w:ascii="宋体" w:hAnsi="宋体"/>
          <w:color w:val="000000"/>
          <w:kern w:val="0"/>
          <w:sz w:val="24"/>
        </w:rPr>
      </w:pPr>
      <w:r>
        <w:rPr>
          <w:rFonts w:hint="eastAsia" w:ascii="宋体" w:hAnsi="宋体"/>
          <w:color w:val="000000"/>
          <w:kern w:val="0"/>
          <w:sz w:val="24"/>
        </w:rPr>
        <w:t>5.标准、规范及有关技术文件；</w:t>
      </w:r>
    </w:p>
    <w:p w14:paraId="0214B32E">
      <w:pPr>
        <w:snapToGrid w:val="0"/>
        <w:spacing w:line="360" w:lineRule="auto"/>
        <w:ind w:left="420" w:leftChars="200"/>
        <w:rPr>
          <w:rFonts w:hint="eastAsia" w:ascii="宋体" w:hAnsi="宋体"/>
          <w:color w:val="000000"/>
          <w:kern w:val="0"/>
          <w:sz w:val="24"/>
        </w:rPr>
      </w:pPr>
      <w:r>
        <w:rPr>
          <w:rFonts w:hint="eastAsia" w:ascii="宋体" w:hAnsi="宋体"/>
          <w:color w:val="000000"/>
          <w:kern w:val="0"/>
          <w:sz w:val="24"/>
        </w:rPr>
        <w:t>6.双方约定的其他合同文件。</w:t>
      </w:r>
    </w:p>
    <w:p w14:paraId="6F2A9811">
      <w:pPr>
        <w:snapToGrid w:val="0"/>
        <w:spacing w:line="360" w:lineRule="auto"/>
        <w:ind w:firstLine="480" w:firstLineChars="200"/>
        <w:rPr>
          <w:rFonts w:hint="eastAsia" w:ascii="宋体" w:hAnsi="宋体"/>
          <w:color w:val="000000"/>
          <w:kern w:val="0"/>
          <w:sz w:val="24"/>
        </w:rPr>
      </w:pPr>
      <w:r>
        <w:rPr>
          <w:rFonts w:hint="eastAsia" w:ascii="宋体" w:hAnsi="宋体"/>
          <w:color w:val="000000"/>
          <w:kern w:val="0"/>
          <w:sz w:val="24"/>
        </w:rPr>
        <w:t>上述合同文件互相补充和解释。如果合同文件之间存在矛盾或者不一致之处，以上述文件的排列顺序在先者为准。</w:t>
      </w:r>
    </w:p>
    <w:p w14:paraId="5018B266">
      <w:pPr>
        <w:snapToGrid w:val="0"/>
        <w:spacing w:line="360" w:lineRule="auto"/>
        <w:ind w:firstLine="482" w:firstLineChars="200"/>
        <w:rPr>
          <w:rFonts w:hint="eastAsia" w:ascii="宋体" w:hAnsi="宋体"/>
          <w:color w:val="000000"/>
          <w:sz w:val="24"/>
        </w:rPr>
      </w:pPr>
      <w:r>
        <w:rPr>
          <w:rFonts w:hint="eastAsia" w:ascii="宋体" w:hAnsi="宋体"/>
          <w:b/>
          <w:color w:val="000000"/>
          <w:sz w:val="24"/>
        </w:rPr>
        <w:t>第</w:t>
      </w:r>
      <w:r>
        <w:rPr>
          <w:rFonts w:hint="eastAsia" w:hAnsi="宋体"/>
          <w:b/>
          <w:color w:val="000000"/>
          <w:sz w:val="24"/>
        </w:rPr>
        <w:t>十五</w:t>
      </w:r>
      <w:r>
        <w:rPr>
          <w:rFonts w:hint="eastAsia" w:ascii="宋体" w:hAnsi="宋体"/>
          <w:b/>
          <w:color w:val="000000"/>
          <w:sz w:val="24"/>
        </w:rPr>
        <w:t>条　知识产权和保密要求</w:t>
      </w:r>
    </w:p>
    <w:p w14:paraId="5E80C4F3">
      <w:pPr>
        <w:snapToGrid w:val="0"/>
        <w:spacing w:line="360" w:lineRule="auto"/>
        <w:ind w:firstLine="480" w:firstLineChars="200"/>
        <w:rPr>
          <w:rFonts w:hint="eastAsia" w:ascii="宋体" w:hAnsi="宋体"/>
          <w:color w:val="000000"/>
          <w:sz w:val="24"/>
        </w:rPr>
      </w:pPr>
      <w:r>
        <w:rPr>
          <w:rFonts w:hint="eastAsia" w:ascii="宋体" w:hAnsi="宋体"/>
          <w:color w:val="000000"/>
          <w:sz w:val="24"/>
        </w:rPr>
        <w:t>1.甲方在履行合同过程中提供给乙方的全部图纸、文件和其他含有数据和信息的资料，其知识产权属于甲方。</w:t>
      </w:r>
    </w:p>
    <w:p w14:paraId="0D108C93">
      <w:pPr>
        <w:snapToGrid w:val="0"/>
        <w:spacing w:line="360" w:lineRule="auto"/>
        <w:ind w:firstLine="480" w:firstLineChars="200"/>
        <w:rPr>
          <w:rFonts w:hint="eastAsia" w:ascii="宋体" w:hAnsi="宋体"/>
          <w:color w:val="000000"/>
          <w:sz w:val="24"/>
        </w:rPr>
      </w:pPr>
      <w:r>
        <w:rPr>
          <w:rFonts w:hint="eastAsia" w:ascii="宋体" w:hAnsi="宋体"/>
          <w:color w:val="000000"/>
          <w:sz w:val="24"/>
        </w:rPr>
        <w:t>2.除采购文件采购需求另有约定外，甲方不因签署和履行合同而享有乙方在履行合同过程中提供给甲方的图纸、文件、配套软件、电子辅助程序和其他含有数据和信息的资料的知识产权。</w:t>
      </w:r>
    </w:p>
    <w:p w14:paraId="4EEDA544">
      <w:pPr>
        <w:snapToGrid w:val="0"/>
        <w:spacing w:line="360" w:lineRule="auto"/>
        <w:ind w:firstLine="480" w:firstLineChars="200"/>
        <w:rPr>
          <w:rFonts w:hint="eastAsia" w:ascii="宋体" w:hAnsi="宋体"/>
          <w:color w:val="000000"/>
          <w:sz w:val="24"/>
        </w:rPr>
      </w:pPr>
      <w:r>
        <w:rPr>
          <w:rFonts w:hint="eastAsia" w:ascii="宋体" w:hAnsi="宋体"/>
          <w:color w:val="000000"/>
          <w:sz w:val="24"/>
        </w:rPr>
        <w:t>3.乙方应保证所提供货物在使用时不会侵犯任何第三方的知识产权或者其他权利。如合同货物涉及知识产权，则乙方保证甲方在使用合同货物过程中免于受到第三方提出的有关知识产权侵权的主张、索赔或诉讼的伤害。</w:t>
      </w:r>
    </w:p>
    <w:p w14:paraId="0DE9EE95">
      <w:pPr>
        <w:snapToGrid w:val="0"/>
        <w:spacing w:line="360" w:lineRule="auto"/>
        <w:ind w:firstLine="480" w:firstLineChars="200"/>
        <w:rPr>
          <w:rFonts w:hint="eastAsia" w:ascii="宋体" w:hAnsi="宋体"/>
          <w:color w:val="000000"/>
          <w:sz w:val="24"/>
        </w:rPr>
      </w:pPr>
      <w:r>
        <w:rPr>
          <w:rFonts w:hint="eastAsia" w:ascii="宋体" w:hAnsi="宋体"/>
          <w:color w:val="000000"/>
          <w:sz w:val="24"/>
        </w:rPr>
        <w:t>4.如果甲方收到任何第三方有关知识产权的主张、索赔或诉讼，乙方在收到甲方通知后， 应以甲方名义并在甲方的协助下，自负费用处理与第三方的索赔或诉讼，并赔偿甲方因此发生的费用和遭受的损失。如果乙方拒绝处理前述索赔或诉讼或在收到甲方通知后</w:t>
      </w:r>
      <w:r>
        <w:rPr>
          <w:rFonts w:ascii="宋体" w:hAnsi="宋体"/>
          <w:color w:val="000000"/>
          <w:sz w:val="24"/>
        </w:rPr>
        <w:t>28</w:t>
      </w:r>
      <w:r>
        <w:rPr>
          <w:rFonts w:hint="eastAsia" w:ascii="宋体" w:hAnsi="宋体"/>
          <w:color w:val="000000"/>
          <w:sz w:val="24"/>
        </w:rPr>
        <w:t>日内未作表示，甲方可以自己的名义进行这些索赔或诉讼，因此发生的费用和遭受的损失均应由乙方承担。</w:t>
      </w:r>
    </w:p>
    <w:p w14:paraId="62728B8A">
      <w:pPr>
        <w:snapToGrid w:val="0"/>
        <w:spacing w:line="360" w:lineRule="auto"/>
        <w:ind w:firstLine="480" w:firstLineChars="200"/>
        <w:rPr>
          <w:rFonts w:hint="eastAsia" w:ascii="宋体" w:hAnsi="宋体"/>
          <w:color w:val="000000"/>
          <w:sz w:val="24"/>
        </w:rPr>
      </w:pPr>
      <w:r>
        <w:rPr>
          <w:rFonts w:hint="eastAsia" w:ascii="宋体" w:hAnsi="宋体"/>
          <w:color w:val="000000"/>
          <w:sz w:val="24"/>
        </w:rPr>
        <w:t>5.未经甲方书面同意，乙方不得将由甲方提供的有关合同或者任何合同条款、规格、计划、图纸、样品或者资料提供给与履行本合同无关的任何其他人。即使向履行本合同有关的其他人员提供，也应注意保密并限于履行合同的必需范围。</w:t>
      </w:r>
    </w:p>
    <w:p w14:paraId="5F601CED">
      <w:pPr>
        <w:snapToGrid w:val="0"/>
        <w:spacing w:line="360" w:lineRule="auto"/>
        <w:ind w:firstLine="480" w:firstLineChars="200"/>
        <w:rPr>
          <w:rFonts w:hint="eastAsia" w:ascii="宋体" w:hAnsi="宋体"/>
          <w:color w:val="000000"/>
          <w:sz w:val="24"/>
        </w:rPr>
      </w:pPr>
      <w:r>
        <w:rPr>
          <w:rFonts w:hint="eastAsia" w:ascii="宋体" w:hAnsi="宋体"/>
          <w:color w:val="000000"/>
          <w:sz w:val="24"/>
        </w:rPr>
        <w:t>6.乙方保证将要交付的货物的所有权完全属于乙方且无任何抵押、质押、查封等产权瑕疵。</w:t>
      </w:r>
    </w:p>
    <w:p w14:paraId="05428A3E">
      <w:pPr>
        <w:snapToGrid w:val="0"/>
        <w:spacing w:line="360" w:lineRule="auto"/>
        <w:ind w:firstLine="472" w:firstLineChars="196"/>
        <w:rPr>
          <w:rFonts w:hint="eastAsia" w:ascii="宋体" w:hAnsi="宋体"/>
          <w:b/>
          <w:color w:val="000000"/>
          <w:kern w:val="0"/>
          <w:sz w:val="24"/>
        </w:rPr>
      </w:pPr>
      <w:r>
        <w:rPr>
          <w:rFonts w:hint="eastAsia" w:ascii="宋体" w:hAnsi="宋体"/>
          <w:b/>
          <w:color w:val="000000"/>
          <w:kern w:val="0"/>
          <w:sz w:val="24"/>
        </w:rPr>
        <w:t>第十六条  合同生效及其它</w:t>
      </w:r>
    </w:p>
    <w:p w14:paraId="64BE0D57">
      <w:pPr>
        <w:snapToGrid w:val="0"/>
        <w:spacing w:line="360" w:lineRule="auto"/>
        <w:ind w:firstLine="480" w:firstLineChars="200"/>
        <w:rPr>
          <w:rFonts w:hint="eastAsia" w:ascii="宋体" w:hAnsi="宋体"/>
          <w:color w:val="000000"/>
          <w:kern w:val="0"/>
          <w:sz w:val="24"/>
        </w:rPr>
      </w:pPr>
      <w:r>
        <w:rPr>
          <w:rFonts w:hint="eastAsia" w:ascii="宋体" w:hAnsi="宋体"/>
          <w:color w:val="000000"/>
          <w:kern w:val="0"/>
          <w:sz w:val="24"/>
        </w:rPr>
        <w:t>1.合同经双方法定代表人或者委托代理人签字并加盖单位公章后生效（委托代理人签字的需后附授权委托书，格式自拟）。</w:t>
      </w:r>
    </w:p>
    <w:p w14:paraId="6A12B1DF">
      <w:pPr>
        <w:spacing w:after="120" w:line="360" w:lineRule="auto"/>
        <w:ind w:firstLine="480" w:firstLineChars="200"/>
        <w:rPr>
          <w:rFonts w:hint="eastAsia" w:ascii="宋体" w:hAnsi="宋体"/>
          <w:color w:val="000000"/>
          <w:sz w:val="24"/>
        </w:rPr>
      </w:pPr>
      <w:r>
        <w:rPr>
          <w:rFonts w:hint="eastAsia" w:ascii="宋体" w:hAnsi="宋体"/>
          <w:color w:val="000000"/>
          <w:sz w:val="24"/>
        </w:rPr>
        <w:t>2.合同执行中涉及采购资金和采购内容修改或者补充的，并签书面补充协议报财政部门备案，方可作为主合同不可分割的一部分。</w:t>
      </w:r>
    </w:p>
    <w:p w14:paraId="6A3EAE19">
      <w:pPr>
        <w:spacing w:after="120" w:line="360" w:lineRule="auto"/>
        <w:ind w:firstLine="480" w:firstLineChars="200"/>
        <w:rPr>
          <w:rFonts w:hint="eastAsia" w:ascii="宋体" w:hAnsi="宋体"/>
          <w:color w:val="000000"/>
          <w:sz w:val="24"/>
        </w:rPr>
      </w:pPr>
      <w:r>
        <w:rPr>
          <w:rFonts w:hint="eastAsia" w:ascii="宋体" w:hAnsi="宋体"/>
          <w:color w:val="000000"/>
          <w:sz w:val="24"/>
        </w:rPr>
        <w:t>3.合同生效后，甲乙双方不得因姓名、名称的变更或者法定代表人、负责人、承办人的变动而不履行合同义务。</w:t>
      </w:r>
    </w:p>
    <w:p w14:paraId="01A9D91E">
      <w:pPr>
        <w:snapToGrid w:val="0"/>
        <w:spacing w:line="360" w:lineRule="auto"/>
        <w:ind w:left="420" w:leftChars="200"/>
        <w:rPr>
          <w:rFonts w:hint="eastAsia" w:ascii="宋体" w:hAnsi="宋体"/>
          <w:color w:val="000000"/>
          <w:kern w:val="0"/>
          <w:sz w:val="24"/>
        </w:rPr>
      </w:pPr>
      <w:r>
        <w:rPr>
          <w:rFonts w:hint="eastAsia" w:ascii="宋体" w:hAnsi="宋体"/>
          <w:color w:val="000000"/>
          <w:kern w:val="0"/>
          <w:sz w:val="24"/>
        </w:rPr>
        <w:t>4.本合同未尽事宜，遵照《中华人民共和国民法典》有关条文执行。</w:t>
      </w:r>
    </w:p>
    <w:p w14:paraId="6BFAF3D1">
      <w:pPr>
        <w:snapToGrid w:val="0"/>
        <w:spacing w:line="360" w:lineRule="auto"/>
        <w:ind w:firstLine="480" w:firstLineChars="200"/>
        <w:rPr>
          <w:rFonts w:hint="eastAsia" w:ascii="宋体" w:hAnsi="宋体"/>
          <w:color w:val="000000"/>
          <w:sz w:val="24"/>
        </w:rPr>
      </w:pPr>
      <w:r>
        <w:rPr>
          <w:rFonts w:hint="eastAsia" w:ascii="宋体" w:hAnsi="宋体"/>
          <w:color w:val="000000"/>
          <w:sz w:val="24"/>
        </w:rPr>
        <w:t>5.本合同一式</w:t>
      </w:r>
      <w:r>
        <w:rPr>
          <w:rFonts w:hint="eastAsia" w:ascii="宋体" w:hAnsi="宋体"/>
          <w:color w:val="000000"/>
          <w:sz w:val="24"/>
          <w:u w:val="single"/>
        </w:rPr>
        <w:t>伍</w:t>
      </w:r>
      <w:r>
        <w:rPr>
          <w:rFonts w:hint="eastAsia" w:ascii="宋体" w:hAnsi="宋体"/>
          <w:color w:val="000000"/>
          <w:sz w:val="24"/>
        </w:rPr>
        <w:t>份，具有同等法律效力，财政部门（政府采购监管部门）、采购代理机构各壹份，甲方执贰份，乙方执贰份</w:t>
      </w:r>
      <w:r>
        <w:rPr>
          <w:rFonts w:hint="eastAsia" w:ascii="宋体" w:hAnsi="宋体"/>
          <w:i/>
          <w:color w:val="000000"/>
          <w:sz w:val="24"/>
        </w:rPr>
        <w:t>（可根据需要另增加）</w:t>
      </w:r>
      <w:r>
        <w:rPr>
          <w:rFonts w:hint="eastAsia" w:ascii="宋体" w:hAnsi="宋体"/>
          <w:color w:val="000000"/>
          <w:sz w:val="24"/>
        </w:rPr>
        <w:t>。</w:t>
      </w:r>
    </w:p>
    <w:tbl>
      <w:tblPr>
        <w:tblStyle w:val="24"/>
        <w:tblpPr w:leftFromText="180" w:rightFromText="180" w:vertAnchor="text" w:horzAnchor="page" w:tblpX="1454" w:tblpY="32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6"/>
        <w:gridCol w:w="4517"/>
      </w:tblGrid>
      <w:tr w14:paraId="405EA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7" w:hRule="atLeast"/>
        </w:trPr>
        <w:tc>
          <w:tcPr>
            <w:tcW w:w="4516" w:type="dxa"/>
            <w:vAlign w:val="center"/>
          </w:tcPr>
          <w:p w14:paraId="1568814E">
            <w:pPr>
              <w:snapToGrid w:val="0"/>
              <w:spacing w:line="360" w:lineRule="auto"/>
              <w:rPr>
                <w:rFonts w:hint="eastAsia" w:ascii="宋体" w:hAnsi="宋体"/>
                <w:sz w:val="24"/>
              </w:rPr>
            </w:pPr>
            <w:r>
              <w:rPr>
                <w:rFonts w:hint="eastAsia" w:ascii="宋体" w:hAnsi="宋体"/>
                <w:sz w:val="24"/>
              </w:rPr>
              <w:t xml:space="preserve">甲方（章）           </w:t>
            </w:r>
          </w:p>
          <w:p w14:paraId="65354D66">
            <w:pPr>
              <w:snapToGrid w:val="0"/>
              <w:spacing w:line="360" w:lineRule="auto"/>
              <w:ind w:firstLine="1080" w:firstLineChars="450"/>
              <w:jc w:val="right"/>
              <w:rPr>
                <w:rFonts w:hint="eastAsia" w:ascii="宋体" w:hAnsi="宋体"/>
                <w:sz w:val="24"/>
              </w:rPr>
            </w:pPr>
            <w:r>
              <w:rPr>
                <w:rFonts w:hint="eastAsia" w:ascii="宋体" w:hAnsi="宋体"/>
                <w:sz w:val="24"/>
              </w:rPr>
              <w:t>年   月   日</w:t>
            </w:r>
          </w:p>
        </w:tc>
        <w:tc>
          <w:tcPr>
            <w:tcW w:w="4517" w:type="dxa"/>
            <w:vAlign w:val="center"/>
          </w:tcPr>
          <w:p w14:paraId="48E72782">
            <w:pPr>
              <w:snapToGrid w:val="0"/>
              <w:spacing w:line="360" w:lineRule="auto"/>
              <w:rPr>
                <w:rFonts w:hint="eastAsia" w:ascii="宋体" w:hAnsi="宋体"/>
                <w:sz w:val="24"/>
              </w:rPr>
            </w:pPr>
            <w:r>
              <w:rPr>
                <w:rFonts w:hint="eastAsia" w:ascii="宋体" w:hAnsi="宋体"/>
                <w:sz w:val="24"/>
              </w:rPr>
              <w:t xml:space="preserve">乙方（章）              </w:t>
            </w:r>
          </w:p>
          <w:p w14:paraId="66E37DD1">
            <w:pPr>
              <w:snapToGrid w:val="0"/>
              <w:spacing w:line="360" w:lineRule="auto"/>
              <w:jc w:val="right"/>
              <w:rPr>
                <w:rFonts w:hint="eastAsia" w:ascii="宋体" w:hAnsi="宋体"/>
                <w:sz w:val="24"/>
              </w:rPr>
            </w:pPr>
            <w:r>
              <w:rPr>
                <w:rFonts w:hint="eastAsia" w:ascii="宋体" w:hAnsi="宋体"/>
                <w:sz w:val="24"/>
              </w:rPr>
              <w:t xml:space="preserve"> 年   月   日</w:t>
            </w:r>
          </w:p>
        </w:tc>
      </w:tr>
      <w:tr w14:paraId="045D7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trPr>
        <w:tc>
          <w:tcPr>
            <w:tcW w:w="4516" w:type="dxa"/>
            <w:vAlign w:val="center"/>
          </w:tcPr>
          <w:p w14:paraId="096F3E81">
            <w:pPr>
              <w:snapToGrid w:val="0"/>
              <w:spacing w:line="360" w:lineRule="auto"/>
              <w:rPr>
                <w:rFonts w:hint="eastAsia" w:ascii="宋体" w:hAnsi="宋体"/>
                <w:sz w:val="24"/>
              </w:rPr>
            </w:pPr>
            <w:r>
              <w:rPr>
                <w:rFonts w:hint="eastAsia" w:ascii="宋体" w:hAnsi="宋体"/>
                <w:sz w:val="24"/>
              </w:rPr>
              <w:t>单位地址：</w:t>
            </w:r>
          </w:p>
        </w:tc>
        <w:tc>
          <w:tcPr>
            <w:tcW w:w="4517" w:type="dxa"/>
            <w:vAlign w:val="center"/>
          </w:tcPr>
          <w:p w14:paraId="0BBD9DDA">
            <w:pPr>
              <w:snapToGrid w:val="0"/>
              <w:spacing w:line="360" w:lineRule="auto"/>
              <w:rPr>
                <w:rFonts w:hint="eastAsia" w:ascii="宋体" w:hAnsi="宋体"/>
                <w:sz w:val="24"/>
              </w:rPr>
            </w:pPr>
            <w:r>
              <w:rPr>
                <w:rFonts w:hint="eastAsia" w:ascii="宋体" w:hAnsi="宋体"/>
                <w:sz w:val="24"/>
              </w:rPr>
              <w:t>单位地址：</w:t>
            </w:r>
          </w:p>
        </w:tc>
      </w:tr>
      <w:tr w14:paraId="74C8A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8" w:hRule="atLeast"/>
        </w:trPr>
        <w:tc>
          <w:tcPr>
            <w:tcW w:w="4516" w:type="dxa"/>
          </w:tcPr>
          <w:p w14:paraId="1098298E">
            <w:pPr>
              <w:snapToGrid w:val="0"/>
              <w:spacing w:line="360" w:lineRule="auto"/>
              <w:rPr>
                <w:rFonts w:hint="eastAsia" w:ascii="宋体" w:hAnsi="宋体"/>
                <w:sz w:val="24"/>
              </w:rPr>
            </w:pPr>
            <w:r>
              <w:rPr>
                <w:rFonts w:hint="eastAsia" w:ascii="宋体" w:hAnsi="宋体"/>
                <w:sz w:val="24"/>
              </w:rPr>
              <w:t>法定代表人：</w:t>
            </w:r>
          </w:p>
        </w:tc>
        <w:tc>
          <w:tcPr>
            <w:tcW w:w="4517" w:type="dxa"/>
          </w:tcPr>
          <w:p w14:paraId="387ED546">
            <w:pPr>
              <w:snapToGrid w:val="0"/>
              <w:spacing w:line="360" w:lineRule="auto"/>
              <w:rPr>
                <w:rFonts w:hint="eastAsia" w:ascii="宋体" w:hAnsi="宋体"/>
                <w:sz w:val="24"/>
              </w:rPr>
            </w:pPr>
            <w:r>
              <w:rPr>
                <w:rFonts w:hint="eastAsia" w:ascii="宋体" w:hAnsi="宋体"/>
                <w:sz w:val="24"/>
              </w:rPr>
              <w:t>法定代表人：</w:t>
            </w:r>
          </w:p>
        </w:tc>
      </w:tr>
      <w:tr w14:paraId="1B996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4516" w:type="dxa"/>
            <w:vAlign w:val="center"/>
          </w:tcPr>
          <w:p w14:paraId="5132B92E">
            <w:pPr>
              <w:snapToGrid w:val="0"/>
              <w:spacing w:line="360" w:lineRule="auto"/>
              <w:rPr>
                <w:rFonts w:hint="eastAsia" w:ascii="宋体" w:hAnsi="宋体"/>
                <w:sz w:val="24"/>
              </w:rPr>
            </w:pPr>
            <w:r>
              <w:rPr>
                <w:rFonts w:hint="eastAsia" w:ascii="宋体" w:hAnsi="宋体"/>
                <w:sz w:val="24"/>
              </w:rPr>
              <w:t>电话：</w:t>
            </w:r>
          </w:p>
        </w:tc>
        <w:tc>
          <w:tcPr>
            <w:tcW w:w="4517" w:type="dxa"/>
            <w:vAlign w:val="center"/>
          </w:tcPr>
          <w:p w14:paraId="21F6FECB">
            <w:pPr>
              <w:snapToGrid w:val="0"/>
              <w:spacing w:line="360" w:lineRule="auto"/>
              <w:rPr>
                <w:rFonts w:hint="eastAsia" w:ascii="宋体" w:hAnsi="宋体"/>
                <w:sz w:val="24"/>
              </w:rPr>
            </w:pPr>
            <w:r>
              <w:rPr>
                <w:rFonts w:hint="eastAsia" w:ascii="宋体" w:hAnsi="宋体"/>
                <w:sz w:val="24"/>
              </w:rPr>
              <w:t>电话：</w:t>
            </w:r>
          </w:p>
        </w:tc>
      </w:tr>
      <w:tr w14:paraId="094D1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trPr>
        <w:tc>
          <w:tcPr>
            <w:tcW w:w="4516" w:type="dxa"/>
            <w:vAlign w:val="center"/>
          </w:tcPr>
          <w:p w14:paraId="66FDEB2E">
            <w:pPr>
              <w:snapToGrid w:val="0"/>
              <w:spacing w:line="360" w:lineRule="auto"/>
              <w:rPr>
                <w:rFonts w:hint="eastAsia" w:ascii="宋体" w:hAnsi="宋体"/>
                <w:sz w:val="24"/>
              </w:rPr>
            </w:pPr>
            <w:r>
              <w:rPr>
                <w:rFonts w:hint="eastAsia" w:ascii="宋体" w:hAnsi="宋体"/>
                <w:sz w:val="24"/>
              </w:rPr>
              <w:t>电子邮箱：</w:t>
            </w:r>
          </w:p>
        </w:tc>
        <w:tc>
          <w:tcPr>
            <w:tcW w:w="4517" w:type="dxa"/>
            <w:vAlign w:val="center"/>
          </w:tcPr>
          <w:p w14:paraId="363423C5">
            <w:pPr>
              <w:snapToGrid w:val="0"/>
              <w:spacing w:line="360" w:lineRule="auto"/>
              <w:rPr>
                <w:rFonts w:hint="eastAsia" w:ascii="宋体" w:hAnsi="宋体"/>
                <w:sz w:val="24"/>
              </w:rPr>
            </w:pPr>
            <w:r>
              <w:rPr>
                <w:rFonts w:hint="eastAsia" w:ascii="宋体" w:hAnsi="宋体"/>
                <w:sz w:val="24"/>
              </w:rPr>
              <w:t>电子邮箱：</w:t>
            </w:r>
          </w:p>
        </w:tc>
      </w:tr>
      <w:tr w14:paraId="2F09F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4516" w:type="dxa"/>
            <w:vAlign w:val="center"/>
          </w:tcPr>
          <w:p w14:paraId="6C982E81">
            <w:pPr>
              <w:snapToGrid w:val="0"/>
              <w:spacing w:line="360" w:lineRule="auto"/>
              <w:rPr>
                <w:rFonts w:hint="eastAsia" w:ascii="宋体" w:hAnsi="宋体"/>
                <w:sz w:val="24"/>
              </w:rPr>
            </w:pPr>
            <w:r>
              <w:rPr>
                <w:rFonts w:hint="eastAsia" w:ascii="宋体" w:hAnsi="宋体"/>
                <w:sz w:val="24"/>
              </w:rPr>
              <w:t>开户银行：</w:t>
            </w:r>
          </w:p>
        </w:tc>
        <w:tc>
          <w:tcPr>
            <w:tcW w:w="4517" w:type="dxa"/>
            <w:vAlign w:val="center"/>
          </w:tcPr>
          <w:p w14:paraId="253CF830">
            <w:pPr>
              <w:snapToGrid w:val="0"/>
              <w:spacing w:line="360" w:lineRule="auto"/>
              <w:rPr>
                <w:rFonts w:hint="eastAsia" w:ascii="宋体" w:hAnsi="宋体"/>
                <w:sz w:val="24"/>
              </w:rPr>
            </w:pPr>
            <w:r>
              <w:rPr>
                <w:rFonts w:hint="eastAsia" w:ascii="宋体" w:hAnsi="宋体"/>
                <w:sz w:val="24"/>
              </w:rPr>
              <w:t>开户银行：</w:t>
            </w:r>
          </w:p>
        </w:tc>
      </w:tr>
      <w:tr w14:paraId="16367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 w:hRule="atLeast"/>
        </w:trPr>
        <w:tc>
          <w:tcPr>
            <w:tcW w:w="4516" w:type="dxa"/>
            <w:vAlign w:val="center"/>
          </w:tcPr>
          <w:p w14:paraId="2D4F6DA6">
            <w:pPr>
              <w:snapToGrid w:val="0"/>
              <w:spacing w:line="360" w:lineRule="auto"/>
              <w:rPr>
                <w:rFonts w:hint="eastAsia" w:ascii="宋体" w:hAnsi="宋体"/>
                <w:sz w:val="24"/>
              </w:rPr>
            </w:pPr>
            <w:r>
              <w:rPr>
                <w:rFonts w:hint="eastAsia" w:ascii="宋体" w:hAnsi="宋体"/>
                <w:sz w:val="24"/>
              </w:rPr>
              <w:t>账号：</w:t>
            </w:r>
          </w:p>
        </w:tc>
        <w:tc>
          <w:tcPr>
            <w:tcW w:w="4517" w:type="dxa"/>
            <w:vAlign w:val="center"/>
          </w:tcPr>
          <w:p w14:paraId="5B2E31B9">
            <w:pPr>
              <w:snapToGrid w:val="0"/>
              <w:spacing w:line="360" w:lineRule="auto"/>
              <w:rPr>
                <w:rFonts w:hint="eastAsia" w:ascii="宋体" w:hAnsi="宋体"/>
                <w:sz w:val="24"/>
              </w:rPr>
            </w:pPr>
            <w:r>
              <w:rPr>
                <w:rFonts w:hint="eastAsia" w:ascii="宋体" w:hAnsi="宋体"/>
                <w:sz w:val="24"/>
              </w:rPr>
              <w:t>账号：</w:t>
            </w:r>
          </w:p>
        </w:tc>
      </w:tr>
      <w:tr w14:paraId="1782D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trPr>
        <w:tc>
          <w:tcPr>
            <w:tcW w:w="4516" w:type="dxa"/>
            <w:vAlign w:val="center"/>
          </w:tcPr>
          <w:p w14:paraId="4384AAB0">
            <w:pPr>
              <w:snapToGrid w:val="0"/>
              <w:spacing w:line="360" w:lineRule="auto"/>
              <w:rPr>
                <w:rFonts w:hint="eastAsia" w:ascii="宋体" w:hAnsi="宋体"/>
                <w:sz w:val="24"/>
              </w:rPr>
            </w:pPr>
            <w:r>
              <w:rPr>
                <w:rFonts w:hint="eastAsia" w:ascii="宋体" w:hAnsi="宋体"/>
                <w:sz w:val="24"/>
              </w:rPr>
              <w:t>邮政编码：</w:t>
            </w:r>
          </w:p>
        </w:tc>
        <w:tc>
          <w:tcPr>
            <w:tcW w:w="4517" w:type="dxa"/>
            <w:vAlign w:val="center"/>
          </w:tcPr>
          <w:p w14:paraId="539508E3">
            <w:pPr>
              <w:snapToGrid w:val="0"/>
              <w:spacing w:line="360" w:lineRule="auto"/>
              <w:rPr>
                <w:rFonts w:hint="eastAsia" w:ascii="宋体" w:hAnsi="宋体"/>
                <w:sz w:val="24"/>
              </w:rPr>
            </w:pPr>
            <w:r>
              <w:rPr>
                <w:rFonts w:hint="eastAsia" w:ascii="宋体" w:hAnsi="宋体"/>
                <w:sz w:val="24"/>
              </w:rPr>
              <w:t>邮政编码：</w:t>
            </w:r>
          </w:p>
        </w:tc>
      </w:tr>
    </w:tbl>
    <w:p w14:paraId="124B89FD">
      <w:pPr>
        <w:snapToGrid w:val="0"/>
        <w:spacing w:line="360" w:lineRule="auto"/>
        <w:rPr>
          <w:rFonts w:hint="eastAsia" w:ascii="宋体" w:hAnsi="宋体"/>
          <w:color w:val="000000"/>
          <w:sz w:val="24"/>
        </w:rPr>
      </w:pPr>
    </w:p>
    <w:p w14:paraId="76F971F8">
      <w:pPr>
        <w:snapToGrid w:val="0"/>
        <w:spacing w:line="360" w:lineRule="auto"/>
        <w:rPr>
          <w:rFonts w:hint="eastAsia" w:ascii="宋体" w:hAnsi="宋体"/>
          <w:color w:val="000000"/>
          <w:sz w:val="24"/>
        </w:rPr>
      </w:pPr>
    </w:p>
    <w:p w14:paraId="5A9626BC">
      <w:pPr>
        <w:spacing w:after="120"/>
        <w:rPr>
          <w:color w:val="000000"/>
        </w:rPr>
      </w:pPr>
    </w:p>
    <w:p w14:paraId="4D58ED03">
      <w:pPr>
        <w:tabs>
          <w:tab w:val="left" w:pos="3261"/>
        </w:tabs>
        <w:spacing w:line="360" w:lineRule="auto"/>
        <w:contextualSpacing/>
        <w:rPr>
          <w:rFonts w:hint="eastAsia" w:ascii="宋体" w:hAnsi="宋体" w:cs="宋体"/>
          <w:b/>
          <w:color w:val="000000"/>
          <w:sz w:val="44"/>
          <w:szCs w:val="44"/>
        </w:rPr>
      </w:pPr>
    </w:p>
    <w:p w14:paraId="67896973">
      <w:pPr>
        <w:rPr>
          <w:rFonts w:hint="eastAsia" w:ascii="宋体" w:hAnsi="宋体" w:cs="宋体"/>
          <w:b/>
          <w:bCs/>
          <w:sz w:val="28"/>
          <w:szCs w:val="28"/>
        </w:rPr>
      </w:pPr>
    </w:p>
    <w:p w14:paraId="1D9F470F">
      <w:pPr>
        <w:rPr>
          <w:rFonts w:hint="eastAsia" w:ascii="宋体" w:hAnsi="宋体" w:cs="宋体"/>
          <w:b/>
          <w:bCs/>
          <w:sz w:val="28"/>
          <w:szCs w:val="28"/>
        </w:rPr>
      </w:pPr>
    </w:p>
    <w:p w14:paraId="0275BB9B">
      <w:pPr>
        <w:rPr>
          <w:rFonts w:hint="eastAsia" w:ascii="宋体" w:hAnsi="宋体" w:cs="宋体"/>
          <w:b/>
          <w:bCs/>
          <w:sz w:val="28"/>
          <w:szCs w:val="28"/>
        </w:rPr>
      </w:pPr>
    </w:p>
    <w:p w14:paraId="79AAE2C7">
      <w:pPr>
        <w:rPr>
          <w:rFonts w:hint="eastAsia" w:ascii="宋体" w:hAnsi="宋体" w:cs="宋体"/>
          <w:b/>
          <w:bCs/>
          <w:sz w:val="28"/>
          <w:szCs w:val="28"/>
        </w:rPr>
      </w:pPr>
    </w:p>
    <w:p w14:paraId="2BCAD259">
      <w:pPr>
        <w:rPr>
          <w:rFonts w:hint="eastAsia" w:ascii="宋体" w:hAnsi="宋体" w:cs="宋体"/>
          <w:b/>
          <w:bCs/>
          <w:sz w:val="28"/>
          <w:szCs w:val="28"/>
        </w:rPr>
      </w:pPr>
    </w:p>
    <w:p w14:paraId="1EF47A06">
      <w:pPr>
        <w:rPr>
          <w:rFonts w:hint="eastAsia" w:ascii="宋体" w:hAnsi="宋体" w:cs="宋体"/>
          <w:b/>
          <w:bCs/>
          <w:sz w:val="28"/>
          <w:szCs w:val="28"/>
        </w:rPr>
      </w:pPr>
    </w:p>
    <w:p w14:paraId="23F9FBEB">
      <w:pPr>
        <w:rPr>
          <w:rFonts w:hint="eastAsia" w:ascii="宋体" w:hAnsi="宋体" w:cs="宋体"/>
          <w:b/>
          <w:bCs/>
          <w:sz w:val="28"/>
          <w:szCs w:val="28"/>
        </w:rPr>
      </w:pPr>
    </w:p>
    <w:p w14:paraId="484221A4">
      <w:pPr>
        <w:rPr>
          <w:rFonts w:hint="eastAsia" w:ascii="宋体" w:hAnsi="宋体" w:cs="宋体"/>
          <w:b/>
          <w:bCs/>
          <w:sz w:val="28"/>
          <w:szCs w:val="28"/>
        </w:rPr>
      </w:pPr>
    </w:p>
    <w:p w14:paraId="2C115E0E">
      <w:pPr>
        <w:rPr>
          <w:rFonts w:hint="eastAsia" w:ascii="宋体" w:hAnsi="宋体" w:cs="宋体"/>
          <w:b/>
          <w:bCs/>
          <w:sz w:val="28"/>
          <w:szCs w:val="28"/>
        </w:rPr>
      </w:pPr>
    </w:p>
    <w:p w14:paraId="315211E2">
      <w:pPr>
        <w:pStyle w:val="31"/>
        <w:ind w:firstLine="1126"/>
      </w:pPr>
    </w:p>
    <w:p w14:paraId="3484D9ED">
      <w:pPr>
        <w:rPr>
          <w:rFonts w:hint="eastAsia" w:ascii="宋体" w:hAnsi="宋体" w:cs="宋体"/>
          <w:b/>
          <w:bCs/>
          <w:sz w:val="28"/>
          <w:szCs w:val="28"/>
        </w:rPr>
      </w:pPr>
    </w:p>
    <w:p w14:paraId="67A9363B">
      <w:pPr>
        <w:rPr>
          <w:rFonts w:hint="eastAsia" w:ascii="宋体" w:hAnsi="宋体" w:cs="宋体"/>
          <w:b/>
          <w:bCs/>
          <w:sz w:val="28"/>
          <w:szCs w:val="28"/>
        </w:rPr>
      </w:pPr>
    </w:p>
    <w:p w14:paraId="61926D2B">
      <w:pPr>
        <w:pStyle w:val="18"/>
        <w:spacing w:line="360" w:lineRule="auto"/>
        <w:ind w:left="25" w:leftChars="12" w:firstLine="294" w:firstLineChars="147"/>
      </w:pPr>
    </w:p>
    <w:sectPr>
      <w:footerReference r:id="rId9" w:type="default"/>
      <w:pgSz w:w="11910" w:h="16840"/>
      <w:pgMar w:top="1440" w:right="1080" w:bottom="1440" w:left="108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embedRegular r:id="rId1" w:fontKey="{D5501DD2-09E2-4BA8-A9CD-EDA0D98D6E61}"/>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微软雅黑">
    <w:panose1 w:val="020B0503020204020204"/>
    <w:charset w:val="86"/>
    <w:family w:val="swiss"/>
    <w:pitch w:val="default"/>
    <w:sig w:usb0="80000287" w:usb1="2ACF3C50" w:usb2="00000016" w:usb3="00000000" w:csb0="0004001F" w:csb1="00000000"/>
    <w:embedRegular r:id="rId2" w:fontKey="{9497BD18-198C-4A03-A3B2-F975AB2D81D8}"/>
  </w:font>
  <w:font w:name="Arial Unicode MS">
    <w:altName w:val="宋体"/>
    <w:panose1 w:val="020B0604020202020204"/>
    <w:charset w:val="86"/>
    <w:family w:val="roman"/>
    <w:pitch w:val="default"/>
    <w:sig w:usb0="00000000" w:usb1="00000000" w:usb2="0000003F" w:usb3="00000000" w:csb0="603F01FF" w:csb1="FFFF0000"/>
  </w:font>
  <w:font w:name="方正小标宋简体">
    <w:panose1 w:val="02000000000000000000"/>
    <w:charset w:val="86"/>
    <w:family w:val="script"/>
    <w:pitch w:val="default"/>
    <w:sig w:usb0="00000001" w:usb1="08000000" w:usb2="00000000" w:usb3="00000000" w:csb0="00040000" w:csb1="00000000"/>
    <w:embedRegular r:id="rId3" w:fontKey="{B6CD4092-A6FF-4B5B-B30E-D02D9B664689}"/>
  </w:font>
  <w:font w:name="Wingdings 2">
    <w:panose1 w:val="05020102010507070707"/>
    <w:charset w:val="02"/>
    <w:family w:val="roman"/>
    <w:pitch w:val="default"/>
    <w:sig w:usb0="00000000" w:usb1="00000000" w:usb2="00000000" w:usb3="00000000" w:csb0="80000000" w:csb1="00000000"/>
    <w:embedRegular r:id="rId4" w:fontKey="{8EAFC7BA-EAAB-46BF-967D-A23F6F37E257}"/>
  </w:font>
  <w:font w:name="华文中宋">
    <w:panose1 w:val="02010600040101010101"/>
    <w:charset w:val="86"/>
    <w:family w:val="auto"/>
    <w:pitch w:val="default"/>
    <w:sig w:usb0="00000287" w:usb1="080F0000" w:usb2="00000000" w:usb3="00000000" w:csb0="0004009F" w:csb1="DFD70000"/>
    <w:embedRegular r:id="rId5" w:fontKey="{C917F3C4-ECF0-474E-80A9-3326CF4253A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C94AFE">
    <w:pPr>
      <w:pStyle w:val="19"/>
      <w:tabs>
        <w:tab w:val="center" w:pos="4439"/>
        <w:tab w:val="clear" w:pos="4153"/>
      </w:tabs>
      <w:jc w:val="both"/>
    </w:pPr>
  </w:p>
  <w:p w14:paraId="184EE06C">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C53AC8">
    <w:pPr>
      <w:pStyle w:val="19"/>
      <w:tabs>
        <w:tab w:val="center" w:pos="4439"/>
        <w:tab w:val="clear" w:pos="4153"/>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6256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14935" cy="162560"/>
                      </a:xfrm>
                      <a:prstGeom prst="rect">
                        <a:avLst/>
                      </a:prstGeom>
                      <a:noFill/>
                      <a:ln>
                        <a:noFill/>
                      </a:ln>
                    </wps:spPr>
                    <wps:txbx>
                      <w:txbxContent>
                        <w:p w14:paraId="5953FF45"/>
                      </w:txbxContent>
                    </wps:txbx>
                    <wps:bodyPr wrap="none" lIns="0" tIns="0" rIns="0" bIns="0">
                      <a:spAutoFit/>
                    </wps:bodyPr>
                  </wps:wsp>
                </a:graphicData>
              </a:graphic>
            </wp:anchor>
          </w:drawing>
        </mc:Choice>
        <mc:Fallback>
          <w:pict>
            <v:shape id="_x0000_s1026" o:spid="_x0000_s1026" o:spt="202" type="#_x0000_t202" style="position:absolute;left:0pt;margin-top:0pt;height:12.8pt;width:9.05pt;mso-position-horizontal:center;mso-position-horizontal-relative:margin;mso-wrap-style:none;z-index:251659264;mso-width-relative:page;mso-height-relative:page;" filled="f" stroked="f" coordsize="21600,21600" o:gfxdata="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BLUWtdEAAAADAQAADwAAAAAAAAABACAAAAAiAAAAZHJzL2Rvd25yZXYueG1s&#10;UEsBAhQAFAAAAAgAh07iQIVli8XGAQAAiwMAAA4AAAAAAAAAAQAgAAAAIAEAAGRycy9lMm9Eb2Mu&#10;eG1sUEsFBgAAAAAGAAYAWQEAAFgFAAAAAA==&#10;">
              <v:fill on="f" focussize="0,0"/>
              <v:stroke on="f"/>
              <v:imagedata o:title=""/>
              <o:lock v:ext="edit" aspectratio="f"/>
              <v:textbox inset="0mm,0mm,0mm,0mm" style="mso-fit-shape-to-text:t;">
                <w:txbxContent>
                  <w:p w14:paraId="5953FF45"/>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CF540C">
    <w:pPr>
      <w:pStyle w:val="19"/>
      <w:tabs>
        <w:tab w:val="center" w:pos="4439"/>
        <w:tab w:val="clear" w:pos="4153"/>
      </w:tabs>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8453D4">
                          <w:pPr>
                            <w:pStyle w:val="1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4E8453D4">
                    <w:pPr>
                      <w:pStyle w:val="19"/>
                    </w:pPr>
                    <w:r>
                      <w:fldChar w:fldCharType="begin"/>
                    </w:r>
                    <w:r>
                      <w:instrText xml:space="preserve"> PAGE  \* MERGEFORMAT </w:instrText>
                    </w:r>
                    <w:r>
                      <w:fldChar w:fldCharType="separate"/>
                    </w:r>
                    <w:r>
                      <w:t>1</w:t>
                    </w:r>
                    <w:r>
                      <w:fldChar w:fldCharType="end"/>
                    </w:r>
                  </w:p>
                </w:txbxContent>
              </v:textbox>
            </v:shape>
          </w:pict>
        </mc:Fallback>
      </mc:AlternateContent>
    </w:r>
  </w:p>
  <w:p w14:paraId="7CD80268">
    <w:pPr>
      <w:pStyle w:val="1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B4B20D">
    <w:pPr>
      <w:pStyle w:val="19"/>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063F9C">
                          <w:pPr>
                            <w:pStyle w:val="19"/>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5D063F9C">
                    <w:pPr>
                      <w:pStyle w:val="19"/>
                    </w:pPr>
                    <w:r>
                      <w:fldChar w:fldCharType="begin"/>
                    </w:r>
                    <w:r>
                      <w:instrText xml:space="preserve"> PAGE  \* MERGEFORMAT </w:instrText>
                    </w:r>
                    <w:r>
                      <w:fldChar w:fldCharType="separate"/>
                    </w:r>
                    <w:r>
                      <w:t>19</w:t>
                    </w:r>
                    <w:r>
                      <w:fldChar w:fldCharType="end"/>
                    </w:r>
                  </w:p>
                </w:txbxContent>
              </v:textbox>
            </v:shape>
          </w:pict>
        </mc:Fallback>
      </mc:AlternateContent>
    </w:r>
  </w:p>
  <w:p w14:paraId="7C1F6ACB">
    <w:pPr>
      <w:pStyle w:val="1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7CF9FF">
    <w:pPr>
      <w:pStyle w:val="20"/>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9710C1">
    <w:pPr>
      <w:pStyle w:val="20"/>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3176C1">
    <w:pPr>
      <w:pStyle w:val="20"/>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CF3637D"/>
    <w:multiLevelType w:val="singleLevel"/>
    <w:tmpl w:val="ECF3637D"/>
    <w:lvl w:ilvl="0" w:tentative="0">
      <w:start w:val="1"/>
      <w:numFmt w:val="decimal"/>
      <w:pStyle w:val="9"/>
      <w:lvlText w:val="%1."/>
      <w:lvlJc w:val="left"/>
      <w:pPr>
        <w:tabs>
          <w:tab w:val="left" w:pos="360"/>
        </w:tabs>
        <w:ind w:left="360" w:hanging="360"/>
      </w:pPr>
    </w:lvl>
  </w:abstractNum>
  <w:abstractNum w:abstractNumId="1">
    <w:nsid w:val="45A3E309"/>
    <w:multiLevelType w:val="singleLevel"/>
    <w:tmpl w:val="45A3E309"/>
    <w:lvl w:ilvl="0" w:tentative="0">
      <w:start w:val="6"/>
      <w:numFmt w:val="decimal"/>
      <w:suff w:val="space"/>
      <w:lvlText w:val="%1."/>
      <w:lvlJc w:val="left"/>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
    <w15:presenceInfo w15:providerId="None" w15:user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QwMzVhNzhlZmQzYzJkYzM4NmFlNGYxMmIxNThlMGUifQ=="/>
  </w:docVars>
  <w:rsids>
    <w:rsidRoot w:val="4AC703EB"/>
    <w:rsid w:val="00010426"/>
    <w:rsid w:val="00213EF4"/>
    <w:rsid w:val="00215C08"/>
    <w:rsid w:val="002233D3"/>
    <w:rsid w:val="00267D2D"/>
    <w:rsid w:val="0048500A"/>
    <w:rsid w:val="006E0678"/>
    <w:rsid w:val="00A75615"/>
    <w:rsid w:val="00BF0735"/>
    <w:rsid w:val="00D25E4E"/>
    <w:rsid w:val="00FC7DFE"/>
    <w:rsid w:val="01673646"/>
    <w:rsid w:val="0172413D"/>
    <w:rsid w:val="02820350"/>
    <w:rsid w:val="02C90158"/>
    <w:rsid w:val="03621CEB"/>
    <w:rsid w:val="0377139F"/>
    <w:rsid w:val="04441938"/>
    <w:rsid w:val="045301F6"/>
    <w:rsid w:val="09176191"/>
    <w:rsid w:val="09A161FC"/>
    <w:rsid w:val="0CEE4F60"/>
    <w:rsid w:val="0EB2464A"/>
    <w:rsid w:val="1052385E"/>
    <w:rsid w:val="12CD1ABC"/>
    <w:rsid w:val="14CD0A57"/>
    <w:rsid w:val="18431FE4"/>
    <w:rsid w:val="198C5477"/>
    <w:rsid w:val="19BB3CB4"/>
    <w:rsid w:val="19FA13E8"/>
    <w:rsid w:val="1A276F5C"/>
    <w:rsid w:val="1AE60D31"/>
    <w:rsid w:val="1BAD0BF4"/>
    <w:rsid w:val="1C8E7C18"/>
    <w:rsid w:val="1D7B57AA"/>
    <w:rsid w:val="1E1D5C20"/>
    <w:rsid w:val="1E7352C5"/>
    <w:rsid w:val="1F14598B"/>
    <w:rsid w:val="1FA450A3"/>
    <w:rsid w:val="20EE3329"/>
    <w:rsid w:val="219043E0"/>
    <w:rsid w:val="22934188"/>
    <w:rsid w:val="23275804"/>
    <w:rsid w:val="25C54F1C"/>
    <w:rsid w:val="262C4B38"/>
    <w:rsid w:val="26BC7A25"/>
    <w:rsid w:val="275D217A"/>
    <w:rsid w:val="278315EB"/>
    <w:rsid w:val="29BA7017"/>
    <w:rsid w:val="29F117B6"/>
    <w:rsid w:val="2AF0331E"/>
    <w:rsid w:val="2BF8505C"/>
    <w:rsid w:val="2D265BF9"/>
    <w:rsid w:val="2DAE4212"/>
    <w:rsid w:val="2DB96A6D"/>
    <w:rsid w:val="2E105B20"/>
    <w:rsid w:val="2EA776C4"/>
    <w:rsid w:val="30721179"/>
    <w:rsid w:val="31FE6D93"/>
    <w:rsid w:val="322E543B"/>
    <w:rsid w:val="32601BAD"/>
    <w:rsid w:val="32892B30"/>
    <w:rsid w:val="33B95A18"/>
    <w:rsid w:val="38992CE7"/>
    <w:rsid w:val="39861EF9"/>
    <w:rsid w:val="39B514C8"/>
    <w:rsid w:val="3B4E4C69"/>
    <w:rsid w:val="3C4E3281"/>
    <w:rsid w:val="3D004D7C"/>
    <w:rsid w:val="3DBA6615"/>
    <w:rsid w:val="3E5D29B3"/>
    <w:rsid w:val="3FC23242"/>
    <w:rsid w:val="3FE033AF"/>
    <w:rsid w:val="4062243B"/>
    <w:rsid w:val="412F541A"/>
    <w:rsid w:val="433D4C64"/>
    <w:rsid w:val="44353C6C"/>
    <w:rsid w:val="46DB74EC"/>
    <w:rsid w:val="4A4604C8"/>
    <w:rsid w:val="4AC703EB"/>
    <w:rsid w:val="4AE774F9"/>
    <w:rsid w:val="4C616253"/>
    <w:rsid w:val="4C9C083E"/>
    <w:rsid w:val="4D2161F5"/>
    <w:rsid w:val="4E102F78"/>
    <w:rsid w:val="524845B2"/>
    <w:rsid w:val="545E17CF"/>
    <w:rsid w:val="547F5306"/>
    <w:rsid w:val="556942C2"/>
    <w:rsid w:val="58421289"/>
    <w:rsid w:val="59377E39"/>
    <w:rsid w:val="5BC56459"/>
    <w:rsid w:val="5CB76394"/>
    <w:rsid w:val="5DFD533D"/>
    <w:rsid w:val="60603BC1"/>
    <w:rsid w:val="606C1599"/>
    <w:rsid w:val="628110AA"/>
    <w:rsid w:val="62B2513E"/>
    <w:rsid w:val="63CF256B"/>
    <w:rsid w:val="64526BB0"/>
    <w:rsid w:val="66864A1C"/>
    <w:rsid w:val="66974E96"/>
    <w:rsid w:val="67090333"/>
    <w:rsid w:val="6838686B"/>
    <w:rsid w:val="68544C31"/>
    <w:rsid w:val="69787200"/>
    <w:rsid w:val="69BD0040"/>
    <w:rsid w:val="6A4F1A3F"/>
    <w:rsid w:val="6C6C46CF"/>
    <w:rsid w:val="6D17288C"/>
    <w:rsid w:val="715C2F64"/>
    <w:rsid w:val="72A06176"/>
    <w:rsid w:val="73936849"/>
    <w:rsid w:val="74DB71A5"/>
    <w:rsid w:val="7613358B"/>
    <w:rsid w:val="77365DC0"/>
    <w:rsid w:val="799E680F"/>
    <w:rsid w:val="7B486307"/>
    <w:rsid w:val="7C131762"/>
    <w:rsid w:val="7D292894"/>
    <w:rsid w:val="7DB20993"/>
    <w:rsid w:val="7E1C591C"/>
    <w:rsid w:val="7E94488C"/>
    <w:rsid w:val="BFEF14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qFormat="1" w:uiPriority="99" w:semiHidden="0" w:name="List"/>
    <w:lsdException w:unhideWhenUsed="0" w:uiPriority="0" w:semiHidden="0" w:name="List Bullet"/>
    <w:lsdException w:qFormat="1"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iPriority="99"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4"/>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9"/>
    <w:pPr>
      <w:keepNext/>
      <w:keepLines/>
      <w:spacing w:before="260" w:after="260" w:line="416" w:lineRule="auto"/>
      <w:outlineLvl w:val="1"/>
    </w:pPr>
    <w:rPr>
      <w:rFonts w:ascii="Cambria" w:hAnsi="Cambria"/>
      <w:b/>
      <w:bCs/>
      <w:sz w:val="32"/>
      <w:szCs w:val="32"/>
    </w:rPr>
  </w:style>
  <w:style w:type="paragraph" w:styleId="4">
    <w:name w:val="heading 3"/>
    <w:basedOn w:val="1"/>
    <w:next w:val="1"/>
    <w:qFormat/>
    <w:uiPriority w:val="9"/>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widowControl/>
      <w:spacing w:before="120" w:after="120" w:line="360" w:lineRule="auto"/>
      <w:jc w:val="center"/>
      <w:outlineLvl w:val="3"/>
    </w:pPr>
    <w:rPr>
      <w:rFonts w:ascii="Arial" w:hAnsi="Arial" w:eastAsia="黑体"/>
      <w:kern w:val="0"/>
      <w:sz w:val="28"/>
      <w:szCs w:val="20"/>
    </w:rPr>
  </w:style>
  <w:style w:type="paragraph" w:styleId="6">
    <w:name w:val="heading 5"/>
    <w:basedOn w:val="1"/>
    <w:next w:val="7"/>
    <w:unhideWhenUsed/>
    <w:qFormat/>
    <w:uiPriority w:val="0"/>
    <w:pPr>
      <w:keepNext/>
      <w:keepLines/>
      <w:spacing w:before="280" w:after="290" w:line="376" w:lineRule="auto"/>
      <w:outlineLvl w:val="4"/>
    </w:pPr>
    <w:rPr>
      <w:b/>
      <w:bCs/>
      <w:sz w:val="28"/>
      <w:szCs w:val="28"/>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7">
    <w:name w:val="Normal Indent"/>
    <w:basedOn w:val="1"/>
    <w:qFormat/>
    <w:uiPriority w:val="0"/>
    <w:pPr>
      <w:ind w:firstLine="420"/>
    </w:pPr>
    <w:rPr>
      <w:szCs w:val="20"/>
    </w:rPr>
  </w:style>
  <w:style w:type="paragraph" w:styleId="8">
    <w:name w:val="table of authorities"/>
    <w:basedOn w:val="1"/>
    <w:next w:val="1"/>
    <w:unhideWhenUsed/>
    <w:qFormat/>
    <w:uiPriority w:val="99"/>
    <w:pPr>
      <w:ind w:left="420" w:leftChars="200"/>
    </w:pPr>
  </w:style>
  <w:style w:type="paragraph" w:styleId="9">
    <w:name w:val="List Number"/>
    <w:basedOn w:val="1"/>
    <w:qFormat/>
    <w:uiPriority w:val="0"/>
    <w:pPr>
      <w:numPr>
        <w:ilvl w:val="0"/>
        <w:numId w:val="1"/>
      </w:numPr>
    </w:pPr>
  </w:style>
  <w:style w:type="paragraph" w:styleId="10">
    <w:name w:val="annotation text"/>
    <w:basedOn w:val="1"/>
    <w:link w:val="45"/>
    <w:qFormat/>
    <w:uiPriority w:val="0"/>
    <w:pPr>
      <w:jc w:val="left"/>
    </w:pPr>
  </w:style>
  <w:style w:type="paragraph" w:styleId="11">
    <w:name w:val="Body Text 3"/>
    <w:basedOn w:val="1"/>
    <w:unhideWhenUsed/>
    <w:qFormat/>
    <w:uiPriority w:val="99"/>
    <w:pPr>
      <w:spacing w:after="120"/>
    </w:pPr>
    <w:rPr>
      <w:sz w:val="16"/>
      <w:szCs w:val="16"/>
    </w:rPr>
  </w:style>
  <w:style w:type="paragraph" w:styleId="12">
    <w:name w:val="Body Text"/>
    <w:basedOn w:val="1"/>
    <w:next w:val="13"/>
    <w:unhideWhenUsed/>
    <w:qFormat/>
    <w:uiPriority w:val="0"/>
    <w:pPr>
      <w:spacing w:after="120"/>
    </w:pPr>
  </w:style>
  <w:style w:type="paragraph" w:styleId="13">
    <w:name w:val="toc 2"/>
    <w:basedOn w:val="1"/>
    <w:next w:val="1"/>
    <w:unhideWhenUsed/>
    <w:qFormat/>
    <w:uiPriority w:val="39"/>
    <w:pPr>
      <w:tabs>
        <w:tab w:val="right" w:leader="dot" w:pos="8296"/>
      </w:tabs>
      <w:ind w:left="420" w:leftChars="200"/>
    </w:pPr>
  </w:style>
  <w:style w:type="paragraph" w:styleId="14">
    <w:name w:val="Body Text Indent"/>
    <w:basedOn w:val="1"/>
    <w:qFormat/>
    <w:uiPriority w:val="0"/>
    <w:pPr>
      <w:ind w:firstLine="830" w:firstLineChars="352"/>
    </w:pPr>
    <w:rPr>
      <w:rFonts w:ascii="仿宋_GB2312" w:eastAsia="仿宋_GB2312"/>
      <w:kern w:val="0"/>
      <w:sz w:val="32"/>
      <w:szCs w:val="20"/>
    </w:rPr>
  </w:style>
  <w:style w:type="paragraph" w:styleId="15">
    <w:name w:val="List 2"/>
    <w:basedOn w:val="1"/>
    <w:unhideWhenUsed/>
    <w:qFormat/>
    <w:uiPriority w:val="99"/>
    <w:pPr>
      <w:ind w:left="100" w:leftChars="200" w:hanging="200" w:hangingChars="200"/>
      <w:contextualSpacing/>
    </w:pPr>
  </w:style>
  <w:style w:type="paragraph" w:styleId="16">
    <w:name w:val="Block Text"/>
    <w:basedOn w:val="1"/>
    <w:qFormat/>
    <w:uiPriority w:val="0"/>
    <w:pPr>
      <w:adjustRightInd w:val="0"/>
      <w:ind w:left="420" w:right="33"/>
      <w:jc w:val="left"/>
      <w:textAlignment w:val="baseline"/>
    </w:pPr>
    <w:rPr>
      <w:kern w:val="0"/>
      <w:sz w:val="24"/>
      <w:szCs w:val="20"/>
    </w:rPr>
  </w:style>
  <w:style w:type="paragraph" w:styleId="17">
    <w:name w:val="toc 3"/>
    <w:basedOn w:val="1"/>
    <w:next w:val="1"/>
    <w:qFormat/>
    <w:uiPriority w:val="0"/>
    <w:pPr>
      <w:ind w:left="840" w:leftChars="400"/>
    </w:pPr>
  </w:style>
  <w:style w:type="paragraph" w:styleId="18">
    <w:name w:val="Plain Text"/>
    <w:basedOn w:val="1"/>
    <w:qFormat/>
    <w:uiPriority w:val="0"/>
    <w:rPr>
      <w:rFonts w:ascii="宋体" w:hAnsi="Courier New"/>
      <w:kern w:val="0"/>
      <w:sz w:val="20"/>
      <w:szCs w:val="21"/>
    </w:rPr>
  </w:style>
  <w:style w:type="paragraph" w:styleId="19">
    <w:name w:val="footer"/>
    <w:basedOn w:val="1"/>
    <w:unhideWhenUsed/>
    <w:qFormat/>
    <w:uiPriority w:val="0"/>
    <w:pPr>
      <w:tabs>
        <w:tab w:val="center" w:pos="4153"/>
        <w:tab w:val="right" w:pos="8306"/>
      </w:tabs>
      <w:snapToGrid w:val="0"/>
      <w:jc w:val="left"/>
    </w:pPr>
    <w:rPr>
      <w:kern w:val="0"/>
      <w:sz w:val="18"/>
      <w:szCs w:val="18"/>
    </w:rPr>
  </w:style>
  <w:style w:type="paragraph" w:styleId="20">
    <w:name w:val="header"/>
    <w:basedOn w:val="1"/>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21">
    <w:name w:val="toc 1"/>
    <w:basedOn w:val="1"/>
    <w:next w:val="1"/>
    <w:unhideWhenUsed/>
    <w:qFormat/>
    <w:uiPriority w:val="39"/>
  </w:style>
  <w:style w:type="paragraph" w:styleId="22">
    <w:name w:val="List"/>
    <w:basedOn w:val="1"/>
    <w:unhideWhenUsed/>
    <w:qFormat/>
    <w:uiPriority w:val="99"/>
    <w:pPr>
      <w:ind w:left="200" w:hanging="200" w:hangingChars="200"/>
      <w:contextualSpacing/>
    </w:pPr>
  </w:style>
  <w:style w:type="paragraph" w:styleId="23">
    <w:name w:val="annotation subject"/>
    <w:basedOn w:val="10"/>
    <w:next w:val="10"/>
    <w:link w:val="46"/>
    <w:qFormat/>
    <w:uiPriority w:val="0"/>
    <w:rPr>
      <w:b/>
      <w:bCs/>
    </w:r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basedOn w:val="26"/>
    <w:qFormat/>
    <w:uiPriority w:val="0"/>
    <w:rPr>
      <w:b/>
    </w:rPr>
  </w:style>
  <w:style w:type="character" w:styleId="28">
    <w:name w:val="Hyperlink"/>
    <w:unhideWhenUsed/>
    <w:qFormat/>
    <w:uiPriority w:val="99"/>
    <w:rPr>
      <w:color w:val="0000FF"/>
      <w:u w:val="single"/>
    </w:rPr>
  </w:style>
  <w:style w:type="character" w:styleId="29">
    <w:name w:val="annotation reference"/>
    <w:basedOn w:val="26"/>
    <w:qFormat/>
    <w:uiPriority w:val="0"/>
    <w:rPr>
      <w:sz w:val="21"/>
      <w:szCs w:val="21"/>
    </w:rPr>
  </w:style>
  <w:style w:type="character" w:styleId="30">
    <w:name w:val="HTML Sample"/>
    <w:basedOn w:val="26"/>
    <w:qFormat/>
    <w:uiPriority w:val="0"/>
    <w:rPr>
      <w:rFonts w:ascii="Courier New" w:hAnsi="Courier New"/>
    </w:rPr>
  </w:style>
  <w:style w:type="paragraph" w:customStyle="1" w:styleId="31">
    <w:name w:val="表格文字"/>
    <w:basedOn w:val="14"/>
    <w:next w:val="12"/>
    <w:qFormat/>
    <w:uiPriority w:val="0"/>
    <w:pPr>
      <w:adjustRightInd w:val="0"/>
      <w:spacing w:line="420" w:lineRule="atLeast"/>
      <w:jc w:val="left"/>
      <w:textAlignment w:val="baseline"/>
    </w:pPr>
  </w:style>
  <w:style w:type="character" w:customStyle="1" w:styleId="32">
    <w:name w:val="15"/>
    <w:qFormat/>
    <w:uiPriority w:val="0"/>
    <w:rPr>
      <w:rFonts w:hint="default" w:ascii="Calibri" w:hAnsi="Calibri" w:cs="Times New Roman"/>
      <w:sz w:val="21"/>
      <w:szCs w:val="21"/>
    </w:rPr>
  </w:style>
  <w:style w:type="paragraph" w:customStyle="1" w:styleId="33">
    <w:name w:val="正文1"/>
    <w:qFormat/>
    <w:uiPriority w:val="0"/>
    <w:pPr>
      <w:jc w:val="both"/>
    </w:pPr>
    <w:rPr>
      <w:rFonts w:ascii="Calibri" w:hAnsi="Calibri" w:eastAsia="宋体" w:cs="Calibri"/>
      <w:kern w:val="2"/>
      <w:sz w:val="21"/>
      <w:szCs w:val="21"/>
      <w:lang w:val="en-US" w:eastAsia="zh-CN" w:bidi="ar-SA"/>
    </w:rPr>
  </w:style>
  <w:style w:type="paragraph" w:customStyle="1" w:styleId="34">
    <w:name w:val="Table Paragraph"/>
    <w:basedOn w:val="1"/>
    <w:qFormat/>
    <w:uiPriority w:val="1"/>
    <w:pPr>
      <w:jc w:val="left"/>
    </w:pPr>
    <w:rPr>
      <w:rFonts w:ascii="Calibri" w:hAnsi="Calibri"/>
      <w:kern w:val="0"/>
      <w:sz w:val="22"/>
      <w:szCs w:val="22"/>
      <w:lang w:eastAsia="en-US"/>
    </w:rPr>
  </w:style>
  <w:style w:type="paragraph" w:customStyle="1" w:styleId="35">
    <w:name w:val="正文2"/>
    <w:basedOn w:val="1"/>
    <w:qFormat/>
    <w:uiPriority w:val="0"/>
    <w:pPr>
      <w:adjustRightInd w:val="0"/>
      <w:spacing w:before="156" w:line="360" w:lineRule="auto"/>
      <w:ind w:firstLine="510" w:firstLineChars="200"/>
    </w:pPr>
    <w:rPr>
      <w:kern w:val="0"/>
      <w:sz w:val="24"/>
      <w:szCs w:val="20"/>
    </w:rPr>
  </w:style>
  <w:style w:type="paragraph" w:customStyle="1" w:styleId="36">
    <w:name w:val="样式5"/>
    <w:basedOn w:val="1"/>
    <w:qFormat/>
    <w:uiPriority w:val="0"/>
    <w:pPr>
      <w:adjustRightInd w:val="0"/>
      <w:spacing w:line="440" w:lineRule="exact"/>
      <w:ind w:left="2" w:firstLine="480" w:firstLineChars="200"/>
    </w:pPr>
    <w:rPr>
      <w:rFonts w:ascii="仿宋_GB2312" w:hAnsi="仿宋" w:eastAsia="仿宋_GB2312"/>
      <w:sz w:val="24"/>
    </w:rPr>
  </w:style>
  <w:style w:type="character" w:customStyle="1" w:styleId="37">
    <w:name w:val="font91"/>
    <w:basedOn w:val="26"/>
    <w:qFormat/>
    <w:uiPriority w:val="0"/>
    <w:rPr>
      <w:rFonts w:hint="eastAsia" w:ascii="宋体" w:hAnsi="宋体" w:eastAsia="宋体" w:cs="宋体"/>
      <w:color w:val="000000"/>
      <w:sz w:val="18"/>
      <w:szCs w:val="18"/>
      <w:u w:val="none"/>
    </w:rPr>
  </w:style>
  <w:style w:type="character" w:customStyle="1" w:styleId="38">
    <w:name w:val="font131"/>
    <w:basedOn w:val="26"/>
    <w:qFormat/>
    <w:uiPriority w:val="0"/>
    <w:rPr>
      <w:rFonts w:hint="eastAsia" w:ascii="宋体" w:hAnsi="宋体" w:eastAsia="宋体" w:cs="宋体"/>
      <w:color w:val="000000"/>
      <w:sz w:val="18"/>
      <w:szCs w:val="18"/>
      <w:u w:val="none"/>
    </w:rPr>
  </w:style>
  <w:style w:type="character" w:customStyle="1" w:styleId="39">
    <w:name w:val="font81"/>
    <w:basedOn w:val="26"/>
    <w:qFormat/>
    <w:uiPriority w:val="0"/>
    <w:rPr>
      <w:rFonts w:hint="eastAsia" w:ascii="宋体" w:hAnsi="宋体" w:eastAsia="宋体" w:cs="宋体"/>
      <w:color w:val="000000"/>
      <w:sz w:val="20"/>
      <w:szCs w:val="20"/>
      <w:u w:val="none"/>
    </w:rPr>
  </w:style>
  <w:style w:type="character" w:customStyle="1" w:styleId="40">
    <w:name w:val="font141"/>
    <w:basedOn w:val="26"/>
    <w:qFormat/>
    <w:uiPriority w:val="0"/>
    <w:rPr>
      <w:rFonts w:ascii="Arial" w:hAnsi="Arial" w:cs="Arial"/>
      <w:color w:val="000000"/>
      <w:sz w:val="20"/>
      <w:szCs w:val="20"/>
      <w:u w:val="none"/>
    </w:rPr>
  </w:style>
  <w:style w:type="character" w:customStyle="1" w:styleId="41">
    <w:name w:val="font121"/>
    <w:basedOn w:val="26"/>
    <w:qFormat/>
    <w:uiPriority w:val="0"/>
    <w:rPr>
      <w:rFonts w:hint="eastAsia" w:ascii="宋体" w:hAnsi="宋体" w:eastAsia="宋体" w:cs="宋体"/>
      <w:color w:val="FF0000"/>
      <w:sz w:val="20"/>
      <w:szCs w:val="20"/>
      <w:u w:val="none"/>
    </w:rPr>
  </w:style>
  <w:style w:type="character" w:customStyle="1" w:styleId="42">
    <w:name w:val="fontstyle01"/>
    <w:qFormat/>
    <w:uiPriority w:val="0"/>
    <w:rPr>
      <w:rFonts w:hint="eastAsia" w:ascii="宋体" w:hAnsi="宋体" w:eastAsia="宋体"/>
      <w:color w:val="000000"/>
      <w:sz w:val="22"/>
      <w:szCs w:val="22"/>
    </w:rPr>
  </w:style>
  <w:style w:type="character" w:customStyle="1" w:styleId="43">
    <w:name w:val="正文文本 (26) + 间距 0 pt"/>
    <w:autoRedefine/>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44">
    <w:name w:val="标题 1 字符"/>
    <w:link w:val="2"/>
    <w:qFormat/>
    <w:uiPriority w:val="9"/>
    <w:rPr>
      <w:b/>
      <w:bCs/>
      <w:kern w:val="44"/>
      <w:sz w:val="44"/>
      <w:szCs w:val="44"/>
    </w:rPr>
  </w:style>
  <w:style w:type="character" w:customStyle="1" w:styleId="45">
    <w:name w:val="批注文字 字符"/>
    <w:basedOn w:val="26"/>
    <w:link w:val="10"/>
    <w:qFormat/>
    <w:uiPriority w:val="0"/>
    <w:rPr>
      <w:kern w:val="2"/>
      <w:sz w:val="21"/>
      <w:szCs w:val="24"/>
    </w:rPr>
  </w:style>
  <w:style w:type="character" w:customStyle="1" w:styleId="46">
    <w:name w:val="批注主题 字符"/>
    <w:basedOn w:val="45"/>
    <w:link w:val="23"/>
    <w:qFormat/>
    <w:uiPriority w:val="0"/>
    <w:rPr>
      <w:b/>
      <w:bCs/>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76</Pages>
  <Words>7331</Words>
  <Characters>7915</Characters>
  <Lines>366</Lines>
  <Paragraphs>103</Paragraphs>
  <TotalTime>23</TotalTime>
  <ScaleCrop>false</ScaleCrop>
  <LinksUpToDate>false</LinksUpToDate>
  <CharactersWithSpaces>8111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2025-11-25T16:50:00Z</dcterms:created>
  <dc:creator>aaDD</dc:creator>
  <cp:lastModifiedBy>Jessica</cp:lastModifiedBy>
  <dcterms:modified xsi:type="dcterms:W3CDTF">2025-12-03T07:07:12Z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248D84F7E62C469C99364ADECBC84DFC_13</vt:lpwstr>
  </property>
  <property fmtid="{D5CDD505-2E9C-101B-9397-08002B2CF9AE}" pid="4" name="KSOTemplateDocerSaveRecord">
    <vt:lpwstr>eyJoZGlkIjoiNGJjMDgzMzg3ZmY2MGZjZmM3ZTFmMDI2NmUwYzFiZWIiLCJ1c2VySWQiOiIxNTczNTUzMjkzIn0=</vt:lpwstr>
  </property>
</Properties>
</file>