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4F75BB">
      <w:pPr>
        <w:spacing w:line="1000" w:lineRule="exact"/>
        <w:jc w:val="center"/>
        <w:rPr>
          <w:rFonts w:hint="eastAsia" w:ascii="宋体" w:hAnsi="宋体" w:eastAsia="宋体" w:cs="宋体"/>
          <w:b/>
          <w:bCs/>
          <w:color w:val="auto"/>
          <w:sz w:val="72"/>
          <w:highlight w:val="none"/>
        </w:rPr>
      </w:pPr>
      <w:r>
        <w:rPr>
          <w:rFonts w:hint="eastAsia" w:ascii="宋体" w:hAnsi="宋体" w:cs="宋体"/>
          <w:b/>
          <w:bCs/>
          <w:color w:val="auto"/>
          <w:sz w:val="56"/>
          <w:szCs w:val="22"/>
          <w:highlight w:val="none"/>
          <w:lang w:eastAsia="zh-CN"/>
        </w:rPr>
        <w:t>广西景钲工程咨询有限公司</w:t>
      </w:r>
      <w:r>
        <w:rPr>
          <w:rFonts w:hint="eastAsia" w:ascii="宋体" w:hAnsi="宋体" w:eastAsia="宋体" w:cs="宋体"/>
          <w:b/>
          <w:bCs/>
          <w:color w:val="auto"/>
          <w:sz w:val="72"/>
          <w:highlight w:val="none"/>
        </w:rPr>
        <w:cr/>
      </w:r>
    </w:p>
    <w:p w14:paraId="51EE6604">
      <w:pPr>
        <w:spacing w:line="1000" w:lineRule="exact"/>
        <w:jc w:val="center"/>
        <w:rPr>
          <w:rFonts w:hint="eastAsia" w:ascii="宋体" w:hAnsi="宋体" w:eastAsia="宋体" w:cs="宋体"/>
          <w:b/>
          <w:color w:val="auto"/>
          <w:sz w:val="84"/>
          <w:szCs w:val="84"/>
          <w:highlight w:val="none"/>
        </w:rPr>
      </w:pPr>
    </w:p>
    <w:p w14:paraId="74DD360D">
      <w:pPr>
        <w:spacing w:line="1000" w:lineRule="exact"/>
        <w:jc w:val="center"/>
        <w:rPr>
          <w:rFonts w:hint="eastAsia" w:ascii="宋体" w:hAnsi="宋体" w:eastAsia="宋体" w:cs="宋体"/>
          <w:b/>
          <w:color w:val="auto"/>
          <w:sz w:val="84"/>
          <w:szCs w:val="84"/>
          <w:highlight w:val="none"/>
        </w:rPr>
      </w:pPr>
      <w:r>
        <w:rPr>
          <w:rFonts w:hint="eastAsia" w:ascii="宋体" w:hAnsi="宋体" w:eastAsia="宋体" w:cs="宋体"/>
          <w:b/>
          <w:color w:val="auto"/>
          <w:sz w:val="84"/>
          <w:szCs w:val="84"/>
          <w:highlight w:val="none"/>
        </w:rPr>
        <w:t>竞争性磋商文件</w:t>
      </w:r>
      <w:r>
        <w:rPr>
          <w:rFonts w:hint="eastAsia" w:ascii="宋体" w:hAnsi="宋体" w:eastAsia="宋体" w:cs="宋体"/>
          <w:b/>
          <w:color w:val="auto"/>
          <w:sz w:val="84"/>
          <w:szCs w:val="84"/>
          <w:highlight w:val="none"/>
        </w:rPr>
        <w:cr/>
      </w:r>
      <w:r>
        <w:rPr>
          <w:rFonts w:hint="eastAsia" w:ascii="宋体" w:hAnsi="宋体" w:eastAsia="宋体" w:cs="宋体"/>
          <w:b/>
          <w:color w:val="auto"/>
          <w:sz w:val="84"/>
          <w:szCs w:val="84"/>
          <w:highlight w:val="none"/>
        </w:rPr>
        <w:cr/>
      </w:r>
    </w:p>
    <w:p w14:paraId="41741898">
      <w:pPr>
        <w:pStyle w:val="14"/>
        <w:ind w:firstLine="3990" w:firstLineChars="1900"/>
        <w:rPr>
          <w:rFonts w:hint="eastAsia" w:ascii="宋体" w:hAnsi="宋体" w:eastAsia="宋体" w:cs="宋体"/>
          <w:color w:val="auto"/>
          <w:highlight w:val="none"/>
        </w:rPr>
      </w:pPr>
    </w:p>
    <w:p w14:paraId="701725C4">
      <w:pPr>
        <w:pStyle w:val="14"/>
        <w:rPr>
          <w:rFonts w:hint="eastAsia" w:ascii="宋体" w:hAnsi="宋体" w:eastAsia="宋体" w:cs="宋体"/>
          <w:color w:val="auto"/>
          <w:highlight w:val="none"/>
        </w:rPr>
      </w:pPr>
    </w:p>
    <w:p w14:paraId="43839977">
      <w:pPr>
        <w:ind w:left="2082" w:leftChars="304" w:hanging="1444" w:hangingChars="400"/>
        <w:jc w:val="both"/>
        <w:rPr>
          <w:rFonts w:hint="eastAsia" w:ascii="宋体" w:hAnsi="宋体" w:eastAsia="宋体" w:cs="宋体"/>
          <w:b/>
          <w:bCs/>
          <w:color w:val="auto"/>
          <w:spacing w:val="40"/>
          <w:sz w:val="28"/>
          <w:szCs w:val="22"/>
          <w:highlight w:val="none"/>
          <w:lang w:val="en-US" w:eastAsia="zh-CN"/>
        </w:rPr>
      </w:pPr>
      <w:r>
        <w:rPr>
          <w:rFonts w:hint="eastAsia" w:ascii="宋体" w:hAnsi="宋体" w:eastAsia="宋体" w:cs="宋体"/>
          <w:b/>
          <w:bCs/>
          <w:color w:val="auto"/>
          <w:spacing w:val="40"/>
          <w:sz w:val="28"/>
          <w:szCs w:val="22"/>
          <w:highlight w:val="none"/>
        </w:rPr>
        <w:t>项目名称：</w:t>
      </w:r>
      <w:r>
        <w:rPr>
          <w:rFonts w:hint="eastAsia" w:ascii="宋体" w:hAnsi="宋体" w:cs="宋体"/>
          <w:b/>
          <w:bCs/>
          <w:color w:val="auto"/>
          <w:spacing w:val="40"/>
          <w:sz w:val="28"/>
          <w:szCs w:val="22"/>
          <w:highlight w:val="none"/>
          <w:lang w:eastAsia="zh-CN"/>
        </w:rPr>
        <w:t>阳朔县仙桂桥修缮工程（重）</w:t>
      </w:r>
    </w:p>
    <w:p w14:paraId="40D4158C">
      <w:pPr>
        <w:ind w:left="2082" w:leftChars="304" w:hanging="1444" w:hangingChars="400"/>
        <w:jc w:val="both"/>
        <w:rPr>
          <w:rFonts w:hint="eastAsia" w:ascii="宋体" w:hAnsi="宋体" w:eastAsia="宋体" w:cs="宋体"/>
          <w:b/>
          <w:bCs/>
          <w:color w:val="auto"/>
          <w:spacing w:val="40"/>
          <w:sz w:val="28"/>
          <w:szCs w:val="22"/>
          <w:highlight w:val="none"/>
          <w:lang w:eastAsia="zh-CN"/>
        </w:rPr>
      </w:pPr>
      <w:r>
        <w:rPr>
          <w:rFonts w:hint="eastAsia" w:ascii="宋体" w:hAnsi="宋体" w:eastAsia="宋体" w:cs="宋体"/>
          <w:b/>
          <w:bCs/>
          <w:color w:val="auto"/>
          <w:spacing w:val="40"/>
          <w:sz w:val="28"/>
          <w:szCs w:val="22"/>
          <w:highlight w:val="none"/>
        </w:rPr>
        <w:t>项目编号</w:t>
      </w:r>
      <w:r>
        <w:rPr>
          <w:rFonts w:hint="eastAsia" w:ascii="宋体" w:hAnsi="宋体" w:eastAsia="宋体" w:cs="宋体"/>
          <w:b/>
          <w:bCs/>
          <w:color w:val="auto"/>
          <w:spacing w:val="40"/>
          <w:sz w:val="28"/>
          <w:szCs w:val="22"/>
          <w:highlight w:val="none"/>
          <w:lang w:eastAsia="zh-CN"/>
        </w:rPr>
        <w:t>：</w:t>
      </w:r>
      <w:r>
        <w:rPr>
          <w:rFonts w:hint="eastAsia" w:ascii="宋体" w:hAnsi="宋体" w:cs="宋体"/>
          <w:b/>
          <w:bCs/>
          <w:color w:val="auto"/>
          <w:spacing w:val="40"/>
          <w:sz w:val="28"/>
          <w:szCs w:val="22"/>
          <w:highlight w:val="none"/>
          <w:lang w:eastAsia="zh-CN"/>
        </w:rPr>
        <w:t>GLZC2025-C2-210035-GXJZ</w:t>
      </w:r>
    </w:p>
    <w:p w14:paraId="5E1B0658">
      <w:pPr>
        <w:ind w:firstLine="420" w:firstLineChars="200"/>
        <w:rPr>
          <w:rFonts w:hint="eastAsia" w:ascii="宋体" w:hAnsi="宋体" w:eastAsia="宋体" w:cs="宋体"/>
          <w:color w:val="C00000"/>
          <w:highlight w:val="none"/>
        </w:rPr>
      </w:pPr>
    </w:p>
    <w:p w14:paraId="022B2A7D">
      <w:pPr>
        <w:ind w:firstLine="401" w:firstLineChars="100"/>
        <w:jc w:val="both"/>
        <w:rPr>
          <w:rFonts w:hint="default" w:ascii="宋体" w:hAnsi="宋体" w:eastAsia="宋体" w:cs="宋体"/>
          <w:b/>
          <w:bCs/>
          <w:color w:val="auto"/>
          <w:spacing w:val="40"/>
          <w:sz w:val="32"/>
          <w:highlight w:val="none"/>
          <w:lang w:val="en-US"/>
        </w:rPr>
      </w:pPr>
    </w:p>
    <w:p w14:paraId="615E9BC7">
      <w:pPr>
        <w:ind w:firstLine="1050" w:firstLineChars="500"/>
        <w:rPr>
          <w:rFonts w:hint="eastAsia" w:ascii="宋体" w:hAnsi="宋体" w:eastAsia="宋体" w:cs="宋体"/>
          <w:color w:val="auto"/>
          <w:highlight w:val="none"/>
        </w:rPr>
      </w:pPr>
    </w:p>
    <w:p w14:paraId="06486249">
      <w:pPr>
        <w:ind w:firstLine="1050" w:firstLineChars="500"/>
        <w:rPr>
          <w:rFonts w:hint="eastAsia" w:ascii="宋体" w:hAnsi="宋体" w:eastAsia="宋体" w:cs="宋体"/>
          <w:color w:val="auto"/>
          <w:highlight w:val="none"/>
        </w:rPr>
      </w:pPr>
    </w:p>
    <w:p w14:paraId="355BB029">
      <w:pPr>
        <w:ind w:firstLine="1050" w:firstLineChars="500"/>
        <w:rPr>
          <w:rFonts w:hint="eastAsia" w:ascii="宋体" w:hAnsi="宋体" w:eastAsia="宋体" w:cs="宋体"/>
          <w:color w:val="auto"/>
          <w:highlight w:val="none"/>
        </w:rPr>
      </w:pPr>
    </w:p>
    <w:p w14:paraId="68D61902">
      <w:pPr>
        <w:pStyle w:val="11"/>
        <w:rPr>
          <w:rFonts w:hint="eastAsia"/>
          <w:color w:val="auto"/>
          <w:highlight w:val="none"/>
        </w:rPr>
      </w:pPr>
    </w:p>
    <w:p w14:paraId="761172E6">
      <w:pPr>
        <w:ind w:left="-2" w:leftChars="-1" w:firstLine="630" w:firstLineChars="300"/>
        <w:rPr>
          <w:rFonts w:hint="eastAsia" w:ascii="宋体" w:hAnsi="宋体" w:eastAsia="宋体" w:cs="宋体"/>
          <w:color w:val="auto"/>
          <w:highlight w:val="none"/>
        </w:rPr>
      </w:pPr>
    </w:p>
    <w:p w14:paraId="440DB041">
      <w:pPr>
        <w:ind w:left="-2" w:leftChars="-1" w:firstLine="630" w:firstLineChars="300"/>
        <w:rPr>
          <w:rFonts w:hint="eastAsia" w:ascii="宋体" w:hAnsi="宋体" w:eastAsia="宋体" w:cs="宋体"/>
          <w:color w:val="auto"/>
          <w:highlight w:val="none"/>
        </w:rPr>
      </w:pPr>
    </w:p>
    <w:p w14:paraId="2BDB487B">
      <w:pPr>
        <w:ind w:left="-2" w:leftChars="-1" w:firstLine="630" w:firstLineChars="300"/>
        <w:rPr>
          <w:rFonts w:hint="eastAsia" w:ascii="宋体" w:hAnsi="宋体" w:eastAsia="宋体" w:cs="宋体"/>
          <w:color w:val="auto"/>
          <w:highlight w:val="none"/>
        </w:rPr>
      </w:pPr>
    </w:p>
    <w:p w14:paraId="266F104B">
      <w:pPr>
        <w:pStyle w:val="15"/>
        <w:rPr>
          <w:rFonts w:hint="eastAsia"/>
          <w:color w:val="auto"/>
          <w:highlight w:val="none"/>
        </w:rPr>
      </w:pPr>
    </w:p>
    <w:p w14:paraId="47A1C5B7">
      <w:pPr>
        <w:ind w:firstLine="643" w:firstLineChars="200"/>
        <w:rPr>
          <w:rFonts w:hint="eastAsia" w:ascii="宋体" w:hAnsi="宋体" w:eastAsia="宋体" w:cs="宋体"/>
          <w:color w:val="auto"/>
          <w:sz w:val="32"/>
          <w:szCs w:val="32"/>
          <w:highlight w:val="none"/>
        </w:rPr>
      </w:pPr>
      <w:r>
        <w:rPr>
          <w:rFonts w:hint="eastAsia" w:ascii="宋体" w:hAnsi="宋体" w:eastAsia="宋体" w:cs="宋体"/>
          <w:b/>
          <w:bCs/>
          <w:color w:val="auto"/>
          <w:sz w:val="32"/>
          <w:highlight w:val="none"/>
          <w:lang w:val="en-US" w:eastAsia="zh-CN"/>
        </w:rPr>
        <w:t xml:space="preserve">  </w:t>
      </w:r>
      <w:r>
        <w:rPr>
          <w:rFonts w:hint="eastAsia" w:ascii="宋体" w:hAnsi="宋体" w:eastAsia="宋体" w:cs="宋体"/>
          <w:b/>
          <w:bCs/>
          <w:color w:val="auto"/>
          <w:sz w:val="32"/>
          <w:highlight w:val="none"/>
        </w:rPr>
        <w:t>采购代理机构：</w:t>
      </w:r>
      <w:r>
        <w:rPr>
          <w:rFonts w:hint="eastAsia" w:ascii="宋体" w:hAnsi="宋体" w:cs="宋体"/>
          <w:b/>
          <w:bCs/>
          <w:color w:val="auto"/>
          <w:sz w:val="32"/>
          <w:highlight w:val="none"/>
          <w:lang w:eastAsia="zh-CN"/>
        </w:rPr>
        <w:t xml:space="preserve">广西景钲工程咨询有限公司 </w:t>
      </w:r>
      <w:r>
        <w:rPr>
          <w:rFonts w:hint="eastAsia" w:ascii="宋体" w:hAnsi="宋体" w:eastAsia="宋体" w:cs="宋体"/>
          <w:b/>
          <w:bCs/>
          <w:color w:val="auto"/>
          <w:sz w:val="32"/>
          <w:highlight w:val="none"/>
        </w:rPr>
        <w:t xml:space="preserve"> </w:t>
      </w:r>
      <w:r>
        <w:rPr>
          <w:rFonts w:hint="eastAsia" w:ascii="宋体" w:hAnsi="宋体" w:eastAsia="宋体" w:cs="宋体"/>
          <w:b/>
          <w:bCs/>
          <w:color w:val="auto"/>
          <w:spacing w:val="40"/>
          <w:kern w:val="0"/>
          <w:sz w:val="32"/>
          <w:highlight w:val="none"/>
        </w:rPr>
        <w:t xml:space="preserve">           </w:t>
      </w:r>
      <w:r>
        <w:rPr>
          <w:rFonts w:hint="eastAsia" w:ascii="宋体" w:hAnsi="宋体" w:eastAsia="宋体" w:cs="宋体"/>
          <w:color w:val="auto"/>
          <w:sz w:val="32"/>
          <w:szCs w:val="32"/>
          <w:highlight w:val="none"/>
        </w:rPr>
        <w:t xml:space="preserve">     </w:t>
      </w:r>
    </w:p>
    <w:p w14:paraId="3C049A96">
      <w:pPr>
        <w:ind w:firstLine="3694" w:firstLineChars="1150"/>
        <w:rPr>
          <w:rFonts w:hint="eastAsia" w:ascii="宋体" w:hAnsi="宋体" w:eastAsia="宋体" w:cs="宋体"/>
          <w:color w:val="auto"/>
          <w:sz w:val="32"/>
          <w:highlight w:val="none"/>
        </w:rPr>
      </w:pPr>
      <w:r>
        <w:rPr>
          <w:rFonts w:hint="eastAsia" w:ascii="宋体" w:hAnsi="宋体" w:cs="宋体"/>
          <w:b/>
          <w:bCs/>
          <w:color w:val="auto"/>
          <w:sz w:val="32"/>
          <w:highlight w:val="none"/>
          <w:lang w:val="en-US" w:eastAsia="zh-CN"/>
        </w:rPr>
        <w:t>2025</w:t>
      </w:r>
      <w:r>
        <w:rPr>
          <w:rFonts w:hint="eastAsia" w:ascii="宋体" w:hAnsi="宋体" w:eastAsia="宋体" w:cs="宋体"/>
          <w:b/>
          <w:bCs/>
          <w:color w:val="auto"/>
          <w:sz w:val="32"/>
          <w:highlight w:val="none"/>
        </w:rPr>
        <w:t>年</w:t>
      </w:r>
      <w:r>
        <w:rPr>
          <w:rFonts w:hint="eastAsia" w:ascii="宋体" w:hAnsi="宋体" w:cs="宋体"/>
          <w:b/>
          <w:bCs/>
          <w:color w:val="auto"/>
          <w:sz w:val="32"/>
          <w:highlight w:val="none"/>
          <w:lang w:val="en-US" w:eastAsia="zh-CN"/>
        </w:rPr>
        <w:t>06</w:t>
      </w:r>
      <w:r>
        <w:rPr>
          <w:rFonts w:hint="eastAsia" w:ascii="宋体" w:hAnsi="宋体" w:eastAsia="宋体" w:cs="宋体"/>
          <w:b/>
          <w:bCs/>
          <w:color w:val="auto"/>
          <w:sz w:val="32"/>
          <w:highlight w:val="none"/>
        </w:rPr>
        <w:t>月</w:t>
      </w:r>
    </w:p>
    <w:p w14:paraId="199F9BE7">
      <w:pPr>
        <w:pStyle w:val="17"/>
        <w:keepNext w:val="0"/>
        <w:keepLines w:val="0"/>
        <w:pageBreakBefore w:val="0"/>
        <w:widowControl w:val="0"/>
        <w:tabs>
          <w:tab w:val="right" w:leader="dot" w:pos="9660"/>
        </w:tabs>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auto"/>
          <w:spacing w:val="-6"/>
          <w:kern w:val="0"/>
          <w:sz w:val="30"/>
          <w:szCs w:val="30"/>
          <w:highlight w:val="none"/>
          <w:lang w:eastAsia="zh-CN"/>
        </w:rPr>
      </w:pPr>
    </w:p>
    <w:p w14:paraId="06337A07">
      <w:pPr>
        <w:pStyle w:val="17"/>
        <w:keepNext w:val="0"/>
        <w:keepLines w:val="0"/>
        <w:pageBreakBefore w:val="0"/>
        <w:widowControl w:val="0"/>
        <w:tabs>
          <w:tab w:val="right" w:leader="dot" w:pos="9660"/>
        </w:tabs>
        <w:kinsoku/>
        <w:wordWrap/>
        <w:overflowPunct/>
        <w:topLinePunct w:val="0"/>
        <w:autoSpaceDE/>
        <w:autoSpaceDN/>
        <w:bidi w:val="0"/>
        <w:adjustRightInd/>
        <w:snapToGrid/>
        <w:spacing w:line="360" w:lineRule="auto"/>
        <w:jc w:val="both"/>
        <w:textAlignment w:val="auto"/>
        <w:rPr>
          <w:rFonts w:hint="eastAsia" w:ascii="宋体" w:hAnsi="宋体" w:eastAsia="宋体" w:cs="宋体"/>
          <w:b/>
          <w:color w:val="auto"/>
          <w:spacing w:val="-6"/>
          <w:kern w:val="0"/>
          <w:sz w:val="30"/>
          <w:szCs w:val="30"/>
          <w:highlight w:val="none"/>
          <w:lang w:eastAsia="zh-CN"/>
        </w:rPr>
        <w:sectPr>
          <w:pgSz w:w="11906" w:h="16838"/>
          <w:pgMar w:top="1418" w:right="1115" w:bottom="1418" w:left="1131" w:header="851" w:footer="992" w:gutter="0"/>
          <w:pgNumType w:fmt="decimal" w:start="1"/>
          <w:cols w:space="720" w:num="1"/>
          <w:titlePg/>
          <w:docGrid w:type="lines" w:linePitch="312" w:charSpace="0"/>
        </w:sectPr>
      </w:pPr>
    </w:p>
    <w:p w14:paraId="4025C8AE">
      <w:pPr>
        <w:rPr>
          <w:rFonts w:hint="eastAsia"/>
          <w:color w:val="auto"/>
          <w:highlight w:val="none"/>
          <w:lang w:eastAsia="zh-CN"/>
        </w:rPr>
      </w:pPr>
    </w:p>
    <w:p w14:paraId="20014795">
      <w:pPr>
        <w:pStyle w:val="17"/>
        <w:keepNext w:val="0"/>
        <w:keepLines w:val="0"/>
        <w:pageBreakBefore w:val="0"/>
        <w:widowControl w:val="0"/>
        <w:tabs>
          <w:tab w:val="right" w:leader="dot" w:pos="9660"/>
        </w:tabs>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auto"/>
          <w:spacing w:val="-6"/>
          <w:kern w:val="0"/>
          <w:sz w:val="48"/>
          <w:szCs w:val="48"/>
          <w:highlight w:val="none"/>
          <w:lang w:eastAsia="zh-CN"/>
        </w:rPr>
      </w:pPr>
      <w:r>
        <w:rPr>
          <w:rFonts w:hint="eastAsia" w:ascii="宋体" w:hAnsi="宋体" w:eastAsia="宋体" w:cs="宋体"/>
          <w:b/>
          <w:color w:val="auto"/>
          <w:spacing w:val="-6"/>
          <w:kern w:val="0"/>
          <w:sz w:val="48"/>
          <w:szCs w:val="48"/>
          <w:highlight w:val="none"/>
          <w:lang w:eastAsia="zh-CN"/>
        </w:rPr>
        <w:t>目</w:t>
      </w:r>
      <w:r>
        <w:rPr>
          <w:rFonts w:hint="eastAsia" w:ascii="宋体" w:hAnsi="宋体" w:eastAsia="宋体" w:cs="宋体"/>
          <w:b/>
          <w:color w:val="auto"/>
          <w:spacing w:val="-6"/>
          <w:kern w:val="0"/>
          <w:sz w:val="48"/>
          <w:szCs w:val="48"/>
          <w:highlight w:val="none"/>
          <w:lang w:val="en-US" w:eastAsia="zh-CN"/>
        </w:rPr>
        <w:t xml:space="preserve">  </w:t>
      </w:r>
      <w:r>
        <w:rPr>
          <w:rFonts w:hint="eastAsia" w:ascii="宋体" w:hAnsi="宋体" w:eastAsia="宋体" w:cs="宋体"/>
          <w:b/>
          <w:color w:val="auto"/>
          <w:spacing w:val="-6"/>
          <w:kern w:val="0"/>
          <w:sz w:val="48"/>
          <w:szCs w:val="48"/>
          <w:highlight w:val="none"/>
          <w:lang w:eastAsia="zh-CN"/>
        </w:rPr>
        <w:t>录</w:t>
      </w:r>
    </w:p>
    <w:p w14:paraId="17418BA8">
      <w:pPr>
        <w:rPr>
          <w:rFonts w:hint="eastAsia"/>
          <w:color w:val="auto"/>
          <w:highlight w:val="none"/>
          <w:lang w:eastAsia="zh-CN"/>
        </w:rPr>
      </w:pPr>
    </w:p>
    <w:p w14:paraId="5FC9FDDB">
      <w:pPr>
        <w:pStyle w:val="17"/>
        <w:tabs>
          <w:tab w:val="right" w:leader="dot" w:pos="9660"/>
        </w:tabs>
        <w:rPr>
          <w:color w:val="auto"/>
          <w:sz w:val="28"/>
          <w:szCs w:val="36"/>
          <w:highlight w:val="none"/>
        </w:rPr>
      </w:pPr>
      <w:r>
        <w:rPr>
          <w:rFonts w:hint="eastAsia" w:ascii="宋体" w:hAnsi="宋体" w:eastAsia="宋体" w:cs="宋体"/>
          <w:b/>
          <w:color w:val="auto"/>
          <w:spacing w:val="-6"/>
          <w:kern w:val="0"/>
          <w:sz w:val="36"/>
          <w:szCs w:val="36"/>
          <w:highlight w:val="none"/>
        </w:rPr>
        <w:fldChar w:fldCharType="begin"/>
      </w:r>
      <w:r>
        <w:rPr>
          <w:rFonts w:hint="eastAsia" w:ascii="宋体" w:hAnsi="宋体" w:eastAsia="宋体" w:cs="宋体"/>
          <w:b/>
          <w:color w:val="auto"/>
          <w:spacing w:val="-6"/>
          <w:kern w:val="0"/>
          <w:sz w:val="36"/>
          <w:szCs w:val="36"/>
          <w:highlight w:val="none"/>
        </w:rPr>
        <w:instrText xml:space="preserve">TOC \o "1-2" \h \u </w:instrText>
      </w:r>
      <w:r>
        <w:rPr>
          <w:rFonts w:hint="eastAsia" w:ascii="宋体" w:hAnsi="宋体" w:eastAsia="宋体" w:cs="宋体"/>
          <w:b/>
          <w:color w:val="auto"/>
          <w:spacing w:val="-6"/>
          <w:kern w:val="0"/>
          <w:sz w:val="36"/>
          <w:szCs w:val="36"/>
          <w:highlight w:val="none"/>
        </w:rPr>
        <w:fldChar w:fldCharType="separate"/>
      </w:r>
      <w:r>
        <w:rPr>
          <w:rFonts w:hint="eastAsia" w:ascii="宋体" w:hAnsi="宋体" w:eastAsia="宋体" w:cs="宋体"/>
          <w:color w:val="auto"/>
          <w:spacing w:val="-6"/>
          <w:kern w:val="0"/>
          <w:sz w:val="28"/>
          <w:szCs w:val="36"/>
          <w:highlight w:val="none"/>
        </w:rPr>
        <w:fldChar w:fldCharType="begin"/>
      </w:r>
      <w:r>
        <w:rPr>
          <w:rFonts w:hint="eastAsia" w:ascii="宋体" w:hAnsi="宋体" w:eastAsia="宋体" w:cs="宋体"/>
          <w:color w:val="auto"/>
          <w:spacing w:val="-6"/>
          <w:kern w:val="0"/>
          <w:sz w:val="28"/>
          <w:szCs w:val="36"/>
          <w:highlight w:val="none"/>
        </w:rPr>
        <w:instrText xml:space="preserve"> HYPERLINK \l _Toc4654 </w:instrText>
      </w:r>
      <w:r>
        <w:rPr>
          <w:rFonts w:hint="eastAsia" w:ascii="宋体" w:hAnsi="宋体" w:eastAsia="宋体" w:cs="宋体"/>
          <w:color w:val="auto"/>
          <w:spacing w:val="-6"/>
          <w:kern w:val="0"/>
          <w:sz w:val="28"/>
          <w:szCs w:val="36"/>
          <w:highlight w:val="none"/>
        </w:rPr>
        <w:fldChar w:fldCharType="separate"/>
      </w:r>
      <w:r>
        <w:rPr>
          <w:rFonts w:hint="eastAsia" w:ascii="宋体" w:hAnsi="宋体" w:eastAsia="宋体" w:cs="宋体"/>
          <w:color w:val="auto"/>
          <w:sz w:val="28"/>
          <w:szCs w:val="44"/>
          <w:highlight w:val="none"/>
          <w:lang w:eastAsia="zh-CN"/>
        </w:rPr>
        <w:t>第一章</w:t>
      </w:r>
      <w:r>
        <w:rPr>
          <w:rFonts w:hint="eastAsia" w:ascii="宋体" w:hAnsi="宋体" w:eastAsia="宋体" w:cs="宋体"/>
          <w:color w:val="auto"/>
          <w:sz w:val="28"/>
          <w:szCs w:val="44"/>
          <w:highlight w:val="none"/>
          <w:lang w:val="en-US" w:eastAsia="zh-CN"/>
        </w:rPr>
        <w:t xml:space="preserve">  </w:t>
      </w:r>
      <w:r>
        <w:rPr>
          <w:rFonts w:hint="eastAsia" w:ascii="宋体" w:hAnsi="宋体" w:eastAsia="宋体" w:cs="宋体"/>
          <w:color w:val="auto"/>
          <w:sz w:val="28"/>
          <w:szCs w:val="44"/>
          <w:highlight w:val="none"/>
        </w:rPr>
        <w:t>竞争性磋商公告</w:t>
      </w:r>
      <w:r>
        <w:rPr>
          <w:color w:val="auto"/>
          <w:sz w:val="28"/>
          <w:szCs w:val="36"/>
          <w:highlight w:val="none"/>
        </w:rPr>
        <w:tab/>
      </w:r>
      <w:r>
        <w:rPr>
          <w:color w:val="auto"/>
          <w:sz w:val="28"/>
          <w:szCs w:val="36"/>
          <w:highlight w:val="none"/>
        </w:rPr>
        <w:fldChar w:fldCharType="begin"/>
      </w:r>
      <w:r>
        <w:rPr>
          <w:color w:val="auto"/>
          <w:sz w:val="28"/>
          <w:szCs w:val="36"/>
          <w:highlight w:val="none"/>
        </w:rPr>
        <w:instrText xml:space="preserve"> PAGEREF _Toc4654 \h </w:instrText>
      </w:r>
      <w:r>
        <w:rPr>
          <w:color w:val="auto"/>
          <w:sz w:val="28"/>
          <w:szCs w:val="36"/>
          <w:highlight w:val="none"/>
        </w:rPr>
        <w:fldChar w:fldCharType="separate"/>
      </w:r>
      <w:r>
        <w:rPr>
          <w:color w:val="auto"/>
          <w:sz w:val="28"/>
          <w:szCs w:val="36"/>
          <w:highlight w:val="none"/>
        </w:rPr>
        <w:t>2</w:t>
      </w:r>
      <w:r>
        <w:rPr>
          <w:color w:val="auto"/>
          <w:sz w:val="28"/>
          <w:szCs w:val="36"/>
          <w:highlight w:val="none"/>
        </w:rPr>
        <w:fldChar w:fldCharType="end"/>
      </w:r>
      <w:r>
        <w:rPr>
          <w:rFonts w:hint="eastAsia" w:ascii="宋体" w:hAnsi="宋体" w:eastAsia="宋体" w:cs="宋体"/>
          <w:color w:val="auto"/>
          <w:spacing w:val="-6"/>
          <w:kern w:val="0"/>
          <w:sz w:val="28"/>
          <w:szCs w:val="36"/>
          <w:highlight w:val="none"/>
        </w:rPr>
        <w:fldChar w:fldCharType="end"/>
      </w:r>
    </w:p>
    <w:p w14:paraId="42A17445">
      <w:pPr>
        <w:pStyle w:val="17"/>
        <w:tabs>
          <w:tab w:val="right" w:leader="dot" w:pos="9660"/>
        </w:tabs>
        <w:rPr>
          <w:color w:val="auto"/>
          <w:sz w:val="28"/>
          <w:szCs w:val="36"/>
          <w:highlight w:val="none"/>
        </w:rPr>
      </w:pPr>
      <w:r>
        <w:rPr>
          <w:rFonts w:hint="eastAsia" w:ascii="宋体" w:hAnsi="宋体" w:eastAsia="宋体" w:cs="宋体"/>
          <w:color w:val="auto"/>
          <w:spacing w:val="-6"/>
          <w:kern w:val="0"/>
          <w:sz w:val="28"/>
          <w:szCs w:val="36"/>
          <w:highlight w:val="none"/>
        </w:rPr>
        <w:fldChar w:fldCharType="begin"/>
      </w:r>
      <w:r>
        <w:rPr>
          <w:rFonts w:hint="eastAsia" w:ascii="宋体" w:hAnsi="宋体" w:eastAsia="宋体" w:cs="宋体"/>
          <w:color w:val="auto"/>
          <w:spacing w:val="-6"/>
          <w:kern w:val="0"/>
          <w:sz w:val="28"/>
          <w:szCs w:val="36"/>
          <w:highlight w:val="none"/>
        </w:rPr>
        <w:instrText xml:space="preserve"> HYPERLINK \l _Toc30160 </w:instrText>
      </w:r>
      <w:r>
        <w:rPr>
          <w:rFonts w:hint="eastAsia" w:ascii="宋体" w:hAnsi="宋体" w:eastAsia="宋体" w:cs="宋体"/>
          <w:color w:val="auto"/>
          <w:spacing w:val="-6"/>
          <w:kern w:val="0"/>
          <w:sz w:val="28"/>
          <w:szCs w:val="36"/>
          <w:highlight w:val="none"/>
        </w:rPr>
        <w:fldChar w:fldCharType="separate"/>
      </w:r>
      <w:r>
        <w:rPr>
          <w:rFonts w:hint="eastAsia" w:ascii="宋体" w:hAnsi="宋体" w:eastAsia="宋体" w:cs="宋体"/>
          <w:color w:val="auto"/>
          <w:sz w:val="28"/>
          <w:szCs w:val="44"/>
          <w:highlight w:val="none"/>
          <w:lang w:eastAsia="zh-CN"/>
        </w:rPr>
        <w:t>第二章</w:t>
      </w:r>
      <w:r>
        <w:rPr>
          <w:rFonts w:hint="eastAsia" w:ascii="宋体" w:hAnsi="宋体" w:eastAsia="宋体" w:cs="宋体"/>
          <w:color w:val="auto"/>
          <w:sz w:val="28"/>
          <w:szCs w:val="44"/>
          <w:highlight w:val="none"/>
          <w:lang w:val="en-US" w:eastAsia="zh-CN"/>
        </w:rPr>
        <w:t xml:space="preserve"> </w:t>
      </w:r>
      <w:r>
        <w:rPr>
          <w:rFonts w:hint="eastAsia" w:ascii="宋体" w:hAnsi="宋体" w:eastAsia="宋体" w:cs="宋体"/>
          <w:color w:val="auto"/>
          <w:sz w:val="28"/>
          <w:szCs w:val="44"/>
          <w:highlight w:val="none"/>
        </w:rPr>
        <w:t>供应商须知</w:t>
      </w:r>
      <w:r>
        <w:rPr>
          <w:color w:val="auto"/>
          <w:sz w:val="28"/>
          <w:szCs w:val="36"/>
          <w:highlight w:val="none"/>
        </w:rPr>
        <w:tab/>
      </w:r>
      <w:r>
        <w:rPr>
          <w:color w:val="auto"/>
          <w:sz w:val="28"/>
          <w:szCs w:val="36"/>
          <w:highlight w:val="none"/>
        </w:rPr>
        <w:fldChar w:fldCharType="begin"/>
      </w:r>
      <w:r>
        <w:rPr>
          <w:color w:val="auto"/>
          <w:sz w:val="28"/>
          <w:szCs w:val="36"/>
          <w:highlight w:val="none"/>
        </w:rPr>
        <w:instrText xml:space="preserve"> PAGEREF _Toc30160 \h </w:instrText>
      </w:r>
      <w:r>
        <w:rPr>
          <w:color w:val="auto"/>
          <w:sz w:val="28"/>
          <w:szCs w:val="36"/>
          <w:highlight w:val="none"/>
        </w:rPr>
        <w:fldChar w:fldCharType="separate"/>
      </w:r>
      <w:r>
        <w:rPr>
          <w:color w:val="auto"/>
          <w:sz w:val="28"/>
          <w:szCs w:val="36"/>
          <w:highlight w:val="none"/>
        </w:rPr>
        <w:t>5</w:t>
      </w:r>
      <w:r>
        <w:rPr>
          <w:color w:val="auto"/>
          <w:sz w:val="28"/>
          <w:szCs w:val="36"/>
          <w:highlight w:val="none"/>
        </w:rPr>
        <w:fldChar w:fldCharType="end"/>
      </w:r>
      <w:r>
        <w:rPr>
          <w:rFonts w:hint="eastAsia" w:ascii="宋体" w:hAnsi="宋体" w:eastAsia="宋体" w:cs="宋体"/>
          <w:color w:val="auto"/>
          <w:spacing w:val="-6"/>
          <w:kern w:val="0"/>
          <w:sz w:val="28"/>
          <w:szCs w:val="36"/>
          <w:highlight w:val="none"/>
        </w:rPr>
        <w:fldChar w:fldCharType="end"/>
      </w:r>
    </w:p>
    <w:p w14:paraId="520033B5">
      <w:pPr>
        <w:pStyle w:val="17"/>
        <w:tabs>
          <w:tab w:val="right" w:leader="dot" w:pos="9660"/>
        </w:tabs>
        <w:rPr>
          <w:color w:val="auto"/>
          <w:sz w:val="28"/>
          <w:szCs w:val="36"/>
          <w:highlight w:val="none"/>
        </w:rPr>
      </w:pPr>
      <w:r>
        <w:rPr>
          <w:rFonts w:hint="eastAsia" w:ascii="宋体" w:hAnsi="宋体" w:eastAsia="宋体" w:cs="宋体"/>
          <w:color w:val="auto"/>
          <w:spacing w:val="-6"/>
          <w:kern w:val="0"/>
          <w:sz w:val="28"/>
          <w:szCs w:val="36"/>
          <w:highlight w:val="none"/>
        </w:rPr>
        <w:fldChar w:fldCharType="begin"/>
      </w:r>
      <w:r>
        <w:rPr>
          <w:rFonts w:hint="eastAsia" w:ascii="宋体" w:hAnsi="宋体" w:eastAsia="宋体" w:cs="宋体"/>
          <w:color w:val="auto"/>
          <w:spacing w:val="-6"/>
          <w:kern w:val="0"/>
          <w:sz w:val="28"/>
          <w:szCs w:val="36"/>
          <w:highlight w:val="none"/>
        </w:rPr>
        <w:instrText xml:space="preserve"> HYPERLINK \l _Toc31415 </w:instrText>
      </w:r>
      <w:r>
        <w:rPr>
          <w:rFonts w:hint="eastAsia" w:ascii="宋体" w:hAnsi="宋体" w:eastAsia="宋体" w:cs="宋体"/>
          <w:color w:val="auto"/>
          <w:spacing w:val="-6"/>
          <w:kern w:val="0"/>
          <w:sz w:val="28"/>
          <w:szCs w:val="36"/>
          <w:highlight w:val="none"/>
        </w:rPr>
        <w:fldChar w:fldCharType="separate"/>
      </w:r>
      <w:r>
        <w:rPr>
          <w:rFonts w:hint="eastAsia"/>
          <w:color w:val="auto"/>
          <w:sz w:val="28"/>
          <w:szCs w:val="44"/>
          <w:highlight w:val="none"/>
        </w:rPr>
        <w:t xml:space="preserve">第三章  </w:t>
      </w:r>
      <w:r>
        <w:rPr>
          <w:rFonts w:hint="eastAsia"/>
          <w:color w:val="auto"/>
          <w:sz w:val="28"/>
          <w:szCs w:val="44"/>
          <w:highlight w:val="none"/>
          <w:lang w:eastAsia="zh-CN"/>
        </w:rPr>
        <w:t>工程量清单</w:t>
      </w:r>
      <w:r>
        <w:rPr>
          <w:color w:val="auto"/>
          <w:sz w:val="28"/>
          <w:szCs w:val="36"/>
          <w:highlight w:val="none"/>
        </w:rPr>
        <w:tab/>
      </w:r>
      <w:r>
        <w:rPr>
          <w:color w:val="auto"/>
          <w:sz w:val="28"/>
          <w:szCs w:val="36"/>
          <w:highlight w:val="none"/>
        </w:rPr>
        <w:fldChar w:fldCharType="begin"/>
      </w:r>
      <w:r>
        <w:rPr>
          <w:color w:val="auto"/>
          <w:sz w:val="28"/>
          <w:szCs w:val="36"/>
          <w:highlight w:val="none"/>
        </w:rPr>
        <w:instrText xml:space="preserve"> PAGEREF _Toc31415 \h </w:instrText>
      </w:r>
      <w:r>
        <w:rPr>
          <w:color w:val="auto"/>
          <w:sz w:val="28"/>
          <w:szCs w:val="36"/>
          <w:highlight w:val="none"/>
        </w:rPr>
        <w:fldChar w:fldCharType="separate"/>
      </w:r>
      <w:r>
        <w:rPr>
          <w:color w:val="auto"/>
          <w:sz w:val="28"/>
          <w:szCs w:val="36"/>
          <w:highlight w:val="none"/>
        </w:rPr>
        <w:t>27</w:t>
      </w:r>
      <w:r>
        <w:rPr>
          <w:color w:val="auto"/>
          <w:sz w:val="28"/>
          <w:szCs w:val="36"/>
          <w:highlight w:val="none"/>
        </w:rPr>
        <w:fldChar w:fldCharType="end"/>
      </w:r>
      <w:r>
        <w:rPr>
          <w:rFonts w:hint="eastAsia" w:ascii="宋体" w:hAnsi="宋体" w:eastAsia="宋体" w:cs="宋体"/>
          <w:color w:val="auto"/>
          <w:spacing w:val="-6"/>
          <w:kern w:val="0"/>
          <w:sz w:val="28"/>
          <w:szCs w:val="36"/>
          <w:highlight w:val="none"/>
        </w:rPr>
        <w:fldChar w:fldCharType="end"/>
      </w:r>
    </w:p>
    <w:p w14:paraId="5958FB1A">
      <w:pPr>
        <w:pStyle w:val="17"/>
        <w:tabs>
          <w:tab w:val="right" w:leader="dot" w:pos="9660"/>
        </w:tabs>
        <w:rPr>
          <w:color w:val="auto"/>
          <w:sz w:val="28"/>
          <w:szCs w:val="36"/>
          <w:highlight w:val="none"/>
        </w:rPr>
      </w:pPr>
      <w:r>
        <w:rPr>
          <w:rFonts w:hint="eastAsia" w:ascii="宋体" w:hAnsi="宋体" w:eastAsia="宋体" w:cs="宋体"/>
          <w:color w:val="auto"/>
          <w:spacing w:val="-6"/>
          <w:kern w:val="0"/>
          <w:sz w:val="28"/>
          <w:szCs w:val="36"/>
          <w:highlight w:val="none"/>
        </w:rPr>
        <w:fldChar w:fldCharType="begin"/>
      </w:r>
      <w:r>
        <w:rPr>
          <w:rFonts w:hint="eastAsia" w:ascii="宋体" w:hAnsi="宋体" w:eastAsia="宋体" w:cs="宋体"/>
          <w:color w:val="auto"/>
          <w:spacing w:val="-6"/>
          <w:kern w:val="0"/>
          <w:sz w:val="28"/>
          <w:szCs w:val="36"/>
          <w:highlight w:val="none"/>
        </w:rPr>
        <w:instrText xml:space="preserve"> HYPERLINK \l _Toc17774 </w:instrText>
      </w:r>
      <w:r>
        <w:rPr>
          <w:rFonts w:hint="eastAsia" w:ascii="宋体" w:hAnsi="宋体" w:eastAsia="宋体" w:cs="宋体"/>
          <w:color w:val="auto"/>
          <w:spacing w:val="-6"/>
          <w:kern w:val="0"/>
          <w:sz w:val="28"/>
          <w:szCs w:val="36"/>
          <w:highlight w:val="none"/>
        </w:rPr>
        <w:fldChar w:fldCharType="separate"/>
      </w:r>
      <w:r>
        <w:rPr>
          <w:rFonts w:hint="eastAsia" w:ascii="宋体" w:hAnsi="宋体" w:eastAsia="宋体" w:cs="宋体"/>
          <w:color w:val="auto"/>
          <w:sz w:val="28"/>
          <w:szCs w:val="44"/>
          <w:highlight w:val="none"/>
          <w:lang w:eastAsia="zh-CN"/>
        </w:rPr>
        <w:t>第四章</w:t>
      </w:r>
      <w:r>
        <w:rPr>
          <w:rFonts w:hint="eastAsia" w:ascii="宋体" w:hAnsi="宋体" w:eastAsia="宋体" w:cs="宋体"/>
          <w:color w:val="auto"/>
          <w:sz w:val="28"/>
          <w:szCs w:val="44"/>
          <w:highlight w:val="none"/>
          <w:lang w:val="en-US" w:eastAsia="zh-CN"/>
        </w:rPr>
        <w:t xml:space="preserve"> </w:t>
      </w:r>
      <w:r>
        <w:rPr>
          <w:rFonts w:hint="eastAsia" w:ascii="宋体" w:hAnsi="宋体" w:eastAsia="宋体" w:cs="宋体"/>
          <w:color w:val="auto"/>
          <w:sz w:val="28"/>
          <w:szCs w:val="44"/>
          <w:highlight w:val="none"/>
        </w:rPr>
        <w:t>评审办法</w:t>
      </w:r>
      <w:r>
        <w:rPr>
          <w:color w:val="auto"/>
          <w:sz w:val="28"/>
          <w:szCs w:val="36"/>
          <w:highlight w:val="none"/>
        </w:rPr>
        <w:tab/>
      </w:r>
      <w:r>
        <w:rPr>
          <w:color w:val="auto"/>
          <w:sz w:val="28"/>
          <w:szCs w:val="36"/>
          <w:highlight w:val="none"/>
        </w:rPr>
        <w:fldChar w:fldCharType="begin"/>
      </w:r>
      <w:r>
        <w:rPr>
          <w:color w:val="auto"/>
          <w:sz w:val="28"/>
          <w:szCs w:val="36"/>
          <w:highlight w:val="none"/>
        </w:rPr>
        <w:instrText xml:space="preserve"> PAGEREF _Toc17774 \h </w:instrText>
      </w:r>
      <w:r>
        <w:rPr>
          <w:color w:val="auto"/>
          <w:sz w:val="28"/>
          <w:szCs w:val="36"/>
          <w:highlight w:val="none"/>
        </w:rPr>
        <w:fldChar w:fldCharType="separate"/>
      </w:r>
      <w:r>
        <w:rPr>
          <w:color w:val="auto"/>
          <w:sz w:val="28"/>
          <w:szCs w:val="36"/>
          <w:highlight w:val="none"/>
        </w:rPr>
        <w:t>28</w:t>
      </w:r>
      <w:r>
        <w:rPr>
          <w:color w:val="auto"/>
          <w:sz w:val="28"/>
          <w:szCs w:val="36"/>
          <w:highlight w:val="none"/>
        </w:rPr>
        <w:fldChar w:fldCharType="end"/>
      </w:r>
      <w:r>
        <w:rPr>
          <w:rFonts w:hint="eastAsia" w:ascii="宋体" w:hAnsi="宋体" w:eastAsia="宋体" w:cs="宋体"/>
          <w:color w:val="auto"/>
          <w:spacing w:val="-6"/>
          <w:kern w:val="0"/>
          <w:sz w:val="28"/>
          <w:szCs w:val="36"/>
          <w:highlight w:val="none"/>
        </w:rPr>
        <w:fldChar w:fldCharType="end"/>
      </w:r>
    </w:p>
    <w:p w14:paraId="567F47FC">
      <w:pPr>
        <w:pStyle w:val="17"/>
        <w:tabs>
          <w:tab w:val="right" w:leader="dot" w:pos="9660"/>
        </w:tabs>
        <w:rPr>
          <w:color w:val="auto"/>
          <w:sz w:val="28"/>
          <w:szCs w:val="36"/>
          <w:highlight w:val="none"/>
        </w:rPr>
      </w:pPr>
      <w:r>
        <w:rPr>
          <w:rFonts w:hint="eastAsia" w:ascii="宋体" w:hAnsi="宋体" w:eastAsia="宋体" w:cs="宋体"/>
          <w:color w:val="auto"/>
          <w:spacing w:val="-6"/>
          <w:kern w:val="0"/>
          <w:sz w:val="28"/>
          <w:szCs w:val="36"/>
          <w:highlight w:val="none"/>
        </w:rPr>
        <w:fldChar w:fldCharType="begin"/>
      </w:r>
      <w:r>
        <w:rPr>
          <w:rFonts w:hint="eastAsia" w:ascii="宋体" w:hAnsi="宋体" w:eastAsia="宋体" w:cs="宋体"/>
          <w:color w:val="auto"/>
          <w:spacing w:val="-6"/>
          <w:kern w:val="0"/>
          <w:sz w:val="28"/>
          <w:szCs w:val="36"/>
          <w:highlight w:val="none"/>
        </w:rPr>
        <w:instrText xml:space="preserve"> HYPERLINK \l _Toc7776 </w:instrText>
      </w:r>
      <w:r>
        <w:rPr>
          <w:rFonts w:hint="eastAsia" w:ascii="宋体" w:hAnsi="宋体" w:eastAsia="宋体" w:cs="宋体"/>
          <w:color w:val="auto"/>
          <w:spacing w:val="-6"/>
          <w:kern w:val="0"/>
          <w:sz w:val="28"/>
          <w:szCs w:val="36"/>
          <w:highlight w:val="none"/>
        </w:rPr>
        <w:fldChar w:fldCharType="separate"/>
      </w:r>
      <w:r>
        <w:rPr>
          <w:rFonts w:hint="eastAsia" w:ascii="宋体" w:hAnsi="宋体" w:eastAsia="宋体" w:cs="宋体"/>
          <w:color w:val="auto"/>
          <w:sz w:val="28"/>
          <w:szCs w:val="44"/>
          <w:highlight w:val="none"/>
          <w:lang w:eastAsia="zh-CN"/>
        </w:rPr>
        <w:t>第五章</w:t>
      </w:r>
      <w:r>
        <w:rPr>
          <w:rFonts w:hint="eastAsia" w:ascii="宋体" w:hAnsi="宋体" w:eastAsia="宋体" w:cs="宋体"/>
          <w:color w:val="auto"/>
          <w:sz w:val="28"/>
          <w:szCs w:val="44"/>
          <w:highlight w:val="none"/>
          <w:lang w:val="en-US" w:eastAsia="zh-CN"/>
        </w:rPr>
        <w:t xml:space="preserve"> </w:t>
      </w:r>
      <w:r>
        <w:rPr>
          <w:rFonts w:hint="eastAsia" w:ascii="宋体" w:hAnsi="宋体" w:eastAsia="宋体" w:cs="宋体"/>
          <w:color w:val="auto"/>
          <w:sz w:val="28"/>
          <w:szCs w:val="44"/>
          <w:highlight w:val="none"/>
        </w:rPr>
        <w:t>采购合同（合同主要条款及格式）</w:t>
      </w:r>
      <w:r>
        <w:rPr>
          <w:color w:val="auto"/>
          <w:sz w:val="28"/>
          <w:szCs w:val="36"/>
          <w:highlight w:val="none"/>
        </w:rPr>
        <w:tab/>
      </w:r>
      <w:r>
        <w:rPr>
          <w:color w:val="auto"/>
          <w:sz w:val="28"/>
          <w:szCs w:val="36"/>
          <w:highlight w:val="none"/>
        </w:rPr>
        <w:fldChar w:fldCharType="begin"/>
      </w:r>
      <w:r>
        <w:rPr>
          <w:color w:val="auto"/>
          <w:sz w:val="28"/>
          <w:szCs w:val="36"/>
          <w:highlight w:val="none"/>
        </w:rPr>
        <w:instrText xml:space="preserve"> PAGEREF _Toc7776 \h </w:instrText>
      </w:r>
      <w:r>
        <w:rPr>
          <w:color w:val="auto"/>
          <w:sz w:val="28"/>
          <w:szCs w:val="36"/>
          <w:highlight w:val="none"/>
        </w:rPr>
        <w:fldChar w:fldCharType="separate"/>
      </w:r>
      <w:r>
        <w:rPr>
          <w:color w:val="auto"/>
          <w:sz w:val="28"/>
          <w:szCs w:val="36"/>
          <w:highlight w:val="none"/>
        </w:rPr>
        <w:t>35</w:t>
      </w:r>
      <w:r>
        <w:rPr>
          <w:color w:val="auto"/>
          <w:sz w:val="28"/>
          <w:szCs w:val="36"/>
          <w:highlight w:val="none"/>
        </w:rPr>
        <w:fldChar w:fldCharType="end"/>
      </w:r>
      <w:r>
        <w:rPr>
          <w:rFonts w:hint="eastAsia" w:ascii="宋体" w:hAnsi="宋体" w:eastAsia="宋体" w:cs="宋体"/>
          <w:color w:val="auto"/>
          <w:spacing w:val="-6"/>
          <w:kern w:val="0"/>
          <w:sz w:val="28"/>
          <w:szCs w:val="36"/>
          <w:highlight w:val="none"/>
        </w:rPr>
        <w:fldChar w:fldCharType="end"/>
      </w:r>
    </w:p>
    <w:p w14:paraId="09C19EE0">
      <w:pPr>
        <w:pStyle w:val="18"/>
        <w:tabs>
          <w:tab w:val="right" w:leader="dot" w:pos="9660"/>
        </w:tabs>
        <w:ind w:left="0" w:leftChars="0" w:firstLine="0" w:firstLineChars="0"/>
        <w:rPr>
          <w:color w:val="auto"/>
          <w:sz w:val="28"/>
          <w:szCs w:val="36"/>
          <w:highlight w:val="none"/>
        </w:rPr>
      </w:pPr>
      <w:r>
        <w:rPr>
          <w:rFonts w:hint="eastAsia" w:ascii="宋体" w:hAnsi="宋体" w:eastAsia="宋体" w:cs="宋体"/>
          <w:color w:val="auto"/>
          <w:spacing w:val="-6"/>
          <w:kern w:val="0"/>
          <w:sz w:val="28"/>
          <w:szCs w:val="36"/>
          <w:highlight w:val="none"/>
        </w:rPr>
        <w:fldChar w:fldCharType="begin"/>
      </w:r>
      <w:r>
        <w:rPr>
          <w:rFonts w:hint="eastAsia" w:ascii="宋体" w:hAnsi="宋体" w:eastAsia="宋体" w:cs="宋体"/>
          <w:color w:val="auto"/>
          <w:spacing w:val="-6"/>
          <w:kern w:val="0"/>
          <w:sz w:val="28"/>
          <w:szCs w:val="36"/>
          <w:highlight w:val="none"/>
        </w:rPr>
        <w:instrText xml:space="preserve"> HYPERLINK \l _Toc32030 </w:instrText>
      </w:r>
      <w:r>
        <w:rPr>
          <w:rFonts w:hint="eastAsia" w:ascii="宋体" w:hAnsi="宋体" w:eastAsia="宋体" w:cs="宋体"/>
          <w:color w:val="auto"/>
          <w:spacing w:val="-6"/>
          <w:kern w:val="0"/>
          <w:sz w:val="28"/>
          <w:szCs w:val="36"/>
          <w:highlight w:val="none"/>
        </w:rPr>
        <w:fldChar w:fldCharType="separate"/>
      </w:r>
      <w:r>
        <w:rPr>
          <w:rFonts w:hint="eastAsia" w:ascii="宋体" w:hAnsi="宋体" w:eastAsia="宋体" w:cs="宋体"/>
          <w:bCs/>
          <w:color w:val="auto"/>
          <w:kern w:val="44"/>
          <w:sz w:val="28"/>
          <w:szCs w:val="44"/>
          <w:highlight w:val="none"/>
        </w:rPr>
        <w:t xml:space="preserve">第六章  </w:t>
      </w:r>
      <w:r>
        <w:rPr>
          <w:rFonts w:hint="eastAsia" w:ascii="宋体" w:hAnsi="宋体" w:eastAsia="宋体" w:cs="宋体"/>
          <w:bCs/>
          <w:color w:val="auto"/>
          <w:sz w:val="28"/>
          <w:szCs w:val="44"/>
          <w:highlight w:val="none"/>
        </w:rPr>
        <w:t>响应文件（格式）</w:t>
      </w:r>
      <w:r>
        <w:rPr>
          <w:color w:val="auto"/>
          <w:sz w:val="28"/>
          <w:szCs w:val="36"/>
          <w:highlight w:val="none"/>
        </w:rPr>
        <w:tab/>
      </w:r>
      <w:r>
        <w:rPr>
          <w:color w:val="auto"/>
          <w:sz w:val="28"/>
          <w:szCs w:val="36"/>
          <w:highlight w:val="none"/>
        </w:rPr>
        <w:fldChar w:fldCharType="begin"/>
      </w:r>
      <w:r>
        <w:rPr>
          <w:color w:val="auto"/>
          <w:sz w:val="28"/>
          <w:szCs w:val="36"/>
          <w:highlight w:val="none"/>
        </w:rPr>
        <w:instrText xml:space="preserve"> PAGEREF _Toc32030 \h </w:instrText>
      </w:r>
      <w:r>
        <w:rPr>
          <w:color w:val="auto"/>
          <w:sz w:val="28"/>
          <w:szCs w:val="36"/>
          <w:highlight w:val="none"/>
        </w:rPr>
        <w:fldChar w:fldCharType="separate"/>
      </w:r>
      <w:r>
        <w:rPr>
          <w:color w:val="auto"/>
          <w:sz w:val="28"/>
          <w:szCs w:val="36"/>
          <w:highlight w:val="none"/>
        </w:rPr>
        <w:t>78</w:t>
      </w:r>
      <w:r>
        <w:rPr>
          <w:color w:val="auto"/>
          <w:sz w:val="28"/>
          <w:szCs w:val="36"/>
          <w:highlight w:val="none"/>
        </w:rPr>
        <w:fldChar w:fldCharType="end"/>
      </w:r>
      <w:r>
        <w:rPr>
          <w:rFonts w:hint="eastAsia" w:ascii="宋体" w:hAnsi="宋体" w:eastAsia="宋体" w:cs="宋体"/>
          <w:color w:val="auto"/>
          <w:spacing w:val="-6"/>
          <w:kern w:val="0"/>
          <w:sz w:val="28"/>
          <w:szCs w:val="36"/>
          <w:highlight w:val="none"/>
        </w:rPr>
        <w:fldChar w:fldCharType="end"/>
      </w:r>
    </w:p>
    <w:p w14:paraId="090126EB">
      <w:pPr>
        <w:pStyle w:val="17"/>
        <w:tabs>
          <w:tab w:val="right" w:leader="dot" w:pos="9660"/>
        </w:tabs>
        <w:rPr>
          <w:color w:val="auto"/>
          <w:sz w:val="28"/>
          <w:szCs w:val="36"/>
          <w:highlight w:val="none"/>
        </w:rPr>
      </w:pPr>
      <w:r>
        <w:rPr>
          <w:rFonts w:hint="eastAsia" w:ascii="宋体" w:hAnsi="宋体" w:eastAsia="宋体" w:cs="宋体"/>
          <w:color w:val="auto"/>
          <w:spacing w:val="-6"/>
          <w:kern w:val="0"/>
          <w:sz w:val="28"/>
          <w:szCs w:val="36"/>
          <w:highlight w:val="none"/>
        </w:rPr>
        <w:fldChar w:fldCharType="begin"/>
      </w:r>
      <w:r>
        <w:rPr>
          <w:rFonts w:hint="eastAsia" w:ascii="宋体" w:hAnsi="宋体" w:eastAsia="宋体" w:cs="宋体"/>
          <w:color w:val="auto"/>
          <w:spacing w:val="-6"/>
          <w:kern w:val="0"/>
          <w:sz w:val="28"/>
          <w:szCs w:val="36"/>
          <w:highlight w:val="none"/>
        </w:rPr>
        <w:instrText xml:space="preserve"> HYPERLINK \l _Toc6063 </w:instrText>
      </w:r>
      <w:r>
        <w:rPr>
          <w:rFonts w:hint="eastAsia" w:ascii="宋体" w:hAnsi="宋体" w:eastAsia="宋体" w:cs="宋体"/>
          <w:color w:val="auto"/>
          <w:spacing w:val="-6"/>
          <w:kern w:val="0"/>
          <w:sz w:val="28"/>
          <w:szCs w:val="36"/>
          <w:highlight w:val="none"/>
        </w:rPr>
        <w:fldChar w:fldCharType="separate"/>
      </w:r>
      <w:r>
        <w:rPr>
          <w:rFonts w:hint="eastAsia"/>
          <w:color w:val="auto"/>
          <w:sz w:val="28"/>
          <w:szCs w:val="36"/>
          <w:highlight w:val="none"/>
        </w:rPr>
        <w:t>第七章、图纸</w:t>
      </w:r>
      <w:r>
        <w:rPr>
          <w:color w:val="auto"/>
          <w:sz w:val="28"/>
          <w:szCs w:val="36"/>
          <w:highlight w:val="none"/>
        </w:rPr>
        <w:tab/>
      </w:r>
      <w:r>
        <w:rPr>
          <w:color w:val="auto"/>
          <w:sz w:val="28"/>
          <w:szCs w:val="36"/>
          <w:highlight w:val="none"/>
        </w:rPr>
        <w:fldChar w:fldCharType="begin"/>
      </w:r>
      <w:r>
        <w:rPr>
          <w:color w:val="auto"/>
          <w:sz w:val="28"/>
          <w:szCs w:val="36"/>
          <w:highlight w:val="none"/>
        </w:rPr>
        <w:instrText xml:space="preserve"> PAGEREF _Toc6063 \h </w:instrText>
      </w:r>
      <w:r>
        <w:rPr>
          <w:color w:val="auto"/>
          <w:sz w:val="28"/>
          <w:szCs w:val="36"/>
          <w:highlight w:val="none"/>
        </w:rPr>
        <w:fldChar w:fldCharType="separate"/>
      </w:r>
      <w:r>
        <w:rPr>
          <w:color w:val="auto"/>
          <w:sz w:val="28"/>
          <w:szCs w:val="36"/>
          <w:highlight w:val="none"/>
        </w:rPr>
        <w:t>100</w:t>
      </w:r>
      <w:r>
        <w:rPr>
          <w:color w:val="auto"/>
          <w:sz w:val="28"/>
          <w:szCs w:val="36"/>
          <w:highlight w:val="none"/>
        </w:rPr>
        <w:fldChar w:fldCharType="end"/>
      </w:r>
      <w:r>
        <w:rPr>
          <w:rFonts w:hint="eastAsia" w:ascii="宋体" w:hAnsi="宋体" w:eastAsia="宋体" w:cs="宋体"/>
          <w:color w:val="auto"/>
          <w:spacing w:val="-6"/>
          <w:kern w:val="0"/>
          <w:sz w:val="28"/>
          <w:szCs w:val="36"/>
          <w:highlight w:val="none"/>
        </w:rPr>
        <w:fldChar w:fldCharType="end"/>
      </w:r>
    </w:p>
    <w:p w14:paraId="59B5519C">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color w:val="auto"/>
          <w:spacing w:val="-6"/>
          <w:kern w:val="0"/>
          <w:sz w:val="36"/>
          <w:szCs w:val="36"/>
          <w:highlight w:val="none"/>
        </w:rPr>
      </w:pPr>
      <w:r>
        <w:rPr>
          <w:rFonts w:hint="eastAsia" w:ascii="宋体" w:hAnsi="宋体" w:eastAsia="宋体" w:cs="宋体"/>
          <w:color w:val="auto"/>
          <w:spacing w:val="-6"/>
          <w:kern w:val="0"/>
          <w:sz w:val="28"/>
          <w:szCs w:val="36"/>
          <w:highlight w:val="none"/>
        </w:rPr>
        <w:fldChar w:fldCharType="end"/>
      </w:r>
    </w:p>
    <w:p w14:paraId="217F62B2">
      <w:pPr>
        <w:pStyle w:val="5"/>
        <w:rPr>
          <w:rFonts w:hint="eastAsia" w:ascii="宋体" w:hAnsi="宋体" w:eastAsia="宋体" w:cs="宋体"/>
          <w:color w:val="auto"/>
          <w:spacing w:val="-6"/>
          <w:kern w:val="0"/>
          <w:sz w:val="24"/>
          <w:szCs w:val="24"/>
          <w:highlight w:val="none"/>
        </w:rPr>
      </w:pPr>
    </w:p>
    <w:p w14:paraId="17DD9239">
      <w:pPr>
        <w:rPr>
          <w:rFonts w:hint="eastAsia" w:ascii="宋体" w:hAnsi="宋体" w:eastAsia="宋体" w:cs="宋体"/>
          <w:color w:val="auto"/>
          <w:spacing w:val="-6"/>
          <w:kern w:val="0"/>
          <w:sz w:val="24"/>
          <w:szCs w:val="24"/>
          <w:highlight w:val="none"/>
        </w:rPr>
      </w:pPr>
    </w:p>
    <w:p w14:paraId="609621FD">
      <w:pPr>
        <w:pStyle w:val="5"/>
        <w:rPr>
          <w:rFonts w:hint="eastAsia" w:ascii="宋体" w:hAnsi="宋体" w:eastAsia="宋体" w:cs="宋体"/>
          <w:color w:val="auto"/>
          <w:spacing w:val="-6"/>
          <w:kern w:val="0"/>
          <w:sz w:val="24"/>
          <w:szCs w:val="24"/>
          <w:highlight w:val="none"/>
        </w:rPr>
      </w:pPr>
    </w:p>
    <w:p w14:paraId="37380C45">
      <w:pPr>
        <w:rPr>
          <w:rFonts w:hint="eastAsia" w:ascii="宋体" w:hAnsi="宋体" w:eastAsia="宋体" w:cs="宋体"/>
          <w:color w:val="auto"/>
          <w:spacing w:val="-6"/>
          <w:kern w:val="0"/>
          <w:sz w:val="24"/>
          <w:szCs w:val="24"/>
          <w:highlight w:val="none"/>
        </w:rPr>
      </w:pPr>
    </w:p>
    <w:p w14:paraId="77862924">
      <w:pPr>
        <w:pStyle w:val="5"/>
        <w:rPr>
          <w:rFonts w:hint="eastAsia" w:ascii="宋体" w:hAnsi="宋体" w:eastAsia="宋体" w:cs="宋体"/>
          <w:color w:val="auto"/>
          <w:spacing w:val="-6"/>
          <w:kern w:val="0"/>
          <w:sz w:val="24"/>
          <w:szCs w:val="24"/>
          <w:highlight w:val="none"/>
        </w:rPr>
      </w:pPr>
    </w:p>
    <w:p w14:paraId="06EBB8A9">
      <w:pPr>
        <w:rPr>
          <w:color w:val="auto"/>
          <w:highlight w:val="none"/>
        </w:rPr>
      </w:pPr>
    </w:p>
    <w:p w14:paraId="5FCB9521">
      <w:pPr>
        <w:pStyle w:val="4"/>
        <w:numPr>
          <w:ilvl w:val="0"/>
          <w:numId w:val="1"/>
        </w:numPr>
        <w:tabs>
          <w:tab w:val="left" w:pos="0"/>
        </w:tabs>
        <w:autoSpaceDE w:val="0"/>
        <w:autoSpaceDN w:val="0"/>
        <w:adjustRightInd w:val="0"/>
        <w:spacing w:before="0" w:after="0" w:line="360" w:lineRule="auto"/>
        <w:ind w:firstLine="425"/>
        <w:jc w:val="center"/>
        <w:rPr>
          <w:rFonts w:hint="eastAsia" w:ascii="宋体" w:hAnsi="宋体" w:eastAsia="宋体" w:cs="宋体"/>
          <w:color w:val="auto"/>
          <w:sz w:val="32"/>
          <w:szCs w:val="32"/>
          <w:highlight w:val="none"/>
        </w:rPr>
        <w:sectPr>
          <w:footerReference r:id="rId4" w:type="first"/>
          <w:footerReference r:id="rId3" w:type="default"/>
          <w:pgSz w:w="11906" w:h="16838"/>
          <w:pgMar w:top="1418" w:right="1115" w:bottom="1418" w:left="1131" w:header="851" w:footer="992" w:gutter="0"/>
          <w:pgNumType w:fmt="decimal" w:start="1"/>
          <w:cols w:space="720" w:num="1"/>
          <w:titlePg/>
          <w:docGrid w:type="lines" w:linePitch="312" w:charSpace="0"/>
        </w:sectPr>
      </w:pPr>
      <w:bookmarkStart w:id="0" w:name="_Toc26809"/>
      <w:bookmarkStart w:id="1" w:name="_Toc30170"/>
      <w:bookmarkStart w:id="2" w:name="_Toc28359011"/>
      <w:bookmarkStart w:id="3" w:name="_Toc35393797"/>
      <w:bookmarkStart w:id="4" w:name="_Toc21930"/>
    </w:p>
    <w:p w14:paraId="73FA726D">
      <w:pPr>
        <w:pStyle w:val="4"/>
        <w:numPr>
          <w:ilvl w:val="0"/>
          <w:numId w:val="0"/>
        </w:numPr>
        <w:tabs>
          <w:tab w:val="left" w:pos="0"/>
        </w:tabs>
        <w:autoSpaceDE w:val="0"/>
        <w:autoSpaceDN w:val="0"/>
        <w:adjustRightInd w:val="0"/>
        <w:spacing w:before="0" w:after="0" w:line="360" w:lineRule="auto"/>
        <w:ind w:left="425" w:leftChars="0"/>
        <w:jc w:val="center"/>
        <w:rPr>
          <w:rFonts w:hint="eastAsia" w:ascii="宋体" w:hAnsi="宋体" w:eastAsia="宋体" w:cs="宋体"/>
          <w:color w:val="auto"/>
          <w:sz w:val="32"/>
          <w:szCs w:val="32"/>
          <w:highlight w:val="none"/>
        </w:rPr>
      </w:pPr>
      <w:bookmarkStart w:id="5" w:name="_Toc4654"/>
      <w:r>
        <w:rPr>
          <w:rFonts w:hint="eastAsia" w:ascii="宋体" w:hAnsi="宋体" w:eastAsia="宋体" w:cs="宋体"/>
          <w:color w:val="auto"/>
          <w:sz w:val="32"/>
          <w:szCs w:val="32"/>
          <w:highlight w:val="none"/>
          <w:lang w:eastAsia="zh-CN"/>
        </w:rPr>
        <w:t>第一章</w:t>
      </w:r>
      <w:r>
        <w:rPr>
          <w:rFonts w:hint="eastAsia" w:ascii="宋体" w:hAnsi="宋体" w:eastAsia="宋体" w:cs="宋体"/>
          <w:color w:val="auto"/>
          <w:sz w:val="32"/>
          <w:szCs w:val="32"/>
          <w:highlight w:val="none"/>
          <w:lang w:val="en-US" w:eastAsia="zh-CN"/>
        </w:rPr>
        <w:t xml:space="preserve">  </w:t>
      </w:r>
      <w:r>
        <w:rPr>
          <w:rFonts w:hint="eastAsia" w:ascii="宋体" w:hAnsi="宋体" w:eastAsia="宋体" w:cs="宋体"/>
          <w:color w:val="auto"/>
          <w:sz w:val="32"/>
          <w:szCs w:val="32"/>
          <w:highlight w:val="none"/>
        </w:rPr>
        <w:t>竞争性磋商公告</w:t>
      </w:r>
      <w:bookmarkEnd w:id="0"/>
      <w:bookmarkEnd w:id="1"/>
      <w:bookmarkEnd w:id="2"/>
      <w:bookmarkEnd w:id="3"/>
      <w:bookmarkEnd w:id="4"/>
      <w:bookmarkEnd w:id="5"/>
    </w:p>
    <w:tbl>
      <w:tblPr>
        <w:tblStyle w:val="30"/>
        <w:tblpPr w:leftFromText="180" w:rightFromText="180" w:vertAnchor="text" w:tblpX="38" w:tblpY="134"/>
        <w:tblOverlap w:val="never"/>
        <w:tblW w:w="9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0"/>
      </w:tblGrid>
      <w:tr w14:paraId="25039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0" w:hRule="atLeast"/>
        </w:trPr>
        <w:tc>
          <w:tcPr>
            <w:tcW w:w="9320" w:type="dxa"/>
            <w:noWrap w:val="0"/>
            <w:vAlign w:val="top"/>
          </w:tcPr>
          <w:p w14:paraId="46DD2BCA">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项目概况</w:t>
            </w:r>
          </w:p>
          <w:p w14:paraId="34D5D304">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cs="宋体"/>
                <w:b w:val="0"/>
                <w:bCs w:val="0"/>
                <w:color w:val="auto"/>
                <w:kern w:val="2"/>
                <w:sz w:val="21"/>
                <w:szCs w:val="24"/>
                <w:highlight w:val="none"/>
                <w:lang w:val="en-US" w:eastAsia="zh-CN" w:bidi="ar-SA"/>
              </w:rPr>
              <w:t>阳朔县仙桂桥修缮工程（重）</w:t>
            </w:r>
            <w:r>
              <w:rPr>
                <w:rFonts w:hint="eastAsia" w:ascii="宋体" w:hAnsi="宋体" w:eastAsia="宋体" w:cs="宋体"/>
                <w:b w:val="0"/>
                <w:bCs w:val="0"/>
                <w:color w:val="auto"/>
                <w:kern w:val="2"/>
                <w:sz w:val="21"/>
                <w:szCs w:val="24"/>
                <w:highlight w:val="none"/>
                <w:lang w:val="en-US" w:eastAsia="zh-CN" w:bidi="ar-SA"/>
              </w:rPr>
              <w:t>的潜在供应商登陆广西政府采购云平台（https://www.gcy.zfcg.gxzf.gov.cn/）免费下载竞争性磋商文件电子版，并于</w:t>
            </w:r>
            <w:r>
              <w:rPr>
                <w:rFonts w:hint="eastAsia" w:ascii="宋体" w:hAnsi="宋体" w:cs="宋体"/>
                <w:b w:val="0"/>
                <w:bCs w:val="0"/>
                <w:color w:val="auto"/>
                <w:kern w:val="2"/>
                <w:sz w:val="21"/>
                <w:szCs w:val="24"/>
                <w:highlight w:val="none"/>
                <w:lang w:val="en-US" w:eastAsia="zh-CN" w:bidi="ar-SA"/>
              </w:rPr>
              <w:t>2025</w:t>
            </w:r>
            <w:r>
              <w:rPr>
                <w:rFonts w:hint="eastAsia" w:ascii="宋体" w:hAnsi="宋体" w:eastAsia="宋体" w:cs="宋体"/>
                <w:b w:val="0"/>
                <w:bCs w:val="0"/>
                <w:color w:val="auto"/>
                <w:kern w:val="2"/>
                <w:sz w:val="21"/>
                <w:szCs w:val="24"/>
                <w:highlight w:val="none"/>
                <w:lang w:val="en-US" w:eastAsia="zh-CN" w:bidi="ar-SA"/>
              </w:rPr>
              <w:t>年</w:t>
            </w:r>
            <w:r>
              <w:rPr>
                <w:rFonts w:hint="eastAsia" w:ascii="宋体" w:hAnsi="宋体" w:cs="宋体"/>
                <w:b w:val="0"/>
                <w:bCs w:val="0"/>
                <w:color w:val="auto"/>
                <w:kern w:val="2"/>
                <w:sz w:val="21"/>
                <w:szCs w:val="24"/>
                <w:highlight w:val="none"/>
                <w:lang w:val="en-US" w:eastAsia="zh-CN" w:bidi="ar-SA"/>
              </w:rPr>
              <w:t xml:space="preserve"> 06</w:t>
            </w:r>
            <w:r>
              <w:rPr>
                <w:rFonts w:hint="eastAsia" w:ascii="宋体" w:hAnsi="宋体" w:eastAsia="宋体" w:cs="宋体"/>
                <w:b w:val="0"/>
                <w:bCs w:val="0"/>
                <w:color w:val="auto"/>
                <w:kern w:val="2"/>
                <w:sz w:val="21"/>
                <w:szCs w:val="24"/>
                <w:highlight w:val="none"/>
                <w:lang w:val="en-US" w:eastAsia="zh-CN" w:bidi="ar-SA"/>
              </w:rPr>
              <w:t>月</w:t>
            </w:r>
            <w:r>
              <w:rPr>
                <w:rFonts w:hint="eastAsia" w:ascii="宋体" w:hAnsi="宋体" w:cs="宋体"/>
                <w:b w:val="0"/>
                <w:bCs w:val="0"/>
                <w:color w:val="auto"/>
                <w:kern w:val="2"/>
                <w:sz w:val="21"/>
                <w:szCs w:val="24"/>
                <w:highlight w:val="none"/>
                <w:lang w:val="en-US" w:eastAsia="zh-CN" w:bidi="ar-SA"/>
              </w:rPr>
              <w:t xml:space="preserve"> 27  </w:t>
            </w:r>
            <w:r>
              <w:rPr>
                <w:rFonts w:hint="eastAsia" w:ascii="宋体" w:hAnsi="宋体" w:eastAsia="宋体" w:cs="宋体"/>
                <w:b w:val="0"/>
                <w:bCs w:val="0"/>
                <w:color w:val="auto"/>
                <w:kern w:val="2"/>
                <w:sz w:val="21"/>
                <w:szCs w:val="24"/>
                <w:highlight w:val="none"/>
                <w:lang w:val="en-US" w:eastAsia="zh-CN" w:bidi="ar-SA"/>
              </w:rPr>
              <w:t>日</w:t>
            </w:r>
            <w:r>
              <w:rPr>
                <w:rFonts w:hint="eastAsia" w:ascii="宋体" w:hAnsi="宋体" w:cs="宋体"/>
                <w:b w:val="0"/>
                <w:bCs w:val="0"/>
                <w:color w:val="auto"/>
                <w:kern w:val="2"/>
                <w:sz w:val="21"/>
                <w:szCs w:val="24"/>
                <w:highlight w:val="none"/>
                <w:lang w:val="en-US" w:eastAsia="zh-CN" w:bidi="ar-SA"/>
              </w:rPr>
              <w:t>9</w:t>
            </w:r>
            <w:r>
              <w:rPr>
                <w:rFonts w:hint="eastAsia" w:ascii="宋体" w:hAnsi="宋体" w:eastAsia="宋体" w:cs="宋体"/>
                <w:b w:val="0"/>
                <w:bCs w:val="0"/>
                <w:color w:val="auto"/>
                <w:kern w:val="2"/>
                <w:sz w:val="21"/>
                <w:szCs w:val="24"/>
                <w:highlight w:val="none"/>
                <w:lang w:val="en-US" w:eastAsia="zh-CN" w:bidi="ar-SA"/>
              </w:rPr>
              <w:t>点30分（北京时间）前提交</w:t>
            </w:r>
            <w:r>
              <w:rPr>
                <w:rFonts w:hint="eastAsia" w:ascii="宋体" w:hAnsi="宋体" w:cs="宋体"/>
                <w:b w:val="0"/>
                <w:bCs w:val="0"/>
                <w:color w:val="auto"/>
                <w:kern w:val="2"/>
                <w:sz w:val="21"/>
                <w:szCs w:val="24"/>
                <w:highlight w:val="none"/>
                <w:lang w:val="en-US" w:eastAsia="zh-CN" w:bidi="ar-SA"/>
              </w:rPr>
              <w:t>响应</w:t>
            </w:r>
            <w:r>
              <w:rPr>
                <w:rFonts w:hint="eastAsia" w:ascii="宋体" w:hAnsi="宋体" w:eastAsia="宋体" w:cs="宋体"/>
                <w:b w:val="0"/>
                <w:bCs w:val="0"/>
                <w:color w:val="auto"/>
                <w:kern w:val="2"/>
                <w:sz w:val="21"/>
                <w:szCs w:val="24"/>
                <w:highlight w:val="none"/>
                <w:lang w:val="en-US" w:eastAsia="zh-CN" w:bidi="ar-SA"/>
              </w:rPr>
              <w:t>文件。</w:t>
            </w:r>
          </w:p>
        </w:tc>
      </w:tr>
    </w:tbl>
    <w:p w14:paraId="5BFFFE6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rPr>
      </w:pPr>
      <w:bookmarkStart w:id="6" w:name="_Toc28359012"/>
      <w:bookmarkStart w:id="7" w:name="_Toc35393629"/>
      <w:bookmarkStart w:id="8" w:name="_Toc28359089"/>
      <w:bookmarkStart w:id="9" w:name="_Toc35393798"/>
      <w:r>
        <w:rPr>
          <w:rFonts w:hint="eastAsia" w:ascii="宋体" w:hAnsi="宋体" w:eastAsia="宋体" w:cs="宋体"/>
          <w:b/>
          <w:bCs/>
          <w:color w:val="auto"/>
          <w:sz w:val="21"/>
          <w:szCs w:val="21"/>
          <w:highlight w:val="none"/>
        </w:rPr>
        <w:t>一、项目基本情况</w:t>
      </w:r>
      <w:bookmarkEnd w:id="6"/>
      <w:bookmarkEnd w:id="7"/>
      <w:bookmarkEnd w:id="8"/>
      <w:bookmarkEnd w:id="9"/>
    </w:p>
    <w:p w14:paraId="69F67728">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bookmarkStart w:id="10" w:name="_Toc28359090"/>
      <w:bookmarkStart w:id="11" w:name="_Toc28359013"/>
      <w:bookmarkStart w:id="12" w:name="_Toc35393799"/>
      <w:bookmarkStart w:id="13" w:name="_Toc35393630"/>
      <w:r>
        <w:rPr>
          <w:rFonts w:hint="eastAsia" w:ascii="宋体" w:hAnsi="宋体" w:eastAsia="宋体" w:cs="宋体"/>
          <w:color w:val="000000" w:themeColor="text1"/>
          <w:sz w:val="21"/>
          <w:szCs w:val="21"/>
          <w:highlight w:val="none"/>
          <w:lang w:val="en-US" w:eastAsia="zh-CN"/>
          <w14:textFill>
            <w14:solidFill>
              <w14:schemeClr w14:val="tx1"/>
            </w14:solidFill>
          </w14:textFill>
        </w:rPr>
        <w:t>项目编号：</w:t>
      </w:r>
      <w:r>
        <w:rPr>
          <w:rFonts w:hint="eastAsia" w:ascii="宋体" w:hAnsi="宋体" w:cs="宋体"/>
          <w:color w:val="000000" w:themeColor="text1"/>
          <w:sz w:val="21"/>
          <w:szCs w:val="21"/>
          <w:highlight w:val="none"/>
          <w:lang w:val="en-US" w:eastAsia="zh-CN"/>
          <w14:textFill>
            <w14:solidFill>
              <w14:schemeClr w14:val="tx1"/>
            </w14:solidFill>
          </w14:textFill>
        </w:rPr>
        <w:t>GLZC2025-C2-210035-GXJZ</w:t>
      </w:r>
    </w:p>
    <w:p w14:paraId="00CE93F3">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项目名称：</w:t>
      </w:r>
      <w:r>
        <w:rPr>
          <w:rFonts w:hint="eastAsia" w:ascii="宋体" w:hAnsi="宋体" w:cs="宋体"/>
          <w:color w:val="auto"/>
          <w:sz w:val="21"/>
          <w:szCs w:val="21"/>
          <w:highlight w:val="none"/>
          <w:lang w:val="en-US" w:eastAsia="zh-CN"/>
        </w:rPr>
        <w:t>阳朔县仙桂桥修缮工程（重）</w:t>
      </w:r>
    </w:p>
    <w:p w14:paraId="120CDBA2">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采购方式：竞争性磋商 </w:t>
      </w:r>
    </w:p>
    <w:p w14:paraId="17331266">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预算总金额（元）：</w:t>
      </w:r>
      <w:r>
        <w:rPr>
          <w:rFonts w:hint="eastAsia" w:ascii="宋体" w:hAnsi="宋体" w:cs="宋体"/>
          <w:color w:val="auto"/>
          <w:sz w:val="21"/>
          <w:szCs w:val="21"/>
          <w:highlight w:val="none"/>
          <w:lang w:val="en-US" w:eastAsia="zh-CN"/>
        </w:rPr>
        <w:t>608034.93</w:t>
      </w:r>
    </w:p>
    <w:p w14:paraId="072F9B20">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采购需求：</w:t>
      </w:r>
    </w:p>
    <w:p w14:paraId="7A052B7F">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标项名称:</w:t>
      </w:r>
      <w:r>
        <w:rPr>
          <w:rFonts w:hint="eastAsia" w:ascii="宋体" w:hAnsi="宋体" w:cs="宋体"/>
          <w:color w:val="auto"/>
          <w:sz w:val="21"/>
          <w:szCs w:val="21"/>
          <w:highlight w:val="none"/>
          <w:lang w:val="en-US" w:eastAsia="zh-CN"/>
        </w:rPr>
        <w:t>阳朔县仙桂桥修缮工程（重）</w:t>
      </w:r>
    </w:p>
    <w:p w14:paraId="3C340F2E">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数量:不限</w:t>
      </w:r>
    </w:p>
    <w:p w14:paraId="083D122C">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auto"/>
          <w:sz w:val="21"/>
          <w:szCs w:val="21"/>
          <w:highlight w:val="none"/>
          <w:lang w:val="en-US" w:eastAsia="zh-CN"/>
        </w:rPr>
        <w:t>预算金额（元</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608034.93</w:t>
      </w:r>
    </w:p>
    <w:p w14:paraId="6B569238">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简要规格描述或项目基本概况介绍、用途：</w:t>
      </w:r>
      <w:r>
        <w:rPr>
          <w:rFonts w:hint="eastAsia" w:ascii="宋体" w:hAnsi="宋体" w:cs="宋体"/>
          <w:color w:val="auto"/>
          <w:sz w:val="21"/>
          <w:szCs w:val="21"/>
          <w:highlight w:val="none"/>
          <w:lang w:val="en-US" w:eastAsia="zh-CN"/>
        </w:rPr>
        <w:t>仙桂桥本体及上下游各50米范围内河 道及驳岸的修缮整治，建筑面积约84.00平方米。该项目主要内容包括：桥面工程、 桥劵工程、桥拱工程以及驳岸工程等工程内容。（具体详见工程量清单。）</w:t>
      </w:r>
    </w:p>
    <w:p w14:paraId="0B28F56F">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auto"/>
          <w:sz w:val="21"/>
          <w:szCs w:val="21"/>
          <w:highlight w:val="none"/>
          <w:lang w:val="en-US" w:eastAsia="zh-CN"/>
        </w:rPr>
        <w:t>最高限价（如有</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608034.93</w:t>
      </w:r>
    </w:p>
    <w:p w14:paraId="07457B8A">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合同履约期限：自合同签订之日起</w:t>
      </w:r>
      <w:r>
        <w:rPr>
          <w:rFonts w:hint="eastAsia" w:ascii="宋体" w:hAnsi="宋体" w:cs="宋体"/>
          <w:color w:val="auto"/>
          <w:sz w:val="21"/>
          <w:szCs w:val="21"/>
          <w:highlight w:val="none"/>
          <w:lang w:val="en-US" w:eastAsia="zh-CN"/>
        </w:rPr>
        <w:t>150</w:t>
      </w:r>
      <w:r>
        <w:rPr>
          <w:rFonts w:hint="eastAsia" w:ascii="宋体" w:hAnsi="宋体" w:eastAsia="宋体" w:cs="宋体"/>
          <w:color w:val="auto"/>
          <w:sz w:val="21"/>
          <w:szCs w:val="21"/>
          <w:highlight w:val="none"/>
          <w:lang w:val="en-US" w:eastAsia="zh-CN"/>
        </w:rPr>
        <w:t>个日历天内完工</w:t>
      </w:r>
      <w:r>
        <w:rPr>
          <w:rFonts w:hint="eastAsia" w:ascii="宋体" w:hAnsi="宋体" w:cs="宋体"/>
          <w:color w:val="auto"/>
          <w:sz w:val="21"/>
          <w:szCs w:val="21"/>
          <w:highlight w:val="none"/>
          <w:lang w:val="en-US" w:eastAsia="zh-CN"/>
        </w:rPr>
        <w:t>。</w:t>
      </w:r>
    </w:p>
    <w:p w14:paraId="03ACD923">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本标项</w:t>
      </w:r>
      <w:r>
        <w:rPr>
          <w:rFonts w:hint="eastAsia" w:ascii="宋体" w:hAnsi="宋体" w:cs="宋体"/>
          <w:color w:val="auto"/>
          <w:sz w:val="21"/>
          <w:szCs w:val="21"/>
          <w:highlight w:val="none"/>
          <w:lang w:val="en-US" w:eastAsia="zh-CN"/>
        </w:rPr>
        <w:t>不</w:t>
      </w:r>
      <w:r>
        <w:rPr>
          <w:rFonts w:hint="eastAsia" w:ascii="宋体" w:hAnsi="宋体" w:eastAsia="宋体" w:cs="宋体"/>
          <w:color w:val="auto"/>
          <w:sz w:val="21"/>
          <w:szCs w:val="21"/>
          <w:highlight w:val="none"/>
          <w:lang w:val="en-US" w:eastAsia="zh-CN"/>
        </w:rPr>
        <w:t>接受联合体投标</w:t>
      </w:r>
    </w:p>
    <w:p w14:paraId="60738FBA">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备注：</w:t>
      </w:r>
      <w:r>
        <w:rPr>
          <w:rFonts w:hint="eastAsia" w:ascii="宋体" w:hAnsi="宋体" w:cs="宋体"/>
          <w:color w:val="auto"/>
          <w:sz w:val="21"/>
          <w:szCs w:val="21"/>
          <w:highlight w:val="none"/>
          <w:lang w:val="en-US" w:eastAsia="zh-CN"/>
        </w:rPr>
        <w:t>无</w:t>
      </w:r>
    </w:p>
    <w:p w14:paraId="23CD1504">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二、申请人的资格要求：</w:t>
      </w:r>
      <w:bookmarkEnd w:id="10"/>
      <w:bookmarkEnd w:id="11"/>
      <w:bookmarkEnd w:id="12"/>
      <w:bookmarkEnd w:id="13"/>
    </w:p>
    <w:p w14:paraId="7CC86943">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满足《中华人民共和国政府采购法》第二十二条规定；</w:t>
      </w:r>
    </w:p>
    <w:p w14:paraId="14FEC26E">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bookmarkStart w:id="14" w:name="_Toc28359091"/>
      <w:bookmarkStart w:id="15" w:name="_Toc28359014"/>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落实政府采购政策需满足的资格要求</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eastAsia="zh-CN"/>
          <w14:textFill>
            <w14:solidFill>
              <w14:schemeClr w14:val="tx1"/>
            </w14:solidFill>
          </w14:textFill>
        </w:rPr>
        <w:t>本项目为</w:t>
      </w:r>
      <w:r>
        <w:rPr>
          <w:rFonts w:hint="eastAsia" w:ascii="宋体" w:hAnsi="宋体" w:eastAsia="宋体" w:cs="宋体"/>
          <w:color w:val="000000" w:themeColor="text1"/>
          <w:sz w:val="21"/>
          <w:szCs w:val="21"/>
          <w:highlight w:val="none"/>
          <w14:textFill>
            <w14:solidFill>
              <w14:schemeClr w14:val="tx1"/>
            </w14:solidFill>
          </w14:textFill>
        </w:rPr>
        <w:t>专门面向中小</w:t>
      </w:r>
      <w:r>
        <w:rPr>
          <w:rFonts w:hint="eastAsia" w:ascii="宋体" w:hAnsi="宋体" w:eastAsia="宋体" w:cs="宋体"/>
          <w:color w:val="000000" w:themeColor="text1"/>
          <w:sz w:val="21"/>
          <w:szCs w:val="21"/>
          <w:highlight w:val="none"/>
          <w:lang w:eastAsia="zh-CN"/>
          <w14:textFill>
            <w14:solidFill>
              <w14:schemeClr w14:val="tx1"/>
            </w14:solidFill>
          </w14:textFill>
        </w:rPr>
        <w:t>微</w:t>
      </w:r>
      <w:r>
        <w:rPr>
          <w:rFonts w:hint="eastAsia" w:ascii="宋体" w:hAnsi="宋体" w:eastAsia="宋体" w:cs="宋体"/>
          <w:color w:val="000000" w:themeColor="text1"/>
          <w:sz w:val="21"/>
          <w:szCs w:val="21"/>
          <w:highlight w:val="none"/>
          <w14:textFill>
            <w14:solidFill>
              <w14:schemeClr w14:val="tx1"/>
            </w14:solidFill>
          </w14:textFill>
        </w:rPr>
        <w:t>企业采购的项目（供应商应为中小微企业、监狱企业、残疾人福利性单位)</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2D509583">
      <w:pPr>
        <w:keepNext w:val="0"/>
        <w:keepLines w:val="0"/>
        <w:pageBreakBefore w:val="0"/>
        <w:widowControl/>
        <w:kinsoku w:val="0"/>
        <w:wordWrap/>
        <w:overflowPunct/>
        <w:topLinePunct w:val="0"/>
        <w:autoSpaceDE w:val="0"/>
        <w:autoSpaceDN w:val="0"/>
        <w:bidi w:val="0"/>
        <w:adjustRightInd w:val="0"/>
        <w:snapToGrid w:val="0"/>
        <w:spacing w:before="165" w:line="360" w:lineRule="exact"/>
        <w:ind w:right="166" w:firstLine="420" w:firstLineChars="2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w:t>
      </w:r>
      <w:r>
        <w:rPr>
          <w:rFonts w:hint="eastAsia" w:ascii="宋体" w:hAnsi="宋体" w:eastAsia="宋体" w:cs="宋体"/>
          <w:color w:val="auto"/>
          <w:sz w:val="21"/>
          <w:szCs w:val="21"/>
          <w:highlight w:val="none"/>
        </w:rPr>
        <w:t>本项目的特定资格要求：</w:t>
      </w:r>
      <w:bookmarkStart w:id="16" w:name="_Toc35393800"/>
      <w:bookmarkStart w:id="17" w:name="_Toc35393631"/>
      <w:r>
        <w:rPr>
          <w:rFonts w:hint="eastAsia" w:ascii="宋体" w:hAnsi="宋体" w:eastAsia="宋体" w:cs="宋体"/>
          <w:color w:val="auto"/>
          <w:sz w:val="21"/>
          <w:szCs w:val="21"/>
          <w:highlight w:val="none"/>
          <w:lang w:val="en-US" w:eastAsia="zh-CN"/>
        </w:rPr>
        <w:t>具备国家文物局颁发的文物保护工程</w:t>
      </w:r>
      <w:r>
        <w:rPr>
          <w:rFonts w:hint="eastAsia" w:ascii="宋体" w:hAnsi="宋体" w:cs="宋体"/>
          <w:color w:val="auto"/>
          <w:sz w:val="21"/>
          <w:szCs w:val="21"/>
          <w:highlight w:val="none"/>
          <w:lang w:val="en-US" w:eastAsia="zh-CN"/>
        </w:rPr>
        <w:t>施工二级（含）以上资质，业务范围包含古建筑维修保护和近现代文物建筑维修保护</w:t>
      </w:r>
      <w:r>
        <w:rPr>
          <w:rFonts w:hint="eastAsia" w:ascii="宋体" w:hAnsi="宋体" w:eastAsia="宋体" w:cs="宋体"/>
          <w:color w:val="auto"/>
          <w:sz w:val="21"/>
          <w:szCs w:val="21"/>
          <w:highlight w:val="none"/>
          <w:lang w:val="en-US" w:eastAsia="zh-CN"/>
        </w:rPr>
        <w:t>，</w:t>
      </w:r>
      <w:r>
        <w:rPr>
          <w:rFonts w:hint="eastAsia"/>
          <w:color w:val="auto"/>
          <w:szCs w:val="21"/>
          <w:highlight w:val="none"/>
        </w:rPr>
        <w:t>具有有效的安全生产许可证</w:t>
      </w:r>
      <w:r>
        <w:rPr>
          <w:rFonts w:hint="eastAsia"/>
          <w:color w:val="auto"/>
          <w:szCs w:val="21"/>
          <w:highlight w:val="none"/>
          <w:lang w:eastAsia="zh-CN"/>
        </w:rPr>
        <w:t>，</w:t>
      </w:r>
      <w:r>
        <w:rPr>
          <w:rFonts w:hint="eastAsia" w:ascii="宋体" w:hAnsi="宋体" w:eastAsia="宋体" w:cs="宋体"/>
          <w:color w:val="auto"/>
          <w:sz w:val="21"/>
          <w:szCs w:val="21"/>
          <w:highlight w:val="none"/>
          <w:lang w:val="en-US" w:eastAsia="zh-CN"/>
        </w:rPr>
        <w:t>并在人员、设备、资金等方面具备相应的施工能力。</w:t>
      </w:r>
      <w:r>
        <w:rPr>
          <w:rFonts w:hint="eastAsia" w:ascii="宋体" w:hAnsi="宋体" w:cs="宋体"/>
          <w:color w:val="auto"/>
          <w:sz w:val="21"/>
          <w:szCs w:val="21"/>
          <w:highlight w:val="none"/>
          <w:lang w:val="en-US" w:eastAsia="zh-CN"/>
        </w:rPr>
        <w:t>项目经理须具备中国古迹遗址保护协会颁发的文物保护工程责任工程师证书，且同时具备有中级（含）以上职称。</w:t>
      </w:r>
    </w:p>
    <w:bookmarkEnd w:id="14"/>
    <w:bookmarkEnd w:id="15"/>
    <w:bookmarkEnd w:id="16"/>
    <w:bookmarkEnd w:id="17"/>
    <w:p w14:paraId="7AA9B705">
      <w:pPr>
        <w:keepNext w:val="0"/>
        <w:keepLines w:val="0"/>
        <w:pageBreakBefore w:val="0"/>
        <w:widowControl w:val="0"/>
        <w:kinsoku/>
        <w:wordWrap/>
        <w:overflowPunct/>
        <w:topLinePunct w:val="0"/>
        <w:bidi w:val="0"/>
        <w:snapToGrid/>
        <w:spacing w:line="420" w:lineRule="exact"/>
        <w:textAlignment w:val="auto"/>
        <w:rPr>
          <w:rFonts w:hint="eastAsia" w:ascii="宋体" w:hAnsi="宋体" w:eastAsia="宋体" w:cs="宋体"/>
          <w:b/>
          <w:bCs/>
          <w:color w:val="auto"/>
          <w:sz w:val="21"/>
          <w:szCs w:val="21"/>
          <w:highlight w:val="none"/>
          <w:lang w:eastAsia="zh-CN"/>
        </w:rPr>
      </w:pPr>
      <w:bookmarkStart w:id="18" w:name="_Toc35393623"/>
      <w:bookmarkStart w:id="19" w:name="_Toc35393792"/>
      <w:bookmarkStart w:id="20" w:name="_Toc28359018"/>
      <w:bookmarkStart w:id="21" w:name="_Toc35393805"/>
      <w:bookmarkStart w:id="22" w:name="_Toc35393636"/>
      <w:bookmarkStart w:id="23" w:name="_Toc28359095"/>
      <w:r>
        <w:rPr>
          <w:rFonts w:hint="eastAsia" w:ascii="宋体" w:hAnsi="宋体" w:eastAsia="宋体" w:cs="宋体"/>
          <w:b/>
          <w:bCs/>
          <w:color w:val="auto"/>
          <w:sz w:val="21"/>
          <w:szCs w:val="21"/>
          <w:highlight w:val="none"/>
        </w:rPr>
        <w:t>三、获取</w:t>
      </w:r>
      <w:r>
        <w:rPr>
          <w:rFonts w:hint="eastAsia" w:ascii="宋体" w:hAnsi="宋体" w:eastAsia="宋体" w:cs="宋体"/>
          <w:b/>
          <w:bCs/>
          <w:color w:val="auto"/>
          <w:sz w:val="21"/>
          <w:szCs w:val="21"/>
          <w:highlight w:val="none"/>
          <w:lang w:eastAsia="zh-CN"/>
        </w:rPr>
        <w:t>采购</w:t>
      </w:r>
      <w:r>
        <w:rPr>
          <w:rFonts w:hint="eastAsia" w:ascii="宋体" w:hAnsi="宋体" w:eastAsia="宋体" w:cs="宋体"/>
          <w:b/>
          <w:bCs/>
          <w:color w:val="auto"/>
          <w:sz w:val="21"/>
          <w:szCs w:val="21"/>
          <w:highlight w:val="none"/>
        </w:rPr>
        <w:t>文件</w:t>
      </w:r>
      <w:bookmarkEnd w:id="18"/>
      <w:bookmarkEnd w:id="19"/>
      <w:r>
        <w:rPr>
          <w:rFonts w:hint="eastAsia" w:ascii="宋体" w:hAnsi="宋体" w:eastAsia="宋体" w:cs="宋体"/>
          <w:b/>
          <w:bCs/>
          <w:color w:val="auto"/>
          <w:sz w:val="21"/>
          <w:szCs w:val="21"/>
          <w:highlight w:val="none"/>
          <w:lang w:eastAsia="zh-CN"/>
        </w:rPr>
        <w:t>：</w:t>
      </w:r>
    </w:p>
    <w:p w14:paraId="6AB18D94">
      <w:pPr>
        <w:spacing w:line="380" w:lineRule="exact"/>
        <w:ind w:firstLine="540"/>
        <w:rPr>
          <w:rFonts w:hint="eastAsia" w:ascii="宋体" w:hAnsi="宋体" w:eastAsia="宋体" w:cs="宋体"/>
          <w:bCs/>
          <w:color w:val="auto"/>
          <w:kern w:val="0"/>
          <w:szCs w:val="21"/>
          <w:highlight w:val="none"/>
        </w:rPr>
      </w:pPr>
      <w:bookmarkStart w:id="24" w:name="_Toc28359005"/>
      <w:bookmarkStart w:id="25" w:name="_Toc28359082"/>
      <w:bookmarkStart w:id="26" w:name="_Toc35393624"/>
      <w:bookmarkStart w:id="27" w:name="_Toc35393793"/>
      <w:r>
        <w:rPr>
          <w:rFonts w:hint="eastAsia" w:ascii="宋体" w:hAnsi="宋体" w:eastAsia="宋体" w:cs="宋体"/>
          <w:bCs/>
          <w:color w:val="auto"/>
          <w:kern w:val="0"/>
          <w:szCs w:val="21"/>
          <w:highlight w:val="none"/>
        </w:rPr>
        <w:t>时间：</w:t>
      </w:r>
      <w:r>
        <w:rPr>
          <w:rFonts w:hint="eastAsia" w:ascii="宋体" w:hAnsi="宋体" w:cs="宋体"/>
          <w:bCs/>
          <w:color w:val="auto"/>
          <w:kern w:val="0"/>
          <w:szCs w:val="21"/>
          <w:highlight w:val="none"/>
          <w:lang w:eastAsia="zh-CN"/>
        </w:rPr>
        <w:t>公告发布之日起</w:t>
      </w:r>
      <w:r>
        <w:rPr>
          <w:rFonts w:hint="eastAsia" w:ascii="宋体" w:hAnsi="宋体" w:eastAsia="宋体" w:cs="宋体"/>
          <w:bCs/>
          <w:color w:val="auto"/>
          <w:kern w:val="0"/>
          <w:szCs w:val="21"/>
          <w:highlight w:val="none"/>
        </w:rPr>
        <w:t>至</w:t>
      </w:r>
      <w:r>
        <w:rPr>
          <w:rFonts w:hint="eastAsia" w:ascii="宋体" w:hAnsi="宋体" w:eastAsia="宋体" w:cs="宋体"/>
          <w:color w:val="auto"/>
          <w:kern w:val="2"/>
          <w:sz w:val="21"/>
          <w:szCs w:val="21"/>
          <w:highlight w:val="none"/>
          <w:lang w:val="en-US" w:eastAsia="zh-CN" w:bidi="ar-SA"/>
        </w:rPr>
        <w:t>投标文件递交的截止时间</w:t>
      </w:r>
      <w:r>
        <w:rPr>
          <w:rFonts w:hint="eastAsia" w:ascii="宋体" w:hAnsi="宋体" w:eastAsia="宋体" w:cs="宋体"/>
          <w:bCs/>
          <w:color w:val="auto"/>
          <w:kern w:val="0"/>
          <w:szCs w:val="21"/>
          <w:highlight w:val="none"/>
        </w:rPr>
        <w:t>，每天上午00:00至12:00，下午12:00至23:59（北京时间，法定节假日除外）</w:t>
      </w:r>
    </w:p>
    <w:p w14:paraId="7917815F">
      <w:pPr>
        <w:spacing w:line="380" w:lineRule="exact"/>
        <w:ind w:firstLine="540"/>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地点（网址）：广西政府采购云平台（https://www.gcy.zfcg.gxzf.gov.cn/）线上获取  </w:t>
      </w:r>
    </w:p>
    <w:p w14:paraId="21AB96D5">
      <w:pPr>
        <w:keepNext w:val="0"/>
        <w:keepLines w:val="0"/>
        <w:pageBreakBefore w:val="0"/>
        <w:widowControl w:val="0"/>
        <w:kinsoku/>
        <w:wordWrap/>
        <w:overflowPunct/>
        <w:topLinePunct w:val="0"/>
        <w:bidi w:val="0"/>
        <w:snapToGrid/>
        <w:spacing w:line="420" w:lineRule="exact"/>
        <w:ind w:firstLine="420" w:firstLineChars="200"/>
        <w:textAlignment w:val="auto"/>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方式：</w:t>
      </w:r>
      <w:r>
        <w:rPr>
          <w:rFonts w:hint="eastAsia" w:ascii="宋体" w:hAnsi="宋体" w:eastAsia="宋体" w:cs="宋体"/>
          <w:bCs/>
          <w:color w:val="auto"/>
          <w:kern w:val="0"/>
          <w:szCs w:val="21"/>
          <w:highlight w:val="none"/>
          <w:lang w:val="en-US" w:eastAsia="zh-CN"/>
        </w:rPr>
        <w:t>供应商</w:t>
      </w:r>
      <w:r>
        <w:rPr>
          <w:rFonts w:hint="eastAsia" w:ascii="宋体" w:hAnsi="宋体" w:eastAsia="宋体" w:cs="宋体"/>
          <w:color w:val="auto"/>
          <w:kern w:val="2"/>
          <w:sz w:val="21"/>
          <w:szCs w:val="21"/>
          <w:highlight w:val="none"/>
          <w:lang w:val="en-US" w:eastAsia="zh-CN"/>
        </w:rPr>
        <w:t>登录广西政府采购云平台（ https://www.gcy.zfcg.gxzf.gov.cn/）在线申请获取采购文件（进入“项目采购”应用，在获取采购文件菜单中选择项目，申请获取采购文件）</w:t>
      </w:r>
      <w:r>
        <w:rPr>
          <w:rFonts w:hint="eastAsia" w:ascii="宋体" w:hAnsi="宋体" w:eastAsia="宋体" w:cs="宋体"/>
          <w:bCs/>
          <w:color w:val="auto"/>
          <w:kern w:val="0"/>
          <w:szCs w:val="21"/>
          <w:highlight w:val="none"/>
        </w:rPr>
        <w:t>。</w:t>
      </w:r>
    </w:p>
    <w:p w14:paraId="15FFA25F">
      <w:pPr>
        <w:keepNext w:val="0"/>
        <w:keepLines w:val="0"/>
        <w:pageBreakBefore w:val="0"/>
        <w:widowControl w:val="0"/>
        <w:kinsoku/>
        <w:wordWrap/>
        <w:overflowPunct/>
        <w:topLinePunct w:val="0"/>
        <w:bidi w:val="0"/>
        <w:snapToGrid/>
        <w:spacing w:line="420" w:lineRule="exac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四、</w:t>
      </w:r>
      <w:r>
        <w:rPr>
          <w:rFonts w:hint="eastAsia" w:ascii="宋体" w:hAnsi="宋体" w:eastAsia="宋体" w:cs="宋体"/>
          <w:b/>
          <w:bCs/>
          <w:color w:val="auto"/>
          <w:sz w:val="21"/>
          <w:szCs w:val="21"/>
          <w:highlight w:val="none"/>
          <w:lang w:eastAsia="zh-CN"/>
        </w:rPr>
        <w:t>响应</w:t>
      </w:r>
      <w:r>
        <w:rPr>
          <w:rFonts w:hint="eastAsia" w:ascii="宋体" w:hAnsi="宋体" w:eastAsia="宋体" w:cs="宋体"/>
          <w:b/>
          <w:bCs/>
          <w:color w:val="auto"/>
          <w:sz w:val="21"/>
          <w:szCs w:val="21"/>
          <w:highlight w:val="none"/>
        </w:rPr>
        <w:t>文件</w:t>
      </w:r>
      <w:bookmarkEnd w:id="24"/>
      <w:bookmarkEnd w:id="25"/>
      <w:r>
        <w:rPr>
          <w:rFonts w:hint="eastAsia" w:ascii="宋体" w:hAnsi="宋体" w:eastAsia="宋体" w:cs="宋体"/>
          <w:b/>
          <w:bCs/>
          <w:color w:val="auto"/>
          <w:sz w:val="21"/>
          <w:szCs w:val="21"/>
          <w:highlight w:val="none"/>
          <w:lang w:eastAsia="zh-CN"/>
        </w:rPr>
        <w:t>提交</w:t>
      </w:r>
      <w:r>
        <w:rPr>
          <w:rFonts w:hint="eastAsia" w:ascii="宋体" w:hAnsi="宋体" w:eastAsia="宋体" w:cs="宋体"/>
          <w:b/>
          <w:bCs/>
          <w:color w:val="auto"/>
          <w:sz w:val="21"/>
          <w:szCs w:val="21"/>
          <w:highlight w:val="none"/>
        </w:rPr>
        <w:t>时间和地点</w:t>
      </w:r>
      <w:bookmarkEnd w:id="26"/>
      <w:bookmarkEnd w:id="27"/>
    </w:p>
    <w:p w14:paraId="4D5702BA">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截止</w:t>
      </w:r>
      <w:r>
        <w:rPr>
          <w:rFonts w:hint="eastAsia" w:ascii="宋体" w:hAnsi="宋体" w:eastAsia="宋体" w:cs="宋体"/>
          <w:bCs/>
          <w:color w:val="auto"/>
          <w:sz w:val="21"/>
          <w:szCs w:val="21"/>
          <w:highlight w:val="none"/>
        </w:rPr>
        <w:t>时间：</w:t>
      </w:r>
      <w:r>
        <w:rPr>
          <w:rFonts w:hint="eastAsia" w:ascii="宋体" w:hAnsi="宋体" w:cs="宋体"/>
          <w:color w:val="auto"/>
          <w:sz w:val="21"/>
          <w:szCs w:val="21"/>
          <w:highlight w:val="none"/>
          <w:lang w:eastAsia="zh-CN"/>
        </w:rPr>
        <w:t>2025</w:t>
      </w:r>
      <w:r>
        <w:rPr>
          <w:rFonts w:hint="eastAsia" w:ascii="宋体" w:hAnsi="宋体" w:eastAsia="宋体" w:cs="宋体"/>
          <w:color w:val="auto"/>
          <w:sz w:val="21"/>
          <w:szCs w:val="21"/>
          <w:highlight w:val="none"/>
          <w:lang w:eastAsia="zh-CN"/>
        </w:rPr>
        <w:t>年</w:t>
      </w:r>
      <w:r>
        <w:rPr>
          <w:rFonts w:hint="eastAsia" w:ascii="宋体" w:hAnsi="宋体" w:cs="宋体"/>
          <w:color w:val="auto"/>
          <w:sz w:val="21"/>
          <w:szCs w:val="21"/>
          <w:highlight w:val="none"/>
          <w:lang w:val="en-US" w:eastAsia="zh-CN"/>
        </w:rPr>
        <w:t xml:space="preserve">06 </w:t>
      </w:r>
      <w:r>
        <w:rPr>
          <w:rFonts w:hint="eastAsia" w:ascii="宋体" w:hAnsi="宋体" w:eastAsia="宋体" w:cs="宋体"/>
          <w:color w:val="auto"/>
          <w:sz w:val="21"/>
          <w:szCs w:val="21"/>
          <w:highlight w:val="none"/>
          <w:lang w:eastAsia="zh-CN"/>
        </w:rPr>
        <w:t>月</w:t>
      </w:r>
      <w:r>
        <w:rPr>
          <w:rFonts w:hint="eastAsia" w:ascii="宋体" w:hAnsi="宋体" w:cs="宋体"/>
          <w:color w:val="auto"/>
          <w:sz w:val="21"/>
          <w:szCs w:val="21"/>
          <w:highlight w:val="none"/>
          <w:lang w:val="en-US" w:eastAsia="zh-CN"/>
        </w:rPr>
        <w:t>27</w:t>
      </w:r>
      <w:r>
        <w:rPr>
          <w:rFonts w:hint="eastAsia" w:ascii="宋体" w:hAnsi="宋体" w:eastAsia="宋体" w:cs="宋体"/>
          <w:color w:val="auto"/>
          <w:sz w:val="21"/>
          <w:szCs w:val="21"/>
          <w:highlight w:val="none"/>
          <w:lang w:eastAsia="zh-CN"/>
        </w:rPr>
        <w:t>日</w:t>
      </w: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lang w:val="en-US" w:eastAsia="zh-CN"/>
        </w:rPr>
        <w:t>时30分</w:t>
      </w:r>
      <w:r>
        <w:rPr>
          <w:rFonts w:hint="eastAsia" w:ascii="宋体" w:hAnsi="宋体" w:eastAsia="宋体" w:cs="宋体"/>
          <w:bCs/>
          <w:color w:val="auto"/>
          <w:sz w:val="21"/>
          <w:szCs w:val="21"/>
          <w:highlight w:val="none"/>
        </w:rPr>
        <w:t>（北京时间）。</w:t>
      </w:r>
    </w:p>
    <w:p w14:paraId="742ED2C8">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地</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点：通过广西政府采购云平台实行在线投标</w:t>
      </w:r>
      <w:r>
        <w:rPr>
          <w:rFonts w:hint="eastAsia" w:ascii="宋体" w:hAnsi="宋体" w:cs="Times New Roman"/>
          <w:color w:val="auto"/>
          <w:szCs w:val="21"/>
          <w:highlight w:val="none"/>
          <w:lang w:eastAsia="zh-CN"/>
        </w:rPr>
        <w:t>。</w:t>
      </w:r>
    </w:p>
    <w:p w14:paraId="5071038B">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五、开启</w:t>
      </w:r>
    </w:p>
    <w:p w14:paraId="1EEFECFF">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时间：</w:t>
      </w:r>
      <w:r>
        <w:rPr>
          <w:rFonts w:hint="eastAsia" w:ascii="宋体" w:hAnsi="宋体" w:cs="宋体"/>
          <w:color w:val="auto"/>
          <w:sz w:val="21"/>
          <w:szCs w:val="21"/>
          <w:highlight w:val="none"/>
          <w:lang w:eastAsia="zh-CN"/>
        </w:rPr>
        <w:t>2025</w:t>
      </w:r>
      <w:r>
        <w:rPr>
          <w:rFonts w:hint="eastAsia" w:ascii="宋体" w:hAnsi="宋体" w:eastAsia="宋体" w:cs="宋体"/>
          <w:color w:val="auto"/>
          <w:sz w:val="21"/>
          <w:szCs w:val="21"/>
          <w:highlight w:val="none"/>
          <w:lang w:eastAsia="zh-CN"/>
        </w:rPr>
        <w:t>年</w:t>
      </w:r>
      <w:r>
        <w:rPr>
          <w:rFonts w:hint="eastAsia" w:ascii="宋体" w:hAnsi="宋体" w:cs="宋体"/>
          <w:color w:val="auto"/>
          <w:sz w:val="21"/>
          <w:szCs w:val="21"/>
          <w:highlight w:val="none"/>
          <w:lang w:val="en-US" w:eastAsia="zh-CN"/>
        </w:rPr>
        <w:t xml:space="preserve"> 06</w:t>
      </w:r>
      <w:r>
        <w:rPr>
          <w:rFonts w:hint="eastAsia" w:ascii="宋体" w:hAnsi="宋体" w:eastAsia="宋体" w:cs="宋体"/>
          <w:color w:val="auto"/>
          <w:sz w:val="21"/>
          <w:szCs w:val="21"/>
          <w:highlight w:val="none"/>
          <w:lang w:eastAsia="zh-CN"/>
        </w:rPr>
        <w:t>月</w:t>
      </w:r>
      <w:r>
        <w:rPr>
          <w:rFonts w:hint="eastAsia" w:ascii="宋体" w:hAnsi="宋体" w:cs="宋体"/>
          <w:color w:val="auto"/>
          <w:sz w:val="21"/>
          <w:szCs w:val="21"/>
          <w:highlight w:val="none"/>
          <w:lang w:val="en-US" w:eastAsia="zh-CN"/>
        </w:rPr>
        <w:t xml:space="preserve"> 27 </w:t>
      </w:r>
      <w:r>
        <w:rPr>
          <w:rFonts w:hint="eastAsia" w:ascii="宋体" w:hAnsi="宋体" w:eastAsia="宋体" w:cs="宋体"/>
          <w:color w:val="auto"/>
          <w:sz w:val="21"/>
          <w:szCs w:val="21"/>
          <w:highlight w:val="none"/>
          <w:lang w:eastAsia="zh-CN"/>
        </w:rPr>
        <w:t>日</w:t>
      </w: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lang w:val="en-US" w:eastAsia="zh-CN"/>
        </w:rPr>
        <w:t>时30分</w:t>
      </w:r>
      <w:r>
        <w:rPr>
          <w:rFonts w:hint="eastAsia" w:ascii="宋体" w:hAnsi="宋体" w:eastAsia="宋体" w:cs="宋体"/>
          <w:color w:val="auto"/>
          <w:sz w:val="21"/>
          <w:szCs w:val="21"/>
          <w:highlight w:val="none"/>
        </w:rPr>
        <w:t>（北京时间）截标后。</w:t>
      </w:r>
    </w:p>
    <w:p w14:paraId="65F7A70E">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地点：通过广西政府采购云平台实行在线解密开启。</w:t>
      </w:r>
    </w:p>
    <w:p w14:paraId="656226B4">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bCs/>
          <w:color w:val="auto"/>
          <w:sz w:val="21"/>
          <w:szCs w:val="21"/>
          <w:highlight w:val="none"/>
        </w:rPr>
      </w:pPr>
      <w:bookmarkStart w:id="28" w:name="_Toc28359007"/>
      <w:bookmarkStart w:id="29" w:name="_Toc28359084"/>
      <w:bookmarkStart w:id="30" w:name="_Toc35393794"/>
      <w:bookmarkStart w:id="31" w:name="_Toc35393625"/>
      <w:r>
        <w:rPr>
          <w:rFonts w:hint="eastAsia" w:ascii="宋体" w:hAnsi="宋体" w:eastAsia="宋体" w:cs="宋体"/>
          <w:b/>
          <w:bCs/>
          <w:color w:val="auto"/>
          <w:sz w:val="21"/>
          <w:szCs w:val="21"/>
          <w:highlight w:val="none"/>
          <w:lang w:eastAsia="zh-CN"/>
        </w:rPr>
        <w:t>六</w:t>
      </w:r>
      <w:r>
        <w:rPr>
          <w:rFonts w:hint="eastAsia" w:ascii="宋体" w:hAnsi="宋体" w:eastAsia="宋体" w:cs="宋体"/>
          <w:b/>
          <w:bCs/>
          <w:color w:val="auto"/>
          <w:sz w:val="21"/>
          <w:szCs w:val="21"/>
          <w:highlight w:val="none"/>
        </w:rPr>
        <w:t>、公告期限</w:t>
      </w:r>
      <w:bookmarkEnd w:id="28"/>
      <w:bookmarkEnd w:id="29"/>
      <w:bookmarkEnd w:id="30"/>
      <w:bookmarkEnd w:id="31"/>
    </w:p>
    <w:p w14:paraId="29BD34B2">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自本公告发布之日起</w:t>
      </w: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个工作日。</w:t>
      </w:r>
    </w:p>
    <w:p w14:paraId="616B0EBB">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bCs/>
          <w:color w:val="auto"/>
          <w:sz w:val="21"/>
          <w:szCs w:val="21"/>
          <w:highlight w:val="none"/>
        </w:rPr>
      </w:pPr>
      <w:bookmarkStart w:id="32" w:name="_Toc35393626"/>
      <w:bookmarkStart w:id="33" w:name="_Toc35393795"/>
      <w:r>
        <w:rPr>
          <w:rFonts w:hint="eastAsia" w:ascii="宋体" w:hAnsi="宋体" w:eastAsia="宋体" w:cs="宋体"/>
          <w:b/>
          <w:bCs/>
          <w:color w:val="auto"/>
          <w:sz w:val="21"/>
          <w:szCs w:val="21"/>
          <w:highlight w:val="none"/>
          <w:lang w:eastAsia="zh-CN"/>
        </w:rPr>
        <w:t>七</w:t>
      </w:r>
      <w:r>
        <w:rPr>
          <w:rFonts w:hint="eastAsia" w:ascii="宋体" w:hAnsi="宋体" w:eastAsia="宋体" w:cs="宋体"/>
          <w:b/>
          <w:bCs/>
          <w:color w:val="auto"/>
          <w:sz w:val="21"/>
          <w:szCs w:val="21"/>
          <w:highlight w:val="none"/>
        </w:rPr>
        <w:t>、其他补充事宜</w:t>
      </w:r>
      <w:bookmarkEnd w:id="32"/>
      <w:bookmarkEnd w:id="33"/>
    </w:p>
    <w:p w14:paraId="1B4158AA">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rPr>
        <w:t>本项目无需缴纳</w:t>
      </w:r>
      <w:r>
        <w:rPr>
          <w:rFonts w:hint="eastAsia" w:ascii="宋体" w:hAnsi="宋体" w:eastAsia="宋体" w:cs="宋体"/>
          <w:b/>
          <w:bCs/>
          <w:color w:val="auto"/>
          <w:sz w:val="21"/>
          <w:szCs w:val="21"/>
          <w:highlight w:val="none"/>
          <w:lang w:val="en-US" w:eastAsia="zh-CN"/>
        </w:rPr>
        <w:t>磋商</w:t>
      </w:r>
      <w:r>
        <w:rPr>
          <w:rFonts w:hint="eastAsia" w:ascii="宋体" w:hAnsi="宋体" w:eastAsia="宋体" w:cs="宋体"/>
          <w:b/>
          <w:bCs/>
          <w:color w:val="auto"/>
          <w:sz w:val="21"/>
          <w:szCs w:val="21"/>
          <w:highlight w:val="none"/>
        </w:rPr>
        <w:t>保证金。</w:t>
      </w:r>
    </w:p>
    <w:p w14:paraId="4EDCEB29">
      <w:pPr>
        <w:keepNext w:val="0"/>
        <w:keepLines w:val="0"/>
        <w:pageBreakBefore w:val="0"/>
        <w:widowControl w:val="0"/>
        <w:numPr>
          <w:ilvl w:val="0"/>
          <w:numId w:val="0"/>
        </w:numPr>
        <w:kinsoku/>
        <w:wordWrap/>
        <w:overflowPunct/>
        <w:topLinePunct w:val="0"/>
        <w:bidi w:val="0"/>
        <w:snapToGrid/>
        <w:spacing w:line="42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2、本项目所属行业：建筑业。</w:t>
      </w:r>
    </w:p>
    <w:p w14:paraId="2F3BB5A1">
      <w:pPr>
        <w:keepNext w:val="0"/>
        <w:keepLines w:val="0"/>
        <w:pageBreakBefore w:val="0"/>
        <w:widowControl w:val="0"/>
        <w:numPr>
          <w:ilvl w:val="0"/>
          <w:numId w:val="0"/>
        </w:numPr>
        <w:kinsoku/>
        <w:wordWrap/>
        <w:overflowPunct/>
        <w:topLinePunct w:val="0"/>
        <w:bidi w:val="0"/>
        <w:snapToGrid/>
        <w:spacing w:line="42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14:paraId="506DA7C4">
      <w:pPr>
        <w:keepNext w:val="0"/>
        <w:keepLines w:val="0"/>
        <w:pageBreakBefore w:val="0"/>
        <w:widowControl w:val="0"/>
        <w:numPr>
          <w:ilvl w:val="0"/>
          <w:numId w:val="0"/>
        </w:numPr>
        <w:kinsoku/>
        <w:wordWrap/>
        <w:overflowPunct/>
        <w:topLinePunct w:val="0"/>
        <w:bidi w:val="0"/>
        <w:snapToGrid/>
        <w:spacing w:line="420" w:lineRule="exact"/>
        <w:ind w:firstLine="420" w:firstLineChars="200"/>
        <w:textAlignment w:val="auto"/>
        <w:rPr>
          <w:rFonts w:hint="eastAsia" w:eastAsia="宋体"/>
          <w:color w:val="auto"/>
          <w:highlight w:val="none"/>
          <w:lang w:eastAsia="zh-CN"/>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本项目信息发布媒体：http://www.ccgp.gov.cn（中国政府采购网）、http://www.ccgp-guangxi.gov.cn/（广西壮族自治区政府采购网）、（zfcg.czj.guilin.gov.cn）</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桂林市政府采购网</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lang w:eastAsia="zh-CN"/>
        </w:rPr>
        <w:t>。</w:t>
      </w:r>
    </w:p>
    <w:p w14:paraId="46C5BDFF">
      <w:pPr>
        <w:pStyle w:val="32"/>
        <w:keepNext w:val="0"/>
        <w:keepLines w:val="0"/>
        <w:pageBreakBefore w:val="0"/>
        <w:widowControl w:val="0"/>
        <w:kinsoku/>
        <w:wordWrap/>
        <w:overflowPunct/>
        <w:topLinePunct w:val="0"/>
        <w:bidi w:val="0"/>
        <w:snapToGrid/>
        <w:spacing w:line="420" w:lineRule="exact"/>
        <w:ind w:firstLine="420" w:firstLineChars="200"/>
        <w:jc w:val="left"/>
        <w:textAlignment w:val="auto"/>
        <w:rPr>
          <w:rFonts w:hint="eastAsia" w:ascii="宋体" w:hAnsi="宋体" w:eastAsia="宋体" w:cs="宋体"/>
          <w:b w:val="0"/>
          <w:bCs/>
          <w:color w:val="auto"/>
          <w:sz w:val="21"/>
          <w:szCs w:val="21"/>
          <w:highlight w:val="none"/>
          <w:u w:val="none"/>
          <w:lang w:val="en-US" w:eastAsia="zh-CN"/>
        </w:rPr>
      </w:pPr>
      <w:r>
        <w:rPr>
          <w:rFonts w:hint="eastAsia" w:ascii="宋体" w:hAnsi="宋体" w:cs="宋体"/>
          <w:b w:val="0"/>
          <w:bCs/>
          <w:color w:val="auto"/>
          <w:sz w:val="21"/>
          <w:szCs w:val="21"/>
          <w:highlight w:val="none"/>
          <w:u w:val="none"/>
          <w:lang w:val="en-US" w:eastAsia="zh-CN"/>
        </w:rPr>
        <w:t>5、</w:t>
      </w:r>
      <w:r>
        <w:rPr>
          <w:rFonts w:hint="eastAsia" w:ascii="宋体" w:hAnsi="宋体" w:eastAsia="宋体" w:cs="宋体"/>
          <w:b w:val="0"/>
          <w:bCs/>
          <w:color w:val="auto"/>
          <w:sz w:val="21"/>
          <w:szCs w:val="21"/>
          <w:highlight w:val="none"/>
          <w:u w:val="none"/>
          <w:lang w:val="en-US" w:eastAsia="zh-CN"/>
        </w:rPr>
        <w:t>本项目需要落实的政府采购政策：</w:t>
      </w:r>
    </w:p>
    <w:p w14:paraId="599D3D7A">
      <w:pPr>
        <w:pStyle w:val="32"/>
        <w:keepNext w:val="0"/>
        <w:keepLines w:val="0"/>
        <w:pageBreakBefore w:val="0"/>
        <w:widowControl w:val="0"/>
        <w:kinsoku/>
        <w:wordWrap/>
        <w:overflowPunct/>
        <w:topLinePunct w:val="0"/>
        <w:bidi w:val="0"/>
        <w:snapToGrid/>
        <w:spacing w:line="420" w:lineRule="exact"/>
        <w:ind w:firstLine="420" w:firstLineChars="200"/>
        <w:jc w:val="left"/>
        <w:textAlignment w:val="auto"/>
        <w:rPr>
          <w:rFonts w:hint="eastAsia" w:ascii="宋体" w:hAnsi="宋体" w:eastAsia="宋体" w:cs="宋体"/>
          <w:b w:val="0"/>
          <w:bCs/>
          <w:color w:val="auto"/>
          <w:sz w:val="21"/>
          <w:szCs w:val="21"/>
          <w:highlight w:val="none"/>
          <w:u w:val="none"/>
          <w:lang w:val="en-US" w:eastAsia="zh-CN"/>
        </w:rPr>
      </w:pPr>
      <w:r>
        <w:rPr>
          <w:rFonts w:hint="eastAsia" w:ascii="宋体" w:hAnsi="宋体" w:eastAsia="宋体" w:cs="宋体"/>
          <w:b w:val="0"/>
          <w:bCs/>
          <w:color w:val="auto"/>
          <w:sz w:val="21"/>
          <w:szCs w:val="21"/>
          <w:highlight w:val="none"/>
          <w:u w:val="none"/>
          <w:lang w:val="en-US" w:eastAsia="zh-CN"/>
        </w:rPr>
        <w:t>（1）政府采购促进中小企业发展。</w:t>
      </w:r>
    </w:p>
    <w:p w14:paraId="1DD35EEC">
      <w:pPr>
        <w:pStyle w:val="32"/>
        <w:keepNext w:val="0"/>
        <w:keepLines w:val="0"/>
        <w:pageBreakBefore w:val="0"/>
        <w:widowControl w:val="0"/>
        <w:kinsoku/>
        <w:wordWrap/>
        <w:overflowPunct/>
        <w:topLinePunct w:val="0"/>
        <w:bidi w:val="0"/>
        <w:snapToGrid/>
        <w:spacing w:line="420" w:lineRule="exact"/>
        <w:ind w:firstLine="420" w:firstLineChars="200"/>
        <w:jc w:val="left"/>
        <w:textAlignment w:val="auto"/>
        <w:rPr>
          <w:rFonts w:hint="eastAsia" w:ascii="宋体" w:hAnsi="宋体" w:eastAsia="宋体" w:cs="宋体"/>
          <w:b w:val="0"/>
          <w:bCs/>
          <w:color w:val="auto"/>
          <w:sz w:val="21"/>
          <w:szCs w:val="21"/>
          <w:highlight w:val="none"/>
          <w:u w:val="none"/>
          <w:lang w:val="en-US" w:eastAsia="zh-CN"/>
        </w:rPr>
      </w:pPr>
      <w:r>
        <w:rPr>
          <w:rFonts w:hint="eastAsia" w:ascii="宋体" w:hAnsi="宋体" w:eastAsia="宋体" w:cs="宋体"/>
          <w:b w:val="0"/>
          <w:bCs/>
          <w:color w:val="auto"/>
          <w:sz w:val="21"/>
          <w:szCs w:val="21"/>
          <w:highlight w:val="none"/>
          <w:u w:val="none"/>
          <w:lang w:val="en-US" w:eastAsia="zh-CN"/>
        </w:rPr>
        <w:t>（</w:t>
      </w:r>
      <w:r>
        <w:rPr>
          <w:rFonts w:hint="eastAsia" w:ascii="宋体" w:hAnsi="宋体" w:cs="宋体"/>
          <w:b w:val="0"/>
          <w:bCs/>
          <w:color w:val="auto"/>
          <w:sz w:val="21"/>
          <w:szCs w:val="21"/>
          <w:highlight w:val="none"/>
          <w:u w:val="none"/>
          <w:lang w:val="en-US" w:eastAsia="zh-CN"/>
        </w:rPr>
        <w:t>2</w:t>
      </w:r>
      <w:r>
        <w:rPr>
          <w:rFonts w:hint="eastAsia" w:ascii="宋体" w:hAnsi="宋体" w:eastAsia="宋体" w:cs="宋体"/>
          <w:b w:val="0"/>
          <w:bCs/>
          <w:color w:val="auto"/>
          <w:sz w:val="21"/>
          <w:szCs w:val="21"/>
          <w:highlight w:val="none"/>
          <w:u w:val="none"/>
          <w:lang w:val="en-US" w:eastAsia="zh-CN"/>
        </w:rPr>
        <w:t>）政府采购促进残疾人就业政策。</w:t>
      </w:r>
    </w:p>
    <w:p w14:paraId="0784311B">
      <w:pPr>
        <w:pStyle w:val="32"/>
        <w:keepNext w:val="0"/>
        <w:keepLines w:val="0"/>
        <w:pageBreakBefore w:val="0"/>
        <w:widowControl w:val="0"/>
        <w:kinsoku/>
        <w:wordWrap/>
        <w:overflowPunct/>
        <w:topLinePunct w:val="0"/>
        <w:bidi w:val="0"/>
        <w:snapToGrid/>
        <w:spacing w:line="420" w:lineRule="exact"/>
        <w:ind w:firstLine="420" w:firstLineChars="200"/>
        <w:jc w:val="left"/>
        <w:textAlignment w:val="auto"/>
        <w:rPr>
          <w:rFonts w:hint="eastAsia" w:ascii="宋体" w:hAnsi="宋体" w:eastAsia="宋体" w:cs="宋体"/>
          <w:b w:val="0"/>
          <w:bCs/>
          <w:color w:val="auto"/>
          <w:sz w:val="21"/>
          <w:szCs w:val="21"/>
          <w:highlight w:val="none"/>
          <w:u w:val="none"/>
          <w:lang w:val="en-US" w:eastAsia="zh-CN"/>
        </w:rPr>
      </w:pPr>
      <w:r>
        <w:rPr>
          <w:rFonts w:hint="eastAsia" w:ascii="宋体" w:hAnsi="宋体" w:eastAsia="宋体" w:cs="宋体"/>
          <w:b w:val="0"/>
          <w:bCs/>
          <w:color w:val="auto"/>
          <w:sz w:val="21"/>
          <w:szCs w:val="21"/>
          <w:highlight w:val="none"/>
          <w:u w:val="none"/>
          <w:lang w:val="en-US" w:eastAsia="zh-CN"/>
        </w:rPr>
        <w:t>（</w:t>
      </w:r>
      <w:r>
        <w:rPr>
          <w:rFonts w:hint="eastAsia" w:ascii="宋体" w:hAnsi="宋体" w:cs="宋体"/>
          <w:b w:val="0"/>
          <w:bCs/>
          <w:color w:val="auto"/>
          <w:sz w:val="21"/>
          <w:szCs w:val="21"/>
          <w:highlight w:val="none"/>
          <w:u w:val="none"/>
          <w:lang w:val="en-US" w:eastAsia="zh-CN"/>
        </w:rPr>
        <w:t>3</w:t>
      </w:r>
      <w:r>
        <w:rPr>
          <w:rFonts w:hint="eastAsia" w:ascii="宋体" w:hAnsi="宋体" w:eastAsia="宋体" w:cs="宋体"/>
          <w:b w:val="0"/>
          <w:bCs/>
          <w:color w:val="auto"/>
          <w:sz w:val="21"/>
          <w:szCs w:val="21"/>
          <w:highlight w:val="none"/>
          <w:u w:val="none"/>
          <w:lang w:val="en-US" w:eastAsia="zh-CN"/>
        </w:rPr>
        <w:t>）政府采购支持监狱企业发展。</w:t>
      </w:r>
    </w:p>
    <w:p w14:paraId="3FBA506E">
      <w:pPr>
        <w:pStyle w:val="32"/>
        <w:keepNext w:val="0"/>
        <w:keepLines w:val="0"/>
        <w:pageBreakBefore w:val="0"/>
        <w:widowControl w:val="0"/>
        <w:kinsoku/>
        <w:wordWrap/>
        <w:overflowPunct/>
        <w:topLinePunct w:val="0"/>
        <w:bidi w:val="0"/>
        <w:snapToGrid/>
        <w:spacing w:line="420" w:lineRule="exact"/>
        <w:ind w:left="420" w:leftChars="200" w:firstLine="0" w:firstLineChars="0"/>
        <w:jc w:val="left"/>
        <w:textAlignment w:val="auto"/>
        <w:rPr>
          <w:rFonts w:hint="eastAsia" w:ascii="宋体" w:hAnsi="宋体" w:eastAsia="宋体" w:cs="宋体"/>
          <w:b w:val="0"/>
          <w:bCs/>
          <w:color w:val="auto"/>
          <w:sz w:val="21"/>
          <w:szCs w:val="21"/>
          <w:highlight w:val="none"/>
          <w:u w:val="none"/>
          <w:lang w:val="en-US" w:eastAsia="zh-CN"/>
        </w:rPr>
      </w:pPr>
      <w:r>
        <w:rPr>
          <w:rFonts w:hint="eastAsia" w:ascii="宋体" w:hAnsi="宋体" w:cs="宋体"/>
          <w:b w:val="0"/>
          <w:bCs/>
          <w:color w:val="auto"/>
          <w:sz w:val="21"/>
          <w:szCs w:val="21"/>
          <w:highlight w:val="none"/>
          <w:u w:val="none"/>
          <w:lang w:val="en-US" w:eastAsia="zh-CN"/>
        </w:rPr>
        <w:t>6</w:t>
      </w:r>
      <w:r>
        <w:rPr>
          <w:rFonts w:hint="eastAsia" w:ascii="宋体" w:hAnsi="宋体" w:eastAsia="宋体" w:cs="宋体"/>
          <w:b w:val="0"/>
          <w:bCs/>
          <w:color w:val="auto"/>
          <w:sz w:val="21"/>
          <w:szCs w:val="21"/>
          <w:highlight w:val="none"/>
          <w:u w:val="none"/>
          <w:lang w:val="en-US" w:eastAsia="zh-CN"/>
        </w:rPr>
        <w:t>.供应商竞标注意事项</w:t>
      </w:r>
    </w:p>
    <w:p w14:paraId="683D2D47">
      <w:pPr>
        <w:pStyle w:val="32"/>
        <w:keepNext w:val="0"/>
        <w:keepLines w:val="0"/>
        <w:pageBreakBefore w:val="0"/>
        <w:widowControl w:val="0"/>
        <w:kinsoku/>
        <w:wordWrap/>
        <w:overflowPunct/>
        <w:topLinePunct w:val="0"/>
        <w:bidi w:val="0"/>
        <w:snapToGrid/>
        <w:spacing w:line="420" w:lineRule="exact"/>
        <w:ind w:firstLine="420" w:firstLineChars="200"/>
        <w:jc w:val="left"/>
        <w:textAlignment w:val="auto"/>
        <w:rPr>
          <w:rFonts w:hint="eastAsia" w:ascii="宋体" w:hAnsi="宋体" w:eastAsia="宋体" w:cs="宋体"/>
          <w:b w:val="0"/>
          <w:bCs/>
          <w:color w:val="auto"/>
          <w:kern w:val="2"/>
          <w:sz w:val="21"/>
          <w:szCs w:val="21"/>
          <w:highlight w:val="none"/>
          <w:u w:val="none"/>
          <w:lang w:val="en-US" w:eastAsia="zh-CN" w:bidi="ar-SA"/>
        </w:rPr>
      </w:pPr>
      <w:r>
        <w:rPr>
          <w:rFonts w:hint="eastAsia" w:ascii="宋体" w:hAnsi="宋体" w:eastAsia="宋体" w:cs="宋体"/>
          <w:b w:val="0"/>
          <w:bCs/>
          <w:color w:val="auto"/>
          <w:kern w:val="2"/>
          <w:sz w:val="21"/>
          <w:szCs w:val="21"/>
          <w:highlight w:val="none"/>
          <w:u w:val="none"/>
          <w:lang w:val="en-US" w:eastAsia="zh-CN" w:bidi="ar-SA"/>
        </w:rPr>
        <w:t>（1）本项目为全流程电子化采购项目，通过广西政府采购云平台（https://www.gcy.zfcg.gxzf.gov.cn/）实行在线电子竞标，供应商应先安装“广西政府采购云平台电子交易客户端”（请自行前往广西政府采购云平台进行下载），并按照本项目竞争性磋商文件和广西政府采购云平台的要求编制、加密后在提交响应文件截止时间前通过网络上传至 广西政府采购云平台（加密的电子响应文件是指后缀名为“jmbs”的文件），供应商在广西政府采购云平台提交电子响应文件时，请填写参加远程采购活动经办人联系方式。供应商登录广西政府采购云平台，依次进入“服务中心-项目采购-操作流程-电子招投标-政府采购项目电子交易管理操作指南-供应商”查看电子竞标具体操作流程。</w:t>
      </w:r>
    </w:p>
    <w:p w14:paraId="2DAA3058">
      <w:pPr>
        <w:pStyle w:val="32"/>
        <w:keepNext w:val="0"/>
        <w:keepLines w:val="0"/>
        <w:pageBreakBefore w:val="0"/>
        <w:widowControl w:val="0"/>
        <w:kinsoku/>
        <w:wordWrap/>
        <w:overflowPunct/>
        <w:topLinePunct w:val="0"/>
        <w:bidi w:val="0"/>
        <w:snapToGrid/>
        <w:spacing w:line="420" w:lineRule="exact"/>
        <w:ind w:firstLine="420" w:firstLineChars="200"/>
        <w:jc w:val="left"/>
        <w:textAlignment w:val="auto"/>
        <w:rPr>
          <w:rFonts w:hint="eastAsia" w:ascii="宋体" w:hAnsi="宋体" w:eastAsia="宋体" w:cs="宋体"/>
          <w:b w:val="0"/>
          <w:bCs/>
          <w:color w:val="auto"/>
          <w:kern w:val="2"/>
          <w:sz w:val="21"/>
          <w:szCs w:val="21"/>
          <w:highlight w:val="none"/>
          <w:u w:val="none"/>
          <w:lang w:val="en-US" w:eastAsia="zh-CN" w:bidi="ar-SA"/>
        </w:rPr>
      </w:pPr>
      <w:r>
        <w:rPr>
          <w:rFonts w:hint="eastAsia" w:ascii="宋体" w:hAnsi="宋体" w:cs="宋体"/>
          <w:b w:val="0"/>
          <w:bCs/>
          <w:color w:val="auto"/>
          <w:kern w:val="2"/>
          <w:sz w:val="21"/>
          <w:szCs w:val="21"/>
          <w:highlight w:val="none"/>
          <w:u w:val="none"/>
          <w:lang w:val="en-US" w:eastAsia="zh-CN" w:bidi="ar-SA"/>
        </w:rPr>
        <w:t xml:space="preserve">  </w:t>
      </w:r>
      <w:r>
        <w:rPr>
          <w:rFonts w:hint="eastAsia" w:ascii="宋体" w:hAnsi="宋体" w:eastAsia="宋体" w:cs="宋体"/>
          <w:b w:val="0"/>
          <w:bCs/>
          <w:color w:val="auto"/>
          <w:kern w:val="2"/>
          <w:sz w:val="21"/>
          <w:szCs w:val="21"/>
          <w:highlight w:val="none"/>
          <w:u w:val="none"/>
          <w:lang w:val="en-US" w:eastAsia="zh-CN" w:bidi="ar-SA"/>
        </w:rPr>
        <w:t>（2）未进行网上注册并办理数字证书（CA认证）的供应商将无法参与本项目政府采购活动，供应商应当在提交响应文件截止时间前，完成电子交易平台上的CA数字证书办理及响应文件的提交（供应商可登录“广西政府采购网”，依次进入“办事服务-下载专区”或者登录广西政府采购云平台，依次进入“服务中心-入驻与配置”中查看CA数字证书办理操作流程。如在操作过程中遇到问题或者需要技术支持，请致电广西政府采购云平台客服热线：95763）。</w:t>
      </w:r>
    </w:p>
    <w:p w14:paraId="79ED65FD">
      <w:pPr>
        <w:pStyle w:val="32"/>
        <w:keepNext w:val="0"/>
        <w:keepLines w:val="0"/>
        <w:pageBreakBefore w:val="0"/>
        <w:widowControl w:val="0"/>
        <w:kinsoku/>
        <w:wordWrap/>
        <w:overflowPunct/>
        <w:topLinePunct w:val="0"/>
        <w:bidi w:val="0"/>
        <w:snapToGrid/>
        <w:spacing w:line="420" w:lineRule="exact"/>
        <w:ind w:firstLine="420" w:firstLineChars="200"/>
        <w:jc w:val="left"/>
        <w:textAlignment w:val="auto"/>
        <w:rPr>
          <w:rFonts w:hint="eastAsia" w:ascii="宋体" w:hAnsi="宋体" w:eastAsia="宋体" w:cs="宋体"/>
          <w:b w:val="0"/>
          <w:bCs/>
          <w:color w:val="auto"/>
          <w:kern w:val="2"/>
          <w:sz w:val="21"/>
          <w:szCs w:val="21"/>
          <w:highlight w:val="none"/>
          <w:u w:val="none"/>
          <w:lang w:val="en-US" w:eastAsia="zh-CN" w:bidi="ar-SA"/>
        </w:rPr>
      </w:pPr>
      <w:r>
        <w:rPr>
          <w:rFonts w:hint="eastAsia" w:ascii="宋体" w:hAnsi="宋体" w:cs="宋体"/>
          <w:b w:val="0"/>
          <w:bCs/>
          <w:color w:val="auto"/>
          <w:kern w:val="2"/>
          <w:sz w:val="21"/>
          <w:szCs w:val="21"/>
          <w:highlight w:val="none"/>
          <w:u w:val="none"/>
          <w:lang w:val="en-US" w:eastAsia="zh-CN" w:bidi="ar-SA"/>
        </w:rPr>
        <w:t xml:space="preserve">  </w:t>
      </w:r>
      <w:r>
        <w:rPr>
          <w:rFonts w:hint="eastAsia" w:ascii="宋体" w:hAnsi="宋体" w:eastAsia="宋体" w:cs="宋体"/>
          <w:b w:val="0"/>
          <w:bCs/>
          <w:color w:val="auto"/>
          <w:kern w:val="2"/>
          <w:sz w:val="21"/>
          <w:szCs w:val="21"/>
          <w:highlight w:val="none"/>
          <w:u w:val="none"/>
          <w:lang w:val="en-US" w:eastAsia="zh-CN" w:bidi="ar-SA"/>
        </w:rPr>
        <w:t>（3）CA证书在线解密：首次响应文件开启时，需携带制作响应文件时用来加密的有效数字证书（CA认证）登录广西政府采购云平台电子开标大厅现场按规定时间对加密的响应文件进行解密，否则后果自负。</w:t>
      </w:r>
    </w:p>
    <w:p w14:paraId="05AD4E90">
      <w:pPr>
        <w:pStyle w:val="32"/>
        <w:keepNext w:val="0"/>
        <w:keepLines w:val="0"/>
        <w:pageBreakBefore w:val="0"/>
        <w:widowControl w:val="0"/>
        <w:kinsoku/>
        <w:wordWrap/>
        <w:overflowPunct/>
        <w:topLinePunct w:val="0"/>
        <w:bidi w:val="0"/>
        <w:snapToGrid/>
        <w:spacing w:line="420" w:lineRule="exact"/>
        <w:ind w:firstLine="420" w:firstLineChars="200"/>
        <w:jc w:val="left"/>
        <w:textAlignment w:val="auto"/>
        <w:rPr>
          <w:rFonts w:hint="eastAsia" w:ascii="宋体" w:hAnsi="宋体" w:eastAsia="宋体" w:cs="宋体"/>
          <w:b w:val="0"/>
          <w:bCs/>
          <w:color w:val="auto"/>
          <w:kern w:val="2"/>
          <w:sz w:val="21"/>
          <w:szCs w:val="21"/>
          <w:highlight w:val="none"/>
          <w:u w:val="none"/>
          <w:lang w:val="en-US" w:eastAsia="zh-CN" w:bidi="ar-SA"/>
        </w:rPr>
      </w:pPr>
      <w:r>
        <w:rPr>
          <w:rFonts w:hint="eastAsia" w:ascii="宋体" w:hAnsi="宋体" w:cs="宋体"/>
          <w:b w:val="0"/>
          <w:bCs/>
          <w:color w:val="auto"/>
          <w:kern w:val="2"/>
          <w:sz w:val="21"/>
          <w:szCs w:val="21"/>
          <w:highlight w:val="none"/>
          <w:u w:val="none"/>
          <w:lang w:val="en-US" w:eastAsia="zh-CN" w:bidi="ar-SA"/>
        </w:rPr>
        <w:t xml:space="preserve">  </w:t>
      </w:r>
      <w:r>
        <w:rPr>
          <w:rFonts w:hint="eastAsia" w:ascii="宋体" w:hAnsi="宋体" w:eastAsia="宋体" w:cs="宋体"/>
          <w:b w:val="0"/>
          <w:bCs/>
          <w:color w:val="auto"/>
          <w:kern w:val="2"/>
          <w:sz w:val="21"/>
          <w:szCs w:val="21"/>
          <w:highlight w:val="none"/>
          <w:u w:val="none"/>
          <w:lang w:val="en-US" w:eastAsia="zh-CN" w:bidi="ar-SA"/>
        </w:rPr>
        <w:t>注：1）为确保网上操作合法、有效和安全，请供应商确保在电子竞标过程中能够对相关数据电文进行加密和使用电子签章，妥善保管CA数字证书并使用有效的CA数字证书参与整个采购活动。2）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广西政府采购云平台将予以拒收。</w:t>
      </w:r>
    </w:p>
    <w:p w14:paraId="39EFFB1E">
      <w:pPr>
        <w:pStyle w:val="32"/>
        <w:keepNext w:val="0"/>
        <w:keepLines w:val="0"/>
        <w:pageBreakBefore w:val="0"/>
        <w:widowControl w:val="0"/>
        <w:kinsoku/>
        <w:wordWrap/>
        <w:overflowPunct/>
        <w:topLinePunct w:val="0"/>
        <w:bidi w:val="0"/>
        <w:snapToGrid/>
        <w:spacing w:line="420" w:lineRule="exact"/>
        <w:ind w:firstLine="420" w:firstLineChars="200"/>
        <w:jc w:val="left"/>
        <w:textAlignment w:val="auto"/>
        <w:rPr>
          <w:rFonts w:hint="eastAsia" w:ascii="宋体" w:hAnsi="宋体" w:eastAsia="宋体" w:cs="宋体"/>
          <w:b w:val="0"/>
          <w:bCs/>
          <w:color w:val="auto"/>
          <w:kern w:val="2"/>
          <w:sz w:val="21"/>
          <w:szCs w:val="21"/>
          <w:highlight w:val="none"/>
          <w:u w:val="none"/>
          <w:lang w:val="en-US" w:eastAsia="zh-CN" w:bidi="ar-SA"/>
        </w:rPr>
      </w:pPr>
      <w:r>
        <w:rPr>
          <w:rFonts w:hint="eastAsia" w:ascii="宋体" w:hAnsi="宋体" w:eastAsia="宋体" w:cs="宋体"/>
          <w:b w:val="0"/>
          <w:bCs/>
          <w:color w:val="auto"/>
          <w:kern w:val="2"/>
          <w:sz w:val="21"/>
          <w:szCs w:val="21"/>
          <w:highlight w:val="none"/>
          <w:u w:val="none"/>
          <w:lang w:val="en-US" w:eastAsia="zh-CN" w:bidi="ar-SA"/>
        </w:rPr>
        <w:t xml:space="preserve"> </w:t>
      </w:r>
      <w:r>
        <w:rPr>
          <w:rFonts w:hint="eastAsia" w:ascii="宋体" w:hAnsi="宋体" w:cs="宋体"/>
          <w:b w:val="0"/>
          <w:bCs/>
          <w:color w:val="auto"/>
          <w:kern w:val="2"/>
          <w:sz w:val="21"/>
          <w:szCs w:val="21"/>
          <w:highlight w:val="none"/>
          <w:u w:val="none"/>
          <w:lang w:val="en-US" w:eastAsia="zh-CN" w:bidi="ar-SA"/>
        </w:rPr>
        <w:t xml:space="preserve"> </w:t>
      </w:r>
      <w:r>
        <w:rPr>
          <w:rFonts w:hint="eastAsia" w:ascii="宋体" w:hAnsi="宋体" w:eastAsia="宋体" w:cs="宋体"/>
          <w:b w:val="0"/>
          <w:bCs/>
          <w:color w:val="auto"/>
          <w:kern w:val="2"/>
          <w:sz w:val="21"/>
          <w:szCs w:val="21"/>
          <w:highlight w:val="none"/>
          <w:u w:val="none"/>
          <w:lang w:val="en-US" w:eastAsia="zh-CN" w:bidi="ar-SA"/>
        </w:rPr>
        <w:t>（4）供应商需要在具备有摄像头及语音功能且互联网网络状况良好的电脑登录广西政府采购云平台远程开标大厅参与本次谈判，否则后果自负。</w:t>
      </w:r>
    </w:p>
    <w:p w14:paraId="74B9A2BF">
      <w:pPr>
        <w:pStyle w:val="32"/>
        <w:keepNext w:val="0"/>
        <w:keepLines w:val="0"/>
        <w:pageBreakBefore w:val="0"/>
        <w:widowControl w:val="0"/>
        <w:kinsoku/>
        <w:wordWrap/>
        <w:overflowPunct/>
        <w:topLinePunct w:val="0"/>
        <w:bidi w:val="0"/>
        <w:snapToGrid/>
        <w:spacing w:line="420" w:lineRule="exact"/>
        <w:ind w:firstLine="420" w:firstLineChars="200"/>
        <w:jc w:val="left"/>
        <w:textAlignment w:val="auto"/>
        <w:rPr>
          <w:rFonts w:hint="eastAsia" w:ascii="宋体" w:hAnsi="宋体" w:eastAsia="宋体" w:cs="宋体"/>
          <w:b w:val="0"/>
          <w:bCs/>
          <w:color w:val="auto"/>
          <w:sz w:val="21"/>
          <w:szCs w:val="21"/>
          <w:highlight w:val="none"/>
          <w:u w:val="none"/>
        </w:rPr>
      </w:pPr>
      <w:r>
        <w:rPr>
          <w:rFonts w:hint="eastAsia" w:ascii="宋体" w:hAnsi="宋体" w:eastAsia="宋体" w:cs="宋体"/>
          <w:b w:val="0"/>
          <w:bCs/>
          <w:color w:val="auto"/>
          <w:sz w:val="21"/>
          <w:szCs w:val="21"/>
          <w:highlight w:val="none"/>
          <w:u w:val="none"/>
          <w:lang w:eastAsia="zh-CN"/>
        </w:rPr>
        <w:t>八</w:t>
      </w:r>
      <w:r>
        <w:rPr>
          <w:rFonts w:hint="eastAsia" w:ascii="宋体" w:hAnsi="宋体" w:eastAsia="宋体" w:cs="宋体"/>
          <w:b w:val="0"/>
          <w:bCs/>
          <w:color w:val="auto"/>
          <w:sz w:val="21"/>
          <w:szCs w:val="21"/>
          <w:highlight w:val="none"/>
          <w:u w:val="none"/>
        </w:rPr>
        <w:t>、凡对本次采购提出询问，请按以下方式联系。</w:t>
      </w:r>
      <w:bookmarkEnd w:id="20"/>
      <w:bookmarkEnd w:id="21"/>
      <w:bookmarkEnd w:id="22"/>
      <w:bookmarkEnd w:id="23"/>
    </w:p>
    <w:p w14:paraId="096961E9">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采购人信息</w:t>
      </w:r>
    </w:p>
    <w:p w14:paraId="7DA114DE">
      <w:pPr>
        <w:keepNext w:val="0"/>
        <w:keepLines w:val="0"/>
        <w:pageBreakBefore w:val="0"/>
        <w:widowControl w:val="0"/>
        <w:kinsoku/>
        <w:wordWrap/>
        <w:overflowPunct/>
        <w:topLinePunct w:val="0"/>
        <w:autoSpaceDE/>
        <w:autoSpaceDN/>
        <w:bidi w:val="0"/>
        <w:adjustRightInd/>
        <w:snapToGrid/>
        <w:spacing w:line="420" w:lineRule="exact"/>
        <w:ind w:firstLine="630" w:firstLineChars="3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名称：</w:t>
      </w:r>
      <w:r>
        <w:rPr>
          <w:rFonts w:hint="eastAsia" w:ascii="宋体" w:hAnsi="宋体" w:cs="宋体"/>
          <w:color w:val="auto"/>
          <w:sz w:val="21"/>
          <w:szCs w:val="21"/>
          <w:highlight w:val="none"/>
          <w:lang w:eastAsia="zh-CN"/>
        </w:rPr>
        <w:t xml:space="preserve"> 阳朔县文物管理所</w:t>
      </w:r>
    </w:p>
    <w:p w14:paraId="21193917">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 xml:space="preserve">  地址：</w:t>
      </w:r>
      <w:r>
        <w:rPr>
          <w:rFonts w:hint="eastAsia" w:ascii="宋体" w:hAnsi="宋体" w:cs="宋体"/>
          <w:color w:val="auto"/>
          <w:sz w:val="21"/>
          <w:szCs w:val="21"/>
          <w:highlight w:val="none"/>
          <w:lang w:eastAsia="zh-CN"/>
        </w:rPr>
        <w:t>阳朔县阳朔镇莲峰巷74号</w:t>
      </w:r>
    </w:p>
    <w:p w14:paraId="22C3F975">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C00000"/>
          <w:sz w:val="21"/>
          <w:szCs w:val="21"/>
          <w:highlight w:val="none"/>
        </w:rPr>
        <w:t xml:space="preserve">  </w:t>
      </w:r>
      <w:r>
        <w:rPr>
          <w:rFonts w:hint="eastAsia" w:ascii="宋体" w:hAnsi="宋体" w:eastAsia="宋体" w:cs="宋体"/>
          <w:color w:val="000000" w:themeColor="text1"/>
          <w:sz w:val="21"/>
          <w:szCs w:val="21"/>
          <w:highlight w:val="none"/>
          <w14:textFill>
            <w14:solidFill>
              <w14:schemeClr w14:val="tx1"/>
            </w14:solidFill>
          </w14:textFill>
        </w:rPr>
        <w:t>联系人：</w:t>
      </w:r>
      <w:r>
        <w:rPr>
          <w:rFonts w:hint="eastAsia" w:ascii="宋体" w:hAnsi="宋体" w:cs="宋体"/>
          <w:color w:val="000000" w:themeColor="text1"/>
          <w:sz w:val="21"/>
          <w:szCs w:val="21"/>
          <w:highlight w:val="none"/>
          <w:lang w:val="en-US" w:eastAsia="zh-CN"/>
          <w14:textFill>
            <w14:solidFill>
              <w14:schemeClr w14:val="tx1"/>
            </w14:solidFill>
          </w14:textFill>
        </w:rPr>
        <w:t xml:space="preserve"> 徐股长  </w:t>
      </w: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 </w:t>
      </w:r>
      <w:r>
        <w:rPr>
          <w:rFonts w:hint="eastAsia" w:ascii="宋体" w:hAnsi="宋体" w:cs="宋体"/>
          <w:color w:val="000000" w:themeColor="text1"/>
          <w:sz w:val="2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 xml:space="preserve">  联系电话：</w:t>
      </w:r>
      <w:r>
        <w:rPr>
          <w:rFonts w:hint="eastAsia" w:ascii="宋体" w:hAnsi="宋体" w:cs="宋体"/>
          <w:color w:val="000000" w:themeColor="text1"/>
          <w:sz w:val="21"/>
          <w:szCs w:val="21"/>
          <w:highlight w:val="none"/>
          <w:lang w:val="en-US" w:eastAsia="zh-CN"/>
          <w14:textFill>
            <w14:solidFill>
              <w14:schemeClr w14:val="tx1"/>
            </w14:solidFill>
          </w14:textFill>
        </w:rPr>
        <w:t xml:space="preserve"> 0773-8827156 </w:t>
      </w:r>
    </w:p>
    <w:p w14:paraId="2D67F7EA">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采购代理机构信息</w:t>
      </w:r>
    </w:p>
    <w:p w14:paraId="24E301CD">
      <w:pPr>
        <w:keepNext w:val="0"/>
        <w:keepLines w:val="0"/>
        <w:pageBreakBefore w:val="0"/>
        <w:widowControl w:val="0"/>
        <w:kinsoku/>
        <w:wordWrap/>
        <w:overflowPunct/>
        <w:topLinePunct w:val="0"/>
        <w:autoSpaceDE/>
        <w:autoSpaceDN/>
        <w:bidi w:val="0"/>
        <w:adjustRightInd/>
        <w:snapToGrid/>
        <w:spacing w:line="420" w:lineRule="exact"/>
        <w:ind w:firstLine="630" w:firstLineChars="3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名称：广西景钲工程咨询有限公司</w:t>
      </w:r>
    </w:p>
    <w:p w14:paraId="67DB0F8F">
      <w:pPr>
        <w:keepNext w:val="0"/>
        <w:keepLines w:val="0"/>
        <w:pageBreakBefore w:val="0"/>
        <w:widowControl w:val="0"/>
        <w:kinsoku/>
        <w:wordWrap/>
        <w:overflowPunct/>
        <w:topLinePunct w:val="0"/>
        <w:autoSpaceDE/>
        <w:autoSpaceDN/>
        <w:bidi w:val="0"/>
        <w:adjustRightInd/>
        <w:snapToGrid/>
        <w:spacing w:line="420" w:lineRule="exact"/>
        <w:ind w:firstLine="630" w:firstLineChars="30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地址：</w:t>
      </w:r>
      <w:r>
        <w:rPr>
          <w:rFonts w:hint="eastAsia" w:ascii="宋体" w:hAnsi="宋体" w:cs="宋体"/>
          <w:color w:val="auto"/>
          <w:sz w:val="21"/>
          <w:szCs w:val="21"/>
          <w:highlight w:val="none"/>
          <w:lang w:val="en-US" w:eastAsia="zh-CN"/>
        </w:rPr>
        <w:t>临桂区临桂镇西城北路10号山水凤凰城二期国税交行苑GB45幢</w:t>
      </w:r>
    </w:p>
    <w:p w14:paraId="5FEF6C50">
      <w:pPr>
        <w:keepNext w:val="0"/>
        <w:keepLines w:val="0"/>
        <w:pageBreakBefore w:val="0"/>
        <w:widowControl w:val="0"/>
        <w:kinsoku/>
        <w:wordWrap/>
        <w:overflowPunct/>
        <w:topLinePunct w:val="0"/>
        <w:autoSpaceDE/>
        <w:autoSpaceDN/>
        <w:bidi w:val="0"/>
        <w:adjustRightInd/>
        <w:snapToGrid/>
        <w:spacing w:line="420" w:lineRule="exact"/>
        <w:ind w:firstLine="630" w:firstLineChars="3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项目联系人：唐</w:t>
      </w:r>
      <w:r>
        <w:rPr>
          <w:rFonts w:hint="eastAsia" w:ascii="宋体" w:hAnsi="宋体" w:cs="宋体"/>
          <w:color w:val="auto"/>
          <w:sz w:val="21"/>
          <w:szCs w:val="21"/>
          <w:highlight w:val="none"/>
          <w:lang w:val="en-US" w:eastAsia="zh-CN"/>
        </w:rPr>
        <w:t>林燕</w:t>
      </w:r>
      <w:r>
        <w:rPr>
          <w:rFonts w:hint="eastAsia" w:ascii="宋体" w:hAnsi="宋体" w:eastAsia="宋体" w:cs="宋体"/>
          <w:color w:val="auto"/>
          <w:sz w:val="21"/>
          <w:szCs w:val="21"/>
          <w:highlight w:val="none"/>
          <w:lang w:val="en-US" w:eastAsia="zh-CN"/>
        </w:rPr>
        <w:t xml:space="preserve">   </w:t>
      </w:r>
    </w:p>
    <w:p w14:paraId="5E7DD36E">
      <w:pPr>
        <w:keepNext w:val="0"/>
        <w:keepLines w:val="0"/>
        <w:pageBreakBefore w:val="0"/>
        <w:widowControl w:val="0"/>
        <w:kinsoku/>
        <w:wordWrap/>
        <w:overflowPunct/>
        <w:topLinePunct w:val="0"/>
        <w:autoSpaceDE/>
        <w:autoSpaceDN/>
        <w:bidi w:val="0"/>
        <w:adjustRightInd/>
        <w:snapToGrid/>
        <w:spacing w:line="420" w:lineRule="exact"/>
        <w:ind w:left="0" w:leftChars="0" w:firstLine="638" w:firstLineChars="304"/>
        <w:textAlignment w:val="auto"/>
        <w:rPr>
          <w:rFonts w:hint="eastAsia" w:ascii="宋体" w:hAnsi="宋体" w:eastAsia="宋体" w:cs="宋体"/>
          <w:color w:val="auto"/>
          <w:highlight w:val="none"/>
          <w:lang w:val="en-US" w:eastAsia="zh-CN"/>
        </w:rPr>
      </w:pPr>
      <w:r>
        <w:rPr>
          <w:rFonts w:hint="eastAsia" w:ascii="宋体" w:hAnsi="宋体" w:eastAsia="宋体" w:cs="宋体"/>
          <w:color w:val="auto"/>
          <w:sz w:val="21"/>
          <w:szCs w:val="21"/>
          <w:highlight w:val="none"/>
          <w:lang w:val="en-US" w:eastAsia="zh-CN"/>
        </w:rPr>
        <w:t xml:space="preserve"> 联系电话：</w:t>
      </w:r>
      <w:r>
        <w:rPr>
          <w:rFonts w:hint="eastAsia" w:ascii="宋体" w:hAnsi="宋体" w:cs="宋体"/>
          <w:color w:val="auto"/>
          <w:sz w:val="21"/>
          <w:szCs w:val="21"/>
          <w:highlight w:val="none"/>
          <w:lang w:val="en-US" w:eastAsia="zh-CN"/>
        </w:rPr>
        <w:t>15577105403</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highlight w:val="none"/>
          <w:lang w:val="en-US" w:eastAsia="zh-CN"/>
        </w:rPr>
        <w:t xml:space="preserve">                     </w:t>
      </w:r>
    </w:p>
    <w:p w14:paraId="0FC2E743">
      <w:pPr>
        <w:keepNext w:val="0"/>
        <w:keepLines w:val="0"/>
        <w:pageBreakBefore w:val="0"/>
        <w:widowControl w:val="0"/>
        <w:kinsoku/>
        <w:wordWrap/>
        <w:overflowPunct/>
        <w:topLinePunct w:val="0"/>
        <w:autoSpaceDE/>
        <w:autoSpaceDN/>
        <w:bidi w:val="0"/>
        <w:adjustRightInd/>
        <w:snapToGrid/>
        <w:spacing w:line="360" w:lineRule="auto"/>
        <w:ind w:firstLine="525" w:firstLineChars="250"/>
        <w:jc w:val="center"/>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                                           </w:t>
      </w:r>
    </w:p>
    <w:p w14:paraId="05EA2332">
      <w:pPr>
        <w:keepNext w:val="0"/>
        <w:keepLines w:val="0"/>
        <w:pageBreakBefore w:val="0"/>
        <w:widowControl w:val="0"/>
        <w:kinsoku/>
        <w:wordWrap/>
        <w:overflowPunct/>
        <w:topLinePunct w:val="0"/>
        <w:autoSpaceDE/>
        <w:autoSpaceDN/>
        <w:bidi w:val="0"/>
        <w:adjustRightInd/>
        <w:snapToGrid/>
        <w:spacing w:line="360" w:lineRule="auto"/>
        <w:ind w:firstLine="525" w:firstLineChars="250"/>
        <w:jc w:val="center"/>
        <w:textAlignment w:val="auto"/>
        <w:rPr>
          <w:rFonts w:hint="eastAsia" w:ascii="宋体" w:hAnsi="宋体" w:eastAsia="宋体"/>
          <w:color w:val="auto"/>
          <w:szCs w:val="21"/>
          <w:highlight w:val="none"/>
          <w:lang w:eastAsia="zh-CN"/>
        </w:rPr>
      </w:pP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lang w:val="en-US" w:eastAsia="zh-CN"/>
        </w:rPr>
        <w:t xml:space="preserve">  </w:t>
      </w:r>
      <w:r>
        <w:rPr>
          <w:rFonts w:hint="eastAsia" w:ascii="宋体" w:hAnsi="宋体"/>
          <w:color w:val="auto"/>
          <w:szCs w:val="21"/>
          <w:highlight w:val="none"/>
          <w:lang w:eastAsia="zh-CN"/>
        </w:rPr>
        <w:t>广西景钲工程咨询有限公司</w:t>
      </w:r>
    </w:p>
    <w:p w14:paraId="5B7C7B05">
      <w:pPr>
        <w:keepNext w:val="0"/>
        <w:keepLines w:val="0"/>
        <w:pageBreakBefore w:val="0"/>
        <w:widowControl w:val="0"/>
        <w:kinsoku/>
        <w:wordWrap/>
        <w:overflowPunct/>
        <w:topLinePunct w:val="0"/>
        <w:autoSpaceDE/>
        <w:autoSpaceDN/>
        <w:bidi w:val="0"/>
        <w:adjustRightInd/>
        <w:snapToGrid/>
        <w:spacing w:line="360" w:lineRule="auto"/>
        <w:ind w:firstLine="6720" w:firstLineChars="3200"/>
        <w:textAlignment w:val="auto"/>
        <w:rPr>
          <w:rFonts w:hint="eastAsia" w:ascii="宋体" w:hAnsi="宋体"/>
          <w:color w:val="auto"/>
          <w:szCs w:val="21"/>
          <w:highlight w:val="none"/>
        </w:rPr>
      </w:pPr>
      <w:r>
        <w:rPr>
          <w:rFonts w:hint="eastAsia" w:ascii="宋体" w:hAnsi="宋体"/>
          <w:color w:val="auto"/>
          <w:szCs w:val="21"/>
          <w:highlight w:val="none"/>
          <w:lang w:eastAsia="zh-CN"/>
        </w:rPr>
        <w:t>2025</w:t>
      </w:r>
      <w:r>
        <w:rPr>
          <w:rFonts w:hint="eastAsia" w:ascii="宋体" w:hAnsi="宋体"/>
          <w:color w:val="auto"/>
          <w:szCs w:val="21"/>
          <w:highlight w:val="none"/>
        </w:rPr>
        <w:t>年</w:t>
      </w:r>
      <w:r>
        <w:rPr>
          <w:rFonts w:hint="eastAsia" w:ascii="宋体" w:hAnsi="宋体"/>
          <w:color w:val="auto"/>
          <w:szCs w:val="21"/>
          <w:highlight w:val="none"/>
          <w:lang w:val="en-US" w:eastAsia="zh-CN"/>
        </w:rPr>
        <w:t>06</w:t>
      </w:r>
      <w:r>
        <w:rPr>
          <w:rFonts w:hint="eastAsia" w:ascii="宋体" w:hAnsi="宋体"/>
          <w:color w:val="auto"/>
          <w:szCs w:val="21"/>
          <w:highlight w:val="none"/>
        </w:rPr>
        <w:t>月</w:t>
      </w:r>
      <w:r>
        <w:rPr>
          <w:rFonts w:hint="eastAsia" w:ascii="宋体" w:hAnsi="宋体"/>
          <w:color w:val="auto"/>
          <w:szCs w:val="21"/>
          <w:highlight w:val="none"/>
          <w:lang w:val="en-US" w:eastAsia="zh-CN"/>
        </w:rPr>
        <w:t xml:space="preserve">16 </w:t>
      </w:r>
      <w:r>
        <w:rPr>
          <w:rFonts w:hint="eastAsia" w:ascii="宋体" w:hAnsi="宋体"/>
          <w:color w:val="auto"/>
          <w:szCs w:val="21"/>
          <w:highlight w:val="none"/>
        </w:rPr>
        <w:t>日</w:t>
      </w:r>
      <w:bookmarkStart w:id="34" w:name="_Toc26924"/>
    </w:p>
    <w:p w14:paraId="6793724F">
      <w:pPr>
        <w:pStyle w:val="15"/>
        <w:rPr>
          <w:rFonts w:hint="eastAsia"/>
          <w:color w:val="auto"/>
          <w:highlight w:val="none"/>
        </w:rPr>
      </w:pPr>
    </w:p>
    <w:p w14:paraId="578C340C">
      <w:pPr>
        <w:pStyle w:val="15"/>
        <w:rPr>
          <w:rFonts w:hint="eastAsia"/>
          <w:color w:val="auto"/>
          <w:highlight w:val="none"/>
        </w:rPr>
      </w:pPr>
    </w:p>
    <w:p w14:paraId="20756AC6">
      <w:pPr>
        <w:pStyle w:val="15"/>
        <w:rPr>
          <w:rFonts w:hint="eastAsia"/>
          <w:color w:val="auto"/>
          <w:highlight w:val="none"/>
        </w:rPr>
      </w:pPr>
    </w:p>
    <w:p w14:paraId="689F1532">
      <w:pPr>
        <w:rPr>
          <w:rFonts w:hint="eastAsia"/>
          <w:color w:val="auto"/>
          <w:highlight w:val="none"/>
        </w:rPr>
      </w:pPr>
    </w:p>
    <w:p w14:paraId="554D3159">
      <w:pPr>
        <w:pStyle w:val="15"/>
        <w:rPr>
          <w:rFonts w:hint="eastAsia"/>
          <w:color w:val="auto"/>
          <w:highlight w:val="none"/>
        </w:rPr>
      </w:pPr>
    </w:p>
    <w:p w14:paraId="4B2E0399">
      <w:pPr>
        <w:pStyle w:val="15"/>
        <w:rPr>
          <w:rFonts w:hint="eastAsia"/>
          <w:color w:val="auto"/>
          <w:highlight w:val="none"/>
        </w:rPr>
      </w:pPr>
    </w:p>
    <w:p w14:paraId="23B2F889">
      <w:pPr>
        <w:pStyle w:val="15"/>
        <w:rPr>
          <w:rFonts w:hint="eastAsia"/>
          <w:color w:val="auto"/>
          <w:highlight w:val="none"/>
        </w:rPr>
      </w:pPr>
    </w:p>
    <w:p w14:paraId="1AE5CC62">
      <w:pPr>
        <w:pStyle w:val="15"/>
        <w:rPr>
          <w:rFonts w:hint="eastAsia"/>
          <w:color w:val="auto"/>
          <w:highlight w:val="none"/>
          <w:lang w:eastAsia="zh-CN"/>
        </w:rPr>
      </w:pPr>
    </w:p>
    <w:p w14:paraId="7AA2E40D">
      <w:pPr>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rPr>
        <w:br w:type="page"/>
      </w:r>
    </w:p>
    <w:p w14:paraId="370EFE0C">
      <w:pPr>
        <w:pStyle w:val="4"/>
        <w:keepNext/>
        <w:keepLines/>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32"/>
          <w:szCs w:val="32"/>
          <w:highlight w:val="none"/>
        </w:rPr>
      </w:pPr>
      <w:bookmarkStart w:id="35" w:name="_Toc30160"/>
      <w:r>
        <w:rPr>
          <w:rFonts w:hint="eastAsia" w:ascii="宋体" w:hAnsi="宋体" w:eastAsia="宋体" w:cs="宋体"/>
          <w:color w:val="auto"/>
          <w:sz w:val="32"/>
          <w:szCs w:val="32"/>
          <w:highlight w:val="none"/>
          <w:lang w:eastAsia="zh-CN"/>
        </w:rPr>
        <w:t>第二章</w:t>
      </w:r>
      <w:r>
        <w:rPr>
          <w:rFonts w:hint="eastAsia" w:ascii="宋体" w:hAnsi="宋体" w:eastAsia="宋体" w:cs="宋体"/>
          <w:color w:val="auto"/>
          <w:sz w:val="32"/>
          <w:szCs w:val="32"/>
          <w:highlight w:val="none"/>
          <w:lang w:val="en-US" w:eastAsia="zh-CN"/>
        </w:rPr>
        <w:t xml:space="preserve"> </w:t>
      </w:r>
      <w:r>
        <w:rPr>
          <w:rFonts w:hint="eastAsia" w:ascii="宋体" w:hAnsi="宋体" w:eastAsia="宋体" w:cs="宋体"/>
          <w:color w:val="auto"/>
          <w:sz w:val="32"/>
          <w:szCs w:val="32"/>
          <w:highlight w:val="none"/>
        </w:rPr>
        <w:t>供应商须知</w:t>
      </w:r>
      <w:bookmarkEnd w:id="35"/>
    </w:p>
    <w:p w14:paraId="2BEC847A">
      <w:pPr>
        <w:pStyle w:val="5"/>
        <w:keepNext/>
        <w:keepLines/>
        <w:pageBreakBefore w:val="0"/>
        <w:widowControl w:val="0"/>
        <w:tabs>
          <w:tab w:val="left" w:pos="567"/>
        </w:tabs>
        <w:kinsoku/>
        <w:wordWrap/>
        <w:overflowPunct/>
        <w:topLinePunct w:val="0"/>
        <w:autoSpaceDE/>
        <w:autoSpaceDN/>
        <w:bidi w:val="0"/>
        <w:adjustRightInd/>
        <w:snapToGrid/>
        <w:spacing w:line="400" w:lineRule="exact"/>
        <w:jc w:val="center"/>
        <w:textAlignment w:val="auto"/>
        <w:rPr>
          <w:rFonts w:hint="eastAsia"/>
          <w:color w:val="auto"/>
          <w:highlight w:val="none"/>
          <w:lang w:eastAsia="zh-CN"/>
        </w:rPr>
      </w:pPr>
      <w:bookmarkStart w:id="36" w:name="_Toc25063"/>
      <w:bookmarkStart w:id="37" w:name="_Toc1585"/>
      <w:bookmarkStart w:id="38" w:name="_Toc21622"/>
      <w:bookmarkStart w:id="39" w:name="_Toc13547"/>
      <w:bookmarkStart w:id="40" w:name="_Toc9508"/>
      <w:r>
        <w:rPr>
          <w:rFonts w:hint="eastAsia" w:ascii="宋体" w:hAnsi="宋体" w:eastAsia="宋体" w:cs="宋体"/>
          <w:b/>
          <w:bCs w:val="0"/>
          <w:color w:val="auto"/>
          <w:sz w:val="24"/>
          <w:szCs w:val="24"/>
          <w:highlight w:val="none"/>
        </w:rPr>
        <w:t>供 应 商 须 知 前 附 表</w:t>
      </w:r>
      <w:bookmarkEnd w:id="36"/>
      <w:bookmarkEnd w:id="37"/>
      <w:bookmarkEnd w:id="38"/>
      <w:bookmarkEnd w:id="39"/>
      <w:bookmarkEnd w:id="40"/>
    </w:p>
    <w:bookmarkEnd w:id="34"/>
    <w:tbl>
      <w:tblPr>
        <w:tblStyle w:val="29"/>
        <w:tblW w:w="102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942"/>
        <w:gridCol w:w="1775"/>
        <w:gridCol w:w="6912"/>
      </w:tblGrid>
      <w:tr w14:paraId="1D01A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2" w:type="dxa"/>
            <w:noWrap w:val="0"/>
            <w:vAlign w:val="center"/>
          </w:tcPr>
          <w:p w14:paraId="412B425A">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942" w:type="dxa"/>
            <w:noWrap w:val="0"/>
            <w:vAlign w:val="center"/>
          </w:tcPr>
          <w:p w14:paraId="04D6EF5E">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条款号</w:t>
            </w:r>
          </w:p>
        </w:tc>
        <w:tc>
          <w:tcPr>
            <w:tcW w:w="1775" w:type="dxa"/>
            <w:noWrap w:val="0"/>
            <w:vAlign w:val="center"/>
          </w:tcPr>
          <w:p w14:paraId="53FFA374">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条款名称</w:t>
            </w:r>
          </w:p>
        </w:tc>
        <w:tc>
          <w:tcPr>
            <w:tcW w:w="6912" w:type="dxa"/>
            <w:noWrap w:val="0"/>
            <w:vAlign w:val="center"/>
          </w:tcPr>
          <w:p w14:paraId="470722E2">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内容、要求</w:t>
            </w:r>
          </w:p>
        </w:tc>
      </w:tr>
      <w:tr w14:paraId="6F886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662" w:type="dxa"/>
            <w:noWrap w:val="0"/>
            <w:vAlign w:val="center"/>
          </w:tcPr>
          <w:p w14:paraId="371858A2">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942" w:type="dxa"/>
            <w:noWrap w:val="0"/>
            <w:vAlign w:val="center"/>
          </w:tcPr>
          <w:p w14:paraId="5A3FF244">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1.1</w:t>
            </w:r>
          </w:p>
        </w:tc>
        <w:tc>
          <w:tcPr>
            <w:tcW w:w="1775" w:type="dxa"/>
            <w:noWrap w:val="0"/>
            <w:vAlign w:val="center"/>
          </w:tcPr>
          <w:p w14:paraId="47EDABA7">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项目名称及项目编号</w:t>
            </w:r>
          </w:p>
        </w:tc>
        <w:tc>
          <w:tcPr>
            <w:tcW w:w="6912" w:type="dxa"/>
            <w:noWrap w:val="0"/>
            <w:vAlign w:val="center"/>
          </w:tcPr>
          <w:p w14:paraId="42A5E10B">
            <w:pPr>
              <w:pageBreakBefore w:val="0"/>
              <w:widowControl w:val="0"/>
              <w:kinsoku/>
              <w:wordWrap/>
              <w:overflowPunct/>
              <w:topLinePunct w:val="0"/>
              <w:autoSpaceDE/>
              <w:autoSpaceDN/>
              <w:bidi w:val="0"/>
              <w:adjustRightInd/>
              <w:spacing w:line="440" w:lineRule="exact"/>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项目名称：</w:t>
            </w:r>
            <w:r>
              <w:rPr>
                <w:rFonts w:hint="eastAsia" w:ascii="宋体" w:hAnsi="宋体" w:cs="宋体"/>
                <w:color w:val="auto"/>
                <w:sz w:val="21"/>
                <w:szCs w:val="21"/>
                <w:highlight w:val="none"/>
                <w:lang w:eastAsia="zh-CN"/>
              </w:rPr>
              <w:t>阳朔县仙桂桥修缮工程（重）</w:t>
            </w:r>
            <w:r>
              <w:rPr>
                <w:rFonts w:hint="eastAsia" w:ascii="宋体" w:hAnsi="宋体" w:eastAsia="宋体" w:cs="宋体"/>
                <w:color w:val="auto"/>
                <w:sz w:val="21"/>
                <w:szCs w:val="21"/>
                <w:highlight w:val="none"/>
              </w:rPr>
              <w:t xml:space="preserve"> </w:t>
            </w:r>
          </w:p>
          <w:p w14:paraId="4F79B294">
            <w:pPr>
              <w:pageBreakBefore w:val="0"/>
              <w:widowControl w:val="0"/>
              <w:kinsoku/>
              <w:wordWrap/>
              <w:overflowPunct/>
              <w:topLinePunct w:val="0"/>
              <w:autoSpaceDE/>
              <w:autoSpaceDN/>
              <w:bidi w:val="0"/>
              <w:adjustRightInd/>
              <w:spacing w:line="440" w:lineRule="exact"/>
              <w:jc w:val="both"/>
              <w:textAlignment w:val="auto"/>
              <w:rPr>
                <w:rFonts w:hint="eastAsia" w:ascii="宋体" w:hAnsi="宋体" w:eastAsia="宋体" w:cs="宋体"/>
                <w:color w:val="auto"/>
                <w:highlight w:val="none"/>
                <w:lang w:eastAsia="zh-CN"/>
              </w:rPr>
            </w:pPr>
            <w:r>
              <w:rPr>
                <w:rFonts w:hint="eastAsia" w:ascii="宋体" w:hAnsi="宋体" w:eastAsia="宋体" w:cs="宋体"/>
                <w:color w:val="auto"/>
                <w:sz w:val="21"/>
                <w:szCs w:val="21"/>
                <w:highlight w:val="none"/>
                <w:lang w:eastAsia="zh-CN"/>
              </w:rPr>
              <w:t>项目编号：</w:t>
            </w:r>
            <w:r>
              <w:rPr>
                <w:rFonts w:hint="eastAsia" w:ascii="宋体" w:hAnsi="宋体" w:cs="宋体"/>
                <w:color w:val="auto"/>
                <w:sz w:val="21"/>
                <w:szCs w:val="21"/>
                <w:highlight w:val="none"/>
                <w:lang w:eastAsia="zh-CN"/>
              </w:rPr>
              <w:t>GLZC2025-C2-210035-GXJZ</w:t>
            </w:r>
            <w:r>
              <w:rPr>
                <w:rFonts w:hint="eastAsia" w:ascii="宋体" w:hAnsi="宋体" w:cs="宋体"/>
                <w:color w:val="auto"/>
                <w:sz w:val="21"/>
                <w:szCs w:val="21"/>
                <w:highlight w:val="none"/>
                <w:lang w:val="en-US" w:eastAsia="zh-CN"/>
              </w:rPr>
              <w:t xml:space="preserve"> </w:t>
            </w:r>
          </w:p>
        </w:tc>
      </w:tr>
      <w:tr w14:paraId="0492B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662" w:type="dxa"/>
            <w:noWrap w:val="0"/>
            <w:vAlign w:val="center"/>
          </w:tcPr>
          <w:p w14:paraId="3829C40F">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942" w:type="dxa"/>
            <w:noWrap w:val="0"/>
            <w:vAlign w:val="center"/>
          </w:tcPr>
          <w:p w14:paraId="2208247A">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1775" w:type="dxa"/>
            <w:noWrap w:val="0"/>
            <w:vAlign w:val="center"/>
          </w:tcPr>
          <w:p w14:paraId="1D66D25A">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供应商资格</w:t>
            </w:r>
          </w:p>
        </w:tc>
        <w:tc>
          <w:tcPr>
            <w:tcW w:w="6912" w:type="dxa"/>
            <w:noWrap w:val="0"/>
            <w:vAlign w:val="center"/>
          </w:tcPr>
          <w:p w14:paraId="11662785">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满足《中华人民共和国政府采购法》第二十二条规定；</w:t>
            </w:r>
          </w:p>
          <w:p w14:paraId="4B85C0C1">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b/>
                <w:bCs/>
                <w:color w:val="C00000"/>
                <w:sz w:val="21"/>
                <w:szCs w:val="21"/>
                <w:highlight w:val="none"/>
                <w:lang w:val="en-US" w:eastAsia="zh-CN"/>
              </w:rPr>
            </w:pPr>
            <w:r>
              <w:rPr>
                <w:rFonts w:hint="eastAsia" w:ascii="宋体" w:hAnsi="宋体" w:eastAsia="宋体" w:cs="宋体"/>
                <w:color w:val="auto"/>
                <w:sz w:val="21"/>
                <w:szCs w:val="21"/>
                <w:highlight w:val="none"/>
                <w:lang w:val="en-US" w:eastAsia="zh-CN"/>
              </w:rPr>
              <w:t>3.2、</w:t>
            </w:r>
            <w:r>
              <w:rPr>
                <w:rFonts w:hint="eastAsia" w:ascii="宋体" w:hAnsi="宋体" w:eastAsia="宋体" w:cs="宋体"/>
                <w:color w:val="auto"/>
                <w:sz w:val="21"/>
                <w:szCs w:val="21"/>
                <w:highlight w:val="none"/>
              </w:rPr>
              <w:t>落实政府采购政策需满足的资格要求：</w:t>
            </w:r>
            <w:r>
              <w:rPr>
                <w:rFonts w:hint="eastAsia" w:ascii="宋体" w:hAnsi="宋体" w:eastAsia="宋体" w:cs="宋体"/>
                <w:color w:val="000000" w:themeColor="text1"/>
                <w:sz w:val="21"/>
                <w:szCs w:val="21"/>
                <w:highlight w:val="none"/>
                <w:lang w:eastAsia="zh-CN"/>
                <w14:textFill>
                  <w14:solidFill>
                    <w14:schemeClr w14:val="tx1"/>
                  </w14:solidFill>
                </w14:textFill>
              </w:rPr>
              <w:t>本项目为</w:t>
            </w:r>
            <w:r>
              <w:rPr>
                <w:rFonts w:hint="eastAsia" w:ascii="宋体" w:hAnsi="宋体" w:eastAsia="宋体" w:cs="宋体"/>
                <w:color w:val="000000" w:themeColor="text1"/>
                <w:sz w:val="21"/>
                <w:szCs w:val="21"/>
                <w:highlight w:val="none"/>
                <w14:textFill>
                  <w14:solidFill>
                    <w14:schemeClr w14:val="tx1"/>
                  </w14:solidFill>
                </w14:textFill>
              </w:rPr>
              <w:t>专门面向中小</w:t>
            </w:r>
            <w:r>
              <w:rPr>
                <w:rFonts w:hint="eastAsia" w:ascii="宋体" w:hAnsi="宋体" w:eastAsia="宋体" w:cs="宋体"/>
                <w:color w:val="000000" w:themeColor="text1"/>
                <w:sz w:val="21"/>
                <w:szCs w:val="21"/>
                <w:highlight w:val="none"/>
                <w:lang w:eastAsia="zh-CN"/>
                <w14:textFill>
                  <w14:solidFill>
                    <w14:schemeClr w14:val="tx1"/>
                  </w14:solidFill>
                </w14:textFill>
              </w:rPr>
              <w:t>微</w:t>
            </w:r>
            <w:r>
              <w:rPr>
                <w:rFonts w:hint="eastAsia" w:ascii="宋体" w:hAnsi="宋体" w:eastAsia="宋体" w:cs="宋体"/>
                <w:color w:val="000000" w:themeColor="text1"/>
                <w:sz w:val="21"/>
                <w:szCs w:val="21"/>
                <w:highlight w:val="none"/>
                <w14:textFill>
                  <w14:solidFill>
                    <w14:schemeClr w14:val="tx1"/>
                  </w14:solidFill>
                </w14:textFill>
              </w:rPr>
              <w:t>企业采购的项目（供应商应为中小微企业、监狱企业、残疾人福利性单位)</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1E71A89F">
            <w:pPr>
              <w:keepNext w:val="0"/>
              <w:keepLines w:val="0"/>
              <w:pageBreakBefore w:val="0"/>
              <w:widowControl/>
              <w:kinsoku w:val="0"/>
              <w:wordWrap/>
              <w:overflowPunct/>
              <w:topLinePunct w:val="0"/>
              <w:autoSpaceDE w:val="0"/>
              <w:autoSpaceDN w:val="0"/>
              <w:bidi w:val="0"/>
              <w:adjustRightInd w:val="0"/>
              <w:snapToGrid w:val="0"/>
              <w:spacing w:before="165" w:line="360" w:lineRule="exact"/>
              <w:ind w:right="166"/>
              <w:textAlignment w:val="baseline"/>
              <w:rPr>
                <w:rFonts w:hint="eastAsia" w:ascii="宋体" w:hAnsi="宋体" w:eastAsia="宋体" w:cs="宋体"/>
                <w:color w:val="auto"/>
                <w:highlight w:val="none"/>
                <w:lang w:val="en-US" w:eastAsia="zh-CN"/>
              </w:rPr>
            </w:pPr>
            <w:r>
              <w:rPr>
                <w:rFonts w:hint="eastAsia" w:ascii="宋体" w:hAnsi="宋体" w:eastAsia="宋体" w:cs="宋体"/>
                <w:b w:val="0"/>
                <w:bCs w:val="0"/>
                <w:color w:val="auto"/>
                <w:sz w:val="21"/>
                <w:szCs w:val="21"/>
                <w:highlight w:val="none"/>
                <w:lang w:val="en-US" w:eastAsia="zh-CN"/>
              </w:rPr>
              <w:t>3.3、</w:t>
            </w:r>
            <w:r>
              <w:rPr>
                <w:rFonts w:hint="eastAsia" w:ascii="宋体" w:hAnsi="宋体" w:eastAsia="宋体" w:cs="宋体"/>
                <w:color w:val="auto"/>
                <w:sz w:val="21"/>
                <w:szCs w:val="21"/>
                <w:highlight w:val="none"/>
              </w:rPr>
              <w:t>本项目的特定资格要求：</w:t>
            </w:r>
            <w:r>
              <w:rPr>
                <w:rFonts w:hint="eastAsia" w:ascii="宋体" w:hAnsi="宋体" w:eastAsia="宋体" w:cs="宋体"/>
                <w:color w:val="auto"/>
                <w:sz w:val="21"/>
                <w:szCs w:val="21"/>
                <w:highlight w:val="none"/>
                <w:lang w:val="en-US" w:eastAsia="zh-CN"/>
              </w:rPr>
              <w:t>具备国家文物局颁发的文物保护工程</w:t>
            </w:r>
            <w:r>
              <w:rPr>
                <w:rFonts w:hint="eastAsia" w:ascii="宋体" w:hAnsi="宋体" w:cs="宋体"/>
                <w:color w:val="auto"/>
                <w:sz w:val="21"/>
                <w:szCs w:val="21"/>
                <w:highlight w:val="none"/>
                <w:lang w:val="en-US" w:eastAsia="zh-CN"/>
              </w:rPr>
              <w:t>施工二级（含）以上资质</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业务范围包含古建筑维修保护和近现代文物建筑维修保护，</w:t>
            </w:r>
            <w:r>
              <w:rPr>
                <w:rFonts w:hint="eastAsia"/>
                <w:color w:val="auto"/>
                <w:szCs w:val="21"/>
                <w:highlight w:val="none"/>
              </w:rPr>
              <w:t>具有有效的安全生产许可证</w:t>
            </w:r>
            <w:r>
              <w:rPr>
                <w:rFonts w:hint="eastAsia"/>
                <w:color w:val="auto"/>
                <w:szCs w:val="21"/>
                <w:highlight w:val="none"/>
                <w:lang w:eastAsia="zh-CN"/>
              </w:rPr>
              <w:t>，</w:t>
            </w:r>
            <w:r>
              <w:rPr>
                <w:rFonts w:hint="eastAsia" w:ascii="宋体" w:hAnsi="宋体" w:eastAsia="宋体" w:cs="宋体"/>
                <w:color w:val="auto"/>
                <w:sz w:val="21"/>
                <w:szCs w:val="21"/>
                <w:highlight w:val="none"/>
                <w:lang w:val="en-US" w:eastAsia="zh-CN"/>
              </w:rPr>
              <w:t>并在人员、设备、资金等方面具备相应的施工能力。</w:t>
            </w:r>
            <w:r>
              <w:rPr>
                <w:rFonts w:hint="eastAsia" w:ascii="宋体" w:hAnsi="宋体" w:cs="宋体"/>
                <w:color w:val="auto"/>
                <w:sz w:val="21"/>
                <w:szCs w:val="21"/>
                <w:highlight w:val="none"/>
                <w:lang w:val="en-US" w:eastAsia="zh-CN"/>
              </w:rPr>
              <w:t>项目经理须具备中国古迹遗址保护协会颁发的文物保护工程责任工程师证书，且同时具备有中级（含）以上职称</w:t>
            </w:r>
          </w:p>
        </w:tc>
      </w:tr>
      <w:tr w14:paraId="14D39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662" w:type="dxa"/>
            <w:noWrap w:val="0"/>
            <w:vAlign w:val="center"/>
          </w:tcPr>
          <w:p w14:paraId="07452C49">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942" w:type="dxa"/>
            <w:noWrap w:val="0"/>
            <w:vAlign w:val="center"/>
          </w:tcPr>
          <w:p w14:paraId="633CA839">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1775" w:type="dxa"/>
            <w:noWrap w:val="0"/>
            <w:vAlign w:val="center"/>
          </w:tcPr>
          <w:p w14:paraId="04DB9F45">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磋商费用</w:t>
            </w:r>
          </w:p>
        </w:tc>
        <w:tc>
          <w:tcPr>
            <w:tcW w:w="6912" w:type="dxa"/>
            <w:noWrap w:val="0"/>
            <w:vAlign w:val="center"/>
          </w:tcPr>
          <w:p w14:paraId="4EB59761">
            <w:pPr>
              <w:pageBreakBefore w:val="0"/>
              <w:widowControl w:val="0"/>
              <w:kinsoku/>
              <w:wordWrap/>
              <w:overflowPunct/>
              <w:topLinePunct w:val="0"/>
              <w:autoSpaceDE/>
              <w:autoSpaceDN/>
              <w:bidi w:val="0"/>
              <w:adjustRightInd/>
              <w:spacing w:line="44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不论磋商结果如何，供应商均应自行承担所有与磋商有关的全部费用。 </w:t>
            </w:r>
          </w:p>
        </w:tc>
      </w:tr>
      <w:tr w14:paraId="1B709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662" w:type="dxa"/>
            <w:noWrap w:val="0"/>
            <w:vAlign w:val="center"/>
          </w:tcPr>
          <w:p w14:paraId="227409E5">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942" w:type="dxa"/>
            <w:noWrap w:val="0"/>
            <w:vAlign w:val="center"/>
          </w:tcPr>
          <w:p w14:paraId="3DB8A7A0">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position w:val="-2"/>
                <w:szCs w:val="21"/>
                <w:highlight w:val="none"/>
              </w:rPr>
            </w:pPr>
            <w:r>
              <w:rPr>
                <w:rFonts w:hint="eastAsia" w:ascii="宋体" w:hAnsi="宋体" w:eastAsia="宋体" w:cs="宋体"/>
                <w:color w:val="auto"/>
                <w:position w:val="-2"/>
                <w:szCs w:val="21"/>
                <w:highlight w:val="none"/>
              </w:rPr>
              <w:t>13</w:t>
            </w:r>
          </w:p>
        </w:tc>
        <w:tc>
          <w:tcPr>
            <w:tcW w:w="1775" w:type="dxa"/>
            <w:noWrap w:val="0"/>
            <w:vAlign w:val="center"/>
          </w:tcPr>
          <w:p w14:paraId="69403E2A">
            <w:pPr>
              <w:keepNext w:val="0"/>
              <w:keepLines w:val="0"/>
              <w:pageBreakBefore w:val="0"/>
              <w:kinsoku/>
              <w:wordWrap/>
              <w:overflowPunct/>
              <w:topLinePunct w:val="0"/>
              <w:autoSpaceDE/>
              <w:autoSpaceDN/>
              <w:bidi w:val="0"/>
              <w:adjustRightInd/>
              <w:spacing w:line="360" w:lineRule="exact"/>
              <w:ind w:left="0" w:leftChars="0"/>
              <w:jc w:val="center"/>
              <w:textAlignment w:val="auto"/>
              <w:rPr>
                <w:rFonts w:hint="eastAsia" w:ascii="宋体" w:hAnsi="宋体" w:eastAsia="宋体" w:cs="宋体"/>
                <w:color w:val="auto"/>
                <w:position w:val="-2"/>
                <w:szCs w:val="21"/>
                <w:highlight w:val="none"/>
              </w:rPr>
            </w:pPr>
            <w:r>
              <w:rPr>
                <w:rFonts w:hint="eastAsia" w:ascii="宋体" w:hAnsi="宋体" w:eastAsia="宋体" w:cs="宋体"/>
                <w:color w:val="auto"/>
                <w:sz w:val="21"/>
                <w:szCs w:val="21"/>
                <w:highlight w:val="none"/>
              </w:rPr>
              <w:t>磋商报价及</w:t>
            </w:r>
            <w:r>
              <w:rPr>
                <w:rFonts w:hint="eastAsia" w:ascii="宋体" w:hAnsi="宋体" w:eastAsia="宋体" w:cs="宋体"/>
                <w:color w:val="auto"/>
                <w:sz w:val="21"/>
                <w:szCs w:val="21"/>
                <w:highlight w:val="none"/>
                <w:lang w:val="en-US" w:eastAsia="zh-CN"/>
              </w:rPr>
              <w:t>预算</w:t>
            </w:r>
            <w:r>
              <w:rPr>
                <w:rFonts w:hint="eastAsia" w:ascii="宋体" w:hAnsi="宋体" w:eastAsia="宋体" w:cs="宋体"/>
                <w:color w:val="auto"/>
                <w:sz w:val="21"/>
                <w:szCs w:val="21"/>
                <w:highlight w:val="none"/>
              </w:rPr>
              <w:t>控制价</w:t>
            </w:r>
          </w:p>
        </w:tc>
        <w:tc>
          <w:tcPr>
            <w:tcW w:w="6912" w:type="dxa"/>
            <w:noWrap w:val="0"/>
            <w:vAlign w:val="center"/>
          </w:tcPr>
          <w:p w14:paraId="5D2E97DB">
            <w:pPr>
              <w:keepNext w:val="0"/>
              <w:keepLines w:val="0"/>
              <w:pageBreakBefore w:val="0"/>
              <w:widowControl/>
              <w:kinsoku/>
              <w:wordWrap/>
              <w:overflowPunct/>
              <w:topLinePunct w:val="0"/>
              <w:autoSpaceDE/>
              <w:autoSpaceDN/>
              <w:bidi w:val="0"/>
              <w:adjustRightInd/>
              <w:snapToGrid w:val="0"/>
              <w:spacing w:line="360" w:lineRule="exact"/>
              <w:ind w:left="0" w:leftChars="0" w:firstLine="420" w:firstLineChars="200"/>
              <w:jc w:val="left"/>
              <w:textAlignment w:val="auto"/>
              <w:rPr>
                <w:rFonts w:hint="eastAsia" w:ascii="宋体" w:hAnsi="宋体" w:eastAsia="宋体" w:cs="宋体"/>
                <w:color w:val="000000"/>
                <w:sz w:val="21"/>
                <w:szCs w:val="21"/>
                <w:highlight w:val="none"/>
                <w:shd w:val="clear" w:color="auto" w:fill="auto"/>
              </w:rPr>
            </w:pPr>
            <w:r>
              <w:rPr>
                <w:rFonts w:hint="eastAsia" w:ascii="宋体" w:hAnsi="宋体" w:eastAsia="宋体" w:cs="宋体"/>
                <w:color w:val="000000"/>
                <w:kern w:val="0"/>
                <w:sz w:val="21"/>
                <w:szCs w:val="21"/>
                <w:highlight w:val="none"/>
                <w:shd w:val="clear" w:color="auto" w:fill="auto"/>
              </w:rPr>
              <w:t>本工程预算控制价（最高磋商限价）为人民币</w:t>
            </w:r>
            <w:r>
              <w:rPr>
                <w:rFonts w:hint="eastAsia" w:ascii="宋体" w:hAnsi="宋体" w:cs="宋体"/>
                <w:color w:val="000000"/>
                <w:kern w:val="0"/>
                <w:sz w:val="21"/>
                <w:szCs w:val="21"/>
                <w:highlight w:val="none"/>
                <w:shd w:val="clear" w:color="auto" w:fill="auto"/>
                <w:lang w:eastAsia="zh-CN"/>
              </w:rPr>
              <w:t>：</w:t>
            </w:r>
            <w:r>
              <w:rPr>
                <w:rFonts w:hint="eastAsia" w:ascii="宋体" w:hAnsi="宋体" w:cs="宋体"/>
                <w:color w:val="000000"/>
                <w:kern w:val="0"/>
                <w:sz w:val="21"/>
                <w:szCs w:val="21"/>
                <w:highlight w:val="none"/>
                <w:shd w:val="clear" w:color="auto" w:fill="auto"/>
                <w:lang w:val="en-US" w:eastAsia="zh-CN"/>
              </w:rPr>
              <w:t>陆拾万零捌仟零叁拾肆元玖角叁分（￥:</w:t>
            </w:r>
            <w:r>
              <w:rPr>
                <w:rFonts w:hint="eastAsia" w:ascii="宋体" w:hAnsi="宋体" w:eastAsia="宋体" w:cs="宋体"/>
                <w:color w:val="000000"/>
                <w:kern w:val="0"/>
                <w:sz w:val="21"/>
                <w:szCs w:val="21"/>
                <w:highlight w:val="none"/>
                <w:u w:val="none"/>
                <w:shd w:val="clear" w:color="auto" w:fill="auto"/>
              </w:rPr>
              <w:t>608034.93</w:t>
            </w:r>
            <w:r>
              <w:rPr>
                <w:rFonts w:hint="eastAsia" w:ascii="宋体" w:hAnsi="宋体" w:eastAsia="宋体" w:cs="宋体"/>
                <w:color w:val="000000"/>
                <w:kern w:val="0"/>
                <w:sz w:val="21"/>
                <w:szCs w:val="21"/>
                <w:highlight w:val="none"/>
                <w:u w:val="none"/>
                <w:shd w:val="clear" w:color="auto" w:fill="auto"/>
                <w:lang w:val="en-US" w:eastAsia="zh-CN"/>
              </w:rPr>
              <w:t>元</w:t>
            </w:r>
            <w:r>
              <w:rPr>
                <w:rFonts w:hint="eastAsia" w:ascii="宋体" w:hAnsi="宋体" w:cs="宋体"/>
                <w:color w:val="000000"/>
                <w:kern w:val="0"/>
                <w:sz w:val="21"/>
                <w:szCs w:val="21"/>
                <w:highlight w:val="none"/>
                <w:shd w:val="clear" w:color="auto" w:fill="auto"/>
                <w:lang w:val="en-US" w:eastAsia="zh-CN"/>
              </w:rPr>
              <w:t>）</w:t>
            </w:r>
            <w:r>
              <w:rPr>
                <w:rFonts w:hint="eastAsia" w:ascii="宋体" w:hAnsi="宋体" w:eastAsia="宋体" w:cs="宋体"/>
                <w:color w:val="000000"/>
                <w:sz w:val="21"/>
                <w:szCs w:val="21"/>
                <w:highlight w:val="none"/>
                <w:shd w:val="clear" w:color="auto" w:fill="auto"/>
              </w:rPr>
              <w:t>供应商磋商总报价不得高于本工程最高磋商限价，否则被视为无效报价，无效报价将不予评审。</w:t>
            </w:r>
          </w:p>
          <w:p w14:paraId="2878820C">
            <w:pPr>
              <w:keepNext w:val="0"/>
              <w:keepLines w:val="0"/>
              <w:pageBreakBefore w:val="0"/>
              <w:widowControl/>
              <w:kinsoku/>
              <w:wordWrap/>
              <w:overflowPunct/>
              <w:topLinePunct w:val="0"/>
              <w:autoSpaceDE/>
              <w:autoSpaceDN/>
              <w:bidi w:val="0"/>
              <w:adjustRightInd/>
              <w:snapToGrid w:val="0"/>
              <w:spacing w:line="360" w:lineRule="exact"/>
              <w:ind w:left="0" w:leftChars="0" w:firstLine="422" w:firstLineChars="200"/>
              <w:jc w:val="left"/>
              <w:textAlignment w:val="auto"/>
              <w:rPr>
                <w:rFonts w:hint="eastAsia" w:ascii="宋体" w:hAnsi="宋体" w:eastAsia="宋体" w:cs="宋体"/>
                <w:color w:val="auto"/>
                <w:szCs w:val="21"/>
                <w:highlight w:val="none"/>
                <w:lang w:eastAsia="zh-CN"/>
              </w:rPr>
            </w:pPr>
            <w:r>
              <w:rPr>
                <w:rFonts w:hint="eastAsia" w:ascii="宋体" w:hAnsi="宋体" w:eastAsia="宋体" w:cs="宋体"/>
                <w:b/>
                <w:color w:val="auto"/>
                <w:sz w:val="21"/>
                <w:szCs w:val="21"/>
                <w:highlight w:val="none"/>
              </w:rPr>
              <w:t>注：</w:t>
            </w:r>
            <w:r>
              <w:rPr>
                <w:rFonts w:hint="eastAsia" w:ascii="宋体" w:hAnsi="宋体" w:eastAsia="宋体" w:cs="宋体"/>
                <w:b/>
                <w:color w:val="auto"/>
                <w:sz w:val="21"/>
                <w:szCs w:val="21"/>
                <w:highlight w:val="none"/>
                <w:lang w:eastAsia="zh-CN"/>
              </w:rPr>
              <w:t>供应商的磋商报价不得超过本工程</w:t>
            </w:r>
            <w:r>
              <w:rPr>
                <w:rFonts w:hint="eastAsia" w:ascii="宋体" w:hAnsi="宋体" w:eastAsia="宋体" w:cs="宋体"/>
                <w:b/>
                <w:bCs/>
                <w:color w:val="auto"/>
                <w:kern w:val="0"/>
                <w:sz w:val="21"/>
                <w:szCs w:val="21"/>
                <w:highlight w:val="none"/>
                <w:lang w:eastAsia="zh-CN"/>
              </w:rPr>
              <w:t>预算控制价（最高限价），否则作无效标处理；</w:t>
            </w:r>
            <w:r>
              <w:rPr>
                <w:rFonts w:hint="eastAsia" w:ascii="宋体" w:hAnsi="宋体" w:eastAsia="宋体" w:cs="宋体"/>
                <w:b/>
                <w:color w:val="auto"/>
                <w:sz w:val="21"/>
                <w:szCs w:val="21"/>
                <w:highlight w:val="none"/>
              </w:rPr>
              <w:t>供应商的第二次磋商报价不得高于该供应商第一次磋商报价，否则做无效标处理。如供应商维持</w:t>
            </w:r>
            <w:r>
              <w:rPr>
                <w:rFonts w:hint="eastAsia" w:ascii="宋体" w:hAnsi="宋体" w:eastAsia="宋体" w:cs="宋体"/>
                <w:b/>
                <w:color w:val="auto"/>
                <w:sz w:val="21"/>
                <w:szCs w:val="21"/>
                <w:highlight w:val="none"/>
                <w:lang w:eastAsia="zh-CN"/>
              </w:rPr>
              <w:t>磋商</w:t>
            </w:r>
            <w:r>
              <w:rPr>
                <w:rFonts w:hint="eastAsia" w:ascii="宋体" w:hAnsi="宋体" w:eastAsia="宋体" w:cs="宋体"/>
                <w:b/>
                <w:color w:val="auto"/>
                <w:sz w:val="21"/>
                <w:szCs w:val="21"/>
                <w:highlight w:val="none"/>
              </w:rPr>
              <w:t>报价不变，以原磋商报价作为供应商最后报价</w:t>
            </w:r>
            <w:r>
              <w:rPr>
                <w:rFonts w:hint="eastAsia" w:ascii="宋体" w:hAnsi="宋体" w:eastAsia="宋体" w:cs="宋体"/>
                <w:b/>
                <w:bCs/>
                <w:color w:val="auto"/>
                <w:sz w:val="21"/>
                <w:szCs w:val="21"/>
                <w:highlight w:val="none"/>
              </w:rPr>
              <w:t>；如供应商需要改变原磋商报价时，</w:t>
            </w:r>
            <w:r>
              <w:rPr>
                <w:rFonts w:hint="eastAsia" w:ascii="宋体" w:hAnsi="宋体" w:eastAsia="宋体" w:cs="宋体"/>
                <w:b/>
                <w:color w:val="auto"/>
                <w:sz w:val="21"/>
                <w:szCs w:val="21"/>
                <w:highlight w:val="none"/>
              </w:rPr>
              <w:t>供应商应预先准备好调整后的</w:t>
            </w:r>
            <w:r>
              <w:rPr>
                <w:rFonts w:hint="eastAsia" w:ascii="宋体" w:hAnsi="宋体" w:eastAsia="宋体" w:cs="宋体"/>
                <w:b/>
                <w:color w:val="auto"/>
                <w:sz w:val="21"/>
                <w:szCs w:val="21"/>
                <w:highlight w:val="none"/>
                <w:lang w:eastAsia="zh-CN"/>
              </w:rPr>
              <w:t>已标价的工程量清单</w:t>
            </w: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eastAsia="zh-CN"/>
              </w:rPr>
              <w:t xml:space="preserve"> </w:t>
            </w:r>
          </w:p>
        </w:tc>
      </w:tr>
      <w:tr w14:paraId="4F025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662" w:type="dxa"/>
            <w:noWrap w:val="0"/>
            <w:vAlign w:val="center"/>
          </w:tcPr>
          <w:p w14:paraId="44913C21">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942" w:type="dxa"/>
            <w:noWrap w:val="0"/>
            <w:vAlign w:val="center"/>
          </w:tcPr>
          <w:p w14:paraId="52F2878A">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position w:val="-2"/>
                <w:szCs w:val="21"/>
                <w:highlight w:val="none"/>
              </w:rPr>
            </w:pPr>
            <w:r>
              <w:rPr>
                <w:rFonts w:hint="eastAsia" w:ascii="宋体" w:hAnsi="宋体" w:eastAsia="宋体" w:cs="宋体"/>
                <w:color w:val="auto"/>
                <w:position w:val="-2"/>
                <w:szCs w:val="21"/>
                <w:highlight w:val="none"/>
              </w:rPr>
              <w:t>14.1</w:t>
            </w:r>
          </w:p>
        </w:tc>
        <w:tc>
          <w:tcPr>
            <w:tcW w:w="1775" w:type="dxa"/>
            <w:noWrap w:val="0"/>
            <w:vAlign w:val="center"/>
          </w:tcPr>
          <w:p w14:paraId="4153504E">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position w:val="-2"/>
                <w:szCs w:val="21"/>
                <w:highlight w:val="none"/>
              </w:rPr>
            </w:pPr>
            <w:r>
              <w:rPr>
                <w:rFonts w:hint="eastAsia" w:ascii="宋体" w:hAnsi="宋体" w:eastAsia="宋体" w:cs="宋体"/>
                <w:color w:val="auto"/>
                <w:position w:val="-2"/>
                <w:szCs w:val="21"/>
                <w:highlight w:val="none"/>
              </w:rPr>
              <w:t>响应文件有效期</w:t>
            </w:r>
          </w:p>
        </w:tc>
        <w:tc>
          <w:tcPr>
            <w:tcW w:w="6912" w:type="dxa"/>
            <w:noWrap w:val="0"/>
            <w:vAlign w:val="top"/>
          </w:tcPr>
          <w:p w14:paraId="10278609">
            <w:pPr>
              <w:pageBreakBefore w:val="0"/>
              <w:widowControl w:val="0"/>
              <w:tabs>
                <w:tab w:val="left" w:pos="1305"/>
              </w:tabs>
              <w:kinsoku/>
              <w:wordWrap/>
              <w:overflowPunct/>
              <w:topLinePunct w:val="0"/>
              <w:autoSpaceDE/>
              <w:autoSpaceDN/>
              <w:bidi w:val="0"/>
              <w:adjustRightInd/>
              <w:spacing w:line="44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响应文件递交截止时间之日起90天，有效期不足的响应文件将被拒绝。</w:t>
            </w:r>
          </w:p>
        </w:tc>
      </w:tr>
      <w:tr w14:paraId="19D46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662" w:type="dxa"/>
            <w:noWrap w:val="0"/>
            <w:vAlign w:val="center"/>
          </w:tcPr>
          <w:p w14:paraId="6556CFA3">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942" w:type="dxa"/>
            <w:noWrap w:val="0"/>
            <w:vAlign w:val="center"/>
          </w:tcPr>
          <w:p w14:paraId="2C280A69">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position w:val="-2"/>
                <w:szCs w:val="21"/>
                <w:highlight w:val="none"/>
              </w:rPr>
            </w:pPr>
            <w:r>
              <w:rPr>
                <w:rFonts w:hint="eastAsia" w:ascii="宋体" w:hAnsi="宋体" w:eastAsia="宋体" w:cs="宋体"/>
                <w:color w:val="auto"/>
                <w:position w:val="-2"/>
                <w:szCs w:val="21"/>
                <w:highlight w:val="none"/>
              </w:rPr>
              <w:t>15</w:t>
            </w:r>
          </w:p>
        </w:tc>
        <w:tc>
          <w:tcPr>
            <w:tcW w:w="1775" w:type="dxa"/>
            <w:noWrap w:val="0"/>
            <w:vAlign w:val="center"/>
          </w:tcPr>
          <w:p w14:paraId="5FC1DA29">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position w:val="-2"/>
                <w:szCs w:val="21"/>
                <w:highlight w:val="none"/>
              </w:rPr>
            </w:pPr>
            <w:r>
              <w:rPr>
                <w:rFonts w:hint="eastAsia" w:ascii="宋体" w:hAnsi="宋体" w:eastAsia="宋体" w:cs="宋体"/>
                <w:color w:val="auto"/>
                <w:position w:val="-2"/>
                <w:szCs w:val="21"/>
                <w:highlight w:val="none"/>
              </w:rPr>
              <w:t>保证金</w:t>
            </w:r>
          </w:p>
        </w:tc>
        <w:tc>
          <w:tcPr>
            <w:tcW w:w="6912" w:type="dxa"/>
            <w:noWrap w:val="0"/>
            <w:vAlign w:val="top"/>
          </w:tcPr>
          <w:p w14:paraId="6D5A75DE">
            <w:pPr>
              <w:pageBreakBefore w:val="0"/>
              <w:widowControl w:val="0"/>
              <w:tabs>
                <w:tab w:val="left" w:pos="1305"/>
              </w:tabs>
              <w:kinsoku/>
              <w:wordWrap/>
              <w:overflowPunct/>
              <w:topLinePunct w:val="0"/>
              <w:autoSpaceDE/>
              <w:autoSpaceDN/>
              <w:bidi w:val="0"/>
              <w:adjustRightInd/>
              <w:spacing w:line="44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本项目无需缴纳磋商保证金</w:t>
            </w:r>
          </w:p>
        </w:tc>
      </w:tr>
      <w:tr w14:paraId="40B2E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662" w:type="dxa"/>
            <w:noWrap w:val="0"/>
            <w:vAlign w:val="center"/>
          </w:tcPr>
          <w:p w14:paraId="35BEAC1A">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7</w:t>
            </w:r>
          </w:p>
        </w:tc>
        <w:tc>
          <w:tcPr>
            <w:tcW w:w="942" w:type="dxa"/>
            <w:noWrap w:val="0"/>
            <w:vAlign w:val="center"/>
          </w:tcPr>
          <w:p w14:paraId="35F1418B">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16</w:t>
            </w:r>
          </w:p>
        </w:tc>
        <w:tc>
          <w:tcPr>
            <w:tcW w:w="1775" w:type="dxa"/>
            <w:noWrap w:val="0"/>
            <w:vAlign w:val="center"/>
          </w:tcPr>
          <w:p w14:paraId="6ACA29D4">
            <w:pPr>
              <w:pStyle w:val="6"/>
              <w:pageBreakBefore w:val="0"/>
              <w:widowControl w:val="0"/>
              <w:kinsoku/>
              <w:wordWrap/>
              <w:overflowPunct/>
              <w:topLinePunct w:val="0"/>
              <w:autoSpaceDE/>
              <w:autoSpaceDN/>
              <w:bidi w:val="0"/>
              <w:adjustRightInd/>
              <w:spacing w:before="0" w:after="0" w:line="440" w:lineRule="exact"/>
              <w:jc w:val="center"/>
              <w:textAlignment w:val="auto"/>
              <w:rPr>
                <w:rFonts w:hint="eastAsia" w:ascii="宋体" w:hAnsi="宋体" w:eastAsia="宋体" w:cs="宋体"/>
                <w:b w:val="0"/>
                <w:bCs/>
                <w:color w:val="auto"/>
                <w:sz w:val="21"/>
                <w:szCs w:val="21"/>
                <w:highlight w:val="none"/>
                <w:lang w:eastAsia="zh-CN"/>
              </w:rPr>
            </w:pPr>
            <w:bookmarkStart w:id="41" w:name="_Toc19954"/>
            <w:bookmarkStart w:id="42" w:name="_Toc27452"/>
            <w:bookmarkStart w:id="43" w:name="_Toc19911"/>
            <w:r>
              <w:rPr>
                <w:rFonts w:hint="eastAsia" w:ascii="宋体" w:hAnsi="宋体" w:eastAsia="宋体" w:cs="宋体"/>
                <w:b w:val="0"/>
                <w:bCs/>
                <w:color w:val="auto"/>
                <w:sz w:val="21"/>
                <w:szCs w:val="21"/>
                <w:highlight w:val="none"/>
              </w:rPr>
              <w:t>竞争性</w:t>
            </w:r>
            <w:r>
              <w:rPr>
                <w:rFonts w:hint="eastAsia" w:ascii="宋体" w:hAnsi="宋体" w:eastAsia="宋体" w:cs="宋体"/>
                <w:b w:val="0"/>
                <w:bCs/>
                <w:color w:val="auto"/>
                <w:sz w:val="21"/>
                <w:szCs w:val="21"/>
                <w:highlight w:val="none"/>
                <w:lang w:eastAsia="zh-CN"/>
              </w:rPr>
              <w:t>磋商</w:t>
            </w:r>
            <w:r>
              <w:rPr>
                <w:rFonts w:hint="eastAsia" w:ascii="宋体" w:hAnsi="宋体" w:eastAsia="宋体" w:cs="宋体"/>
                <w:b w:val="0"/>
                <w:bCs/>
                <w:color w:val="auto"/>
                <w:sz w:val="21"/>
                <w:szCs w:val="21"/>
                <w:highlight w:val="none"/>
              </w:rPr>
              <w:t>响应文件的</w:t>
            </w:r>
            <w:r>
              <w:rPr>
                <w:rFonts w:hint="eastAsia" w:ascii="宋体" w:hAnsi="宋体" w:eastAsia="宋体" w:cs="宋体"/>
                <w:b w:val="0"/>
                <w:bCs/>
                <w:color w:val="auto"/>
                <w:sz w:val="21"/>
                <w:szCs w:val="21"/>
                <w:highlight w:val="none"/>
                <w:lang w:eastAsia="zh-CN"/>
              </w:rPr>
              <w:t>制作</w:t>
            </w:r>
            <w:bookmarkEnd w:id="41"/>
            <w:bookmarkEnd w:id="42"/>
            <w:bookmarkEnd w:id="43"/>
          </w:p>
          <w:p w14:paraId="122C652F">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Cs w:val="21"/>
                <w:highlight w:val="none"/>
                <w:lang w:eastAsia="zh-CN"/>
              </w:rPr>
            </w:pPr>
          </w:p>
        </w:tc>
        <w:tc>
          <w:tcPr>
            <w:tcW w:w="6912" w:type="dxa"/>
            <w:noWrap w:val="0"/>
            <w:vAlign w:val="center"/>
          </w:tcPr>
          <w:p w14:paraId="384848A3">
            <w:pPr>
              <w:pageBreakBefore w:val="0"/>
              <w:widowControl w:val="0"/>
              <w:kinsoku/>
              <w:wordWrap/>
              <w:overflowPunct/>
              <w:topLinePunct w:val="0"/>
              <w:autoSpaceDE/>
              <w:autoSpaceDN/>
              <w:bidi w:val="0"/>
              <w:adjustRightInd/>
              <w:spacing w:line="44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16</w:t>
            </w:r>
            <w:r>
              <w:rPr>
                <w:rFonts w:hint="eastAsia" w:ascii="宋体" w:hAnsi="宋体" w:eastAsia="宋体" w:cs="宋体"/>
                <w:color w:val="auto"/>
                <w:szCs w:val="21"/>
                <w:highlight w:val="none"/>
              </w:rPr>
              <w:t>.1 电子</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响应文件中须加盖供应商公章部分均采用</w:t>
            </w:r>
            <w:r>
              <w:rPr>
                <w:rFonts w:hint="eastAsia" w:ascii="宋体" w:hAnsi="宋体" w:eastAsia="宋体" w:cs="宋体"/>
                <w:color w:val="auto"/>
                <w:szCs w:val="21"/>
                <w:highlight w:val="none"/>
                <w:lang w:val="en-US" w:eastAsia="zh-CN"/>
              </w:rPr>
              <w:t>数字证书（CA认证）</w:t>
            </w:r>
            <w:r>
              <w:rPr>
                <w:rFonts w:hint="eastAsia" w:ascii="宋体" w:hAnsi="宋体" w:eastAsia="宋体" w:cs="宋体"/>
                <w:color w:val="auto"/>
                <w:szCs w:val="21"/>
                <w:highlight w:val="none"/>
              </w:rPr>
              <w:t>签章，并根据“政府采购项目电子交易管理操作指南-供应商”及本</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文件规定的格式和顺序编制电子</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响应文件并进行关联定位，以便</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小组在评</w:t>
            </w:r>
            <w:r>
              <w:rPr>
                <w:rFonts w:hint="eastAsia" w:ascii="宋体" w:hAnsi="宋体" w:eastAsia="宋体" w:cs="宋体"/>
                <w:color w:val="auto"/>
                <w:szCs w:val="21"/>
                <w:highlight w:val="none"/>
                <w:lang w:val="en-US" w:eastAsia="zh-CN"/>
              </w:rPr>
              <w:t>审</w:t>
            </w:r>
            <w:r>
              <w:rPr>
                <w:rFonts w:hint="eastAsia" w:ascii="宋体" w:hAnsi="宋体" w:eastAsia="宋体" w:cs="宋体"/>
                <w:color w:val="auto"/>
                <w:szCs w:val="21"/>
                <w:highlight w:val="none"/>
              </w:rPr>
              <w:t>时，点击评分项可直接定位到该评分项内容。如对</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文件的某项要求，供应商的电子</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响应文件未能关联定位提供相应的内容与其对应，则</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小组在评审时如做出对供应商不利的评审由供应商自行承担。电子</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响应文件如内容不完整、编排混乱导致</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响应文件被误读、 漏读，或者在按采购文件规定的部位查找不到相关内容的，由供应商自行承担。</w:t>
            </w:r>
          </w:p>
          <w:p w14:paraId="6886EBED">
            <w:pPr>
              <w:pageBreakBefore w:val="0"/>
              <w:widowControl w:val="0"/>
              <w:kinsoku/>
              <w:wordWrap/>
              <w:overflowPunct/>
              <w:topLinePunct w:val="0"/>
              <w:autoSpaceDE/>
              <w:autoSpaceDN/>
              <w:bidi w:val="0"/>
              <w:adjustRightInd/>
              <w:spacing w:line="44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16.2</w:t>
            </w:r>
            <w:r>
              <w:rPr>
                <w:rFonts w:hint="eastAsia" w:ascii="宋体" w:hAnsi="宋体" w:eastAsia="宋体" w:cs="宋体"/>
                <w:color w:val="auto"/>
                <w:szCs w:val="21"/>
                <w:highlight w:val="none"/>
              </w:rPr>
              <w:t>供应商法人（负责人）或授权代表持有个人</w:t>
            </w:r>
            <w:r>
              <w:rPr>
                <w:rFonts w:hint="eastAsia" w:ascii="宋体" w:hAnsi="宋体" w:cs="宋体"/>
                <w:color w:val="auto"/>
                <w:szCs w:val="21"/>
                <w:highlight w:val="none"/>
                <w:lang w:eastAsia="zh-CN"/>
              </w:rPr>
              <w:t>数字证书（CA认证）</w:t>
            </w:r>
            <w:r>
              <w:rPr>
                <w:rFonts w:hint="eastAsia" w:ascii="宋体" w:hAnsi="宋体" w:eastAsia="宋体" w:cs="宋体"/>
                <w:color w:val="auto"/>
                <w:szCs w:val="21"/>
                <w:highlight w:val="none"/>
              </w:rPr>
              <w:t>签章的，应在</w:t>
            </w:r>
            <w:r>
              <w:rPr>
                <w:rFonts w:hint="eastAsia" w:ascii="宋体" w:hAnsi="宋体" w:eastAsia="宋体" w:cs="宋体"/>
                <w:color w:val="auto"/>
                <w:szCs w:val="21"/>
                <w:highlight w:val="none"/>
                <w:lang w:eastAsia="zh-CN"/>
              </w:rPr>
              <w:t>响应</w:t>
            </w:r>
            <w:r>
              <w:rPr>
                <w:rFonts w:hint="eastAsia" w:ascii="宋体" w:hAnsi="宋体" w:eastAsia="宋体" w:cs="宋体"/>
                <w:color w:val="auto"/>
                <w:szCs w:val="21"/>
                <w:highlight w:val="none"/>
              </w:rPr>
              <w:t>文件中涉及到签字的位置使用个人</w:t>
            </w:r>
            <w:r>
              <w:rPr>
                <w:rFonts w:hint="eastAsia" w:ascii="宋体" w:hAnsi="宋体" w:cs="宋体"/>
                <w:color w:val="auto"/>
                <w:szCs w:val="21"/>
                <w:highlight w:val="none"/>
                <w:lang w:eastAsia="zh-CN"/>
              </w:rPr>
              <w:t>数字证书（CA认证）</w:t>
            </w:r>
            <w:r>
              <w:rPr>
                <w:rFonts w:hint="eastAsia" w:ascii="宋体" w:hAnsi="宋体" w:eastAsia="宋体" w:cs="宋体"/>
                <w:color w:val="auto"/>
                <w:szCs w:val="21"/>
                <w:highlight w:val="none"/>
              </w:rPr>
              <w:t>签章，没有办理个人</w:t>
            </w:r>
            <w:r>
              <w:rPr>
                <w:rFonts w:hint="eastAsia" w:ascii="宋体" w:hAnsi="宋体" w:cs="宋体"/>
                <w:color w:val="auto"/>
                <w:szCs w:val="21"/>
                <w:highlight w:val="none"/>
                <w:lang w:eastAsia="zh-CN"/>
              </w:rPr>
              <w:t>数字证书（CA认证）</w:t>
            </w:r>
            <w:r>
              <w:rPr>
                <w:rFonts w:hint="eastAsia" w:ascii="宋体" w:hAnsi="宋体" w:eastAsia="宋体" w:cs="宋体"/>
                <w:color w:val="auto"/>
                <w:szCs w:val="21"/>
                <w:highlight w:val="none"/>
              </w:rPr>
              <w:t>签章的可在</w:t>
            </w:r>
            <w:r>
              <w:rPr>
                <w:rFonts w:hint="eastAsia" w:ascii="宋体" w:hAnsi="宋体" w:eastAsia="宋体" w:cs="宋体"/>
                <w:color w:val="auto"/>
                <w:szCs w:val="21"/>
                <w:highlight w:val="none"/>
                <w:lang w:eastAsia="zh-CN"/>
              </w:rPr>
              <w:t>响应</w:t>
            </w:r>
            <w:r>
              <w:rPr>
                <w:rFonts w:hint="eastAsia" w:ascii="宋体" w:hAnsi="宋体" w:eastAsia="宋体" w:cs="宋体"/>
                <w:color w:val="auto"/>
                <w:szCs w:val="21"/>
                <w:highlight w:val="none"/>
              </w:rPr>
              <w:t>文件中涉及到签字的位置手写签字后扫描或者拍照做成 PDF 的格式上传即可。</w:t>
            </w:r>
          </w:p>
          <w:p w14:paraId="742943E2">
            <w:pPr>
              <w:pageBreakBefore w:val="0"/>
              <w:widowControl w:val="0"/>
              <w:kinsoku/>
              <w:wordWrap/>
              <w:overflowPunct/>
              <w:topLinePunct w:val="0"/>
              <w:autoSpaceDE/>
              <w:autoSpaceDN/>
              <w:bidi w:val="0"/>
              <w:adjustRightInd/>
              <w:spacing w:line="44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16</w:t>
            </w:r>
            <w:r>
              <w:rPr>
                <w:rFonts w:hint="eastAsia" w:ascii="宋体" w:hAnsi="宋体" w:eastAsia="宋体" w:cs="宋体"/>
                <w:color w:val="auto"/>
                <w:szCs w:val="21"/>
                <w:highlight w:val="none"/>
              </w:rPr>
              <w:t xml:space="preserve">.3 </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响应文件不得涂改，若有修改错漏处，须法定代表人（负责人）或授权委托人签字</w:t>
            </w:r>
            <w:r>
              <w:rPr>
                <w:rFonts w:hint="eastAsia" w:ascii="宋体" w:hAnsi="宋体" w:eastAsia="宋体" w:cs="宋体"/>
                <w:color w:val="auto"/>
                <w:szCs w:val="21"/>
                <w:highlight w:val="none"/>
                <w:lang w:eastAsia="zh-CN"/>
              </w:rPr>
              <w:t>（或个人</w:t>
            </w:r>
            <w:r>
              <w:rPr>
                <w:rFonts w:hint="eastAsia" w:ascii="宋体" w:hAnsi="宋体" w:cs="宋体"/>
                <w:color w:val="auto"/>
                <w:szCs w:val="21"/>
                <w:highlight w:val="none"/>
                <w:lang w:val="en-US" w:eastAsia="zh-CN"/>
              </w:rPr>
              <w:t>数字证书（CA认证）</w:t>
            </w:r>
            <w:r>
              <w:rPr>
                <w:rFonts w:hint="eastAsia" w:ascii="宋体" w:hAnsi="宋体" w:eastAsia="宋体" w:cs="宋体"/>
                <w:color w:val="auto"/>
                <w:szCs w:val="21"/>
                <w:highlight w:val="none"/>
                <w:lang w:val="en-US" w:eastAsia="zh-CN"/>
              </w:rPr>
              <w:t>签章）</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响应文件因字迹潦草或表达不清所引起的后果由供应商负责。</w:t>
            </w:r>
          </w:p>
          <w:p w14:paraId="4FE70336">
            <w:pPr>
              <w:pageBreakBefore w:val="0"/>
              <w:widowControl w:val="0"/>
              <w:kinsoku/>
              <w:wordWrap/>
              <w:overflowPunct/>
              <w:topLinePunct w:val="0"/>
              <w:autoSpaceDE/>
              <w:autoSpaceDN/>
              <w:bidi w:val="0"/>
              <w:adjustRightInd/>
              <w:spacing w:line="440" w:lineRule="exact"/>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16.4</w:t>
            </w:r>
            <w:r>
              <w:rPr>
                <w:rFonts w:hint="eastAsia" w:ascii="宋体" w:hAnsi="宋体" w:eastAsia="宋体" w:cs="宋体"/>
                <w:color w:val="auto"/>
                <w:szCs w:val="21"/>
                <w:highlight w:val="none"/>
                <w:lang w:eastAsia="zh-CN"/>
              </w:rPr>
              <w:t xml:space="preserve">磋商前准备 </w:t>
            </w:r>
          </w:p>
          <w:p w14:paraId="34B79FFC">
            <w:pPr>
              <w:pageBreakBefore w:val="0"/>
              <w:widowControl w:val="0"/>
              <w:kinsoku/>
              <w:wordWrap/>
              <w:overflowPunct/>
              <w:topLinePunct w:val="0"/>
              <w:autoSpaceDE/>
              <w:autoSpaceDN/>
              <w:bidi w:val="0"/>
              <w:adjustRightInd/>
              <w:spacing w:line="440" w:lineRule="exact"/>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16.4.1</w:t>
            </w:r>
            <w:r>
              <w:rPr>
                <w:rFonts w:hint="eastAsia" w:ascii="宋体" w:hAnsi="宋体" w:eastAsia="宋体" w:cs="宋体"/>
                <w:color w:val="auto"/>
                <w:szCs w:val="21"/>
                <w:highlight w:val="none"/>
                <w:lang w:eastAsia="zh-CN"/>
              </w:rPr>
              <w:t xml:space="preserve">本项目实行在线磋商，采用电子磋商响应文件。若供应商参与磋商，自行承担磋商一切费用。 </w:t>
            </w:r>
          </w:p>
          <w:p w14:paraId="36786970">
            <w:pPr>
              <w:pageBreakBefore w:val="0"/>
              <w:widowControl w:val="0"/>
              <w:kinsoku/>
              <w:wordWrap/>
              <w:overflowPunct/>
              <w:topLinePunct w:val="0"/>
              <w:autoSpaceDE/>
              <w:autoSpaceDN/>
              <w:bidi w:val="0"/>
              <w:adjustRightInd/>
              <w:spacing w:line="440" w:lineRule="exact"/>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16.4.2</w:t>
            </w:r>
            <w:r>
              <w:rPr>
                <w:rFonts w:hint="eastAsia" w:ascii="宋体" w:hAnsi="宋体" w:eastAsia="宋体" w:cs="宋体"/>
                <w:color w:val="auto"/>
                <w:szCs w:val="21"/>
                <w:highlight w:val="none"/>
                <w:lang w:eastAsia="zh-CN"/>
              </w:rPr>
              <w:t>各供应商应在截标前应确保成为</w:t>
            </w:r>
            <w:r>
              <w:rPr>
                <w:rFonts w:hint="eastAsia" w:ascii="宋体" w:hAnsi="宋体" w:cs="宋体"/>
                <w:color w:val="auto"/>
                <w:szCs w:val="21"/>
                <w:highlight w:val="none"/>
                <w:lang w:eastAsia="zh-CN"/>
              </w:rPr>
              <w:t>广西政府采购云平台</w:t>
            </w:r>
            <w:r>
              <w:rPr>
                <w:rFonts w:hint="eastAsia" w:ascii="宋体" w:hAnsi="宋体" w:eastAsia="宋体" w:cs="宋体"/>
                <w:color w:val="auto"/>
                <w:szCs w:val="21"/>
                <w:highlight w:val="none"/>
                <w:lang w:eastAsia="zh-CN"/>
              </w:rPr>
              <w:t>正式注册入库供应商，并完成</w:t>
            </w:r>
            <w:r>
              <w:rPr>
                <w:rFonts w:hint="eastAsia" w:ascii="宋体" w:hAnsi="宋体" w:cs="宋体"/>
                <w:color w:val="auto"/>
                <w:szCs w:val="21"/>
                <w:highlight w:val="none"/>
                <w:lang w:eastAsia="zh-CN"/>
              </w:rPr>
              <w:t>数字证书（CA认证）</w:t>
            </w:r>
            <w:r>
              <w:rPr>
                <w:rFonts w:hint="eastAsia" w:ascii="宋体" w:hAnsi="宋体" w:eastAsia="宋体" w:cs="宋体"/>
                <w:color w:val="auto"/>
                <w:szCs w:val="21"/>
                <w:highlight w:val="none"/>
                <w:lang w:eastAsia="zh-CN"/>
              </w:rPr>
              <w:t>申领。因未注册入库、未办理</w:t>
            </w:r>
            <w:r>
              <w:rPr>
                <w:rFonts w:hint="eastAsia" w:ascii="宋体" w:hAnsi="宋体" w:cs="宋体"/>
                <w:color w:val="auto"/>
                <w:szCs w:val="21"/>
                <w:highlight w:val="none"/>
                <w:lang w:eastAsia="zh-CN"/>
              </w:rPr>
              <w:t>数字证书（CA认证）</w:t>
            </w:r>
            <w:r>
              <w:rPr>
                <w:rFonts w:hint="eastAsia" w:ascii="宋体" w:hAnsi="宋体" w:eastAsia="宋体" w:cs="宋体"/>
                <w:color w:val="auto"/>
                <w:szCs w:val="21"/>
                <w:highlight w:val="none"/>
                <w:lang w:eastAsia="zh-CN"/>
              </w:rPr>
              <w:t xml:space="preserve">等原因造成无法磋商或磋商失败等后果由供应商自行承担。 </w:t>
            </w:r>
          </w:p>
          <w:p w14:paraId="58ADCB34">
            <w:pPr>
              <w:pageBreakBefore w:val="0"/>
              <w:widowControl w:val="0"/>
              <w:kinsoku/>
              <w:wordWrap/>
              <w:overflowPunct/>
              <w:topLinePunct w:val="0"/>
              <w:autoSpaceDE/>
              <w:autoSpaceDN/>
              <w:bidi w:val="0"/>
              <w:adjustRightInd/>
              <w:spacing w:line="44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16.4.3</w:t>
            </w:r>
            <w:r>
              <w:rPr>
                <w:rFonts w:hint="eastAsia" w:ascii="宋体" w:hAnsi="宋体" w:eastAsia="宋体" w:cs="宋体"/>
                <w:color w:val="auto"/>
                <w:szCs w:val="21"/>
                <w:highlight w:val="none"/>
                <w:lang w:eastAsia="zh-CN"/>
              </w:rPr>
              <w:t>供应商将</w:t>
            </w:r>
            <w:r>
              <w:rPr>
                <w:rFonts w:hint="eastAsia" w:ascii="宋体" w:hAnsi="宋体" w:cs="宋体"/>
                <w:color w:val="auto"/>
                <w:szCs w:val="21"/>
                <w:highlight w:val="none"/>
                <w:lang w:eastAsia="zh-CN"/>
              </w:rPr>
              <w:t>广西政府采购云平台</w:t>
            </w:r>
            <w:r>
              <w:rPr>
                <w:rFonts w:hint="eastAsia" w:ascii="宋体" w:hAnsi="宋体" w:eastAsia="宋体" w:cs="宋体"/>
                <w:color w:val="auto"/>
                <w:szCs w:val="21"/>
                <w:highlight w:val="none"/>
                <w:lang w:eastAsia="zh-CN"/>
              </w:rPr>
              <w:t>电子交易客户端下载、安装完成后，可通过账号密码或</w:t>
            </w:r>
            <w:r>
              <w:rPr>
                <w:rFonts w:hint="eastAsia" w:ascii="宋体" w:hAnsi="宋体" w:cs="宋体"/>
                <w:color w:val="auto"/>
                <w:szCs w:val="21"/>
                <w:highlight w:val="none"/>
                <w:lang w:eastAsia="zh-CN"/>
              </w:rPr>
              <w:t>数字证书（CA认证）</w:t>
            </w:r>
            <w:r>
              <w:rPr>
                <w:rFonts w:hint="eastAsia" w:ascii="宋体" w:hAnsi="宋体" w:eastAsia="宋体" w:cs="宋体"/>
                <w:color w:val="auto"/>
                <w:szCs w:val="21"/>
                <w:highlight w:val="none"/>
                <w:lang w:eastAsia="zh-CN"/>
              </w:rPr>
              <w:t>登录客户端进行响应文件制作。客户端请至网站下载专区查看，如有问题可拨打</w:t>
            </w:r>
            <w:r>
              <w:rPr>
                <w:rFonts w:hint="eastAsia" w:ascii="宋体" w:hAnsi="宋体" w:cs="宋体"/>
                <w:color w:val="auto"/>
                <w:szCs w:val="21"/>
                <w:highlight w:val="none"/>
                <w:lang w:eastAsia="zh-CN"/>
              </w:rPr>
              <w:t>广西政府采购云平台</w:t>
            </w:r>
            <w:r>
              <w:rPr>
                <w:rFonts w:hint="eastAsia" w:ascii="宋体" w:hAnsi="宋体" w:eastAsia="宋体" w:cs="宋体"/>
                <w:color w:val="auto"/>
                <w:szCs w:val="21"/>
                <w:highlight w:val="none"/>
                <w:lang w:eastAsia="zh-CN"/>
              </w:rPr>
              <w:t xml:space="preserve">客户服务热线 </w:t>
            </w:r>
            <w:r>
              <w:rPr>
                <w:rFonts w:hint="eastAsia" w:ascii="宋体" w:hAnsi="宋体" w:cs="宋体"/>
                <w:color w:val="auto"/>
                <w:szCs w:val="21"/>
                <w:highlight w:val="none"/>
                <w:lang w:eastAsia="zh-CN"/>
              </w:rPr>
              <w:t>95763</w:t>
            </w:r>
            <w:r>
              <w:rPr>
                <w:rFonts w:hint="eastAsia" w:ascii="宋体" w:hAnsi="宋体" w:eastAsia="宋体" w:cs="宋体"/>
                <w:color w:val="auto"/>
                <w:szCs w:val="21"/>
                <w:highlight w:val="none"/>
                <w:lang w:eastAsia="zh-CN"/>
              </w:rPr>
              <w:t xml:space="preserve"> 进行咨询。</w:t>
            </w:r>
          </w:p>
        </w:tc>
      </w:tr>
      <w:tr w14:paraId="6B098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662" w:type="dxa"/>
            <w:noWrap w:val="0"/>
            <w:vAlign w:val="center"/>
          </w:tcPr>
          <w:p w14:paraId="2D072A4C">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8</w:t>
            </w:r>
          </w:p>
        </w:tc>
        <w:tc>
          <w:tcPr>
            <w:tcW w:w="942" w:type="dxa"/>
            <w:noWrap w:val="0"/>
            <w:vAlign w:val="center"/>
          </w:tcPr>
          <w:p w14:paraId="0B4D92A1">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18.1</w:t>
            </w:r>
          </w:p>
        </w:tc>
        <w:tc>
          <w:tcPr>
            <w:tcW w:w="1775" w:type="dxa"/>
            <w:noWrap w:val="0"/>
            <w:vAlign w:val="center"/>
          </w:tcPr>
          <w:p w14:paraId="22A4D02A">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响应文件递交截止时间</w:t>
            </w:r>
          </w:p>
        </w:tc>
        <w:tc>
          <w:tcPr>
            <w:tcW w:w="6912" w:type="dxa"/>
            <w:noWrap w:val="0"/>
            <w:vAlign w:val="center"/>
          </w:tcPr>
          <w:p w14:paraId="4CE161A3">
            <w:pPr>
              <w:pageBreakBefore w:val="0"/>
              <w:widowControl w:val="0"/>
              <w:kinsoku/>
              <w:wordWrap/>
              <w:overflowPunct/>
              <w:topLinePunct w:val="0"/>
              <w:autoSpaceDE/>
              <w:autoSpaceDN/>
              <w:bidi w:val="0"/>
              <w:adjustRightInd/>
              <w:spacing w:line="44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lang w:eastAsia="zh-CN"/>
              </w:rPr>
              <w:t>于</w:t>
            </w:r>
            <w:r>
              <w:rPr>
                <w:rFonts w:hint="eastAsia" w:ascii="宋体" w:hAnsi="宋体" w:cs="宋体"/>
                <w:color w:val="auto"/>
                <w:sz w:val="21"/>
                <w:szCs w:val="21"/>
                <w:highlight w:val="none"/>
                <w:u w:val="single"/>
                <w:lang w:eastAsia="zh-CN"/>
              </w:rPr>
              <w:t>2025</w:t>
            </w:r>
            <w:r>
              <w:rPr>
                <w:rFonts w:hint="eastAsia" w:ascii="宋体" w:hAnsi="宋体" w:eastAsia="宋体" w:cs="宋体"/>
                <w:color w:val="auto"/>
                <w:sz w:val="21"/>
                <w:szCs w:val="21"/>
                <w:highlight w:val="none"/>
                <w:u w:val="single"/>
                <w:lang w:eastAsia="zh-CN"/>
              </w:rPr>
              <w:t>年</w:t>
            </w:r>
            <w:r>
              <w:rPr>
                <w:rFonts w:hint="eastAsia" w:ascii="宋体" w:hAnsi="宋体" w:cs="宋体"/>
                <w:color w:val="auto"/>
                <w:sz w:val="21"/>
                <w:szCs w:val="21"/>
                <w:highlight w:val="none"/>
                <w:u w:val="single"/>
                <w:lang w:val="en-US" w:eastAsia="zh-CN"/>
              </w:rPr>
              <w:t xml:space="preserve"> 06 </w:t>
            </w:r>
            <w:r>
              <w:rPr>
                <w:rFonts w:hint="eastAsia" w:ascii="宋体" w:hAnsi="宋体" w:eastAsia="宋体" w:cs="宋体"/>
                <w:color w:val="auto"/>
                <w:sz w:val="21"/>
                <w:szCs w:val="21"/>
                <w:highlight w:val="none"/>
                <w:u w:val="single"/>
                <w:lang w:eastAsia="zh-CN"/>
              </w:rPr>
              <w:t>月</w:t>
            </w:r>
            <w:r>
              <w:rPr>
                <w:rFonts w:hint="eastAsia" w:ascii="宋体" w:hAnsi="宋体" w:cs="宋体"/>
                <w:color w:val="auto"/>
                <w:sz w:val="21"/>
                <w:szCs w:val="21"/>
                <w:highlight w:val="none"/>
                <w:u w:val="single"/>
                <w:lang w:val="en-US" w:eastAsia="zh-CN"/>
              </w:rPr>
              <w:t xml:space="preserve"> 27 </w:t>
            </w:r>
            <w:r>
              <w:rPr>
                <w:rFonts w:hint="eastAsia" w:ascii="宋体" w:hAnsi="宋体" w:eastAsia="宋体" w:cs="宋体"/>
                <w:color w:val="auto"/>
                <w:sz w:val="21"/>
                <w:szCs w:val="21"/>
                <w:highlight w:val="none"/>
                <w:u w:val="single"/>
                <w:lang w:eastAsia="zh-CN"/>
              </w:rPr>
              <w:t>日</w:t>
            </w:r>
            <w:r>
              <w:rPr>
                <w:rFonts w:hint="eastAsia" w:ascii="宋体" w:hAnsi="宋体" w:cs="宋体"/>
                <w:color w:val="auto"/>
                <w:sz w:val="21"/>
                <w:szCs w:val="21"/>
                <w:highlight w:val="none"/>
                <w:u w:val="single"/>
                <w:lang w:val="en-US" w:eastAsia="zh-CN"/>
              </w:rPr>
              <w:t>9时30分</w:t>
            </w:r>
            <w:r>
              <w:rPr>
                <w:rFonts w:hint="eastAsia" w:ascii="宋体" w:hAnsi="宋体" w:eastAsia="宋体" w:cs="宋体"/>
                <w:color w:val="auto"/>
                <w:szCs w:val="21"/>
                <w:highlight w:val="none"/>
              </w:rPr>
              <w:t>之前将电子磋商响应文件上传到</w:t>
            </w:r>
            <w:r>
              <w:rPr>
                <w:rFonts w:hint="eastAsia" w:ascii="宋体" w:hAnsi="宋体" w:cs="宋体"/>
                <w:color w:val="auto"/>
                <w:szCs w:val="21"/>
                <w:highlight w:val="none"/>
                <w:lang w:eastAsia="zh-CN"/>
              </w:rPr>
              <w:t>广西政府采购云平台</w:t>
            </w:r>
            <w:r>
              <w:rPr>
                <w:rFonts w:hint="eastAsia" w:ascii="宋体" w:hAnsi="宋体" w:eastAsia="宋体" w:cs="宋体"/>
                <w:color w:val="auto"/>
                <w:szCs w:val="21"/>
                <w:highlight w:val="none"/>
              </w:rPr>
              <w:t>。应按照本项目磋商文件和</w:t>
            </w:r>
            <w:r>
              <w:rPr>
                <w:rFonts w:hint="eastAsia" w:ascii="宋体" w:hAnsi="宋体" w:cs="宋体"/>
                <w:color w:val="auto"/>
                <w:szCs w:val="21"/>
                <w:highlight w:val="none"/>
                <w:lang w:eastAsia="zh-CN"/>
              </w:rPr>
              <w:t>广西政府采购云平台</w:t>
            </w:r>
            <w:r>
              <w:rPr>
                <w:rFonts w:hint="eastAsia" w:ascii="宋体" w:hAnsi="宋体" w:eastAsia="宋体" w:cs="宋体"/>
                <w:color w:val="auto"/>
                <w:szCs w:val="21"/>
                <w:highlight w:val="none"/>
              </w:rPr>
              <w:t>的要求编制、加密传输磋商响应文件。供应商在使用系统进行</w:t>
            </w:r>
            <w:r>
              <w:rPr>
                <w:rFonts w:hint="eastAsia" w:ascii="宋体" w:hAnsi="宋体" w:cs="宋体"/>
                <w:color w:val="auto"/>
                <w:szCs w:val="21"/>
                <w:highlight w:val="none"/>
                <w:lang w:eastAsia="zh-CN"/>
              </w:rPr>
              <w:t>响应</w:t>
            </w:r>
            <w:r>
              <w:rPr>
                <w:rFonts w:hint="eastAsia" w:ascii="宋体" w:hAnsi="宋体" w:eastAsia="宋体" w:cs="宋体"/>
                <w:color w:val="auto"/>
                <w:szCs w:val="21"/>
                <w:highlight w:val="none"/>
              </w:rPr>
              <w:t>的过程中遇到涉及平台使用的任何问题，可致电</w:t>
            </w:r>
            <w:r>
              <w:rPr>
                <w:rFonts w:hint="eastAsia" w:ascii="宋体" w:hAnsi="宋体" w:cs="宋体"/>
                <w:color w:val="auto"/>
                <w:szCs w:val="21"/>
                <w:highlight w:val="none"/>
                <w:lang w:eastAsia="zh-CN"/>
              </w:rPr>
              <w:t>广西政府采购云平台</w:t>
            </w:r>
            <w:r>
              <w:rPr>
                <w:rFonts w:hint="eastAsia" w:ascii="宋体" w:hAnsi="宋体" w:eastAsia="宋体" w:cs="宋体"/>
                <w:color w:val="auto"/>
                <w:szCs w:val="21"/>
                <w:highlight w:val="none"/>
              </w:rPr>
              <w:t>技术支持热线咨询，联系方式：</w:t>
            </w:r>
            <w:r>
              <w:rPr>
                <w:rFonts w:hint="eastAsia" w:ascii="宋体" w:hAnsi="宋体" w:cs="宋体"/>
                <w:color w:val="auto"/>
                <w:szCs w:val="21"/>
                <w:highlight w:val="none"/>
                <w:lang w:eastAsia="zh-CN"/>
              </w:rPr>
              <w:t>95763</w:t>
            </w:r>
            <w:r>
              <w:rPr>
                <w:rFonts w:hint="eastAsia" w:ascii="宋体" w:hAnsi="宋体" w:eastAsia="宋体" w:cs="宋体"/>
                <w:color w:val="auto"/>
                <w:szCs w:val="21"/>
                <w:highlight w:val="none"/>
              </w:rPr>
              <w:t>。</w:t>
            </w:r>
          </w:p>
        </w:tc>
      </w:tr>
      <w:tr w14:paraId="49753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662" w:type="dxa"/>
            <w:noWrap w:val="0"/>
            <w:vAlign w:val="center"/>
          </w:tcPr>
          <w:p w14:paraId="5077A636">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position w:val="-2"/>
                <w:szCs w:val="21"/>
                <w:highlight w:val="none"/>
                <w:lang w:eastAsia="zh-CN"/>
              </w:rPr>
            </w:pPr>
            <w:r>
              <w:rPr>
                <w:rFonts w:hint="eastAsia" w:ascii="宋体" w:hAnsi="宋体" w:eastAsia="宋体" w:cs="宋体"/>
                <w:color w:val="auto"/>
                <w:position w:val="-2"/>
                <w:szCs w:val="21"/>
                <w:highlight w:val="none"/>
                <w:lang w:val="en-US" w:eastAsia="zh-CN"/>
              </w:rPr>
              <w:t>9</w:t>
            </w:r>
          </w:p>
        </w:tc>
        <w:tc>
          <w:tcPr>
            <w:tcW w:w="942" w:type="dxa"/>
            <w:noWrap w:val="0"/>
            <w:vAlign w:val="center"/>
          </w:tcPr>
          <w:p w14:paraId="19E658A5">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position w:val="-2"/>
                <w:szCs w:val="21"/>
                <w:highlight w:val="none"/>
              </w:rPr>
            </w:pPr>
            <w:r>
              <w:rPr>
                <w:rFonts w:hint="eastAsia" w:ascii="宋体" w:hAnsi="宋体" w:eastAsia="宋体" w:cs="宋体"/>
                <w:color w:val="auto"/>
                <w:position w:val="-2"/>
                <w:szCs w:val="21"/>
                <w:highlight w:val="none"/>
              </w:rPr>
              <w:t>18.2</w:t>
            </w:r>
          </w:p>
        </w:tc>
        <w:tc>
          <w:tcPr>
            <w:tcW w:w="1775" w:type="dxa"/>
            <w:noWrap w:val="0"/>
            <w:vAlign w:val="center"/>
          </w:tcPr>
          <w:p w14:paraId="2DB777E5">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position w:val="-2"/>
                <w:szCs w:val="21"/>
                <w:highlight w:val="none"/>
              </w:rPr>
            </w:pPr>
            <w:r>
              <w:rPr>
                <w:rFonts w:hint="eastAsia" w:ascii="宋体" w:hAnsi="宋体" w:eastAsia="宋体" w:cs="宋体"/>
                <w:color w:val="auto"/>
                <w:szCs w:val="21"/>
                <w:highlight w:val="none"/>
                <w:lang w:eastAsia="zh-CN"/>
              </w:rPr>
              <w:t>磋商响应文件解密时间</w:t>
            </w:r>
          </w:p>
        </w:tc>
        <w:tc>
          <w:tcPr>
            <w:tcW w:w="6912" w:type="dxa"/>
            <w:noWrap w:val="0"/>
            <w:vAlign w:val="center"/>
          </w:tcPr>
          <w:p w14:paraId="3A604F67">
            <w:pPr>
              <w:pStyle w:val="10"/>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磋商响应文件解密时间</w:t>
            </w:r>
            <w:r>
              <w:rPr>
                <w:rFonts w:hint="eastAsia" w:ascii="宋体" w:hAnsi="宋体" w:eastAsia="宋体" w:cs="宋体"/>
                <w:b w:val="0"/>
                <w:bCs w:val="0"/>
                <w:color w:val="auto"/>
                <w:kern w:val="2"/>
                <w:highlight w:val="none"/>
                <w:lang w:eastAsia="zh-CN"/>
              </w:rPr>
              <w:t>：截标时间后</w:t>
            </w:r>
            <w:r>
              <w:rPr>
                <w:rFonts w:hint="eastAsia" w:ascii="宋体" w:hAnsi="宋体" w:eastAsia="宋体" w:cs="宋体"/>
                <w:b w:val="0"/>
                <w:bCs w:val="0"/>
                <w:color w:val="auto"/>
                <w:kern w:val="2"/>
                <w:highlight w:val="none"/>
                <w:u w:val="single"/>
                <w:lang w:eastAsia="zh-CN"/>
              </w:rPr>
              <w:t>30</w:t>
            </w:r>
            <w:r>
              <w:rPr>
                <w:rFonts w:hint="eastAsia" w:ascii="宋体" w:hAnsi="宋体" w:eastAsia="宋体" w:cs="宋体"/>
                <w:b w:val="0"/>
                <w:bCs w:val="0"/>
                <w:color w:val="auto"/>
                <w:kern w:val="2"/>
                <w:highlight w:val="none"/>
                <w:lang w:eastAsia="zh-CN"/>
              </w:rPr>
              <w:t>分钟内磋商供应商可以登录</w:t>
            </w:r>
            <w:r>
              <w:rPr>
                <w:rFonts w:hint="eastAsia" w:ascii="宋体" w:hAnsi="宋体" w:cs="宋体"/>
                <w:b w:val="0"/>
                <w:bCs w:val="0"/>
                <w:color w:val="auto"/>
                <w:kern w:val="2"/>
                <w:highlight w:val="none"/>
                <w:lang w:eastAsia="zh-CN"/>
              </w:rPr>
              <w:t>广西政府采购云平台</w:t>
            </w:r>
            <w:r>
              <w:rPr>
                <w:rFonts w:hint="eastAsia" w:ascii="宋体" w:hAnsi="宋体" w:eastAsia="宋体" w:cs="宋体"/>
                <w:b w:val="0"/>
                <w:bCs w:val="0"/>
                <w:color w:val="auto"/>
                <w:kern w:val="2"/>
                <w:highlight w:val="none"/>
                <w:lang w:eastAsia="zh-CN"/>
              </w:rPr>
              <w:t>，用“项目采购-开标评标”功能进行解密</w:t>
            </w:r>
            <w:r>
              <w:rPr>
                <w:rFonts w:hint="eastAsia" w:ascii="宋体" w:hAnsi="宋体" w:eastAsia="宋体" w:cs="宋体"/>
                <w:color w:val="auto"/>
                <w:highlight w:val="none"/>
                <w:lang w:eastAsia="zh-CN"/>
              </w:rPr>
              <w:t>磋商响应文件</w:t>
            </w:r>
            <w:r>
              <w:rPr>
                <w:rFonts w:hint="eastAsia" w:ascii="宋体" w:hAnsi="宋体" w:eastAsia="宋体" w:cs="宋体"/>
                <w:b w:val="0"/>
                <w:bCs w:val="0"/>
                <w:color w:val="auto"/>
                <w:kern w:val="2"/>
                <w:highlight w:val="none"/>
                <w:lang w:eastAsia="zh-CN"/>
              </w:rPr>
              <w:t>。若</w:t>
            </w:r>
            <w:r>
              <w:rPr>
                <w:rFonts w:hint="eastAsia" w:ascii="宋体" w:hAnsi="宋体" w:eastAsia="宋体" w:cs="宋体"/>
                <w:color w:val="auto"/>
                <w:highlight w:val="none"/>
                <w:lang w:eastAsia="zh-CN"/>
              </w:rPr>
              <w:t>磋商供应商</w:t>
            </w:r>
            <w:r>
              <w:rPr>
                <w:rFonts w:hint="eastAsia" w:ascii="宋体" w:hAnsi="宋体" w:eastAsia="宋体" w:cs="宋体"/>
                <w:b w:val="0"/>
                <w:bCs w:val="0"/>
                <w:color w:val="auto"/>
                <w:kern w:val="2"/>
                <w:highlight w:val="none"/>
                <w:lang w:eastAsia="zh-CN"/>
              </w:rPr>
              <w:t>在规定时间内无法解密或解密失败，可以以电子备份</w:t>
            </w:r>
            <w:r>
              <w:rPr>
                <w:rFonts w:hint="eastAsia" w:ascii="宋体" w:hAnsi="宋体" w:eastAsia="宋体" w:cs="宋体"/>
                <w:color w:val="auto"/>
                <w:highlight w:val="none"/>
                <w:lang w:eastAsia="zh-CN"/>
              </w:rPr>
              <w:t>磋商响应文件</w:t>
            </w:r>
            <w:r>
              <w:rPr>
                <w:rFonts w:hint="eastAsia" w:ascii="宋体" w:hAnsi="宋体" w:eastAsia="宋体" w:cs="宋体"/>
                <w:b w:val="0"/>
                <w:bCs w:val="0"/>
                <w:color w:val="auto"/>
                <w:kern w:val="2"/>
                <w:highlight w:val="none"/>
                <w:lang w:eastAsia="zh-CN"/>
              </w:rPr>
              <w:t>作为依据</w:t>
            </w:r>
            <w:r>
              <w:rPr>
                <w:rFonts w:hint="eastAsia" w:ascii="宋体" w:hAnsi="宋体" w:eastAsia="宋体" w:cs="宋体"/>
                <w:b/>
                <w:bCs/>
                <w:color w:val="auto"/>
                <w:kern w:val="2"/>
                <w:highlight w:val="none"/>
                <w:lang w:eastAsia="zh-CN"/>
              </w:rPr>
              <w:t>【在接到无法解密或解密失败的通知后，</w:t>
            </w:r>
            <w:r>
              <w:rPr>
                <w:rFonts w:hint="eastAsia" w:ascii="宋体" w:hAnsi="宋体" w:eastAsia="宋体" w:cs="宋体"/>
                <w:b/>
                <w:bCs/>
                <w:color w:val="auto"/>
                <w:highlight w:val="none"/>
                <w:lang w:eastAsia="zh-CN"/>
              </w:rPr>
              <w:t>磋商供应商</w:t>
            </w:r>
            <w:r>
              <w:rPr>
                <w:rFonts w:hint="eastAsia" w:ascii="宋体" w:hAnsi="宋体" w:eastAsia="宋体" w:cs="宋体"/>
                <w:b/>
                <w:bCs/>
                <w:color w:val="auto"/>
                <w:kern w:val="2"/>
                <w:highlight w:val="none"/>
                <w:lang w:eastAsia="zh-CN"/>
              </w:rPr>
              <w:t>可根据自身实际情况按通知时要求的时间到桂林市公共资源</w:t>
            </w:r>
            <w:r>
              <w:rPr>
                <w:rFonts w:hint="eastAsia" w:ascii="宋体" w:hAnsi="宋体" w:cs="宋体"/>
                <w:b/>
                <w:bCs/>
                <w:color w:val="auto"/>
                <w:kern w:val="2"/>
                <w:highlight w:val="none"/>
                <w:lang w:eastAsia="zh-CN"/>
              </w:rPr>
              <w:t>交易中心开标室</w:t>
            </w:r>
            <w:r>
              <w:rPr>
                <w:rFonts w:hint="eastAsia" w:ascii="宋体" w:hAnsi="宋体" w:eastAsia="宋体" w:cs="宋体"/>
                <w:b/>
                <w:bCs/>
                <w:color w:val="auto"/>
                <w:kern w:val="2"/>
                <w:highlight w:val="none"/>
                <w:lang w:eastAsia="zh-CN"/>
              </w:rPr>
              <w:t>现场提交或以电子邮件的形式（以通知时所告知的电子邮箱地址为准）提交电子备份</w:t>
            </w:r>
            <w:r>
              <w:rPr>
                <w:rFonts w:hint="eastAsia" w:ascii="宋体" w:hAnsi="宋体" w:eastAsia="宋体" w:cs="宋体"/>
                <w:b/>
                <w:bCs/>
                <w:color w:val="auto"/>
                <w:highlight w:val="none"/>
                <w:lang w:eastAsia="zh-CN"/>
              </w:rPr>
              <w:t>磋商响应文件</w:t>
            </w:r>
            <w:r>
              <w:rPr>
                <w:rFonts w:hint="eastAsia" w:ascii="宋体" w:hAnsi="宋体" w:eastAsia="宋体" w:cs="宋体"/>
                <w:b/>
                <w:bCs/>
                <w:color w:val="auto"/>
                <w:kern w:val="2"/>
                <w:highlight w:val="none"/>
                <w:lang w:eastAsia="zh-CN"/>
              </w:rPr>
              <w:t>】</w:t>
            </w:r>
            <w:r>
              <w:rPr>
                <w:rFonts w:hint="eastAsia" w:ascii="宋体" w:hAnsi="宋体" w:eastAsia="宋体" w:cs="宋体"/>
                <w:b w:val="0"/>
                <w:bCs w:val="0"/>
                <w:color w:val="auto"/>
                <w:kern w:val="2"/>
                <w:highlight w:val="none"/>
                <w:lang w:eastAsia="zh-CN"/>
              </w:rPr>
              <w:t>，若磋商供应商在规定时间内无法解密或解密失败且未提供电子备份磋商响应文件的(包含提供的电子备份文件无效或无法解密的情况)，视为无效响应。</w:t>
            </w:r>
          </w:p>
        </w:tc>
      </w:tr>
      <w:tr w14:paraId="695C5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662" w:type="dxa"/>
            <w:noWrap w:val="0"/>
            <w:vAlign w:val="center"/>
          </w:tcPr>
          <w:p w14:paraId="078463B3">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10</w:t>
            </w:r>
          </w:p>
        </w:tc>
        <w:tc>
          <w:tcPr>
            <w:tcW w:w="942" w:type="dxa"/>
            <w:noWrap w:val="0"/>
            <w:vAlign w:val="center"/>
          </w:tcPr>
          <w:p w14:paraId="69D09D3B">
            <w:pPr>
              <w:pageBreakBefore w:val="0"/>
              <w:widowControl w:val="0"/>
              <w:kinsoku/>
              <w:wordWrap/>
              <w:overflowPunct/>
              <w:topLinePunct w:val="0"/>
              <w:autoSpaceDE/>
              <w:autoSpaceDN/>
              <w:bidi w:val="0"/>
              <w:adjustRightInd/>
              <w:spacing w:line="440" w:lineRule="exact"/>
              <w:ind w:firstLine="105" w:firstLineChars="50"/>
              <w:jc w:val="center"/>
              <w:textAlignment w:val="auto"/>
              <w:rPr>
                <w:rFonts w:hint="eastAsia" w:ascii="宋体" w:hAnsi="宋体" w:eastAsia="宋体" w:cs="宋体"/>
                <w:color w:val="auto"/>
                <w:position w:val="-2"/>
                <w:szCs w:val="21"/>
                <w:highlight w:val="none"/>
              </w:rPr>
            </w:pPr>
            <w:r>
              <w:rPr>
                <w:rFonts w:hint="eastAsia" w:ascii="宋体" w:hAnsi="宋体" w:eastAsia="宋体" w:cs="宋体"/>
                <w:color w:val="auto"/>
                <w:position w:val="-2"/>
                <w:szCs w:val="21"/>
                <w:highlight w:val="none"/>
              </w:rPr>
              <w:t>19.1</w:t>
            </w:r>
          </w:p>
        </w:tc>
        <w:tc>
          <w:tcPr>
            <w:tcW w:w="1775" w:type="dxa"/>
            <w:noWrap w:val="0"/>
            <w:vAlign w:val="center"/>
          </w:tcPr>
          <w:p w14:paraId="695A885B">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磋商小组组成</w:t>
            </w:r>
          </w:p>
        </w:tc>
        <w:tc>
          <w:tcPr>
            <w:tcW w:w="6912" w:type="dxa"/>
            <w:noWrap w:val="0"/>
            <w:vAlign w:val="center"/>
          </w:tcPr>
          <w:p w14:paraId="4C9871D7">
            <w:pPr>
              <w:pageBreakBefore w:val="0"/>
              <w:widowControl w:val="0"/>
              <w:kinsoku/>
              <w:wordWrap/>
              <w:overflowPunct/>
              <w:topLinePunct w:val="0"/>
              <w:autoSpaceDE/>
              <w:autoSpaceDN/>
              <w:bidi w:val="0"/>
              <w:adjustRightInd/>
              <w:spacing w:line="440" w:lineRule="exact"/>
              <w:ind w:left="15" w:hanging="14" w:hangingChars="7"/>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磋商及评审工作由采购代理机构负责组织，具体磋商、评审工作由依法组建的磋商小组负责，磋商小组由采购人代表和有关方面的专家组成。磋商小组的构成：</w:t>
            </w:r>
            <w:r>
              <w:rPr>
                <w:rFonts w:hint="eastAsia" w:ascii="宋体" w:hAnsi="宋体" w:eastAsia="宋体" w:cs="宋体"/>
                <w:color w:val="auto"/>
                <w:szCs w:val="21"/>
                <w:highlight w:val="none"/>
                <w:u w:val="single"/>
              </w:rPr>
              <w:t xml:space="preserve">3 </w:t>
            </w:r>
            <w:r>
              <w:rPr>
                <w:rFonts w:hint="eastAsia" w:ascii="宋体" w:hAnsi="宋体" w:eastAsia="宋体" w:cs="宋体"/>
                <w:color w:val="auto"/>
                <w:szCs w:val="21"/>
                <w:highlight w:val="none"/>
              </w:rPr>
              <w:t>人，其中采购人代表</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1 </w:t>
            </w:r>
            <w:r>
              <w:rPr>
                <w:rFonts w:hint="eastAsia" w:ascii="宋体" w:hAnsi="宋体" w:eastAsia="宋体" w:cs="宋体"/>
                <w:color w:val="auto"/>
                <w:szCs w:val="21"/>
                <w:highlight w:val="none"/>
              </w:rPr>
              <w:t>人，专家</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2 </w:t>
            </w:r>
            <w:r>
              <w:rPr>
                <w:rFonts w:hint="eastAsia" w:ascii="宋体" w:hAnsi="宋体" w:eastAsia="宋体" w:cs="宋体"/>
                <w:color w:val="auto"/>
                <w:szCs w:val="21"/>
                <w:highlight w:val="none"/>
              </w:rPr>
              <w:t>人。</w:t>
            </w:r>
          </w:p>
        </w:tc>
      </w:tr>
      <w:tr w14:paraId="52B89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jc w:val="center"/>
        </w:trPr>
        <w:tc>
          <w:tcPr>
            <w:tcW w:w="662" w:type="dxa"/>
            <w:noWrap w:val="0"/>
            <w:vAlign w:val="center"/>
          </w:tcPr>
          <w:p w14:paraId="010C1646">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11</w:t>
            </w:r>
          </w:p>
        </w:tc>
        <w:tc>
          <w:tcPr>
            <w:tcW w:w="942" w:type="dxa"/>
            <w:noWrap w:val="0"/>
            <w:vAlign w:val="center"/>
          </w:tcPr>
          <w:p w14:paraId="7EC15C31">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19.2</w:t>
            </w:r>
          </w:p>
        </w:tc>
        <w:tc>
          <w:tcPr>
            <w:tcW w:w="1775" w:type="dxa"/>
            <w:noWrap w:val="0"/>
            <w:vAlign w:val="center"/>
          </w:tcPr>
          <w:p w14:paraId="50746736">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磋商时间、地点、人员</w:t>
            </w:r>
          </w:p>
        </w:tc>
        <w:tc>
          <w:tcPr>
            <w:tcW w:w="6912" w:type="dxa"/>
            <w:noWrap w:val="0"/>
            <w:vAlign w:val="top"/>
          </w:tcPr>
          <w:p w14:paraId="34D2DF21">
            <w:pPr>
              <w:pageBreakBefore w:val="0"/>
              <w:widowControl w:val="0"/>
              <w:kinsoku/>
              <w:wordWrap/>
              <w:overflowPunct/>
              <w:topLinePunct w:val="0"/>
              <w:autoSpaceDE/>
              <w:autoSpaceDN/>
              <w:bidi w:val="0"/>
              <w:adjustRightInd/>
              <w:spacing w:line="440" w:lineRule="exact"/>
              <w:ind w:left="315" w:hanging="315" w:hangingChars="15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19.2.1磋商时间：响应文件递交截止时间后。</w:t>
            </w:r>
          </w:p>
          <w:p w14:paraId="2395B9DA">
            <w:pPr>
              <w:pageBreakBefore w:val="0"/>
              <w:widowControl w:val="0"/>
              <w:kinsoku/>
              <w:wordWrap/>
              <w:overflowPunct/>
              <w:topLinePunct w:val="0"/>
              <w:autoSpaceDE/>
              <w:autoSpaceDN/>
              <w:bidi w:val="0"/>
              <w:adjustRightInd/>
              <w:spacing w:line="440" w:lineRule="exact"/>
              <w:jc w:val="left"/>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19.2.2磋商地点：本项目需要磋商供应商代表在截标当天截标后，按磋商小组要求及时登陆</w:t>
            </w:r>
            <w:r>
              <w:rPr>
                <w:rFonts w:hint="eastAsia" w:ascii="宋体" w:hAnsi="宋体" w:cs="宋体"/>
                <w:color w:val="auto"/>
                <w:szCs w:val="21"/>
                <w:highlight w:val="none"/>
                <w:lang w:eastAsia="zh-CN"/>
              </w:rPr>
              <w:t>广西政府采购云平台</w:t>
            </w:r>
            <w:r>
              <w:rPr>
                <w:rFonts w:hint="eastAsia" w:ascii="宋体" w:hAnsi="宋体" w:eastAsia="宋体" w:cs="宋体"/>
                <w:color w:val="auto"/>
                <w:szCs w:val="21"/>
                <w:highlight w:val="none"/>
              </w:rPr>
              <w:t>等候在线磋商</w:t>
            </w:r>
            <w:r>
              <w:rPr>
                <w:rFonts w:hint="eastAsia" w:ascii="宋体" w:hAnsi="宋体" w:eastAsia="宋体" w:cs="宋体"/>
                <w:color w:val="auto"/>
                <w:szCs w:val="21"/>
                <w:highlight w:val="none"/>
                <w:lang w:eastAsia="zh-CN"/>
              </w:rPr>
              <w:t>。</w:t>
            </w:r>
          </w:p>
          <w:p w14:paraId="42C41895">
            <w:pPr>
              <w:pageBreakBefore w:val="0"/>
              <w:widowControl w:val="0"/>
              <w:kinsoku/>
              <w:wordWrap/>
              <w:overflowPunct/>
              <w:topLinePunct w:val="0"/>
              <w:autoSpaceDE/>
              <w:autoSpaceDN/>
              <w:bidi w:val="0"/>
              <w:adjustRightInd/>
              <w:spacing w:line="440" w:lineRule="exact"/>
              <w:ind w:left="15" w:hanging="14" w:hangingChars="7"/>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19.2.3磋商参加人员：供应商法定代表人、负责人、自然人或相应的委托代</w:t>
            </w:r>
            <w:r>
              <w:rPr>
                <w:rFonts w:hint="eastAsia" w:ascii="宋体" w:hAnsi="宋体" w:eastAsia="宋体" w:cs="宋体"/>
                <w:color w:val="auto"/>
                <w:szCs w:val="21"/>
                <w:highlight w:val="none"/>
                <w:u w:val="none"/>
              </w:rPr>
              <w:t>理人持有效身份证</w:t>
            </w:r>
            <w:r>
              <w:rPr>
                <w:rFonts w:hint="eastAsia" w:ascii="宋体" w:hAnsi="宋体" w:eastAsia="宋体" w:cs="宋体"/>
                <w:color w:val="auto"/>
                <w:szCs w:val="21"/>
                <w:highlight w:val="none"/>
                <w:u w:val="none"/>
                <w:lang w:eastAsia="zh-CN"/>
              </w:rPr>
              <w:t>和供应商</w:t>
            </w:r>
            <w:r>
              <w:rPr>
                <w:rFonts w:hint="eastAsia" w:ascii="宋体" w:hAnsi="宋体" w:cs="宋体"/>
                <w:color w:val="auto"/>
                <w:szCs w:val="21"/>
                <w:highlight w:val="none"/>
                <w:u w:val="none"/>
                <w:lang w:eastAsia="zh-CN"/>
              </w:rPr>
              <w:t>广西政府采购云平台</w:t>
            </w:r>
            <w:r>
              <w:rPr>
                <w:rFonts w:hint="eastAsia" w:ascii="宋体" w:hAnsi="宋体" w:eastAsia="宋体" w:cs="宋体"/>
                <w:color w:val="auto"/>
                <w:szCs w:val="21"/>
                <w:highlight w:val="none"/>
                <w:u w:val="none"/>
                <w:lang w:val="en-US" w:eastAsia="zh-CN"/>
              </w:rPr>
              <w:t>CA数字证书</w:t>
            </w:r>
            <w:r>
              <w:rPr>
                <w:rFonts w:hint="eastAsia" w:ascii="宋体" w:hAnsi="宋体" w:eastAsia="宋体" w:cs="宋体"/>
                <w:color w:val="auto"/>
                <w:szCs w:val="21"/>
                <w:highlight w:val="none"/>
              </w:rPr>
              <w:t>参加磋商。请供应商按时等候磋商。</w:t>
            </w:r>
          </w:p>
          <w:p w14:paraId="205FF3D8">
            <w:pPr>
              <w:pageBreakBefore w:val="0"/>
              <w:widowControl w:val="0"/>
              <w:tabs>
                <w:tab w:val="left" w:pos="1140"/>
              </w:tabs>
              <w:kinsoku/>
              <w:wordWrap/>
              <w:overflowPunct/>
              <w:topLinePunct w:val="0"/>
              <w:autoSpaceDE/>
              <w:autoSpaceDN/>
              <w:bidi w:val="0"/>
              <w:adjustRightInd/>
              <w:spacing w:line="440" w:lineRule="exact"/>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19.2.4响应文件递交截止时间后，由磋商小组在评标室内</w:t>
            </w:r>
            <w:r>
              <w:rPr>
                <w:rFonts w:hint="eastAsia" w:ascii="宋体" w:hAnsi="宋体" w:eastAsia="宋体" w:cs="宋体"/>
                <w:color w:val="auto"/>
                <w:szCs w:val="21"/>
                <w:highlight w:val="none"/>
                <w:lang w:eastAsia="zh-CN"/>
              </w:rPr>
              <w:t>线上</w:t>
            </w:r>
            <w:r>
              <w:rPr>
                <w:rFonts w:hint="eastAsia" w:ascii="宋体" w:hAnsi="宋体" w:eastAsia="宋体" w:cs="宋体"/>
                <w:color w:val="auto"/>
                <w:szCs w:val="21"/>
                <w:highlight w:val="none"/>
              </w:rPr>
              <w:t>开启响应文件。</w:t>
            </w:r>
          </w:p>
        </w:tc>
      </w:tr>
      <w:tr w14:paraId="34C16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2" w:type="dxa"/>
            <w:noWrap w:val="0"/>
            <w:vAlign w:val="center"/>
          </w:tcPr>
          <w:p w14:paraId="73E75B0A">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kern w:val="0"/>
                <w:szCs w:val="21"/>
                <w:highlight w:val="none"/>
                <w:lang w:val="en-US" w:eastAsia="zh-CN"/>
              </w:rPr>
              <w:t>12</w:t>
            </w:r>
          </w:p>
        </w:tc>
        <w:tc>
          <w:tcPr>
            <w:tcW w:w="942" w:type="dxa"/>
            <w:noWrap w:val="0"/>
            <w:vAlign w:val="center"/>
          </w:tcPr>
          <w:p w14:paraId="259AB4F3">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20.2</w:t>
            </w:r>
          </w:p>
        </w:tc>
        <w:tc>
          <w:tcPr>
            <w:tcW w:w="1775" w:type="dxa"/>
            <w:noWrap w:val="0"/>
            <w:vAlign w:val="center"/>
          </w:tcPr>
          <w:p w14:paraId="37FC9A04">
            <w:pPr>
              <w:pStyle w:val="14"/>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评审办法</w:t>
            </w:r>
          </w:p>
        </w:tc>
        <w:tc>
          <w:tcPr>
            <w:tcW w:w="6912" w:type="dxa"/>
            <w:noWrap w:val="0"/>
            <w:vAlign w:val="center"/>
          </w:tcPr>
          <w:p w14:paraId="6341CA48">
            <w:pPr>
              <w:pageBreakBefore w:val="0"/>
              <w:widowControl w:val="0"/>
              <w:tabs>
                <w:tab w:val="left" w:pos="1140"/>
              </w:tabs>
              <w:kinsoku/>
              <w:wordWrap/>
              <w:overflowPunct/>
              <w:topLinePunct w:val="0"/>
              <w:autoSpaceDE/>
              <w:autoSpaceDN/>
              <w:bidi w:val="0"/>
              <w:adjustRightInd/>
              <w:spacing w:line="44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具体详见第四章评审办法。</w:t>
            </w:r>
          </w:p>
        </w:tc>
      </w:tr>
      <w:tr w14:paraId="62958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62" w:type="dxa"/>
            <w:noWrap w:val="0"/>
            <w:vAlign w:val="center"/>
          </w:tcPr>
          <w:p w14:paraId="64D61A36">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13</w:t>
            </w:r>
          </w:p>
        </w:tc>
        <w:tc>
          <w:tcPr>
            <w:tcW w:w="942" w:type="dxa"/>
            <w:noWrap w:val="0"/>
            <w:vAlign w:val="center"/>
          </w:tcPr>
          <w:p w14:paraId="5EE8E8B6">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26</w:t>
            </w:r>
          </w:p>
        </w:tc>
        <w:tc>
          <w:tcPr>
            <w:tcW w:w="1775" w:type="dxa"/>
            <w:noWrap w:val="0"/>
            <w:vAlign w:val="center"/>
          </w:tcPr>
          <w:p w14:paraId="5E48BC78">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信用查询</w:t>
            </w:r>
          </w:p>
        </w:tc>
        <w:tc>
          <w:tcPr>
            <w:tcW w:w="6912" w:type="dxa"/>
            <w:noWrap w:val="0"/>
            <w:vAlign w:val="center"/>
          </w:tcPr>
          <w:p w14:paraId="36BD4308">
            <w:pPr>
              <w:pageBreakBefore w:val="0"/>
              <w:widowControl w:val="0"/>
              <w:kinsoku/>
              <w:wordWrap/>
              <w:overflowPunct/>
              <w:topLinePunct w:val="0"/>
              <w:autoSpaceDE/>
              <w:autoSpaceDN/>
              <w:bidi w:val="0"/>
              <w:adjustRightInd/>
              <w:spacing w:line="440" w:lineRule="exact"/>
              <w:ind w:left="15" w:hanging="14" w:hangingChars="7"/>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根据《关于做好政府采购有关信用主体标识码登记及在政府采购活动中查询使用信用记录有关问题的通知》（桂财采〔2016〕37），由采购代理机构对第一成交候选人进行信用查询：</w:t>
            </w:r>
          </w:p>
          <w:p w14:paraId="3E6DA4C5">
            <w:pPr>
              <w:pageBreakBefore w:val="0"/>
              <w:widowControl w:val="0"/>
              <w:kinsoku/>
              <w:wordWrap/>
              <w:overflowPunct/>
              <w:topLinePunct w:val="0"/>
              <w:autoSpaceDE/>
              <w:autoSpaceDN/>
              <w:bidi w:val="0"/>
              <w:adjustRightInd/>
              <w:spacing w:line="440" w:lineRule="exact"/>
              <w:ind w:left="15" w:hanging="14" w:hangingChars="7"/>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⑴查询渠道：“信用中国”网站(www.creditchina.gov.cn)、中国政府采购网(www.ccgp.gov.cn)等；</w:t>
            </w:r>
          </w:p>
          <w:p w14:paraId="6BA06D52">
            <w:pPr>
              <w:pageBreakBefore w:val="0"/>
              <w:widowControl w:val="0"/>
              <w:kinsoku/>
              <w:wordWrap/>
              <w:overflowPunct/>
              <w:topLinePunct w:val="0"/>
              <w:autoSpaceDE/>
              <w:autoSpaceDN/>
              <w:bidi w:val="0"/>
              <w:adjustRightInd/>
              <w:spacing w:line="440" w:lineRule="exact"/>
              <w:ind w:left="315" w:hanging="315" w:hangingChars="15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⑵查询时间：成交通知书发出前；</w:t>
            </w:r>
          </w:p>
          <w:p w14:paraId="5A0E6AA7">
            <w:pPr>
              <w:pageBreakBefore w:val="0"/>
              <w:widowControl w:val="0"/>
              <w:kinsoku/>
              <w:wordWrap/>
              <w:overflowPunct/>
              <w:topLinePunct w:val="0"/>
              <w:autoSpaceDE/>
              <w:autoSpaceDN/>
              <w:bidi w:val="0"/>
              <w:adjustRightInd/>
              <w:spacing w:line="440" w:lineRule="exact"/>
              <w:ind w:left="15" w:hanging="14" w:hangingChars="7"/>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⑶信用信息查询记录和证据留存方式：在查询网站中直接打印查询记录，打印材料作为采购活动资料保存；</w:t>
            </w:r>
          </w:p>
          <w:p w14:paraId="52E455B9">
            <w:pPr>
              <w:pageBreakBefore w:val="0"/>
              <w:widowControl w:val="0"/>
              <w:kinsoku/>
              <w:wordWrap/>
              <w:overflowPunct/>
              <w:topLinePunct w:val="0"/>
              <w:autoSpaceDE/>
              <w:autoSpaceDN/>
              <w:bidi w:val="0"/>
              <w:adjustRightInd/>
              <w:spacing w:line="440" w:lineRule="exact"/>
              <w:ind w:left="15" w:hanging="14" w:hangingChars="7"/>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⑷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取消其成交候选人资格。采购人依法按照评审报告中磋商小组推荐成交候选人排序表确定排名第二的成交候选人为成交供应商或者重新组织采购。</w:t>
            </w:r>
          </w:p>
        </w:tc>
      </w:tr>
      <w:tr w14:paraId="48EE6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662" w:type="dxa"/>
            <w:noWrap w:val="0"/>
            <w:vAlign w:val="center"/>
          </w:tcPr>
          <w:p w14:paraId="3AF7728B">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14</w:t>
            </w:r>
          </w:p>
        </w:tc>
        <w:tc>
          <w:tcPr>
            <w:tcW w:w="942" w:type="dxa"/>
            <w:noWrap w:val="0"/>
            <w:vAlign w:val="center"/>
          </w:tcPr>
          <w:p w14:paraId="0FE3DCCD">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27</w:t>
            </w:r>
          </w:p>
        </w:tc>
        <w:tc>
          <w:tcPr>
            <w:tcW w:w="1775" w:type="dxa"/>
            <w:noWrap w:val="0"/>
            <w:vAlign w:val="center"/>
          </w:tcPr>
          <w:p w14:paraId="518B82D9">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成交结果公告</w:t>
            </w:r>
          </w:p>
          <w:p w14:paraId="4085431A">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及成交通知书</w:t>
            </w:r>
          </w:p>
        </w:tc>
        <w:tc>
          <w:tcPr>
            <w:tcW w:w="6912" w:type="dxa"/>
            <w:noWrap w:val="0"/>
            <w:vAlign w:val="top"/>
          </w:tcPr>
          <w:p w14:paraId="69F9CDCA">
            <w:pPr>
              <w:pageBreakBefore w:val="0"/>
              <w:widowControl w:val="0"/>
              <w:kinsoku/>
              <w:wordWrap/>
              <w:overflowPunct/>
              <w:topLinePunct w:val="0"/>
              <w:autoSpaceDE/>
              <w:autoSpaceDN/>
              <w:bidi w:val="0"/>
              <w:adjustRightInd/>
              <w:spacing w:line="44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27.1采购代理机构于磋商结束后两个工作日内将评审报告送交采购人，采购人应当自收到评审报告五个工作日内在评审报告推荐的成交候选人中按顺序确定成交供应商，采购代理机构在成交供应商确定之日起两个工作日内发出成交通知书，并在指定媒体上公告成交信息。</w:t>
            </w:r>
          </w:p>
          <w:p w14:paraId="515971FF">
            <w:pPr>
              <w:pageBreakBefore w:val="0"/>
              <w:widowControl w:val="0"/>
              <w:kinsoku/>
              <w:wordWrap/>
              <w:overflowPunct/>
              <w:topLinePunct w:val="0"/>
              <w:autoSpaceDE/>
              <w:autoSpaceDN/>
              <w:bidi w:val="0"/>
              <w:adjustRightInd/>
              <w:spacing w:line="44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27.2在发布成交公告的同时，采购代理机构向成交供应商发出成交通知书。成交供应商自接到通知之日起七个工作日内，办理成交通知书领取手续。</w:t>
            </w:r>
          </w:p>
        </w:tc>
      </w:tr>
      <w:tr w14:paraId="3D4D2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jc w:val="center"/>
        </w:trPr>
        <w:tc>
          <w:tcPr>
            <w:tcW w:w="662" w:type="dxa"/>
            <w:noWrap w:val="0"/>
            <w:vAlign w:val="center"/>
          </w:tcPr>
          <w:p w14:paraId="77C73D5A">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15</w:t>
            </w:r>
          </w:p>
        </w:tc>
        <w:tc>
          <w:tcPr>
            <w:tcW w:w="942" w:type="dxa"/>
            <w:noWrap w:val="0"/>
            <w:vAlign w:val="center"/>
          </w:tcPr>
          <w:p w14:paraId="31B089BD">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28</w:t>
            </w:r>
          </w:p>
        </w:tc>
        <w:tc>
          <w:tcPr>
            <w:tcW w:w="1775" w:type="dxa"/>
            <w:noWrap w:val="0"/>
            <w:vAlign w:val="center"/>
          </w:tcPr>
          <w:p w14:paraId="10EA81C9">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履约保证金</w:t>
            </w:r>
          </w:p>
        </w:tc>
        <w:tc>
          <w:tcPr>
            <w:tcW w:w="6912" w:type="dxa"/>
            <w:noWrap w:val="0"/>
            <w:vAlign w:val="center"/>
          </w:tcPr>
          <w:p w14:paraId="2E047B84">
            <w:pPr>
              <w:pageBreakBefore w:val="0"/>
              <w:widowControl w:val="0"/>
              <w:kinsoku/>
              <w:wordWrap/>
              <w:overflowPunct/>
              <w:topLinePunct w:val="0"/>
              <w:autoSpaceDE/>
              <w:autoSpaceDN/>
              <w:bidi w:val="0"/>
              <w:adjustRightInd/>
              <w:spacing w:line="440" w:lineRule="exact"/>
              <w:textAlignment w:val="auto"/>
              <w:rPr>
                <w:rFonts w:hint="eastAsia" w:ascii="宋体" w:hAnsi="宋体" w:eastAsia="宋体" w:cs="宋体"/>
                <w:color w:val="auto"/>
                <w:szCs w:val="21"/>
                <w:highlight w:val="none"/>
                <w:lang w:val="en-US" w:eastAsia="zh-CN"/>
              </w:rPr>
            </w:pPr>
            <w:r>
              <w:rPr>
                <w:rFonts w:hint="eastAsia" w:hAnsi="宋体"/>
                <w:color w:val="auto"/>
                <w:szCs w:val="21"/>
                <w:highlight w:val="none"/>
                <w:lang w:eastAsia="zh-CN"/>
              </w:rPr>
              <w:t>本项目不收取履约保证金。</w:t>
            </w:r>
          </w:p>
        </w:tc>
      </w:tr>
      <w:tr w14:paraId="3CB33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662" w:type="dxa"/>
            <w:noWrap w:val="0"/>
            <w:vAlign w:val="center"/>
          </w:tcPr>
          <w:p w14:paraId="4146CBC8">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16</w:t>
            </w:r>
          </w:p>
        </w:tc>
        <w:tc>
          <w:tcPr>
            <w:tcW w:w="942" w:type="dxa"/>
            <w:noWrap w:val="0"/>
            <w:vAlign w:val="center"/>
          </w:tcPr>
          <w:p w14:paraId="2C33EA3E">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29.1</w:t>
            </w:r>
          </w:p>
        </w:tc>
        <w:tc>
          <w:tcPr>
            <w:tcW w:w="1775" w:type="dxa"/>
            <w:noWrap w:val="0"/>
            <w:vAlign w:val="center"/>
          </w:tcPr>
          <w:p w14:paraId="3B9C63CD">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签订合同时间</w:t>
            </w:r>
          </w:p>
        </w:tc>
        <w:tc>
          <w:tcPr>
            <w:tcW w:w="6912" w:type="dxa"/>
            <w:noWrap w:val="0"/>
            <w:vAlign w:val="top"/>
          </w:tcPr>
          <w:p w14:paraId="453AD6B3">
            <w:pPr>
              <w:pageBreakBefore w:val="0"/>
              <w:widowControl w:val="0"/>
              <w:kinsoku/>
              <w:wordWrap/>
              <w:overflowPunct/>
              <w:topLinePunct w:val="0"/>
              <w:autoSpaceDE/>
              <w:autoSpaceDN/>
              <w:bidi w:val="0"/>
              <w:adjustRightInd/>
              <w:spacing w:line="440" w:lineRule="exact"/>
              <w:textAlignment w:val="auto"/>
              <w:rPr>
                <w:rFonts w:hint="eastAsia" w:ascii="宋体" w:hAnsi="宋体" w:eastAsia="宋体" w:cs="宋体"/>
                <w:color w:val="auto"/>
                <w:szCs w:val="21"/>
                <w:highlight w:val="none"/>
              </w:rPr>
            </w:pPr>
            <w:r>
              <w:rPr>
                <w:rFonts w:hint="eastAsia" w:ascii="宋体" w:hAnsi="宋体" w:eastAsia="宋体" w:cs="宋体"/>
                <w:bCs/>
                <w:color w:val="auto"/>
                <w:kern w:val="0"/>
                <w:szCs w:val="21"/>
                <w:highlight w:val="none"/>
                <w:lang w:eastAsia="zh-CN"/>
              </w:rPr>
              <w:t>成交通知书</w:t>
            </w:r>
            <w:r>
              <w:rPr>
                <w:rFonts w:hint="eastAsia" w:ascii="宋体" w:hAnsi="宋体" w:eastAsia="宋体" w:cs="宋体"/>
                <w:bCs/>
                <w:color w:val="auto"/>
                <w:kern w:val="0"/>
                <w:szCs w:val="21"/>
                <w:highlight w:val="none"/>
              </w:rPr>
              <w:t>发出之日起</w:t>
            </w:r>
            <w:r>
              <w:rPr>
                <w:rFonts w:hint="eastAsia" w:ascii="宋体" w:hAnsi="宋体" w:cs="宋体"/>
                <w:bCs/>
                <w:color w:val="auto"/>
                <w:kern w:val="0"/>
                <w:szCs w:val="21"/>
                <w:highlight w:val="none"/>
                <w:lang w:val="en-US" w:eastAsia="zh-CN"/>
              </w:rPr>
              <w:t>8个工作日</w:t>
            </w:r>
            <w:r>
              <w:rPr>
                <w:rFonts w:hint="eastAsia" w:ascii="宋体" w:hAnsi="宋体" w:eastAsia="宋体" w:cs="宋体"/>
                <w:bCs/>
                <w:color w:val="auto"/>
                <w:kern w:val="0"/>
                <w:szCs w:val="21"/>
                <w:highlight w:val="none"/>
              </w:rPr>
              <w:t>内签订合同</w:t>
            </w:r>
            <w:r>
              <w:rPr>
                <w:rFonts w:hint="eastAsia" w:ascii="宋体" w:hAnsi="宋体" w:eastAsia="宋体" w:cs="宋体"/>
                <w:color w:val="auto"/>
                <w:highlight w:val="none"/>
              </w:rPr>
              <w:t>。</w:t>
            </w:r>
            <w:r>
              <w:rPr>
                <w:rFonts w:hint="eastAsia" w:ascii="宋体" w:hAnsi="宋体" w:eastAsia="宋体" w:cs="宋体"/>
                <w:color w:val="auto"/>
                <w:szCs w:val="21"/>
                <w:highlight w:val="none"/>
              </w:rPr>
              <w:t>成交供应商领取成交通知书后，应按规定与采购人签订合同。</w:t>
            </w:r>
          </w:p>
        </w:tc>
      </w:tr>
      <w:tr w14:paraId="13F20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662" w:type="dxa"/>
            <w:noWrap w:val="0"/>
            <w:vAlign w:val="center"/>
          </w:tcPr>
          <w:p w14:paraId="1AD5BF85">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17</w:t>
            </w:r>
          </w:p>
        </w:tc>
        <w:tc>
          <w:tcPr>
            <w:tcW w:w="942" w:type="dxa"/>
            <w:noWrap w:val="0"/>
            <w:vAlign w:val="center"/>
          </w:tcPr>
          <w:p w14:paraId="4C7668C2">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29.3</w:t>
            </w:r>
          </w:p>
        </w:tc>
        <w:tc>
          <w:tcPr>
            <w:tcW w:w="1775" w:type="dxa"/>
            <w:noWrap w:val="0"/>
            <w:vAlign w:val="center"/>
          </w:tcPr>
          <w:p w14:paraId="64E541A8">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合同备案存档</w:t>
            </w:r>
          </w:p>
        </w:tc>
        <w:tc>
          <w:tcPr>
            <w:tcW w:w="6912" w:type="dxa"/>
            <w:noWrap w:val="0"/>
            <w:vAlign w:val="center"/>
          </w:tcPr>
          <w:p w14:paraId="37945B38">
            <w:pPr>
              <w:pageBreakBefore w:val="0"/>
              <w:widowControl w:val="0"/>
              <w:kinsoku/>
              <w:wordWrap/>
              <w:overflowPunct/>
              <w:topLinePunct w:val="0"/>
              <w:autoSpaceDE/>
              <w:autoSpaceDN/>
              <w:bidi w:val="0"/>
              <w:adjustRightInd/>
              <w:spacing w:line="440" w:lineRule="exact"/>
              <w:textAlignment w:val="auto"/>
              <w:rPr>
                <w:rFonts w:hint="eastAsia" w:ascii="宋体" w:hAnsi="宋体" w:eastAsia="宋体" w:cs="宋体"/>
                <w:color w:val="auto"/>
                <w:szCs w:val="21"/>
                <w:highlight w:val="none"/>
              </w:rPr>
            </w:pPr>
            <w:r>
              <w:rPr>
                <w:rFonts w:hint="eastAsia" w:ascii="宋体" w:hAnsi="宋体" w:eastAsia="宋体" w:cs="宋体"/>
                <w:color w:val="auto"/>
                <w:highlight w:val="none"/>
              </w:rPr>
              <w:t>政府采购合同双方自签订之日起一个工作日内将合同原件一份交采购代理机构，采购代理机构将政府采购合同在省级以上人民政府财政部门指定媒体上公告。采购人于合同签订之日起七个工作日内将一份合同原件送本级财政部门备案，一份由</w:t>
            </w:r>
            <w:r>
              <w:rPr>
                <w:rFonts w:hint="eastAsia" w:ascii="宋体" w:hAnsi="宋体" w:cs="宋体"/>
                <w:color w:val="auto"/>
                <w:highlight w:val="none"/>
                <w:lang w:eastAsia="zh-CN"/>
              </w:rPr>
              <w:t>广西景钲工程咨询有限公司</w:t>
            </w:r>
            <w:r>
              <w:rPr>
                <w:rFonts w:hint="eastAsia" w:ascii="宋体" w:hAnsi="宋体" w:eastAsia="宋体" w:cs="宋体"/>
                <w:color w:val="auto"/>
                <w:highlight w:val="none"/>
              </w:rPr>
              <w:t>存档。</w:t>
            </w:r>
          </w:p>
        </w:tc>
      </w:tr>
      <w:tr w14:paraId="083FD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662" w:type="dxa"/>
            <w:noWrap w:val="0"/>
            <w:vAlign w:val="center"/>
          </w:tcPr>
          <w:p w14:paraId="10F29410">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18</w:t>
            </w:r>
          </w:p>
        </w:tc>
        <w:tc>
          <w:tcPr>
            <w:tcW w:w="942" w:type="dxa"/>
            <w:noWrap w:val="0"/>
            <w:vAlign w:val="center"/>
          </w:tcPr>
          <w:p w14:paraId="2A9E7759">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30</w:t>
            </w:r>
          </w:p>
        </w:tc>
        <w:tc>
          <w:tcPr>
            <w:tcW w:w="1775" w:type="dxa"/>
            <w:noWrap w:val="0"/>
            <w:vAlign w:val="center"/>
          </w:tcPr>
          <w:p w14:paraId="6D21439D">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采购代理服务费</w:t>
            </w:r>
          </w:p>
        </w:tc>
        <w:tc>
          <w:tcPr>
            <w:tcW w:w="6912" w:type="dxa"/>
            <w:noWrap w:val="0"/>
            <w:vAlign w:val="top"/>
          </w:tcPr>
          <w:p w14:paraId="2648353B">
            <w:pPr>
              <w:pageBreakBefore w:val="0"/>
              <w:widowControl w:val="0"/>
              <w:kinsoku/>
              <w:wordWrap/>
              <w:overflowPunct/>
              <w:topLinePunct w:val="0"/>
              <w:autoSpaceDE/>
              <w:autoSpaceDN/>
              <w:bidi w:val="0"/>
              <w:adjustRightInd/>
              <w:spacing w:line="44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lang w:eastAsia="zh-CN"/>
              </w:rPr>
              <w:t>成交</w:t>
            </w:r>
            <w:r>
              <w:rPr>
                <w:rFonts w:hint="eastAsia" w:ascii="宋体" w:hAnsi="宋体" w:eastAsia="宋体" w:cs="宋体"/>
                <w:color w:val="auto"/>
                <w:sz w:val="21"/>
                <w:szCs w:val="21"/>
                <w:highlight w:val="none"/>
              </w:rPr>
              <w:t>人领取</w:t>
            </w:r>
            <w:r>
              <w:rPr>
                <w:rFonts w:hint="eastAsia" w:ascii="宋体" w:hAnsi="宋体" w:eastAsia="宋体" w:cs="宋体"/>
                <w:color w:val="auto"/>
                <w:sz w:val="21"/>
                <w:szCs w:val="21"/>
                <w:highlight w:val="none"/>
                <w:lang w:eastAsia="zh-CN"/>
              </w:rPr>
              <w:t>成交</w:t>
            </w:r>
            <w:r>
              <w:rPr>
                <w:rFonts w:hint="eastAsia" w:ascii="宋体" w:hAnsi="宋体" w:eastAsia="宋体" w:cs="宋体"/>
                <w:color w:val="auto"/>
                <w:sz w:val="21"/>
                <w:szCs w:val="21"/>
                <w:highlight w:val="none"/>
              </w:rPr>
              <w:t>通知书前，向</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rPr>
              <w:t>代理机构一次性付清</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rPr>
              <w:t>代理服务费，本项目</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rPr>
              <w:t>代理服务收费标准参照计价格[2002]1980号《招标代理服务收费管理暂行办法》</w:t>
            </w:r>
            <w:r>
              <w:rPr>
                <w:rFonts w:hint="eastAsia" w:ascii="宋体" w:hAnsi="宋体" w:cs="宋体"/>
                <w:color w:val="auto"/>
                <w:sz w:val="21"/>
                <w:szCs w:val="21"/>
                <w:highlight w:val="none"/>
                <w:lang w:eastAsia="zh-CN"/>
              </w:rPr>
              <w:t>工程</w:t>
            </w:r>
            <w:r>
              <w:rPr>
                <w:rFonts w:hint="eastAsia" w:ascii="宋体" w:hAnsi="宋体" w:eastAsia="宋体" w:cs="宋体"/>
                <w:color w:val="auto"/>
                <w:sz w:val="21"/>
                <w:szCs w:val="21"/>
                <w:highlight w:val="none"/>
                <w:lang w:eastAsia="zh-CN"/>
              </w:rPr>
              <w:t>类</w:t>
            </w:r>
            <w:r>
              <w:rPr>
                <w:rFonts w:hint="eastAsia" w:ascii="宋体" w:hAnsi="宋体" w:eastAsia="宋体" w:cs="宋体"/>
                <w:color w:val="auto"/>
                <w:sz w:val="21"/>
                <w:szCs w:val="21"/>
                <w:highlight w:val="none"/>
              </w:rPr>
              <w:t>收费标准向</w:t>
            </w:r>
            <w:r>
              <w:rPr>
                <w:rFonts w:hint="eastAsia" w:ascii="宋体" w:hAnsi="宋体" w:eastAsia="宋体" w:cs="宋体"/>
                <w:color w:val="auto"/>
                <w:sz w:val="21"/>
                <w:szCs w:val="21"/>
                <w:highlight w:val="none"/>
                <w:lang w:eastAsia="zh-CN"/>
              </w:rPr>
              <w:t>成交</w:t>
            </w:r>
            <w:r>
              <w:rPr>
                <w:rFonts w:hint="eastAsia" w:ascii="宋体" w:hAnsi="宋体" w:eastAsia="宋体" w:cs="宋体"/>
                <w:color w:val="auto"/>
                <w:sz w:val="21"/>
                <w:szCs w:val="21"/>
                <w:highlight w:val="none"/>
              </w:rPr>
              <w:t>人收取</w:t>
            </w:r>
            <w:r>
              <w:rPr>
                <w:rFonts w:hint="eastAsia" w:ascii="宋体" w:hAnsi="宋体" w:eastAsia="宋体" w:cs="宋体"/>
                <w:color w:val="auto"/>
                <w:szCs w:val="21"/>
                <w:highlight w:val="none"/>
              </w:rPr>
              <w:t>（不足人民币</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000元的，按</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000元支付）</w:t>
            </w:r>
            <w:r>
              <w:rPr>
                <w:rFonts w:hint="eastAsia" w:ascii="宋体" w:hAnsi="宋体" w:eastAsia="宋体" w:cs="宋体"/>
                <w:color w:val="auto"/>
                <w:sz w:val="21"/>
                <w:szCs w:val="21"/>
                <w:highlight w:val="none"/>
              </w:rPr>
              <w:t>。</w:t>
            </w:r>
          </w:p>
        </w:tc>
      </w:tr>
      <w:tr w14:paraId="0D403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62" w:type="dxa"/>
            <w:noWrap w:val="0"/>
            <w:vAlign w:val="center"/>
          </w:tcPr>
          <w:p w14:paraId="329FBB5E">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19</w:t>
            </w:r>
          </w:p>
        </w:tc>
        <w:tc>
          <w:tcPr>
            <w:tcW w:w="942" w:type="dxa"/>
            <w:noWrap w:val="0"/>
            <w:vAlign w:val="center"/>
          </w:tcPr>
          <w:p w14:paraId="28C4CFF9">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31</w:t>
            </w:r>
          </w:p>
        </w:tc>
        <w:tc>
          <w:tcPr>
            <w:tcW w:w="1775" w:type="dxa"/>
            <w:noWrap w:val="0"/>
            <w:vAlign w:val="center"/>
          </w:tcPr>
          <w:p w14:paraId="48ECB5C5">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解释权</w:t>
            </w:r>
          </w:p>
        </w:tc>
        <w:tc>
          <w:tcPr>
            <w:tcW w:w="6912" w:type="dxa"/>
            <w:noWrap w:val="0"/>
            <w:vAlign w:val="top"/>
          </w:tcPr>
          <w:p w14:paraId="561FA722">
            <w:pPr>
              <w:pageBreakBefore w:val="0"/>
              <w:widowControl w:val="0"/>
              <w:kinsoku/>
              <w:wordWrap/>
              <w:overflowPunct/>
              <w:topLinePunct w:val="0"/>
              <w:autoSpaceDE/>
              <w:autoSpaceDN/>
              <w:bidi w:val="0"/>
              <w:adjustRightInd/>
              <w:spacing w:line="440" w:lineRule="exact"/>
              <w:textAlignment w:val="auto"/>
              <w:rPr>
                <w:rFonts w:hint="eastAsia" w:ascii="宋体" w:hAnsi="宋体" w:eastAsia="宋体" w:cs="宋体"/>
                <w:color w:val="auto"/>
                <w:szCs w:val="21"/>
                <w:highlight w:val="none"/>
              </w:rPr>
            </w:pPr>
            <w:r>
              <w:rPr>
                <w:rFonts w:hint="eastAsia" w:ascii="宋体" w:hAnsi="宋体" w:eastAsia="宋体" w:cs="宋体"/>
                <w:color w:val="auto"/>
                <w:highlight w:val="none"/>
              </w:rPr>
              <w:t>本竞争性磋商文件是根据《中华人民共和国政府采购法》《中华人民共和国政府采购法实施条例》《政府采购竞争性磋商采购方式管理暂行办法》和政府采购管理有关规定编制，本竞争性磋商文件的解释权属于采购代理机构。</w:t>
            </w:r>
          </w:p>
        </w:tc>
      </w:tr>
      <w:tr w14:paraId="10B5F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662" w:type="dxa"/>
            <w:noWrap w:val="0"/>
            <w:vAlign w:val="center"/>
          </w:tcPr>
          <w:p w14:paraId="68990BAD">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20</w:t>
            </w:r>
          </w:p>
        </w:tc>
        <w:tc>
          <w:tcPr>
            <w:tcW w:w="942" w:type="dxa"/>
            <w:noWrap w:val="0"/>
            <w:vAlign w:val="center"/>
          </w:tcPr>
          <w:p w14:paraId="3D3AD3BF">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32</w:t>
            </w:r>
          </w:p>
        </w:tc>
        <w:tc>
          <w:tcPr>
            <w:tcW w:w="1775" w:type="dxa"/>
            <w:noWrap w:val="0"/>
            <w:vAlign w:val="center"/>
          </w:tcPr>
          <w:p w14:paraId="3544C976">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监督管理机构</w:t>
            </w:r>
          </w:p>
        </w:tc>
        <w:tc>
          <w:tcPr>
            <w:tcW w:w="6912" w:type="dxa"/>
            <w:noWrap w:val="0"/>
            <w:vAlign w:val="center"/>
          </w:tcPr>
          <w:p w14:paraId="4C6E17EF">
            <w:pPr>
              <w:spacing w:line="360" w:lineRule="exact"/>
              <w:rPr>
                <w:rFonts w:hint="eastAsia" w:ascii="宋体" w:hAnsi="宋体" w:eastAsia="宋体" w:cs="宋体"/>
                <w:color w:val="auto"/>
                <w:szCs w:val="21"/>
                <w:highlight w:val="none"/>
              </w:rPr>
            </w:pPr>
            <w:r>
              <w:rPr>
                <w:rFonts w:hint="eastAsia" w:ascii="宋体" w:hAnsi="宋体" w:cs="宋体"/>
                <w:color w:val="auto"/>
                <w:szCs w:val="21"/>
                <w:highlight w:val="none"/>
              </w:rPr>
              <w:t>桂林市阳朔县财政局    联系电话：0773-8811598</w:t>
            </w:r>
          </w:p>
        </w:tc>
      </w:tr>
    </w:tbl>
    <w:p w14:paraId="29077E7B">
      <w:pPr>
        <w:pStyle w:val="28"/>
        <w:ind w:left="0" w:leftChars="0" w:firstLine="0" w:firstLineChars="0"/>
        <w:rPr>
          <w:rFonts w:hint="eastAsia" w:ascii="宋体" w:hAnsi="宋体" w:eastAsia="宋体" w:cs="宋体"/>
          <w:b/>
          <w:color w:val="auto"/>
          <w:sz w:val="28"/>
          <w:szCs w:val="28"/>
          <w:highlight w:val="none"/>
        </w:rPr>
      </w:pPr>
    </w:p>
    <w:p w14:paraId="7F5BD2F9">
      <w:pPr>
        <w:pStyle w:val="5"/>
        <w:tabs>
          <w:tab w:val="left" w:pos="567"/>
        </w:tabs>
        <w:ind w:left="0" w:leftChars="0" w:firstLine="0" w:firstLineChars="0"/>
        <w:jc w:val="both"/>
        <w:rPr>
          <w:rFonts w:hint="eastAsia" w:ascii="宋体" w:hAnsi="宋体" w:eastAsia="宋体" w:cs="宋体"/>
          <w:b/>
          <w:bCs w:val="0"/>
          <w:color w:val="auto"/>
          <w:szCs w:val="28"/>
          <w:highlight w:val="none"/>
        </w:rPr>
      </w:pPr>
    </w:p>
    <w:p w14:paraId="32678C00">
      <w:pPr>
        <w:rPr>
          <w:rFonts w:hint="eastAsia" w:ascii="宋体" w:hAnsi="宋体" w:eastAsia="宋体" w:cs="宋体"/>
          <w:b/>
          <w:bCs w:val="0"/>
          <w:color w:val="auto"/>
          <w:szCs w:val="28"/>
          <w:highlight w:val="none"/>
        </w:rPr>
      </w:pPr>
    </w:p>
    <w:p w14:paraId="79FC0E9A">
      <w:pPr>
        <w:pStyle w:val="5"/>
        <w:tabs>
          <w:tab w:val="left" w:pos="567"/>
        </w:tabs>
        <w:rPr>
          <w:rFonts w:hint="eastAsia" w:ascii="宋体" w:hAnsi="宋体" w:eastAsia="宋体" w:cs="宋体"/>
          <w:b/>
          <w:bCs w:val="0"/>
          <w:color w:val="auto"/>
          <w:szCs w:val="28"/>
          <w:highlight w:val="none"/>
        </w:rPr>
      </w:pPr>
    </w:p>
    <w:p w14:paraId="5AD793A9">
      <w:pPr>
        <w:pStyle w:val="5"/>
        <w:pageBreakBefore w:val="0"/>
        <w:widowControl w:val="0"/>
        <w:tabs>
          <w:tab w:val="left" w:pos="567"/>
        </w:tabs>
        <w:kinsoku/>
        <w:wordWrap/>
        <w:overflowPunct/>
        <w:topLinePunct w:val="0"/>
        <w:bidi w:val="0"/>
        <w:spacing w:line="440" w:lineRule="exact"/>
        <w:jc w:val="both"/>
        <w:textAlignment w:val="auto"/>
        <w:rPr>
          <w:rFonts w:hint="eastAsia" w:ascii="宋体" w:hAnsi="宋体" w:eastAsia="宋体" w:cs="宋体"/>
          <w:b/>
          <w:bCs w:val="0"/>
          <w:color w:val="auto"/>
          <w:szCs w:val="28"/>
          <w:highlight w:val="none"/>
        </w:rPr>
        <w:sectPr>
          <w:footerReference r:id="rId6" w:type="first"/>
          <w:footerReference r:id="rId5" w:type="default"/>
          <w:pgSz w:w="11906" w:h="16838"/>
          <w:pgMar w:top="1077" w:right="1115" w:bottom="1191" w:left="1131" w:header="851" w:footer="992" w:gutter="0"/>
          <w:pgNumType w:fmt="decimal"/>
          <w:cols w:space="720" w:num="1"/>
          <w:titlePg/>
          <w:docGrid w:type="lines" w:linePitch="312" w:charSpace="0"/>
        </w:sectPr>
      </w:pPr>
      <w:bookmarkStart w:id="44" w:name="_Toc22792"/>
      <w:bookmarkStart w:id="45" w:name="_Toc27120"/>
    </w:p>
    <w:p w14:paraId="7E044D6C">
      <w:pPr>
        <w:pStyle w:val="5"/>
        <w:pageBreakBefore w:val="0"/>
        <w:widowControl w:val="0"/>
        <w:tabs>
          <w:tab w:val="left" w:pos="567"/>
        </w:tabs>
        <w:kinsoku/>
        <w:wordWrap/>
        <w:overflowPunct/>
        <w:topLinePunct w:val="0"/>
        <w:bidi w:val="0"/>
        <w:spacing w:line="440" w:lineRule="exact"/>
        <w:jc w:val="center"/>
        <w:textAlignment w:val="auto"/>
        <w:rPr>
          <w:rFonts w:hint="eastAsia" w:ascii="宋体" w:hAnsi="宋体" w:eastAsia="宋体" w:cs="宋体"/>
          <w:b/>
          <w:bCs w:val="0"/>
          <w:color w:val="auto"/>
          <w:szCs w:val="28"/>
          <w:highlight w:val="none"/>
        </w:rPr>
      </w:pPr>
      <w:bookmarkStart w:id="46" w:name="_Toc22096"/>
      <w:r>
        <w:rPr>
          <w:rFonts w:hint="eastAsia" w:ascii="宋体" w:hAnsi="宋体" w:eastAsia="宋体" w:cs="宋体"/>
          <w:b/>
          <w:bCs w:val="0"/>
          <w:color w:val="auto"/>
          <w:szCs w:val="28"/>
          <w:highlight w:val="none"/>
        </w:rPr>
        <w:t>一、总则</w:t>
      </w:r>
      <w:bookmarkEnd w:id="44"/>
      <w:bookmarkEnd w:id="45"/>
      <w:bookmarkEnd w:id="46"/>
    </w:p>
    <w:p w14:paraId="1F35C1C3">
      <w:pPr>
        <w:pStyle w:val="6"/>
        <w:pageBreakBefore w:val="0"/>
        <w:widowControl w:val="0"/>
        <w:kinsoku/>
        <w:wordWrap/>
        <w:overflowPunct/>
        <w:topLinePunct w:val="0"/>
        <w:bidi w:val="0"/>
        <w:spacing w:before="0" w:after="0" w:line="440" w:lineRule="exact"/>
        <w:ind w:firstLine="422" w:firstLineChars="200"/>
        <w:textAlignment w:val="auto"/>
        <w:rPr>
          <w:rFonts w:hint="eastAsia" w:ascii="宋体" w:hAnsi="宋体" w:eastAsia="宋体" w:cs="宋体"/>
          <w:color w:val="auto"/>
          <w:sz w:val="21"/>
          <w:szCs w:val="21"/>
          <w:highlight w:val="none"/>
        </w:rPr>
      </w:pPr>
      <w:bookmarkStart w:id="47" w:name="_Toc6626"/>
      <w:bookmarkStart w:id="48" w:name="_Toc3367"/>
      <w:r>
        <w:rPr>
          <w:rFonts w:hint="eastAsia" w:ascii="宋体" w:hAnsi="宋体" w:eastAsia="宋体" w:cs="宋体"/>
          <w:color w:val="auto"/>
          <w:sz w:val="21"/>
          <w:szCs w:val="21"/>
          <w:highlight w:val="none"/>
        </w:rPr>
        <w:t>1. 适应范围</w:t>
      </w:r>
      <w:bookmarkEnd w:id="47"/>
      <w:bookmarkEnd w:id="48"/>
    </w:p>
    <w:p w14:paraId="176439F4">
      <w:pPr>
        <w:pageBreakBefore w:val="0"/>
        <w:widowControl w:val="0"/>
        <w:kinsoku/>
        <w:wordWrap/>
        <w:overflowPunct/>
        <w:topLinePunct w:val="0"/>
        <w:bidi w:val="0"/>
        <w:spacing w:line="440" w:lineRule="exact"/>
        <w:ind w:firstLine="435"/>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1.1  项目名称及项目编号</w:t>
      </w:r>
    </w:p>
    <w:p w14:paraId="613906FA">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项目名称：</w:t>
      </w:r>
      <w:r>
        <w:rPr>
          <w:rFonts w:hint="eastAsia" w:ascii="宋体" w:hAnsi="宋体" w:cs="宋体"/>
          <w:color w:val="auto"/>
          <w:szCs w:val="21"/>
          <w:highlight w:val="none"/>
          <w:lang w:eastAsia="zh-CN"/>
        </w:rPr>
        <w:t>阳朔县仙桂桥修缮工程（重）</w:t>
      </w:r>
      <w:r>
        <w:rPr>
          <w:rFonts w:hint="eastAsia" w:ascii="宋体" w:hAnsi="宋体" w:eastAsia="宋体" w:cs="宋体"/>
          <w:color w:val="auto"/>
          <w:szCs w:val="21"/>
          <w:highlight w:val="none"/>
        </w:rPr>
        <w:t xml:space="preserve">  </w:t>
      </w:r>
    </w:p>
    <w:p w14:paraId="013C3EB2">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项目编号：</w:t>
      </w:r>
      <w:r>
        <w:rPr>
          <w:rFonts w:hint="eastAsia" w:ascii="宋体" w:hAnsi="宋体" w:eastAsia="宋体" w:cs="宋体"/>
          <w:color w:val="auto"/>
          <w:sz w:val="21"/>
          <w:szCs w:val="21"/>
          <w:highlight w:val="none"/>
          <w:lang w:val="en-US" w:eastAsia="zh-CN"/>
        </w:rPr>
        <w:t xml:space="preserve"> </w:t>
      </w:r>
      <w:r>
        <w:rPr>
          <w:rFonts w:hint="eastAsia" w:ascii="宋体" w:hAnsi="宋体" w:cs="宋体"/>
          <w:color w:val="auto"/>
          <w:sz w:val="21"/>
          <w:szCs w:val="21"/>
          <w:highlight w:val="none"/>
          <w:lang w:eastAsia="zh-CN"/>
        </w:rPr>
        <w:t>GLZC2025-C2-210035-GXJZ</w:t>
      </w:r>
    </w:p>
    <w:p w14:paraId="32C88A20">
      <w:pPr>
        <w:pageBreakBefore w:val="0"/>
        <w:widowControl w:val="0"/>
        <w:kinsoku/>
        <w:wordWrap/>
        <w:overflowPunct/>
        <w:topLinePunct w:val="0"/>
        <w:bidi w:val="0"/>
        <w:spacing w:line="440" w:lineRule="exact"/>
        <w:ind w:firstLine="411" w:firstLineChars="196"/>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1.2本竞争性磋商文件（以下简称磋商文件）适用于本磋商项目的磋商、评审、合同履约、验收、付款等行为（法律、法规另有规定的，从其规定）。</w:t>
      </w:r>
    </w:p>
    <w:p w14:paraId="486139A6">
      <w:pPr>
        <w:pStyle w:val="6"/>
        <w:pageBreakBefore w:val="0"/>
        <w:widowControl w:val="0"/>
        <w:kinsoku/>
        <w:wordWrap/>
        <w:overflowPunct/>
        <w:topLinePunct w:val="0"/>
        <w:bidi w:val="0"/>
        <w:spacing w:before="0" w:after="0" w:line="440" w:lineRule="exact"/>
        <w:ind w:firstLine="422" w:firstLineChars="200"/>
        <w:textAlignment w:val="auto"/>
        <w:rPr>
          <w:rFonts w:hint="eastAsia" w:ascii="宋体" w:hAnsi="宋体" w:eastAsia="宋体" w:cs="宋体"/>
          <w:color w:val="auto"/>
          <w:sz w:val="21"/>
          <w:szCs w:val="21"/>
          <w:highlight w:val="none"/>
        </w:rPr>
      </w:pPr>
      <w:bookmarkStart w:id="49" w:name="_Toc2845"/>
      <w:bookmarkStart w:id="50" w:name="_Toc28336"/>
      <w:r>
        <w:rPr>
          <w:rFonts w:hint="eastAsia" w:ascii="宋体" w:hAnsi="宋体" w:eastAsia="宋体" w:cs="宋体"/>
          <w:color w:val="auto"/>
          <w:sz w:val="21"/>
          <w:szCs w:val="21"/>
          <w:highlight w:val="none"/>
        </w:rPr>
        <w:t>2. 定义</w:t>
      </w:r>
      <w:bookmarkEnd w:id="49"/>
      <w:bookmarkEnd w:id="50"/>
    </w:p>
    <w:p w14:paraId="51828BAD">
      <w:pPr>
        <w:pageBreakBefore w:val="0"/>
        <w:widowControl w:val="0"/>
        <w:kinsoku/>
        <w:wordWrap/>
        <w:overflowPunct/>
        <w:topLinePunct w:val="0"/>
        <w:bidi w:val="0"/>
        <w:spacing w:line="440" w:lineRule="exact"/>
        <w:ind w:firstLine="435"/>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2.1“供应商”是指符合本次采购项目的供应商资格并提交响应文件、参加磋商的供应商。如果该供应商在本次磋商中成交，即成为“成交供应商”。</w:t>
      </w:r>
    </w:p>
    <w:p w14:paraId="302C0F8A">
      <w:pPr>
        <w:pageBreakBefore w:val="0"/>
        <w:widowControl w:val="0"/>
        <w:kinsoku/>
        <w:wordWrap/>
        <w:overflowPunct/>
        <w:topLinePunct w:val="0"/>
        <w:bidi w:val="0"/>
        <w:spacing w:line="440" w:lineRule="exact"/>
        <w:ind w:firstLine="435"/>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2.2“货物”系指按磋商文件规定，供应商须向采购人提供的一切设备、保险、税金、备品备件、工具、手册及其它有关技术资料和材料。</w:t>
      </w:r>
    </w:p>
    <w:p w14:paraId="7B1E7961">
      <w:pPr>
        <w:pageBreakBefore w:val="0"/>
        <w:widowControl w:val="0"/>
        <w:kinsoku/>
        <w:wordWrap/>
        <w:overflowPunct/>
        <w:topLinePunct w:val="0"/>
        <w:bidi w:val="0"/>
        <w:spacing w:line="440" w:lineRule="exact"/>
        <w:ind w:firstLine="435"/>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2.3“服务”系指按磋商文件规定，供应商须承担的安装、调试、技术协助、校准、培训、技术指导以及其他类似的义务。</w:t>
      </w:r>
    </w:p>
    <w:p w14:paraId="7A49D82C">
      <w:pPr>
        <w:pageBreakBefore w:val="0"/>
        <w:widowControl w:val="0"/>
        <w:kinsoku/>
        <w:wordWrap/>
        <w:overflowPunct/>
        <w:topLinePunct w:val="0"/>
        <w:bidi w:val="0"/>
        <w:spacing w:line="440" w:lineRule="exact"/>
        <w:ind w:firstLine="435"/>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2.4“项目”系指供应商按磋商文件规定向采购人提供的货物和服务。</w:t>
      </w:r>
    </w:p>
    <w:p w14:paraId="6EF46C3A">
      <w:pPr>
        <w:pageBreakBefore w:val="0"/>
        <w:widowControl w:val="0"/>
        <w:kinsoku/>
        <w:wordWrap/>
        <w:overflowPunct/>
        <w:topLinePunct w:val="0"/>
        <w:bidi w:val="0"/>
        <w:spacing w:line="440" w:lineRule="exact"/>
        <w:ind w:firstLine="435"/>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2.5“书面形式”包括信函、传真、电报等。</w:t>
      </w:r>
    </w:p>
    <w:p w14:paraId="0EC84A77">
      <w:pPr>
        <w:pStyle w:val="6"/>
        <w:pageBreakBefore w:val="0"/>
        <w:widowControl w:val="0"/>
        <w:kinsoku/>
        <w:wordWrap/>
        <w:overflowPunct/>
        <w:topLinePunct w:val="0"/>
        <w:bidi w:val="0"/>
        <w:spacing w:before="0" w:after="0" w:line="440" w:lineRule="exact"/>
        <w:ind w:firstLine="422" w:firstLineChars="200"/>
        <w:textAlignment w:val="auto"/>
        <w:rPr>
          <w:rFonts w:hint="eastAsia" w:ascii="宋体" w:hAnsi="宋体" w:eastAsia="宋体" w:cs="宋体"/>
          <w:color w:val="auto"/>
          <w:sz w:val="21"/>
          <w:szCs w:val="21"/>
          <w:highlight w:val="none"/>
        </w:rPr>
      </w:pPr>
      <w:bookmarkStart w:id="51" w:name="_Toc13017"/>
      <w:bookmarkStart w:id="52" w:name="_Toc25441"/>
      <w:r>
        <w:rPr>
          <w:rFonts w:hint="eastAsia" w:ascii="宋体" w:hAnsi="宋体" w:eastAsia="宋体" w:cs="宋体"/>
          <w:color w:val="auto"/>
          <w:sz w:val="21"/>
          <w:szCs w:val="21"/>
          <w:highlight w:val="none"/>
        </w:rPr>
        <w:t>3. 供应商资格</w:t>
      </w:r>
      <w:bookmarkEnd w:id="51"/>
      <w:bookmarkEnd w:id="52"/>
    </w:p>
    <w:p w14:paraId="297E8C16">
      <w:pPr>
        <w:pStyle w:val="6"/>
        <w:pageBreakBefore w:val="0"/>
        <w:widowControl w:val="0"/>
        <w:kinsoku/>
        <w:wordWrap/>
        <w:overflowPunct/>
        <w:topLinePunct w:val="0"/>
        <w:bidi w:val="0"/>
        <w:spacing w:before="0" w:after="0" w:line="440" w:lineRule="exact"/>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bookmarkStart w:id="53" w:name="_Toc9216"/>
      <w:bookmarkStart w:id="54" w:name="_Toc16496"/>
      <w:r>
        <w:rPr>
          <w:rFonts w:hint="eastAsia" w:ascii="宋体" w:hAnsi="宋体" w:eastAsia="宋体" w:cs="宋体"/>
          <w:b w:val="0"/>
          <w:bCs w:val="0"/>
          <w:color w:val="auto"/>
          <w:kern w:val="2"/>
          <w:sz w:val="21"/>
          <w:szCs w:val="21"/>
          <w:highlight w:val="none"/>
          <w:lang w:val="en-US" w:eastAsia="zh-CN" w:bidi="ar-SA"/>
        </w:rPr>
        <w:t>3.1、满足《中华人民共和国政府采购法》第二十二条规定；</w:t>
      </w:r>
    </w:p>
    <w:p w14:paraId="0861EF87">
      <w:pPr>
        <w:pStyle w:val="6"/>
        <w:pageBreakBefore w:val="0"/>
        <w:widowControl w:val="0"/>
        <w:kinsoku/>
        <w:wordWrap/>
        <w:overflowPunct/>
        <w:topLinePunct w:val="0"/>
        <w:bidi w:val="0"/>
        <w:spacing w:before="0" w:after="0" w:line="440" w:lineRule="exact"/>
        <w:ind w:firstLine="420" w:firstLineChars="200"/>
        <w:textAlignment w:val="auto"/>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auto"/>
          <w:kern w:val="2"/>
          <w:sz w:val="21"/>
          <w:szCs w:val="21"/>
          <w:highlight w:val="none"/>
          <w:lang w:val="en-US" w:eastAsia="zh-CN" w:bidi="ar-SA"/>
        </w:rPr>
        <w:t>3.2、落实政府采购政策需满足的资格要求：</w:t>
      </w:r>
      <w: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本项目为专门面向中小微企业采购的项目（供应商应为中小微企业、监狱企业、残疾人福利性单位)；</w:t>
      </w:r>
    </w:p>
    <w:p w14:paraId="3180D720">
      <w:pPr>
        <w:pStyle w:val="6"/>
        <w:pageBreakBefore w:val="0"/>
        <w:widowControl w:val="0"/>
        <w:kinsoku/>
        <w:wordWrap/>
        <w:overflowPunct/>
        <w:topLinePunct w:val="0"/>
        <w:bidi w:val="0"/>
        <w:spacing w:before="0" w:after="0" w:line="440" w:lineRule="exact"/>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3.3、本项目的特定资格要求：</w:t>
      </w:r>
      <w:r>
        <w:rPr>
          <w:rFonts w:hint="eastAsia" w:ascii="宋体" w:hAnsi="宋体" w:eastAsia="宋体" w:cs="宋体"/>
          <w:b w:val="0"/>
          <w:bCs w:val="0"/>
          <w:color w:val="auto"/>
          <w:sz w:val="21"/>
          <w:szCs w:val="21"/>
          <w:highlight w:val="none"/>
          <w:lang w:val="en-US" w:eastAsia="zh-CN"/>
        </w:rPr>
        <w:t>具备国家文物局颁发的文物保护工程</w:t>
      </w:r>
      <w:r>
        <w:rPr>
          <w:rFonts w:hint="eastAsia" w:ascii="宋体" w:hAnsi="宋体" w:cs="宋体"/>
          <w:b w:val="0"/>
          <w:bCs w:val="0"/>
          <w:color w:val="auto"/>
          <w:sz w:val="21"/>
          <w:szCs w:val="21"/>
          <w:highlight w:val="none"/>
          <w:lang w:val="en-US" w:eastAsia="zh-CN"/>
        </w:rPr>
        <w:t>施工二级（含）以上资质，业务范围包含古建筑维修保护和近现代文物建筑维修保护</w:t>
      </w:r>
      <w:r>
        <w:rPr>
          <w:rFonts w:hint="eastAsia" w:ascii="宋体" w:hAnsi="宋体" w:eastAsia="宋体" w:cs="宋体"/>
          <w:b w:val="0"/>
          <w:bCs w:val="0"/>
          <w:color w:val="auto"/>
          <w:kern w:val="2"/>
          <w:sz w:val="21"/>
          <w:szCs w:val="21"/>
          <w:highlight w:val="none"/>
          <w:lang w:val="en-US" w:eastAsia="zh-CN" w:bidi="ar-SA"/>
        </w:rPr>
        <w:t>，具有有效的安全生产许可证，并在人员、设备、资金等方面具备相应的施工能力。项目经理须具备中国古迹遗址保护协会颁发的文物保护工程责任工程师证书，且同时具备有中级（含）以上职称。</w:t>
      </w:r>
    </w:p>
    <w:p w14:paraId="655ABF59">
      <w:pPr>
        <w:pStyle w:val="6"/>
        <w:pageBreakBefore w:val="0"/>
        <w:widowControl w:val="0"/>
        <w:kinsoku/>
        <w:wordWrap/>
        <w:overflowPunct/>
        <w:topLinePunct w:val="0"/>
        <w:bidi w:val="0"/>
        <w:spacing w:before="0" w:after="0" w:line="440" w:lineRule="exact"/>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 磋商费用</w:t>
      </w:r>
      <w:bookmarkEnd w:id="53"/>
      <w:bookmarkEnd w:id="54"/>
    </w:p>
    <w:p w14:paraId="302886DA">
      <w:pPr>
        <w:pageBreakBefore w:val="0"/>
        <w:widowControl w:val="0"/>
        <w:tabs>
          <w:tab w:val="left" w:pos="1635"/>
        </w:tabs>
        <w:kinsoku/>
        <w:wordWrap/>
        <w:overflowPunct/>
        <w:topLinePunct w:val="0"/>
        <w:bidi w:val="0"/>
        <w:spacing w:line="440" w:lineRule="exact"/>
        <w:ind w:firstLine="435"/>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不论磋商结果如何，供应商均应自行承担所有与磋商有关的全部费用。</w:t>
      </w:r>
    </w:p>
    <w:p w14:paraId="42CD623C">
      <w:pPr>
        <w:pStyle w:val="6"/>
        <w:pageBreakBefore w:val="0"/>
        <w:widowControl w:val="0"/>
        <w:numPr>
          <w:ilvl w:val="0"/>
          <w:numId w:val="2"/>
        </w:numPr>
        <w:kinsoku/>
        <w:wordWrap/>
        <w:overflowPunct/>
        <w:topLinePunct w:val="0"/>
        <w:bidi w:val="0"/>
        <w:spacing w:before="0" w:after="0" w:line="440" w:lineRule="exact"/>
        <w:ind w:firstLine="422" w:firstLineChars="200"/>
        <w:textAlignment w:val="auto"/>
        <w:rPr>
          <w:rFonts w:hint="eastAsia" w:ascii="宋体" w:hAnsi="宋体" w:eastAsia="宋体" w:cs="宋体"/>
          <w:color w:val="auto"/>
          <w:sz w:val="21"/>
          <w:szCs w:val="21"/>
          <w:highlight w:val="none"/>
        </w:rPr>
      </w:pPr>
      <w:bookmarkStart w:id="55" w:name="_Toc31376"/>
      <w:bookmarkStart w:id="56" w:name="_Toc22877"/>
      <w:r>
        <w:rPr>
          <w:rFonts w:hint="eastAsia" w:ascii="宋体" w:hAnsi="宋体" w:eastAsia="宋体" w:cs="宋体"/>
          <w:color w:val="auto"/>
          <w:sz w:val="21"/>
          <w:szCs w:val="21"/>
          <w:highlight w:val="none"/>
        </w:rPr>
        <w:t>联合体要求</w:t>
      </w:r>
      <w:bookmarkEnd w:id="55"/>
      <w:bookmarkEnd w:id="56"/>
    </w:p>
    <w:p w14:paraId="7918ED31">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本项目不接受联合体参与磋商</w:t>
      </w:r>
    </w:p>
    <w:p w14:paraId="44A60D28">
      <w:pPr>
        <w:pStyle w:val="6"/>
        <w:pageBreakBefore w:val="0"/>
        <w:widowControl w:val="0"/>
        <w:kinsoku/>
        <w:wordWrap/>
        <w:overflowPunct/>
        <w:topLinePunct w:val="0"/>
        <w:bidi w:val="0"/>
        <w:spacing w:before="0" w:after="0" w:line="440" w:lineRule="exact"/>
        <w:ind w:firstLine="422" w:firstLineChars="200"/>
        <w:textAlignment w:val="auto"/>
        <w:rPr>
          <w:rFonts w:hint="eastAsia" w:ascii="宋体" w:hAnsi="宋体" w:eastAsia="宋体" w:cs="宋体"/>
          <w:color w:val="auto"/>
          <w:sz w:val="21"/>
          <w:szCs w:val="21"/>
          <w:highlight w:val="none"/>
        </w:rPr>
      </w:pPr>
      <w:bookmarkStart w:id="57" w:name="_Toc18940"/>
      <w:bookmarkStart w:id="58" w:name="_Toc4152"/>
      <w:r>
        <w:rPr>
          <w:rFonts w:hint="eastAsia" w:ascii="宋体" w:hAnsi="宋体" w:eastAsia="宋体" w:cs="宋体"/>
          <w:color w:val="auto"/>
          <w:sz w:val="21"/>
          <w:szCs w:val="21"/>
          <w:highlight w:val="none"/>
        </w:rPr>
        <w:t>6. 质疑和投诉</w:t>
      </w:r>
      <w:bookmarkEnd w:id="57"/>
      <w:bookmarkEnd w:id="58"/>
      <w:r>
        <w:rPr>
          <w:rFonts w:hint="eastAsia" w:ascii="宋体" w:hAnsi="宋体" w:eastAsia="宋体" w:cs="宋体"/>
          <w:color w:val="auto"/>
          <w:sz w:val="21"/>
          <w:szCs w:val="21"/>
          <w:highlight w:val="none"/>
        </w:rPr>
        <w:tab/>
      </w:r>
    </w:p>
    <w:p w14:paraId="0D23585A">
      <w:pPr>
        <w:pageBreakBefore w:val="0"/>
        <w:widowControl w:val="0"/>
        <w:tabs>
          <w:tab w:val="left" w:pos="2190"/>
        </w:tabs>
        <w:kinsoku/>
        <w:wordWrap/>
        <w:overflowPunct/>
        <w:topLinePunct w:val="0"/>
        <w:bidi w:val="0"/>
        <w:spacing w:line="440" w:lineRule="exact"/>
        <w:ind w:firstLine="435"/>
        <w:textAlignment w:val="auto"/>
        <w:rPr>
          <w:rFonts w:hint="eastAsia" w:ascii="宋体" w:hAnsi="宋体" w:eastAsia="宋体" w:cs="宋体"/>
          <w:color w:val="auto"/>
          <w:szCs w:val="21"/>
          <w:highlight w:val="none"/>
          <w:u w:val="none"/>
        </w:rPr>
      </w:pPr>
      <w:bookmarkStart w:id="59" w:name="_Toc26087"/>
      <w:bookmarkStart w:id="60" w:name="_Toc8195"/>
      <w:r>
        <w:rPr>
          <w:rFonts w:hint="eastAsia" w:ascii="宋体" w:hAnsi="宋体" w:eastAsia="宋体" w:cs="宋体"/>
          <w:color w:val="auto"/>
          <w:szCs w:val="21"/>
          <w:highlight w:val="none"/>
          <w:u w:val="none"/>
        </w:rPr>
        <w:t>6.1供应对政府采购活动事项有疑问的，可以向采购人提出询问。</w:t>
      </w:r>
    </w:p>
    <w:p w14:paraId="3D31A5E5">
      <w:pPr>
        <w:pageBreakBefore w:val="0"/>
        <w:widowControl w:val="0"/>
        <w:tabs>
          <w:tab w:val="left" w:pos="2190"/>
        </w:tabs>
        <w:kinsoku/>
        <w:wordWrap/>
        <w:overflowPunct/>
        <w:topLinePunct w:val="0"/>
        <w:bidi w:val="0"/>
        <w:spacing w:line="440" w:lineRule="exact"/>
        <w:ind w:firstLine="435"/>
        <w:textAlignment w:val="auto"/>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6.2供应商认为磋商文件使自己的合法权益受到损害的，应当在竞争性磋商公告期限届满之日起七个工作日内，以书面形式向采购代理机构提出质疑。供应商认为采购过程或成交结果使自己的合法权益受到损害的，应当在各采购程序环节结束之日起七个工作日内，以书面形式向采购代理机构提出质疑。采购代理机构应认真做好质疑处理工作。</w:t>
      </w:r>
    </w:p>
    <w:p w14:paraId="55289338">
      <w:pPr>
        <w:pageBreakBefore w:val="0"/>
        <w:widowControl w:val="0"/>
        <w:tabs>
          <w:tab w:val="left" w:pos="2190"/>
        </w:tabs>
        <w:kinsoku/>
        <w:wordWrap/>
        <w:overflowPunct/>
        <w:topLinePunct w:val="0"/>
        <w:bidi w:val="0"/>
        <w:spacing w:line="440" w:lineRule="exact"/>
        <w:ind w:firstLine="435"/>
        <w:textAlignment w:val="auto"/>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6.3供应商对采购代理机构的质疑答复不满意或者采购代理机构未在规定的时间内作出答复的，可以在答复期满后十五个工作日内向本级财政部门投诉。</w:t>
      </w:r>
    </w:p>
    <w:p w14:paraId="15421514">
      <w:pPr>
        <w:pageBreakBefore w:val="0"/>
        <w:widowControl w:val="0"/>
        <w:tabs>
          <w:tab w:val="left" w:pos="2190"/>
        </w:tabs>
        <w:kinsoku/>
        <w:wordWrap/>
        <w:overflowPunct/>
        <w:topLinePunct w:val="0"/>
        <w:bidi w:val="0"/>
        <w:spacing w:line="440" w:lineRule="exact"/>
        <w:ind w:firstLine="435"/>
        <w:textAlignment w:val="auto"/>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6.4质疑、投诉应当采用书面形式，质疑书、投诉书实行实名制，均应明确阐述磋商文件、采购过程或成交结果中使自己合法权益受到损害的实质性内容，提供相关事实、明确的请求，并提供必要的证明材料。质疑函格式详见附件。</w:t>
      </w:r>
    </w:p>
    <w:p w14:paraId="37580743">
      <w:pPr>
        <w:pageBreakBefore w:val="0"/>
        <w:widowControl w:val="0"/>
        <w:tabs>
          <w:tab w:val="left" w:pos="2190"/>
        </w:tabs>
        <w:kinsoku/>
        <w:wordWrap/>
        <w:overflowPunct/>
        <w:topLinePunct w:val="0"/>
        <w:bidi w:val="0"/>
        <w:spacing w:line="440" w:lineRule="exact"/>
        <w:ind w:firstLine="435"/>
        <w:textAlignment w:val="auto"/>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6.5质疑联系</w:t>
      </w:r>
      <w:bookmarkEnd w:id="59"/>
      <w:bookmarkEnd w:id="60"/>
      <w:r>
        <w:rPr>
          <w:rFonts w:hint="eastAsia" w:ascii="宋体" w:hAnsi="宋体" w:eastAsia="宋体" w:cs="宋体"/>
          <w:color w:val="auto"/>
          <w:szCs w:val="21"/>
          <w:highlight w:val="none"/>
          <w:u w:val="none"/>
          <w:lang w:eastAsia="zh-CN"/>
        </w:rPr>
        <w:t>方式，详见磋商公告。</w:t>
      </w:r>
    </w:p>
    <w:p w14:paraId="284708C3">
      <w:pPr>
        <w:pStyle w:val="6"/>
        <w:pageBreakBefore w:val="0"/>
        <w:widowControl w:val="0"/>
        <w:kinsoku/>
        <w:wordWrap/>
        <w:overflowPunct/>
        <w:topLinePunct w:val="0"/>
        <w:bidi w:val="0"/>
        <w:spacing w:before="0" w:after="0" w:line="440" w:lineRule="exact"/>
        <w:ind w:firstLine="422" w:firstLineChars="200"/>
        <w:textAlignment w:val="auto"/>
        <w:rPr>
          <w:rFonts w:hint="eastAsia" w:ascii="宋体" w:hAnsi="宋体" w:eastAsia="宋体" w:cs="宋体"/>
          <w:color w:val="auto"/>
          <w:sz w:val="21"/>
          <w:szCs w:val="21"/>
          <w:highlight w:val="none"/>
        </w:rPr>
      </w:pPr>
      <w:bookmarkStart w:id="61" w:name="_Toc5032"/>
      <w:bookmarkStart w:id="62" w:name="_Toc6998"/>
      <w:r>
        <w:rPr>
          <w:rFonts w:hint="eastAsia" w:ascii="宋体" w:hAnsi="宋体" w:eastAsia="宋体" w:cs="宋体"/>
          <w:color w:val="auto"/>
          <w:sz w:val="21"/>
          <w:szCs w:val="21"/>
          <w:highlight w:val="none"/>
        </w:rPr>
        <w:t>7. 转包与分包</w:t>
      </w:r>
      <w:bookmarkEnd w:id="61"/>
      <w:bookmarkEnd w:id="62"/>
    </w:p>
    <w:p w14:paraId="32E8A852">
      <w:pPr>
        <w:pageBreakBefore w:val="0"/>
        <w:widowControl w:val="0"/>
        <w:tabs>
          <w:tab w:val="left" w:pos="2190"/>
        </w:tabs>
        <w:kinsoku/>
        <w:wordWrap/>
        <w:overflowPunct/>
        <w:topLinePunct w:val="0"/>
        <w:bidi w:val="0"/>
        <w:spacing w:line="440" w:lineRule="exact"/>
        <w:ind w:firstLine="420" w:firstLineChars="200"/>
        <w:textAlignment w:val="auto"/>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szCs w:val="21"/>
          <w:highlight w:val="none"/>
        </w:rPr>
        <w:t>7</w:t>
      </w:r>
      <w:r>
        <w:rPr>
          <w:rFonts w:hint="eastAsia" w:ascii="宋体" w:hAnsi="宋体" w:eastAsia="宋体" w:cs="宋体"/>
          <w:color w:val="auto"/>
          <w:kern w:val="0"/>
          <w:szCs w:val="21"/>
          <w:highlight w:val="none"/>
          <w:shd w:val="clear" w:color="auto" w:fill="FFFFFF"/>
        </w:rPr>
        <w:t>.1 本项目不允许转包。</w:t>
      </w:r>
    </w:p>
    <w:p w14:paraId="1191FB9F">
      <w:pPr>
        <w:pageBreakBefore w:val="0"/>
        <w:widowControl w:val="0"/>
        <w:tabs>
          <w:tab w:val="left" w:pos="2190"/>
        </w:tabs>
        <w:kinsoku/>
        <w:wordWrap/>
        <w:overflowPunct/>
        <w:topLinePunct w:val="0"/>
        <w:bidi w:val="0"/>
        <w:spacing w:line="440" w:lineRule="exact"/>
        <w:ind w:firstLine="420" w:firstLineChars="200"/>
        <w:textAlignment w:val="auto"/>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7.2 本项目不可以分包。</w:t>
      </w:r>
    </w:p>
    <w:p w14:paraId="6A167E67">
      <w:pPr>
        <w:pageBreakBefore w:val="0"/>
        <w:widowControl w:val="0"/>
        <w:tabs>
          <w:tab w:val="left" w:pos="2190"/>
        </w:tabs>
        <w:kinsoku/>
        <w:wordWrap/>
        <w:overflowPunct/>
        <w:topLinePunct w:val="0"/>
        <w:bidi w:val="0"/>
        <w:spacing w:line="440" w:lineRule="exact"/>
        <w:ind w:firstLine="420" w:firstLineChars="200"/>
        <w:textAlignment w:val="auto"/>
        <w:rPr>
          <w:rFonts w:hint="eastAsia" w:ascii="宋体" w:hAnsi="宋体" w:eastAsia="宋体" w:cs="宋体"/>
          <w:color w:val="auto"/>
          <w:kern w:val="0"/>
          <w:szCs w:val="21"/>
          <w:highlight w:val="none"/>
          <w:shd w:val="clear" w:color="auto" w:fill="FFFFFF"/>
          <w:lang w:val="en-US" w:eastAsia="zh-CN"/>
        </w:rPr>
      </w:pPr>
      <w:r>
        <w:rPr>
          <w:rFonts w:hint="eastAsia" w:ascii="宋体" w:hAnsi="宋体" w:eastAsia="宋体" w:cs="宋体"/>
          <w:color w:val="auto"/>
          <w:kern w:val="0"/>
          <w:szCs w:val="21"/>
          <w:highlight w:val="none"/>
          <w:shd w:val="clear" w:color="auto" w:fill="FFFFFF"/>
          <w:lang w:val="en-US" w:eastAsia="zh-CN"/>
        </w:rPr>
        <w:t>7.3本项目不允许挂靠。</w:t>
      </w:r>
    </w:p>
    <w:p w14:paraId="425D2C07">
      <w:pPr>
        <w:pageBreakBefore w:val="0"/>
        <w:widowControl w:val="0"/>
        <w:tabs>
          <w:tab w:val="left" w:pos="2190"/>
        </w:tabs>
        <w:kinsoku/>
        <w:wordWrap/>
        <w:overflowPunct/>
        <w:topLinePunct w:val="0"/>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shd w:val="clear" w:color="auto" w:fill="FFFFFF"/>
          <w:lang w:val="en-US" w:eastAsia="zh-CN"/>
        </w:rPr>
        <w:t>7.4如发现有以上行为，采购人有权终止合同，所有损失由成交供应商承担。</w:t>
      </w:r>
    </w:p>
    <w:p w14:paraId="4D8E8B6D">
      <w:pPr>
        <w:pStyle w:val="6"/>
        <w:pageBreakBefore w:val="0"/>
        <w:widowControl w:val="0"/>
        <w:kinsoku/>
        <w:wordWrap/>
        <w:overflowPunct/>
        <w:topLinePunct w:val="0"/>
        <w:bidi w:val="0"/>
        <w:spacing w:before="0" w:after="0" w:line="440" w:lineRule="exact"/>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 特别说明</w:t>
      </w:r>
    </w:p>
    <w:p w14:paraId="27D5B1B8">
      <w:pPr>
        <w:pageBreakBefore w:val="0"/>
        <w:widowControl w:val="0"/>
        <w:tabs>
          <w:tab w:val="left" w:pos="1635"/>
        </w:tabs>
        <w:kinsoku/>
        <w:wordWrap/>
        <w:overflowPunct/>
        <w:topLinePunct w:val="0"/>
        <w:bidi w:val="0"/>
        <w:spacing w:line="440" w:lineRule="exact"/>
        <w:ind w:firstLine="422" w:firstLineChars="200"/>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8.1关联供应商不得参加同一合同项下政府采购活动，否则响应文件将被视为无效：</w:t>
      </w:r>
    </w:p>
    <w:p w14:paraId="5C707C1C">
      <w:pPr>
        <w:pageBreakBefore w:val="0"/>
        <w:widowControl w:val="0"/>
        <w:tabs>
          <w:tab w:val="left" w:pos="1635"/>
        </w:tabs>
        <w:kinsoku/>
        <w:wordWrap/>
        <w:overflowPunct/>
        <w:topLinePunct w:val="0"/>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（1）单位负责人为同一人或者存在直接控股、管理关系的，不得参加同一合同项下的政府采购活动。</w:t>
      </w:r>
    </w:p>
    <w:p w14:paraId="4C7D78C8">
      <w:pPr>
        <w:pStyle w:val="11"/>
        <w:pageBreakBefore w:val="0"/>
        <w:widowControl w:val="0"/>
        <w:kinsoku/>
        <w:wordWrap/>
        <w:overflowPunct/>
        <w:topLinePunct w:val="0"/>
        <w:bidi w:val="0"/>
        <w:spacing w:line="440" w:lineRule="exact"/>
        <w:textAlignment w:val="auto"/>
        <w:rPr>
          <w:rFonts w:hint="eastAsia" w:ascii="宋体" w:hAnsi="宋体" w:eastAsia="宋体" w:cs="宋体"/>
          <w:color w:val="auto"/>
          <w:highlight w:val="none"/>
        </w:rPr>
      </w:pPr>
    </w:p>
    <w:p w14:paraId="2118FDFD">
      <w:pPr>
        <w:pStyle w:val="5"/>
        <w:pageBreakBefore w:val="0"/>
        <w:widowControl w:val="0"/>
        <w:tabs>
          <w:tab w:val="left" w:pos="567"/>
        </w:tabs>
        <w:kinsoku/>
        <w:wordWrap/>
        <w:overflowPunct/>
        <w:topLinePunct w:val="0"/>
        <w:bidi w:val="0"/>
        <w:spacing w:line="440" w:lineRule="exact"/>
        <w:jc w:val="center"/>
        <w:textAlignment w:val="auto"/>
        <w:rPr>
          <w:rFonts w:hint="eastAsia" w:ascii="宋体" w:hAnsi="宋体" w:eastAsia="宋体" w:cs="宋体"/>
          <w:b/>
          <w:bCs w:val="0"/>
          <w:color w:val="auto"/>
          <w:szCs w:val="28"/>
          <w:highlight w:val="none"/>
        </w:rPr>
      </w:pPr>
      <w:bookmarkStart w:id="63" w:name="_Toc22498"/>
      <w:bookmarkStart w:id="64" w:name="_Toc2062"/>
      <w:bookmarkStart w:id="65" w:name="_Toc29496"/>
      <w:r>
        <w:rPr>
          <w:rFonts w:hint="eastAsia" w:ascii="宋体" w:hAnsi="宋体" w:eastAsia="宋体" w:cs="宋体"/>
          <w:b/>
          <w:bCs w:val="0"/>
          <w:color w:val="auto"/>
          <w:szCs w:val="28"/>
          <w:highlight w:val="none"/>
        </w:rPr>
        <w:t>二、磋商文件</w:t>
      </w:r>
      <w:bookmarkEnd w:id="63"/>
      <w:bookmarkEnd w:id="64"/>
      <w:bookmarkEnd w:id="65"/>
    </w:p>
    <w:p w14:paraId="4A801E75">
      <w:pPr>
        <w:pStyle w:val="6"/>
        <w:pageBreakBefore w:val="0"/>
        <w:widowControl w:val="0"/>
        <w:kinsoku/>
        <w:wordWrap/>
        <w:overflowPunct/>
        <w:topLinePunct w:val="0"/>
        <w:bidi w:val="0"/>
        <w:spacing w:before="0" w:after="0" w:line="440" w:lineRule="exact"/>
        <w:ind w:firstLine="422" w:firstLineChars="200"/>
        <w:textAlignment w:val="auto"/>
        <w:rPr>
          <w:rFonts w:hint="eastAsia" w:ascii="宋体" w:hAnsi="宋体" w:eastAsia="宋体" w:cs="宋体"/>
          <w:color w:val="auto"/>
          <w:sz w:val="21"/>
          <w:szCs w:val="21"/>
          <w:highlight w:val="none"/>
          <w:lang w:val="pt-BR"/>
        </w:rPr>
      </w:pPr>
      <w:bookmarkStart w:id="66" w:name="_Toc20057"/>
      <w:bookmarkStart w:id="67" w:name="_Toc18964"/>
      <w:r>
        <w:rPr>
          <w:rFonts w:hint="eastAsia" w:ascii="宋体" w:hAnsi="宋体" w:eastAsia="宋体" w:cs="宋体"/>
          <w:color w:val="auto"/>
          <w:sz w:val="21"/>
          <w:szCs w:val="21"/>
          <w:highlight w:val="none"/>
          <w:lang w:val="pt-BR"/>
        </w:rPr>
        <w:t xml:space="preserve">9. </w:t>
      </w:r>
      <w:r>
        <w:rPr>
          <w:rFonts w:hint="eastAsia" w:ascii="宋体" w:hAnsi="宋体" w:eastAsia="宋体" w:cs="宋体"/>
          <w:color w:val="auto"/>
          <w:sz w:val="21"/>
          <w:szCs w:val="21"/>
          <w:highlight w:val="none"/>
        </w:rPr>
        <w:t>磋商文件的构成</w:t>
      </w:r>
      <w:bookmarkEnd w:id="66"/>
      <w:bookmarkEnd w:id="67"/>
    </w:p>
    <w:p w14:paraId="781A3BAB">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（1）竞争性磋商公告；</w:t>
      </w:r>
    </w:p>
    <w:p w14:paraId="7DFB546E">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（2）供应商须知；</w:t>
      </w:r>
    </w:p>
    <w:p w14:paraId="3BC0CED0">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（3）工程量清单</w:t>
      </w:r>
      <w:r>
        <w:rPr>
          <w:rFonts w:hint="eastAsia" w:ascii="宋体" w:hAnsi="宋体" w:eastAsia="宋体" w:cs="宋体"/>
          <w:bCs/>
          <w:color w:val="auto"/>
          <w:szCs w:val="21"/>
          <w:highlight w:val="none"/>
        </w:rPr>
        <w:t>；</w:t>
      </w:r>
    </w:p>
    <w:p w14:paraId="53A6172B">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（4）评审办法；</w:t>
      </w:r>
    </w:p>
    <w:p w14:paraId="23EEF47B">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（5）采购合同（合同主要条款及格式）；</w:t>
      </w:r>
    </w:p>
    <w:p w14:paraId="40413BE6">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（6）响应文件（格式）</w:t>
      </w:r>
      <w:r>
        <w:rPr>
          <w:rFonts w:hint="eastAsia" w:ascii="宋体" w:hAnsi="宋体" w:eastAsia="宋体" w:cs="宋体"/>
          <w:color w:val="auto"/>
          <w:szCs w:val="21"/>
          <w:highlight w:val="none"/>
          <w:lang w:eastAsia="zh-CN"/>
        </w:rPr>
        <w:t>；</w:t>
      </w:r>
    </w:p>
    <w:p w14:paraId="7AA7DDA2">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Cs w:val="21"/>
          <w:highlight w:val="none"/>
          <w:lang w:eastAsia="zh-CN"/>
        </w:rPr>
      </w:pPr>
      <w:bookmarkStart w:id="68" w:name="_Toc9103"/>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图纸。</w:t>
      </w:r>
    </w:p>
    <w:p w14:paraId="1A82E8C0">
      <w:pPr>
        <w:pStyle w:val="6"/>
        <w:pageBreakBefore w:val="0"/>
        <w:widowControl w:val="0"/>
        <w:kinsoku/>
        <w:wordWrap/>
        <w:overflowPunct/>
        <w:topLinePunct w:val="0"/>
        <w:bidi w:val="0"/>
        <w:spacing w:before="0" w:after="0" w:line="440" w:lineRule="exact"/>
        <w:ind w:firstLine="422" w:firstLineChars="200"/>
        <w:textAlignment w:val="auto"/>
        <w:rPr>
          <w:rFonts w:hint="eastAsia" w:ascii="宋体" w:hAnsi="宋体" w:eastAsia="宋体" w:cs="宋体"/>
          <w:color w:val="auto"/>
          <w:sz w:val="21"/>
          <w:szCs w:val="21"/>
          <w:highlight w:val="none"/>
        </w:rPr>
      </w:pPr>
      <w:bookmarkStart w:id="69" w:name="_Toc17932"/>
      <w:r>
        <w:rPr>
          <w:rFonts w:hint="eastAsia" w:ascii="宋体" w:hAnsi="宋体" w:eastAsia="宋体" w:cs="宋体"/>
          <w:color w:val="auto"/>
          <w:sz w:val="21"/>
          <w:szCs w:val="21"/>
          <w:highlight w:val="none"/>
        </w:rPr>
        <w:t>10. 磋商文件的澄清与修改</w:t>
      </w:r>
      <w:bookmarkEnd w:id="68"/>
      <w:bookmarkEnd w:id="69"/>
    </w:p>
    <w:p w14:paraId="45075505">
      <w:pPr>
        <w:pageBreakBefore w:val="0"/>
        <w:widowControl w:val="0"/>
        <w:kinsoku/>
        <w:wordWrap/>
        <w:overflowPunct/>
        <w:topLinePunct w:val="0"/>
        <w:bidi w:val="0"/>
        <w:spacing w:line="440" w:lineRule="exact"/>
        <w:ind w:left="420" w:left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10.1 提交首次响应文件截止之日前，采购代理机构可以对已发出的磋商文件进行必要澄清、答复、</w:t>
      </w:r>
    </w:p>
    <w:p w14:paraId="737693B5">
      <w:pPr>
        <w:pageBreakBefore w:val="0"/>
        <w:widowControl w:val="0"/>
        <w:kinsoku/>
        <w:wordWrap/>
        <w:overflowPunct/>
        <w:topLinePunct w:val="0"/>
        <w:bidi w:val="0"/>
        <w:spacing w:line="440" w:lineRule="exact"/>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修改或补充，澄清或者修改的内容可能影响响应文件编制的，澄清或者修改的内容作为磋商文件的组成部分。采购代理机构应当在提交首次响应文件递交截止时间</w:t>
      </w:r>
      <w:r>
        <w:rPr>
          <w:rFonts w:hint="eastAsia" w:ascii="宋体" w:hAnsi="宋体" w:eastAsia="宋体" w:cs="宋体"/>
          <w:b/>
          <w:bCs/>
          <w:color w:val="auto"/>
          <w:szCs w:val="21"/>
          <w:highlight w:val="none"/>
        </w:rPr>
        <w:t>五日</w:t>
      </w:r>
      <w:r>
        <w:rPr>
          <w:rFonts w:hint="eastAsia" w:ascii="宋体" w:hAnsi="宋体" w:eastAsia="宋体" w:cs="宋体"/>
          <w:color w:val="auto"/>
          <w:szCs w:val="21"/>
          <w:highlight w:val="none"/>
        </w:rPr>
        <w:t>前在本项目竞争性磋商公告发布的同一媒体上发布更正公告，不足</w:t>
      </w:r>
      <w:r>
        <w:rPr>
          <w:rFonts w:hint="eastAsia" w:ascii="宋体" w:hAnsi="宋体" w:eastAsia="宋体" w:cs="宋体"/>
          <w:b/>
          <w:bCs/>
          <w:color w:val="auto"/>
          <w:szCs w:val="21"/>
          <w:highlight w:val="none"/>
        </w:rPr>
        <w:t>五日</w:t>
      </w:r>
      <w:r>
        <w:rPr>
          <w:rFonts w:hint="eastAsia" w:ascii="宋体" w:hAnsi="宋体" w:eastAsia="宋体" w:cs="宋体"/>
          <w:color w:val="auto"/>
          <w:szCs w:val="21"/>
          <w:highlight w:val="none"/>
        </w:rPr>
        <w:t>的，应当顺延首次响应文件递交截止时间。</w:t>
      </w:r>
    </w:p>
    <w:p w14:paraId="716D4F8D">
      <w:pPr>
        <w:pageBreakBefore w:val="0"/>
        <w:widowControl w:val="0"/>
        <w:kinsoku/>
        <w:wordWrap/>
        <w:overflowPunct/>
        <w:topLinePunct w:val="0"/>
        <w:bidi w:val="0"/>
        <w:spacing w:line="440" w:lineRule="exact"/>
        <w:ind w:left="420" w:leftChars="200"/>
        <w:jc w:val="left"/>
        <w:textAlignment w:val="auto"/>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10.2</w:t>
      </w:r>
      <w:r>
        <w:rPr>
          <w:rFonts w:hint="eastAsia" w:ascii="宋体" w:hAnsi="宋体" w:eastAsia="宋体" w:cs="宋体"/>
          <w:b/>
          <w:bCs/>
          <w:color w:val="auto"/>
          <w:szCs w:val="21"/>
          <w:highlight w:val="none"/>
        </w:rPr>
        <w:t>供应商应实时关注本项目信息公告发布媒体相关网站了解澄清、修改等与项目有关的内容，</w:t>
      </w:r>
    </w:p>
    <w:p w14:paraId="44F153E0">
      <w:pPr>
        <w:pageBreakBefore w:val="0"/>
        <w:widowControl w:val="0"/>
        <w:kinsoku/>
        <w:wordWrap/>
        <w:overflowPunct/>
        <w:topLinePunct w:val="0"/>
        <w:bidi w:val="0"/>
        <w:spacing w:line="440" w:lineRule="exact"/>
        <w:jc w:val="left"/>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如因供应商未及时登录相关网站了解澄清、修改等与项目有关的内容，从而导致响应文件无效的，由供应商自行承担责任。</w:t>
      </w:r>
    </w:p>
    <w:p w14:paraId="5C99BDD6">
      <w:pPr>
        <w:pageBreakBefore w:val="0"/>
        <w:widowControl w:val="0"/>
        <w:kinsoku/>
        <w:wordWrap/>
        <w:overflowPunct/>
        <w:topLinePunct w:val="0"/>
        <w:bidi w:val="0"/>
        <w:spacing w:line="440" w:lineRule="exact"/>
        <w:ind w:left="420" w:left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10.3澄清或者修改的内容为磋商文件的组成部分。当澄清或者修改通知就同一内容的表述不一致</w:t>
      </w:r>
    </w:p>
    <w:p w14:paraId="0CEA264A">
      <w:pPr>
        <w:pageBreakBefore w:val="0"/>
        <w:widowControl w:val="0"/>
        <w:kinsoku/>
        <w:wordWrap/>
        <w:overflowPunct/>
        <w:topLinePunct w:val="0"/>
        <w:bidi w:val="0"/>
        <w:spacing w:line="440" w:lineRule="exact"/>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时，以最后发出的文件为准。</w:t>
      </w:r>
    </w:p>
    <w:p w14:paraId="7292C416">
      <w:pPr>
        <w:pageBreakBefore w:val="0"/>
        <w:widowControl w:val="0"/>
        <w:kinsoku/>
        <w:wordWrap/>
        <w:overflowPunct/>
        <w:topLinePunct w:val="0"/>
        <w:bidi w:val="0"/>
        <w:spacing w:line="440" w:lineRule="exact"/>
        <w:ind w:left="420" w:left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10.4 磋商文件的澄清或者修改都应该通过本项目采购代理机构以法定形式发布，采购人非通过本</w:t>
      </w:r>
    </w:p>
    <w:p w14:paraId="3C210D55">
      <w:pPr>
        <w:pageBreakBefore w:val="0"/>
        <w:widowControl w:val="0"/>
        <w:kinsoku/>
        <w:wordWrap/>
        <w:overflowPunct/>
        <w:topLinePunct w:val="0"/>
        <w:bidi w:val="0"/>
        <w:spacing w:line="440" w:lineRule="exact"/>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机构，不得擅自澄清或者修改磋商文件。</w:t>
      </w:r>
    </w:p>
    <w:p w14:paraId="19BB51B3">
      <w:pPr>
        <w:pageBreakBefore w:val="0"/>
        <w:widowControl w:val="0"/>
        <w:kinsoku/>
        <w:wordWrap/>
        <w:overflowPunct/>
        <w:topLinePunct w:val="0"/>
        <w:bidi w:val="0"/>
        <w:spacing w:line="440" w:lineRule="exact"/>
        <w:ind w:left="420" w:left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10.5采购单位可以视采购具体情况，延长响应文件截止时间和磋商时间，在本项目竞争性磋商公</w:t>
      </w:r>
    </w:p>
    <w:p w14:paraId="6DC8FC47">
      <w:pPr>
        <w:pageBreakBefore w:val="0"/>
        <w:widowControl w:val="0"/>
        <w:kinsoku/>
        <w:wordWrap/>
        <w:overflowPunct/>
        <w:topLinePunct w:val="0"/>
        <w:bidi w:val="0"/>
        <w:spacing w:line="440" w:lineRule="exact"/>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告发布的同一媒体上发布变更公告。</w:t>
      </w:r>
    </w:p>
    <w:p w14:paraId="53806146">
      <w:pPr>
        <w:pStyle w:val="32"/>
        <w:pageBreakBefore w:val="0"/>
        <w:widowControl w:val="0"/>
        <w:kinsoku/>
        <w:wordWrap/>
        <w:overflowPunct/>
        <w:topLinePunct w:val="0"/>
        <w:bidi w:val="0"/>
        <w:spacing w:line="440" w:lineRule="exact"/>
        <w:textAlignment w:val="auto"/>
        <w:rPr>
          <w:rFonts w:hint="eastAsia" w:ascii="宋体" w:hAnsi="宋体" w:eastAsia="宋体" w:cs="宋体"/>
          <w:color w:val="auto"/>
          <w:highlight w:val="none"/>
        </w:rPr>
      </w:pPr>
    </w:p>
    <w:p w14:paraId="368A8351">
      <w:pPr>
        <w:pStyle w:val="5"/>
        <w:pageBreakBefore w:val="0"/>
        <w:widowControl w:val="0"/>
        <w:tabs>
          <w:tab w:val="left" w:pos="567"/>
        </w:tabs>
        <w:kinsoku/>
        <w:wordWrap/>
        <w:overflowPunct/>
        <w:topLinePunct w:val="0"/>
        <w:bidi w:val="0"/>
        <w:spacing w:line="440" w:lineRule="exact"/>
        <w:jc w:val="center"/>
        <w:textAlignment w:val="auto"/>
        <w:rPr>
          <w:rFonts w:hint="eastAsia" w:ascii="宋体" w:hAnsi="宋体" w:eastAsia="宋体" w:cs="宋体"/>
          <w:b/>
          <w:bCs w:val="0"/>
          <w:color w:val="auto"/>
          <w:szCs w:val="28"/>
          <w:highlight w:val="none"/>
        </w:rPr>
      </w:pPr>
      <w:bookmarkStart w:id="70" w:name="_Toc23267"/>
      <w:bookmarkStart w:id="71" w:name="_Toc17820"/>
      <w:bookmarkStart w:id="72" w:name="_Toc20830"/>
      <w:r>
        <w:rPr>
          <w:rFonts w:hint="eastAsia" w:ascii="宋体" w:hAnsi="宋体" w:eastAsia="宋体" w:cs="宋体"/>
          <w:b/>
          <w:bCs w:val="0"/>
          <w:color w:val="auto"/>
          <w:szCs w:val="28"/>
          <w:highlight w:val="none"/>
        </w:rPr>
        <w:t>三、竞争性磋商响应文件的编制</w:t>
      </w:r>
      <w:bookmarkEnd w:id="70"/>
      <w:bookmarkEnd w:id="71"/>
      <w:bookmarkEnd w:id="72"/>
    </w:p>
    <w:p w14:paraId="1EDC2F54">
      <w:pPr>
        <w:pStyle w:val="6"/>
        <w:pageBreakBefore w:val="0"/>
        <w:widowControl w:val="0"/>
        <w:kinsoku/>
        <w:wordWrap/>
        <w:overflowPunct/>
        <w:topLinePunct w:val="0"/>
        <w:bidi w:val="0"/>
        <w:spacing w:before="0" w:after="0" w:line="440" w:lineRule="exact"/>
        <w:ind w:firstLine="422" w:firstLineChars="200"/>
        <w:textAlignment w:val="auto"/>
        <w:rPr>
          <w:rFonts w:hint="eastAsia" w:ascii="宋体" w:hAnsi="宋体" w:eastAsia="宋体" w:cs="宋体"/>
          <w:b/>
          <w:color w:val="auto"/>
          <w:sz w:val="21"/>
          <w:szCs w:val="21"/>
          <w:highlight w:val="none"/>
          <w:lang w:val="en-US" w:eastAsia="zh-CN"/>
        </w:rPr>
      </w:pPr>
      <w:bookmarkStart w:id="73" w:name="_Toc19747"/>
      <w:r>
        <w:rPr>
          <w:rFonts w:hint="eastAsia" w:ascii="宋体" w:hAnsi="宋体" w:eastAsia="宋体" w:cs="宋体"/>
          <w:b/>
          <w:color w:val="auto"/>
          <w:sz w:val="21"/>
          <w:szCs w:val="21"/>
          <w:highlight w:val="none"/>
          <w:lang w:val="en-US" w:eastAsia="zh-CN"/>
        </w:rPr>
        <w:t>11.竞争性磋商响应文件编制基本要求</w:t>
      </w:r>
      <w:bookmarkEnd w:id="73"/>
    </w:p>
    <w:p w14:paraId="65A7A0EB">
      <w:pPr>
        <w:pageBreakBefore w:val="0"/>
        <w:widowControl w:val="0"/>
        <w:kinsoku/>
        <w:wordWrap/>
        <w:overflowPunct/>
        <w:topLinePunct w:val="0"/>
        <w:bidi w:val="0"/>
        <w:spacing w:line="440" w:lineRule="exact"/>
        <w:ind w:firstLine="422" w:firstLineChars="200"/>
        <w:textAlignment w:val="auto"/>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11.1 本项目实行电子</w:t>
      </w:r>
      <w:r>
        <w:rPr>
          <w:rFonts w:hint="eastAsia" w:ascii="宋体" w:hAnsi="宋体" w:cs="宋体"/>
          <w:b/>
          <w:bCs/>
          <w:color w:val="auto"/>
          <w:szCs w:val="21"/>
          <w:highlight w:val="none"/>
          <w:lang w:val="en-US" w:eastAsia="zh-CN"/>
        </w:rPr>
        <w:t>响应</w:t>
      </w:r>
      <w:r>
        <w:rPr>
          <w:rFonts w:hint="eastAsia" w:ascii="宋体" w:hAnsi="宋体" w:eastAsia="宋体" w:cs="宋体"/>
          <w:b/>
          <w:bCs/>
          <w:color w:val="auto"/>
          <w:szCs w:val="21"/>
          <w:highlight w:val="none"/>
          <w:lang w:val="en-US" w:eastAsia="zh-CN"/>
        </w:rPr>
        <w:t>，供应商应准备电子磋商响应文件：</w:t>
      </w:r>
    </w:p>
    <w:p w14:paraId="705AE8E1">
      <w:pPr>
        <w:pageBreakBefore w:val="0"/>
        <w:widowControl w:val="0"/>
        <w:kinsoku/>
        <w:wordWrap/>
        <w:overflowPunct/>
        <w:topLinePunct w:val="0"/>
        <w:bidi w:val="0"/>
        <w:spacing w:line="440" w:lineRule="exact"/>
        <w:ind w:firstLine="422" w:firstLineChars="200"/>
        <w:textAlignment w:val="auto"/>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11.1.1 电子响应文件按</w:t>
      </w:r>
      <w:r>
        <w:rPr>
          <w:rFonts w:hint="eastAsia" w:ascii="宋体" w:hAnsi="宋体" w:cs="宋体"/>
          <w:b/>
          <w:bCs/>
          <w:color w:val="auto"/>
          <w:szCs w:val="21"/>
          <w:highlight w:val="none"/>
          <w:lang w:val="en-US" w:eastAsia="zh-CN"/>
        </w:rPr>
        <w:t>广西政府采购云平台</w:t>
      </w:r>
      <w:r>
        <w:rPr>
          <w:rFonts w:hint="eastAsia" w:ascii="宋体" w:hAnsi="宋体" w:eastAsia="宋体" w:cs="宋体"/>
          <w:b/>
          <w:bCs/>
          <w:color w:val="auto"/>
          <w:szCs w:val="21"/>
          <w:highlight w:val="none"/>
          <w:lang w:val="en-US" w:eastAsia="zh-CN"/>
        </w:rPr>
        <w:t xml:space="preserve">要求及本磋商文件要求制作、加密并递交。具体操作流程可参考《政府采购项目电子交易管理操作指南-供应商》，指南可在 “http://www.ccgp-guangxi.gov.cn/PurchaseAdvisory/ImportantNotice/2866753.html”下载。 </w:t>
      </w:r>
    </w:p>
    <w:p w14:paraId="6640E07E">
      <w:pPr>
        <w:pageBreakBefore w:val="0"/>
        <w:widowControl w:val="0"/>
        <w:kinsoku/>
        <w:wordWrap/>
        <w:overflowPunct/>
        <w:topLinePunct w:val="0"/>
        <w:bidi w:val="0"/>
        <w:spacing w:line="440" w:lineRule="exact"/>
        <w:ind w:firstLine="422" w:firstLineChars="200"/>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11.</w:t>
      </w:r>
      <w:r>
        <w:rPr>
          <w:rFonts w:hint="eastAsia" w:ascii="宋体" w:hAnsi="宋体" w:eastAsia="宋体" w:cs="宋体"/>
          <w:b/>
          <w:bCs/>
          <w:color w:val="auto"/>
          <w:szCs w:val="21"/>
          <w:highlight w:val="none"/>
          <w:lang w:val="en-US" w:eastAsia="zh-CN"/>
        </w:rPr>
        <w:t>2</w:t>
      </w:r>
      <w:r>
        <w:rPr>
          <w:rFonts w:hint="eastAsia" w:ascii="宋体" w:hAnsi="宋体" w:eastAsia="宋体" w:cs="宋体"/>
          <w:b/>
          <w:bCs/>
          <w:color w:val="auto"/>
          <w:szCs w:val="21"/>
          <w:highlight w:val="none"/>
        </w:rPr>
        <w:t>竞争性磋商响应文件（以下简称响应文件）的组成及要求</w:t>
      </w:r>
    </w:p>
    <w:p w14:paraId="3E514B06">
      <w:pPr>
        <w:pageBreakBefore w:val="0"/>
        <w:widowControl w:val="0"/>
        <w:kinsoku/>
        <w:wordWrap/>
        <w:overflowPunct/>
        <w:topLinePunct w:val="0"/>
        <w:bidi w:val="0"/>
        <w:spacing w:line="440" w:lineRule="exact"/>
        <w:ind w:firstLine="422" w:firstLineChars="200"/>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11.</w:t>
      </w:r>
      <w:r>
        <w:rPr>
          <w:rFonts w:hint="eastAsia" w:ascii="宋体" w:hAnsi="宋体" w:eastAsia="宋体" w:cs="宋体"/>
          <w:b/>
          <w:bCs/>
          <w:color w:val="auto"/>
          <w:szCs w:val="21"/>
          <w:highlight w:val="none"/>
          <w:lang w:val="en-US" w:eastAsia="zh-CN"/>
        </w:rPr>
        <w:t>2.1</w:t>
      </w:r>
      <w:r>
        <w:rPr>
          <w:rFonts w:hint="eastAsia" w:ascii="宋体" w:hAnsi="宋体" w:eastAsia="宋体" w:cs="宋体"/>
          <w:b/>
          <w:bCs/>
          <w:color w:val="auto"/>
          <w:szCs w:val="21"/>
          <w:highlight w:val="none"/>
        </w:rPr>
        <w:t>响应文件组成【格式见第六章“响应文件（格式）”】</w:t>
      </w:r>
    </w:p>
    <w:p w14:paraId="3928F502">
      <w:pPr>
        <w:pageBreakBefore w:val="0"/>
        <w:widowControl w:val="0"/>
        <w:kinsoku/>
        <w:wordWrap/>
        <w:overflowPunct/>
        <w:topLinePunct w:val="0"/>
        <w:bidi w:val="0"/>
        <w:spacing w:line="440" w:lineRule="exact"/>
        <w:ind w:firstLine="422" w:firstLineChars="200"/>
        <w:textAlignment w:val="auto"/>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11.</w:t>
      </w:r>
      <w:r>
        <w:rPr>
          <w:rFonts w:hint="eastAsia" w:ascii="宋体" w:hAnsi="宋体" w:eastAsia="宋体" w:cs="宋体"/>
          <w:b/>
          <w:bCs/>
          <w:color w:val="auto"/>
          <w:szCs w:val="21"/>
          <w:highlight w:val="none"/>
          <w:lang w:val="en-US" w:eastAsia="zh-CN"/>
        </w:rPr>
        <w:t>2</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en-US" w:eastAsia="zh-CN"/>
        </w:rPr>
        <w:t>1.1</w:t>
      </w:r>
      <w:r>
        <w:rPr>
          <w:rFonts w:hint="eastAsia" w:ascii="宋体" w:hAnsi="宋体" w:eastAsia="宋体" w:cs="宋体"/>
          <w:b/>
          <w:bCs/>
          <w:color w:val="auto"/>
          <w:szCs w:val="21"/>
          <w:highlight w:val="none"/>
        </w:rPr>
        <w:t>资格性响应证明材料：</w:t>
      </w:r>
    </w:p>
    <w:p w14:paraId="2C557288">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（1）供应商相应的法定代表人、负责人、自然人身份证正反两面复印件</w:t>
      </w:r>
      <w:r>
        <w:rPr>
          <w:rFonts w:hint="eastAsia" w:ascii="宋体" w:hAnsi="宋体" w:eastAsia="宋体" w:cs="宋体"/>
          <w:b/>
          <w:bCs/>
          <w:color w:val="auto"/>
          <w:szCs w:val="21"/>
          <w:highlight w:val="none"/>
        </w:rPr>
        <w:t>（必须提供）</w:t>
      </w:r>
      <w:r>
        <w:rPr>
          <w:rFonts w:hint="eastAsia" w:ascii="宋体" w:hAnsi="宋体" w:eastAsia="宋体" w:cs="宋体"/>
          <w:color w:val="auto"/>
          <w:szCs w:val="21"/>
          <w:highlight w:val="none"/>
        </w:rPr>
        <w:t>；</w:t>
      </w:r>
    </w:p>
    <w:p w14:paraId="0728105D">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的授权委托书原件、委托代理人身份证正反面复印件以及由县级以上（含县级）社会养老保险经办机构出具的供应商为委托代理人交纳的响应文件递交截止时间前半年内任意连续三个月社保证明复印件</w:t>
      </w:r>
      <w:r>
        <w:rPr>
          <w:rFonts w:hint="eastAsia" w:ascii="宋体" w:hAnsi="宋体" w:eastAsia="宋体" w:cs="宋体"/>
          <w:color w:val="auto"/>
          <w:szCs w:val="21"/>
          <w:highlight w:val="none"/>
          <w:lang w:eastAsia="zh-CN"/>
        </w:rPr>
        <w:t>；</w:t>
      </w:r>
      <w:r>
        <w:rPr>
          <w:rFonts w:hint="eastAsia" w:ascii="宋体" w:hAnsi="宋体" w:eastAsia="宋体" w:cs="宋体"/>
          <w:b/>
          <w:bCs/>
          <w:color w:val="auto"/>
          <w:szCs w:val="21"/>
          <w:highlight w:val="none"/>
        </w:rPr>
        <w:t>（委托代理时必须提供）</w:t>
      </w:r>
      <w:r>
        <w:rPr>
          <w:rFonts w:hint="eastAsia" w:ascii="宋体" w:hAnsi="宋体" w:eastAsia="宋体" w:cs="宋体"/>
          <w:b/>
          <w:bCs/>
          <w:color w:val="auto"/>
          <w:szCs w:val="21"/>
          <w:highlight w:val="none"/>
          <w:lang w:eastAsia="zh-CN"/>
        </w:rPr>
        <w:t>。</w:t>
      </w:r>
      <w:r>
        <w:rPr>
          <w:rFonts w:hint="eastAsia" w:ascii="宋体" w:hAnsi="宋体" w:eastAsia="宋体" w:cs="宋体"/>
          <w:color w:val="auto"/>
          <w:szCs w:val="21"/>
          <w:highlight w:val="none"/>
        </w:rPr>
        <w:t>除供应商为以下三种情形的：</w:t>
      </w:r>
    </w:p>
    <w:p w14:paraId="3BE17F45">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①如供应商为截标时间前60日以内成立的公司，可以提供供应商与委托代理人签订的劳动合同复印件代替社保证明复印件；</w:t>
      </w:r>
    </w:p>
    <w:p w14:paraId="1DD09334">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②如供应商为事业单位，可以提供事业单位机构编制管理证复印件或事业单位机构为其发放工资的工资条复印件代替社保证明复印件；</w:t>
      </w:r>
    </w:p>
    <w:p w14:paraId="4FF9BC7D">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③如委托代理人为免缴纳社保人员，提供免缴纳社保的证明材料复印件及供应商与委托代理人签订的劳动合同复印件代替社保证明复印件。</w:t>
      </w:r>
    </w:p>
    <w:p w14:paraId="50739312">
      <w:pPr>
        <w:pageBreakBefore w:val="0"/>
        <w:widowControl w:val="0"/>
        <w:kinsoku/>
        <w:wordWrap/>
        <w:overflowPunct/>
        <w:topLinePunct w:val="0"/>
        <w:bidi w:val="0"/>
        <w:spacing w:line="440" w:lineRule="exact"/>
        <w:ind w:firstLine="422" w:firstLineChars="200"/>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【属自然人的应提供由县级以上（含县级）社会养老保险经办机构出具的自然人本人及委托代理人所交纳的响应文件递交截止时间前半年内任意连续三个月社保证明复印件</w:t>
      </w:r>
      <w:r>
        <w:rPr>
          <w:rFonts w:hint="eastAsia" w:ascii="宋体" w:hAnsi="宋体" w:eastAsia="宋体" w:cs="宋体"/>
          <w:color w:val="auto"/>
          <w:szCs w:val="21"/>
          <w:highlight w:val="none"/>
        </w:rPr>
        <w:t>】</w:t>
      </w:r>
      <w:r>
        <w:rPr>
          <w:rFonts w:hint="eastAsia" w:ascii="宋体" w:hAnsi="宋体" w:eastAsia="宋体" w:cs="宋体"/>
          <w:b/>
          <w:bCs/>
          <w:color w:val="auto"/>
          <w:szCs w:val="21"/>
          <w:highlight w:val="none"/>
        </w:rPr>
        <w:t>（委托代理时必须提供）</w:t>
      </w:r>
    </w:p>
    <w:p w14:paraId="3659789C">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t>（3）供应商参加政府采购活动前3年内在经营活动中没有重大违法记录及有关信用信息的书面声明</w:t>
      </w:r>
      <w:r>
        <w:rPr>
          <w:rFonts w:hint="eastAsia" w:ascii="宋体" w:hAnsi="宋体" w:eastAsia="宋体" w:cs="宋体"/>
          <w:b/>
          <w:bCs/>
          <w:color w:val="auto"/>
          <w:szCs w:val="21"/>
          <w:highlight w:val="none"/>
        </w:rPr>
        <w:t>（必须提供）；</w:t>
      </w:r>
    </w:p>
    <w:p w14:paraId="684854EE">
      <w:pPr>
        <w:pageBreakBefore w:val="0"/>
        <w:widowControl w:val="0"/>
        <w:numPr>
          <w:ilvl w:val="0"/>
          <w:numId w:val="3"/>
        </w:numPr>
        <w:kinsoku/>
        <w:wordWrap/>
        <w:overflowPunct/>
        <w:topLinePunct w:val="0"/>
        <w:bidi w:val="0"/>
        <w:spacing w:line="440" w:lineRule="exact"/>
        <w:ind w:left="0" w:leftChars="0" w:firstLine="42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供应商的法人或者其他组织营业执照等证明文件复印件</w:t>
      </w:r>
      <w:r>
        <w:rPr>
          <w:rFonts w:hint="eastAsia" w:ascii="宋体" w:hAnsi="宋体" w:eastAsia="宋体" w:cs="宋体"/>
          <w:b/>
          <w:bCs/>
          <w:color w:val="auto"/>
          <w:szCs w:val="21"/>
          <w:highlight w:val="none"/>
        </w:rPr>
        <w:t>（必须提供，自然人除外）；</w:t>
      </w:r>
    </w:p>
    <w:p w14:paraId="1B4857A8">
      <w:pPr>
        <w:pageBreakBefore w:val="0"/>
        <w:widowControl w:val="0"/>
        <w:kinsoku/>
        <w:wordWrap/>
        <w:overflowPunct/>
        <w:topLinePunct w:val="0"/>
        <w:bidi w:val="0"/>
        <w:spacing w:line="440" w:lineRule="exact"/>
        <w:ind w:firstLine="422" w:firstLineChars="200"/>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14:paraId="6E57CD15">
      <w:pPr>
        <w:pageBreakBefore w:val="0"/>
        <w:widowControl w:val="0"/>
        <w:numPr>
          <w:ilvl w:val="0"/>
          <w:numId w:val="3"/>
        </w:numPr>
        <w:kinsoku/>
        <w:wordWrap/>
        <w:overflowPunct/>
        <w:topLinePunct w:val="0"/>
        <w:bidi w:val="0"/>
        <w:spacing w:line="440" w:lineRule="exact"/>
        <w:ind w:left="0" w:leftChars="0" w:firstLine="420" w:firstLineChars="0"/>
        <w:textAlignment w:val="auto"/>
        <w:rPr>
          <w:rFonts w:hint="eastAsia" w:ascii="宋体" w:hAnsi="宋体" w:eastAsia="宋体" w:cs="宋体"/>
          <w:bCs/>
          <w:color w:val="auto"/>
          <w:kern w:val="0"/>
          <w:szCs w:val="21"/>
          <w:highlight w:val="none"/>
          <w:lang w:val="en-US" w:eastAsia="zh-CN"/>
        </w:rPr>
      </w:pPr>
      <w:r>
        <w:rPr>
          <w:rFonts w:hint="eastAsia" w:ascii="宋体" w:hAnsi="宋体" w:eastAsia="宋体" w:cs="宋体"/>
          <w:bCs/>
          <w:color w:val="auto"/>
          <w:kern w:val="0"/>
          <w:szCs w:val="21"/>
          <w:highlight w:val="none"/>
          <w:lang w:val="en-US" w:eastAsia="zh-CN"/>
        </w:rPr>
        <w:t>供应商有效的资质证书复印件</w:t>
      </w:r>
      <w:r>
        <w:rPr>
          <w:rFonts w:hint="eastAsia" w:ascii="宋体" w:hAnsi="宋体" w:eastAsia="宋体" w:cs="宋体"/>
          <w:b/>
          <w:bCs w:val="0"/>
          <w:color w:val="auto"/>
          <w:kern w:val="0"/>
          <w:szCs w:val="21"/>
          <w:highlight w:val="none"/>
          <w:lang w:val="en-US" w:eastAsia="zh-CN"/>
        </w:rPr>
        <w:t>（必须提供）</w:t>
      </w:r>
      <w:r>
        <w:rPr>
          <w:rFonts w:hint="eastAsia" w:ascii="宋体" w:hAnsi="宋体" w:eastAsia="宋体" w:cs="宋体"/>
          <w:bCs/>
          <w:color w:val="auto"/>
          <w:kern w:val="0"/>
          <w:szCs w:val="21"/>
          <w:highlight w:val="none"/>
          <w:lang w:val="en-US" w:eastAsia="zh-CN"/>
        </w:rPr>
        <w:t>；</w:t>
      </w:r>
    </w:p>
    <w:p w14:paraId="6A00E0BF">
      <w:pPr>
        <w:pageBreakBefore w:val="0"/>
        <w:widowControl w:val="0"/>
        <w:numPr>
          <w:ilvl w:val="0"/>
          <w:numId w:val="3"/>
        </w:numPr>
        <w:kinsoku/>
        <w:wordWrap/>
        <w:overflowPunct/>
        <w:topLinePunct w:val="0"/>
        <w:bidi w:val="0"/>
        <w:spacing w:line="440" w:lineRule="exact"/>
        <w:ind w:left="0" w:leftChars="0" w:firstLine="420" w:firstLineChars="0"/>
        <w:textAlignment w:val="auto"/>
        <w:rPr>
          <w:rFonts w:hint="eastAsia" w:ascii="宋体" w:hAnsi="宋体" w:eastAsia="宋体" w:cs="宋体"/>
          <w:bCs/>
          <w:color w:val="000000" w:themeColor="text1"/>
          <w:kern w:val="0"/>
          <w:szCs w:val="21"/>
          <w:highlight w:val="none"/>
          <w:lang w:val="en-US" w:eastAsia="zh-CN"/>
          <w14:textFill>
            <w14:solidFill>
              <w14:schemeClr w14:val="tx1"/>
            </w14:solidFill>
          </w14:textFill>
        </w:rPr>
      </w:pPr>
      <w:r>
        <w:rPr>
          <w:rFonts w:hint="eastAsia" w:ascii="宋体" w:hAnsi="宋体" w:eastAsia="宋体" w:cs="宋体"/>
          <w:bCs/>
          <w:color w:val="000000" w:themeColor="text1"/>
          <w:kern w:val="0"/>
          <w:sz w:val="21"/>
          <w:szCs w:val="21"/>
          <w:highlight w:val="none"/>
          <w:lang w:val="en-US" w:eastAsia="zh-CN" w:bidi="ar-SA"/>
          <w14:textFill>
            <w14:solidFill>
              <w14:schemeClr w14:val="tx1"/>
            </w14:solidFill>
          </w14:textFill>
        </w:rPr>
        <w:t>《中小企业声明函》或《残疾人福利性单位声明函》或省级以上监狱管理局、戒毒管理局（含新疆生产建设兵团）出具的属于监狱企业的证明文件复印件</w:t>
      </w:r>
      <w:r>
        <w:rPr>
          <w:rFonts w:hint="eastAsia" w:ascii="宋体" w:hAnsi="宋体" w:eastAsia="宋体" w:cs="宋体"/>
          <w:b/>
          <w:bCs w:val="0"/>
          <w:color w:val="000000" w:themeColor="text1"/>
          <w:kern w:val="0"/>
          <w:sz w:val="21"/>
          <w:szCs w:val="21"/>
          <w:highlight w:val="none"/>
          <w:lang w:val="en-US" w:eastAsia="zh-CN" w:bidi="ar-SA"/>
          <w14:textFill>
            <w14:solidFill>
              <w14:schemeClr w14:val="tx1"/>
            </w14:solidFill>
          </w14:textFill>
        </w:rPr>
        <w:t>（必须提供其中一项）</w:t>
      </w:r>
      <w:r>
        <w:rPr>
          <w:rFonts w:hint="eastAsia" w:ascii="宋体" w:hAnsi="宋体" w:eastAsia="宋体" w:cs="宋体"/>
          <w:b/>
          <w:bCs w:val="0"/>
          <w:color w:val="000000" w:themeColor="text1"/>
          <w:kern w:val="0"/>
          <w:szCs w:val="21"/>
          <w:highlight w:val="none"/>
          <w:lang w:val="en-US" w:eastAsia="zh-CN"/>
          <w14:textFill>
            <w14:solidFill>
              <w14:schemeClr w14:val="tx1"/>
            </w14:solidFill>
          </w14:textFill>
        </w:rPr>
        <w:t>；</w:t>
      </w:r>
    </w:p>
    <w:p w14:paraId="22BD3DE5">
      <w:pPr>
        <w:pageBreakBefore w:val="0"/>
        <w:widowControl w:val="0"/>
        <w:numPr>
          <w:ilvl w:val="0"/>
          <w:numId w:val="3"/>
        </w:numPr>
        <w:kinsoku/>
        <w:wordWrap/>
        <w:overflowPunct/>
        <w:topLinePunct w:val="0"/>
        <w:bidi w:val="0"/>
        <w:spacing w:line="440" w:lineRule="exact"/>
        <w:ind w:left="0" w:leftChars="0" w:firstLine="420" w:firstLineChars="0"/>
        <w:textAlignment w:val="auto"/>
        <w:rPr>
          <w:rFonts w:hint="eastAsia" w:ascii="宋体" w:hAnsi="宋体" w:eastAsia="宋体" w:cs="宋体"/>
          <w:bCs/>
          <w:color w:val="auto"/>
          <w:kern w:val="0"/>
          <w:szCs w:val="21"/>
          <w:highlight w:val="none"/>
          <w:lang w:val="en-US" w:eastAsia="zh-CN"/>
        </w:rPr>
      </w:pPr>
      <w:r>
        <w:rPr>
          <w:rFonts w:hint="eastAsia" w:ascii="宋体" w:hAnsi="宋体" w:eastAsia="宋体" w:cs="宋体"/>
          <w:bCs/>
          <w:color w:val="auto"/>
          <w:kern w:val="0"/>
          <w:szCs w:val="21"/>
          <w:highlight w:val="none"/>
          <w:lang w:val="en-US" w:eastAsia="zh-CN"/>
        </w:rPr>
        <w:t>供应商有效的安全生产许可证书复印件</w:t>
      </w:r>
      <w:r>
        <w:rPr>
          <w:rFonts w:hint="eastAsia" w:ascii="宋体" w:hAnsi="宋体" w:eastAsia="宋体" w:cs="宋体"/>
          <w:b/>
          <w:bCs w:val="0"/>
          <w:color w:val="auto"/>
          <w:kern w:val="0"/>
          <w:szCs w:val="21"/>
          <w:highlight w:val="none"/>
          <w:lang w:val="en-US" w:eastAsia="zh-CN"/>
        </w:rPr>
        <w:t>（必须提供）；</w:t>
      </w:r>
    </w:p>
    <w:p w14:paraId="4E966030">
      <w:pPr>
        <w:pageBreakBefore w:val="0"/>
        <w:widowControl w:val="0"/>
        <w:numPr>
          <w:ilvl w:val="0"/>
          <w:numId w:val="3"/>
        </w:numPr>
        <w:kinsoku/>
        <w:wordWrap/>
        <w:overflowPunct/>
        <w:topLinePunct w:val="0"/>
        <w:bidi w:val="0"/>
        <w:spacing w:line="440" w:lineRule="exact"/>
        <w:ind w:left="0" w:leftChars="0" w:firstLine="420" w:firstLineChars="0"/>
        <w:textAlignment w:val="auto"/>
        <w:rPr>
          <w:rFonts w:hint="eastAsia" w:ascii="宋体" w:hAnsi="宋体" w:eastAsia="宋体" w:cs="宋体"/>
          <w:color w:val="auto"/>
          <w:highlight w:val="none"/>
        </w:rPr>
      </w:pPr>
      <w:r>
        <w:rPr>
          <w:rFonts w:hint="eastAsia" w:ascii="宋体" w:hAnsi="宋体" w:cs="宋体"/>
          <w:bCs/>
          <w:color w:val="auto"/>
          <w:kern w:val="0"/>
          <w:szCs w:val="21"/>
          <w:highlight w:val="none"/>
          <w:lang w:eastAsia="zh-CN"/>
        </w:rPr>
        <w:t>供应商202</w:t>
      </w:r>
      <w:r>
        <w:rPr>
          <w:rFonts w:hint="eastAsia" w:ascii="宋体" w:hAnsi="宋体" w:cs="宋体"/>
          <w:bCs/>
          <w:color w:val="auto"/>
          <w:kern w:val="0"/>
          <w:szCs w:val="21"/>
          <w:highlight w:val="none"/>
          <w:lang w:val="en-US" w:eastAsia="zh-CN"/>
        </w:rPr>
        <w:t>3或2024</w:t>
      </w:r>
      <w:r>
        <w:rPr>
          <w:rFonts w:hint="eastAsia" w:ascii="宋体" w:hAnsi="宋体" w:cs="宋体"/>
          <w:bCs/>
          <w:color w:val="auto"/>
          <w:kern w:val="0"/>
          <w:szCs w:val="21"/>
          <w:highlight w:val="none"/>
          <w:lang w:eastAsia="zh-CN"/>
        </w:rPr>
        <w:t>年度财务状况报告</w:t>
      </w:r>
      <w:r>
        <w:rPr>
          <w:rFonts w:hint="eastAsia" w:ascii="宋体" w:hAnsi="宋体" w:eastAsia="宋体" w:cs="宋体"/>
          <w:b/>
          <w:bCs/>
          <w:color w:val="auto"/>
          <w:sz w:val="21"/>
          <w:szCs w:val="21"/>
          <w:highlight w:val="none"/>
          <w:lang w:val="en-US" w:eastAsia="zh-CN"/>
        </w:rPr>
        <w:t>（必须提供</w:t>
      </w:r>
      <w:r>
        <w:rPr>
          <w:rFonts w:hint="eastAsia" w:ascii="宋体" w:hAnsi="宋体" w:cs="宋体"/>
          <w:b/>
          <w:bCs/>
          <w:color w:val="auto"/>
          <w:szCs w:val="21"/>
          <w:highlight w:val="none"/>
          <w:lang w:eastAsia="zh-CN"/>
        </w:rPr>
        <w:t>，</w:t>
      </w:r>
      <w:r>
        <w:rPr>
          <w:rFonts w:ascii="宋体" w:hAnsi="宋体" w:cs="宋体"/>
          <w:b/>
          <w:bCs/>
          <w:color w:val="auto"/>
          <w:szCs w:val="21"/>
          <w:highlight w:val="none"/>
        </w:rPr>
        <w:t>可</w:t>
      </w:r>
      <w:r>
        <w:rPr>
          <w:rFonts w:hint="eastAsia" w:ascii="宋体" w:hAnsi="宋体" w:cs="宋体"/>
          <w:b/>
          <w:bCs/>
          <w:color w:val="auto"/>
          <w:szCs w:val="21"/>
          <w:highlight w:val="none"/>
          <w:lang w:eastAsia="zh-CN"/>
        </w:rPr>
        <w:t>以是磋商供应商</w:t>
      </w:r>
      <w:r>
        <w:rPr>
          <w:rFonts w:ascii="宋体" w:hAnsi="宋体" w:cs="宋体"/>
          <w:b/>
          <w:bCs/>
          <w:color w:val="auto"/>
          <w:szCs w:val="21"/>
          <w:highlight w:val="none"/>
        </w:rPr>
        <w:t>自行编制也可</w:t>
      </w:r>
      <w:r>
        <w:rPr>
          <w:rFonts w:hint="eastAsia" w:ascii="宋体" w:hAnsi="宋体" w:cs="宋体"/>
          <w:b/>
          <w:bCs/>
          <w:color w:val="auto"/>
          <w:szCs w:val="21"/>
          <w:highlight w:val="none"/>
          <w:lang w:eastAsia="zh-CN"/>
        </w:rPr>
        <w:t>是</w:t>
      </w:r>
      <w:r>
        <w:rPr>
          <w:rFonts w:ascii="宋体" w:hAnsi="宋体" w:cs="宋体"/>
          <w:b/>
          <w:bCs/>
          <w:color w:val="auto"/>
          <w:szCs w:val="21"/>
          <w:highlight w:val="none"/>
        </w:rPr>
        <w:t>通过</w:t>
      </w:r>
      <w:r>
        <w:rPr>
          <w:rFonts w:hint="eastAsia" w:ascii="宋体" w:hAnsi="宋体" w:cs="宋体"/>
          <w:b/>
          <w:bCs/>
          <w:color w:val="auto"/>
          <w:szCs w:val="21"/>
          <w:highlight w:val="none"/>
          <w:lang w:eastAsia="zh-CN"/>
        </w:rPr>
        <w:t>第三方</w:t>
      </w:r>
      <w:r>
        <w:rPr>
          <w:rFonts w:ascii="宋体" w:hAnsi="宋体" w:cs="宋体"/>
          <w:b/>
          <w:bCs/>
          <w:color w:val="auto"/>
          <w:szCs w:val="21"/>
          <w:highlight w:val="none"/>
        </w:rPr>
        <w:t>审计公司编制，如为自行编制至少须提供现金流量表、负债表及利润表</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color w:val="auto"/>
          <w:szCs w:val="21"/>
          <w:highlight w:val="none"/>
        </w:rPr>
        <w:t>；</w:t>
      </w:r>
    </w:p>
    <w:p w14:paraId="51CDC306">
      <w:pPr>
        <w:pageBreakBefore w:val="0"/>
        <w:widowControl w:val="0"/>
        <w:numPr>
          <w:ilvl w:val="0"/>
          <w:numId w:val="3"/>
        </w:numPr>
        <w:kinsoku/>
        <w:wordWrap/>
        <w:overflowPunct/>
        <w:topLinePunct w:val="0"/>
        <w:bidi w:val="0"/>
        <w:spacing w:line="440" w:lineRule="exact"/>
        <w:ind w:left="0" w:leftChars="0" w:firstLine="420" w:firstLineChars="0"/>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t>供应商近半年内任意一个月或任一季度依法缴纳税收的证明材料</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rPr>
        <w:t>增值税</w:t>
      </w:r>
      <w:r>
        <w:rPr>
          <w:rFonts w:hint="eastAsia" w:ascii="宋体" w:hAnsi="宋体" w:cs="宋体"/>
          <w:color w:val="auto"/>
          <w:szCs w:val="21"/>
          <w:highlight w:val="none"/>
          <w:lang w:eastAsia="zh-CN"/>
        </w:rPr>
        <w:t>缴纳</w:t>
      </w:r>
      <w:r>
        <w:rPr>
          <w:rFonts w:hint="eastAsia" w:ascii="宋体" w:hAnsi="宋体" w:eastAsia="宋体" w:cs="宋体"/>
          <w:color w:val="auto"/>
          <w:szCs w:val="21"/>
          <w:highlight w:val="none"/>
        </w:rPr>
        <w:t>发票(税收完税证明)或企业所得税完税证明或税务部门出具的免税证明</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rPr>
        <w:t>复印件</w:t>
      </w:r>
      <w:r>
        <w:rPr>
          <w:rFonts w:hint="eastAsia" w:ascii="宋体" w:hAnsi="宋体" w:eastAsia="宋体" w:cs="宋体"/>
          <w:b/>
          <w:bCs/>
          <w:color w:val="auto"/>
          <w:szCs w:val="21"/>
          <w:highlight w:val="none"/>
        </w:rPr>
        <w:t>（必须提供）。</w:t>
      </w:r>
    </w:p>
    <w:p w14:paraId="20EBFE40">
      <w:pPr>
        <w:pStyle w:val="28"/>
        <w:pageBreakBefore w:val="0"/>
        <w:widowControl w:val="0"/>
        <w:kinsoku/>
        <w:wordWrap/>
        <w:overflowPunct/>
        <w:topLinePunct w:val="0"/>
        <w:bidi w:val="0"/>
        <w:spacing w:line="440" w:lineRule="exact"/>
        <w:ind w:left="0" w:leftChars="0" w:firstLine="422"/>
        <w:textAlignment w:val="auto"/>
        <w:rPr>
          <w:rFonts w:hint="eastAsia" w:ascii="宋体" w:hAnsi="宋体" w:eastAsia="宋体" w:cs="宋体"/>
          <w:color w:val="auto"/>
          <w:highlight w:val="none"/>
        </w:rPr>
      </w:pPr>
      <w:r>
        <w:rPr>
          <w:rFonts w:hint="eastAsia" w:ascii="宋体" w:hAnsi="宋体" w:eastAsia="宋体" w:cs="宋体"/>
          <w:b/>
          <w:bCs/>
          <w:color w:val="auto"/>
          <w:szCs w:val="21"/>
          <w:highlight w:val="none"/>
        </w:rPr>
        <w:t>11.</w:t>
      </w:r>
      <w:r>
        <w:rPr>
          <w:rFonts w:hint="eastAsia" w:ascii="宋体" w:hAnsi="宋体" w:eastAsia="宋体" w:cs="宋体"/>
          <w:b/>
          <w:bCs/>
          <w:color w:val="auto"/>
          <w:szCs w:val="21"/>
          <w:highlight w:val="none"/>
          <w:lang w:val="en-US" w:eastAsia="zh-CN"/>
        </w:rPr>
        <w:t>2</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en-US" w:eastAsia="zh-CN"/>
        </w:rPr>
        <w:t>1.2</w:t>
      </w:r>
      <w:r>
        <w:rPr>
          <w:rFonts w:hint="eastAsia" w:ascii="宋体" w:hAnsi="宋体" w:eastAsia="宋体" w:cs="宋体"/>
          <w:b/>
          <w:bCs/>
          <w:color w:val="auto"/>
          <w:szCs w:val="21"/>
          <w:highlight w:val="none"/>
        </w:rPr>
        <w:t>符合性响应证明材料：</w:t>
      </w:r>
    </w:p>
    <w:p w14:paraId="31E79229">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Cs w:val="21"/>
          <w:highlight w:val="none"/>
        </w:rPr>
      </w:pPr>
      <w:bookmarkStart w:id="74" w:name="_Toc16312"/>
      <w:bookmarkStart w:id="75" w:name="_Toc28932"/>
      <w:bookmarkStart w:id="76" w:name="_Toc2809"/>
      <w:r>
        <w:rPr>
          <w:rFonts w:hint="eastAsia" w:ascii="宋体" w:hAnsi="宋体" w:eastAsia="宋体" w:cs="宋体"/>
          <w:color w:val="auto"/>
          <w:szCs w:val="21"/>
          <w:highlight w:val="none"/>
          <w:lang w:val="en-US"/>
        </w:rPr>
        <w:t>（1）响应函（格式见附件）</w:t>
      </w:r>
      <w:r>
        <w:rPr>
          <w:rFonts w:hint="eastAsia" w:ascii="宋体" w:hAnsi="宋体" w:eastAsia="宋体" w:cs="宋体"/>
          <w:b/>
          <w:bCs/>
          <w:color w:val="auto"/>
          <w:szCs w:val="21"/>
          <w:highlight w:val="none"/>
          <w:lang w:val="en-US"/>
        </w:rPr>
        <w:t>（必须提供）</w:t>
      </w:r>
      <w:bookmarkEnd w:id="74"/>
      <w:r>
        <w:rPr>
          <w:rFonts w:hint="eastAsia" w:ascii="宋体" w:hAnsi="宋体" w:eastAsia="宋体" w:cs="宋体"/>
          <w:color w:val="auto"/>
          <w:szCs w:val="21"/>
          <w:highlight w:val="none"/>
          <w:lang w:val="en-US" w:eastAsia="zh-CN"/>
        </w:rPr>
        <w:t>；</w:t>
      </w:r>
      <w:bookmarkEnd w:id="75"/>
      <w:bookmarkEnd w:id="76"/>
    </w:p>
    <w:p w14:paraId="2277E478">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w:t>
      </w:r>
      <w:r>
        <w:rPr>
          <w:rFonts w:hint="eastAsia" w:ascii="宋体" w:hAnsi="宋体" w:cs="宋体"/>
          <w:bCs/>
          <w:color w:val="auto"/>
          <w:kern w:val="0"/>
          <w:szCs w:val="21"/>
          <w:highlight w:val="none"/>
        </w:rPr>
        <w:t xml:space="preserve"> 磋商报价汇总表</w:t>
      </w:r>
      <w:r>
        <w:rPr>
          <w:rFonts w:hint="eastAsia" w:ascii="宋体" w:hAnsi="宋体" w:eastAsia="宋体" w:cs="宋体"/>
          <w:color w:val="auto"/>
          <w:szCs w:val="21"/>
          <w:highlight w:val="none"/>
        </w:rPr>
        <w:t>（格式见附件）</w:t>
      </w:r>
      <w:r>
        <w:rPr>
          <w:rFonts w:hint="eastAsia" w:ascii="宋体" w:hAnsi="宋体" w:eastAsia="宋体" w:cs="宋体"/>
          <w:b/>
          <w:bCs/>
          <w:color w:val="auto"/>
          <w:szCs w:val="21"/>
          <w:highlight w:val="none"/>
        </w:rPr>
        <w:t>（必须提供）</w:t>
      </w:r>
      <w:r>
        <w:rPr>
          <w:rFonts w:hint="eastAsia" w:ascii="宋体" w:hAnsi="宋体" w:eastAsia="宋体" w:cs="宋体"/>
          <w:color w:val="auto"/>
          <w:szCs w:val="21"/>
          <w:highlight w:val="none"/>
        </w:rPr>
        <w:t>；</w:t>
      </w:r>
    </w:p>
    <w:p w14:paraId="3FDCB40D">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bCs/>
          <w:color w:val="auto"/>
          <w:kern w:val="0"/>
          <w:szCs w:val="21"/>
          <w:highlight w:val="none"/>
          <w:lang w:eastAsia="zh-CN"/>
        </w:rPr>
      </w:pPr>
      <w:r>
        <w:rPr>
          <w:rFonts w:hint="eastAsia" w:ascii="宋体" w:hAnsi="宋体" w:eastAsia="宋体" w:cs="宋体"/>
          <w:bCs/>
          <w:color w:val="auto"/>
          <w:kern w:val="0"/>
          <w:szCs w:val="21"/>
          <w:highlight w:val="none"/>
          <w:lang w:eastAsia="zh-CN"/>
        </w:rPr>
        <w:t>（</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lang w:eastAsia="zh-CN"/>
        </w:rPr>
        <w:t>）</w:t>
      </w:r>
      <w:r>
        <w:rPr>
          <w:rFonts w:hint="eastAsia" w:ascii="宋体" w:hAnsi="宋体" w:eastAsia="宋体" w:cs="宋体"/>
          <w:bCs/>
          <w:color w:val="auto"/>
          <w:kern w:val="0"/>
          <w:szCs w:val="21"/>
          <w:highlight w:val="none"/>
        </w:rPr>
        <w:t>已标价工程量清单</w:t>
      </w:r>
      <w:r>
        <w:rPr>
          <w:rFonts w:hint="eastAsia" w:ascii="宋体" w:hAnsi="宋体" w:eastAsia="宋体" w:cs="宋体"/>
          <w:b/>
          <w:bCs w:val="0"/>
          <w:color w:val="auto"/>
          <w:kern w:val="0"/>
          <w:szCs w:val="21"/>
          <w:highlight w:val="none"/>
        </w:rPr>
        <w:t>（必须提供）</w:t>
      </w:r>
      <w:r>
        <w:rPr>
          <w:rFonts w:hint="eastAsia" w:ascii="宋体" w:hAnsi="宋体" w:eastAsia="宋体" w:cs="宋体"/>
          <w:b w:val="0"/>
          <w:bCs/>
          <w:color w:val="auto"/>
          <w:kern w:val="0"/>
          <w:szCs w:val="21"/>
          <w:highlight w:val="none"/>
          <w:lang w:eastAsia="zh-CN"/>
        </w:rPr>
        <w:t>；</w:t>
      </w:r>
    </w:p>
    <w:p w14:paraId="300A8432">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w:t>
      </w:r>
      <w:r>
        <w:rPr>
          <w:rFonts w:hint="eastAsia" w:ascii="宋体" w:hAnsi="宋体" w:cs="宋体"/>
          <w:color w:val="auto"/>
          <w:szCs w:val="21"/>
          <w:highlight w:val="none"/>
        </w:rPr>
        <w:t>拟投入本工程主要施工管理人员表</w:t>
      </w: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rPr>
        <w:t>必须提供)</w:t>
      </w:r>
      <w:r>
        <w:rPr>
          <w:rFonts w:hint="eastAsia" w:ascii="宋体" w:hAnsi="宋体" w:eastAsia="宋体" w:cs="宋体"/>
          <w:color w:val="auto"/>
          <w:szCs w:val="21"/>
          <w:highlight w:val="none"/>
        </w:rPr>
        <w:t>；</w:t>
      </w:r>
    </w:p>
    <w:p w14:paraId="1612626C">
      <w:pPr>
        <w:pageBreakBefore w:val="0"/>
        <w:widowControl w:val="0"/>
        <w:kinsoku/>
        <w:wordWrap/>
        <w:overflowPunct/>
        <w:topLinePunct w:val="0"/>
        <w:bidi w:val="0"/>
        <w:spacing w:line="440" w:lineRule="exact"/>
        <w:ind w:firstLine="422" w:firstLineChars="200"/>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并一起提供由县级以上（含县级）社会养老保险经办机构出具的供应商为项目实施人员交纳的响应文件递交截止时间前半年内任意连续三个月社保证明复印件</w:t>
      </w:r>
      <w:r>
        <w:rPr>
          <w:rFonts w:hint="eastAsia" w:ascii="宋体" w:hAnsi="宋体" w:eastAsia="宋体" w:cs="宋体"/>
          <w:color w:val="auto"/>
          <w:szCs w:val="21"/>
          <w:highlight w:val="none"/>
        </w:rPr>
        <w:t>。</w:t>
      </w:r>
    </w:p>
    <w:p w14:paraId="311E5E0D">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w:t>
      </w:r>
      <w:r>
        <w:rPr>
          <w:rFonts w:hint="eastAsia" w:ascii="宋体" w:hAnsi="宋体" w:cs="宋体"/>
          <w:bCs/>
          <w:color w:val="auto"/>
          <w:kern w:val="0"/>
          <w:szCs w:val="21"/>
          <w:highlight w:val="none"/>
        </w:rPr>
        <w:t>担任本工程的项目经理简历表（应附相关证书、身份证复印件）</w:t>
      </w:r>
      <w:r>
        <w:rPr>
          <w:rFonts w:hint="eastAsia" w:ascii="宋体" w:hAnsi="宋体" w:eastAsia="宋体" w:cs="宋体"/>
          <w:b/>
          <w:bCs/>
          <w:color w:val="auto"/>
          <w:szCs w:val="21"/>
          <w:highlight w:val="none"/>
        </w:rPr>
        <w:t>（必须提供）</w:t>
      </w:r>
      <w:r>
        <w:rPr>
          <w:rFonts w:hint="eastAsia" w:ascii="宋体" w:hAnsi="宋体" w:eastAsia="宋体" w:cs="宋体"/>
          <w:b w:val="0"/>
          <w:bCs w:val="0"/>
          <w:color w:val="auto"/>
          <w:szCs w:val="21"/>
          <w:highlight w:val="none"/>
        </w:rPr>
        <w:t>；</w:t>
      </w:r>
    </w:p>
    <w:p w14:paraId="38DF9079">
      <w:pPr>
        <w:pageBreakBefore w:val="0"/>
        <w:widowControl w:val="0"/>
        <w:numPr>
          <w:ilvl w:val="0"/>
          <w:numId w:val="0"/>
        </w:numPr>
        <w:kinsoku/>
        <w:wordWrap/>
        <w:overflowPunct/>
        <w:topLinePunct w:val="0"/>
        <w:bidi w:val="0"/>
        <w:spacing w:line="440" w:lineRule="exact"/>
        <w:ind w:firstLine="420" w:firstLineChars="200"/>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w:t>
      </w:r>
      <w:r>
        <w:rPr>
          <w:rFonts w:hint="eastAsia" w:ascii="宋体" w:hAnsi="宋体" w:cs="宋体"/>
          <w:bCs/>
          <w:color w:val="auto"/>
          <w:kern w:val="0"/>
          <w:szCs w:val="21"/>
          <w:highlight w:val="none"/>
        </w:rPr>
        <w:t>施工组织设计方案</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eastAsia="zh-CN"/>
        </w:rPr>
        <w:t>必须提供</w:t>
      </w:r>
      <w:r>
        <w:rPr>
          <w:rFonts w:hint="eastAsia" w:ascii="宋体" w:hAnsi="宋体" w:eastAsia="宋体" w:cs="宋体"/>
          <w:b/>
          <w:bCs/>
          <w:color w:val="auto"/>
          <w:sz w:val="21"/>
          <w:szCs w:val="21"/>
          <w:highlight w:val="none"/>
        </w:rPr>
        <w:t>）</w:t>
      </w:r>
      <w:r>
        <w:rPr>
          <w:rFonts w:hint="eastAsia" w:ascii="宋体" w:hAnsi="宋体" w:eastAsia="宋体" w:cs="宋体"/>
          <w:b w:val="0"/>
          <w:bCs w:val="0"/>
          <w:color w:val="auto"/>
          <w:sz w:val="21"/>
          <w:szCs w:val="21"/>
          <w:highlight w:val="none"/>
          <w:lang w:eastAsia="zh-CN"/>
        </w:rPr>
        <w:t>；</w:t>
      </w:r>
    </w:p>
    <w:p w14:paraId="57B67E39">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w:t>
      </w:r>
      <w:r>
        <w:rPr>
          <w:rFonts w:hint="eastAsia" w:ascii="宋体" w:hAnsi="宋体" w:cs="宋体"/>
          <w:bCs/>
          <w:color w:val="auto"/>
          <w:kern w:val="0"/>
          <w:szCs w:val="21"/>
          <w:highlight w:val="none"/>
          <w:lang w:val="en-US" w:eastAsia="zh-CN"/>
        </w:rPr>
        <w:t>工</w:t>
      </w:r>
      <w:r>
        <w:rPr>
          <w:rFonts w:hint="eastAsia" w:ascii="宋体" w:hAnsi="宋体" w:cs="宋体"/>
          <w:bCs/>
          <w:color w:val="auto"/>
          <w:kern w:val="0"/>
          <w:szCs w:val="21"/>
          <w:highlight w:val="none"/>
        </w:rPr>
        <w:t>程完工服务承诺书</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eastAsia="zh-CN"/>
        </w:rPr>
        <w:t>必须提供</w:t>
      </w:r>
      <w:r>
        <w:rPr>
          <w:rFonts w:hint="eastAsia" w:ascii="宋体" w:hAnsi="宋体" w:eastAsia="宋体" w:cs="宋体"/>
          <w:b/>
          <w:bCs/>
          <w:color w:val="auto"/>
          <w:sz w:val="21"/>
          <w:szCs w:val="21"/>
          <w:highlight w:val="none"/>
        </w:rPr>
        <w:t>）</w:t>
      </w:r>
      <w:r>
        <w:rPr>
          <w:rFonts w:hint="eastAsia" w:ascii="宋体" w:hAnsi="宋体" w:eastAsia="宋体" w:cs="宋体"/>
          <w:color w:val="auto"/>
          <w:szCs w:val="21"/>
          <w:highlight w:val="none"/>
          <w:lang w:eastAsia="zh-CN"/>
        </w:rPr>
        <w:t>；</w:t>
      </w:r>
    </w:p>
    <w:p w14:paraId="716ABD78">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w:t>
      </w:r>
      <w:r>
        <w:rPr>
          <w:rFonts w:hint="eastAsia" w:ascii="宋体" w:hAnsi="宋体" w:cs="宋体"/>
          <w:bCs/>
          <w:color w:val="auto"/>
          <w:kern w:val="0"/>
          <w:szCs w:val="21"/>
          <w:highlight w:val="none"/>
        </w:rPr>
        <w:t>农民工工资保障金交纳与使用承诺书</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eastAsia="zh-CN"/>
        </w:rPr>
        <w:t>必须提供</w:t>
      </w:r>
      <w:r>
        <w:rPr>
          <w:rFonts w:hint="eastAsia" w:ascii="宋体" w:hAnsi="宋体" w:eastAsia="宋体" w:cs="宋体"/>
          <w:b/>
          <w:bCs/>
          <w:color w:val="auto"/>
          <w:sz w:val="21"/>
          <w:szCs w:val="21"/>
          <w:highlight w:val="none"/>
        </w:rPr>
        <w:t>）</w:t>
      </w:r>
      <w:r>
        <w:rPr>
          <w:rFonts w:hint="eastAsia" w:ascii="宋体" w:hAnsi="宋体" w:eastAsia="宋体" w:cs="宋体"/>
          <w:color w:val="auto"/>
          <w:szCs w:val="21"/>
          <w:highlight w:val="none"/>
          <w:lang w:eastAsia="zh-CN"/>
        </w:rPr>
        <w:t>；</w:t>
      </w:r>
    </w:p>
    <w:p w14:paraId="42844C85">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bCs/>
          <w:color w:val="auto"/>
          <w:kern w:val="0"/>
          <w:szCs w:val="21"/>
          <w:highlight w:val="none"/>
          <w:lang w:eastAsia="zh-CN"/>
        </w:rPr>
      </w:pPr>
      <w:r>
        <w:rPr>
          <w:rFonts w:hint="eastAsia" w:ascii="宋体" w:hAnsi="宋体" w:eastAsia="宋体" w:cs="宋体"/>
          <w:bCs/>
          <w:color w:val="auto"/>
          <w:kern w:val="0"/>
          <w:szCs w:val="21"/>
          <w:highlight w:val="none"/>
        </w:rPr>
        <w:t>（</w:t>
      </w:r>
      <w:r>
        <w:rPr>
          <w:rFonts w:hint="eastAsia" w:ascii="宋体" w:hAnsi="宋体" w:eastAsia="宋体" w:cs="宋体"/>
          <w:bCs/>
          <w:color w:val="auto"/>
          <w:kern w:val="0"/>
          <w:szCs w:val="21"/>
          <w:highlight w:val="none"/>
          <w:lang w:val="en-US" w:eastAsia="zh-CN"/>
        </w:rPr>
        <w:t>9</w:t>
      </w:r>
      <w:r>
        <w:rPr>
          <w:rFonts w:hint="eastAsia" w:ascii="宋体" w:hAnsi="宋体" w:eastAsia="宋体" w:cs="宋体"/>
          <w:bCs/>
          <w:color w:val="auto"/>
          <w:kern w:val="0"/>
          <w:szCs w:val="21"/>
          <w:highlight w:val="none"/>
        </w:rPr>
        <w:t>）</w:t>
      </w:r>
      <w:r>
        <w:rPr>
          <w:rFonts w:hint="eastAsia" w:ascii="宋体" w:hAnsi="宋体" w:cs="宋体"/>
          <w:bCs/>
          <w:color w:val="auto"/>
          <w:kern w:val="0"/>
          <w:szCs w:val="21"/>
          <w:highlight w:val="none"/>
        </w:rPr>
        <w:t>城乡清洁工程渣土清运承诺书</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eastAsia="zh-CN"/>
        </w:rPr>
        <w:t>必须提供</w:t>
      </w:r>
      <w:r>
        <w:rPr>
          <w:rFonts w:hint="eastAsia" w:ascii="宋体" w:hAnsi="宋体" w:eastAsia="宋体" w:cs="宋体"/>
          <w:b/>
          <w:bCs/>
          <w:color w:val="auto"/>
          <w:sz w:val="21"/>
          <w:szCs w:val="21"/>
          <w:highlight w:val="none"/>
        </w:rPr>
        <w:t>）</w:t>
      </w:r>
      <w:r>
        <w:rPr>
          <w:rFonts w:hint="eastAsia" w:ascii="宋体" w:hAnsi="宋体" w:eastAsia="宋体" w:cs="宋体"/>
          <w:bCs/>
          <w:color w:val="auto"/>
          <w:kern w:val="0"/>
          <w:szCs w:val="21"/>
          <w:highlight w:val="none"/>
          <w:lang w:eastAsia="zh-CN"/>
        </w:rPr>
        <w:t>。</w:t>
      </w:r>
    </w:p>
    <w:p w14:paraId="142BDC1A">
      <w:pPr>
        <w:pStyle w:val="28"/>
        <w:pageBreakBefore w:val="0"/>
        <w:widowControl w:val="0"/>
        <w:kinsoku/>
        <w:wordWrap/>
        <w:overflowPunct/>
        <w:topLinePunct w:val="0"/>
        <w:bidi w:val="0"/>
        <w:spacing w:line="440" w:lineRule="exact"/>
        <w:ind w:left="0" w:leftChars="0" w:firstLine="422"/>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11.</w:t>
      </w:r>
      <w:r>
        <w:rPr>
          <w:rFonts w:hint="eastAsia" w:ascii="宋体" w:hAnsi="宋体" w:eastAsia="宋体" w:cs="宋体"/>
          <w:b/>
          <w:bCs/>
          <w:color w:val="auto"/>
          <w:szCs w:val="21"/>
          <w:highlight w:val="none"/>
          <w:lang w:val="en-US" w:eastAsia="zh-CN"/>
        </w:rPr>
        <w:t>2</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en-US" w:eastAsia="zh-CN"/>
        </w:rPr>
        <w:t>1.3</w:t>
      </w:r>
      <w:r>
        <w:rPr>
          <w:rFonts w:hint="eastAsia" w:ascii="宋体" w:hAnsi="宋体" w:eastAsia="宋体" w:cs="宋体"/>
          <w:b/>
          <w:bCs/>
          <w:color w:val="auto"/>
          <w:szCs w:val="21"/>
          <w:highlight w:val="none"/>
        </w:rPr>
        <w:t>其他有效证明材料</w:t>
      </w:r>
    </w:p>
    <w:p w14:paraId="7509D41C">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lang w:eastAsia="zh-CN"/>
        </w:rPr>
        <w:t>供应商20</w:t>
      </w:r>
      <w:r>
        <w:rPr>
          <w:rFonts w:hint="eastAsia" w:ascii="宋体" w:hAnsi="宋体" w:cs="宋体"/>
          <w:color w:val="auto"/>
          <w:szCs w:val="21"/>
          <w:highlight w:val="none"/>
          <w:lang w:val="en-US" w:eastAsia="zh-CN"/>
        </w:rPr>
        <w:t>20</w:t>
      </w:r>
      <w:r>
        <w:rPr>
          <w:rFonts w:hint="eastAsia" w:ascii="宋体" w:hAnsi="宋体" w:eastAsia="宋体" w:cs="宋体"/>
          <w:color w:val="auto"/>
          <w:szCs w:val="21"/>
          <w:highlight w:val="none"/>
          <w:lang w:eastAsia="zh-CN"/>
        </w:rPr>
        <w:t>年1月1日以来具有</w:t>
      </w:r>
      <w:r>
        <w:rPr>
          <w:rFonts w:hint="eastAsia" w:ascii="宋体" w:hAnsi="宋体" w:eastAsia="宋体" w:cs="宋体"/>
          <w:color w:val="auto"/>
          <w:szCs w:val="21"/>
          <w:highlight w:val="none"/>
          <w:lang w:val="en-US" w:eastAsia="zh-CN"/>
        </w:rPr>
        <w:t>类似工程</w:t>
      </w:r>
      <w:r>
        <w:rPr>
          <w:rFonts w:hint="eastAsia" w:ascii="宋体" w:hAnsi="宋体" w:eastAsia="宋体" w:cs="宋体"/>
          <w:color w:val="auto"/>
          <w:szCs w:val="21"/>
          <w:highlight w:val="none"/>
        </w:rPr>
        <w:t>业绩（无不良记录，以</w:t>
      </w:r>
      <w:r>
        <w:rPr>
          <w:rFonts w:hint="eastAsia" w:ascii="宋体" w:hAnsi="宋体" w:eastAsia="宋体" w:cs="宋体"/>
          <w:color w:val="auto"/>
          <w:szCs w:val="21"/>
          <w:highlight w:val="none"/>
          <w:lang w:eastAsia="zh-CN"/>
        </w:rPr>
        <w:t>中标（成交）通知书或签订的合同或竣工证明文件</w:t>
      </w:r>
      <w:r>
        <w:rPr>
          <w:rFonts w:hint="eastAsia" w:ascii="宋体" w:hAnsi="宋体" w:eastAsia="宋体" w:cs="宋体"/>
          <w:color w:val="auto"/>
          <w:szCs w:val="21"/>
          <w:highlight w:val="none"/>
        </w:rPr>
        <w:t>为准，并能清晰反映</w:t>
      </w:r>
      <w:r>
        <w:rPr>
          <w:rFonts w:hint="eastAsia" w:ascii="宋体" w:hAnsi="宋体" w:eastAsia="宋体" w:cs="宋体"/>
          <w:color w:val="auto"/>
          <w:szCs w:val="21"/>
          <w:highlight w:val="none"/>
          <w:lang w:eastAsia="zh-CN"/>
        </w:rPr>
        <w:t>项目</w:t>
      </w:r>
      <w:r>
        <w:rPr>
          <w:rFonts w:hint="eastAsia" w:ascii="宋体" w:hAnsi="宋体" w:eastAsia="宋体" w:cs="宋体"/>
          <w:color w:val="auto"/>
          <w:szCs w:val="21"/>
          <w:highlight w:val="none"/>
        </w:rPr>
        <w:t>的名称、</w:t>
      </w:r>
      <w:r>
        <w:rPr>
          <w:rFonts w:hint="eastAsia" w:ascii="宋体" w:hAnsi="宋体" w:eastAsia="宋体" w:cs="宋体"/>
          <w:color w:val="auto"/>
          <w:szCs w:val="21"/>
          <w:highlight w:val="none"/>
          <w:lang w:eastAsia="zh-CN"/>
        </w:rPr>
        <w:t>采购内容</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采购</w:t>
      </w:r>
      <w:r>
        <w:rPr>
          <w:rFonts w:hint="eastAsia" w:ascii="宋体" w:hAnsi="宋体" w:eastAsia="宋体" w:cs="宋体"/>
          <w:color w:val="auto"/>
          <w:szCs w:val="21"/>
          <w:highlight w:val="none"/>
        </w:rPr>
        <w:t>金额</w:t>
      </w:r>
      <w:r>
        <w:rPr>
          <w:rFonts w:hint="eastAsia" w:ascii="宋体" w:hAnsi="宋体" w:eastAsia="宋体" w:cs="宋体"/>
          <w:color w:val="auto"/>
          <w:szCs w:val="21"/>
          <w:highlight w:val="none"/>
          <w:lang w:eastAsia="zh-CN"/>
        </w:rPr>
        <w:t>、采购时间</w:t>
      </w:r>
      <w:r>
        <w:rPr>
          <w:rFonts w:hint="eastAsia" w:ascii="宋体" w:hAnsi="宋体" w:eastAsia="宋体" w:cs="宋体"/>
          <w:color w:val="auto"/>
          <w:szCs w:val="21"/>
          <w:highlight w:val="none"/>
        </w:rPr>
        <w:t>）</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en-US" w:eastAsia="zh-CN"/>
        </w:rPr>
        <w:t>如有</w:t>
      </w:r>
      <w:r>
        <w:rPr>
          <w:rFonts w:hint="eastAsia" w:ascii="宋体" w:hAnsi="宋体" w:cs="宋体"/>
          <w:b/>
          <w:bCs/>
          <w:color w:val="auto"/>
          <w:szCs w:val="21"/>
          <w:highlight w:val="none"/>
          <w:lang w:val="en-US" w:eastAsia="zh-CN"/>
        </w:rPr>
        <w:t>，请提供</w:t>
      </w:r>
      <w:r>
        <w:rPr>
          <w:rFonts w:hint="eastAsia" w:ascii="宋体" w:hAnsi="宋体" w:eastAsia="宋体" w:cs="宋体"/>
          <w:b/>
          <w:bCs/>
          <w:color w:val="auto"/>
          <w:szCs w:val="21"/>
          <w:highlight w:val="none"/>
        </w:rPr>
        <w:t>）；</w:t>
      </w:r>
    </w:p>
    <w:p w14:paraId="4520B5BF">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（2）供</w:t>
      </w:r>
      <w:r>
        <w:rPr>
          <w:rFonts w:hint="eastAsia" w:ascii="宋体" w:hAnsi="宋体" w:eastAsia="宋体" w:cs="宋体"/>
          <w:color w:val="000000" w:themeColor="text1"/>
          <w:szCs w:val="21"/>
          <w:highlight w:val="none"/>
          <w:lang w:val="en-US" w:eastAsia="zh-CN"/>
          <w14:textFill>
            <w14:solidFill>
              <w14:schemeClr w14:val="tx1"/>
            </w14:solidFill>
          </w14:textFill>
        </w:rPr>
        <w:t>应商2020年1月1日以来获奖情</w:t>
      </w:r>
      <w:r>
        <w:rPr>
          <w:rFonts w:hint="eastAsia" w:ascii="宋体" w:hAnsi="宋体" w:eastAsia="宋体" w:cs="宋体"/>
          <w:color w:val="auto"/>
          <w:szCs w:val="21"/>
          <w:highlight w:val="none"/>
          <w:lang w:val="en-US" w:eastAsia="zh-CN"/>
        </w:rPr>
        <w:t>况</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en-US" w:eastAsia="zh-CN"/>
        </w:rPr>
        <w:t>如有</w:t>
      </w:r>
      <w:r>
        <w:rPr>
          <w:rFonts w:hint="eastAsia" w:ascii="宋体" w:hAnsi="宋体" w:cs="宋体"/>
          <w:b/>
          <w:bCs/>
          <w:color w:val="auto"/>
          <w:szCs w:val="21"/>
          <w:highlight w:val="none"/>
          <w:lang w:val="en-US" w:eastAsia="zh-CN"/>
        </w:rPr>
        <w:t>，请提供</w:t>
      </w:r>
      <w:r>
        <w:rPr>
          <w:rFonts w:hint="eastAsia" w:ascii="宋体" w:hAnsi="宋体" w:eastAsia="宋体" w:cs="宋体"/>
          <w:b/>
          <w:bCs/>
          <w:color w:val="auto"/>
          <w:szCs w:val="21"/>
          <w:highlight w:val="none"/>
        </w:rPr>
        <w:t>）</w:t>
      </w:r>
      <w:r>
        <w:rPr>
          <w:rFonts w:hint="eastAsia" w:ascii="宋体" w:hAnsi="宋体" w:cs="宋体"/>
          <w:b/>
          <w:bCs/>
          <w:color w:val="auto"/>
          <w:szCs w:val="21"/>
          <w:highlight w:val="none"/>
          <w:lang w:eastAsia="zh-CN"/>
        </w:rPr>
        <w:t>；</w:t>
      </w:r>
    </w:p>
    <w:p w14:paraId="552818F0">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w:t>
      </w:r>
      <w:r>
        <w:rPr>
          <w:rFonts w:hint="eastAsia" w:ascii="宋体" w:hAnsi="宋体" w:eastAsia="宋体" w:cs="宋体"/>
          <w:color w:val="auto"/>
          <w:szCs w:val="21"/>
          <w:highlight w:val="none"/>
        </w:rPr>
        <w:t>供应商可结合本项目的评审办法视自身情况自行提交其它相关证明材料。</w:t>
      </w:r>
    </w:p>
    <w:p w14:paraId="0A174425">
      <w:pPr>
        <w:pageBreakBefore w:val="0"/>
        <w:widowControl w:val="0"/>
        <w:kinsoku/>
        <w:wordWrap/>
        <w:overflowPunct/>
        <w:topLinePunct w:val="0"/>
        <w:bidi w:val="0"/>
        <w:spacing w:line="440" w:lineRule="exact"/>
        <w:ind w:firstLine="420"/>
        <w:textAlignment w:val="auto"/>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供应商</w:t>
      </w:r>
      <w:r>
        <w:rPr>
          <w:rFonts w:hint="eastAsia" w:ascii="宋体" w:hAnsi="宋体" w:eastAsia="宋体" w:cs="宋体"/>
          <w:b/>
          <w:bCs/>
          <w:color w:val="auto"/>
          <w:highlight w:val="none"/>
        </w:rPr>
        <w:t>提供的以上相关证明材料属于“必须提供”的文件应加盖</w:t>
      </w:r>
      <w:r>
        <w:rPr>
          <w:rFonts w:hint="eastAsia" w:ascii="宋体" w:hAnsi="宋体" w:eastAsia="宋体" w:cs="宋体"/>
          <w:b/>
          <w:bCs/>
          <w:color w:val="auto"/>
          <w:highlight w:val="none"/>
          <w:lang w:eastAsia="zh-CN"/>
        </w:rPr>
        <w:t>磋商供应商</w:t>
      </w:r>
      <w:r>
        <w:rPr>
          <w:rFonts w:hint="eastAsia" w:ascii="宋体" w:hAnsi="宋体" w:cs="宋体"/>
          <w:b/>
          <w:bCs/>
          <w:color w:val="auto"/>
          <w:highlight w:val="none"/>
          <w:lang w:eastAsia="zh-CN"/>
        </w:rPr>
        <w:t>数字证书（CA认证）</w:t>
      </w:r>
      <w:r>
        <w:rPr>
          <w:rFonts w:hint="eastAsia" w:ascii="宋体" w:hAnsi="宋体" w:eastAsia="宋体" w:cs="宋体"/>
          <w:b/>
          <w:bCs/>
          <w:color w:val="auto"/>
          <w:highlight w:val="none"/>
        </w:rPr>
        <w:t>签章，否则</w:t>
      </w:r>
      <w:r>
        <w:rPr>
          <w:rFonts w:hint="eastAsia" w:ascii="宋体" w:hAnsi="宋体" w:eastAsia="宋体" w:cs="宋体"/>
          <w:b/>
          <w:bCs/>
          <w:color w:val="auto"/>
          <w:highlight w:val="none"/>
          <w:lang w:val="en-US" w:eastAsia="zh-CN"/>
        </w:rPr>
        <w:t>响应</w:t>
      </w:r>
      <w:r>
        <w:rPr>
          <w:rFonts w:hint="eastAsia" w:ascii="宋体" w:hAnsi="宋体" w:eastAsia="宋体" w:cs="宋体"/>
          <w:b/>
          <w:bCs/>
          <w:color w:val="auto"/>
          <w:highlight w:val="none"/>
        </w:rPr>
        <w:t>无效。</w:t>
      </w:r>
    </w:p>
    <w:p w14:paraId="52EBD5F3">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11.</w:t>
      </w:r>
      <w:r>
        <w:rPr>
          <w:rFonts w:hint="eastAsia" w:ascii="宋体" w:hAnsi="宋体" w:eastAsia="宋体" w:cs="宋体"/>
          <w:color w:val="auto"/>
          <w:szCs w:val="21"/>
          <w:highlight w:val="none"/>
          <w:lang w:val="en-US" w:eastAsia="zh-CN"/>
        </w:rPr>
        <w:t xml:space="preserve">3 </w:t>
      </w:r>
      <w:r>
        <w:rPr>
          <w:rFonts w:hint="eastAsia" w:ascii="宋体" w:hAnsi="宋体" w:eastAsia="宋体" w:cs="宋体"/>
          <w:color w:val="auto"/>
          <w:szCs w:val="21"/>
          <w:highlight w:val="none"/>
        </w:rPr>
        <w:t>供应商应按竞争性磋商文件第六章“响应文件（格式）”编制响应文件。</w:t>
      </w:r>
    </w:p>
    <w:p w14:paraId="62EDB537">
      <w:pPr>
        <w:pageBreakBefore w:val="0"/>
        <w:widowControl w:val="0"/>
        <w:kinsoku/>
        <w:wordWrap/>
        <w:overflowPunct/>
        <w:topLinePunct w:val="0"/>
        <w:bidi w:val="0"/>
        <w:spacing w:line="440" w:lineRule="exact"/>
        <w:ind w:firstLine="422" w:firstLineChars="200"/>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特别说明：</w:t>
      </w:r>
    </w:p>
    <w:p w14:paraId="164C186D">
      <w:pPr>
        <w:pageBreakBefore w:val="0"/>
        <w:widowControl w:val="0"/>
        <w:kinsoku/>
        <w:wordWrap/>
        <w:overflowPunct/>
        <w:topLinePunct w:val="0"/>
        <w:bidi w:val="0"/>
        <w:spacing w:line="440" w:lineRule="exact"/>
        <w:ind w:firstLine="422" w:firstLineChars="200"/>
        <w:textAlignment w:val="auto"/>
        <w:rPr>
          <w:rFonts w:hint="eastAsia" w:ascii="宋体" w:hAnsi="宋体" w:eastAsia="宋体" w:cs="宋体"/>
          <w:b/>
          <w:color w:val="auto"/>
          <w:szCs w:val="21"/>
          <w:highlight w:val="none"/>
        </w:rPr>
      </w:pPr>
      <w:r>
        <w:rPr>
          <w:rFonts w:hint="eastAsia" w:ascii="宋体" w:hAnsi="宋体" w:eastAsia="宋体" w:cs="宋体"/>
          <w:b/>
          <w:bCs/>
          <w:color w:val="auto"/>
          <w:szCs w:val="21"/>
          <w:highlight w:val="none"/>
        </w:rPr>
        <w:t>（1）响</w:t>
      </w:r>
      <w:r>
        <w:rPr>
          <w:rFonts w:hint="eastAsia" w:ascii="宋体" w:hAnsi="宋体" w:eastAsia="宋体" w:cs="宋体"/>
          <w:b/>
          <w:color w:val="auto"/>
          <w:szCs w:val="21"/>
          <w:highlight w:val="none"/>
        </w:rPr>
        <w:t>应文件（电子响应文件），其中电子响应文件中所须加盖公章部分均采用</w:t>
      </w:r>
      <w:r>
        <w:rPr>
          <w:rFonts w:hint="eastAsia" w:ascii="宋体" w:hAnsi="宋体" w:cs="宋体"/>
          <w:b/>
          <w:color w:val="auto"/>
          <w:szCs w:val="21"/>
          <w:highlight w:val="none"/>
          <w:lang w:eastAsia="zh-CN"/>
        </w:rPr>
        <w:t>数字证书（CA认证）</w:t>
      </w:r>
      <w:r>
        <w:rPr>
          <w:rFonts w:hint="eastAsia" w:ascii="宋体" w:hAnsi="宋体" w:eastAsia="宋体" w:cs="宋体"/>
          <w:b/>
          <w:color w:val="auto"/>
          <w:szCs w:val="21"/>
          <w:highlight w:val="none"/>
        </w:rPr>
        <w:t>签章。若磋商文件中有专门标注的某关联点，并要求供应商在电子</w:t>
      </w:r>
      <w:r>
        <w:rPr>
          <w:rFonts w:hint="eastAsia" w:ascii="宋体" w:hAnsi="宋体" w:cs="宋体"/>
          <w:b/>
          <w:color w:val="auto"/>
          <w:szCs w:val="21"/>
          <w:highlight w:val="none"/>
          <w:lang w:eastAsia="zh-CN"/>
        </w:rPr>
        <w:t>响应</w:t>
      </w:r>
      <w:r>
        <w:rPr>
          <w:rFonts w:hint="eastAsia" w:ascii="宋体" w:hAnsi="宋体" w:eastAsia="宋体" w:cs="宋体"/>
          <w:b/>
          <w:color w:val="auto"/>
          <w:szCs w:val="21"/>
          <w:highlight w:val="none"/>
        </w:rPr>
        <w:t>系统中作出磋商响应的，如供应商未对关联点进行响应或者在响应文件其它内容进行描述，造成电子评审不能查询的责任由供应商自行承担。</w:t>
      </w:r>
    </w:p>
    <w:p w14:paraId="2205BA24">
      <w:pPr>
        <w:pageBreakBefore w:val="0"/>
        <w:widowControl w:val="0"/>
        <w:numPr>
          <w:ilvl w:val="0"/>
          <w:numId w:val="4"/>
        </w:numPr>
        <w:kinsoku/>
        <w:wordWrap/>
        <w:overflowPunct/>
        <w:topLinePunct w:val="0"/>
        <w:bidi w:val="0"/>
        <w:spacing w:line="440" w:lineRule="exact"/>
        <w:ind w:left="0" w:leftChars="0" w:firstLine="422" w:firstLineChars="200"/>
        <w:textAlignment w:val="auto"/>
        <w:rPr>
          <w:rFonts w:hint="eastAsia" w:ascii="宋体" w:hAnsi="宋体" w:eastAsia="宋体" w:cs="宋体"/>
          <w:b/>
          <w:color w:val="auto"/>
          <w:szCs w:val="21"/>
          <w:highlight w:val="none"/>
        </w:rPr>
      </w:pPr>
      <w:r>
        <w:rPr>
          <w:rFonts w:hint="eastAsia" w:ascii="宋体" w:hAnsi="宋体" w:eastAsia="宋体" w:cs="宋体"/>
          <w:b/>
          <w:bCs/>
          <w:color w:val="auto"/>
          <w:szCs w:val="21"/>
          <w:highlight w:val="none"/>
          <w:lang w:eastAsia="zh-CN"/>
        </w:rPr>
        <w:t>磋商文件</w:t>
      </w:r>
      <w:r>
        <w:rPr>
          <w:rFonts w:hint="eastAsia" w:ascii="宋体" w:hAnsi="宋体" w:eastAsia="宋体" w:cs="宋体"/>
          <w:b/>
          <w:bCs/>
          <w:color w:val="auto"/>
          <w:szCs w:val="21"/>
          <w:highlight w:val="none"/>
        </w:rPr>
        <w:t>要求法定代表人（负责人）或委托代理人签字的部分必须签字然后扫描或者拍照做成 pdf 格式上传</w:t>
      </w:r>
      <w:r>
        <w:rPr>
          <w:rFonts w:hint="eastAsia" w:ascii="宋体" w:hAnsi="宋体" w:eastAsia="宋体" w:cs="宋体"/>
          <w:b/>
          <w:bCs/>
          <w:color w:val="auto"/>
          <w:szCs w:val="21"/>
          <w:highlight w:val="none"/>
          <w:lang w:eastAsia="zh-CN"/>
        </w:rPr>
        <w:t>（或加盖个人</w:t>
      </w:r>
      <w:r>
        <w:rPr>
          <w:rFonts w:hint="eastAsia" w:ascii="宋体" w:hAnsi="宋体" w:cs="宋体"/>
          <w:b/>
          <w:bCs/>
          <w:color w:val="auto"/>
          <w:szCs w:val="21"/>
          <w:highlight w:val="none"/>
          <w:lang w:val="en-US" w:eastAsia="zh-CN"/>
        </w:rPr>
        <w:t>数字证书（CA认证）</w:t>
      </w:r>
      <w:r>
        <w:rPr>
          <w:rFonts w:hint="eastAsia" w:ascii="宋体" w:hAnsi="宋体" w:eastAsia="宋体" w:cs="宋体"/>
          <w:b/>
          <w:bCs/>
          <w:color w:val="auto"/>
          <w:szCs w:val="21"/>
          <w:highlight w:val="none"/>
          <w:lang w:val="en-US" w:eastAsia="zh-CN"/>
        </w:rPr>
        <w:t>签章</w:t>
      </w: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rPr>
        <w:t>，无签字的视为</w:t>
      </w:r>
      <w:r>
        <w:rPr>
          <w:rFonts w:hint="eastAsia" w:ascii="宋体" w:hAnsi="宋体" w:eastAsia="宋体" w:cs="宋体"/>
          <w:b/>
          <w:bCs/>
          <w:color w:val="auto"/>
          <w:szCs w:val="21"/>
          <w:highlight w:val="none"/>
          <w:lang w:val="en-US" w:eastAsia="zh-CN"/>
        </w:rPr>
        <w:t>响应</w:t>
      </w:r>
      <w:r>
        <w:rPr>
          <w:rFonts w:hint="eastAsia" w:ascii="宋体" w:hAnsi="宋体" w:eastAsia="宋体" w:cs="宋体"/>
          <w:b/>
          <w:bCs/>
          <w:color w:val="auto"/>
          <w:szCs w:val="21"/>
          <w:highlight w:val="none"/>
        </w:rPr>
        <w:t>无效。</w:t>
      </w:r>
    </w:p>
    <w:p w14:paraId="03EE01E5">
      <w:pPr>
        <w:pStyle w:val="6"/>
        <w:pageBreakBefore w:val="0"/>
        <w:widowControl w:val="0"/>
        <w:kinsoku/>
        <w:wordWrap/>
        <w:overflowPunct/>
        <w:topLinePunct w:val="0"/>
        <w:bidi w:val="0"/>
        <w:spacing w:before="0" w:after="0" w:line="440" w:lineRule="exact"/>
        <w:ind w:firstLine="422" w:firstLineChars="200"/>
        <w:textAlignment w:val="auto"/>
        <w:rPr>
          <w:rFonts w:hint="eastAsia" w:ascii="宋体" w:hAnsi="宋体" w:eastAsia="宋体" w:cs="宋体"/>
          <w:color w:val="auto"/>
          <w:sz w:val="21"/>
          <w:szCs w:val="21"/>
          <w:highlight w:val="none"/>
        </w:rPr>
      </w:pPr>
      <w:bookmarkStart w:id="77" w:name="_Toc13660"/>
      <w:bookmarkStart w:id="78" w:name="_Toc2180"/>
      <w:r>
        <w:rPr>
          <w:rFonts w:hint="eastAsia" w:ascii="宋体" w:hAnsi="宋体" w:eastAsia="宋体" w:cs="宋体"/>
          <w:color w:val="auto"/>
          <w:sz w:val="21"/>
          <w:szCs w:val="21"/>
          <w:highlight w:val="none"/>
        </w:rPr>
        <w:t>12. 响应文件的语言及计量</w:t>
      </w:r>
      <w:bookmarkEnd w:id="77"/>
      <w:bookmarkEnd w:id="78"/>
    </w:p>
    <w:p w14:paraId="03AABEDC">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 响应文件以及供应商与采购代理机构就有关磋商事宜的所有来往函电，均应以中文汉语书写。供应商提交的支持文件和印刷的文献可以使用别的语言，但其相应内容必须附有中文翻译文本，在解释响应文件时以中文翻译文本为主。</w:t>
      </w:r>
    </w:p>
    <w:p w14:paraId="7E0606F6">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12.2 磋商计量单位，磋商文件已有明确规定的，使用磋商文件规定的计量单位；磋商文件没有规定的，应采用中华人民共和国法定计量单位（货币单位：人民币元），否则视同未响应。</w:t>
      </w:r>
    </w:p>
    <w:p w14:paraId="75F2B1B4">
      <w:pPr>
        <w:pStyle w:val="6"/>
        <w:pageBreakBefore w:val="0"/>
        <w:widowControl w:val="0"/>
        <w:kinsoku/>
        <w:wordWrap/>
        <w:overflowPunct/>
        <w:topLinePunct w:val="0"/>
        <w:bidi w:val="0"/>
        <w:spacing w:before="0" w:after="0" w:line="440" w:lineRule="exact"/>
        <w:ind w:firstLine="422" w:firstLineChars="200"/>
        <w:textAlignment w:val="auto"/>
        <w:rPr>
          <w:rFonts w:hint="eastAsia" w:ascii="宋体" w:hAnsi="宋体" w:eastAsia="宋体" w:cs="宋体"/>
          <w:color w:val="auto"/>
          <w:sz w:val="21"/>
          <w:szCs w:val="21"/>
          <w:highlight w:val="none"/>
        </w:rPr>
      </w:pPr>
      <w:bookmarkStart w:id="79" w:name="_Toc10838"/>
      <w:bookmarkStart w:id="80" w:name="_Toc3058"/>
      <w:r>
        <w:rPr>
          <w:rFonts w:hint="eastAsia" w:ascii="宋体" w:hAnsi="宋体" w:eastAsia="宋体" w:cs="宋体"/>
          <w:color w:val="auto"/>
          <w:sz w:val="21"/>
          <w:szCs w:val="21"/>
          <w:highlight w:val="none"/>
        </w:rPr>
        <w:t>13. 磋商报价及采购预算金额</w:t>
      </w:r>
      <w:bookmarkEnd w:id="79"/>
      <w:bookmarkEnd w:id="80"/>
    </w:p>
    <w:p w14:paraId="0BDBCE55">
      <w:pPr>
        <w:keepNext w:val="0"/>
        <w:keepLines w:val="0"/>
        <w:pageBreakBefore w:val="0"/>
        <w:widowControl w:val="0"/>
        <w:kinsoku/>
        <w:wordWrap/>
        <w:overflowPunct/>
        <w:topLinePunct w:val="0"/>
        <w:autoSpaceDE/>
        <w:autoSpaceDN/>
        <w:bidi w:val="0"/>
        <w:adjustRightInd/>
        <w:snapToGrid/>
        <w:spacing w:line="440" w:lineRule="exact"/>
        <w:ind w:left="0" w:leftChars="0" w:right="0"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13.1、磋商总报价应按采购文件中相关附表格式填写。</w:t>
      </w:r>
    </w:p>
    <w:p w14:paraId="0E531C9A">
      <w:pPr>
        <w:keepNext w:val="0"/>
        <w:keepLines w:val="0"/>
        <w:pageBreakBefore w:val="0"/>
        <w:widowControl w:val="0"/>
        <w:kinsoku/>
        <w:wordWrap/>
        <w:overflowPunct/>
        <w:topLinePunct w:val="0"/>
        <w:autoSpaceDE/>
        <w:autoSpaceDN/>
        <w:bidi w:val="0"/>
        <w:adjustRightInd/>
        <w:snapToGrid/>
        <w:spacing w:line="440" w:lineRule="exact"/>
        <w:ind w:left="0" w:leftChars="0" w:right="0"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13.2、磋商供应商必须就磋商文件所有内容作完整唯一报价，否则，其磋商将被拒绝。响应文件只允许有一个报价，有选择的或有条件的报价将不予接受。</w:t>
      </w:r>
    </w:p>
    <w:p w14:paraId="2192B703">
      <w:pPr>
        <w:keepNext w:val="0"/>
        <w:keepLines w:val="0"/>
        <w:pageBreakBefore w:val="0"/>
        <w:widowControl w:val="0"/>
        <w:kinsoku/>
        <w:wordWrap/>
        <w:overflowPunct/>
        <w:topLinePunct w:val="0"/>
        <w:autoSpaceDE/>
        <w:autoSpaceDN/>
        <w:bidi w:val="0"/>
        <w:adjustRightInd/>
        <w:snapToGrid/>
        <w:spacing w:line="440" w:lineRule="exact"/>
        <w:ind w:left="0" w:leftChars="0" w:right="0"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13.3、磋商总报价包括本项目采购范围内一切服务价款的总和；供应商综合考虑在报价中。</w:t>
      </w:r>
    </w:p>
    <w:p w14:paraId="24C434D0">
      <w:pPr>
        <w:keepNext w:val="0"/>
        <w:keepLines w:val="0"/>
        <w:pageBreakBefore w:val="0"/>
        <w:widowControl w:val="0"/>
        <w:kinsoku/>
        <w:wordWrap/>
        <w:overflowPunct/>
        <w:topLinePunct w:val="0"/>
        <w:autoSpaceDE/>
        <w:autoSpaceDN/>
        <w:bidi w:val="0"/>
        <w:adjustRightInd/>
        <w:snapToGrid/>
        <w:spacing w:line="440" w:lineRule="exact"/>
        <w:ind w:left="0" w:leftChars="0" w:right="0"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13.4、供应商按照采购人提供的工程量清单填写本合同各工程子目的单价、合价和总额价。磋商小组将按照下述规定对磋商报价进行算术性错误修正及其他错误修正。</w:t>
      </w:r>
    </w:p>
    <w:p w14:paraId="4705AD83">
      <w:pPr>
        <w:keepNext w:val="0"/>
        <w:keepLines w:val="0"/>
        <w:pageBreakBefore w:val="0"/>
        <w:widowControl w:val="0"/>
        <w:kinsoku/>
        <w:wordWrap/>
        <w:overflowPunct/>
        <w:topLinePunct w:val="0"/>
        <w:autoSpaceDE/>
        <w:autoSpaceDN/>
        <w:bidi w:val="0"/>
        <w:adjustRightInd/>
        <w:snapToGrid/>
        <w:spacing w:line="440" w:lineRule="exact"/>
        <w:ind w:left="0" w:leftChars="0" w:right="0"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13.4.1磋商报价有算术错误的，磋商小组按以下原则对磋商报价进行修正，修正的价格经供应商书面确认后具有约束力。供应商不接受修正价格的，磋商小组应否决其投标。</w:t>
      </w:r>
    </w:p>
    <w:p w14:paraId="34C2A032">
      <w:pPr>
        <w:keepNext w:val="0"/>
        <w:keepLines w:val="0"/>
        <w:pageBreakBefore w:val="0"/>
        <w:widowControl w:val="0"/>
        <w:kinsoku/>
        <w:wordWrap/>
        <w:overflowPunct/>
        <w:topLinePunct w:val="0"/>
        <w:autoSpaceDE/>
        <w:autoSpaceDN/>
        <w:bidi w:val="0"/>
        <w:adjustRightInd/>
        <w:snapToGrid/>
        <w:spacing w:line="440" w:lineRule="exact"/>
        <w:ind w:left="0" w:leftChars="0" w:right="0"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(1)响应文件中的大写金额与小写金额不一致的，以大写金额为准;</w:t>
      </w:r>
    </w:p>
    <w:p w14:paraId="7F5335CE">
      <w:pPr>
        <w:keepNext w:val="0"/>
        <w:keepLines w:val="0"/>
        <w:pageBreakBefore w:val="0"/>
        <w:widowControl w:val="0"/>
        <w:kinsoku/>
        <w:wordWrap/>
        <w:overflowPunct/>
        <w:topLinePunct w:val="0"/>
        <w:autoSpaceDE/>
        <w:autoSpaceDN/>
        <w:bidi w:val="0"/>
        <w:adjustRightInd/>
        <w:snapToGrid/>
        <w:spacing w:line="440" w:lineRule="exact"/>
        <w:ind w:left="0" w:leftChars="0" w:right="0"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cs="宋体"/>
          <w:bCs/>
          <w:color w:val="auto"/>
          <w:sz w:val="21"/>
          <w:szCs w:val="21"/>
          <w:highlight w:val="none"/>
          <w:lang w:eastAsia="zh-CN"/>
        </w:rPr>
        <w:t>（</w:t>
      </w:r>
      <w:r>
        <w:rPr>
          <w:rFonts w:hint="eastAsia" w:ascii="宋体" w:hAnsi="宋体" w:cs="宋体"/>
          <w:bCs/>
          <w:color w:val="auto"/>
          <w:sz w:val="21"/>
          <w:szCs w:val="21"/>
          <w:highlight w:val="none"/>
          <w:lang w:val="en-US" w:eastAsia="zh-CN"/>
        </w:rPr>
        <w:t>2</w:t>
      </w:r>
      <w:r>
        <w:rPr>
          <w:rFonts w:hint="eastAsia" w:ascii="宋体" w:hAnsi="宋体" w:cs="宋体"/>
          <w:bCs/>
          <w:color w:val="auto"/>
          <w:sz w:val="21"/>
          <w:szCs w:val="21"/>
          <w:highlight w:val="none"/>
          <w:lang w:eastAsia="zh-CN"/>
        </w:rPr>
        <w:t>）</w:t>
      </w:r>
      <w:r>
        <w:rPr>
          <w:rFonts w:hint="eastAsia" w:ascii="宋体" w:hAnsi="宋体" w:eastAsia="宋体" w:cs="宋体"/>
          <w:bCs/>
          <w:color w:val="auto"/>
          <w:sz w:val="21"/>
          <w:szCs w:val="21"/>
          <w:highlight w:val="none"/>
          <w:lang w:eastAsia="zh-CN"/>
        </w:rPr>
        <w:t>总价金额与依据单价计算出的结果不一致的，以单价金额为准修正总价，但单价金额小数点有明显错误的除外;</w:t>
      </w:r>
    </w:p>
    <w:p w14:paraId="13CE01D3">
      <w:pPr>
        <w:keepNext w:val="0"/>
        <w:keepLines w:val="0"/>
        <w:pageBreakBefore w:val="0"/>
        <w:widowControl w:val="0"/>
        <w:kinsoku/>
        <w:wordWrap/>
        <w:overflowPunct/>
        <w:topLinePunct w:val="0"/>
        <w:autoSpaceDE/>
        <w:autoSpaceDN/>
        <w:bidi w:val="0"/>
        <w:adjustRightInd/>
        <w:snapToGrid/>
        <w:spacing w:line="440" w:lineRule="exact"/>
        <w:ind w:left="0" w:leftChars="0" w:right="0"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cs="宋体"/>
          <w:bCs/>
          <w:color w:val="auto"/>
          <w:sz w:val="21"/>
          <w:szCs w:val="21"/>
          <w:highlight w:val="none"/>
          <w:lang w:eastAsia="zh-CN"/>
        </w:rPr>
        <w:t>（</w:t>
      </w:r>
      <w:r>
        <w:rPr>
          <w:rFonts w:hint="eastAsia" w:ascii="宋体" w:hAnsi="宋体" w:cs="宋体"/>
          <w:bCs/>
          <w:color w:val="auto"/>
          <w:sz w:val="21"/>
          <w:szCs w:val="21"/>
          <w:highlight w:val="none"/>
          <w:lang w:val="en-US" w:eastAsia="zh-CN"/>
        </w:rPr>
        <w:t>3</w:t>
      </w:r>
      <w:r>
        <w:rPr>
          <w:rFonts w:hint="eastAsia" w:ascii="宋体" w:hAnsi="宋体" w:cs="宋体"/>
          <w:bCs/>
          <w:color w:val="auto"/>
          <w:sz w:val="21"/>
          <w:szCs w:val="21"/>
          <w:highlight w:val="none"/>
          <w:lang w:eastAsia="zh-CN"/>
        </w:rPr>
        <w:t>）</w:t>
      </w:r>
      <w:r>
        <w:rPr>
          <w:rFonts w:hint="eastAsia" w:ascii="宋体" w:hAnsi="宋体" w:eastAsia="宋体" w:cs="宋体"/>
          <w:bCs/>
          <w:color w:val="auto"/>
          <w:sz w:val="21"/>
          <w:szCs w:val="21"/>
          <w:highlight w:val="none"/>
          <w:lang w:eastAsia="zh-CN"/>
        </w:rPr>
        <w:t>当单价与数量相乘不等于合价时，以单价计算为准，如果单价有明显的小数点位置差错，应以标出的合价为准，同时对单价予以修正;</w:t>
      </w:r>
    </w:p>
    <w:p w14:paraId="4CF2A29D">
      <w:pPr>
        <w:keepNext w:val="0"/>
        <w:keepLines w:val="0"/>
        <w:pageBreakBefore w:val="0"/>
        <w:widowControl w:val="0"/>
        <w:kinsoku/>
        <w:wordWrap/>
        <w:overflowPunct/>
        <w:topLinePunct w:val="0"/>
        <w:autoSpaceDE/>
        <w:autoSpaceDN/>
        <w:bidi w:val="0"/>
        <w:adjustRightInd/>
        <w:snapToGrid/>
        <w:spacing w:line="440" w:lineRule="exact"/>
        <w:ind w:left="0" w:leftChars="0" w:right="0"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(4)当各子目的合价累计不等于总价时，应以各子目合价累计数为准，修正总价。</w:t>
      </w:r>
    </w:p>
    <w:p w14:paraId="0AD008E7">
      <w:pPr>
        <w:keepNext w:val="0"/>
        <w:keepLines w:val="0"/>
        <w:pageBreakBefore w:val="0"/>
        <w:widowControl w:val="0"/>
        <w:kinsoku/>
        <w:wordWrap/>
        <w:overflowPunct/>
        <w:topLinePunct w:val="0"/>
        <w:autoSpaceDE/>
        <w:autoSpaceDN/>
        <w:bidi w:val="0"/>
        <w:adjustRightInd/>
        <w:snapToGrid/>
        <w:spacing w:line="440" w:lineRule="exact"/>
        <w:ind w:left="0" w:leftChars="0" w:right="0"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13.4.2工程量清单中的磋商报价有其他错误的，磋商小组按以下原则对磋商报价进行修正，修正的价格经供应商书面确认后具有约束力。供应商不接受修正价格的，磋商小组应否决其投标。</w:t>
      </w:r>
    </w:p>
    <w:p w14:paraId="559091A6">
      <w:pPr>
        <w:keepNext w:val="0"/>
        <w:keepLines w:val="0"/>
        <w:pageBreakBefore w:val="0"/>
        <w:widowControl w:val="0"/>
        <w:kinsoku/>
        <w:wordWrap/>
        <w:overflowPunct/>
        <w:topLinePunct w:val="0"/>
        <w:autoSpaceDE/>
        <w:autoSpaceDN/>
        <w:bidi w:val="0"/>
        <w:adjustRightInd/>
        <w:snapToGrid/>
        <w:spacing w:line="440" w:lineRule="exact"/>
        <w:ind w:left="0" w:leftChars="0" w:right="0"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cs="宋体"/>
          <w:bCs/>
          <w:color w:val="auto"/>
          <w:sz w:val="21"/>
          <w:szCs w:val="21"/>
          <w:highlight w:val="none"/>
          <w:lang w:eastAsia="zh-CN"/>
        </w:rPr>
        <w:t>（</w:t>
      </w:r>
      <w:r>
        <w:rPr>
          <w:rFonts w:hint="eastAsia" w:ascii="宋体" w:hAnsi="宋体" w:cs="宋体"/>
          <w:bCs/>
          <w:color w:val="auto"/>
          <w:sz w:val="21"/>
          <w:szCs w:val="21"/>
          <w:highlight w:val="none"/>
          <w:lang w:val="en-US" w:eastAsia="zh-CN"/>
        </w:rPr>
        <w:t>1</w:t>
      </w:r>
      <w:r>
        <w:rPr>
          <w:rFonts w:hint="eastAsia" w:ascii="宋体" w:hAnsi="宋体" w:cs="宋体"/>
          <w:bCs/>
          <w:color w:val="auto"/>
          <w:sz w:val="21"/>
          <w:szCs w:val="21"/>
          <w:highlight w:val="none"/>
          <w:lang w:eastAsia="zh-CN"/>
        </w:rPr>
        <w:t>）</w:t>
      </w:r>
      <w:r>
        <w:rPr>
          <w:rFonts w:hint="eastAsia" w:ascii="宋体" w:hAnsi="宋体" w:eastAsia="宋体" w:cs="宋体"/>
          <w:bCs/>
          <w:color w:val="auto"/>
          <w:sz w:val="21"/>
          <w:szCs w:val="21"/>
          <w:highlight w:val="none"/>
          <w:lang w:eastAsia="zh-CN"/>
        </w:rPr>
        <w:t>在采购人给定的工程量清单中漏报了某个工程子目的单价、合价或总额价，或所报单价、合价或总额价减少了报价范围，则漏报的工程子目单价、合价和总额价或单价、合价和总额价中减少的报价内容视为已含入其他工程子目的单价、合价和总额价之中。</w:t>
      </w:r>
    </w:p>
    <w:p w14:paraId="47868628">
      <w:pPr>
        <w:keepNext w:val="0"/>
        <w:keepLines w:val="0"/>
        <w:pageBreakBefore w:val="0"/>
        <w:widowControl w:val="0"/>
        <w:kinsoku/>
        <w:wordWrap/>
        <w:overflowPunct/>
        <w:topLinePunct w:val="0"/>
        <w:autoSpaceDE/>
        <w:autoSpaceDN/>
        <w:bidi w:val="0"/>
        <w:adjustRightInd/>
        <w:snapToGrid/>
        <w:spacing w:line="440" w:lineRule="exact"/>
        <w:ind w:left="0" w:leftChars="0" w:right="0"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(2)在采购人给定的工程量清单中多报了某个工程子目的单价、合价或总额价，或所报单价、合价或总额价增加了报价范围，则从磋商报价中扣除多报的工程子目报价或工程子目报价中增加了报价范围的部分报价。</w:t>
      </w:r>
    </w:p>
    <w:p w14:paraId="6B500671">
      <w:pPr>
        <w:keepNext w:val="0"/>
        <w:keepLines w:val="0"/>
        <w:pageBreakBefore w:val="0"/>
        <w:widowControl w:val="0"/>
        <w:kinsoku/>
        <w:wordWrap/>
        <w:overflowPunct/>
        <w:topLinePunct w:val="0"/>
        <w:autoSpaceDE/>
        <w:autoSpaceDN/>
        <w:bidi w:val="0"/>
        <w:adjustRightInd/>
        <w:snapToGrid/>
        <w:spacing w:line="440" w:lineRule="exact"/>
        <w:ind w:left="0" w:leftChars="0" w:right="0"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(3)当单价与数量的乘积与合价(金额)虽然一致，但供应商修改了该子目的工程数量，则其合价按采购人给定的工程数量乘以供应商所报单价予以修正。</w:t>
      </w:r>
    </w:p>
    <w:p w14:paraId="52129A44">
      <w:pPr>
        <w:keepNext w:val="0"/>
        <w:keepLines w:val="0"/>
        <w:pageBreakBefore w:val="0"/>
        <w:widowControl w:val="0"/>
        <w:kinsoku/>
        <w:wordWrap/>
        <w:overflowPunct/>
        <w:topLinePunct w:val="0"/>
        <w:autoSpaceDE/>
        <w:autoSpaceDN/>
        <w:bidi w:val="0"/>
        <w:adjustRightInd/>
        <w:snapToGrid/>
        <w:spacing w:line="440" w:lineRule="exact"/>
        <w:ind w:left="0" w:leftChars="0" w:right="0"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13.5、未书面退出磋商的供应商在规定时间内提交最后报价，其最后报价超出采购预算金额导致已通过评审的响应文件无效的，按供应商在提交响应文件截止时间后撤回响应文件处理。</w:t>
      </w:r>
    </w:p>
    <w:p w14:paraId="4F5ADE84">
      <w:pPr>
        <w:keepNext w:val="0"/>
        <w:keepLines w:val="0"/>
        <w:pageBreakBefore w:val="0"/>
        <w:widowControl w:val="0"/>
        <w:kinsoku/>
        <w:wordWrap/>
        <w:overflowPunct/>
        <w:topLinePunct w:val="0"/>
        <w:autoSpaceDE/>
        <w:autoSpaceDN/>
        <w:bidi w:val="0"/>
        <w:adjustRightInd/>
        <w:snapToGrid/>
        <w:spacing w:line="440" w:lineRule="exact"/>
        <w:ind w:left="0" w:leftChars="0" w:right="0"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13.6、最后磋商总报价超出本项目采购预算总金额的将被视为无效磋商。</w:t>
      </w:r>
    </w:p>
    <w:p w14:paraId="5011E2EB">
      <w:pPr>
        <w:keepNext w:val="0"/>
        <w:keepLines w:val="0"/>
        <w:pageBreakBefore w:val="0"/>
        <w:widowControl w:val="0"/>
        <w:kinsoku/>
        <w:wordWrap/>
        <w:overflowPunct/>
        <w:topLinePunct w:val="0"/>
        <w:autoSpaceDE/>
        <w:autoSpaceDN/>
        <w:bidi w:val="0"/>
        <w:adjustRightInd/>
        <w:snapToGrid/>
        <w:spacing w:line="440" w:lineRule="exact"/>
        <w:ind w:left="0" w:leftChars="0" w:right="0"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13.7、磋商总报价应包括本次采购范围内提供的服务、技术费、人工费、保险、税金、培训、版权费等全部费用，磋商供应商综合考虑在报价中。</w:t>
      </w:r>
    </w:p>
    <w:p w14:paraId="5076CCB5">
      <w:pPr>
        <w:keepNext w:val="0"/>
        <w:keepLines w:val="0"/>
        <w:pageBreakBefore w:val="0"/>
        <w:widowControl w:val="0"/>
        <w:kinsoku/>
        <w:wordWrap/>
        <w:overflowPunct/>
        <w:topLinePunct w:val="0"/>
        <w:autoSpaceDE/>
        <w:autoSpaceDN/>
        <w:bidi w:val="0"/>
        <w:adjustRightInd/>
        <w:snapToGrid/>
        <w:spacing w:line="440" w:lineRule="exact"/>
        <w:ind w:left="0" w:leftChars="0" w:right="0"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13.8、工程量清单报价表中所报的单价和合价，以及报价汇总表中的价格应包括施工设备（含脚手架）、主要材料、辅助材料、安装（如工程量清单中未列所安装设备则包含所安装设备的采购）、垃圾清运、劳务、管理、维护、保险、利润、增值税、政策性文件规定及合同包含的所有风险、责任等各项应有费用。</w:t>
      </w:r>
    </w:p>
    <w:p w14:paraId="613ECC5E">
      <w:pPr>
        <w:keepNext w:val="0"/>
        <w:keepLines w:val="0"/>
        <w:pageBreakBefore w:val="0"/>
        <w:widowControl w:val="0"/>
        <w:kinsoku/>
        <w:wordWrap/>
        <w:overflowPunct/>
        <w:topLinePunct w:val="0"/>
        <w:autoSpaceDE/>
        <w:autoSpaceDN/>
        <w:bidi w:val="0"/>
        <w:adjustRightInd/>
        <w:snapToGrid/>
        <w:spacing w:line="440" w:lineRule="exact"/>
        <w:ind w:left="0" w:leftChars="0" w:right="0"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13.9、磋商供应商应按磋商文件提供的工程量清单计算工程项目的综合单价和合价。清单中的每一项均需计算填写综合单价和合价，磋商供应商没有填写综合单价和合价的项目将不予支付，并认为此项费用已包括在清单的其他综合单价和合价中。磋商供应商在清单中多报的细目或单价、合价或总额价发包人将不予支持。</w:t>
      </w:r>
    </w:p>
    <w:p w14:paraId="7C268B2C">
      <w:pPr>
        <w:keepNext w:val="0"/>
        <w:keepLines w:val="0"/>
        <w:pageBreakBefore w:val="0"/>
        <w:widowControl w:val="0"/>
        <w:kinsoku/>
        <w:wordWrap/>
        <w:overflowPunct/>
        <w:topLinePunct w:val="0"/>
        <w:autoSpaceDE/>
        <w:autoSpaceDN/>
        <w:bidi w:val="0"/>
        <w:adjustRightInd/>
        <w:snapToGrid/>
        <w:spacing w:line="440" w:lineRule="exact"/>
        <w:ind w:left="0" w:leftChars="0" w:right="0"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13.10、磋商供应商应对磋商文件中清单所列的各项内容和要求作实质性响应。</w:t>
      </w:r>
    </w:p>
    <w:p w14:paraId="39D441C3">
      <w:pPr>
        <w:keepNext w:val="0"/>
        <w:keepLines w:val="0"/>
        <w:pageBreakBefore w:val="0"/>
        <w:widowControl w:val="0"/>
        <w:kinsoku/>
        <w:wordWrap/>
        <w:overflowPunct/>
        <w:topLinePunct w:val="0"/>
        <w:autoSpaceDE/>
        <w:autoSpaceDN/>
        <w:bidi w:val="0"/>
        <w:adjustRightInd/>
        <w:snapToGrid/>
        <w:spacing w:line="440" w:lineRule="exact"/>
        <w:ind w:left="0" w:leftChars="0" w:right="0"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13.11、磋商供应商应采用综合单价对工程量清单进行磋商，不得采用总价让利或以百分比让利等形式进行磋商。</w:t>
      </w:r>
    </w:p>
    <w:p w14:paraId="6E08E4B5">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13.</w:t>
      </w:r>
      <w:r>
        <w:rPr>
          <w:rFonts w:hint="eastAsia" w:ascii="宋体" w:hAnsi="宋体" w:eastAsia="宋体" w:cs="宋体"/>
          <w:color w:val="auto"/>
          <w:szCs w:val="21"/>
          <w:highlight w:val="none"/>
          <w:lang w:val="en-US" w:eastAsia="zh-CN"/>
        </w:rPr>
        <w:t>12</w:t>
      </w:r>
      <w:r>
        <w:rPr>
          <w:rFonts w:hint="eastAsia" w:ascii="宋体" w:hAnsi="宋体" w:eastAsia="宋体" w:cs="宋体"/>
          <w:color w:val="auto"/>
          <w:szCs w:val="21"/>
          <w:highlight w:val="none"/>
        </w:rPr>
        <w:t>供应商应在规定时间内在</w:t>
      </w:r>
      <w:r>
        <w:rPr>
          <w:rFonts w:hint="eastAsia" w:ascii="宋体" w:hAnsi="宋体" w:cs="宋体"/>
          <w:color w:val="auto"/>
          <w:szCs w:val="21"/>
          <w:highlight w:val="none"/>
          <w:lang w:eastAsia="zh-CN"/>
        </w:rPr>
        <w:t>广西政府采购云平台</w:t>
      </w:r>
      <w:r>
        <w:rPr>
          <w:rFonts w:hint="eastAsia" w:ascii="宋体" w:hAnsi="宋体" w:eastAsia="宋体" w:cs="宋体"/>
          <w:color w:val="auto"/>
          <w:szCs w:val="21"/>
          <w:highlight w:val="none"/>
        </w:rPr>
        <w:t>系统上提交最后报价，超出</w:t>
      </w:r>
      <w:r>
        <w:rPr>
          <w:rFonts w:hint="eastAsia" w:ascii="宋体" w:hAnsi="宋体" w:cs="宋体"/>
          <w:color w:val="auto"/>
          <w:szCs w:val="21"/>
          <w:highlight w:val="none"/>
          <w:lang w:eastAsia="zh-CN"/>
        </w:rPr>
        <w:t>磋商小组</w:t>
      </w:r>
      <w:r>
        <w:rPr>
          <w:rFonts w:hint="eastAsia" w:ascii="宋体" w:hAnsi="宋体" w:eastAsia="宋体" w:cs="宋体"/>
          <w:color w:val="auto"/>
          <w:szCs w:val="21"/>
          <w:highlight w:val="none"/>
        </w:rPr>
        <w:t>设定的最后报价时限或其最后报价超出采购预算导致已通过评审的响应文件无效的，按供应商在提交响应文件截止时间后撤回响应文件处理。</w:t>
      </w:r>
    </w:p>
    <w:p w14:paraId="6D66E79C">
      <w:pPr>
        <w:pStyle w:val="6"/>
        <w:pageBreakBefore w:val="0"/>
        <w:widowControl w:val="0"/>
        <w:kinsoku/>
        <w:wordWrap/>
        <w:overflowPunct/>
        <w:topLinePunct w:val="0"/>
        <w:bidi w:val="0"/>
        <w:spacing w:before="0" w:after="0" w:line="440" w:lineRule="exact"/>
        <w:ind w:firstLine="422" w:firstLineChars="200"/>
        <w:textAlignment w:val="auto"/>
        <w:rPr>
          <w:rFonts w:hint="eastAsia" w:ascii="宋体" w:hAnsi="宋体" w:eastAsia="宋体" w:cs="宋体"/>
          <w:color w:val="auto"/>
          <w:sz w:val="21"/>
          <w:szCs w:val="21"/>
          <w:highlight w:val="none"/>
        </w:rPr>
      </w:pPr>
      <w:bookmarkStart w:id="81" w:name="_Toc30554"/>
      <w:bookmarkStart w:id="82" w:name="_Toc26881"/>
      <w:r>
        <w:rPr>
          <w:rFonts w:hint="eastAsia" w:ascii="宋体" w:hAnsi="宋体" w:eastAsia="宋体" w:cs="宋体"/>
          <w:color w:val="auto"/>
          <w:sz w:val="21"/>
          <w:szCs w:val="21"/>
          <w:highlight w:val="none"/>
        </w:rPr>
        <w:t>14. 响应文件有效期</w:t>
      </w:r>
      <w:bookmarkEnd w:id="81"/>
      <w:bookmarkEnd w:id="82"/>
    </w:p>
    <w:p w14:paraId="2E8F0558">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14.1 响应文件有效期：响应文件递交截止时间之日起90天，有效期不足的响应文件将被拒绝。</w:t>
      </w:r>
    </w:p>
    <w:p w14:paraId="62B46475">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14.2 出现特殊情况下，需要延长响应文件有效期的，采购代理机构</w:t>
      </w:r>
      <w:r>
        <w:rPr>
          <w:rFonts w:hint="eastAsia" w:ascii="宋体" w:hAnsi="宋体" w:eastAsia="宋体" w:cs="宋体"/>
          <w:color w:val="auto"/>
          <w:szCs w:val="21"/>
          <w:highlight w:val="none"/>
          <w:lang w:eastAsia="zh-CN"/>
        </w:rPr>
        <w:t>书面</w:t>
      </w:r>
      <w:r>
        <w:rPr>
          <w:rFonts w:hint="eastAsia" w:ascii="宋体" w:hAnsi="宋体" w:eastAsia="宋体" w:cs="宋体"/>
          <w:color w:val="auto"/>
          <w:szCs w:val="21"/>
          <w:highlight w:val="none"/>
        </w:rPr>
        <w:t>通知供应商延长响应文件有效期。供应商同意延长的，但不能修改响应文件。供应商拒绝延长的，其响应文件无效。</w:t>
      </w:r>
    </w:p>
    <w:p w14:paraId="65E20A54">
      <w:pPr>
        <w:pStyle w:val="6"/>
        <w:pageBreakBefore w:val="0"/>
        <w:widowControl w:val="0"/>
        <w:kinsoku/>
        <w:wordWrap/>
        <w:overflowPunct/>
        <w:topLinePunct w:val="0"/>
        <w:bidi w:val="0"/>
        <w:spacing w:before="0" w:after="0" w:line="440" w:lineRule="exact"/>
        <w:ind w:firstLine="422" w:firstLineChars="200"/>
        <w:textAlignment w:val="auto"/>
        <w:rPr>
          <w:rFonts w:hint="eastAsia" w:ascii="宋体" w:hAnsi="宋体" w:eastAsia="宋体" w:cs="宋体"/>
          <w:color w:val="auto"/>
          <w:sz w:val="21"/>
          <w:szCs w:val="21"/>
          <w:highlight w:val="none"/>
        </w:rPr>
      </w:pPr>
      <w:bookmarkStart w:id="83" w:name="_Toc22602"/>
      <w:bookmarkStart w:id="84" w:name="_Toc20698"/>
      <w:r>
        <w:rPr>
          <w:rFonts w:hint="eastAsia" w:ascii="宋体" w:hAnsi="宋体" w:eastAsia="宋体" w:cs="宋体"/>
          <w:color w:val="auto"/>
          <w:sz w:val="21"/>
          <w:szCs w:val="21"/>
          <w:highlight w:val="none"/>
        </w:rPr>
        <w:t>15. 保证金</w:t>
      </w:r>
      <w:bookmarkEnd w:id="83"/>
      <w:bookmarkEnd w:id="84"/>
    </w:p>
    <w:p w14:paraId="4D1F1D95">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本项目无需缴纳磋商保证金。</w:t>
      </w:r>
    </w:p>
    <w:p w14:paraId="684A7B26">
      <w:pPr>
        <w:pStyle w:val="6"/>
        <w:pageBreakBefore w:val="0"/>
        <w:widowControl w:val="0"/>
        <w:kinsoku/>
        <w:wordWrap/>
        <w:overflowPunct/>
        <w:topLinePunct w:val="0"/>
        <w:bidi w:val="0"/>
        <w:spacing w:before="0" w:after="0" w:line="440" w:lineRule="exact"/>
        <w:ind w:firstLine="422" w:firstLineChars="200"/>
        <w:textAlignment w:val="auto"/>
        <w:rPr>
          <w:rFonts w:hint="eastAsia" w:ascii="宋体" w:hAnsi="宋体" w:eastAsia="宋体" w:cs="宋体"/>
          <w:color w:val="auto"/>
          <w:sz w:val="21"/>
          <w:szCs w:val="21"/>
          <w:highlight w:val="none"/>
          <w:lang w:eastAsia="zh-CN"/>
        </w:rPr>
      </w:pPr>
      <w:bookmarkStart w:id="85" w:name="_Toc387"/>
      <w:bookmarkStart w:id="86" w:name="_Toc30118"/>
      <w:r>
        <w:rPr>
          <w:rFonts w:hint="eastAsia" w:ascii="宋体" w:hAnsi="宋体" w:eastAsia="宋体" w:cs="宋体"/>
          <w:color w:val="auto"/>
          <w:sz w:val="21"/>
          <w:szCs w:val="21"/>
          <w:highlight w:val="none"/>
        </w:rPr>
        <w:t>16. 竞争性</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响应文件的</w:t>
      </w:r>
      <w:bookmarkEnd w:id="85"/>
      <w:r>
        <w:rPr>
          <w:rFonts w:hint="eastAsia" w:ascii="宋体" w:hAnsi="宋体" w:eastAsia="宋体" w:cs="宋体"/>
          <w:color w:val="auto"/>
          <w:sz w:val="21"/>
          <w:szCs w:val="21"/>
          <w:highlight w:val="none"/>
          <w:lang w:eastAsia="zh-CN"/>
        </w:rPr>
        <w:t>制作</w:t>
      </w:r>
      <w:bookmarkEnd w:id="86"/>
    </w:p>
    <w:p w14:paraId="7201A981">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16</w:t>
      </w:r>
      <w:r>
        <w:rPr>
          <w:rFonts w:hint="eastAsia" w:ascii="宋体" w:hAnsi="宋体" w:eastAsia="宋体" w:cs="宋体"/>
          <w:color w:val="auto"/>
          <w:szCs w:val="21"/>
          <w:highlight w:val="none"/>
        </w:rPr>
        <w:t>.1 电子</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响应文件中须加盖供应商公章部分均采用</w:t>
      </w:r>
      <w:r>
        <w:rPr>
          <w:rFonts w:hint="eastAsia" w:ascii="宋体" w:hAnsi="宋体" w:cs="宋体"/>
          <w:color w:val="auto"/>
          <w:szCs w:val="21"/>
          <w:highlight w:val="none"/>
          <w:lang w:eastAsia="zh-CN"/>
        </w:rPr>
        <w:t>数字证书（CA认证）</w:t>
      </w:r>
      <w:r>
        <w:rPr>
          <w:rFonts w:hint="eastAsia" w:ascii="宋体" w:hAnsi="宋体" w:eastAsia="宋体" w:cs="宋体"/>
          <w:color w:val="auto"/>
          <w:szCs w:val="21"/>
          <w:highlight w:val="none"/>
        </w:rPr>
        <w:t xml:space="preserve"> 签章，并根据“政府采购项目电子交易管理操作指南-供应商” 及本</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文件规定的格式和顺序编制电子</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响应文件并进行关联定位，以便</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小组在评</w:t>
      </w:r>
      <w:r>
        <w:rPr>
          <w:rFonts w:hint="eastAsia" w:ascii="宋体" w:hAnsi="宋体" w:eastAsia="宋体" w:cs="宋体"/>
          <w:color w:val="auto"/>
          <w:szCs w:val="21"/>
          <w:highlight w:val="none"/>
          <w:lang w:val="en-US" w:eastAsia="zh-CN"/>
        </w:rPr>
        <w:t>审</w:t>
      </w:r>
      <w:r>
        <w:rPr>
          <w:rFonts w:hint="eastAsia" w:ascii="宋体" w:hAnsi="宋体" w:eastAsia="宋体" w:cs="宋体"/>
          <w:color w:val="auto"/>
          <w:szCs w:val="21"/>
          <w:highlight w:val="none"/>
        </w:rPr>
        <w:t>时，点击评分项可直接定位到该评分项内容。如对</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文件的某项要求，供应商的电子</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响应文件未能关联定位提供相应的内容与其对应，则</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小组在评审时如做出对供应商不利的评审由供应商自行承担。电子</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响应文件如内容不完整、编排混乱导致</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响应文件被误读、 漏读，或者在按采购文件规定的部位查找不到相关内容的，由供应商自行承担。</w:t>
      </w:r>
    </w:p>
    <w:p w14:paraId="30ACA80E">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16.2</w:t>
      </w:r>
      <w:r>
        <w:rPr>
          <w:rFonts w:hint="eastAsia" w:ascii="宋体" w:hAnsi="宋体" w:eastAsia="宋体" w:cs="宋体"/>
          <w:color w:val="auto"/>
          <w:szCs w:val="21"/>
          <w:highlight w:val="none"/>
        </w:rPr>
        <w:t>供应商法人（负责人）或授权代表持有个人</w:t>
      </w:r>
      <w:r>
        <w:rPr>
          <w:rFonts w:hint="eastAsia" w:ascii="宋体" w:hAnsi="宋体" w:cs="宋体"/>
          <w:color w:val="auto"/>
          <w:szCs w:val="21"/>
          <w:highlight w:val="none"/>
          <w:lang w:eastAsia="zh-CN"/>
        </w:rPr>
        <w:t>数字证书（CA认证）</w:t>
      </w:r>
      <w:r>
        <w:rPr>
          <w:rFonts w:hint="eastAsia" w:ascii="宋体" w:hAnsi="宋体" w:eastAsia="宋体" w:cs="宋体"/>
          <w:color w:val="auto"/>
          <w:szCs w:val="21"/>
          <w:highlight w:val="none"/>
        </w:rPr>
        <w:t>签章的，应在</w:t>
      </w:r>
      <w:r>
        <w:rPr>
          <w:rFonts w:hint="eastAsia" w:ascii="宋体" w:hAnsi="宋体" w:eastAsia="宋体" w:cs="宋体"/>
          <w:color w:val="auto"/>
          <w:szCs w:val="21"/>
          <w:highlight w:val="none"/>
          <w:lang w:eastAsia="zh-CN"/>
        </w:rPr>
        <w:t>响应</w:t>
      </w:r>
      <w:r>
        <w:rPr>
          <w:rFonts w:hint="eastAsia" w:ascii="宋体" w:hAnsi="宋体" w:eastAsia="宋体" w:cs="宋体"/>
          <w:color w:val="auto"/>
          <w:szCs w:val="21"/>
          <w:highlight w:val="none"/>
        </w:rPr>
        <w:t>文件中涉及到签字的位置使用个人</w:t>
      </w:r>
      <w:r>
        <w:rPr>
          <w:rFonts w:hint="eastAsia" w:ascii="宋体" w:hAnsi="宋体" w:cs="宋体"/>
          <w:color w:val="auto"/>
          <w:szCs w:val="21"/>
          <w:highlight w:val="none"/>
          <w:lang w:eastAsia="zh-CN"/>
        </w:rPr>
        <w:t>数字证书（CA认证）</w:t>
      </w:r>
      <w:r>
        <w:rPr>
          <w:rFonts w:hint="eastAsia" w:ascii="宋体" w:hAnsi="宋体" w:eastAsia="宋体" w:cs="宋体"/>
          <w:color w:val="auto"/>
          <w:szCs w:val="21"/>
          <w:highlight w:val="none"/>
        </w:rPr>
        <w:t>签章，没有办理个人</w:t>
      </w:r>
      <w:r>
        <w:rPr>
          <w:rFonts w:hint="eastAsia" w:ascii="宋体" w:hAnsi="宋体" w:cs="宋体"/>
          <w:color w:val="auto"/>
          <w:szCs w:val="21"/>
          <w:highlight w:val="none"/>
          <w:lang w:eastAsia="zh-CN"/>
        </w:rPr>
        <w:t>数字证书（CA认证）</w:t>
      </w:r>
      <w:r>
        <w:rPr>
          <w:rFonts w:hint="eastAsia" w:ascii="宋体" w:hAnsi="宋体" w:eastAsia="宋体" w:cs="宋体"/>
          <w:color w:val="auto"/>
          <w:szCs w:val="21"/>
          <w:highlight w:val="none"/>
        </w:rPr>
        <w:t>签章的可在</w:t>
      </w:r>
      <w:r>
        <w:rPr>
          <w:rFonts w:hint="eastAsia" w:ascii="宋体" w:hAnsi="宋体" w:eastAsia="宋体" w:cs="宋体"/>
          <w:color w:val="auto"/>
          <w:szCs w:val="21"/>
          <w:highlight w:val="none"/>
          <w:lang w:eastAsia="zh-CN"/>
        </w:rPr>
        <w:t>响应</w:t>
      </w:r>
      <w:r>
        <w:rPr>
          <w:rFonts w:hint="eastAsia" w:ascii="宋体" w:hAnsi="宋体" w:eastAsia="宋体" w:cs="宋体"/>
          <w:color w:val="auto"/>
          <w:szCs w:val="21"/>
          <w:highlight w:val="none"/>
        </w:rPr>
        <w:t>文件中涉及到签字的位置手写签字后扫描或者拍照做成 PDF 的格式上传即可。</w:t>
      </w:r>
    </w:p>
    <w:p w14:paraId="5B2F0EA5">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16</w:t>
      </w:r>
      <w:r>
        <w:rPr>
          <w:rFonts w:hint="eastAsia" w:ascii="宋体" w:hAnsi="宋体" w:eastAsia="宋体" w:cs="宋体"/>
          <w:color w:val="auto"/>
          <w:szCs w:val="21"/>
          <w:highlight w:val="none"/>
        </w:rPr>
        <w:t xml:space="preserve">.3 </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响应文件不得涂改，若有修改错漏处，须法定代表人（负责人）或授权委托人签字</w:t>
      </w:r>
      <w:r>
        <w:rPr>
          <w:rFonts w:hint="eastAsia" w:ascii="宋体" w:hAnsi="宋体" w:eastAsia="宋体" w:cs="宋体"/>
          <w:color w:val="auto"/>
          <w:szCs w:val="21"/>
          <w:highlight w:val="none"/>
          <w:lang w:eastAsia="zh-CN"/>
        </w:rPr>
        <w:t>（或个人</w:t>
      </w:r>
      <w:r>
        <w:rPr>
          <w:rFonts w:hint="eastAsia" w:ascii="宋体" w:hAnsi="宋体" w:cs="宋体"/>
          <w:color w:val="auto"/>
          <w:szCs w:val="21"/>
          <w:highlight w:val="none"/>
          <w:lang w:val="en-US" w:eastAsia="zh-CN"/>
        </w:rPr>
        <w:t>数字证书（CA认证）</w:t>
      </w:r>
      <w:r>
        <w:rPr>
          <w:rFonts w:hint="eastAsia" w:ascii="宋体" w:hAnsi="宋体" w:eastAsia="宋体" w:cs="宋体"/>
          <w:color w:val="auto"/>
          <w:szCs w:val="21"/>
          <w:highlight w:val="none"/>
          <w:lang w:val="en-US" w:eastAsia="zh-CN"/>
        </w:rPr>
        <w:t>签章）</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响应文件因字迹潦草或表达不清所引起的后果由供应商负责。</w:t>
      </w:r>
    </w:p>
    <w:p w14:paraId="6C7FB785">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16.4</w:t>
      </w:r>
      <w:r>
        <w:rPr>
          <w:rFonts w:hint="eastAsia" w:ascii="宋体" w:hAnsi="宋体" w:eastAsia="宋体" w:cs="宋体"/>
          <w:color w:val="auto"/>
          <w:szCs w:val="21"/>
          <w:highlight w:val="none"/>
          <w:lang w:eastAsia="zh-CN"/>
        </w:rPr>
        <w:t xml:space="preserve">磋商前准备 </w:t>
      </w:r>
    </w:p>
    <w:p w14:paraId="39516E36">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16.4.1</w:t>
      </w:r>
      <w:r>
        <w:rPr>
          <w:rFonts w:hint="eastAsia" w:ascii="宋体" w:hAnsi="宋体" w:eastAsia="宋体" w:cs="宋体"/>
          <w:color w:val="auto"/>
          <w:szCs w:val="21"/>
          <w:highlight w:val="none"/>
          <w:lang w:eastAsia="zh-CN"/>
        </w:rPr>
        <w:t xml:space="preserve">本项目实行在线磋商，采用电子磋商响应文件。若供应商参与磋商，自行承担磋商一切费用。 </w:t>
      </w:r>
    </w:p>
    <w:p w14:paraId="30F1D323">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16.4.2</w:t>
      </w:r>
      <w:r>
        <w:rPr>
          <w:rFonts w:hint="eastAsia" w:ascii="宋体" w:hAnsi="宋体" w:eastAsia="宋体" w:cs="宋体"/>
          <w:color w:val="auto"/>
          <w:szCs w:val="21"/>
          <w:highlight w:val="none"/>
          <w:lang w:eastAsia="zh-CN"/>
        </w:rPr>
        <w:t>各供应商应在截标前应确保成为</w:t>
      </w:r>
      <w:r>
        <w:rPr>
          <w:rFonts w:hint="eastAsia" w:ascii="宋体" w:hAnsi="宋体" w:cs="宋体"/>
          <w:color w:val="auto"/>
          <w:szCs w:val="21"/>
          <w:highlight w:val="none"/>
          <w:lang w:eastAsia="zh-CN"/>
        </w:rPr>
        <w:t>广西政府采购云平台</w:t>
      </w:r>
      <w:r>
        <w:rPr>
          <w:rFonts w:hint="eastAsia" w:ascii="宋体" w:hAnsi="宋体" w:eastAsia="宋体" w:cs="宋体"/>
          <w:color w:val="auto"/>
          <w:szCs w:val="21"/>
          <w:highlight w:val="none"/>
          <w:lang w:eastAsia="zh-CN"/>
        </w:rPr>
        <w:t>正式注册入库供应商，并完成</w:t>
      </w:r>
      <w:r>
        <w:rPr>
          <w:rFonts w:hint="eastAsia" w:ascii="宋体" w:hAnsi="宋体" w:cs="宋体"/>
          <w:color w:val="auto"/>
          <w:szCs w:val="21"/>
          <w:highlight w:val="none"/>
          <w:lang w:eastAsia="zh-CN"/>
        </w:rPr>
        <w:t>数字证书（CA认证）</w:t>
      </w:r>
      <w:r>
        <w:rPr>
          <w:rFonts w:hint="eastAsia" w:ascii="宋体" w:hAnsi="宋体" w:eastAsia="宋体" w:cs="宋体"/>
          <w:color w:val="auto"/>
          <w:szCs w:val="21"/>
          <w:highlight w:val="none"/>
          <w:lang w:eastAsia="zh-CN"/>
        </w:rPr>
        <w:t xml:space="preserve"> 申领。因未注册入库、未办理</w:t>
      </w:r>
      <w:r>
        <w:rPr>
          <w:rFonts w:hint="eastAsia" w:ascii="宋体" w:hAnsi="宋体" w:cs="宋体"/>
          <w:color w:val="auto"/>
          <w:szCs w:val="21"/>
          <w:highlight w:val="none"/>
          <w:lang w:eastAsia="zh-CN"/>
        </w:rPr>
        <w:t>数字证书（CA认证）</w:t>
      </w:r>
      <w:r>
        <w:rPr>
          <w:rFonts w:hint="eastAsia" w:ascii="宋体" w:hAnsi="宋体" w:eastAsia="宋体" w:cs="宋体"/>
          <w:color w:val="auto"/>
          <w:szCs w:val="21"/>
          <w:highlight w:val="none"/>
          <w:lang w:eastAsia="zh-CN"/>
        </w:rPr>
        <w:t xml:space="preserve">等原因造成无法磋商或磋商失败等后果由供应商自行承担。 </w:t>
      </w:r>
    </w:p>
    <w:p w14:paraId="76E0FCAC">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16.4.3</w:t>
      </w:r>
      <w:r>
        <w:rPr>
          <w:rFonts w:hint="eastAsia" w:ascii="宋体" w:hAnsi="宋体" w:eastAsia="宋体" w:cs="宋体"/>
          <w:color w:val="auto"/>
          <w:szCs w:val="21"/>
          <w:highlight w:val="none"/>
          <w:lang w:eastAsia="zh-CN"/>
        </w:rPr>
        <w:t>供应商将</w:t>
      </w:r>
      <w:r>
        <w:rPr>
          <w:rFonts w:hint="eastAsia" w:ascii="宋体" w:hAnsi="宋体" w:cs="宋体"/>
          <w:color w:val="auto"/>
          <w:szCs w:val="21"/>
          <w:highlight w:val="none"/>
          <w:lang w:eastAsia="zh-CN"/>
        </w:rPr>
        <w:t>广西政府采购云平台</w:t>
      </w:r>
      <w:r>
        <w:rPr>
          <w:rFonts w:hint="eastAsia" w:ascii="宋体" w:hAnsi="宋体" w:eastAsia="宋体" w:cs="宋体"/>
          <w:color w:val="auto"/>
          <w:szCs w:val="21"/>
          <w:highlight w:val="none"/>
          <w:lang w:eastAsia="zh-CN"/>
        </w:rPr>
        <w:t>电子交易客户端下载、安装完成后，可通过账号密码或</w:t>
      </w:r>
      <w:r>
        <w:rPr>
          <w:rFonts w:hint="eastAsia" w:ascii="宋体" w:hAnsi="宋体" w:cs="宋体"/>
          <w:color w:val="auto"/>
          <w:szCs w:val="21"/>
          <w:highlight w:val="none"/>
          <w:lang w:eastAsia="zh-CN"/>
        </w:rPr>
        <w:t>数字证书（CA认证）</w:t>
      </w:r>
      <w:r>
        <w:rPr>
          <w:rFonts w:hint="eastAsia" w:ascii="宋体" w:hAnsi="宋体" w:eastAsia="宋体" w:cs="宋体"/>
          <w:color w:val="auto"/>
          <w:szCs w:val="21"/>
          <w:highlight w:val="none"/>
          <w:lang w:eastAsia="zh-CN"/>
        </w:rPr>
        <w:t xml:space="preserve"> 登录客户端进行响应文件制作。客户端请至网站下载专区查看，如有问题可拨打</w:t>
      </w:r>
      <w:r>
        <w:rPr>
          <w:rFonts w:hint="eastAsia" w:ascii="宋体" w:hAnsi="宋体" w:cs="宋体"/>
          <w:color w:val="auto"/>
          <w:szCs w:val="21"/>
          <w:highlight w:val="none"/>
          <w:lang w:eastAsia="zh-CN"/>
        </w:rPr>
        <w:t>广西政府采购云平台</w:t>
      </w:r>
      <w:r>
        <w:rPr>
          <w:rFonts w:hint="eastAsia" w:ascii="宋体" w:hAnsi="宋体" w:eastAsia="宋体" w:cs="宋体"/>
          <w:color w:val="auto"/>
          <w:szCs w:val="21"/>
          <w:highlight w:val="none"/>
          <w:lang w:eastAsia="zh-CN"/>
        </w:rPr>
        <w:t xml:space="preserve">客户服务热线 </w:t>
      </w:r>
      <w:r>
        <w:rPr>
          <w:rFonts w:hint="eastAsia" w:ascii="宋体" w:hAnsi="宋体" w:cs="宋体"/>
          <w:color w:val="auto"/>
          <w:szCs w:val="21"/>
          <w:highlight w:val="none"/>
          <w:lang w:eastAsia="zh-CN"/>
        </w:rPr>
        <w:t>95763</w:t>
      </w:r>
      <w:r>
        <w:rPr>
          <w:rFonts w:hint="eastAsia" w:ascii="宋体" w:hAnsi="宋体" w:eastAsia="宋体" w:cs="宋体"/>
          <w:color w:val="auto"/>
          <w:szCs w:val="21"/>
          <w:highlight w:val="none"/>
          <w:lang w:eastAsia="zh-CN"/>
        </w:rPr>
        <w:t xml:space="preserve"> 进行咨询。</w:t>
      </w:r>
    </w:p>
    <w:p w14:paraId="417E0894">
      <w:pPr>
        <w:pStyle w:val="6"/>
        <w:pageBreakBefore w:val="0"/>
        <w:widowControl w:val="0"/>
        <w:kinsoku/>
        <w:wordWrap/>
        <w:overflowPunct/>
        <w:topLinePunct w:val="0"/>
        <w:bidi w:val="0"/>
        <w:spacing w:before="0" w:after="0" w:line="440" w:lineRule="exact"/>
        <w:ind w:firstLine="422" w:firstLineChars="200"/>
        <w:textAlignment w:val="auto"/>
        <w:rPr>
          <w:rFonts w:hint="eastAsia" w:ascii="宋体" w:hAnsi="宋体" w:eastAsia="宋体" w:cs="宋体"/>
          <w:color w:val="auto"/>
          <w:sz w:val="21"/>
          <w:szCs w:val="21"/>
          <w:highlight w:val="none"/>
        </w:rPr>
      </w:pPr>
      <w:bookmarkStart w:id="87" w:name="_Toc9738"/>
      <w:r>
        <w:rPr>
          <w:rFonts w:hint="eastAsia" w:ascii="宋体" w:hAnsi="宋体" w:eastAsia="宋体" w:cs="宋体"/>
          <w:color w:val="auto"/>
          <w:sz w:val="21"/>
          <w:szCs w:val="21"/>
          <w:highlight w:val="none"/>
        </w:rPr>
        <w:t>17. 响应文件的修改和撤回</w:t>
      </w:r>
      <w:bookmarkEnd w:id="87"/>
    </w:p>
    <w:p w14:paraId="31F40F4C">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 xml:space="preserve">17.1 </w:t>
      </w:r>
      <w:r>
        <w:rPr>
          <w:rFonts w:hint="eastAsia" w:ascii="宋体" w:hAnsi="宋体" w:eastAsia="宋体" w:cs="宋体"/>
          <w:color w:val="auto"/>
          <w:szCs w:val="21"/>
          <w:highlight w:val="none"/>
          <w:lang w:eastAsia="zh-CN"/>
        </w:rPr>
        <w:t>响应文件递交截止时间前可以撤回电子磋商响应文件。补充或者修改电子磋商响应文件的，应当先行撤回原文件，补充、修改后重新传输递交，磋商响应文件递交截止时间前未完成传输的，视为撤回磋商响应文件。</w:t>
      </w:r>
    </w:p>
    <w:p w14:paraId="3B742702">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17.2 在响应文件递交截止时间后的响应文件有效期内，供应商不得撤回其响应文件。</w:t>
      </w:r>
    </w:p>
    <w:p w14:paraId="29C0FF54">
      <w:pPr>
        <w:pStyle w:val="6"/>
        <w:pageBreakBefore w:val="0"/>
        <w:widowControl w:val="0"/>
        <w:kinsoku/>
        <w:wordWrap/>
        <w:overflowPunct/>
        <w:topLinePunct w:val="0"/>
        <w:bidi w:val="0"/>
        <w:spacing w:before="0" w:after="0" w:line="440" w:lineRule="exact"/>
        <w:ind w:firstLine="422" w:firstLineChars="200"/>
        <w:textAlignment w:val="auto"/>
        <w:rPr>
          <w:rFonts w:hint="eastAsia" w:ascii="宋体" w:hAnsi="宋体" w:eastAsia="宋体" w:cs="宋体"/>
          <w:color w:val="auto"/>
          <w:sz w:val="21"/>
          <w:szCs w:val="21"/>
          <w:highlight w:val="none"/>
          <w:lang w:eastAsia="zh-CN"/>
        </w:rPr>
      </w:pPr>
      <w:bookmarkStart w:id="88" w:name="_Toc30156"/>
      <w:bookmarkStart w:id="89" w:name="_Toc24690"/>
      <w:r>
        <w:rPr>
          <w:rFonts w:hint="eastAsia" w:ascii="宋体" w:hAnsi="宋体" w:eastAsia="宋体" w:cs="宋体"/>
          <w:color w:val="auto"/>
          <w:sz w:val="21"/>
          <w:szCs w:val="21"/>
          <w:highlight w:val="none"/>
        </w:rPr>
        <w:t>18. 响应文件的递交</w:t>
      </w:r>
      <w:r>
        <w:rPr>
          <w:rFonts w:hint="eastAsia" w:ascii="宋体" w:hAnsi="宋体" w:eastAsia="宋体" w:cs="宋体"/>
          <w:color w:val="auto"/>
          <w:sz w:val="21"/>
          <w:szCs w:val="21"/>
          <w:highlight w:val="none"/>
          <w:lang w:eastAsia="zh-CN"/>
        </w:rPr>
        <w:t>和解密</w:t>
      </w:r>
      <w:bookmarkEnd w:id="88"/>
      <w:bookmarkEnd w:id="89"/>
    </w:p>
    <w:p w14:paraId="709837EC">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18.1响应文件递交截止时间</w:t>
      </w:r>
      <w:r>
        <w:rPr>
          <w:rFonts w:hint="eastAsia" w:ascii="宋体" w:hAnsi="宋体" w:eastAsia="宋体" w:cs="宋体"/>
          <w:color w:val="auto"/>
          <w:szCs w:val="21"/>
          <w:highlight w:val="none"/>
          <w:lang w:eastAsia="zh-CN"/>
        </w:rPr>
        <w:t>：于</w:t>
      </w:r>
      <w:r>
        <w:rPr>
          <w:rFonts w:hint="eastAsia" w:ascii="宋体" w:hAnsi="宋体" w:cs="宋体"/>
          <w:color w:val="auto"/>
          <w:sz w:val="21"/>
          <w:szCs w:val="21"/>
          <w:highlight w:val="none"/>
          <w:u w:val="single"/>
          <w:lang w:eastAsia="zh-CN"/>
        </w:rPr>
        <w:t>2025</w:t>
      </w:r>
      <w:r>
        <w:rPr>
          <w:rFonts w:hint="eastAsia" w:ascii="宋体" w:hAnsi="宋体" w:eastAsia="宋体" w:cs="宋体"/>
          <w:color w:val="auto"/>
          <w:sz w:val="21"/>
          <w:szCs w:val="21"/>
          <w:highlight w:val="none"/>
          <w:u w:val="single"/>
          <w:lang w:eastAsia="zh-CN"/>
        </w:rPr>
        <w:t>年</w:t>
      </w:r>
      <w:r>
        <w:rPr>
          <w:rFonts w:hint="eastAsia" w:ascii="宋体" w:hAnsi="宋体" w:cs="宋体"/>
          <w:color w:val="auto"/>
          <w:sz w:val="21"/>
          <w:szCs w:val="21"/>
          <w:highlight w:val="none"/>
          <w:u w:val="single"/>
          <w:lang w:val="en-US" w:eastAsia="zh-CN"/>
        </w:rPr>
        <w:t xml:space="preserve">06 </w:t>
      </w:r>
      <w:r>
        <w:rPr>
          <w:rFonts w:hint="eastAsia" w:ascii="宋体" w:hAnsi="宋体" w:eastAsia="宋体" w:cs="宋体"/>
          <w:color w:val="auto"/>
          <w:sz w:val="21"/>
          <w:szCs w:val="21"/>
          <w:highlight w:val="none"/>
          <w:u w:val="single"/>
          <w:lang w:eastAsia="zh-CN"/>
        </w:rPr>
        <w:t>月</w:t>
      </w:r>
      <w:r>
        <w:rPr>
          <w:rFonts w:hint="eastAsia" w:ascii="宋体" w:hAnsi="宋体" w:cs="宋体"/>
          <w:color w:val="auto"/>
          <w:sz w:val="21"/>
          <w:szCs w:val="21"/>
          <w:highlight w:val="none"/>
          <w:u w:val="single"/>
          <w:lang w:val="en-US" w:eastAsia="zh-CN"/>
        </w:rPr>
        <w:t xml:space="preserve"> 27 </w:t>
      </w:r>
      <w:r>
        <w:rPr>
          <w:rFonts w:hint="eastAsia" w:ascii="宋体" w:hAnsi="宋体" w:eastAsia="宋体" w:cs="宋体"/>
          <w:color w:val="auto"/>
          <w:sz w:val="21"/>
          <w:szCs w:val="21"/>
          <w:highlight w:val="none"/>
          <w:u w:val="single"/>
          <w:lang w:eastAsia="zh-CN"/>
        </w:rPr>
        <w:t>日</w:t>
      </w:r>
      <w:r>
        <w:rPr>
          <w:rFonts w:hint="eastAsia" w:ascii="宋体" w:hAnsi="宋体" w:cs="宋体"/>
          <w:color w:val="auto"/>
          <w:sz w:val="21"/>
          <w:szCs w:val="21"/>
          <w:highlight w:val="none"/>
          <w:u w:val="single"/>
          <w:lang w:val="en-US" w:eastAsia="zh-CN"/>
        </w:rPr>
        <w:t>9时30分</w:t>
      </w:r>
      <w:r>
        <w:rPr>
          <w:rFonts w:hint="eastAsia" w:ascii="宋体" w:hAnsi="宋体" w:eastAsia="宋体" w:cs="宋体"/>
          <w:color w:val="auto"/>
          <w:szCs w:val="21"/>
          <w:highlight w:val="none"/>
        </w:rPr>
        <w:t>之前将电子磋商响应文件上传到</w:t>
      </w:r>
      <w:r>
        <w:rPr>
          <w:rFonts w:hint="eastAsia" w:ascii="宋体" w:hAnsi="宋体" w:cs="宋体"/>
          <w:color w:val="auto"/>
          <w:szCs w:val="21"/>
          <w:highlight w:val="none"/>
          <w:lang w:eastAsia="zh-CN"/>
        </w:rPr>
        <w:t>广西政府采购云平台</w:t>
      </w:r>
      <w:r>
        <w:rPr>
          <w:rFonts w:hint="eastAsia" w:ascii="宋体" w:hAnsi="宋体" w:eastAsia="宋体" w:cs="宋体"/>
          <w:color w:val="auto"/>
          <w:szCs w:val="21"/>
          <w:highlight w:val="none"/>
        </w:rPr>
        <w:t>。应按照本项目磋商文件和</w:t>
      </w:r>
      <w:r>
        <w:rPr>
          <w:rFonts w:hint="eastAsia" w:ascii="宋体" w:hAnsi="宋体" w:cs="宋体"/>
          <w:color w:val="auto"/>
          <w:szCs w:val="21"/>
          <w:highlight w:val="none"/>
          <w:lang w:eastAsia="zh-CN"/>
        </w:rPr>
        <w:t>广西政府采购云平台</w:t>
      </w:r>
      <w:r>
        <w:rPr>
          <w:rFonts w:hint="eastAsia" w:ascii="宋体" w:hAnsi="宋体" w:eastAsia="宋体" w:cs="宋体"/>
          <w:color w:val="auto"/>
          <w:szCs w:val="21"/>
          <w:highlight w:val="none"/>
        </w:rPr>
        <w:t>的要求编制、加密传输磋商响应文件。供应商在使用系统进行</w:t>
      </w:r>
      <w:r>
        <w:rPr>
          <w:rFonts w:hint="eastAsia" w:ascii="宋体" w:hAnsi="宋体" w:cs="宋体"/>
          <w:color w:val="auto"/>
          <w:szCs w:val="21"/>
          <w:highlight w:val="none"/>
          <w:lang w:eastAsia="zh-CN"/>
        </w:rPr>
        <w:t>响应</w:t>
      </w:r>
      <w:r>
        <w:rPr>
          <w:rFonts w:hint="eastAsia" w:ascii="宋体" w:hAnsi="宋体" w:eastAsia="宋体" w:cs="宋体"/>
          <w:color w:val="auto"/>
          <w:szCs w:val="21"/>
          <w:highlight w:val="none"/>
        </w:rPr>
        <w:t>的过程中遇到涉及平台使用的任何问题，可致电</w:t>
      </w:r>
      <w:r>
        <w:rPr>
          <w:rFonts w:hint="eastAsia" w:ascii="宋体" w:hAnsi="宋体" w:cs="宋体"/>
          <w:color w:val="auto"/>
          <w:szCs w:val="21"/>
          <w:highlight w:val="none"/>
          <w:lang w:eastAsia="zh-CN"/>
        </w:rPr>
        <w:t>广西政府采购云平台</w:t>
      </w:r>
      <w:r>
        <w:rPr>
          <w:rFonts w:hint="eastAsia" w:ascii="宋体" w:hAnsi="宋体" w:eastAsia="宋体" w:cs="宋体"/>
          <w:color w:val="auto"/>
          <w:szCs w:val="21"/>
          <w:highlight w:val="none"/>
        </w:rPr>
        <w:t>技术支持热线咨询，联系方式：</w:t>
      </w:r>
      <w:r>
        <w:rPr>
          <w:rFonts w:hint="eastAsia" w:ascii="宋体" w:hAnsi="宋体" w:cs="宋体"/>
          <w:color w:val="auto"/>
          <w:szCs w:val="21"/>
          <w:highlight w:val="none"/>
          <w:lang w:eastAsia="zh-CN"/>
        </w:rPr>
        <w:t>95763</w:t>
      </w:r>
      <w:r>
        <w:rPr>
          <w:rFonts w:hint="eastAsia" w:ascii="宋体" w:hAnsi="宋体" w:eastAsia="宋体" w:cs="宋体"/>
          <w:color w:val="auto"/>
          <w:szCs w:val="21"/>
          <w:highlight w:val="none"/>
        </w:rPr>
        <w:t>。</w:t>
      </w:r>
    </w:p>
    <w:p w14:paraId="5B899314">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18.2磋商响应文件解密时间：截标时</w:t>
      </w:r>
      <w:r>
        <w:rPr>
          <w:rFonts w:hint="eastAsia" w:ascii="宋体" w:hAnsi="宋体" w:eastAsia="宋体" w:cs="宋体"/>
          <w:color w:val="auto"/>
          <w:szCs w:val="21"/>
          <w:highlight w:val="none"/>
          <w:u w:val="none"/>
        </w:rPr>
        <w:t>间后30分钟内磋商</w:t>
      </w:r>
      <w:r>
        <w:rPr>
          <w:rFonts w:hint="eastAsia" w:ascii="宋体" w:hAnsi="宋体" w:eastAsia="宋体" w:cs="宋体"/>
          <w:color w:val="auto"/>
          <w:szCs w:val="21"/>
          <w:highlight w:val="none"/>
        </w:rPr>
        <w:t>供应商可以登录</w:t>
      </w:r>
      <w:r>
        <w:rPr>
          <w:rFonts w:hint="eastAsia" w:ascii="宋体" w:hAnsi="宋体" w:cs="宋体"/>
          <w:color w:val="auto"/>
          <w:szCs w:val="21"/>
          <w:highlight w:val="none"/>
          <w:lang w:eastAsia="zh-CN"/>
        </w:rPr>
        <w:t>广西政府采购云平台</w:t>
      </w:r>
      <w:r>
        <w:rPr>
          <w:rFonts w:hint="eastAsia" w:ascii="宋体" w:hAnsi="宋体" w:eastAsia="宋体" w:cs="宋体"/>
          <w:color w:val="auto"/>
          <w:szCs w:val="21"/>
          <w:highlight w:val="none"/>
        </w:rPr>
        <w:t>，用“项目采购-开标评标”功能进行解密磋商文件。若磋商供应商在规定时间内无法解密或解密失败，可以以电子备份磋商响应文件作为依据</w:t>
      </w:r>
      <w:r>
        <w:rPr>
          <w:rFonts w:hint="eastAsia" w:ascii="宋体" w:hAnsi="宋体" w:eastAsia="宋体" w:cs="宋体"/>
          <w:b/>
          <w:bCs/>
          <w:color w:val="auto"/>
          <w:szCs w:val="21"/>
          <w:highlight w:val="none"/>
        </w:rPr>
        <w:t>【在接到无法解密或解密失败的通知后，</w:t>
      </w:r>
      <w:r>
        <w:rPr>
          <w:rFonts w:hint="eastAsia" w:ascii="宋体" w:hAnsi="宋体" w:eastAsia="宋体" w:cs="宋体"/>
          <w:b/>
          <w:bCs/>
          <w:color w:val="auto"/>
          <w:szCs w:val="21"/>
          <w:highlight w:val="none"/>
          <w:lang w:eastAsia="zh-CN"/>
        </w:rPr>
        <w:t>磋商供应商</w:t>
      </w:r>
      <w:r>
        <w:rPr>
          <w:rFonts w:hint="eastAsia" w:ascii="宋体" w:hAnsi="宋体" w:eastAsia="宋体" w:cs="宋体"/>
          <w:b/>
          <w:bCs/>
          <w:color w:val="auto"/>
          <w:szCs w:val="21"/>
          <w:highlight w:val="none"/>
        </w:rPr>
        <w:t>可根据自身实际情况按通知时要求的时间到桂林市公共资源</w:t>
      </w:r>
      <w:r>
        <w:rPr>
          <w:rFonts w:hint="eastAsia" w:ascii="宋体" w:hAnsi="宋体" w:cs="宋体"/>
          <w:b/>
          <w:bCs/>
          <w:color w:val="auto"/>
          <w:szCs w:val="21"/>
          <w:highlight w:val="none"/>
          <w:lang w:eastAsia="zh-CN"/>
        </w:rPr>
        <w:t>交易中心开标室</w:t>
      </w:r>
      <w:r>
        <w:rPr>
          <w:rFonts w:hint="eastAsia" w:ascii="宋体" w:hAnsi="宋体" w:eastAsia="宋体" w:cs="宋体"/>
          <w:b/>
          <w:bCs/>
          <w:color w:val="auto"/>
          <w:szCs w:val="21"/>
          <w:highlight w:val="none"/>
        </w:rPr>
        <w:t>现场提交或以电子邮件的形式（以通知时所告知的电子邮箱地址为准）提交电子备份</w:t>
      </w:r>
      <w:r>
        <w:rPr>
          <w:rFonts w:hint="eastAsia" w:ascii="宋体" w:hAnsi="宋体" w:eastAsia="宋体" w:cs="宋体"/>
          <w:b/>
          <w:bCs/>
          <w:color w:val="auto"/>
          <w:szCs w:val="21"/>
          <w:highlight w:val="none"/>
          <w:lang w:eastAsia="zh-CN"/>
        </w:rPr>
        <w:t>磋商响应文件</w:t>
      </w:r>
      <w:r>
        <w:rPr>
          <w:rFonts w:hint="eastAsia" w:ascii="宋体" w:hAnsi="宋体" w:eastAsia="宋体" w:cs="宋体"/>
          <w:b/>
          <w:bCs/>
          <w:color w:val="auto"/>
          <w:szCs w:val="21"/>
          <w:highlight w:val="none"/>
        </w:rPr>
        <w:t>】</w:t>
      </w:r>
      <w:r>
        <w:rPr>
          <w:rFonts w:hint="eastAsia" w:ascii="宋体" w:hAnsi="宋体" w:eastAsia="宋体" w:cs="宋体"/>
          <w:color w:val="auto"/>
          <w:szCs w:val="21"/>
          <w:highlight w:val="none"/>
        </w:rPr>
        <w:t>，若磋商供应商在规定时间内无法解密或解密失败且未提供电子备份磋商响应文件的(包含提供的电子备份文件无效或无法解密的情况)，视为响应文件撤回。</w:t>
      </w:r>
    </w:p>
    <w:p w14:paraId="7DDA6D9B">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18.3 除竞争性磋商文件另有规定外，供应商所递交的响应文件不予退还。</w:t>
      </w:r>
    </w:p>
    <w:p w14:paraId="6E5CEABC">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 xml:space="preserve">18.4 </w:t>
      </w:r>
      <w:r>
        <w:rPr>
          <w:rFonts w:hint="eastAsia" w:ascii="宋体" w:hAnsi="宋体" w:eastAsia="宋体" w:cs="宋体"/>
          <w:color w:val="auto"/>
          <w:szCs w:val="21"/>
          <w:highlight w:val="none"/>
        </w:rPr>
        <w:t>电子响应文件的相关说明</w:t>
      </w:r>
    </w:p>
    <w:p w14:paraId="4E537C13">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（1）供应商进行电子</w:t>
      </w:r>
      <w:r>
        <w:rPr>
          <w:rFonts w:hint="eastAsia" w:ascii="宋体" w:hAnsi="宋体" w:cs="宋体"/>
          <w:color w:val="auto"/>
          <w:szCs w:val="21"/>
          <w:highlight w:val="none"/>
          <w:lang w:eastAsia="zh-CN"/>
        </w:rPr>
        <w:t>响应</w:t>
      </w:r>
      <w:r>
        <w:rPr>
          <w:rFonts w:hint="eastAsia" w:ascii="宋体" w:hAnsi="宋体" w:eastAsia="宋体" w:cs="宋体"/>
          <w:color w:val="auto"/>
          <w:szCs w:val="21"/>
          <w:highlight w:val="none"/>
        </w:rPr>
        <w:t>应安装客户端软件，并按照采购文件和电子交易平台的要求编制并加密</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响应文件。供应商未按规定加密的</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响应文件，电子交易平台将拒收。供应商应当在</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截止时间前完成</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响应文件的传输递交，并可以补充、修改或者撤回</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响应文件。补充或者修改</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响应文件的，应当先行撤回原文件，补充、修改后重新传输递交。</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截止时间前未完成传输的，视为撤回</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响应文件。</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截止时间后递交的</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 xml:space="preserve">响应文件，电子交易平台将拒收。 </w:t>
      </w:r>
    </w:p>
    <w:p w14:paraId="54C617DB">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t>（2）如有特殊情况，采购代理机构延长截止时间和开标时间，采购代理机构和供应商的权利和义务将受到新的截止时间和开标时间的约束。</w:t>
      </w:r>
    </w:p>
    <w:p w14:paraId="10FACCA6">
      <w:pPr>
        <w:pStyle w:val="5"/>
        <w:pageBreakBefore w:val="0"/>
        <w:widowControl w:val="0"/>
        <w:tabs>
          <w:tab w:val="left" w:pos="567"/>
        </w:tabs>
        <w:kinsoku/>
        <w:wordWrap/>
        <w:overflowPunct/>
        <w:topLinePunct w:val="0"/>
        <w:bidi w:val="0"/>
        <w:spacing w:line="440" w:lineRule="exact"/>
        <w:jc w:val="center"/>
        <w:textAlignment w:val="auto"/>
        <w:rPr>
          <w:rFonts w:hint="eastAsia" w:ascii="宋体" w:hAnsi="宋体" w:eastAsia="宋体" w:cs="宋体"/>
          <w:b/>
          <w:bCs w:val="0"/>
          <w:color w:val="auto"/>
          <w:szCs w:val="28"/>
          <w:highlight w:val="none"/>
        </w:rPr>
      </w:pPr>
      <w:bookmarkStart w:id="90" w:name="_Toc2433"/>
    </w:p>
    <w:p w14:paraId="549B2156">
      <w:pPr>
        <w:pStyle w:val="5"/>
        <w:pageBreakBefore w:val="0"/>
        <w:widowControl w:val="0"/>
        <w:tabs>
          <w:tab w:val="left" w:pos="567"/>
        </w:tabs>
        <w:kinsoku/>
        <w:wordWrap/>
        <w:overflowPunct/>
        <w:topLinePunct w:val="0"/>
        <w:bidi w:val="0"/>
        <w:spacing w:line="440" w:lineRule="exact"/>
        <w:jc w:val="center"/>
        <w:textAlignment w:val="auto"/>
        <w:rPr>
          <w:rFonts w:hint="eastAsia" w:ascii="宋体" w:hAnsi="宋体" w:eastAsia="宋体" w:cs="宋体"/>
          <w:b/>
          <w:bCs w:val="0"/>
          <w:color w:val="auto"/>
          <w:szCs w:val="28"/>
          <w:highlight w:val="none"/>
        </w:rPr>
      </w:pPr>
      <w:bookmarkStart w:id="91" w:name="_Toc16485"/>
      <w:bookmarkStart w:id="92" w:name="_Toc5807"/>
      <w:r>
        <w:rPr>
          <w:rFonts w:hint="eastAsia" w:ascii="宋体" w:hAnsi="宋体" w:eastAsia="宋体" w:cs="宋体"/>
          <w:b/>
          <w:bCs w:val="0"/>
          <w:color w:val="auto"/>
          <w:szCs w:val="28"/>
          <w:highlight w:val="none"/>
        </w:rPr>
        <w:t>四、竞争性磋商（简称磋商）与评审</w:t>
      </w:r>
      <w:bookmarkEnd w:id="90"/>
      <w:bookmarkEnd w:id="91"/>
      <w:bookmarkEnd w:id="92"/>
    </w:p>
    <w:p w14:paraId="548698BB">
      <w:pPr>
        <w:pStyle w:val="6"/>
        <w:pageBreakBefore w:val="0"/>
        <w:widowControl w:val="0"/>
        <w:kinsoku/>
        <w:wordWrap/>
        <w:overflowPunct/>
        <w:topLinePunct w:val="0"/>
        <w:bidi w:val="0"/>
        <w:spacing w:before="0" w:after="0" w:line="440" w:lineRule="exact"/>
        <w:ind w:firstLine="422" w:firstLineChars="200"/>
        <w:textAlignment w:val="auto"/>
        <w:rPr>
          <w:rFonts w:hint="eastAsia" w:ascii="宋体" w:hAnsi="宋体" w:eastAsia="宋体" w:cs="宋体"/>
          <w:color w:val="auto"/>
          <w:sz w:val="21"/>
          <w:szCs w:val="21"/>
          <w:highlight w:val="none"/>
        </w:rPr>
      </w:pPr>
      <w:bookmarkStart w:id="93" w:name="_Toc11021"/>
      <w:bookmarkStart w:id="94" w:name="_Toc31588"/>
      <w:r>
        <w:rPr>
          <w:rFonts w:hint="eastAsia" w:ascii="宋体" w:hAnsi="宋体" w:eastAsia="宋体" w:cs="宋体"/>
          <w:color w:val="auto"/>
          <w:sz w:val="21"/>
          <w:szCs w:val="21"/>
          <w:highlight w:val="none"/>
        </w:rPr>
        <w:t>19. 磋商小组组成及磋商时间、地点、人员</w:t>
      </w:r>
      <w:bookmarkEnd w:id="93"/>
      <w:bookmarkEnd w:id="94"/>
    </w:p>
    <w:p w14:paraId="2F4D9AD5">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19.1 磋商小组组成：</w:t>
      </w:r>
    </w:p>
    <w:p w14:paraId="4E1AE6C0">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磋商及评审工作由采购代理机构负责组织，具体磋商、评审工作由依法组建的磋商小组负责，磋商小组由采购人代表和有关方面的专家组成。磋商小组的构成：</w:t>
      </w:r>
      <w:r>
        <w:rPr>
          <w:rFonts w:hint="eastAsia" w:ascii="宋体" w:hAnsi="宋体" w:eastAsia="宋体" w:cs="宋体"/>
          <w:color w:val="auto"/>
          <w:szCs w:val="21"/>
          <w:highlight w:val="none"/>
          <w:u w:val="single"/>
        </w:rPr>
        <w:t xml:space="preserve"> 3 </w:t>
      </w:r>
      <w:r>
        <w:rPr>
          <w:rFonts w:hint="eastAsia" w:ascii="宋体" w:hAnsi="宋体" w:eastAsia="宋体" w:cs="宋体"/>
          <w:color w:val="auto"/>
          <w:szCs w:val="21"/>
          <w:highlight w:val="none"/>
        </w:rPr>
        <w:t>人，其中采购人代表</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1 </w:t>
      </w:r>
      <w:r>
        <w:rPr>
          <w:rFonts w:hint="eastAsia" w:ascii="宋体" w:hAnsi="宋体" w:eastAsia="宋体" w:cs="宋体"/>
          <w:color w:val="auto"/>
          <w:szCs w:val="21"/>
          <w:highlight w:val="none"/>
        </w:rPr>
        <w:t>人， 专家</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2 </w:t>
      </w:r>
      <w:r>
        <w:rPr>
          <w:rFonts w:hint="eastAsia" w:ascii="宋体" w:hAnsi="宋体" w:eastAsia="宋体" w:cs="宋体"/>
          <w:color w:val="auto"/>
          <w:szCs w:val="21"/>
          <w:highlight w:val="none"/>
        </w:rPr>
        <w:t>人。</w:t>
      </w:r>
    </w:p>
    <w:p w14:paraId="2D1973AC">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19.2 磋商时间、地点、人员：</w:t>
      </w:r>
    </w:p>
    <w:p w14:paraId="649A5ADB">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Cs w:val="21"/>
          <w:highlight w:val="none"/>
        </w:rPr>
      </w:pPr>
      <w:bookmarkStart w:id="95" w:name="_Toc9878"/>
      <w:r>
        <w:rPr>
          <w:rFonts w:hint="eastAsia" w:ascii="宋体" w:hAnsi="宋体" w:eastAsia="宋体" w:cs="宋体"/>
          <w:color w:val="auto"/>
          <w:szCs w:val="21"/>
          <w:highlight w:val="none"/>
        </w:rPr>
        <w:t>19.2.1磋商时间：响应文件递交截止时间后。</w:t>
      </w:r>
      <w:bookmarkEnd w:id="95"/>
    </w:p>
    <w:p w14:paraId="5FA8C6D0">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Cs w:val="21"/>
          <w:highlight w:val="none"/>
          <w:lang w:eastAsia="zh-CN"/>
        </w:rPr>
      </w:pPr>
      <w:bookmarkStart w:id="96" w:name="_Toc29268"/>
      <w:r>
        <w:rPr>
          <w:rFonts w:hint="eastAsia" w:ascii="宋体" w:hAnsi="宋体" w:eastAsia="宋体" w:cs="宋体"/>
          <w:color w:val="auto"/>
          <w:szCs w:val="21"/>
          <w:highlight w:val="none"/>
          <w:lang w:val="en-US" w:eastAsia="zh-CN"/>
        </w:rPr>
        <w:t>19.2.2磋商地点</w:t>
      </w:r>
      <w:r>
        <w:rPr>
          <w:rFonts w:hint="eastAsia" w:ascii="宋体" w:hAnsi="宋体" w:eastAsia="宋体" w:cs="宋体"/>
          <w:color w:val="auto"/>
          <w:szCs w:val="21"/>
          <w:highlight w:val="none"/>
        </w:rPr>
        <w:t>：</w:t>
      </w:r>
      <w:bookmarkEnd w:id="96"/>
      <w:r>
        <w:rPr>
          <w:rFonts w:hint="eastAsia" w:ascii="宋体" w:hAnsi="宋体" w:eastAsia="宋体" w:cs="宋体"/>
          <w:color w:val="auto"/>
          <w:szCs w:val="21"/>
          <w:highlight w:val="none"/>
        </w:rPr>
        <w:t>本项目需要磋商供应商代表在截标当天截标后，按磋商小组要求及时登陆</w:t>
      </w:r>
      <w:r>
        <w:rPr>
          <w:rFonts w:hint="eastAsia" w:ascii="宋体" w:hAnsi="宋体" w:cs="宋体"/>
          <w:color w:val="auto"/>
          <w:szCs w:val="21"/>
          <w:highlight w:val="none"/>
          <w:lang w:eastAsia="zh-CN"/>
        </w:rPr>
        <w:t>广西政府采购云平台</w:t>
      </w:r>
      <w:r>
        <w:rPr>
          <w:rFonts w:hint="eastAsia" w:ascii="宋体" w:hAnsi="宋体" w:eastAsia="宋体" w:cs="宋体"/>
          <w:color w:val="auto"/>
          <w:szCs w:val="21"/>
          <w:highlight w:val="none"/>
        </w:rPr>
        <w:t>等候在线磋商</w:t>
      </w:r>
      <w:r>
        <w:rPr>
          <w:rFonts w:hint="eastAsia" w:ascii="宋体" w:hAnsi="宋体" w:eastAsia="宋体" w:cs="宋体"/>
          <w:color w:val="auto"/>
          <w:szCs w:val="21"/>
          <w:highlight w:val="none"/>
          <w:lang w:eastAsia="zh-CN"/>
        </w:rPr>
        <w:t>。</w:t>
      </w:r>
    </w:p>
    <w:p w14:paraId="7F47CB66">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b w:val="0"/>
          <w:bCs/>
          <w:color w:val="auto"/>
          <w:sz w:val="21"/>
          <w:szCs w:val="21"/>
          <w:highlight w:val="none"/>
        </w:rPr>
      </w:pPr>
      <w:bookmarkStart w:id="97" w:name="_Toc21307"/>
      <w:r>
        <w:rPr>
          <w:rFonts w:hint="eastAsia" w:ascii="宋体" w:hAnsi="宋体" w:eastAsia="宋体" w:cs="宋体"/>
          <w:color w:val="auto"/>
          <w:szCs w:val="21"/>
          <w:highlight w:val="none"/>
        </w:rPr>
        <w:t>19</w:t>
      </w:r>
      <w:r>
        <w:rPr>
          <w:rFonts w:hint="eastAsia" w:ascii="宋体" w:hAnsi="宋体" w:eastAsia="宋体" w:cs="宋体"/>
          <w:b w:val="0"/>
          <w:bCs/>
          <w:color w:val="auto"/>
          <w:sz w:val="21"/>
          <w:szCs w:val="21"/>
          <w:highlight w:val="none"/>
        </w:rPr>
        <w:t>.2.3磋商参加人员：供应商法定代表人、负责人、自然人或相应的</w:t>
      </w:r>
      <w:r>
        <w:rPr>
          <w:rFonts w:hint="eastAsia" w:ascii="宋体" w:hAnsi="宋体" w:eastAsia="宋体" w:cs="宋体"/>
          <w:b w:val="0"/>
          <w:bCs/>
          <w:color w:val="000000" w:themeColor="text1"/>
          <w:sz w:val="21"/>
          <w:szCs w:val="21"/>
          <w:highlight w:val="none"/>
          <w14:textFill>
            <w14:solidFill>
              <w14:schemeClr w14:val="tx1"/>
            </w14:solidFill>
          </w14:textFill>
        </w:rPr>
        <w:t>委托代理人持</w:t>
      </w:r>
      <w:r>
        <w:rPr>
          <w:rFonts w:hint="eastAsia" w:ascii="宋体" w:hAnsi="宋体" w:eastAsia="宋体" w:cs="宋体"/>
          <w:b w:val="0"/>
          <w:bCs/>
          <w:color w:val="000000" w:themeColor="text1"/>
          <w:sz w:val="21"/>
          <w:szCs w:val="21"/>
          <w:highlight w:val="none"/>
          <w:u w:val="single"/>
          <w14:textFill>
            <w14:solidFill>
              <w14:schemeClr w14:val="tx1"/>
            </w14:solidFill>
          </w14:textFill>
        </w:rPr>
        <w:t>有效身份证</w:t>
      </w:r>
      <w:r>
        <w:rPr>
          <w:rFonts w:hint="eastAsia" w:ascii="宋体" w:hAnsi="宋体" w:eastAsia="宋体" w:cs="宋体"/>
          <w:b w:val="0"/>
          <w:bCs/>
          <w:color w:val="000000" w:themeColor="text1"/>
          <w:sz w:val="21"/>
          <w:szCs w:val="21"/>
          <w:highlight w:val="none"/>
          <w:u w:val="single"/>
          <w:lang w:eastAsia="zh-CN"/>
          <w14:textFill>
            <w14:solidFill>
              <w14:schemeClr w14:val="tx1"/>
            </w14:solidFill>
          </w14:textFill>
        </w:rPr>
        <w:t>原件</w:t>
      </w:r>
      <w:r>
        <w:rPr>
          <w:rFonts w:hint="eastAsia" w:ascii="宋体" w:hAnsi="宋体" w:eastAsia="宋体" w:cs="宋体"/>
          <w:b w:val="0"/>
          <w:bCs/>
          <w:color w:val="000000" w:themeColor="text1"/>
          <w:sz w:val="21"/>
          <w:szCs w:val="21"/>
          <w:highlight w:val="none"/>
          <w14:textFill>
            <w14:solidFill>
              <w14:schemeClr w14:val="tx1"/>
            </w14:solidFill>
          </w14:textFill>
        </w:rPr>
        <w:t>和</w:t>
      </w:r>
      <w:r>
        <w:rPr>
          <w:rFonts w:hint="eastAsia" w:ascii="宋体" w:hAnsi="宋体" w:eastAsia="宋体" w:cs="宋体"/>
          <w:b w:val="0"/>
          <w:bCs/>
          <w:color w:val="auto"/>
          <w:sz w:val="21"/>
          <w:szCs w:val="21"/>
          <w:highlight w:val="none"/>
        </w:rPr>
        <w:t>供应商</w:t>
      </w:r>
      <w:r>
        <w:rPr>
          <w:rFonts w:hint="eastAsia" w:ascii="宋体" w:hAnsi="宋体" w:cs="宋体"/>
          <w:b w:val="0"/>
          <w:bCs/>
          <w:color w:val="auto"/>
          <w:sz w:val="21"/>
          <w:szCs w:val="21"/>
          <w:highlight w:val="none"/>
          <w:u w:val="single"/>
          <w:lang w:eastAsia="zh-CN"/>
        </w:rPr>
        <w:t>广西政府采购云平台</w:t>
      </w:r>
      <w:r>
        <w:rPr>
          <w:rFonts w:hint="eastAsia" w:ascii="宋体" w:hAnsi="宋体" w:eastAsia="宋体" w:cs="宋体"/>
          <w:b w:val="0"/>
          <w:bCs/>
          <w:color w:val="auto"/>
          <w:sz w:val="21"/>
          <w:szCs w:val="21"/>
          <w:highlight w:val="none"/>
          <w:u w:val="single"/>
        </w:rPr>
        <w:t>CA数字证书</w:t>
      </w:r>
      <w:r>
        <w:rPr>
          <w:rFonts w:hint="eastAsia" w:ascii="宋体" w:hAnsi="宋体" w:eastAsia="宋体" w:cs="宋体"/>
          <w:b w:val="0"/>
          <w:bCs/>
          <w:color w:val="auto"/>
          <w:sz w:val="21"/>
          <w:szCs w:val="21"/>
          <w:highlight w:val="none"/>
        </w:rPr>
        <w:t>参加磋商。请供应商按时等候磋商。</w:t>
      </w:r>
      <w:bookmarkEnd w:id="97"/>
    </w:p>
    <w:p w14:paraId="50B3A6DD">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b w:val="0"/>
          <w:bCs/>
          <w:color w:val="auto"/>
          <w:sz w:val="21"/>
          <w:szCs w:val="21"/>
          <w:highlight w:val="none"/>
        </w:rPr>
      </w:pPr>
      <w:bookmarkStart w:id="98" w:name="_Toc6288"/>
      <w:r>
        <w:rPr>
          <w:rFonts w:hint="eastAsia" w:ascii="宋体" w:hAnsi="宋体" w:eastAsia="宋体" w:cs="宋体"/>
          <w:b w:val="0"/>
          <w:bCs/>
          <w:color w:val="auto"/>
          <w:sz w:val="21"/>
          <w:szCs w:val="21"/>
          <w:highlight w:val="none"/>
        </w:rPr>
        <w:t>19.2.4响应文件递交截止时间后，由磋商小组在评标室内线上开启响应文件。</w:t>
      </w:r>
      <w:bookmarkEnd w:id="98"/>
    </w:p>
    <w:p w14:paraId="5B1B91F5">
      <w:pPr>
        <w:pStyle w:val="6"/>
        <w:pageBreakBefore w:val="0"/>
        <w:widowControl w:val="0"/>
        <w:kinsoku/>
        <w:wordWrap/>
        <w:overflowPunct/>
        <w:topLinePunct w:val="0"/>
        <w:bidi w:val="0"/>
        <w:spacing w:before="0" w:after="0" w:line="440" w:lineRule="exact"/>
        <w:ind w:firstLine="422" w:firstLineChars="200"/>
        <w:textAlignment w:val="auto"/>
        <w:rPr>
          <w:rFonts w:hint="eastAsia" w:ascii="宋体" w:hAnsi="宋体" w:eastAsia="宋体" w:cs="宋体"/>
          <w:color w:val="auto"/>
          <w:sz w:val="21"/>
          <w:szCs w:val="21"/>
          <w:highlight w:val="none"/>
        </w:rPr>
      </w:pPr>
      <w:bookmarkStart w:id="99" w:name="_Toc25258"/>
      <w:bookmarkStart w:id="100" w:name="_Toc21088"/>
      <w:r>
        <w:rPr>
          <w:rFonts w:hint="eastAsia" w:ascii="宋体" w:hAnsi="宋体" w:eastAsia="宋体" w:cs="宋体"/>
          <w:color w:val="auto"/>
          <w:sz w:val="21"/>
          <w:szCs w:val="21"/>
          <w:highlight w:val="none"/>
        </w:rPr>
        <w:t>20. 评审原则</w:t>
      </w:r>
      <w:bookmarkEnd w:id="99"/>
      <w:bookmarkEnd w:id="100"/>
    </w:p>
    <w:p w14:paraId="46C22C2F">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20.1 磋商小组必须坚持公平、公正、科学和择优的原则。</w:t>
      </w:r>
    </w:p>
    <w:p w14:paraId="2BA4CF29">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20.2 评审办法：综合评分法，具体详见第四章评审办法。</w:t>
      </w:r>
    </w:p>
    <w:p w14:paraId="47DFDEC6">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20.3 磋商小组应按磋商文件进行评审，不得擅自更改评审办法。</w:t>
      </w:r>
    </w:p>
    <w:p w14:paraId="663EE8D4">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20.4 在评审过程中，磋商小组任何人不得对某个供应商发表任何倾向性意见，不得向其他磋商小组成员明示或者暗示自己的评审意见。</w:t>
      </w:r>
    </w:p>
    <w:p w14:paraId="3A009E91">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20.5 磋商小组成员对需要共同认定的事项存在争议的，按照少数服从多数的原则作出结论。持不同意见的磋商小组成员应当在评审报告上签署不同意见并说明理由，否则视为同意。</w:t>
      </w:r>
    </w:p>
    <w:p w14:paraId="3B840014">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20.6 响应文件最后报价出现前后不一致的，除竞争性磋商文件另有规定外，按照下列规定修正：</w:t>
      </w:r>
    </w:p>
    <w:p w14:paraId="437AD546">
      <w:pPr>
        <w:pStyle w:val="33"/>
        <w:keepNext w:val="0"/>
        <w:keepLines w:val="0"/>
        <w:pageBreakBefore w:val="0"/>
        <w:widowControl w:val="0"/>
        <w:tabs>
          <w:tab w:val="left" w:pos="1099"/>
        </w:tabs>
        <w:kinsoku/>
        <w:wordWrap/>
        <w:overflowPunct/>
        <w:topLinePunct w:val="0"/>
        <w:autoSpaceDE/>
        <w:autoSpaceDN/>
        <w:bidi w:val="0"/>
        <w:adjustRightInd/>
        <w:snapToGrid/>
        <w:spacing w:line="440" w:lineRule="exact"/>
        <w:ind w:left="0" w:leftChars="0"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t xml:space="preserve">(1) </w:t>
      </w:r>
      <w:r>
        <w:rPr>
          <w:rFonts w:hint="eastAsia" w:ascii="宋体" w:hAnsi="宋体" w:eastAsia="宋体" w:cs="宋体"/>
          <w:color w:val="auto"/>
          <w:highlight w:val="none"/>
        </w:rPr>
        <w:t>响应文件中磋商报价表内容与响应文件中相应内容不一致的，以最后磋商报价表为准；</w:t>
      </w:r>
    </w:p>
    <w:p w14:paraId="5EFC641A">
      <w:pPr>
        <w:pStyle w:val="33"/>
        <w:keepNext w:val="0"/>
        <w:keepLines w:val="0"/>
        <w:pageBreakBefore w:val="0"/>
        <w:widowControl w:val="0"/>
        <w:tabs>
          <w:tab w:val="left" w:pos="1099"/>
        </w:tabs>
        <w:kinsoku/>
        <w:wordWrap/>
        <w:overflowPunct/>
        <w:topLinePunct w:val="0"/>
        <w:autoSpaceDE/>
        <w:autoSpaceDN/>
        <w:bidi w:val="0"/>
        <w:adjustRightInd/>
        <w:snapToGrid/>
        <w:spacing w:line="440" w:lineRule="exact"/>
        <w:ind w:left="0" w:leftChars="0"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t>(2)</w:t>
      </w:r>
      <w:r>
        <w:rPr>
          <w:rFonts w:hint="eastAsia" w:ascii="宋体" w:hAnsi="宋体" w:eastAsia="宋体" w:cs="宋体"/>
          <w:color w:val="auto"/>
          <w:highlight w:val="none"/>
        </w:rPr>
        <w:t xml:space="preserve"> 大写金额和小写金额不一致的，以大写金额为准；</w:t>
      </w:r>
    </w:p>
    <w:p w14:paraId="6FC9B6AD">
      <w:pPr>
        <w:pStyle w:val="33"/>
        <w:keepNext w:val="0"/>
        <w:keepLines w:val="0"/>
        <w:pageBreakBefore w:val="0"/>
        <w:widowControl w:val="0"/>
        <w:tabs>
          <w:tab w:val="left" w:pos="1099"/>
        </w:tabs>
        <w:kinsoku/>
        <w:wordWrap/>
        <w:overflowPunct/>
        <w:topLinePunct w:val="0"/>
        <w:autoSpaceDE/>
        <w:autoSpaceDN/>
        <w:bidi w:val="0"/>
        <w:adjustRightInd/>
        <w:snapToGrid/>
        <w:spacing w:line="440" w:lineRule="exact"/>
        <w:ind w:left="0" w:leftChars="0"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t>(3)</w:t>
      </w:r>
      <w:r>
        <w:rPr>
          <w:rFonts w:hint="eastAsia" w:ascii="宋体" w:hAnsi="宋体" w:eastAsia="宋体" w:cs="宋体"/>
          <w:color w:val="auto"/>
          <w:highlight w:val="none"/>
        </w:rPr>
        <w:t xml:space="preserve"> 总价金额与依据单价计算出的结果不一致的，以单价金额为准修正总价，但单价金额小数点有明显错误的除外；</w:t>
      </w:r>
    </w:p>
    <w:p w14:paraId="70B65916">
      <w:pPr>
        <w:pStyle w:val="33"/>
        <w:keepNext w:val="0"/>
        <w:keepLines w:val="0"/>
        <w:pageBreakBefore w:val="0"/>
        <w:widowControl w:val="0"/>
        <w:tabs>
          <w:tab w:val="left" w:pos="1099"/>
        </w:tabs>
        <w:kinsoku/>
        <w:wordWrap/>
        <w:overflowPunct/>
        <w:topLinePunct w:val="0"/>
        <w:autoSpaceDE/>
        <w:autoSpaceDN/>
        <w:bidi w:val="0"/>
        <w:adjustRightInd/>
        <w:snapToGrid/>
        <w:spacing w:line="440" w:lineRule="exact"/>
        <w:ind w:left="0" w:leftChars="0"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t>(4) 当单价与数量相乘不等于合价时，以单价计算为准，如果单价有明显的小数点位置差错，应以标出的合价为准，同时对单价予以修正</w:t>
      </w:r>
      <w:r>
        <w:rPr>
          <w:rFonts w:hint="eastAsia" w:ascii="宋体" w:hAnsi="宋体" w:eastAsia="宋体" w:cs="宋体"/>
          <w:color w:val="auto"/>
          <w:highlight w:val="none"/>
        </w:rPr>
        <w:t>。</w:t>
      </w:r>
    </w:p>
    <w:p w14:paraId="45B29C64">
      <w:pPr>
        <w:pStyle w:val="33"/>
        <w:keepNext w:val="0"/>
        <w:keepLines w:val="0"/>
        <w:pageBreakBefore w:val="0"/>
        <w:widowControl w:val="0"/>
        <w:tabs>
          <w:tab w:val="left" w:pos="1099"/>
        </w:tabs>
        <w:kinsoku/>
        <w:wordWrap/>
        <w:overflowPunct/>
        <w:topLinePunct w:val="0"/>
        <w:autoSpaceDE/>
        <w:autoSpaceDN/>
        <w:bidi w:val="0"/>
        <w:adjustRightInd/>
        <w:snapToGrid/>
        <w:spacing w:line="440" w:lineRule="exact"/>
        <w:ind w:left="0" w:leftChars="0" w:firstLine="420" w:firstLineChars="200"/>
        <w:jc w:val="left"/>
        <w:textAlignment w:val="auto"/>
        <w:rPr>
          <w:rFonts w:hint="eastAsia" w:ascii="宋体" w:hAnsi="宋体" w:eastAsia="宋体" w:cs="宋体"/>
          <w:color w:val="auto"/>
          <w:highlight w:val="none"/>
        </w:rPr>
      </w:pPr>
      <w:r>
        <w:rPr>
          <w:rFonts w:hint="eastAsia" w:ascii="宋体" w:hAnsi="宋体" w:cs="宋体"/>
          <w:color w:val="auto"/>
          <w:highlight w:val="none"/>
          <w:lang w:eastAsia="zh-CN"/>
        </w:rPr>
        <w:t>（</w:t>
      </w:r>
      <w:r>
        <w:rPr>
          <w:rFonts w:hint="eastAsia" w:ascii="宋体" w:hAnsi="宋体" w:cs="宋体"/>
          <w:color w:val="auto"/>
          <w:highlight w:val="none"/>
          <w:lang w:val="en-US" w:eastAsia="zh-CN"/>
        </w:rPr>
        <w:t>5</w:t>
      </w:r>
      <w:r>
        <w:rPr>
          <w:rFonts w:hint="eastAsia" w:ascii="宋体" w:hAnsi="宋体" w:cs="宋体"/>
          <w:color w:val="auto"/>
          <w:highlight w:val="none"/>
          <w:lang w:eastAsia="zh-CN"/>
        </w:rPr>
        <w:t>）</w:t>
      </w:r>
      <w:r>
        <w:rPr>
          <w:rFonts w:hint="eastAsia" w:ascii="宋体" w:hAnsi="宋体" w:eastAsia="宋体" w:cs="宋体"/>
          <w:color w:val="auto"/>
          <w:highlight w:val="none"/>
        </w:rPr>
        <w:t>当各子目的合价累计不等于总价时，应以各子目合价累计数为准，修正总价。</w:t>
      </w:r>
    </w:p>
    <w:p w14:paraId="721EA8D8">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同时出现两种以上不一致的，按照前款规定的顺序修正。修正后的报价（不得超出响应文件的范围或者改变响应文件的实质性内容）经磋商供应商确认后产生约束力，磋商供应商不确认的，作无效响应处理。</w:t>
      </w:r>
    </w:p>
    <w:p w14:paraId="14E5C5D3">
      <w:pPr>
        <w:pStyle w:val="6"/>
        <w:pageBreakBefore w:val="0"/>
        <w:widowControl w:val="0"/>
        <w:kinsoku/>
        <w:wordWrap/>
        <w:overflowPunct/>
        <w:topLinePunct w:val="0"/>
        <w:bidi w:val="0"/>
        <w:spacing w:before="0" w:after="0" w:line="440" w:lineRule="exact"/>
        <w:ind w:firstLine="422" w:firstLineChars="200"/>
        <w:textAlignment w:val="auto"/>
        <w:rPr>
          <w:rFonts w:hint="eastAsia" w:ascii="宋体" w:hAnsi="宋体" w:eastAsia="宋体" w:cs="宋体"/>
          <w:color w:val="auto"/>
          <w:sz w:val="21"/>
          <w:szCs w:val="21"/>
          <w:highlight w:val="none"/>
        </w:rPr>
      </w:pPr>
      <w:bookmarkStart w:id="101" w:name="_Toc21012"/>
      <w:bookmarkStart w:id="102" w:name="_Toc27193"/>
      <w:r>
        <w:rPr>
          <w:rFonts w:hint="eastAsia" w:ascii="宋体" w:hAnsi="宋体" w:eastAsia="宋体" w:cs="宋体"/>
          <w:color w:val="auto"/>
          <w:sz w:val="21"/>
          <w:szCs w:val="21"/>
          <w:highlight w:val="none"/>
        </w:rPr>
        <w:t>21. 评审程序及磋商要求</w:t>
      </w:r>
      <w:bookmarkEnd w:id="101"/>
      <w:bookmarkEnd w:id="102"/>
    </w:p>
    <w:p w14:paraId="3D252C5F">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21.1磋商小组成员的通讯工具或相关电子设备交由桂林市公共资源交易中心统一保管后到达评标室，采购 </w:t>
      </w:r>
    </w:p>
    <w:p w14:paraId="64256180">
      <w:pPr>
        <w:pageBreakBefore w:val="0"/>
        <w:widowControl w:val="0"/>
        <w:kinsoku/>
        <w:wordWrap/>
        <w:overflowPunct/>
        <w:topLinePunct w:val="0"/>
        <w:bidi w:val="0"/>
        <w:spacing w:line="44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代理机构核实磋商小组成员身份，告知回避要求，宣布评审工作纪律和程序，推选磋商小组组长。</w:t>
      </w:r>
    </w:p>
    <w:p w14:paraId="5C3BAD6C">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21.2磋商小组应当对发布公告的竞争性磋商文件（简称磋商文件）进行确认，审查供应商的响应文件并作出评价；要求供应商解释或者澄清其响应文件；编写评审报告；告知采购人、采购代理机构在评审过程中发现的供应商的违法违规行为。</w:t>
      </w:r>
    </w:p>
    <w:p w14:paraId="051EF4FF">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21.3 磋商小组依据竞争性磋商文件的规定，首先对响应文件进行资格性审查，以确定供应商是否具备本项 目供应商资格；再对通过资格性审查的供应商响应文件的有效性、完整性和对磋商文件的响应程度进行符合性 审查，以确定是否对磋商文件的实质性要求做出响应。 </w:t>
      </w:r>
    </w:p>
    <w:p w14:paraId="724E5EDD">
      <w:pPr>
        <w:pageBreakBefore w:val="0"/>
        <w:widowControl w:val="0"/>
        <w:kinsoku/>
        <w:wordWrap/>
        <w:overflowPunct/>
        <w:topLinePunct w:val="0"/>
        <w:bidi w:val="0"/>
        <w:spacing w:line="440" w:lineRule="exact"/>
        <w:ind w:firstLine="422" w:firstLineChars="200"/>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21.4 磋商小组在对供应商进行资格性审查时，将对供应商企业股东及出资等信息进行查询。根据 《 中华人民共和国政府采购法实施条例 》 第十八条第一款规定，审查中如发现供应商存在单位负责人为同一人或者存在直接控股、管理关系的不同供应商参加同一合同项下的政府采购活动的，按响应文件无效处理 。</w:t>
      </w:r>
    </w:p>
    <w:p w14:paraId="208361BB">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21.4.1 查询渠道：《国家企业信用信息公示系统》（网址：www.gsxt.gov.cn/index.html）</w:t>
      </w:r>
    </w:p>
    <w:p w14:paraId="0F6472B1">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21.4.2 审查流程：</w:t>
      </w:r>
    </w:p>
    <w:p w14:paraId="66EDD482">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（1）进入《国家企业信用信息公示系统》（网址：www.gsxt.gov.cn/index.html），输入企业名称，进入企业信息主页面；</w:t>
      </w:r>
    </w:p>
    <w:p w14:paraId="77EB3C1B">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（2）查看主页“股东及出资信息”栏，或年报中的“股东及出资信息”栏信息；</w:t>
      </w:r>
    </w:p>
    <w:p w14:paraId="35AF66AD">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（3）将各供应商的股东及出资信息进行比对，得出审查结论；</w:t>
      </w:r>
    </w:p>
    <w:p w14:paraId="0F982622">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（4）将相关资料作为评审资料打印存档。</w:t>
      </w:r>
    </w:p>
    <w:p w14:paraId="1FDC0A77">
      <w:pPr>
        <w:pageBreakBefore w:val="0"/>
        <w:widowControl w:val="0"/>
        <w:kinsoku/>
        <w:wordWrap/>
        <w:overflowPunct/>
        <w:topLinePunct w:val="0"/>
        <w:bidi w:val="0"/>
        <w:spacing w:line="440" w:lineRule="exact"/>
        <w:ind w:firstLine="422" w:firstLineChars="200"/>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21.5 磋商小组如发现供应商提供的证明文件不齐全或不符合规定格式的，应一次性告知供应商，供应商应在规定的时间内</w:t>
      </w:r>
      <w:r>
        <w:rPr>
          <w:rFonts w:hint="eastAsia" w:ascii="宋体" w:hAnsi="宋体" w:eastAsia="宋体" w:cs="宋体"/>
          <w:b/>
          <w:bCs/>
          <w:color w:val="auto"/>
          <w:szCs w:val="21"/>
          <w:highlight w:val="none"/>
          <w:lang w:eastAsia="zh-CN"/>
        </w:rPr>
        <w:t>线上</w:t>
      </w:r>
      <w:r>
        <w:rPr>
          <w:rFonts w:hint="eastAsia" w:ascii="宋体" w:hAnsi="宋体" w:eastAsia="宋体" w:cs="宋体"/>
          <w:b/>
          <w:bCs/>
          <w:color w:val="auto"/>
          <w:szCs w:val="21"/>
          <w:highlight w:val="none"/>
        </w:rPr>
        <w:t>补正或更正。</w:t>
      </w:r>
    </w:p>
    <w:p w14:paraId="70417FD0">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21.6 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澄清、说明或者更正应由其法定代表人或相应的授权委托代表签字</w:t>
      </w:r>
      <w:r>
        <w:rPr>
          <w:rFonts w:hint="eastAsia" w:ascii="宋体" w:hAnsi="宋体" w:eastAsia="宋体" w:cs="宋体"/>
          <w:color w:val="auto"/>
          <w:szCs w:val="21"/>
          <w:highlight w:val="none"/>
          <w:lang w:eastAsia="zh-CN"/>
        </w:rPr>
        <w:t>（</w:t>
      </w:r>
      <w:r>
        <w:rPr>
          <w:rFonts w:hint="eastAsia" w:ascii="宋体" w:hAnsi="宋体" w:eastAsia="宋体" w:cs="宋体"/>
          <w:color w:val="auto"/>
          <w:highlight w:val="none"/>
          <w:lang w:val="en-US" w:eastAsia="zh-CN"/>
        </w:rPr>
        <w:t>个人</w:t>
      </w:r>
      <w:r>
        <w:rPr>
          <w:rFonts w:hint="eastAsia" w:ascii="宋体" w:hAnsi="宋体" w:cs="宋体"/>
          <w:color w:val="auto"/>
          <w:highlight w:val="none"/>
          <w:lang w:val="en-US" w:eastAsia="zh-CN"/>
        </w:rPr>
        <w:t>数字证书（CA认证）</w:t>
      </w:r>
      <w:r>
        <w:rPr>
          <w:rFonts w:hint="eastAsia" w:ascii="宋体" w:hAnsi="宋体" w:eastAsia="宋体" w:cs="宋体"/>
          <w:color w:val="auto"/>
          <w:highlight w:val="none"/>
          <w:lang w:val="en-US" w:eastAsia="zh-CN"/>
        </w:rPr>
        <w:t>签章)</w:t>
      </w:r>
      <w:r>
        <w:rPr>
          <w:rFonts w:hint="eastAsia" w:ascii="宋体" w:hAnsi="宋体" w:eastAsia="宋体" w:cs="宋体"/>
          <w:color w:val="auto"/>
          <w:szCs w:val="21"/>
          <w:highlight w:val="none"/>
        </w:rPr>
        <w:t>或者加盖供应商公章</w:t>
      </w:r>
      <w:r>
        <w:rPr>
          <w:rFonts w:hint="eastAsia" w:ascii="宋体" w:hAnsi="宋体" w:eastAsia="宋体" w:cs="宋体"/>
          <w:color w:val="auto"/>
          <w:szCs w:val="21"/>
          <w:highlight w:val="none"/>
          <w:lang w:val="en-US" w:eastAsia="zh-CN"/>
        </w:rPr>
        <w:t>(</w:t>
      </w:r>
      <w:r>
        <w:rPr>
          <w:rFonts w:hint="eastAsia" w:ascii="宋体" w:hAnsi="宋体" w:cs="宋体"/>
          <w:color w:val="auto"/>
          <w:szCs w:val="21"/>
          <w:highlight w:val="none"/>
          <w:lang w:val="en-US" w:eastAsia="zh-CN"/>
        </w:rPr>
        <w:t>数字证书（CA认证）</w:t>
      </w:r>
      <w:r>
        <w:rPr>
          <w:rFonts w:hint="eastAsia" w:ascii="宋体" w:hAnsi="宋体" w:eastAsia="宋体" w:cs="宋体"/>
          <w:color w:val="auto"/>
          <w:szCs w:val="21"/>
          <w:highlight w:val="none"/>
          <w:lang w:val="en-US" w:eastAsia="zh-CN"/>
        </w:rPr>
        <w:t>签章)</w:t>
      </w:r>
      <w:r>
        <w:rPr>
          <w:rFonts w:hint="eastAsia" w:ascii="宋体" w:hAnsi="宋体" w:eastAsia="宋体" w:cs="宋体"/>
          <w:color w:val="auto"/>
          <w:szCs w:val="21"/>
          <w:highlight w:val="none"/>
        </w:rPr>
        <w:t>。</w:t>
      </w:r>
    </w:p>
    <w:p w14:paraId="41AB4AD4">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根据磋商文件规定的程序、评定成交的标准等事项与实质性响应竞争性磋商文件要求的供应商进行磋商。 </w:t>
      </w:r>
    </w:p>
    <w:p w14:paraId="20A42F24">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未实质性响应磋商文件的响应文件按无效处理，磋商小组应当告知有关供应商。 </w:t>
      </w:r>
    </w:p>
    <w:p w14:paraId="0C493829">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磋商小组所有成员应当按已确定的磋商顺序集中与单一供应商分别进行磋商，并给予所有实质性响应竞争性磋商文件要求的供应商平等的磋商机会。 </w:t>
      </w:r>
    </w:p>
    <w:p w14:paraId="2A76F964">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磋商中，磋商小组不得透露与磋商有关的其他供应商的技术资料、价格和其他信息。 </w:t>
      </w:r>
    </w:p>
    <w:p w14:paraId="0E332047">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磋商小组对磋商过程和重要磋商内容进行记录，磋商双方在记录上签字确认。 </w:t>
      </w:r>
    </w:p>
    <w:p w14:paraId="32D6CCFE">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t>21.7当磋商小组一致确定磋商供应商的竞争性磋商响应文件能够详细列明采购标的的技术、服务要求且符合竞争性磋商文件要求，无需再磋商的，磋商小组按竞争性磋商文件设定的21.11、21.16程序和综合评分法确定成交候选人。第一轮磋商后竞争性磋商文件有实质性变动或仍需磋商的，磋商小组对竞争性磋商文件变动或提出磋商意见后进行第二轮磋商。</w:t>
      </w:r>
    </w:p>
    <w:p w14:paraId="1152D254">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21.8 在磋商过程中，磋商小组可以根据磋商文件和磋商情况实质性变动项目需求中的技术、服务要求以及合同草案条款，但不得变动磋商文件中的其他内容。实质性变动的内容，须经采购人代表确认。 </w:t>
      </w:r>
    </w:p>
    <w:p w14:paraId="10FF0D83">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对磋商文件作出的实质性变动是磋商文件的有效组成部分，磋商小组应当及时</w:t>
      </w:r>
      <w:r>
        <w:rPr>
          <w:rFonts w:hint="eastAsia" w:ascii="宋体" w:hAnsi="宋体" w:eastAsia="宋体" w:cs="宋体"/>
          <w:color w:val="auto"/>
          <w:szCs w:val="21"/>
          <w:highlight w:val="none"/>
          <w:lang w:eastAsia="zh-CN"/>
        </w:rPr>
        <w:t>通过</w:t>
      </w:r>
      <w:r>
        <w:rPr>
          <w:rFonts w:hint="eastAsia" w:ascii="宋体" w:hAnsi="宋体" w:cs="宋体"/>
          <w:color w:val="auto"/>
          <w:szCs w:val="21"/>
          <w:highlight w:val="none"/>
          <w:lang w:eastAsia="zh-CN"/>
        </w:rPr>
        <w:t>广西政府采购云平台</w:t>
      </w:r>
      <w:r>
        <w:rPr>
          <w:rFonts w:hint="eastAsia" w:ascii="宋体" w:hAnsi="宋体" w:eastAsia="宋体" w:cs="宋体"/>
          <w:color w:val="auto"/>
          <w:szCs w:val="21"/>
          <w:highlight w:val="none"/>
          <w:lang w:eastAsia="zh-CN"/>
        </w:rPr>
        <w:t>同时</w:t>
      </w:r>
      <w:r>
        <w:rPr>
          <w:rFonts w:hint="eastAsia" w:ascii="宋体" w:hAnsi="宋体" w:eastAsia="宋体" w:cs="宋体"/>
          <w:color w:val="auto"/>
          <w:szCs w:val="21"/>
          <w:highlight w:val="none"/>
        </w:rPr>
        <w:t xml:space="preserve">通知所有参加磋商的供应商。 </w:t>
      </w:r>
    </w:p>
    <w:p w14:paraId="2CD540AB">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供应商应当按照磋商文件的变动情况和磋商小组的要求重新提交响应文件，并由其法定代表人、负责人、</w:t>
      </w:r>
      <w:r>
        <w:rPr>
          <w:rFonts w:hint="eastAsia" w:ascii="宋体" w:hAnsi="宋体" w:eastAsia="宋体" w:cs="宋体"/>
          <w:color w:val="auto"/>
          <w:szCs w:val="21"/>
          <w:highlight w:val="none"/>
          <w:lang w:eastAsia="zh-CN"/>
        </w:rPr>
        <w:t>自然人或相应的授权委托代表签字（个人</w:t>
      </w:r>
      <w:r>
        <w:rPr>
          <w:rFonts w:hint="eastAsia" w:ascii="宋体" w:hAnsi="宋体" w:cs="宋体"/>
          <w:color w:val="auto"/>
          <w:szCs w:val="21"/>
          <w:highlight w:val="none"/>
          <w:lang w:val="en-US" w:eastAsia="zh-CN"/>
        </w:rPr>
        <w:t>数字证书（CA认证）</w:t>
      </w:r>
      <w:r>
        <w:rPr>
          <w:rFonts w:hint="eastAsia" w:ascii="宋体" w:hAnsi="宋体" w:eastAsia="宋体" w:cs="宋体"/>
          <w:color w:val="auto"/>
          <w:szCs w:val="21"/>
          <w:highlight w:val="none"/>
          <w:lang w:val="en-US" w:eastAsia="zh-CN"/>
        </w:rPr>
        <w:t>签章</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或者加盖供应商公章</w:t>
      </w:r>
      <w:r>
        <w:rPr>
          <w:rFonts w:hint="eastAsia" w:ascii="宋体" w:hAnsi="宋体" w:eastAsia="宋体" w:cs="宋体"/>
          <w:color w:val="auto"/>
          <w:szCs w:val="21"/>
          <w:highlight w:val="none"/>
          <w:lang w:val="en-US" w:eastAsia="zh-CN"/>
        </w:rPr>
        <w:t>(</w:t>
      </w:r>
      <w:r>
        <w:rPr>
          <w:rFonts w:hint="eastAsia" w:ascii="宋体" w:hAnsi="宋体" w:cs="宋体"/>
          <w:color w:val="auto"/>
          <w:szCs w:val="21"/>
          <w:highlight w:val="none"/>
          <w:lang w:val="en-US" w:eastAsia="zh-CN"/>
        </w:rPr>
        <w:t>数字证书（CA认证）</w:t>
      </w:r>
      <w:r>
        <w:rPr>
          <w:rFonts w:hint="eastAsia" w:ascii="宋体" w:hAnsi="宋体" w:eastAsia="宋体" w:cs="宋体"/>
          <w:color w:val="auto"/>
          <w:szCs w:val="21"/>
          <w:highlight w:val="none"/>
          <w:lang w:val="en-US" w:eastAsia="zh-CN"/>
        </w:rPr>
        <w:t>签章)</w:t>
      </w:r>
      <w:r>
        <w:rPr>
          <w:rFonts w:hint="eastAsia" w:ascii="宋体" w:hAnsi="宋体" w:eastAsia="宋体" w:cs="宋体"/>
          <w:color w:val="auto"/>
          <w:szCs w:val="21"/>
          <w:highlight w:val="none"/>
        </w:rPr>
        <w:t xml:space="preserve">。逾时不交的，视同放弃磋商。 </w:t>
      </w:r>
    </w:p>
    <w:p w14:paraId="24BBF4DA">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21.9 第二轮磋商</w:t>
      </w:r>
    </w:p>
    <w:p w14:paraId="18B8A966">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磋商小组集中就重新提交的响应文件或磋商小组提出的磋商意见与单一响应供应商分别进行磋商。磋商小组对磋商过程和重要磋商内容进行记录，磋商双方在记录上签字确认</w:t>
      </w:r>
      <w:r>
        <w:rPr>
          <w:rFonts w:hint="eastAsia" w:ascii="宋体" w:hAnsi="宋体" w:eastAsia="宋体" w:cs="宋体"/>
          <w:color w:val="auto"/>
          <w:szCs w:val="21"/>
          <w:highlight w:val="none"/>
          <w:lang w:eastAsia="zh-CN"/>
        </w:rPr>
        <w:t>（</w:t>
      </w:r>
      <w:r>
        <w:rPr>
          <w:rFonts w:hint="eastAsia" w:ascii="宋体" w:hAnsi="宋体" w:cs="宋体"/>
          <w:color w:val="auto"/>
          <w:szCs w:val="21"/>
          <w:highlight w:val="none"/>
          <w:lang w:val="en-US" w:eastAsia="zh-CN"/>
        </w:rPr>
        <w:t>数字证书（CA认证）</w:t>
      </w:r>
      <w:r>
        <w:rPr>
          <w:rFonts w:hint="eastAsia" w:ascii="宋体" w:hAnsi="宋体" w:eastAsia="宋体" w:cs="宋体"/>
          <w:color w:val="auto"/>
          <w:szCs w:val="21"/>
          <w:highlight w:val="none"/>
          <w:lang w:val="en-US" w:eastAsia="zh-CN"/>
        </w:rPr>
        <w:t>签章确认</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w:t>
      </w:r>
    </w:p>
    <w:p w14:paraId="68EF8A71">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磋商后，供应商根据磋商小组统一整理的书面磋商记录要求做出书面承诺，并由其法定代表人或授权代表签字或者加盖公章</w:t>
      </w:r>
      <w:r>
        <w:rPr>
          <w:rFonts w:hint="eastAsia" w:ascii="宋体" w:hAnsi="宋体" w:eastAsia="宋体" w:cs="宋体"/>
          <w:color w:val="auto"/>
          <w:szCs w:val="21"/>
          <w:highlight w:val="none"/>
          <w:lang w:eastAsia="zh-CN"/>
        </w:rPr>
        <w:t>（</w:t>
      </w:r>
      <w:r>
        <w:rPr>
          <w:rFonts w:hint="eastAsia" w:ascii="宋体" w:hAnsi="宋体" w:cs="宋体"/>
          <w:color w:val="auto"/>
          <w:szCs w:val="21"/>
          <w:highlight w:val="none"/>
          <w:lang w:val="en-US" w:eastAsia="zh-CN"/>
        </w:rPr>
        <w:t>数字证书（CA认证）</w:t>
      </w:r>
      <w:r>
        <w:rPr>
          <w:rFonts w:hint="eastAsia" w:ascii="宋体" w:hAnsi="宋体" w:eastAsia="宋体" w:cs="宋体"/>
          <w:color w:val="auto"/>
          <w:szCs w:val="21"/>
          <w:highlight w:val="none"/>
          <w:lang w:val="en-US" w:eastAsia="zh-CN"/>
        </w:rPr>
        <w:t>签章</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后按时</w:t>
      </w:r>
      <w:r>
        <w:rPr>
          <w:rFonts w:hint="eastAsia" w:ascii="宋体" w:hAnsi="宋体" w:eastAsia="宋体" w:cs="宋体"/>
          <w:color w:val="auto"/>
          <w:szCs w:val="21"/>
          <w:highlight w:val="none"/>
          <w:lang w:eastAsia="zh-CN"/>
        </w:rPr>
        <w:t>线上</w:t>
      </w:r>
      <w:r>
        <w:rPr>
          <w:rFonts w:hint="eastAsia" w:ascii="宋体" w:hAnsi="宋体" w:eastAsia="宋体" w:cs="宋体"/>
          <w:color w:val="auto"/>
          <w:szCs w:val="21"/>
          <w:highlight w:val="none"/>
          <w:lang w:val="en-US" w:eastAsia="zh-CN"/>
        </w:rPr>
        <w:t>提交</w:t>
      </w:r>
      <w:r>
        <w:rPr>
          <w:rFonts w:hint="eastAsia" w:ascii="宋体" w:hAnsi="宋体" w:eastAsia="宋体" w:cs="宋体"/>
          <w:color w:val="auto"/>
          <w:szCs w:val="21"/>
          <w:highlight w:val="none"/>
        </w:rPr>
        <w:t>。</w:t>
      </w:r>
    </w:p>
    <w:p w14:paraId="5CF239E8">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t>当磋商小组一致确定供应商的竞争性磋商响应文件符合竞争性磋商文件要求，无需再磋商的，磋商小组按竞争性磋商文件设定的21.11、21.16程序和评审方法确定成交候选人。第二轮磋商后竞争性磋商文件仍有实质性变动的或仍需磋商的，磋商小组对竞争性磋商文件变动或提出磋商意见后进行第三轮磋商。以此类推。</w:t>
      </w:r>
    </w:p>
    <w:p w14:paraId="0BAEF8C4">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21.10 在采购过程中符合竞争要求的供应商或者报价未超过采购预算的供应商不足 3 家的，采购人或者采购代理机构应当终止竞争性磋商采购活动。 </w:t>
      </w:r>
    </w:p>
    <w:p w14:paraId="3F593153">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21.11 最后报价 </w:t>
      </w:r>
    </w:p>
    <w:p w14:paraId="6FA799A9">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21.11.1 磋商文件能够详细列明采购标的的质量要求的，磋商结束后，磋商小组应当要求所有继续参加磋商的供应商在规定时间内</w:t>
      </w:r>
      <w:r>
        <w:rPr>
          <w:rFonts w:hint="eastAsia" w:ascii="宋体" w:hAnsi="宋体" w:eastAsia="宋体" w:cs="宋体"/>
          <w:color w:val="auto"/>
          <w:szCs w:val="21"/>
          <w:highlight w:val="none"/>
          <w:lang w:eastAsia="zh-CN"/>
        </w:rPr>
        <w:t>线上</w:t>
      </w:r>
      <w:r>
        <w:rPr>
          <w:rFonts w:hint="eastAsia" w:ascii="宋体" w:hAnsi="宋体" w:eastAsia="宋体" w:cs="宋体"/>
          <w:color w:val="auto"/>
          <w:szCs w:val="21"/>
          <w:highlight w:val="none"/>
        </w:rPr>
        <w:t xml:space="preserve">提交最后报价，提交最后报价的供应商不得少于 3 家。 </w:t>
      </w:r>
    </w:p>
    <w:p w14:paraId="7B717678">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21.11.2 </w:t>
      </w:r>
      <w:r>
        <w:rPr>
          <w:rFonts w:hint="eastAsia" w:ascii="宋体" w:hAnsi="宋体" w:cs="宋体"/>
          <w:color w:val="auto"/>
          <w:szCs w:val="21"/>
          <w:highlight w:val="none"/>
        </w:rPr>
        <w:t>磋商文件不能详细列明采购标的的施工要求，需经磋商由供应商提供最终设计方案或解决方案的</w:t>
      </w:r>
      <w:r>
        <w:rPr>
          <w:rFonts w:hint="eastAsia" w:ascii="宋体" w:hAnsi="宋体" w:eastAsia="宋体" w:cs="宋体"/>
          <w:color w:val="auto"/>
          <w:szCs w:val="21"/>
          <w:highlight w:val="none"/>
        </w:rPr>
        <w:t>，磋商结束后，磋商小组应当按照少数服从多数的原则投票推荐 3 家以上（含 3 家）供应商的设计方案或者解决方案，并要求其在规定时间内</w:t>
      </w:r>
      <w:r>
        <w:rPr>
          <w:rFonts w:hint="eastAsia" w:ascii="宋体" w:hAnsi="宋体" w:eastAsia="宋体" w:cs="宋体"/>
          <w:color w:val="auto"/>
          <w:szCs w:val="21"/>
          <w:highlight w:val="none"/>
          <w:lang w:eastAsia="zh-CN"/>
        </w:rPr>
        <w:t>线上</w:t>
      </w:r>
      <w:r>
        <w:rPr>
          <w:rFonts w:hint="eastAsia" w:ascii="宋体" w:hAnsi="宋体" w:eastAsia="宋体" w:cs="宋体"/>
          <w:color w:val="auto"/>
          <w:szCs w:val="21"/>
          <w:highlight w:val="none"/>
        </w:rPr>
        <w:t xml:space="preserve">提交最后报价。 </w:t>
      </w:r>
    </w:p>
    <w:p w14:paraId="58235D3F">
      <w:pPr>
        <w:pageBreakBefore w:val="0"/>
        <w:widowControl w:val="0"/>
        <w:kinsoku/>
        <w:wordWrap/>
        <w:overflowPunct/>
        <w:topLinePunct w:val="0"/>
        <w:bidi w:val="0"/>
        <w:spacing w:line="440" w:lineRule="exact"/>
        <w:ind w:firstLine="420" w:firstLineChars="200"/>
        <w:textAlignment w:val="auto"/>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21.11.3</w:t>
      </w:r>
      <w:r>
        <w:rPr>
          <w:rFonts w:hint="eastAsia" w:hAnsi="宋体" w:cs="宋体"/>
          <w:color w:val="auto"/>
          <w:kern w:val="0"/>
          <w:szCs w:val="21"/>
          <w:highlight w:val="none"/>
        </w:rPr>
        <w:t>最后报价（应答文件）是供应商响应文件的有效组成部分：</w:t>
      </w:r>
      <w:r>
        <w:rPr>
          <w:rFonts w:hint="eastAsia" w:hAnsi="宋体" w:cs="宋体"/>
          <w:b/>
          <w:color w:val="auto"/>
          <w:spacing w:val="-4"/>
          <w:szCs w:val="21"/>
          <w:highlight w:val="none"/>
        </w:rPr>
        <w:t>供应商做最终报价时，如供应商维持磋商报价不变</w:t>
      </w:r>
      <w:r>
        <w:rPr>
          <w:rFonts w:hint="eastAsia" w:hAnsi="宋体" w:cs="宋体"/>
          <w:b/>
          <w:color w:val="auto"/>
          <w:spacing w:val="-4"/>
          <w:szCs w:val="21"/>
          <w:highlight w:val="none"/>
          <w:lang w:eastAsia="zh-CN"/>
        </w:rPr>
        <w:t>，</w:t>
      </w:r>
      <w:r>
        <w:rPr>
          <w:rFonts w:hint="eastAsia" w:hAnsi="宋体" w:cs="宋体"/>
          <w:b/>
          <w:color w:val="auto"/>
          <w:spacing w:val="-4"/>
          <w:szCs w:val="21"/>
          <w:highlight w:val="none"/>
        </w:rPr>
        <w:t>以原磋商报价作为供应商最后报价；供应商应预先准备好调整后的完整已标价的工程量清单。如供应商在磋商过程中，改变原报价且未按竞争性磋商文件要求提供调整后的磋商报价</w:t>
      </w:r>
      <w:r>
        <w:rPr>
          <w:rFonts w:hint="eastAsia" w:hAnsi="宋体" w:cs="宋体"/>
          <w:b/>
          <w:color w:val="auto"/>
          <w:spacing w:val="-4"/>
          <w:szCs w:val="21"/>
          <w:highlight w:val="none"/>
          <w:lang w:eastAsia="zh-CN"/>
        </w:rPr>
        <w:t>电子</w:t>
      </w:r>
      <w:r>
        <w:rPr>
          <w:rFonts w:hint="eastAsia" w:hAnsi="宋体" w:cs="宋体"/>
          <w:b/>
          <w:color w:val="auto"/>
          <w:spacing w:val="-4"/>
          <w:szCs w:val="21"/>
          <w:highlight w:val="none"/>
        </w:rPr>
        <w:t>版的，其报价不予认可，视供应商维持原磋商报价不变</w:t>
      </w:r>
      <w:r>
        <w:rPr>
          <w:rFonts w:hint="eastAsia" w:hAnsi="宋体" w:cs="宋体"/>
          <w:b/>
          <w:color w:val="auto"/>
          <w:szCs w:val="21"/>
          <w:highlight w:val="none"/>
        </w:rPr>
        <w:t>。</w:t>
      </w:r>
      <w:r>
        <w:rPr>
          <w:rFonts w:hint="eastAsia" w:hAnsi="宋体" w:cs="宋体"/>
          <w:color w:val="auto"/>
          <w:spacing w:val="-4"/>
          <w:szCs w:val="21"/>
          <w:highlight w:val="none"/>
        </w:rPr>
        <w:t>必须由供应商</w:t>
      </w:r>
      <w:r>
        <w:rPr>
          <w:rFonts w:hint="eastAsia" w:ascii="宋体" w:hAnsi="宋体" w:eastAsia="宋体" w:cs="宋体"/>
          <w:color w:val="auto"/>
          <w:szCs w:val="21"/>
          <w:highlight w:val="none"/>
        </w:rPr>
        <w:t>加盖公章</w:t>
      </w:r>
      <w:r>
        <w:rPr>
          <w:rFonts w:hint="eastAsia" w:ascii="宋体" w:hAnsi="宋体" w:eastAsia="宋体" w:cs="宋体"/>
          <w:color w:val="auto"/>
          <w:szCs w:val="21"/>
          <w:highlight w:val="none"/>
          <w:lang w:eastAsia="zh-CN"/>
        </w:rPr>
        <w:t>（</w:t>
      </w:r>
      <w:r>
        <w:rPr>
          <w:rFonts w:hint="eastAsia" w:ascii="宋体" w:hAnsi="宋体" w:cs="宋体"/>
          <w:color w:val="auto"/>
          <w:szCs w:val="21"/>
          <w:highlight w:val="none"/>
          <w:lang w:val="en-US" w:eastAsia="zh-CN"/>
        </w:rPr>
        <w:t>数字证书（CA认证）</w:t>
      </w:r>
      <w:r>
        <w:rPr>
          <w:rFonts w:hint="eastAsia" w:ascii="宋体" w:hAnsi="宋体" w:eastAsia="宋体" w:cs="宋体"/>
          <w:color w:val="auto"/>
          <w:szCs w:val="21"/>
          <w:highlight w:val="none"/>
          <w:lang w:val="en-US" w:eastAsia="zh-CN"/>
        </w:rPr>
        <w:t>签章</w:t>
      </w:r>
      <w:r>
        <w:rPr>
          <w:rFonts w:hint="eastAsia" w:ascii="宋体" w:hAnsi="宋体" w:eastAsia="宋体" w:cs="宋体"/>
          <w:color w:val="auto"/>
          <w:szCs w:val="21"/>
          <w:highlight w:val="none"/>
          <w:lang w:eastAsia="zh-CN"/>
        </w:rPr>
        <w:t>）</w:t>
      </w:r>
      <w:r>
        <w:rPr>
          <w:rFonts w:hint="eastAsia" w:hAnsi="宋体" w:cs="宋体"/>
          <w:color w:val="auto"/>
          <w:spacing w:val="-4"/>
          <w:szCs w:val="21"/>
          <w:highlight w:val="none"/>
        </w:rPr>
        <w:t>。</w:t>
      </w:r>
    </w:p>
    <w:p w14:paraId="169EBEA4">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t>21.11.</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 xml:space="preserve"> 根据《财政部关于政府采购竞争性磋商采购方式管理暂行办法有关问题的补充通知》</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财库〔2014〕214 号</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的规定，如采购项目为政府购买服务项目（含政府和社会资本合作项目），在采购过程中符合要求的供应商（社会资本）只有 2 家的，竞争性磋商采购活动可以继续进行，并要求其在规定时间内</w:t>
      </w:r>
      <w:r>
        <w:rPr>
          <w:rFonts w:hint="eastAsia" w:ascii="宋体" w:hAnsi="宋体" w:eastAsia="宋体" w:cs="宋体"/>
          <w:color w:val="auto"/>
          <w:szCs w:val="21"/>
          <w:highlight w:val="none"/>
          <w:lang w:eastAsia="zh-CN"/>
        </w:rPr>
        <w:t>线上</w:t>
      </w:r>
      <w:r>
        <w:rPr>
          <w:rFonts w:hint="eastAsia" w:ascii="宋体" w:hAnsi="宋体" w:eastAsia="宋体" w:cs="宋体"/>
          <w:color w:val="auto"/>
          <w:szCs w:val="21"/>
          <w:highlight w:val="none"/>
        </w:rPr>
        <w:t xml:space="preserve">提交最后报价；采购过程中符合要求的供应商（社会资本）只有 1 家的，采购人或者采购代理机构应当终止竞争性磋商采购活动，发布项目终止公告并说明原因，重新开展采购活动。 </w:t>
      </w:r>
    </w:p>
    <w:p w14:paraId="2E60D784">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21.11.</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 xml:space="preserve"> 根据《政府采购竞争性磋商采购方式管理暂行办法》</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财库〔2014〕214 号</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的规定：</w:t>
      </w:r>
      <w:r>
        <w:rPr>
          <w:rFonts w:hint="eastAsia" w:ascii="宋体" w:hAnsi="宋体" w:eastAsia="宋体" w:cs="宋体"/>
          <w:b/>
          <w:bCs/>
          <w:color w:val="auto"/>
          <w:szCs w:val="21"/>
          <w:highlight w:val="none"/>
        </w:rPr>
        <w:t xml:space="preserve">最后报价是供应商响应文件的有效组成部分。 </w:t>
      </w:r>
      <w:r>
        <w:rPr>
          <w:rFonts w:hint="eastAsia" w:ascii="宋体" w:hAnsi="宋体" w:eastAsia="宋体" w:cs="宋体"/>
          <w:color w:val="auto"/>
          <w:szCs w:val="21"/>
          <w:highlight w:val="none"/>
        </w:rPr>
        <w:t>符合本办法(财库〔2014〕214号文)第三条第四项情形的，提交最后报价的供应商可以为2家。</w:t>
      </w:r>
      <w:r>
        <w:rPr>
          <w:rFonts w:hint="eastAsia" w:ascii="宋体" w:hAnsi="宋体" w:eastAsia="宋体" w:cs="宋体"/>
          <w:b/>
          <w:bCs/>
          <w:color w:val="auto"/>
          <w:szCs w:val="21"/>
          <w:highlight w:val="none"/>
        </w:rPr>
        <w:t>（财库〔2014〕214号文第三条第四项：市场竞争不充分的科研项目，以及需要扶持的科技成果转化项目。）</w:t>
      </w:r>
    </w:p>
    <w:p w14:paraId="7933A3A5">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21.12 已提交响应文件的供应商，在提交最后报价之前，可以根据磋商情况书面退出磋商。 </w:t>
      </w:r>
    </w:p>
    <w:p w14:paraId="4B286E90">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未书面退出磋商的供应商在规定时间内</w:t>
      </w:r>
      <w:r>
        <w:rPr>
          <w:rFonts w:hint="eastAsia" w:ascii="宋体" w:hAnsi="宋体" w:eastAsia="宋体" w:cs="宋体"/>
          <w:color w:val="auto"/>
          <w:szCs w:val="21"/>
          <w:highlight w:val="none"/>
          <w:lang w:eastAsia="zh-CN"/>
        </w:rPr>
        <w:t>线上</w:t>
      </w:r>
      <w:r>
        <w:rPr>
          <w:rFonts w:hint="eastAsia" w:ascii="宋体" w:hAnsi="宋体" w:eastAsia="宋体" w:cs="宋体"/>
          <w:color w:val="auto"/>
          <w:szCs w:val="21"/>
          <w:highlight w:val="none"/>
        </w:rPr>
        <w:t xml:space="preserve">提交最后报价，其最后报价超出采购预算导致已通过评审的响应文件无效的，按供应商在提交响应文件截止时间后撤回响应文件处理。 </w:t>
      </w:r>
    </w:p>
    <w:p w14:paraId="02B65254">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21.13 评审报告 </w:t>
      </w:r>
    </w:p>
    <w:p w14:paraId="02AB6097">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磋商小组应当从质量和服务均能满足磋商文件全部实质性响应要求的供应商中，按照最后综合得分由高到低的顺序提出 3 名以上（含 3 名）成交候选人，并编写评审报告。</w:t>
      </w:r>
    </w:p>
    <w:p w14:paraId="6F5CE6CD">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21.14 在评审过程中出现法律法规和磋商文件均没有明确规定的情形时，由磋商小组现场协商解决，协商不一致的，由全体磋商小组投票表决，以得票率二分之一以上磋商小组成员的意见为准。 </w:t>
      </w:r>
    </w:p>
    <w:p w14:paraId="6F435229">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21.15 采购代理机构发现磋商小组有明显的违规倾向或歧视现象，或不按评审办法进行，或其他不正常行为的，应当及时制止。如制止无效，应及时向政府采购监督管理机构报告。</w:t>
      </w:r>
    </w:p>
    <w:p w14:paraId="7206F6DF">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b w:val="0"/>
          <w:bCs w:val="0"/>
          <w:color w:val="auto"/>
          <w:highlight w:val="none"/>
        </w:rPr>
      </w:pPr>
      <w:r>
        <w:rPr>
          <w:rFonts w:hint="eastAsia" w:ascii="宋体" w:hAnsi="宋体" w:eastAsia="宋体" w:cs="宋体"/>
          <w:color w:val="auto"/>
          <w:szCs w:val="21"/>
          <w:highlight w:val="none"/>
        </w:rPr>
        <w:t>21.16 本采购项目的评审依据为竞争性磋商文件和竞争性磋商响应文件，采用的评审方法为</w:t>
      </w:r>
      <w:r>
        <w:rPr>
          <w:rFonts w:hint="eastAsia" w:ascii="宋体" w:hAnsi="宋体" w:eastAsia="宋体" w:cs="宋体"/>
          <w:b w:val="0"/>
          <w:bCs w:val="0"/>
          <w:color w:val="auto"/>
          <w:szCs w:val="21"/>
          <w:highlight w:val="none"/>
        </w:rPr>
        <w:t>综合评分法。</w:t>
      </w:r>
    </w:p>
    <w:p w14:paraId="00683921">
      <w:pPr>
        <w:pStyle w:val="6"/>
        <w:pageBreakBefore w:val="0"/>
        <w:widowControl w:val="0"/>
        <w:kinsoku/>
        <w:wordWrap/>
        <w:overflowPunct/>
        <w:topLinePunct w:val="0"/>
        <w:bidi w:val="0"/>
        <w:spacing w:before="0" w:after="0" w:line="440" w:lineRule="exact"/>
        <w:ind w:firstLine="422" w:firstLineChars="200"/>
        <w:textAlignment w:val="auto"/>
        <w:rPr>
          <w:rFonts w:hint="eastAsia" w:ascii="宋体" w:hAnsi="宋体" w:eastAsia="宋体" w:cs="宋体"/>
          <w:color w:val="auto"/>
          <w:sz w:val="21"/>
          <w:szCs w:val="21"/>
          <w:highlight w:val="none"/>
        </w:rPr>
      </w:pPr>
      <w:bookmarkStart w:id="103" w:name="_Toc32470"/>
      <w:bookmarkStart w:id="104" w:name="_Toc18722"/>
      <w:r>
        <w:rPr>
          <w:rFonts w:hint="eastAsia" w:ascii="宋体" w:hAnsi="宋体" w:eastAsia="宋体" w:cs="宋体"/>
          <w:color w:val="auto"/>
          <w:sz w:val="21"/>
          <w:szCs w:val="21"/>
          <w:highlight w:val="none"/>
        </w:rPr>
        <w:t>22. 确定成交供应商</w:t>
      </w:r>
      <w:bookmarkEnd w:id="103"/>
      <w:bookmarkEnd w:id="104"/>
    </w:p>
    <w:p w14:paraId="77898CB6">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22.1磋商小组应当根据综合得分情况，按照综合得分由高到低顺序推荐成交候选人，并编写评审报告。磋商小组根据综合得分由高到低排列次序，若得分相同时，以评审报价由低到高顺序排列；若得分相同且评审报价相同的，以最后报价由低到高顺序排列；若仍相同的，由磋商小组按照抽签的方式决定排列次序。</w:t>
      </w:r>
    </w:p>
    <w:p w14:paraId="05D38072">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t>22.2采购单位应当确定磋商小组推荐排名第一的成交候选人为成交供应商。</w:t>
      </w:r>
    </w:p>
    <w:p w14:paraId="16421787">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22.3排名第一的成交候选人放弃成交、因不可抗力提出不能履行合同，或信用信息记录不符合相关规定的，或者磋商文件规定应当提交履约保证金而在规定的期限内未能提交的（本项目免收履约保证金），采购单位可以确定排名第二的成交候选人为成交供应商。</w:t>
      </w:r>
    </w:p>
    <w:p w14:paraId="6695C1A8">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22.4排名第二的成交候选人因前款规定的同样原因不能签订合同的，采购单位可以确定排名第三的成交候选人为成交供应商。</w:t>
      </w:r>
    </w:p>
    <w:p w14:paraId="2262DE7C">
      <w:pPr>
        <w:pStyle w:val="6"/>
        <w:pageBreakBefore w:val="0"/>
        <w:widowControl w:val="0"/>
        <w:kinsoku/>
        <w:wordWrap/>
        <w:overflowPunct/>
        <w:topLinePunct w:val="0"/>
        <w:bidi w:val="0"/>
        <w:spacing w:before="0" w:after="0" w:line="440" w:lineRule="exact"/>
        <w:ind w:firstLine="422" w:firstLineChars="200"/>
        <w:textAlignment w:val="auto"/>
        <w:rPr>
          <w:rFonts w:hint="eastAsia" w:ascii="宋体" w:hAnsi="宋体" w:eastAsia="宋体" w:cs="宋体"/>
          <w:color w:val="auto"/>
          <w:sz w:val="21"/>
          <w:szCs w:val="21"/>
          <w:highlight w:val="none"/>
        </w:rPr>
      </w:pPr>
      <w:bookmarkStart w:id="105" w:name="_Toc15332"/>
      <w:bookmarkStart w:id="106" w:name="_Toc21715"/>
      <w:r>
        <w:rPr>
          <w:rFonts w:hint="eastAsia" w:ascii="宋体" w:hAnsi="宋体" w:eastAsia="宋体" w:cs="宋体"/>
          <w:color w:val="auto"/>
          <w:sz w:val="21"/>
          <w:szCs w:val="21"/>
          <w:highlight w:val="none"/>
        </w:rPr>
        <w:t>23. 属于下列情况之一者，响应文件无效</w:t>
      </w:r>
      <w:bookmarkEnd w:id="105"/>
      <w:bookmarkEnd w:id="106"/>
    </w:p>
    <w:p w14:paraId="5829B765">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（1）未按磋商文件规定完整</w:t>
      </w:r>
      <w:r>
        <w:rPr>
          <w:rFonts w:hint="eastAsia" w:ascii="宋体" w:hAnsi="宋体" w:eastAsia="宋体" w:cs="宋体"/>
          <w:color w:val="auto"/>
          <w:szCs w:val="21"/>
          <w:highlight w:val="none"/>
          <w:lang w:val="en-US" w:eastAsia="zh-CN"/>
        </w:rPr>
        <w:t>线上</w:t>
      </w:r>
      <w:r>
        <w:rPr>
          <w:rFonts w:hint="eastAsia" w:ascii="宋体" w:hAnsi="宋体" w:eastAsia="宋体" w:cs="宋体"/>
          <w:color w:val="auto"/>
          <w:szCs w:val="21"/>
          <w:highlight w:val="none"/>
        </w:rPr>
        <w:t>提交响应文件或未按规定要求</w:t>
      </w:r>
      <w:r>
        <w:rPr>
          <w:rFonts w:hint="eastAsia" w:ascii="宋体" w:hAnsi="宋体" w:eastAsia="宋体" w:cs="宋体"/>
          <w:color w:val="auto"/>
          <w:szCs w:val="21"/>
          <w:highlight w:val="none"/>
          <w:lang w:eastAsia="zh-CN"/>
        </w:rPr>
        <w:t>线上</w:t>
      </w:r>
      <w:r>
        <w:rPr>
          <w:rFonts w:hint="eastAsia" w:ascii="宋体" w:hAnsi="宋体" w:eastAsia="宋体" w:cs="宋体"/>
          <w:color w:val="auto"/>
          <w:szCs w:val="21"/>
          <w:highlight w:val="none"/>
        </w:rPr>
        <w:t>签字、</w:t>
      </w:r>
      <w:r>
        <w:rPr>
          <w:rFonts w:hint="eastAsia" w:ascii="宋体" w:hAnsi="宋体" w:eastAsia="宋体" w:cs="宋体"/>
          <w:color w:val="auto"/>
          <w:szCs w:val="21"/>
          <w:highlight w:val="none"/>
          <w:lang w:val="en-US" w:eastAsia="zh-CN"/>
        </w:rPr>
        <w:t>签章</w:t>
      </w:r>
      <w:r>
        <w:rPr>
          <w:rFonts w:hint="eastAsia" w:ascii="宋体" w:hAnsi="宋体" w:eastAsia="宋体" w:cs="宋体"/>
          <w:color w:val="auto"/>
          <w:szCs w:val="21"/>
          <w:highlight w:val="none"/>
        </w:rPr>
        <w:t>的；</w:t>
      </w:r>
    </w:p>
    <w:p w14:paraId="2CD27D42">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（2）不具备磋商文件规定的资格要求的；</w:t>
      </w:r>
    </w:p>
    <w:p w14:paraId="0D06AE4F">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在进行资格性审查时，磋商小组将进入《国家企业信用信息公示系统》对企业股东及出资等信息进行查询，对存在《中华人民共和国政府采购法实施条例》第十八条第一款情形的，即单位负责人为同一人或者存在直接控股、管理关系的不同供应商，不得参加同一合同项下的政府采购活动，其磋商文件将被视为无效文件；</w:t>
      </w:r>
    </w:p>
    <w:p w14:paraId="4AC7074B">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）响应文件未按磋商文件的内容和要求编制，或提供虚假材料的；</w:t>
      </w:r>
    </w:p>
    <w:p w14:paraId="520E2AB4">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rPr>
        <w:t>响应文件有效期、质量要求、工期要求不能满足采购文件要求的</w:t>
      </w:r>
      <w:r>
        <w:rPr>
          <w:rFonts w:hint="eastAsia" w:ascii="宋体" w:hAnsi="宋体" w:eastAsia="宋体" w:cs="宋体"/>
          <w:color w:val="auto"/>
          <w:szCs w:val="21"/>
          <w:highlight w:val="none"/>
        </w:rPr>
        <w:t>；</w:t>
      </w:r>
    </w:p>
    <w:p w14:paraId="518BAFE8">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）未在磋商小组规定的时间内提交响应文件(包括最后报价)的；</w:t>
      </w:r>
    </w:p>
    <w:p w14:paraId="042F9A52">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）超越了按照法律法规规定必须获得行政许可或者行政审批的经营范围的；</w:t>
      </w:r>
    </w:p>
    <w:p w14:paraId="16510008">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）未满足磋商文件实质性要求的或者响应文件有采购人不能接受的附加条件的；</w:t>
      </w:r>
    </w:p>
    <w:p w14:paraId="662203C6">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rPr>
        <w:t>）响应文件实质性要求未做变动，供应商最后报价高于第一次报价的；</w:t>
      </w:r>
    </w:p>
    <w:p w14:paraId="2900EF99">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10</w:t>
      </w:r>
      <w:r>
        <w:rPr>
          <w:rFonts w:hint="eastAsia" w:ascii="宋体" w:hAnsi="宋体" w:eastAsia="宋体" w:cs="宋体"/>
          <w:color w:val="auto"/>
          <w:szCs w:val="21"/>
          <w:highlight w:val="none"/>
        </w:rPr>
        <w:t>）不符合法律、法规和磋商文件规定的其他实质性要求和条件的。</w:t>
      </w:r>
    </w:p>
    <w:p w14:paraId="44A55FC0">
      <w:pPr>
        <w:pageBreakBefore w:val="0"/>
        <w:widowControl w:val="0"/>
        <w:kinsoku/>
        <w:wordWrap/>
        <w:overflowPunct/>
        <w:topLinePunct w:val="0"/>
        <w:bidi w:val="0"/>
        <w:spacing w:line="440" w:lineRule="exact"/>
        <w:ind w:firstLine="422" w:firstLineChars="200"/>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供应商有下列情形之一的视为供应商相互串通磋商，响应文件将被视为无效</w:t>
      </w:r>
    </w:p>
    <w:p w14:paraId="58DDBD5D">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（1）不同供应商的响应文件由同一单位或者个人编制；或不同供应商报名的IP地址一致的；</w:t>
      </w:r>
    </w:p>
    <w:p w14:paraId="46DB55D7">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（2）不同供应商委托同一单位或者个人办理磋商事宜；</w:t>
      </w:r>
    </w:p>
    <w:p w14:paraId="5FEA1AC6">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（3）不同的供应商的响应文件载明的项目管理员为同一个人；</w:t>
      </w:r>
    </w:p>
    <w:p w14:paraId="0D6F5815">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（4）不同供应商的响应文件异常一致或竞标报价呈规律性差异；</w:t>
      </w:r>
    </w:p>
    <w:p w14:paraId="65AFAC5C">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（5）不同供应商的响应文件相互混</w:t>
      </w:r>
      <w:r>
        <w:rPr>
          <w:rFonts w:hint="eastAsia" w:ascii="宋体" w:hAnsi="宋体" w:cs="宋体"/>
          <w:color w:val="auto"/>
          <w:szCs w:val="21"/>
          <w:highlight w:val="none"/>
          <w:lang w:eastAsia="zh-CN"/>
        </w:rPr>
        <w:t>编</w:t>
      </w:r>
      <w:r>
        <w:rPr>
          <w:rFonts w:hint="eastAsia" w:ascii="宋体" w:hAnsi="宋体" w:eastAsia="宋体" w:cs="宋体"/>
          <w:color w:val="auto"/>
          <w:szCs w:val="21"/>
          <w:highlight w:val="none"/>
        </w:rPr>
        <w:t>。</w:t>
      </w:r>
    </w:p>
    <w:p w14:paraId="343AEEE0">
      <w:pPr>
        <w:pStyle w:val="6"/>
        <w:pageBreakBefore w:val="0"/>
        <w:widowControl w:val="0"/>
        <w:kinsoku/>
        <w:wordWrap/>
        <w:overflowPunct/>
        <w:topLinePunct w:val="0"/>
        <w:bidi w:val="0"/>
        <w:spacing w:before="0" w:after="0" w:line="440" w:lineRule="exact"/>
        <w:ind w:firstLine="422" w:firstLineChars="200"/>
        <w:textAlignment w:val="auto"/>
        <w:rPr>
          <w:rFonts w:hint="eastAsia" w:ascii="宋体" w:hAnsi="宋体" w:eastAsia="宋体" w:cs="宋体"/>
          <w:color w:val="auto"/>
          <w:sz w:val="21"/>
          <w:szCs w:val="21"/>
          <w:highlight w:val="none"/>
        </w:rPr>
      </w:pPr>
      <w:bookmarkStart w:id="107" w:name="_Toc27786"/>
      <w:bookmarkStart w:id="108" w:name="_Toc5714"/>
      <w:r>
        <w:rPr>
          <w:rFonts w:hint="eastAsia" w:ascii="宋体" w:hAnsi="宋体" w:eastAsia="宋体" w:cs="宋体"/>
          <w:color w:val="auto"/>
          <w:sz w:val="21"/>
          <w:szCs w:val="21"/>
          <w:highlight w:val="none"/>
        </w:rPr>
        <w:t>24. 出现下列情形之一的，采购人或者采购代理机构应当终止竞争性磋商采购活动，发布项目终止公告并说明原因，重新开展采购活动</w:t>
      </w:r>
      <w:bookmarkEnd w:id="107"/>
      <w:bookmarkEnd w:id="108"/>
    </w:p>
    <w:p w14:paraId="769AB5AB">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（1）因情况变化，不再符合规定的竞争性磋商采购方式适用情形的；</w:t>
      </w:r>
    </w:p>
    <w:p w14:paraId="0EE55FA6">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（2）出现影响采购公正的违法、违规行为的； </w:t>
      </w:r>
    </w:p>
    <w:p w14:paraId="10559556">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（3）在采购过程中符合竞争要求的供应商或者报价未超过采购预算的供应商不足3家的。</w:t>
      </w:r>
      <w:r>
        <w:rPr>
          <w:rFonts w:hint="eastAsia" w:ascii="宋体" w:hAnsi="宋体" w:eastAsia="宋体" w:cs="宋体"/>
          <w:b/>
          <w:bCs/>
          <w:color w:val="auto"/>
          <w:szCs w:val="21"/>
          <w:highlight w:val="none"/>
        </w:rPr>
        <w:t xml:space="preserve">（除财库〔2014〕214 号《政府采购竞争性磋商采购方式管理暂行办法》第二十一条第三款规定的情形外） </w:t>
      </w:r>
    </w:p>
    <w:p w14:paraId="7F3C74E0">
      <w:pPr>
        <w:pStyle w:val="6"/>
        <w:pageBreakBefore w:val="0"/>
        <w:widowControl w:val="0"/>
        <w:kinsoku/>
        <w:wordWrap/>
        <w:overflowPunct/>
        <w:topLinePunct w:val="0"/>
        <w:bidi w:val="0"/>
        <w:spacing w:before="0" w:after="0" w:line="440" w:lineRule="exact"/>
        <w:ind w:firstLine="422" w:firstLineChars="200"/>
        <w:textAlignment w:val="auto"/>
        <w:rPr>
          <w:rFonts w:hint="eastAsia" w:ascii="宋体" w:hAnsi="宋体" w:eastAsia="宋体" w:cs="宋体"/>
          <w:color w:val="auto"/>
          <w:sz w:val="21"/>
          <w:szCs w:val="21"/>
          <w:highlight w:val="none"/>
        </w:rPr>
      </w:pPr>
      <w:bookmarkStart w:id="109" w:name="_Toc19105"/>
      <w:bookmarkStart w:id="110" w:name="_Toc19910"/>
      <w:r>
        <w:rPr>
          <w:rFonts w:hint="eastAsia" w:ascii="宋体" w:hAnsi="宋体" w:eastAsia="宋体" w:cs="宋体"/>
          <w:color w:val="auto"/>
          <w:sz w:val="21"/>
          <w:szCs w:val="21"/>
          <w:highlight w:val="none"/>
        </w:rPr>
        <w:t>25. 磋商过程的监控</w:t>
      </w:r>
      <w:bookmarkEnd w:id="109"/>
      <w:bookmarkEnd w:id="110"/>
    </w:p>
    <w:p w14:paraId="2F7FA37D">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本项目磋商过程实行全程录音、录像监控，供应商在磋商过程中所进行的试图影响磋商结果的不公正活动，可能导致其磋商被拒绝。</w:t>
      </w:r>
    </w:p>
    <w:p w14:paraId="1239A9D4">
      <w:pPr>
        <w:pStyle w:val="6"/>
        <w:pageBreakBefore w:val="0"/>
        <w:widowControl w:val="0"/>
        <w:numPr>
          <w:ilvl w:val="0"/>
          <w:numId w:val="5"/>
        </w:numPr>
        <w:kinsoku/>
        <w:wordWrap/>
        <w:overflowPunct/>
        <w:topLinePunct w:val="0"/>
        <w:bidi w:val="0"/>
        <w:spacing w:before="0" w:after="0" w:line="440" w:lineRule="exact"/>
        <w:ind w:firstLine="422" w:firstLineChars="200"/>
        <w:textAlignment w:val="auto"/>
        <w:rPr>
          <w:rFonts w:hint="eastAsia" w:ascii="宋体" w:hAnsi="宋体" w:eastAsia="宋体" w:cs="宋体"/>
          <w:color w:val="auto"/>
          <w:sz w:val="21"/>
          <w:szCs w:val="21"/>
          <w:highlight w:val="none"/>
        </w:rPr>
      </w:pPr>
      <w:bookmarkStart w:id="111" w:name="_Toc14787"/>
      <w:bookmarkStart w:id="112" w:name="_Toc26291"/>
      <w:r>
        <w:rPr>
          <w:rFonts w:hint="eastAsia" w:ascii="宋体" w:hAnsi="宋体" w:eastAsia="宋体" w:cs="宋体"/>
          <w:color w:val="auto"/>
          <w:sz w:val="21"/>
          <w:szCs w:val="21"/>
          <w:highlight w:val="none"/>
        </w:rPr>
        <w:t>信用查询</w:t>
      </w:r>
      <w:bookmarkEnd w:id="111"/>
      <w:bookmarkEnd w:id="112"/>
    </w:p>
    <w:p w14:paraId="1C171E31">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根据《关于做好政府采购有关信用主体标识码登记及在政府采购活动中查询使用信用记录有关问题的通知》桂财采〔2016〕37号的通知，采购代理机构对成交人的成交资格进行信用查询：</w:t>
      </w:r>
    </w:p>
    <w:p w14:paraId="4B31D6BE">
      <w:pPr>
        <w:pageBreakBefore w:val="0"/>
        <w:widowControl w:val="0"/>
        <w:kinsoku/>
        <w:wordWrap/>
        <w:overflowPunct/>
        <w:topLinePunct w:val="0"/>
        <w:bidi w:val="0"/>
        <w:spacing w:line="440" w:lineRule="exact"/>
        <w:ind w:firstLine="210" w:firstLineChars="1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（1）查询渠道：“信用中国”网站(www.creditchina.gov.cn)、中国政府采购网(www.ccgp.gov.cn)等；</w:t>
      </w:r>
    </w:p>
    <w:p w14:paraId="3BA2A31D">
      <w:pPr>
        <w:pageBreakBefore w:val="0"/>
        <w:widowControl w:val="0"/>
        <w:kinsoku/>
        <w:wordWrap/>
        <w:overflowPunct/>
        <w:topLinePunct w:val="0"/>
        <w:bidi w:val="0"/>
        <w:spacing w:line="440" w:lineRule="exact"/>
        <w:ind w:firstLine="210" w:firstLineChars="1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（2）查询时间：成交通知书发出前；</w:t>
      </w:r>
    </w:p>
    <w:p w14:paraId="64B16892">
      <w:pPr>
        <w:pageBreakBefore w:val="0"/>
        <w:widowControl w:val="0"/>
        <w:kinsoku/>
        <w:wordWrap/>
        <w:overflowPunct/>
        <w:topLinePunct w:val="0"/>
        <w:bidi w:val="0"/>
        <w:spacing w:line="440" w:lineRule="exact"/>
        <w:ind w:firstLine="210" w:firstLineChars="1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（3）信用信息查询记录和证据留存方式：在查询网站中直接打印查询记录，打印材料作为采购活动资料保存。</w:t>
      </w:r>
    </w:p>
    <w:p w14:paraId="78F77DC8">
      <w:pPr>
        <w:pageBreakBefore w:val="0"/>
        <w:widowControl w:val="0"/>
        <w:kinsoku/>
        <w:wordWrap/>
        <w:overflowPunct/>
        <w:topLinePunct w:val="0"/>
        <w:bidi w:val="0"/>
        <w:spacing w:line="440" w:lineRule="exact"/>
        <w:ind w:firstLine="210" w:firstLineChars="1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取消其成交候选人资格。采购人依法按照评审报告中磋商小组推荐成交候选人排序表确定排名第二的成交候选人为成交供应商或者重新组织采购。</w:t>
      </w:r>
    </w:p>
    <w:p w14:paraId="4CF0512B">
      <w:pPr>
        <w:pStyle w:val="6"/>
        <w:pageBreakBefore w:val="0"/>
        <w:widowControl w:val="0"/>
        <w:kinsoku/>
        <w:wordWrap/>
        <w:overflowPunct/>
        <w:topLinePunct w:val="0"/>
        <w:bidi w:val="0"/>
        <w:spacing w:before="0" w:after="0" w:line="440" w:lineRule="exact"/>
        <w:ind w:firstLine="422" w:firstLineChars="200"/>
        <w:textAlignment w:val="auto"/>
        <w:rPr>
          <w:rFonts w:hint="eastAsia" w:ascii="宋体" w:hAnsi="宋体" w:eastAsia="宋体" w:cs="宋体"/>
          <w:color w:val="auto"/>
          <w:sz w:val="21"/>
          <w:szCs w:val="21"/>
          <w:highlight w:val="none"/>
        </w:rPr>
      </w:pPr>
      <w:bookmarkStart w:id="113" w:name="_Toc25468"/>
      <w:bookmarkStart w:id="114" w:name="_Toc9438"/>
      <w:r>
        <w:rPr>
          <w:rFonts w:hint="eastAsia" w:ascii="宋体" w:hAnsi="宋体" w:eastAsia="宋体" w:cs="宋体"/>
          <w:color w:val="auto"/>
          <w:sz w:val="21"/>
          <w:szCs w:val="21"/>
          <w:highlight w:val="none"/>
        </w:rPr>
        <w:t>27. 成交结果公告及成交通知书</w:t>
      </w:r>
      <w:bookmarkEnd w:id="113"/>
      <w:bookmarkEnd w:id="114"/>
    </w:p>
    <w:p w14:paraId="540FF5AC">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27.1 采购代理机构于磋商结束后两个工作日内将评审报告送交采购人，采购人应当自收到评审报告五个工作日内在评审报告推荐的成交候选人中按顺序确定成交供应商，采购代理机构在成交供应商确定之日起两个工作日内发出成交通知书，并在指定媒体上公告成交信息。</w:t>
      </w:r>
    </w:p>
    <w:p w14:paraId="5BF35FC5">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27.2 在发布成交公告的同时，采购代理机构向成交供应商发出成交通知书。成交供应商自接到通知之日起七个工作日内，办理成交通知书领取手续。</w:t>
      </w:r>
    </w:p>
    <w:p w14:paraId="79B80E3D">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b/>
          <w:bCs w:val="0"/>
          <w:color w:val="auto"/>
          <w:szCs w:val="28"/>
          <w:highlight w:val="none"/>
        </w:rPr>
      </w:pPr>
      <w:r>
        <w:rPr>
          <w:rFonts w:hint="eastAsia" w:ascii="宋体" w:hAnsi="宋体" w:eastAsia="宋体" w:cs="宋体"/>
          <w:color w:val="auto"/>
          <w:szCs w:val="21"/>
          <w:highlight w:val="none"/>
        </w:rPr>
        <w:t>27.3 采购代理机构无义务向未成交的供应商解释未成交原因和退还响应文件。</w:t>
      </w:r>
      <w:bookmarkStart w:id="115" w:name="_Toc25593"/>
    </w:p>
    <w:p w14:paraId="46BC21B1">
      <w:pPr>
        <w:pStyle w:val="5"/>
        <w:pageBreakBefore w:val="0"/>
        <w:widowControl w:val="0"/>
        <w:tabs>
          <w:tab w:val="left" w:pos="567"/>
        </w:tabs>
        <w:kinsoku/>
        <w:wordWrap/>
        <w:overflowPunct/>
        <w:topLinePunct w:val="0"/>
        <w:bidi w:val="0"/>
        <w:spacing w:line="440" w:lineRule="exact"/>
        <w:jc w:val="center"/>
        <w:textAlignment w:val="auto"/>
        <w:rPr>
          <w:rFonts w:hint="eastAsia" w:ascii="宋体" w:hAnsi="宋体" w:eastAsia="宋体" w:cs="宋体"/>
          <w:b/>
          <w:bCs w:val="0"/>
          <w:color w:val="auto"/>
          <w:szCs w:val="28"/>
          <w:highlight w:val="none"/>
        </w:rPr>
      </w:pPr>
      <w:bookmarkStart w:id="116" w:name="_Toc29518"/>
      <w:bookmarkStart w:id="117" w:name="_Toc24102"/>
      <w:r>
        <w:rPr>
          <w:rFonts w:hint="eastAsia" w:ascii="宋体" w:hAnsi="宋体" w:eastAsia="宋体" w:cs="宋体"/>
          <w:b/>
          <w:bCs w:val="0"/>
          <w:color w:val="auto"/>
          <w:szCs w:val="28"/>
          <w:highlight w:val="none"/>
        </w:rPr>
        <w:t>五、签订合同</w:t>
      </w:r>
      <w:bookmarkEnd w:id="115"/>
      <w:bookmarkEnd w:id="116"/>
      <w:bookmarkEnd w:id="117"/>
    </w:p>
    <w:p w14:paraId="434CDE90">
      <w:pPr>
        <w:pStyle w:val="6"/>
        <w:pageBreakBefore w:val="0"/>
        <w:widowControl w:val="0"/>
        <w:kinsoku/>
        <w:wordWrap/>
        <w:overflowPunct/>
        <w:topLinePunct w:val="0"/>
        <w:bidi w:val="0"/>
        <w:spacing w:before="0" w:after="0" w:line="440" w:lineRule="exact"/>
        <w:ind w:firstLine="422" w:firstLineChars="200"/>
        <w:textAlignment w:val="auto"/>
        <w:rPr>
          <w:rFonts w:hint="eastAsia" w:ascii="宋体" w:hAnsi="宋体" w:eastAsia="宋体" w:cs="宋体"/>
          <w:color w:val="auto"/>
          <w:highlight w:val="none"/>
        </w:rPr>
      </w:pPr>
      <w:bookmarkStart w:id="118" w:name="_Toc1032"/>
      <w:bookmarkStart w:id="119" w:name="_Toc26520"/>
      <w:r>
        <w:rPr>
          <w:rFonts w:hint="eastAsia" w:ascii="宋体" w:hAnsi="宋体" w:eastAsia="宋体" w:cs="宋体"/>
          <w:color w:val="auto"/>
          <w:sz w:val="21"/>
          <w:szCs w:val="21"/>
          <w:highlight w:val="none"/>
        </w:rPr>
        <w:t>28. 履约保证金</w:t>
      </w:r>
      <w:bookmarkEnd w:id="118"/>
      <w:bookmarkEnd w:id="119"/>
    </w:p>
    <w:p w14:paraId="646F6798">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Cs w:val="21"/>
          <w:highlight w:val="none"/>
        </w:rPr>
      </w:pPr>
      <w:bookmarkStart w:id="120" w:name="_Toc22004"/>
      <w:bookmarkStart w:id="121" w:name="_Toc4956"/>
      <w:r>
        <w:rPr>
          <w:rFonts w:hint="eastAsia" w:ascii="宋体" w:hAnsi="宋体" w:cs="宋体"/>
          <w:color w:val="auto"/>
          <w:szCs w:val="21"/>
          <w:highlight w:val="none"/>
          <w:lang w:eastAsia="zh-CN"/>
        </w:rPr>
        <w:t>本项目不收取履约保证金</w:t>
      </w:r>
      <w:r>
        <w:rPr>
          <w:rFonts w:hint="eastAsia" w:ascii="宋体" w:hAnsi="宋体" w:eastAsia="宋体" w:cs="宋体"/>
          <w:color w:val="auto"/>
          <w:szCs w:val="21"/>
          <w:highlight w:val="none"/>
        </w:rPr>
        <w:t>。</w:t>
      </w:r>
    </w:p>
    <w:p w14:paraId="1DC85F08">
      <w:pPr>
        <w:pStyle w:val="6"/>
        <w:pageBreakBefore w:val="0"/>
        <w:widowControl w:val="0"/>
        <w:kinsoku/>
        <w:wordWrap/>
        <w:overflowPunct/>
        <w:topLinePunct w:val="0"/>
        <w:bidi w:val="0"/>
        <w:spacing w:before="0" w:after="0" w:line="440" w:lineRule="exact"/>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 签订合同</w:t>
      </w:r>
      <w:bookmarkEnd w:id="120"/>
      <w:bookmarkEnd w:id="121"/>
    </w:p>
    <w:p w14:paraId="33E29CFD">
      <w:pPr>
        <w:pageBreakBefore w:val="0"/>
        <w:widowControl w:val="0"/>
        <w:kinsoku/>
        <w:wordWrap/>
        <w:overflowPunct/>
        <w:topLinePunct w:val="0"/>
        <w:bidi w:val="0"/>
        <w:spacing w:line="440" w:lineRule="exact"/>
        <w:ind w:firstLine="422" w:firstLineChars="200"/>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29.1 签订合同时间：</w:t>
      </w:r>
      <w:r>
        <w:rPr>
          <w:rFonts w:hint="eastAsia" w:ascii="宋体" w:hAnsi="宋体" w:eastAsia="宋体" w:cs="宋体"/>
          <w:b/>
          <w:bCs/>
          <w:color w:val="auto"/>
          <w:szCs w:val="21"/>
          <w:highlight w:val="none"/>
          <w:lang w:eastAsia="zh-CN"/>
        </w:rPr>
        <w:t>成交通知书</w:t>
      </w:r>
      <w:r>
        <w:rPr>
          <w:rFonts w:hint="eastAsia" w:ascii="宋体" w:hAnsi="宋体" w:eastAsia="宋体" w:cs="宋体"/>
          <w:b/>
          <w:bCs/>
          <w:color w:val="auto"/>
          <w:szCs w:val="21"/>
          <w:highlight w:val="none"/>
        </w:rPr>
        <w:t>发出之日起8个工作日内签订合同。成交供应商领取成交通知书后，应按规定与采购人签订合同。</w:t>
      </w:r>
    </w:p>
    <w:p w14:paraId="65D2FD42">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29.2 如成交供应商有下列情形之一的，情节严重的，由财政部门将其列入不良行为记录名单，在一至三年内禁止参加政府采购活动，并予以通报。采购代理机构可从磋商小组推荐的成交候选人中按顺序重新确定成交供应商或重新组织采购。拒绝签订政府采购合同的成交供应商不得参加对该项目重新开展的采购活动。</w:t>
      </w:r>
    </w:p>
    <w:p w14:paraId="18FA647B">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（1）成交后不与采购人签订合同的（不可抗力除外）；</w:t>
      </w:r>
    </w:p>
    <w:p w14:paraId="028EAA1A">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（2）将成交项目转让给他人，或者在响应文件中未说明，且未经采购人同意，将成交项目分包给他人的；</w:t>
      </w:r>
    </w:p>
    <w:p w14:paraId="3D6B6619">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（3）拒绝履行合同义务的。</w:t>
      </w:r>
    </w:p>
    <w:p w14:paraId="6C4020DC">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t>29.3 合同备案存档：</w:t>
      </w:r>
      <w:r>
        <w:rPr>
          <w:rFonts w:hint="eastAsia" w:ascii="宋体" w:hAnsi="宋体" w:eastAsia="宋体" w:cs="宋体"/>
          <w:color w:val="auto"/>
          <w:highlight w:val="none"/>
        </w:rPr>
        <w:t>政府采购合同双方自签订之日起一个工作日内将合同原件一份交采购代理机构，采购代理机构将政府采购合同在省级以上人民政府财政部门指定媒体上公告。采购人于合同签订之日起七个工作日内将一份合同原件送本级财政部门备案，一份由</w:t>
      </w:r>
      <w:r>
        <w:rPr>
          <w:rFonts w:hint="eastAsia" w:ascii="宋体" w:hAnsi="宋体" w:cs="宋体"/>
          <w:color w:val="auto"/>
          <w:highlight w:val="none"/>
          <w:lang w:eastAsia="zh-CN"/>
        </w:rPr>
        <w:t>广西景钲工程咨询有限公司</w:t>
      </w:r>
      <w:r>
        <w:rPr>
          <w:rFonts w:hint="eastAsia" w:ascii="宋体" w:hAnsi="宋体" w:eastAsia="宋体" w:cs="宋体"/>
          <w:color w:val="auto"/>
          <w:highlight w:val="none"/>
        </w:rPr>
        <w:t>存档。</w:t>
      </w:r>
    </w:p>
    <w:p w14:paraId="6AF32E94">
      <w:pPr>
        <w:pStyle w:val="5"/>
        <w:pageBreakBefore w:val="0"/>
        <w:widowControl w:val="0"/>
        <w:tabs>
          <w:tab w:val="left" w:pos="567"/>
        </w:tabs>
        <w:kinsoku/>
        <w:wordWrap/>
        <w:overflowPunct/>
        <w:topLinePunct w:val="0"/>
        <w:bidi w:val="0"/>
        <w:spacing w:line="440" w:lineRule="exact"/>
        <w:jc w:val="center"/>
        <w:textAlignment w:val="auto"/>
        <w:rPr>
          <w:rFonts w:hint="eastAsia" w:ascii="宋体" w:hAnsi="宋体" w:eastAsia="宋体" w:cs="宋体"/>
          <w:b/>
          <w:bCs w:val="0"/>
          <w:color w:val="auto"/>
          <w:szCs w:val="28"/>
          <w:highlight w:val="none"/>
        </w:rPr>
        <w:sectPr>
          <w:pgSz w:w="11906" w:h="16838"/>
          <w:pgMar w:top="1418" w:right="1115" w:bottom="1418" w:left="1131" w:header="851" w:footer="992" w:gutter="0"/>
          <w:pgNumType w:fmt="decimal"/>
          <w:cols w:space="720" w:num="1"/>
          <w:titlePg/>
          <w:docGrid w:type="lines" w:linePitch="312" w:charSpace="0"/>
        </w:sectPr>
      </w:pPr>
      <w:bookmarkStart w:id="122" w:name="_Toc17898"/>
      <w:bookmarkStart w:id="123" w:name="_Toc16348"/>
    </w:p>
    <w:p w14:paraId="442F8591">
      <w:pPr>
        <w:pStyle w:val="5"/>
        <w:pageBreakBefore w:val="0"/>
        <w:widowControl w:val="0"/>
        <w:tabs>
          <w:tab w:val="left" w:pos="567"/>
        </w:tabs>
        <w:kinsoku/>
        <w:wordWrap/>
        <w:overflowPunct/>
        <w:topLinePunct w:val="0"/>
        <w:bidi w:val="0"/>
        <w:spacing w:line="440" w:lineRule="exact"/>
        <w:jc w:val="center"/>
        <w:textAlignment w:val="auto"/>
        <w:rPr>
          <w:rFonts w:hint="eastAsia" w:ascii="宋体" w:hAnsi="宋体" w:eastAsia="宋体" w:cs="宋体"/>
          <w:b/>
          <w:bCs w:val="0"/>
          <w:color w:val="auto"/>
          <w:szCs w:val="28"/>
          <w:highlight w:val="none"/>
        </w:rPr>
      </w:pPr>
      <w:bookmarkStart w:id="124" w:name="_Toc30713"/>
      <w:r>
        <w:rPr>
          <w:rFonts w:hint="eastAsia" w:ascii="宋体" w:hAnsi="宋体" w:eastAsia="宋体" w:cs="宋体"/>
          <w:b/>
          <w:bCs w:val="0"/>
          <w:color w:val="auto"/>
          <w:szCs w:val="28"/>
          <w:highlight w:val="none"/>
        </w:rPr>
        <w:t>六、其他事项</w:t>
      </w:r>
      <w:bookmarkEnd w:id="122"/>
      <w:bookmarkEnd w:id="123"/>
      <w:bookmarkEnd w:id="124"/>
    </w:p>
    <w:p w14:paraId="12E8D8EC">
      <w:pPr>
        <w:pStyle w:val="6"/>
        <w:pageBreakBefore w:val="0"/>
        <w:widowControl w:val="0"/>
        <w:kinsoku/>
        <w:wordWrap/>
        <w:overflowPunct/>
        <w:topLinePunct w:val="0"/>
        <w:bidi w:val="0"/>
        <w:spacing w:before="0" w:after="0" w:line="440" w:lineRule="exact"/>
        <w:ind w:firstLine="422" w:firstLineChars="200"/>
        <w:textAlignment w:val="auto"/>
        <w:rPr>
          <w:rFonts w:hint="eastAsia" w:ascii="宋体" w:hAnsi="宋体" w:eastAsia="宋体" w:cs="宋体"/>
          <w:color w:val="auto"/>
          <w:sz w:val="21"/>
          <w:szCs w:val="21"/>
          <w:highlight w:val="none"/>
        </w:rPr>
      </w:pPr>
      <w:bookmarkStart w:id="125" w:name="_Toc28647"/>
      <w:bookmarkStart w:id="126" w:name="_Toc29572"/>
      <w:r>
        <w:rPr>
          <w:rFonts w:hint="eastAsia" w:ascii="宋体" w:hAnsi="宋体" w:eastAsia="宋体" w:cs="宋体"/>
          <w:color w:val="auto"/>
          <w:sz w:val="21"/>
          <w:szCs w:val="21"/>
          <w:highlight w:val="none"/>
        </w:rPr>
        <w:t>30. 采购代理服务费</w:t>
      </w:r>
      <w:bookmarkEnd w:id="125"/>
      <w:bookmarkEnd w:id="126"/>
    </w:p>
    <w:p w14:paraId="7C906D30">
      <w:pPr>
        <w:spacing w:line="400" w:lineRule="exact"/>
        <w:ind w:firstLine="420"/>
        <w:rPr>
          <w:rFonts w:hint="eastAsia" w:ascii="宋体" w:hAnsi="宋体" w:eastAsia="宋体" w:cs="宋体"/>
          <w:color w:val="auto"/>
          <w:szCs w:val="21"/>
          <w:highlight w:val="none"/>
        </w:rPr>
      </w:pPr>
      <w:bookmarkStart w:id="127" w:name="_Toc12374"/>
      <w:r>
        <w:rPr>
          <w:rFonts w:hint="eastAsia" w:ascii="宋体" w:hAnsi="宋体" w:eastAsia="宋体" w:cs="宋体"/>
          <w:color w:val="auto"/>
          <w:highlight w:val="none"/>
          <w:lang w:val="en-US" w:eastAsia="zh-CN"/>
        </w:rPr>
        <w:t>30.1</w:t>
      </w:r>
      <w:r>
        <w:rPr>
          <w:rFonts w:hint="eastAsia" w:ascii="宋体" w:hAnsi="宋体" w:eastAsia="宋体" w:cs="宋体"/>
          <w:color w:val="auto"/>
          <w:highlight w:val="none"/>
        </w:rPr>
        <w:t>成交供应商领取成交通知书前，</w:t>
      </w:r>
      <w:r>
        <w:rPr>
          <w:rFonts w:hint="eastAsia" w:ascii="宋体" w:hAnsi="宋体" w:eastAsia="宋体" w:cs="宋体"/>
          <w:color w:val="auto"/>
          <w:szCs w:val="21"/>
          <w:highlight w:val="none"/>
        </w:rPr>
        <w:t>向</w:t>
      </w:r>
      <w:r>
        <w:rPr>
          <w:rFonts w:hint="eastAsia" w:ascii="宋体" w:hAnsi="宋体" w:cs="宋体"/>
          <w:color w:val="auto"/>
          <w:highlight w:val="none"/>
          <w:lang w:eastAsia="zh-CN"/>
        </w:rPr>
        <w:t>广西景钲工程咨询有限公司</w:t>
      </w:r>
      <w:r>
        <w:rPr>
          <w:rFonts w:hint="eastAsia" w:ascii="宋体" w:hAnsi="宋体" w:eastAsia="宋体" w:cs="宋体"/>
          <w:color w:val="auto"/>
          <w:highlight w:val="none"/>
        </w:rPr>
        <w:t>一次性付清代理服务费。</w:t>
      </w:r>
      <w:r>
        <w:rPr>
          <w:rFonts w:hint="eastAsia" w:ascii="宋体" w:hAnsi="宋体" w:eastAsia="宋体" w:cs="宋体"/>
          <w:color w:val="auto"/>
          <w:szCs w:val="21"/>
          <w:highlight w:val="none"/>
        </w:rPr>
        <w:t>本项目招标代理服务收费标准参照计价格[2002]1980号《招标代理服务收费管理暂行办法》</w:t>
      </w:r>
      <w:r>
        <w:rPr>
          <w:rFonts w:hint="eastAsia" w:ascii="宋体" w:hAnsi="宋体" w:eastAsia="宋体" w:cs="宋体"/>
          <w:color w:val="auto"/>
          <w:szCs w:val="21"/>
          <w:highlight w:val="none"/>
          <w:lang w:eastAsia="zh-CN"/>
        </w:rPr>
        <w:t>工程</w:t>
      </w:r>
      <w:r>
        <w:rPr>
          <w:rFonts w:hint="eastAsia" w:ascii="宋体" w:hAnsi="宋体" w:eastAsia="宋体" w:cs="宋体"/>
          <w:color w:val="auto"/>
          <w:szCs w:val="21"/>
          <w:highlight w:val="none"/>
        </w:rPr>
        <w:t>类收费标准向</w:t>
      </w:r>
      <w:r>
        <w:rPr>
          <w:rFonts w:hint="eastAsia" w:ascii="宋体" w:hAnsi="宋体" w:eastAsia="宋体" w:cs="宋体"/>
          <w:color w:val="auto"/>
          <w:szCs w:val="21"/>
          <w:highlight w:val="none"/>
          <w:lang w:eastAsia="zh-CN"/>
        </w:rPr>
        <w:t>成交供应商</w:t>
      </w:r>
      <w:r>
        <w:rPr>
          <w:rFonts w:hint="eastAsia" w:ascii="宋体" w:hAnsi="宋体" w:eastAsia="宋体" w:cs="宋体"/>
          <w:color w:val="auto"/>
          <w:szCs w:val="21"/>
          <w:highlight w:val="none"/>
        </w:rPr>
        <w:t>收取（不足人民币</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000元的，按</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000元支付）。</w:t>
      </w:r>
    </w:p>
    <w:tbl>
      <w:tblPr>
        <w:tblStyle w:val="29"/>
        <w:tblW w:w="9006"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80"/>
        <w:gridCol w:w="1841"/>
        <w:gridCol w:w="1992"/>
        <w:gridCol w:w="2293"/>
      </w:tblGrid>
      <w:tr w14:paraId="2006F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2880" w:type="dxa"/>
            <w:noWrap w:val="0"/>
            <w:vAlign w:val="top"/>
          </w:tcPr>
          <w:p w14:paraId="76DDD9FD">
            <w:pPr>
              <w:spacing w:before="0" w:after="0" w:line="400" w:lineRule="exact"/>
              <w:ind w:left="23" w:firstLine="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mc:AlternateContent>
                <mc:Choice Requires="wps">
                  <w:drawing>
                    <wp:anchor distT="0" distB="0" distL="114300" distR="114300" simplePos="0" relativeHeight="251659264" behindDoc="0" locked="0" layoutInCell="1" allowOverlap="1">
                      <wp:simplePos x="0" y="0"/>
                      <wp:positionH relativeFrom="column">
                        <wp:posOffset>296545</wp:posOffset>
                      </wp:positionH>
                      <wp:positionV relativeFrom="paragraph">
                        <wp:posOffset>10795</wp:posOffset>
                      </wp:positionV>
                      <wp:extent cx="1463675" cy="653415"/>
                      <wp:effectExtent l="1905" t="4445" r="20320" b="8890"/>
                      <wp:wrapNone/>
                      <wp:docPr id="1026" name="直接连接符 1026"/>
                      <wp:cNvGraphicFramePr/>
                      <a:graphic xmlns:a="http://schemas.openxmlformats.org/drawingml/2006/main">
                        <a:graphicData uri="http://schemas.microsoft.com/office/word/2010/wordprocessingShape">
                          <wps:wsp>
                            <wps:cNvCnPr/>
                            <wps:spPr>
                              <a:xfrm>
                                <a:off x="0" y="0"/>
                                <a:ext cx="1463675" cy="653415"/>
                              </a:xfrm>
                              <a:prstGeom prst="line">
                                <a:avLst/>
                              </a:prstGeom>
                              <a:ln w="9525" cap="flat" cmpd="sng">
                                <a:solidFill>
                                  <a:srgbClr val="000000"/>
                                </a:solidFill>
                                <a:prstDash val="solid"/>
                                <a:round/>
                                <a:headEnd type="none" w="med" len="med"/>
                                <a:tailEnd type="none" w="med" len="med"/>
                              </a:ln>
                              <a:effectLst/>
                            </wps:spPr>
                            <wps:bodyPr/>
                          </wps:wsp>
                        </a:graphicData>
                      </a:graphic>
                    </wp:anchor>
                  </w:drawing>
                </mc:Choice>
                <mc:Fallback>
                  <w:pict>
                    <v:line id="_x0000_s1026" o:spid="_x0000_s1026" o:spt="20" style="position:absolute;left:0pt;margin-left:23.35pt;margin-top:0.85pt;height:51.45pt;width:115.25pt;z-index:251659264;mso-width-relative:page;mso-height-relative:page;" filled="f" stroked="t" coordsize="21600,21600" o:gfxdata="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UgFTNNYAAAAIAQAADwAAAAAAAAABACAAAAAiAAAAZHJzL2Rvd25yZXYu&#10;eG1sUEsBAhQAFAAAAAgAh07iQDnnG0P9AQAA+wMAAA4AAAAAAAAAAQAgAAAAJQEAAGRycy9lMm9E&#10;b2MueG1sUEsFBgAAAAAGAAYAWQEAAJQFAAAAAA==&#10;">
                      <v:fill on="f" focussize="0,0"/>
                      <v:stroke color="#000000" joinstyle="round"/>
                      <v:imagedata o:title=""/>
                      <o:lock v:ext="edit" aspectratio="f"/>
                    </v:line>
                  </w:pict>
                </mc:Fallback>
              </mc:AlternateContent>
            </w:r>
            <w:r>
              <w:rPr>
                <w:rFonts w:hint="eastAsia" w:ascii="宋体" w:hAnsi="宋体" w:eastAsia="宋体" w:cs="宋体"/>
                <w:color w:val="auto"/>
                <w:szCs w:val="21"/>
                <w:highlight w:val="none"/>
              </w:rPr>
              <w:t>费率           服务类型</w:t>
            </w:r>
          </w:p>
          <w:p w14:paraId="56D7EE13">
            <w:pPr>
              <w:spacing w:before="0" w:after="0" w:line="400" w:lineRule="exact"/>
              <w:ind w:left="23" w:firstLine="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mc:AlternateContent>
                <mc:Choice Requires="wps">
                  <w:drawing>
                    <wp:anchor distT="0" distB="0" distL="114300" distR="114300" simplePos="0" relativeHeight="251660288" behindDoc="0" locked="0" layoutInCell="1" allowOverlap="1">
                      <wp:simplePos x="0" y="0"/>
                      <wp:positionH relativeFrom="column">
                        <wp:posOffset>-68580</wp:posOffset>
                      </wp:positionH>
                      <wp:positionV relativeFrom="paragraph">
                        <wp:posOffset>39370</wp:posOffset>
                      </wp:positionV>
                      <wp:extent cx="1828800" cy="396240"/>
                      <wp:effectExtent l="1270" t="4445" r="17780" b="18415"/>
                      <wp:wrapNone/>
                      <wp:docPr id="1027" name="直接连接符 1027"/>
                      <wp:cNvGraphicFramePr/>
                      <a:graphic xmlns:a="http://schemas.openxmlformats.org/drawingml/2006/main">
                        <a:graphicData uri="http://schemas.microsoft.com/office/word/2010/wordprocessingShape">
                          <wps:wsp>
                            <wps:cNvCnPr/>
                            <wps:spPr>
                              <a:xfrm>
                                <a:off x="0" y="0"/>
                                <a:ext cx="1828800" cy="396239"/>
                              </a:xfrm>
                              <a:prstGeom prst="line">
                                <a:avLst/>
                              </a:prstGeom>
                              <a:ln w="9525" cap="flat" cmpd="sng">
                                <a:solidFill>
                                  <a:srgbClr val="000000"/>
                                </a:solidFill>
                                <a:prstDash val="solid"/>
                                <a:round/>
                                <a:headEnd type="none" w="med" len="med"/>
                                <a:tailEnd type="none" w="med" len="med"/>
                              </a:ln>
                              <a:effectLst/>
                            </wps:spPr>
                            <wps:bodyPr/>
                          </wps:wsp>
                        </a:graphicData>
                      </a:graphic>
                    </wp:anchor>
                  </w:drawing>
                </mc:Choice>
                <mc:Fallback>
                  <w:pict>
                    <v:line id="_x0000_s1026" o:spid="_x0000_s1026" o:spt="20" style="position:absolute;left:0pt;margin-left:-5.4pt;margin-top:3.1pt;height:31.2pt;width:144pt;z-index:251660288;mso-width-relative:page;mso-height-relative:page;" filled="f" stroked="t" coordsize="21600,21600" o:gfxdata="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EAOr0TWAAAACAEAAA8AAAAAAAAAAQAgAAAAIgAAAGRycy9kb3ducmV2&#10;LnhtbFBLAQIUABQAAAAIAIdO4kDL+yLd/gEAAPsDAAAOAAAAAAAAAAEAIAAAACUBAABkcnMvZTJv&#10;RG9jLnhtbFBLBQYAAAAABgAGAFkBAACVBQAAAAA=&#10;">
                      <v:fill on="f" focussize="0,0"/>
                      <v:stroke color="#000000" joinstyle="round"/>
                      <v:imagedata o:title=""/>
                      <o:lock v:ext="edit" aspectratio="f"/>
                    </v:line>
                  </w:pict>
                </mc:Fallback>
              </mc:AlternateContent>
            </w:r>
          </w:p>
          <w:p w14:paraId="7F3E1B0E">
            <w:pPr>
              <w:spacing w:before="0" w:after="0" w:line="400" w:lineRule="exact"/>
              <w:ind w:left="23" w:firstLine="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中标金额（万元）</w:t>
            </w:r>
          </w:p>
        </w:tc>
        <w:tc>
          <w:tcPr>
            <w:tcW w:w="1841" w:type="dxa"/>
            <w:noWrap w:val="0"/>
            <w:vAlign w:val="center"/>
          </w:tcPr>
          <w:p w14:paraId="64375903">
            <w:pPr>
              <w:spacing w:before="0" w:after="0" w:line="400" w:lineRule="exact"/>
              <w:ind w:left="23"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货物招标</w:t>
            </w:r>
          </w:p>
        </w:tc>
        <w:tc>
          <w:tcPr>
            <w:tcW w:w="1992" w:type="dxa"/>
            <w:noWrap w:val="0"/>
            <w:vAlign w:val="center"/>
          </w:tcPr>
          <w:p w14:paraId="2E9358C7">
            <w:pPr>
              <w:spacing w:before="0" w:after="0" w:line="400" w:lineRule="exact"/>
              <w:ind w:left="23"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服务招标</w:t>
            </w:r>
          </w:p>
        </w:tc>
        <w:tc>
          <w:tcPr>
            <w:tcW w:w="2293" w:type="dxa"/>
            <w:noWrap w:val="0"/>
            <w:vAlign w:val="center"/>
          </w:tcPr>
          <w:p w14:paraId="1001E936">
            <w:pPr>
              <w:spacing w:before="0" w:after="0" w:line="400" w:lineRule="exact"/>
              <w:ind w:left="23"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工程招标</w:t>
            </w:r>
          </w:p>
        </w:tc>
      </w:tr>
      <w:tr w14:paraId="60675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2880" w:type="dxa"/>
            <w:noWrap w:val="0"/>
            <w:vAlign w:val="top"/>
          </w:tcPr>
          <w:p w14:paraId="65D7B779">
            <w:pPr>
              <w:spacing w:before="0" w:after="0" w:line="400" w:lineRule="exact"/>
              <w:ind w:left="23" w:firstLine="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100以下</w:t>
            </w:r>
          </w:p>
        </w:tc>
        <w:tc>
          <w:tcPr>
            <w:tcW w:w="1841" w:type="dxa"/>
            <w:noWrap w:val="0"/>
            <w:vAlign w:val="top"/>
          </w:tcPr>
          <w:p w14:paraId="44C93FCE">
            <w:pPr>
              <w:spacing w:before="0" w:after="0" w:line="400" w:lineRule="exact"/>
              <w:ind w:left="23"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1.5%</w:t>
            </w:r>
          </w:p>
        </w:tc>
        <w:tc>
          <w:tcPr>
            <w:tcW w:w="1992" w:type="dxa"/>
            <w:noWrap w:val="0"/>
            <w:vAlign w:val="top"/>
          </w:tcPr>
          <w:p w14:paraId="023F85A5">
            <w:pPr>
              <w:spacing w:before="0" w:after="0" w:line="400" w:lineRule="exact"/>
              <w:ind w:left="23"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1.5%</w:t>
            </w:r>
          </w:p>
        </w:tc>
        <w:tc>
          <w:tcPr>
            <w:tcW w:w="2293" w:type="dxa"/>
            <w:noWrap w:val="0"/>
            <w:vAlign w:val="top"/>
          </w:tcPr>
          <w:p w14:paraId="2DA8460B">
            <w:pPr>
              <w:spacing w:before="0" w:after="0" w:line="400" w:lineRule="exact"/>
              <w:ind w:left="23"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w:t>
            </w:r>
          </w:p>
        </w:tc>
      </w:tr>
      <w:tr w14:paraId="3B6DB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 w:hRule="atLeast"/>
        </w:trPr>
        <w:tc>
          <w:tcPr>
            <w:tcW w:w="2880" w:type="dxa"/>
            <w:noWrap w:val="0"/>
            <w:vAlign w:val="top"/>
          </w:tcPr>
          <w:p w14:paraId="55C53E07">
            <w:pPr>
              <w:spacing w:before="0" w:after="0" w:line="400" w:lineRule="exact"/>
              <w:ind w:left="23" w:firstLine="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100-500</w:t>
            </w:r>
          </w:p>
        </w:tc>
        <w:tc>
          <w:tcPr>
            <w:tcW w:w="1841" w:type="dxa"/>
            <w:noWrap w:val="0"/>
            <w:vAlign w:val="top"/>
          </w:tcPr>
          <w:p w14:paraId="7715CBFD">
            <w:pPr>
              <w:spacing w:before="0" w:after="0" w:line="400" w:lineRule="exact"/>
              <w:ind w:left="23"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1.1%</w:t>
            </w:r>
          </w:p>
        </w:tc>
        <w:tc>
          <w:tcPr>
            <w:tcW w:w="1992" w:type="dxa"/>
            <w:noWrap w:val="0"/>
            <w:vAlign w:val="top"/>
          </w:tcPr>
          <w:p w14:paraId="341AD6E8">
            <w:pPr>
              <w:spacing w:before="0" w:after="0" w:line="400" w:lineRule="exact"/>
              <w:ind w:left="23"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0.8%</w:t>
            </w:r>
          </w:p>
        </w:tc>
        <w:tc>
          <w:tcPr>
            <w:tcW w:w="2293" w:type="dxa"/>
            <w:noWrap w:val="0"/>
            <w:vAlign w:val="top"/>
          </w:tcPr>
          <w:p w14:paraId="673E9A21">
            <w:pPr>
              <w:spacing w:before="0" w:after="0" w:line="400" w:lineRule="exact"/>
              <w:ind w:left="23"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0.7%</w:t>
            </w:r>
          </w:p>
        </w:tc>
      </w:tr>
      <w:tr w14:paraId="079C5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880" w:type="dxa"/>
            <w:noWrap w:val="0"/>
            <w:vAlign w:val="top"/>
          </w:tcPr>
          <w:p w14:paraId="0CEFE07E">
            <w:pPr>
              <w:spacing w:before="0" w:after="0" w:line="400" w:lineRule="exact"/>
              <w:ind w:left="23" w:firstLine="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500-1000</w:t>
            </w:r>
          </w:p>
        </w:tc>
        <w:tc>
          <w:tcPr>
            <w:tcW w:w="1841" w:type="dxa"/>
            <w:noWrap w:val="0"/>
            <w:vAlign w:val="top"/>
          </w:tcPr>
          <w:p w14:paraId="66AD6315">
            <w:pPr>
              <w:spacing w:before="0" w:after="0" w:line="400" w:lineRule="exact"/>
              <w:ind w:left="23"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0.8%</w:t>
            </w:r>
          </w:p>
        </w:tc>
        <w:tc>
          <w:tcPr>
            <w:tcW w:w="1992" w:type="dxa"/>
            <w:noWrap w:val="0"/>
            <w:vAlign w:val="top"/>
          </w:tcPr>
          <w:p w14:paraId="16A6A3BD">
            <w:pPr>
              <w:spacing w:before="0" w:after="0" w:line="400" w:lineRule="exact"/>
              <w:ind w:left="23"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0.45%</w:t>
            </w:r>
          </w:p>
        </w:tc>
        <w:tc>
          <w:tcPr>
            <w:tcW w:w="2293" w:type="dxa"/>
            <w:noWrap w:val="0"/>
            <w:vAlign w:val="top"/>
          </w:tcPr>
          <w:p w14:paraId="62971782">
            <w:pPr>
              <w:spacing w:before="0" w:after="0" w:line="400" w:lineRule="exact"/>
              <w:ind w:left="23"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0.55%</w:t>
            </w:r>
          </w:p>
        </w:tc>
      </w:tr>
      <w:tr w14:paraId="52344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880" w:type="dxa"/>
            <w:noWrap w:val="0"/>
            <w:vAlign w:val="top"/>
          </w:tcPr>
          <w:p w14:paraId="5048F7CA">
            <w:pPr>
              <w:spacing w:before="0" w:after="0" w:line="400" w:lineRule="exact"/>
              <w:ind w:left="23" w:firstLine="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1000-5000</w:t>
            </w:r>
          </w:p>
        </w:tc>
        <w:tc>
          <w:tcPr>
            <w:tcW w:w="1841" w:type="dxa"/>
            <w:noWrap w:val="0"/>
            <w:vAlign w:val="top"/>
          </w:tcPr>
          <w:p w14:paraId="53817DFB">
            <w:pPr>
              <w:spacing w:before="0" w:after="0" w:line="400" w:lineRule="exact"/>
              <w:ind w:left="23"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0.5%</w:t>
            </w:r>
          </w:p>
        </w:tc>
        <w:tc>
          <w:tcPr>
            <w:tcW w:w="1992" w:type="dxa"/>
            <w:noWrap w:val="0"/>
            <w:vAlign w:val="top"/>
          </w:tcPr>
          <w:p w14:paraId="2DFAC183">
            <w:pPr>
              <w:spacing w:before="0" w:after="0" w:line="400" w:lineRule="exact"/>
              <w:ind w:left="23"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0.25%</w:t>
            </w:r>
          </w:p>
        </w:tc>
        <w:tc>
          <w:tcPr>
            <w:tcW w:w="2293" w:type="dxa"/>
            <w:noWrap w:val="0"/>
            <w:vAlign w:val="top"/>
          </w:tcPr>
          <w:p w14:paraId="498A0E5B">
            <w:pPr>
              <w:spacing w:before="0" w:after="0" w:line="400" w:lineRule="exact"/>
              <w:ind w:left="23"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0.35%</w:t>
            </w:r>
          </w:p>
        </w:tc>
      </w:tr>
      <w:tr w14:paraId="391F5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880" w:type="dxa"/>
            <w:noWrap w:val="0"/>
            <w:vAlign w:val="top"/>
          </w:tcPr>
          <w:p w14:paraId="2A377528">
            <w:pPr>
              <w:spacing w:before="0" w:after="0" w:line="400" w:lineRule="exact"/>
              <w:ind w:left="23" w:firstLine="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5000-10000</w:t>
            </w:r>
          </w:p>
        </w:tc>
        <w:tc>
          <w:tcPr>
            <w:tcW w:w="1841" w:type="dxa"/>
            <w:noWrap w:val="0"/>
            <w:vAlign w:val="top"/>
          </w:tcPr>
          <w:p w14:paraId="63A0C002">
            <w:pPr>
              <w:spacing w:before="0" w:after="0" w:line="400" w:lineRule="exact"/>
              <w:ind w:left="23"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0.25%</w:t>
            </w:r>
          </w:p>
        </w:tc>
        <w:tc>
          <w:tcPr>
            <w:tcW w:w="1992" w:type="dxa"/>
            <w:noWrap w:val="0"/>
            <w:vAlign w:val="top"/>
          </w:tcPr>
          <w:p w14:paraId="470BDF33">
            <w:pPr>
              <w:spacing w:before="0" w:after="0" w:line="400" w:lineRule="exact"/>
              <w:ind w:left="23"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0.1%</w:t>
            </w:r>
          </w:p>
        </w:tc>
        <w:tc>
          <w:tcPr>
            <w:tcW w:w="2293" w:type="dxa"/>
            <w:noWrap w:val="0"/>
            <w:vAlign w:val="top"/>
          </w:tcPr>
          <w:p w14:paraId="6C315D80">
            <w:pPr>
              <w:spacing w:before="0" w:after="0" w:line="400" w:lineRule="exact"/>
              <w:ind w:left="23"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0.2%</w:t>
            </w:r>
          </w:p>
        </w:tc>
      </w:tr>
    </w:tbl>
    <w:p w14:paraId="00D45EAE">
      <w:pPr>
        <w:spacing w:before="0" w:after="0" w:line="400" w:lineRule="exact"/>
        <w:ind w:left="25" w:firstLine="0" w:firstLineChars="0"/>
        <w:rPr>
          <w:rFonts w:hint="eastAsia" w:ascii="宋体" w:hAnsi="宋体" w:eastAsia="宋体" w:cs="宋体"/>
          <w:color w:val="auto"/>
          <w:szCs w:val="20"/>
          <w:highlight w:val="none"/>
        </w:rPr>
      </w:pPr>
      <w:r>
        <w:rPr>
          <w:rFonts w:hint="eastAsia" w:ascii="宋体" w:hAnsi="宋体" w:eastAsia="宋体" w:cs="宋体"/>
          <w:color w:val="auto"/>
          <w:szCs w:val="20"/>
          <w:highlight w:val="none"/>
        </w:rPr>
        <w:t>注：招标代理服务收费按差额定率累进法计算。</w:t>
      </w:r>
    </w:p>
    <w:p w14:paraId="1053FF12">
      <w:pPr>
        <w:spacing w:before="0" w:after="0" w:line="400" w:lineRule="exact"/>
        <w:ind w:firstLine="422"/>
        <w:rPr>
          <w:rFonts w:hint="eastAsia" w:ascii="宋体" w:hAnsi="宋体" w:eastAsia="宋体" w:cs="宋体"/>
          <w:b w:val="0"/>
          <w:bCs/>
          <w:color w:val="auto"/>
          <w:highlight w:val="none"/>
        </w:rPr>
      </w:pPr>
      <w:r>
        <w:rPr>
          <w:rFonts w:hint="eastAsia" w:ascii="宋体" w:hAnsi="宋体" w:eastAsia="宋体" w:cs="宋体"/>
          <w:b w:val="0"/>
          <w:bCs/>
          <w:color w:val="auto"/>
          <w:highlight w:val="none"/>
          <w:lang w:val="en-US" w:eastAsia="zh-CN"/>
        </w:rPr>
        <w:t>30.2</w:t>
      </w:r>
      <w:r>
        <w:rPr>
          <w:rFonts w:hint="eastAsia" w:ascii="宋体" w:hAnsi="宋体" w:eastAsia="宋体" w:cs="宋体"/>
          <w:b w:val="0"/>
          <w:bCs/>
          <w:color w:val="auto"/>
          <w:highlight w:val="none"/>
        </w:rPr>
        <w:t>招标代理服务费缴纳账户：</w:t>
      </w:r>
    </w:p>
    <w:p w14:paraId="6973A455">
      <w:pPr>
        <w:pageBreakBefore w:val="0"/>
        <w:widowControl w:val="0"/>
        <w:kinsoku/>
        <w:wordWrap/>
        <w:overflowPunct/>
        <w:topLinePunct w:val="0"/>
        <w:bidi w:val="0"/>
        <w:spacing w:line="440" w:lineRule="exact"/>
        <w:ind w:firstLine="420" w:firstLineChars="200"/>
        <w:textAlignment w:val="auto"/>
        <w:rPr>
          <w:rStyle w:val="34"/>
          <w:rFonts w:hint="eastAsia" w:ascii="宋体" w:hAnsi="宋体" w:eastAsia="宋体" w:cs="宋体"/>
          <w:b w:val="0"/>
          <w:bCs/>
          <w:color w:val="auto"/>
          <w:sz w:val="21"/>
          <w:szCs w:val="21"/>
          <w:highlight w:val="none"/>
          <w:lang w:val="en-US" w:eastAsia="zh-CN"/>
        </w:rPr>
      </w:pPr>
      <w:bookmarkStart w:id="128" w:name="_Toc9779"/>
      <w:r>
        <w:rPr>
          <w:rStyle w:val="34"/>
          <w:rFonts w:hint="eastAsia" w:ascii="宋体" w:hAnsi="宋体" w:eastAsia="宋体" w:cs="宋体"/>
          <w:b w:val="0"/>
          <w:bCs/>
          <w:color w:val="auto"/>
          <w:sz w:val="21"/>
          <w:szCs w:val="21"/>
          <w:highlight w:val="none"/>
          <w:lang w:val="en-US"/>
        </w:rPr>
        <w:t>开户名称：</w:t>
      </w:r>
      <w:r>
        <w:rPr>
          <w:rStyle w:val="34"/>
          <w:rFonts w:hint="eastAsia" w:ascii="宋体" w:hAnsi="宋体" w:cs="宋体"/>
          <w:b w:val="0"/>
          <w:bCs/>
          <w:color w:val="auto"/>
          <w:sz w:val="21"/>
          <w:szCs w:val="21"/>
          <w:highlight w:val="none"/>
          <w:lang w:val="en-US" w:eastAsia="zh-CN"/>
        </w:rPr>
        <w:t>广西景钲工程咨询有限公司临桂分公司</w:t>
      </w:r>
    </w:p>
    <w:p w14:paraId="03077E17">
      <w:pPr>
        <w:spacing w:before="108" w:line="221" w:lineRule="auto"/>
        <w:ind w:left="7" w:firstLine="400" w:firstLineChars="200"/>
        <w:rPr>
          <w:rFonts w:ascii="宋体" w:hAnsi="宋体" w:eastAsia="宋体" w:cs="宋体"/>
          <w:color w:val="auto"/>
          <w:lang w:eastAsia="zh-CN"/>
        </w:rPr>
      </w:pPr>
      <w:r>
        <w:rPr>
          <w:rFonts w:ascii="宋体" w:hAnsi="宋体" w:eastAsia="宋体" w:cs="宋体"/>
          <w:color w:val="auto"/>
          <w:spacing w:val="-5"/>
          <w:lang w:eastAsia="zh-CN"/>
        </w:rPr>
        <w:t>开户银行：</w:t>
      </w:r>
      <w:r>
        <w:rPr>
          <w:rFonts w:hint="eastAsia" w:ascii="宋体" w:hAnsi="宋体" w:cs="宋体"/>
          <w:color w:val="auto"/>
          <w:lang w:eastAsia="zh-CN"/>
        </w:rPr>
        <w:t>桂林银行股份有限公司营业部</w:t>
      </w:r>
    </w:p>
    <w:p w14:paraId="0090F76B">
      <w:pPr>
        <w:spacing w:before="110" w:line="221" w:lineRule="auto"/>
        <w:ind w:left="7" w:firstLine="396" w:firstLineChars="200"/>
        <w:rPr>
          <w:rFonts w:ascii="宋体" w:hAnsi="宋体" w:eastAsia="宋体" w:cs="宋体"/>
          <w:color w:val="auto"/>
          <w:lang w:eastAsia="zh-CN"/>
        </w:rPr>
      </w:pPr>
      <w:r>
        <w:rPr>
          <w:rFonts w:ascii="宋体" w:hAnsi="宋体" w:eastAsia="宋体" w:cs="宋体"/>
          <w:color w:val="auto"/>
          <w:spacing w:val="-6"/>
          <w:lang w:eastAsia="zh-CN"/>
        </w:rPr>
        <w:t>银行账号：</w:t>
      </w:r>
      <w:r>
        <w:rPr>
          <w:rFonts w:hint="eastAsia" w:ascii="宋体" w:hAnsi="宋体" w:cs="宋体"/>
          <w:color w:val="auto"/>
          <w:lang w:eastAsia="zh-CN"/>
        </w:rPr>
        <w:t>660000019603600017</w:t>
      </w:r>
    </w:p>
    <w:p w14:paraId="33966A62">
      <w:pPr>
        <w:pageBreakBefore w:val="0"/>
        <w:widowControl w:val="0"/>
        <w:kinsoku/>
        <w:wordWrap/>
        <w:overflowPunct/>
        <w:topLinePunct w:val="0"/>
        <w:bidi w:val="0"/>
        <w:spacing w:line="440" w:lineRule="exact"/>
        <w:ind w:firstLine="422" w:firstLineChars="200"/>
        <w:textAlignment w:val="auto"/>
        <w:rPr>
          <w:rFonts w:hint="eastAsia" w:ascii="宋体" w:hAnsi="宋体" w:eastAsia="宋体" w:cs="宋体"/>
          <w:color w:val="auto"/>
          <w:szCs w:val="21"/>
          <w:highlight w:val="none"/>
        </w:rPr>
      </w:pPr>
      <w:r>
        <w:rPr>
          <w:rStyle w:val="34"/>
          <w:rFonts w:hint="eastAsia" w:ascii="宋体" w:hAnsi="宋体" w:eastAsia="宋体" w:cs="宋体"/>
          <w:color w:val="auto"/>
          <w:sz w:val="21"/>
          <w:szCs w:val="21"/>
          <w:highlight w:val="none"/>
        </w:rPr>
        <w:t>31. 解释权</w:t>
      </w:r>
      <w:bookmarkEnd w:id="127"/>
      <w:bookmarkEnd w:id="128"/>
      <w:r>
        <w:rPr>
          <w:rFonts w:hint="eastAsia" w:ascii="宋体" w:hAnsi="宋体" w:eastAsia="宋体" w:cs="宋体"/>
          <w:color w:val="auto"/>
          <w:szCs w:val="21"/>
          <w:highlight w:val="none"/>
        </w:rPr>
        <w:t>：本竞争性磋商文件是根据《中华人民共和国政府采购法》《中华人民共和国政府采购法实施条例》《政府采购竞争性磋商采购方式管理暂行办法》和政府采购管理有关规定编制，本竞争性磋商文件的解释权属于采购代理机构。</w:t>
      </w:r>
    </w:p>
    <w:p w14:paraId="4F5AA04B">
      <w:pPr>
        <w:spacing w:line="360" w:lineRule="exact"/>
        <w:ind w:left="315"/>
        <w:rPr>
          <w:rFonts w:ascii="宋体" w:hAnsi="宋体"/>
          <w:color w:val="auto"/>
          <w:highlight w:val="none"/>
        </w:rPr>
      </w:pPr>
      <w:bookmarkStart w:id="129" w:name="_Toc32738"/>
      <w:r>
        <w:rPr>
          <w:rStyle w:val="34"/>
          <w:rFonts w:hint="eastAsia" w:ascii="宋体" w:hAnsi="宋体" w:eastAsia="宋体" w:cs="宋体"/>
          <w:color w:val="auto"/>
          <w:sz w:val="21"/>
          <w:szCs w:val="21"/>
          <w:highlight w:val="none"/>
        </w:rPr>
        <w:t>32. 监督管理机构</w:t>
      </w:r>
      <w:bookmarkEnd w:id="129"/>
      <w:r>
        <w:rPr>
          <w:rFonts w:hint="eastAsia" w:ascii="宋体" w:hAnsi="宋体" w:eastAsia="宋体" w:cs="宋体"/>
          <w:color w:val="auto"/>
          <w:szCs w:val="21"/>
          <w:highlight w:val="none"/>
        </w:rPr>
        <w:t>：</w:t>
      </w:r>
      <w:r>
        <w:rPr>
          <w:rFonts w:hint="eastAsia" w:ascii="宋体" w:hAnsi="宋体" w:cs="宋体"/>
          <w:color w:val="auto"/>
          <w:szCs w:val="21"/>
          <w:highlight w:val="none"/>
        </w:rPr>
        <w:t>桂林市阳朔县财政局    联系电话：0773-8811598</w:t>
      </w:r>
    </w:p>
    <w:p w14:paraId="6FE11913">
      <w:pPr>
        <w:pageBreakBefore w:val="0"/>
        <w:widowControl w:val="0"/>
        <w:kinsoku/>
        <w:wordWrap/>
        <w:overflowPunct/>
        <w:topLinePunct w:val="0"/>
        <w:bidi w:val="0"/>
        <w:snapToGrid w:val="0"/>
        <w:spacing w:line="440" w:lineRule="exact"/>
        <w:ind w:firstLine="420" w:firstLineChars="200"/>
        <w:textAlignment w:val="auto"/>
        <w:rPr>
          <w:rFonts w:hint="eastAsia" w:ascii="宋体" w:hAnsi="宋体" w:eastAsia="宋体" w:cs="宋体"/>
          <w:color w:val="auto"/>
          <w:szCs w:val="21"/>
          <w:highlight w:val="none"/>
          <w:lang w:eastAsia="zh-CN"/>
        </w:rPr>
      </w:pPr>
    </w:p>
    <w:p w14:paraId="0976D8F3">
      <w:pPr>
        <w:pageBreakBefore w:val="0"/>
        <w:widowControl w:val="0"/>
        <w:kinsoku/>
        <w:wordWrap/>
        <w:overflowPunct/>
        <w:topLinePunct w:val="0"/>
        <w:bidi w:val="0"/>
        <w:spacing w:line="440" w:lineRule="exact"/>
        <w:textAlignment w:val="auto"/>
        <w:rPr>
          <w:rFonts w:hint="eastAsia"/>
          <w:color w:val="auto"/>
          <w:highlight w:val="none"/>
          <w:lang w:eastAsia="zh-CN"/>
        </w:rPr>
      </w:pPr>
    </w:p>
    <w:p w14:paraId="5C4E2DC8">
      <w:pPr>
        <w:pStyle w:val="13"/>
        <w:rPr>
          <w:rFonts w:hint="eastAsia"/>
          <w:color w:val="auto"/>
          <w:highlight w:val="none"/>
          <w:lang w:eastAsia="zh-CN"/>
        </w:rPr>
      </w:pPr>
    </w:p>
    <w:p w14:paraId="172E4B68">
      <w:pPr>
        <w:pStyle w:val="13"/>
        <w:rPr>
          <w:rFonts w:hint="eastAsia"/>
          <w:color w:val="auto"/>
          <w:highlight w:val="none"/>
          <w:lang w:eastAsia="zh-CN"/>
        </w:rPr>
      </w:pPr>
    </w:p>
    <w:p w14:paraId="7251967D">
      <w:pPr>
        <w:pStyle w:val="13"/>
        <w:rPr>
          <w:rFonts w:hint="eastAsia"/>
          <w:color w:val="auto"/>
          <w:highlight w:val="none"/>
          <w:lang w:eastAsia="zh-CN"/>
        </w:rPr>
      </w:pPr>
    </w:p>
    <w:p w14:paraId="6114636C">
      <w:pPr>
        <w:snapToGrid w:val="0"/>
        <w:rPr>
          <w:rFonts w:hint="eastAsia"/>
          <w:b/>
          <w:color w:val="auto"/>
          <w:kern w:val="0"/>
          <w:sz w:val="24"/>
          <w:highlight w:val="none"/>
        </w:rPr>
      </w:pPr>
    </w:p>
    <w:p w14:paraId="2570F115">
      <w:pPr>
        <w:snapToGrid w:val="0"/>
        <w:rPr>
          <w:rFonts w:hint="eastAsia"/>
          <w:b/>
          <w:color w:val="auto"/>
          <w:kern w:val="0"/>
          <w:sz w:val="24"/>
          <w:highlight w:val="none"/>
        </w:rPr>
      </w:pPr>
    </w:p>
    <w:p w14:paraId="4BE61950">
      <w:pPr>
        <w:snapToGrid w:val="0"/>
        <w:rPr>
          <w:rFonts w:hint="eastAsia"/>
          <w:b/>
          <w:color w:val="auto"/>
          <w:kern w:val="0"/>
          <w:sz w:val="24"/>
          <w:highlight w:val="none"/>
        </w:rPr>
        <w:sectPr>
          <w:pgSz w:w="11906" w:h="16838"/>
          <w:pgMar w:top="1418" w:right="1115" w:bottom="1418" w:left="1131" w:header="851" w:footer="992" w:gutter="0"/>
          <w:pgNumType w:fmt="decimal"/>
          <w:cols w:space="720" w:num="1"/>
          <w:titlePg/>
          <w:docGrid w:type="lines" w:linePitch="312" w:charSpace="0"/>
        </w:sectPr>
      </w:pPr>
    </w:p>
    <w:p w14:paraId="3C37D170">
      <w:pPr>
        <w:snapToGrid w:val="0"/>
        <w:rPr>
          <w:rFonts w:hint="eastAsia"/>
          <w:b/>
          <w:color w:val="auto"/>
          <w:kern w:val="0"/>
          <w:sz w:val="24"/>
          <w:highlight w:val="none"/>
        </w:rPr>
      </w:pPr>
    </w:p>
    <w:p w14:paraId="397D7E14">
      <w:pPr>
        <w:snapToGrid w:val="0"/>
        <w:rPr>
          <w:rFonts w:hAnsi="宋体"/>
          <w:b/>
          <w:color w:val="auto"/>
          <w:kern w:val="0"/>
          <w:sz w:val="24"/>
          <w:highlight w:val="none"/>
        </w:rPr>
      </w:pPr>
      <w:r>
        <w:rPr>
          <w:rFonts w:hint="eastAsia"/>
          <w:b/>
          <w:color w:val="auto"/>
          <w:kern w:val="0"/>
          <w:sz w:val="24"/>
          <w:highlight w:val="none"/>
        </w:rPr>
        <w:t>附表1：</w:t>
      </w:r>
    </w:p>
    <w:p w14:paraId="3F90777D">
      <w:pPr>
        <w:spacing w:line="460" w:lineRule="exact"/>
        <w:jc w:val="center"/>
        <w:rPr>
          <w:rFonts w:eastAsia="隶书"/>
          <w:color w:val="auto"/>
          <w:kern w:val="0"/>
          <w:sz w:val="44"/>
          <w:highlight w:val="none"/>
        </w:rPr>
      </w:pPr>
      <w:r>
        <w:rPr>
          <w:rFonts w:hint="eastAsia" w:eastAsia="隶书"/>
          <w:color w:val="auto"/>
          <w:kern w:val="0"/>
          <w:sz w:val="44"/>
          <w:highlight w:val="none"/>
        </w:rPr>
        <w:t>质疑函（格式）</w:t>
      </w:r>
    </w:p>
    <w:p w14:paraId="5F854A8C">
      <w:pPr>
        <w:snapToGrid w:val="0"/>
        <w:spacing w:line="360" w:lineRule="exact"/>
        <w:ind w:firstLine="422" w:firstLineChars="200"/>
        <w:rPr>
          <w:rFonts w:hint="eastAsia" w:ascii="宋体" w:hAnsi="宋体" w:eastAsia="宋体" w:cs="宋体"/>
          <w:b/>
          <w:bCs/>
          <w:color w:val="auto"/>
          <w:kern w:val="0"/>
          <w:highlight w:val="none"/>
        </w:rPr>
      </w:pPr>
      <w:r>
        <w:rPr>
          <w:rFonts w:hint="eastAsia" w:ascii="宋体" w:hAnsi="宋体" w:eastAsia="宋体" w:cs="宋体"/>
          <w:b/>
          <w:bCs/>
          <w:color w:val="auto"/>
          <w:kern w:val="0"/>
          <w:highlight w:val="none"/>
        </w:rPr>
        <w:t>一、质疑供应商基本信息：</w:t>
      </w:r>
    </w:p>
    <w:p w14:paraId="6D8C97FC">
      <w:pPr>
        <w:snapToGrid w:val="0"/>
        <w:spacing w:line="360" w:lineRule="exact"/>
        <w:ind w:firstLine="420" w:firstLineChars="200"/>
        <w:rPr>
          <w:rFonts w:hint="eastAsia" w:ascii="宋体" w:hAnsi="宋体" w:eastAsia="宋体" w:cs="宋体"/>
          <w:bCs/>
          <w:color w:val="auto"/>
          <w:kern w:val="0"/>
          <w:highlight w:val="none"/>
          <w:u w:val="single"/>
        </w:rPr>
      </w:pPr>
      <w:r>
        <w:rPr>
          <w:rFonts w:hint="eastAsia" w:ascii="宋体" w:hAnsi="宋体" w:eastAsia="宋体" w:cs="宋体"/>
          <w:bCs/>
          <w:color w:val="auto"/>
          <w:kern w:val="0"/>
          <w:highlight w:val="none"/>
        </w:rPr>
        <w:t>质疑供应商：</w:t>
      </w:r>
    </w:p>
    <w:p w14:paraId="59D9A98E">
      <w:pPr>
        <w:snapToGrid w:val="0"/>
        <w:spacing w:line="360" w:lineRule="exact"/>
        <w:ind w:firstLine="420" w:firstLineChars="200"/>
        <w:rPr>
          <w:rFonts w:hint="eastAsia" w:ascii="宋体" w:hAnsi="宋体" w:eastAsia="宋体" w:cs="宋体"/>
          <w:bCs/>
          <w:color w:val="auto"/>
          <w:kern w:val="0"/>
          <w:highlight w:val="none"/>
        </w:rPr>
      </w:pPr>
      <w:r>
        <w:rPr>
          <w:rFonts w:hint="eastAsia" w:ascii="宋体" w:hAnsi="宋体" w:eastAsia="宋体" w:cs="宋体"/>
          <w:bCs/>
          <w:color w:val="auto"/>
          <w:kern w:val="0"/>
          <w:highlight w:val="none"/>
        </w:rPr>
        <w:t>地址：邮编：</w:t>
      </w:r>
    </w:p>
    <w:p w14:paraId="7135C94D">
      <w:pPr>
        <w:snapToGrid w:val="0"/>
        <w:spacing w:line="360" w:lineRule="exact"/>
        <w:ind w:firstLine="420" w:firstLineChars="200"/>
        <w:rPr>
          <w:rFonts w:hint="eastAsia" w:ascii="宋体" w:hAnsi="宋体" w:eastAsia="宋体" w:cs="宋体"/>
          <w:bCs/>
          <w:color w:val="auto"/>
          <w:kern w:val="0"/>
          <w:highlight w:val="none"/>
        </w:rPr>
      </w:pPr>
      <w:r>
        <w:rPr>
          <w:rFonts w:hint="eastAsia" w:ascii="宋体" w:hAnsi="宋体" w:eastAsia="宋体" w:cs="宋体"/>
          <w:bCs/>
          <w:color w:val="auto"/>
          <w:kern w:val="0"/>
          <w:highlight w:val="none"/>
        </w:rPr>
        <w:t>联系人：联系电话：</w:t>
      </w:r>
    </w:p>
    <w:p w14:paraId="5A9D3E07">
      <w:pPr>
        <w:snapToGrid w:val="0"/>
        <w:spacing w:line="360" w:lineRule="exact"/>
        <w:ind w:firstLine="420" w:firstLineChars="200"/>
        <w:rPr>
          <w:rFonts w:hint="eastAsia" w:ascii="宋体" w:hAnsi="宋体" w:eastAsia="宋体" w:cs="宋体"/>
          <w:bCs/>
          <w:color w:val="auto"/>
          <w:kern w:val="0"/>
          <w:highlight w:val="none"/>
        </w:rPr>
      </w:pPr>
      <w:r>
        <w:rPr>
          <w:rFonts w:hint="eastAsia" w:ascii="宋体" w:hAnsi="宋体" w:eastAsia="宋体" w:cs="宋体"/>
          <w:bCs/>
          <w:color w:val="auto"/>
          <w:kern w:val="0"/>
          <w:highlight w:val="none"/>
        </w:rPr>
        <w:t>授权代表：</w:t>
      </w:r>
    </w:p>
    <w:p w14:paraId="1F3DF48F">
      <w:pPr>
        <w:snapToGrid w:val="0"/>
        <w:spacing w:line="360" w:lineRule="exact"/>
        <w:ind w:firstLine="420" w:firstLineChars="200"/>
        <w:rPr>
          <w:rFonts w:hint="eastAsia" w:ascii="宋体" w:hAnsi="宋体" w:eastAsia="宋体" w:cs="宋体"/>
          <w:bCs/>
          <w:color w:val="auto"/>
          <w:kern w:val="0"/>
          <w:highlight w:val="none"/>
          <w:u w:val="single"/>
        </w:rPr>
      </w:pPr>
      <w:r>
        <w:rPr>
          <w:rFonts w:hint="eastAsia" w:ascii="宋体" w:hAnsi="宋体" w:eastAsia="宋体" w:cs="宋体"/>
          <w:bCs/>
          <w:color w:val="auto"/>
          <w:kern w:val="0"/>
          <w:highlight w:val="none"/>
        </w:rPr>
        <w:t>联系电话：</w:t>
      </w:r>
    </w:p>
    <w:p w14:paraId="3C6E5FEA">
      <w:pPr>
        <w:snapToGrid w:val="0"/>
        <w:spacing w:line="360" w:lineRule="exact"/>
        <w:ind w:firstLine="420" w:firstLineChars="200"/>
        <w:rPr>
          <w:rFonts w:hint="eastAsia" w:ascii="宋体" w:hAnsi="宋体" w:eastAsia="宋体" w:cs="宋体"/>
          <w:bCs/>
          <w:color w:val="auto"/>
          <w:kern w:val="0"/>
          <w:highlight w:val="none"/>
        </w:rPr>
      </w:pPr>
      <w:r>
        <w:rPr>
          <w:rFonts w:hint="eastAsia" w:ascii="宋体" w:hAnsi="宋体" w:eastAsia="宋体" w:cs="宋体"/>
          <w:bCs/>
          <w:color w:val="auto"/>
          <w:kern w:val="0"/>
          <w:highlight w:val="none"/>
        </w:rPr>
        <w:t>地址：邮编：</w:t>
      </w:r>
    </w:p>
    <w:p w14:paraId="3ED3E062">
      <w:pPr>
        <w:snapToGrid w:val="0"/>
        <w:spacing w:line="360" w:lineRule="exact"/>
        <w:ind w:firstLine="422" w:firstLineChars="200"/>
        <w:rPr>
          <w:rFonts w:hint="eastAsia" w:ascii="宋体" w:hAnsi="宋体" w:eastAsia="宋体" w:cs="宋体"/>
          <w:b/>
          <w:bCs/>
          <w:color w:val="auto"/>
          <w:kern w:val="0"/>
          <w:highlight w:val="none"/>
        </w:rPr>
      </w:pPr>
      <w:r>
        <w:rPr>
          <w:rFonts w:hint="eastAsia" w:ascii="宋体" w:hAnsi="宋体" w:eastAsia="宋体" w:cs="宋体"/>
          <w:b/>
          <w:bCs/>
          <w:color w:val="auto"/>
          <w:kern w:val="0"/>
          <w:highlight w:val="none"/>
        </w:rPr>
        <w:t>二、质疑项目基本情况：</w:t>
      </w:r>
    </w:p>
    <w:p w14:paraId="31F2C0A9">
      <w:pPr>
        <w:spacing w:line="360" w:lineRule="exact"/>
        <w:ind w:left="25" w:leftChars="12" w:firstLine="413" w:firstLineChars="197"/>
        <w:rPr>
          <w:rFonts w:hint="eastAsia" w:ascii="宋体" w:hAnsi="宋体" w:eastAsia="宋体" w:cs="宋体"/>
          <w:color w:val="auto"/>
          <w:kern w:val="0"/>
          <w:szCs w:val="21"/>
          <w:highlight w:val="none"/>
        </w:rPr>
      </w:pPr>
      <w:r>
        <w:rPr>
          <w:rFonts w:hint="eastAsia" w:ascii="宋体" w:hAnsi="宋体" w:eastAsia="宋体" w:cs="宋体"/>
          <w:bCs/>
          <w:color w:val="auto"/>
          <w:kern w:val="0"/>
          <w:highlight w:val="none"/>
        </w:rPr>
        <w:t>质疑</w:t>
      </w:r>
      <w:r>
        <w:rPr>
          <w:rFonts w:hint="eastAsia" w:ascii="宋体" w:hAnsi="宋体" w:eastAsia="宋体" w:cs="宋体"/>
          <w:color w:val="auto"/>
          <w:kern w:val="0"/>
          <w:szCs w:val="21"/>
          <w:highlight w:val="none"/>
        </w:rPr>
        <w:t>项目的名称：</w:t>
      </w:r>
    </w:p>
    <w:p w14:paraId="740BB682">
      <w:pPr>
        <w:spacing w:line="360" w:lineRule="exact"/>
        <w:ind w:left="25" w:leftChars="12" w:firstLine="413" w:firstLineChars="197"/>
        <w:rPr>
          <w:rFonts w:hint="eastAsia" w:ascii="宋体" w:hAnsi="宋体" w:eastAsia="宋体" w:cs="宋体"/>
          <w:color w:val="auto"/>
          <w:kern w:val="0"/>
          <w:szCs w:val="21"/>
          <w:highlight w:val="none"/>
        </w:rPr>
      </w:pPr>
      <w:r>
        <w:rPr>
          <w:rFonts w:hint="eastAsia" w:ascii="宋体" w:hAnsi="宋体" w:eastAsia="宋体" w:cs="宋体"/>
          <w:bCs/>
          <w:color w:val="auto"/>
          <w:kern w:val="0"/>
          <w:highlight w:val="none"/>
        </w:rPr>
        <w:t>质疑</w:t>
      </w:r>
      <w:r>
        <w:rPr>
          <w:rFonts w:hint="eastAsia" w:ascii="宋体" w:hAnsi="宋体" w:eastAsia="宋体" w:cs="宋体"/>
          <w:color w:val="auto"/>
          <w:kern w:val="0"/>
          <w:szCs w:val="21"/>
          <w:highlight w:val="none"/>
        </w:rPr>
        <w:t>项目的编号：</w:t>
      </w:r>
    </w:p>
    <w:p w14:paraId="77E9B72F">
      <w:pPr>
        <w:spacing w:line="360" w:lineRule="exact"/>
        <w:ind w:left="25" w:leftChars="12" w:firstLine="413" w:firstLineChars="197"/>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采购人名称：</w:t>
      </w:r>
    </w:p>
    <w:p w14:paraId="3BF01EA8">
      <w:pPr>
        <w:spacing w:line="360" w:lineRule="exact"/>
        <w:ind w:left="25" w:leftChars="12" w:firstLine="413" w:firstLineChars="197"/>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质疑事项：</w:t>
      </w:r>
    </w:p>
    <w:p w14:paraId="7ABAC182">
      <w:pPr>
        <w:spacing w:line="360" w:lineRule="exact"/>
        <w:ind w:left="25" w:leftChars="12" w:firstLine="441" w:firstLineChars="147"/>
        <w:rPr>
          <w:rFonts w:hint="eastAsia" w:ascii="宋体" w:hAnsi="宋体" w:eastAsia="宋体" w:cs="宋体"/>
          <w:color w:val="auto"/>
          <w:kern w:val="0"/>
          <w:szCs w:val="21"/>
          <w:highlight w:val="none"/>
        </w:rPr>
      </w:pPr>
      <w:r>
        <w:rPr>
          <w:rFonts w:hint="eastAsia" w:ascii="宋体" w:hAnsi="宋体" w:eastAsia="宋体" w:cs="宋体"/>
          <w:color w:val="auto"/>
          <w:kern w:val="0"/>
          <w:sz w:val="30"/>
          <w:szCs w:val="30"/>
          <w:highlight w:val="none"/>
        </w:rPr>
        <w:t>□</w:t>
      </w:r>
      <w:r>
        <w:rPr>
          <w:rFonts w:hint="eastAsia" w:ascii="宋体" w:hAnsi="宋体" w:eastAsia="宋体" w:cs="宋体"/>
          <w:color w:val="auto"/>
          <w:kern w:val="0"/>
          <w:szCs w:val="21"/>
          <w:highlight w:val="none"/>
        </w:rPr>
        <w:t>采购文件   采购文件获取日期：</w:t>
      </w:r>
    </w:p>
    <w:p w14:paraId="799D6743">
      <w:pPr>
        <w:spacing w:line="360" w:lineRule="exact"/>
        <w:ind w:left="25" w:leftChars="12" w:firstLine="441" w:firstLineChars="147"/>
        <w:rPr>
          <w:rFonts w:hint="eastAsia" w:ascii="宋体" w:hAnsi="宋体" w:eastAsia="宋体" w:cs="宋体"/>
          <w:color w:val="auto"/>
          <w:kern w:val="0"/>
          <w:szCs w:val="21"/>
          <w:highlight w:val="none"/>
        </w:rPr>
      </w:pPr>
      <w:r>
        <w:rPr>
          <w:rFonts w:hint="eastAsia" w:ascii="宋体" w:hAnsi="宋体" w:eastAsia="宋体" w:cs="宋体"/>
          <w:color w:val="auto"/>
          <w:kern w:val="0"/>
          <w:sz w:val="30"/>
          <w:szCs w:val="30"/>
          <w:highlight w:val="none"/>
        </w:rPr>
        <w:t>□</w:t>
      </w:r>
      <w:r>
        <w:rPr>
          <w:rFonts w:hint="eastAsia" w:ascii="宋体" w:hAnsi="宋体" w:eastAsia="宋体" w:cs="宋体"/>
          <w:color w:val="auto"/>
          <w:kern w:val="0"/>
          <w:szCs w:val="21"/>
          <w:highlight w:val="none"/>
        </w:rPr>
        <w:t xml:space="preserve">采购过程   </w:t>
      </w:r>
    </w:p>
    <w:p w14:paraId="5BBDF042">
      <w:pPr>
        <w:spacing w:line="360" w:lineRule="exact"/>
        <w:ind w:left="25" w:leftChars="12" w:firstLine="441" w:firstLineChars="147"/>
        <w:rPr>
          <w:rFonts w:hint="eastAsia" w:ascii="宋体" w:hAnsi="宋体" w:eastAsia="宋体" w:cs="宋体"/>
          <w:bCs/>
          <w:color w:val="auto"/>
          <w:kern w:val="0"/>
          <w:highlight w:val="none"/>
          <w:u w:val="single"/>
        </w:rPr>
      </w:pPr>
      <w:r>
        <w:rPr>
          <w:rFonts w:hint="eastAsia" w:ascii="宋体" w:hAnsi="宋体" w:eastAsia="宋体" w:cs="宋体"/>
          <w:color w:val="auto"/>
          <w:kern w:val="0"/>
          <w:sz w:val="30"/>
          <w:szCs w:val="30"/>
          <w:highlight w:val="none"/>
        </w:rPr>
        <w:t>□</w:t>
      </w:r>
      <w:r>
        <w:rPr>
          <w:rFonts w:hint="eastAsia" w:ascii="宋体" w:hAnsi="宋体" w:eastAsia="宋体" w:cs="宋体"/>
          <w:color w:val="auto"/>
          <w:kern w:val="0"/>
          <w:szCs w:val="21"/>
          <w:highlight w:val="none"/>
        </w:rPr>
        <w:t xml:space="preserve">成交结果   </w:t>
      </w:r>
    </w:p>
    <w:p w14:paraId="7C630427">
      <w:pPr>
        <w:spacing w:line="360" w:lineRule="exact"/>
        <w:ind w:left="25" w:leftChars="12" w:firstLine="413" w:firstLineChars="196"/>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三、质疑事项具体内容</w:t>
      </w:r>
    </w:p>
    <w:p w14:paraId="3E1EE2A7">
      <w:pPr>
        <w:spacing w:line="360" w:lineRule="exact"/>
        <w:ind w:left="25" w:leftChars="12" w:firstLine="413" w:firstLineChars="197"/>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质疑事项1：</w:t>
      </w:r>
    </w:p>
    <w:p w14:paraId="7EEAC00F">
      <w:pPr>
        <w:spacing w:line="360" w:lineRule="exact"/>
        <w:ind w:left="25" w:leftChars="12" w:firstLine="413" w:firstLineChars="197"/>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事实依据：</w:t>
      </w:r>
    </w:p>
    <w:p w14:paraId="730386B1">
      <w:pPr>
        <w:spacing w:line="360" w:lineRule="exact"/>
        <w:ind w:left="25" w:leftChars="12" w:firstLine="413" w:firstLineChars="197"/>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法律依据：</w:t>
      </w:r>
    </w:p>
    <w:p w14:paraId="69834F95">
      <w:pPr>
        <w:spacing w:line="360" w:lineRule="exact"/>
        <w:ind w:left="25" w:leftChars="12" w:firstLine="413" w:firstLineChars="197"/>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质疑事项2</w:t>
      </w:r>
    </w:p>
    <w:p w14:paraId="72F13F0A">
      <w:pPr>
        <w:spacing w:line="360" w:lineRule="exact"/>
        <w:ind w:left="25" w:leftChars="12" w:firstLine="413" w:firstLineChars="197"/>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p w14:paraId="74AA31BB">
      <w:pPr>
        <w:spacing w:line="360" w:lineRule="exact"/>
        <w:ind w:left="25" w:leftChars="12" w:firstLine="413" w:firstLineChars="197"/>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四、与质疑事项相关的质疑请求：</w:t>
      </w:r>
    </w:p>
    <w:p w14:paraId="0AB7D244">
      <w:pPr>
        <w:spacing w:line="360" w:lineRule="exact"/>
        <w:ind w:left="25" w:leftChars="12" w:firstLine="413" w:firstLineChars="197"/>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请求：</w:t>
      </w:r>
    </w:p>
    <w:p w14:paraId="59ADE749">
      <w:pPr>
        <w:spacing w:line="360" w:lineRule="exact"/>
        <w:ind w:left="25" w:leftChars="12" w:firstLine="308" w:firstLineChars="147"/>
        <w:rPr>
          <w:rFonts w:hint="eastAsia" w:ascii="宋体" w:hAnsi="宋体" w:eastAsia="宋体" w:cs="宋体"/>
          <w:color w:val="auto"/>
          <w:kern w:val="0"/>
          <w:szCs w:val="21"/>
          <w:highlight w:val="none"/>
        </w:rPr>
      </w:pPr>
    </w:p>
    <w:p w14:paraId="6042A88E">
      <w:pPr>
        <w:spacing w:line="360" w:lineRule="exact"/>
        <w:ind w:left="25" w:leftChars="12" w:firstLine="413" w:firstLineChars="197"/>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签字（签章）：                                       公章：</w:t>
      </w:r>
    </w:p>
    <w:p w14:paraId="2BB6BD4B">
      <w:pPr>
        <w:spacing w:line="360" w:lineRule="exact"/>
        <w:ind w:left="25" w:leftChars="12" w:firstLine="308" w:firstLineChars="147"/>
        <w:rPr>
          <w:rFonts w:hint="eastAsia" w:ascii="宋体" w:hAnsi="宋体" w:eastAsia="宋体" w:cs="宋体"/>
          <w:color w:val="auto"/>
          <w:kern w:val="0"/>
          <w:szCs w:val="21"/>
          <w:highlight w:val="none"/>
        </w:rPr>
      </w:pPr>
    </w:p>
    <w:p w14:paraId="76816FEE">
      <w:pPr>
        <w:spacing w:line="360" w:lineRule="exact"/>
        <w:ind w:left="25" w:leftChars="12" w:firstLine="413" w:firstLineChars="197"/>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日期：</w:t>
      </w:r>
    </w:p>
    <w:p w14:paraId="7BF6FFF5">
      <w:pPr>
        <w:snapToGrid w:val="0"/>
        <w:spacing w:line="340" w:lineRule="exact"/>
        <w:rPr>
          <w:rFonts w:hint="eastAsia" w:ascii="宋体" w:hAnsi="宋体" w:eastAsia="宋体" w:cs="宋体"/>
          <w:b/>
          <w:color w:val="auto"/>
          <w:kern w:val="0"/>
          <w:szCs w:val="21"/>
          <w:highlight w:val="none"/>
        </w:rPr>
      </w:pPr>
    </w:p>
    <w:p w14:paraId="78F26355">
      <w:pPr>
        <w:snapToGrid w:val="0"/>
        <w:spacing w:line="340" w:lineRule="exact"/>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说明：</w:t>
      </w:r>
    </w:p>
    <w:p w14:paraId="0A219A4E">
      <w:pPr>
        <w:spacing w:line="340" w:lineRule="exact"/>
        <w:ind w:left="25" w:leftChars="12" w:firstLine="310" w:firstLineChars="147"/>
        <w:rPr>
          <w:rFonts w:hint="eastAsia" w:ascii="宋体" w:hAnsi="宋体" w:eastAsia="宋体" w:cs="宋体"/>
          <w:b/>
          <w:bCs/>
          <w:color w:val="auto"/>
          <w:kern w:val="0"/>
          <w:highlight w:val="none"/>
        </w:rPr>
      </w:pPr>
      <w:r>
        <w:rPr>
          <w:rFonts w:hint="eastAsia" w:ascii="宋体" w:hAnsi="宋体" w:eastAsia="宋体" w:cs="宋体"/>
          <w:b/>
          <w:color w:val="auto"/>
          <w:kern w:val="0"/>
          <w:szCs w:val="21"/>
          <w:highlight w:val="none"/>
        </w:rPr>
        <w:t>1.供应商提出质疑时，应提交质疑函和必要的证明材料</w:t>
      </w:r>
      <w:r>
        <w:rPr>
          <w:rFonts w:hint="eastAsia" w:ascii="宋体" w:hAnsi="宋体" w:eastAsia="宋体" w:cs="宋体"/>
          <w:b/>
          <w:bCs/>
          <w:color w:val="auto"/>
          <w:kern w:val="0"/>
          <w:highlight w:val="none"/>
        </w:rPr>
        <w:t>。</w:t>
      </w:r>
    </w:p>
    <w:p w14:paraId="22B25187">
      <w:pPr>
        <w:spacing w:line="340" w:lineRule="exact"/>
        <w:ind w:left="25" w:leftChars="12" w:firstLine="310" w:firstLineChars="147"/>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0FFA6094">
      <w:pPr>
        <w:spacing w:line="340" w:lineRule="exact"/>
        <w:ind w:left="25" w:leftChars="12" w:firstLine="310" w:firstLineChars="147"/>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3.质疑函的质疑事项应具体、明确，并有必要的事实依据和法律依据。</w:t>
      </w:r>
    </w:p>
    <w:p w14:paraId="681F9927">
      <w:pPr>
        <w:spacing w:line="340" w:lineRule="exact"/>
        <w:ind w:left="25" w:leftChars="12" w:firstLine="310" w:firstLineChars="147"/>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4.质疑函的质疑请求应与质疑事项相关。</w:t>
      </w:r>
    </w:p>
    <w:p w14:paraId="7A7E2AAA">
      <w:pPr>
        <w:spacing w:line="340" w:lineRule="exact"/>
        <w:ind w:left="25" w:leftChars="12" w:firstLine="310" w:firstLineChars="147"/>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6.质疑供应商为法人或者其他组织的，质疑函应由法定代表人、主要负责人，或者其授权代表签字或者盖章，并加盖公章。</w:t>
      </w:r>
    </w:p>
    <w:p w14:paraId="2E4D090E">
      <w:pPr>
        <w:snapToGrid w:val="0"/>
        <w:rPr>
          <w:rFonts w:hAnsi="宋体"/>
          <w:b/>
          <w:color w:val="auto"/>
          <w:kern w:val="0"/>
          <w:sz w:val="24"/>
          <w:highlight w:val="none"/>
        </w:rPr>
      </w:pPr>
      <w:r>
        <w:rPr>
          <w:rFonts w:hint="eastAsia"/>
          <w:b/>
          <w:color w:val="auto"/>
          <w:kern w:val="0"/>
          <w:sz w:val="24"/>
          <w:highlight w:val="none"/>
        </w:rPr>
        <w:t>附表2：</w:t>
      </w:r>
    </w:p>
    <w:p w14:paraId="6BBE7011">
      <w:pPr>
        <w:spacing w:line="460" w:lineRule="exact"/>
        <w:jc w:val="center"/>
        <w:rPr>
          <w:rFonts w:eastAsia="隶书"/>
          <w:color w:val="auto"/>
          <w:kern w:val="0"/>
          <w:sz w:val="44"/>
          <w:highlight w:val="none"/>
        </w:rPr>
      </w:pPr>
    </w:p>
    <w:p w14:paraId="21AEF863">
      <w:pPr>
        <w:spacing w:line="460" w:lineRule="exact"/>
        <w:jc w:val="center"/>
        <w:rPr>
          <w:rFonts w:eastAsia="隶书"/>
          <w:color w:val="auto"/>
          <w:kern w:val="0"/>
          <w:sz w:val="44"/>
          <w:highlight w:val="none"/>
        </w:rPr>
      </w:pPr>
      <w:r>
        <w:rPr>
          <w:rFonts w:hint="eastAsia" w:eastAsia="隶书"/>
          <w:color w:val="auto"/>
          <w:kern w:val="0"/>
          <w:sz w:val="44"/>
          <w:highlight w:val="none"/>
        </w:rPr>
        <w:t>投诉书（格式）</w:t>
      </w:r>
    </w:p>
    <w:p w14:paraId="1DBF87DA">
      <w:pPr>
        <w:snapToGrid w:val="0"/>
        <w:spacing w:line="400" w:lineRule="exact"/>
        <w:ind w:firstLine="422" w:firstLineChars="200"/>
        <w:rPr>
          <w:rFonts w:hint="eastAsia" w:ascii="宋体" w:hAnsi="宋体" w:eastAsia="宋体" w:cs="宋体"/>
          <w:b/>
          <w:bCs/>
          <w:color w:val="auto"/>
          <w:kern w:val="0"/>
          <w:highlight w:val="none"/>
        </w:rPr>
      </w:pPr>
      <w:r>
        <w:rPr>
          <w:rFonts w:hint="eastAsia" w:ascii="宋体" w:hAnsi="宋体" w:eastAsia="宋体" w:cs="宋体"/>
          <w:b/>
          <w:bCs/>
          <w:color w:val="auto"/>
          <w:kern w:val="0"/>
          <w:highlight w:val="none"/>
        </w:rPr>
        <w:t>一、投诉相关主体基本情况：</w:t>
      </w:r>
    </w:p>
    <w:p w14:paraId="729834C2">
      <w:pPr>
        <w:snapToGrid w:val="0"/>
        <w:spacing w:line="400" w:lineRule="exact"/>
        <w:ind w:firstLine="420" w:firstLineChars="200"/>
        <w:rPr>
          <w:rFonts w:hint="eastAsia" w:ascii="宋体" w:hAnsi="宋体" w:eastAsia="宋体" w:cs="宋体"/>
          <w:bCs/>
          <w:color w:val="auto"/>
          <w:kern w:val="0"/>
          <w:highlight w:val="none"/>
          <w:u w:val="single"/>
        </w:rPr>
      </w:pPr>
      <w:r>
        <w:rPr>
          <w:rFonts w:hint="eastAsia" w:ascii="宋体" w:hAnsi="宋体" w:eastAsia="宋体" w:cs="宋体"/>
          <w:bCs/>
          <w:color w:val="auto"/>
          <w:kern w:val="0"/>
          <w:highlight w:val="none"/>
        </w:rPr>
        <w:t>供应商：</w:t>
      </w:r>
    </w:p>
    <w:p w14:paraId="6CE8C409">
      <w:pPr>
        <w:snapToGrid w:val="0"/>
        <w:spacing w:line="400" w:lineRule="exact"/>
        <w:ind w:firstLine="420" w:firstLineChars="200"/>
        <w:rPr>
          <w:rFonts w:hint="eastAsia" w:ascii="宋体" w:hAnsi="宋体" w:eastAsia="宋体" w:cs="宋体"/>
          <w:bCs/>
          <w:color w:val="auto"/>
          <w:kern w:val="0"/>
          <w:highlight w:val="none"/>
        </w:rPr>
      </w:pPr>
      <w:r>
        <w:rPr>
          <w:rFonts w:hint="eastAsia" w:ascii="宋体" w:hAnsi="宋体" w:eastAsia="宋体" w:cs="宋体"/>
          <w:bCs/>
          <w:color w:val="auto"/>
          <w:kern w:val="0"/>
          <w:highlight w:val="none"/>
        </w:rPr>
        <w:t>地址：邮编：</w:t>
      </w:r>
    </w:p>
    <w:p w14:paraId="1F8EA0A0">
      <w:pPr>
        <w:snapToGrid w:val="0"/>
        <w:spacing w:line="400" w:lineRule="exact"/>
        <w:ind w:firstLine="420" w:firstLineChars="200"/>
        <w:rPr>
          <w:rFonts w:hint="eastAsia" w:ascii="宋体" w:hAnsi="宋体" w:eastAsia="宋体" w:cs="宋体"/>
          <w:bCs/>
          <w:color w:val="auto"/>
          <w:kern w:val="0"/>
          <w:highlight w:val="none"/>
          <w:u w:val="single"/>
        </w:rPr>
      </w:pPr>
      <w:r>
        <w:rPr>
          <w:rFonts w:hint="eastAsia" w:ascii="宋体" w:hAnsi="宋体" w:eastAsia="宋体" w:cs="宋体"/>
          <w:bCs/>
          <w:color w:val="auto"/>
          <w:kern w:val="0"/>
          <w:highlight w:val="none"/>
        </w:rPr>
        <w:t>法定代表人/主要负责人：</w:t>
      </w:r>
    </w:p>
    <w:p w14:paraId="725B342A">
      <w:pPr>
        <w:snapToGrid w:val="0"/>
        <w:spacing w:line="400" w:lineRule="exact"/>
        <w:ind w:firstLine="420" w:firstLineChars="200"/>
        <w:rPr>
          <w:rFonts w:hint="eastAsia" w:ascii="宋体" w:hAnsi="宋体" w:eastAsia="宋体" w:cs="宋体"/>
          <w:bCs/>
          <w:color w:val="auto"/>
          <w:kern w:val="0"/>
          <w:highlight w:val="none"/>
        </w:rPr>
      </w:pPr>
      <w:r>
        <w:rPr>
          <w:rFonts w:hint="eastAsia" w:ascii="宋体" w:hAnsi="宋体" w:eastAsia="宋体" w:cs="宋体"/>
          <w:bCs/>
          <w:color w:val="auto"/>
          <w:kern w:val="0"/>
          <w:highlight w:val="none"/>
        </w:rPr>
        <w:t>联系电话：</w:t>
      </w:r>
    </w:p>
    <w:p w14:paraId="55FF2018">
      <w:pPr>
        <w:snapToGrid w:val="0"/>
        <w:spacing w:line="400" w:lineRule="exact"/>
        <w:ind w:firstLine="420" w:firstLineChars="200"/>
        <w:rPr>
          <w:rFonts w:hint="eastAsia" w:ascii="宋体" w:hAnsi="宋体" w:eastAsia="宋体" w:cs="宋体"/>
          <w:bCs/>
          <w:color w:val="auto"/>
          <w:kern w:val="0"/>
          <w:highlight w:val="none"/>
          <w:u w:val="single"/>
        </w:rPr>
      </w:pPr>
      <w:r>
        <w:rPr>
          <w:rFonts w:hint="eastAsia" w:ascii="宋体" w:hAnsi="宋体" w:eastAsia="宋体" w:cs="宋体"/>
          <w:bCs/>
          <w:color w:val="auto"/>
          <w:kern w:val="0"/>
          <w:highlight w:val="none"/>
        </w:rPr>
        <w:t>授权代表：联系电话：</w:t>
      </w:r>
    </w:p>
    <w:p w14:paraId="43E7A601">
      <w:pPr>
        <w:snapToGrid w:val="0"/>
        <w:spacing w:line="400" w:lineRule="exact"/>
        <w:ind w:firstLine="420" w:firstLineChars="200"/>
        <w:rPr>
          <w:rFonts w:hint="eastAsia" w:ascii="宋体" w:hAnsi="宋体" w:eastAsia="宋体" w:cs="宋体"/>
          <w:bCs/>
          <w:color w:val="auto"/>
          <w:kern w:val="0"/>
          <w:highlight w:val="none"/>
        </w:rPr>
      </w:pPr>
      <w:r>
        <w:rPr>
          <w:rFonts w:hint="eastAsia" w:ascii="宋体" w:hAnsi="宋体" w:eastAsia="宋体" w:cs="宋体"/>
          <w:bCs/>
          <w:color w:val="auto"/>
          <w:kern w:val="0"/>
          <w:highlight w:val="none"/>
        </w:rPr>
        <w:t>地址：邮编：</w:t>
      </w:r>
    </w:p>
    <w:p w14:paraId="2E912B14">
      <w:pPr>
        <w:snapToGrid w:val="0"/>
        <w:spacing w:line="400" w:lineRule="exact"/>
        <w:ind w:firstLine="420" w:firstLineChars="200"/>
        <w:rPr>
          <w:rFonts w:hint="eastAsia" w:ascii="宋体" w:hAnsi="宋体" w:eastAsia="宋体" w:cs="宋体"/>
          <w:bCs/>
          <w:color w:val="auto"/>
          <w:kern w:val="0"/>
          <w:highlight w:val="none"/>
        </w:rPr>
      </w:pPr>
      <w:r>
        <w:rPr>
          <w:rFonts w:hint="eastAsia" w:ascii="宋体" w:hAnsi="宋体" w:eastAsia="宋体" w:cs="宋体"/>
          <w:bCs/>
          <w:color w:val="auto"/>
          <w:kern w:val="0"/>
          <w:highlight w:val="none"/>
        </w:rPr>
        <w:t>被投诉人1：</w:t>
      </w:r>
    </w:p>
    <w:p w14:paraId="16D41649">
      <w:pPr>
        <w:snapToGrid w:val="0"/>
        <w:spacing w:line="400" w:lineRule="exact"/>
        <w:ind w:firstLine="420" w:firstLineChars="200"/>
        <w:rPr>
          <w:rFonts w:hint="eastAsia" w:ascii="宋体" w:hAnsi="宋体" w:eastAsia="宋体" w:cs="宋体"/>
          <w:bCs/>
          <w:color w:val="auto"/>
          <w:kern w:val="0"/>
          <w:highlight w:val="none"/>
        </w:rPr>
      </w:pPr>
      <w:r>
        <w:rPr>
          <w:rFonts w:hint="eastAsia" w:ascii="宋体" w:hAnsi="宋体" w:eastAsia="宋体" w:cs="宋体"/>
          <w:bCs/>
          <w:color w:val="auto"/>
          <w:kern w:val="0"/>
          <w:highlight w:val="none"/>
        </w:rPr>
        <w:t>地址：邮编：</w:t>
      </w:r>
    </w:p>
    <w:p w14:paraId="0E5FA53F">
      <w:pPr>
        <w:snapToGrid w:val="0"/>
        <w:spacing w:line="400" w:lineRule="exact"/>
        <w:ind w:firstLine="420" w:firstLineChars="200"/>
        <w:rPr>
          <w:rFonts w:hint="eastAsia" w:ascii="宋体" w:hAnsi="宋体" w:eastAsia="宋体" w:cs="宋体"/>
          <w:bCs/>
          <w:color w:val="auto"/>
          <w:kern w:val="0"/>
          <w:highlight w:val="none"/>
          <w:u w:val="single"/>
        </w:rPr>
      </w:pPr>
      <w:r>
        <w:rPr>
          <w:rFonts w:hint="eastAsia" w:ascii="宋体" w:hAnsi="宋体" w:eastAsia="宋体" w:cs="宋体"/>
          <w:bCs/>
          <w:color w:val="auto"/>
          <w:kern w:val="0"/>
          <w:highlight w:val="none"/>
        </w:rPr>
        <w:t>联系人：联系电话：</w:t>
      </w:r>
    </w:p>
    <w:p w14:paraId="0E330A87">
      <w:pPr>
        <w:snapToGrid w:val="0"/>
        <w:spacing w:line="400" w:lineRule="exact"/>
        <w:ind w:firstLine="420" w:firstLineChars="200"/>
        <w:rPr>
          <w:rFonts w:hint="eastAsia" w:ascii="宋体" w:hAnsi="宋体" w:eastAsia="宋体" w:cs="宋体"/>
          <w:bCs/>
          <w:color w:val="auto"/>
          <w:kern w:val="0"/>
          <w:highlight w:val="none"/>
        </w:rPr>
      </w:pPr>
      <w:r>
        <w:rPr>
          <w:rFonts w:hint="eastAsia" w:ascii="宋体" w:hAnsi="宋体" w:eastAsia="宋体" w:cs="宋体"/>
          <w:bCs/>
          <w:color w:val="auto"/>
          <w:kern w:val="0"/>
          <w:highlight w:val="none"/>
        </w:rPr>
        <w:t>被投诉人2：</w:t>
      </w:r>
    </w:p>
    <w:p w14:paraId="3F97A5B8">
      <w:pPr>
        <w:snapToGrid w:val="0"/>
        <w:spacing w:line="400" w:lineRule="exact"/>
        <w:ind w:firstLine="420" w:firstLineChars="200"/>
        <w:rPr>
          <w:rFonts w:hint="eastAsia" w:ascii="宋体" w:hAnsi="宋体" w:eastAsia="宋体" w:cs="宋体"/>
          <w:bCs/>
          <w:color w:val="auto"/>
          <w:kern w:val="0"/>
          <w:highlight w:val="none"/>
        </w:rPr>
      </w:pPr>
      <w:r>
        <w:rPr>
          <w:rFonts w:hint="eastAsia" w:ascii="宋体" w:hAnsi="宋体" w:eastAsia="宋体" w:cs="宋体"/>
          <w:bCs/>
          <w:color w:val="auto"/>
          <w:kern w:val="0"/>
          <w:highlight w:val="none"/>
        </w:rPr>
        <w:t>……</w:t>
      </w:r>
    </w:p>
    <w:p w14:paraId="2052BF2C">
      <w:pPr>
        <w:snapToGrid w:val="0"/>
        <w:spacing w:line="400" w:lineRule="exact"/>
        <w:ind w:firstLine="420" w:firstLineChars="200"/>
        <w:rPr>
          <w:rFonts w:hint="eastAsia" w:ascii="宋体" w:hAnsi="宋体" w:eastAsia="宋体" w:cs="宋体"/>
          <w:bCs/>
          <w:color w:val="auto"/>
          <w:kern w:val="0"/>
          <w:highlight w:val="none"/>
          <w:u w:val="single"/>
        </w:rPr>
      </w:pPr>
      <w:r>
        <w:rPr>
          <w:rFonts w:hint="eastAsia" w:ascii="宋体" w:hAnsi="宋体" w:eastAsia="宋体" w:cs="宋体"/>
          <w:bCs/>
          <w:color w:val="auto"/>
          <w:kern w:val="0"/>
          <w:highlight w:val="none"/>
        </w:rPr>
        <w:t>相关供应商：</w:t>
      </w:r>
    </w:p>
    <w:p w14:paraId="12070601">
      <w:pPr>
        <w:snapToGrid w:val="0"/>
        <w:spacing w:line="400" w:lineRule="exact"/>
        <w:ind w:firstLine="420" w:firstLineChars="200"/>
        <w:rPr>
          <w:rFonts w:hint="eastAsia" w:ascii="宋体" w:hAnsi="宋体" w:eastAsia="宋体" w:cs="宋体"/>
          <w:bCs/>
          <w:color w:val="auto"/>
          <w:kern w:val="0"/>
          <w:highlight w:val="none"/>
          <w:u w:val="single"/>
        </w:rPr>
      </w:pPr>
      <w:r>
        <w:rPr>
          <w:rFonts w:hint="eastAsia" w:ascii="宋体" w:hAnsi="宋体" w:eastAsia="宋体" w:cs="宋体"/>
          <w:bCs/>
          <w:color w:val="auto"/>
          <w:kern w:val="0"/>
          <w:highlight w:val="none"/>
        </w:rPr>
        <w:t>地址：邮编：</w:t>
      </w:r>
    </w:p>
    <w:p w14:paraId="482EFF5C">
      <w:pPr>
        <w:snapToGrid w:val="0"/>
        <w:spacing w:line="400" w:lineRule="exact"/>
        <w:ind w:firstLine="420" w:firstLineChars="200"/>
        <w:rPr>
          <w:rFonts w:hint="eastAsia" w:ascii="宋体" w:hAnsi="宋体" w:eastAsia="宋体" w:cs="宋体"/>
          <w:bCs/>
          <w:color w:val="auto"/>
          <w:kern w:val="0"/>
          <w:highlight w:val="none"/>
        </w:rPr>
      </w:pPr>
      <w:r>
        <w:rPr>
          <w:rFonts w:hint="eastAsia" w:ascii="宋体" w:hAnsi="宋体" w:eastAsia="宋体" w:cs="宋体"/>
          <w:bCs/>
          <w:color w:val="auto"/>
          <w:kern w:val="0"/>
          <w:highlight w:val="none"/>
        </w:rPr>
        <w:t>联系人：联系电话：</w:t>
      </w:r>
    </w:p>
    <w:p w14:paraId="0102ABE1">
      <w:pPr>
        <w:snapToGrid w:val="0"/>
        <w:spacing w:line="400" w:lineRule="exact"/>
        <w:ind w:firstLine="422" w:firstLineChars="200"/>
        <w:rPr>
          <w:rFonts w:hint="eastAsia" w:ascii="宋体" w:hAnsi="宋体" w:eastAsia="宋体" w:cs="宋体"/>
          <w:b/>
          <w:bCs/>
          <w:color w:val="auto"/>
          <w:kern w:val="0"/>
          <w:highlight w:val="none"/>
        </w:rPr>
      </w:pPr>
      <w:r>
        <w:rPr>
          <w:rFonts w:hint="eastAsia" w:ascii="宋体" w:hAnsi="宋体" w:eastAsia="宋体" w:cs="宋体"/>
          <w:b/>
          <w:bCs/>
          <w:color w:val="auto"/>
          <w:kern w:val="0"/>
          <w:highlight w:val="none"/>
        </w:rPr>
        <w:t>二、投诉项目基本情况：</w:t>
      </w:r>
    </w:p>
    <w:p w14:paraId="444FED3D">
      <w:pPr>
        <w:spacing w:line="400" w:lineRule="exact"/>
        <w:ind w:left="25" w:leftChars="12" w:firstLine="413" w:firstLineChars="197"/>
        <w:rPr>
          <w:rFonts w:hint="eastAsia" w:ascii="宋体" w:hAnsi="宋体" w:eastAsia="宋体" w:cs="宋体"/>
          <w:color w:val="auto"/>
          <w:kern w:val="0"/>
          <w:szCs w:val="21"/>
          <w:highlight w:val="none"/>
        </w:rPr>
      </w:pPr>
      <w:r>
        <w:rPr>
          <w:rFonts w:hint="eastAsia" w:ascii="宋体" w:hAnsi="宋体" w:eastAsia="宋体" w:cs="宋体"/>
          <w:bCs/>
          <w:color w:val="auto"/>
          <w:kern w:val="0"/>
          <w:highlight w:val="none"/>
        </w:rPr>
        <w:t>采购</w:t>
      </w:r>
      <w:r>
        <w:rPr>
          <w:rFonts w:hint="eastAsia" w:ascii="宋体" w:hAnsi="宋体" w:eastAsia="宋体" w:cs="宋体"/>
          <w:color w:val="auto"/>
          <w:kern w:val="0"/>
          <w:szCs w:val="21"/>
          <w:highlight w:val="none"/>
        </w:rPr>
        <w:t>项目的名称：</w:t>
      </w:r>
    </w:p>
    <w:p w14:paraId="07CEFBC7">
      <w:pPr>
        <w:spacing w:line="400" w:lineRule="exact"/>
        <w:ind w:left="25" w:leftChars="12" w:firstLine="413" w:firstLineChars="197"/>
        <w:rPr>
          <w:rFonts w:hint="eastAsia" w:ascii="宋体" w:hAnsi="宋体" w:eastAsia="宋体" w:cs="宋体"/>
          <w:color w:val="auto"/>
          <w:kern w:val="0"/>
          <w:szCs w:val="21"/>
          <w:highlight w:val="none"/>
        </w:rPr>
      </w:pPr>
      <w:r>
        <w:rPr>
          <w:rFonts w:hint="eastAsia" w:ascii="宋体" w:hAnsi="宋体" w:eastAsia="宋体" w:cs="宋体"/>
          <w:bCs/>
          <w:color w:val="auto"/>
          <w:kern w:val="0"/>
          <w:highlight w:val="none"/>
        </w:rPr>
        <w:t>采购</w:t>
      </w:r>
      <w:r>
        <w:rPr>
          <w:rFonts w:hint="eastAsia" w:ascii="宋体" w:hAnsi="宋体" w:eastAsia="宋体" w:cs="宋体"/>
          <w:color w:val="auto"/>
          <w:kern w:val="0"/>
          <w:szCs w:val="21"/>
          <w:highlight w:val="none"/>
        </w:rPr>
        <w:t>项目的编号：</w:t>
      </w:r>
    </w:p>
    <w:p w14:paraId="4A57AD94">
      <w:pPr>
        <w:spacing w:line="400" w:lineRule="exact"/>
        <w:ind w:left="25" w:leftChars="12" w:firstLine="413" w:firstLineChars="197"/>
        <w:rPr>
          <w:rFonts w:hint="eastAsia" w:ascii="宋体" w:hAnsi="宋体" w:eastAsia="宋体" w:cs="宋体"/>
          <w:bCs/>
          <w:color w:val="auto"/>
          <w:kern w:val="0"/>
          <w:highlight w:val="none"/>
          <w:u w:val="single"/>
        </w:rPr>
      </w:pPr>
      <w:r>
        <w:rPr>
          <w:rFonts w:hint="eastAsia" w:ascii="宋体" w:hAnsi="宋体" w:eastAsia="宋体" w:cs="宋体"/>
          <w:color w:val="auto"/>
          <w:kern w:val="0"/>
          <w:szCs w:val="21"/>
          <w:highlight w:val="none"/>
        </w:rPr>
        <w:t>采购人名称：</w:t>
      </w:r>
    </w:p>
    <w:p w14:paraId="49DB8C05">
      <w:pPr>
        <w:spacing w:line="400" w:lineRule="exact"/>
        <w:ind w:left="25" w:leftChars="12" w:firstLine="413" w:firstLineChars="197"/>
        <w:rPr>
          <w:rFonts w:hint="eastAsia" w:ascii="宋体" w:hAnsi="宋体" w:eastAsia="宋体" w:cs="宋体"/>
          <w:bCs/>
          <w:color w:val="auto"/>
          <w:kern w:val="0"/>
          <w:highlight w:val="none"/>
          <w:u w:val="single"/>
        </w:rPr>
      </w:pPr>
      <w:r>
        <w:rPr>
          <w:rFonts w:hint="eastAsia" w:ascii="宋体" w:hAnsi="宋体" w:eastAsia="宋体" w:cs="宋体"/>
          <w:color w:val="auto"/>
          <w:kern w:val="0"/>
          <w:szCs w:val="21"/>
          <w:highlight w:val="none"/>
        </w:rPr>
        <w:t>代理机构名称：</w:t>
      </w:r>
    </w:p>
    <w:p w14:paraId="28575737">
      <w:pPr>
        <w:spacing w:line="400" w:lineRule="exact"/>
        <w:ind w:left="25" w:leftChars="12" w:firstLine="413" w:firstLineChars="197"/>
        <w:rPr>
          <w:rFonts w:hint="eastAsia" w:ascii="宋体" w:hAnsi="宋体" w:eastAsia="宋体" w:cs="宋体"/>
          <w:bCs/>
          <w:color w:val="auto"/>
          <w:kern w:val="0"/>
          <w:highlight w:val="none"/>
          <w:u w:val="single"/>
        </w:rPr>
      </w:pPr>
      <w:r>
        <w:rPr>
          <w:rFonts w:hint="eastAsia" w:ascii="宋体" w:hAnsi="宋体" w:eastAsia="宋体" w:cs="宋体"/>
          <w:bCs/>
          <w:color w:val="auto"/>
          <w:kern w:val="0"/>
          <w:highlight w:val="none"/>
        </w:rPr>
        <w:t>采购文件公告：</w:t>
      </w:r>
      <w:r>
        <w:rPr>
          <w:rFonts w:hint="eastAsia" w:ascii="宋体" w:hAnsi="宋体" w:eastAsia="宋体" w:cs="宋体"/>
          <w:bCs/>
          <w:color w:val="auto"/>
          <w:kern w:val="0"/>
          <w:highlight w:val="none"/>
          <w:u w:val="single"/>
        </w:rPr>
        <w:t>是/否</w:t>
      </w:r>
      <w:r>
        <w:rPr>
          <w:rFonts w:hint="eastAsia" w:ascii="宋体" w:hAnsi="宋体" w:eastAsia="宋体" w:cs="宋体"/>
          <w:bCs/>
          <w:color w:val="auto"/>
          <w:kern w:val="0"/>
          <w:highlight w:val="none"/>
        </w:rPr>
        <w:t>公告期限：</w:t>
      </w:r>
    </w:p>
    <w:p w14:paraId="2451A00E">
      <w:pPr>
        <w:spacing w:line="400" w:lineRule="exact"/>
        <w:ind w:left="25" w:leftChars="12" w:firstLine="413" w:firstLineChars="197"/>
        <w:rPr>
          <w:rFonts w:hint="eastAsia" w:ascii="宋体" w:hAnsi="宋体" w:eastAsia="宋体" w:cs="宋体"/>
          <w:b/>
          <w:color w:val="auto"/>
          <w:kern w:val="0"/>
          <w:szCs w:val="21"/>
          <w:highlight w:val="none"/>
        </w:rPr>
      </w:pPr>
      <w:r>
        <w:rPr>
          <w:rFonts w:hint="eastAsia" w:ascii="宋体" w:hAnsi="宋体" w:eastAsia="宋体" w:cs="宋体"/>
          <w:bCs/>
          <w:color w:val="auto"/>
          <w:kern w:val="0"/>
          <w:highlight w:val="none"/>
        </w:rPr>
        <w:t>采购结果公告：</w:t>
      </w:r>
      <w:r>
        <w:rPr>
          <w:rFonts w:hint="eastAsia" w:ascii="宋体" w:hAnsi="宋体" w:eastAsia="宋体" w:cs="宋体"/>
          <w:bCs/>
          <w:color w:val="auto"/>
          <w:kern w:val="0"/>
          <w:highlight w:val="none"/>
          <w:u w:val="single"/>
        </w:rPr>
        <w:t>是/否</w:t>
      </w:r>
      <w:r>
        <w:rPr>
          <w:rFonts w:hint="eastAsia" w:ascii="宋体" w:hAnsi="宋体" w:eastAsia="宋体" w:cs="宋体"/>
          <w:bCs/>
          <w:color w:val="auto"/>
          <w:kern w:val="0"/>
          <w:highlight w:val="none"/>
        </w:rPr>
        <w:t>公告期限：</w:t>
      </w:r>
    </w:p>
    <w:p w14:paraId="22331911">
      <w:pPr>
        <w:spacing w:line="400" w:lineRule="exact"/>
        <w:ind w:left="25" w:leftChars="12" w:firstLine="413" w:firstLineChars="196"/>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三、质疑基本情况</w:t>
      </w:r>
    </w:p>
    <w:p w14:paraId="7E87F24E">
      <w:pPr>
        <w:spacing w:line="400" w:lineRule="exact"/>
        <w:ind w:left="25" w:leftChars="12" w:firstLine="833" w:firstLineChars="397"/>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投诉人于年月日，向提出质疑，质疑事项为：</w:t>
      </w:r>
    </w:p>
    <w:p w14:paraId="76A550F5">
      <w:pPr>
        <w:spacing w:line="400" w:lineRule="exact"/>
        <w:rPr>
          <w:rFonts w:hint="eastAsia" w:ascii="宋体" w:hAnsi="宋体" w:eastAsia="宋体" w:cs="宋体"/>
          <w:bCs/>
          <w:color w:val="auto"/>
          <w:kern w:val="0"/>
          <w:highlight w:val="none"/>
          <w:u w:val="single"/>
        </w:rPr>
      </w:pPr>
    </w:p>
    <w:p w14:paraId="5974E518">
      <w:pPr>
        <w:spacing w:line="400" w:lineRule="exact"/>
        <w:rPr>
          <w:rFonts w:hint="eastAsia" w:ascii="宋体" w:hAnsi="宋体" w:eastAsia="宋体" w:cs="宋体"/>
          <w:bCs/>
          <w:color w:val="auto"/>
          <w:kern w:val="0"/>
          <w:highlight w:val="none"/>
          <w:u w:val="single"/>
        </w:rPr>
      </w:pPr>
    </w:p>
    <w:p w14:paraId="3BC4CFF0">
      <w:pPr>
        <w:spacing w:line="400" w:lineRule="exact"/>
        <w:rPr>
          <w:rFonts w:hint="eastAsia" w:ascii="宋体" w:hAnsi="宋体" w:eastAsia="宋体" w:cs="宋体"/>
          <w:color w:val="auto"/>
          <w:kern w:val="0"/>
          <w:szCs w:val="21"/>
          <w:highlight w:val="none"/>
        </w:rPr>
      </w:pPr>
      <w:r>
        <w:rPr>
          <w:rFonts w:hint="eastAsia" w:ascii="宋体" w:hAnsi="宋体" w:eastAsia="宋体" w:cs="宋体"/>
          <w:bCs/>
          <w:color w:val="auto"/>
          <w:kern w:val="0"/>
          <w:highlight w:val="none"/>
          <w:u w:val="single"/>
        </w:rPr>
        <w:t>采购人/代理机构</w:t>
      </w:r>
      <w:r>
        <w:rPr>
          <w:rFonts w:hint="eastAsia" w:ascii="宋体" w:hAnsi="宋体" w:eastAsia="宋体" w:cs="宋体"/>
          <w:bCs/>
          <w:color w:val="auto"/>
          <w:kern w:val="0"/>
          <w:highlight w:val="none"/>
        </w:rPr>
        <w:t>于</w:t>
      </w:r>
      <w:r>
        <w:rPr>
          <w:rFonts w:hint="eastAsia" w:ascii="宋体" w:hAnsi="宋体" w:eastAsia="宋体" w:cs="宋体"/>
          <w:color w:val="auto"/>
          <w:kern w:val="0"/>
          <w:szCs w:val="21"/>
          <w:highlight w:val="none"/>
        </w:rPr>
        <w:t>年月日，</w:t>
      </w:r>
      <w:r>
        <w:rPr>
          <w:rFonts w:hint="eastAsia" w:ascii="宋体" w:hAnsi="宋体" w:eastAsia="宋体" w:cs="宋体"/>
          <w:bCs/>
          <w:color w:val="auto"/>
          <w:kern w:val="0"/>
          <w:highlight w:val="none"/>
        </w:rPr>
        <w:t xml:space="preserve">就质疑事项作出了答复/没有在法定期限内作出答复。                                                                                             </w:t>
      </w:r>
    </w:p>
    <w:p w14:paraId="2B4B0504">
      <w:pPr>
        <w:spacing w:line="400" w:lineRule="exact"/>
        <w:ind w:left="25" w:leftChars="12" w:firstLine="413" w:firstLineChars="196"/>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四、投诉事项具体内容</w:t>
      </w:r>
    </w:p>
    <w:p w14:paraId="71DD3D6B">
      <w:pPr>
        <w:spacing w:line="400" w:lineRule="exact"/>
        <w:ind w:left="25" w:leftChars="12" w:firstLine="413" w:firstLineChars="197"/>
        <w:rPr>
          <w:rFonts w:hint="eastAsia" w:ascii="宋体" w:hAnsi="宋体" w:eastAsia="宋体" w:cs="宋体"/>
          <w:bCs/>
          <w:color w:val="auto"/>
          <w:kern w:val="0"/>
          <w:highlight w:val="none"/>
          <w:u w:val="single"/>
        </w:rPr>
      </w:pPr>
      <w:r>
        <w:rPr>
          <w:rFonts w:hint="eastAsia" w:ascii="宋体" w:hAnsi="宋体" w:eastAsia="宋体" w:cs="宋体"/>
          <w:color w:val="auto"/>
          <w:kern w:val="0"/>
          <w:szCs w:val="21"/>
          <w:highlight w:val="none"/>
        </w:rPr>
        <w:t>投诉事项1：</w:t>
      </w:r>
    </w:p>
    <w:p w14:paraId="2C313CC4">
      <w:pPr>
        <w:spacing w:line="400" w:lineRule="exact"/>
        <w:ind w:firstLine="420" w:firstLineChars="200"/>
        <w:rPr>
          <w:rFonts w:hint="eastAsia" w:ascii="宋体" w:hAnsi="宋体" w:eastAsia="宋体" w:cs="宋体"/>
          <w:bCs/>
          <w:color w:val="auto"/>
          <w:kern w:val="0"/>
          <w:highlight w:val="none"/>
          <w:u w:val="single"/>
        </w:rPr>
      </w:pPr>
      <w:r>
        <w:rPr>
          <w:rFonts w:hint="eastAsia" w:ascii="宋体" w:hAnsi="宋体" w:eastAsia="宋体" w:cs="宋体"/>
          <w:bCs/>
          <w:color w:val="auto"/>
          <w:kern w:val="0"/>
          <w:highlight w:val="none"/>
        </w:rPr>
        <w:t>事实依据：</w:t>
      </w:r>
    </w:p>
    <w:p w14:paraId="436CD200">
      <w:pPr>
        <w:spacing w:line="400" w:lineRule="exact"/>
        <w:ind w:left="25" w:leftChars="12" w:firstLine="413" w:firstLineChars="197"/>
        <w:rPr>
          <w:rFonts w:hint="eastAsia" w:ascii="宋体" w:hAnsi="宋体" w:eastAsia="宋体" w:cs="宋体"/>
          <w:color w:val="auto"/>
          <w:kern w:val="0"/>
          <w:szCs w:val="21"/>
          <w:highlight w:val="none"/>
        </w:rPr>
      </w:pPr>
    </w:p>
    <w:p w14:paraId="69C06A7D">
      <w:pPr>
        <w:spacing w:line="400" w:lineRule="exact"/>
        <w:ind w:firstLine="420" w:firstLineChars="200"/>
        <w:rPr>
          <w:rFonts w:hint="eastAsia" w:ascii="宋体" w:hAnsi="宋体" w:eastAsia="宋体" w:cs="宋体"/>
          <w:bCs/>
          <w:color w:val="auto"/>
          <w:kern w:val="0"/>
          <w:highlight w:val="none"/>
          <w:u w:val="single"/>
        </w:rPr>
      </w:pPr>
      <w:r>
        <w:rPr>
          <w:rFonts w:hint="eastAsia" w:ascii="宋体" w:hAnsi="宋体" w:eastAsia="宋体" w:cs="宋体"/>
          <w:bCs/>
          <w:color w:val="auto"/>
          <w:kern w:val="0"/>
          <w:highlight w:val="none"/>
        </w:rPr>
        <w:t>法律依据：</w:t>
      </w:r>
    </w:p>
    <w:p w14:paraId="72A24882">
      <w:pPr>
        <w:spacing w:line="400" w:lineRule="exact"/>
        <w:ind w:left="25" w:leftChars="12" w:firstLine="308" w:firstLineChars="147"/>
        <w:rPr>
          <w:rFonts w:hint="eastAsia" w:ascii="宋体" w:hAnsi="宋体" w:eastAsia="宋体" w:cs="宋体"/>
          <w:bCs/>
          <w:color w:val="auto"/>
          <w:kern w:val="0"/>
          <w:highlight w:val="none"/>
          <w:u w:val="single"/>
        </w:rPr>
      </w:pPr>
    </w:p>
    <w:p w14:paraId="76FD74FD">
      <w:pPr>
        <w:spacing w:line="400" w:lineRule="exact"/>
        <w:ind w:left="25" w:leftChars="12" w:firstLine="413" w:firstLineChars="197"/>
        <w:rPr>
          <w:rFonts w:hint="eastAsia" w:ascii="宋体" w:hAnsi="宋体" w:eastAsia="宋体" w:cs="宋体"/>
          <w:bCs/>
          <w:color w:val="auto"/>
          <w:kern w:val="0"/>
          <w:highlight w:val="none"/>
        </w:rPr>
      </w:pPr>
      <w:r>
        <w:rPr>
          <w:rFonts w:hint="eastAsia" w:ascii="宋体" w:hAnsi="宋体" w:eastAsia="宋体" w:cs="宋体"/>
          <w:color w:val="auto"/>
          <w:kern w:val="0"/>
          <w:szCs w:val="21"/>
          <w:highlight w:val="none"/>
        </w:rPr>
        <w:t xml:space="preserve">投诉事项2  </w:t>
      </w:r>
    </w:p>
    <w:p w14:paraId="13DAA88A">
      <w:pPr>
        <w:spacing w:line="400" w:lineRule="exact"/>
        <w:ind w:left="25" w:leftChars="12" w:firstLine="413" w:firstLineChars="197"/>
        <w:rPr>
          <w:rFonts w:hint="eastAsia" w:ascii="宋体" w:hAnsi="宋体" w:eastAsia="宋体" w:cs="宋体"/>
          <w:bCs/>
          <w:color w:val="auto"/>
          <w:kern w:val="0"/>
          <w:highlight w:val="none"/>
        </w:rPr>
      </w:pPr>
      <w:r>
        <w:rPr>
          <w:rFonts w:hint="eastAsia" w:ascii="宋体" w:hAnsi="宋体" w:eastAsia="宋体" w:cs="宋体"/>
          <w:bCs/>
          <w:color w:val="auto"/>
          <w:kern w:val="0"/>
          <w:highlight w:val="none"/>
        </w:rPr>
        <w:t>……</w:t>
      </w:r>
    </w:p>
    <w:p w14:paraId="2CE22ABB">
      <w:pPr>
        <w:spacing w:line="400" w:lineRule="exact"/>
        <w:ind w:left="25" w:leftChars="12" w:firstLine="413" w:firstLineChars="196"/>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五、与投诉事项相关的投诉请求：</w:t>
      </w:r>
    </w:p>
    <w:p w14:paraId="18085B07">
      <w:pPr>
        <w:spacing w:line="400" w:lineRule="exact"/>
        <w:ind w:left="25" w:leftChars="12" w:firstLine="413" w:firstLineChars="197"/>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请求：</w:t>
      </w:r>
    </w:p>
    <w:p w14:paraId="1DACB5CF">
      <w:pPr>
        <w:spacing w:line="400" w:lineRule="exact"/>
        <w:ind w:left="25" w:leftChars="12" w:firstLine="308" w:firstLineChars="147"/>
        <w:rPr>
          <w:rFonts w:hint="eastAsia" w:ascii="宋体" w:hAnsi="宋体" w:eastAsia="宋体" w:cs="宋体"/>
          <w:color w:val="auto"/>
          <w:kern w:val="0"/>
          <w:szCs w:val="21"/>
          <w:highlight w:val="none"/>
        </w:rPr>
      </w:pPr>
    </w:p>
    <w:p w14:paraId="6A39E28A">
      <w:pPr>
        <w:spacing w:line="400" w:lineRule="exact"/>
        <w:ind w:left="25" w:leftChars="12" w:firstLine="413" w:firstLineChars="197"/>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签字（签章）：                                       公章：</w:t>
      </w:r>
    </w:p>
    <w:p w14:paraId="08479E66">
      <w:pPr>
        <w:spacing w:line="400" w:lineRule="exact"/>
        <w:ind w:left="25" w:leftChars="12" w:firstLine="308" w:firstLineChars="147"/>
        <w:rPr>
          <w:rFonts w:hint="eastAsia" w:ascii="宋体" w:hAnsi="宋体" w:eastAsia="宋体" w:cs="宋体"/>
          <w:color w:val="auto"/>
          <w:kern w:val="0"/>
          <w:szCs w:val="21"/>
          <w:highlight w:val="none"/>
        </w:rPr>
      </w:pPr>
    </w:p>
    <w:p w14:paraId="47C9DEBB">
      <w:pPr>
        <w:spacing w:line="400" w:lineRule="exact"/>
        <w:ind w:left="25" w:leftChars="12" w:firstLine="413" w:firstLineChars="197"/>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日期：</w:t>
      </w:r>
    </w:p>
    <w:p w14:paraId="198ACA54">
      <w:pPr>
        <w:spacing w:line="360" w:lineRule="exact"/>
        <w:ind w:left="25" w:leftChars="12" w:firstLine="413" w:firstLineChars="197"/>
        <w:rPr>
          <w:rFonts w:hint="eastAsia" w:ascii="宋体" w:hAnsi="宋体" w:eastAsia="宋体" w:cs="宋体"/>
          <w:color w:val="auto"/>
          <w:kern w:val="0"/>
          <w:szCs w:val="21"/>
          <w:highlight w:val="none"/>
        </w:rPr>
      </w:pPr>
    </w:p>
    <w:p w14:paraId="4A5F93CF">
      <w:pPr>
        <w:snapToGrid w:val="0"/>
        <w:spacing w:line="340" w:lineRule="exact"/>
        <w:rPr>
          <w:rFonts w:hint="eastAsia" w:ascii="宋体" w:hAnsi="宋体" w:eastAsia="宋体" w:cs="宋体"/>
          <w:b/>
          <w:color w:val="auto"/>
          <w:kern w:val="0"/>
          <w:szCs w:val="21"/>
          <w:highlight w:val="none"/>
        </w:rPr>
      </w:pPr>
    </w:p>
    <w:p w14:paraId="0EB5599A">
      <w:pPr>
        <w:snapToGrid w:val="0"/>
        <w:spacing w:line="340" w:lineRule="exact"/>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说明：</w:t>
      </w:r>
    </w:p>
    <w:p w14:paraId="30E793DA">
      <w:pPr>
        <w:spacing w:line="340" w:lineRule="exact"/>
        <w:ind w:left="25" w:leftChars="12" w:firstLine="310" w:firstLineChars="147"/>
        <w:rPr>
          <w:rFonts w:hint="eastAsia" w:ascii="宋体" w:hAnsi="宋体" w:eastAsia="宋体" w:cs="宋体"/>
          <w:b/>
          <w:bCs/>
          <w:color w:val="auto"/>
          <w:kern w:val="0"/>
          <w:highlight w:val="none"/>
        </w:rPr>
      </w:pPr>
      <w:r>
        <w:rPr>
          <w:rFonts w:hint="eastAsia" w:ascii="宋体" w:hAnsi="宋体" w:eastAsia="宋体" w:cs="宋体"/>
          <w:b/>
          <w:color w:val="auto"/>
          <w:kern w:val="0"/>
          <w:szCs w:val="21"/>
          <w:highlight w:val="none"/>
        </w:rPr>
        <w:t>1.投诉人提起投诉时，应当提交投诉书和必要的证明材料，并按照被投诉人和与投诉事项有关的供应商数量提供投诉书副本</w:t>
      </w:r>
      <w:r>
        <w:rPr>
          <w:rFonts w:hint="eastAsia" w:ascii="宋体" w:hAnsi="宋体" w:eastAsia="宋体" w:cs="宋体"/>
          <w:b/>
          <w:bCs/>
          <w:color w:val="auto"/>
          <w:kern w:val="0"/>
          <w:highlight w:val="none"/>
        </w:rPr>
        <w:t>。</w:t>
      </w:r>
    </w:p>
    <w:p w14:paraId="3FDDBC0B">
      <w:pPr>
        <w:spacing w:line="340" w:lineRule="exact"/>
        <w:ind w:left="25" w:leftChars="12" w:firstLine="310" w:firstLineChars="147"/>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2EAB8705">
      <w:pPr>
        <w:spacing w:line="340" w:lineRule="exact"/>
        <w:ind w:left="25" w:leftChars="12" w:firstLine="310" w:firstLineChars="147"/>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3.投诉书应简要列明质疑事项，质疑函、质疑答复等作为附件材料提供。</w:t>
      </w:r>
    </w:p>
    <w:p w14:paraId="1BE08C2C">
      <w:pPr>
        <w:spacing w:line="340" w:lineRule="exact"/>
        <w:ind w:left="25" w:leftChars="12" w:firstLine="310" w:firstLineChars="147"/>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4.投诉书的投诉事项应具体、明确，并有必要的事实依据和法律依据。</w:t>
      </w:r>
    </w:p>
    <w:p w14:paraId="076C90ED">
      <w:pPr>
        <w:spacing w:line="340" w:lineRule="exact"/>
        <w:ind w:left="25" w:leftChars="12" w:firstLine="310" w:firstLineChars="147"/>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5.投诉书的投诉请求应与投诉事项相关。</w:t>
      </w:r>
    </w:p>
    <w:p w14:paraId="77E4B81B">
      <w:pPr>
        <w:spacing w:line="340" w:lineRule="exact"/>
        <w:ind w:left="25" w:leftChars="12" w:firstLine="310" w:firstLineChars="147"/>
        <w:rPr>
          <w:rFonts w:hint="eastAsia" w:ascii="宋体" w:hAnsi="宋体" w:eastAsia="宋体" w:cs="宋体"/>
          <w:b/>
          <w:color w:val="auto"/>
          <w:szCs w:val="21"/>
          <w:highlight w:val="none"/>
        </w:rPr>
      </w:pPr>
      <w:r>
        <w:rPr>
          <w:rFonts w:hint="eastAsia" w:ascii="宋体" w:hAnsi="宋体" w:eastAsia="宋体" w:cs="宋体"/>
          <w:b/>
          <w:color w:val="auto"/>
          <w:kern w:val="0"/>
          <w:szCs w:val="21"/>
          <w:highlight w:val="none"/>
        </w:rPr>
        <w:t>6.</w:t>
      </w:r>
      <w:r>
        <w:rPr>
          <w:rFonts w:hint="eastAsia" w:ascii="宋体" w:hAnsi="宋体" w:eastAsia="宋体" w:cs="宋体"/>
          <w:b/>
          <w:color w:val="auto"/>
          <w:szCs w:val="21"/>
          <w:highlight w:val="none"/>
        </w:rPr>
        <w:t>投诉人为法人或者其他组织的，投诉书应由法定代表人、主要负责人，或者其授权代表签字或者盖章，并加盖公章。</w:t>
      </w:r>
    </w:p>
    <w:p w14:paraId="1CE0FD47">
      <w:pPr>
        <w:spacing w:line="340" w:lineRule="exact"/>
        <w:ind w:left="25" w:leftChars="12" w:firstLine="310" w:firstLineChars="147"/>
        <w:rPr>
          <w:rFonts w:hAnsi="宋体"/>
          <w:b/>
          <w:color w:val="auto"/>
          <w:kern w:val="0"/>
          <w:szCs w:val="21"/>
          <w:highlight w:val="none"/>
        </w:rPr>
      </w:pPr>
    </w:p>
    <w:p w14:paraId="1700B27D">
      <w:pPr>
        <w:pStyle w:val="5"/>
        <w:rPr>
          <w:rFonts w:hint="eastAsia"/>
          <w:color w:val="auto"/>
          <w:highlight w:val="none"/>
          <w:lang w:eastAsia="zh-CN"/>
        </w:rPr>
      </w:pPr>
    </w:p>
    <w:p w14:paraId="63A61F2D">
      <w:pPr>
        <w:rPr>
          <w:rFonts w:hint="eastAsia"/>
          <w:color w:val="auto"/>
          <w:highlight w:val="none"/>
          <w:lang w:eastAsia="zh-CN"/>
        </w:rPr>
      </w:pPr>
    </w:p>
    <w:p w14:paraId="22599FDC">
      <w:pPr>
        <w:pStyle w:val="5"/>
        <w:rPr>
          <w:rFonts w:hint="eastAsia"/>
          <w:color w:val="auto"/>
          <w:highlight w:val="none"/>
          <w:lang w:eastAsia="zh-CN"/>
        </w:rPr>
      </w:pPr>
    </w:p>
    <w:p w14:paraId="05FA84C0">
      <w:pPr>
        <w:rPr>
          <w:rFonts w:hint="eastAsia"/>
          <w:color w:val="auto"/>
          <w:highlight w:val="none"/>
          <w:lang w:eastAsia="zh-CN"/>
        </w:rPr>
      </w:pPr>
    </w:p>
    <w:p w14:paraId="034BAED9">
      <w:pPr>
        <w:pStyle w:val="5"/>
        <w:rPr>
          <w:rFonts w:hint="eastAsia"/>
          <w:color w:val="auto"/>
          <w:highlight w:val="none"/>
          <w:lang w:eastAsia="zh-CN"/>
        </w:rPr>
      </w:pPr>
    </w:p>
    <w:p w14:paraId="01AC7717">
      <w:pPr>
        <w:rPr>
          <w:rFonts w:hint="eastAsia"/>
          <w:color w:val="auto"/>
          <w:highlight w:val="none"/>
          <w:lang w:eastAsia="zh-CN"/>
        </w:rPr>
      </w:pPr>
    </w:p>
    <w:p w14:paraId="4542737B">
      <w:pPr>
        <w:pStyle w:val="35"/>
        <w:rPr>
          <w:rFonts w:hint="eastAsia"/>
          <w:color w:val="auto"/>
          <w:highlight w:val="none"/>
          <w:lang w:eastAsia="zh-CN"/>
        </w:rPr>
      </w:pPr>
    </w:p>
    <w:p w14:paraId="2D860E09">
      <w:pPr>
        <w:rPr>
          <w:rFonts w:hint="eastAsia"/>
          <w:color w:val="auto"/>
          <w:highlight w:val="none"/>
          <w:lang w:eastAsia="zh-CN"/>
        </w:rPr>
      </w:pPr>
    </w:p>
    <w:p w14:paraId="5779FC59">
      <w:pPr>
        <w:pStyle w:val="11"/>
        <w:rPr>
          <w:rFonts w:hint="eastAsia"/>
          <w:color w:val="auto"/>
          <w:highlight w:val="none"/>
          <w:lang w:eastAsia="zh-CN"/>
        </w:rPr>
      </w:pPr>
    </w:p>
    <w:p w14:paraId="411D3146">
      <w:pPr>
        <w:rPr>
          <w:rFonts w:hint="eastAsia"/>
          <w:color w:val="auto"/>
          <w:highlight w:val="none"/>
          <w:lang w:eastAsia="zh-CN"/>
        </w:rPr>
      </w:pPr>
    </w:p>
    <w:p w14:paraId="1D967D12">
      <w:pPr>
        <w:pStyle w:val="4"/>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eastAsia="宋体"/>
          <w:color w:val="auto"/>
          <w:sz w:val="32"/>
          <w:szCs w:val="32"/>
          <w:highlight w:val="none"/>
          <w:lang w:eastAsia="zh-CN"/>
        </w:rPr>
      </w:pPr>
      <w:bookmarkStart w:id="130" w:name="_Toc28939"/>
      <w:bookmarkStart w:id="131" w:name="_Toc31415"/>
      <w:bookmarkStart w:id="132" w:name="_Toc2989"/>
      <w:r>
        <w:rPr>
          <w:rFonts w:hint="eastAsia"/>
          <w:color w:val="auto"/>
          <w:sz w:val="32"/>
          <w:szCs w:val="32"/>
          <w:highlight w:val="none"/>
        </w:rPr>
        <w:t xml:space="preserve">第三章  </w:t>
      </w:r>
      <w:r>
        <w:rPr>
          <w:rFonts w:hint="eastAsia"/>
          <w:color w:val="auto"/>
          <w:sz w:val="32"/>
          <w:szCs w:val="32"/>
          <w:highlight w:val="none"/>
          <w:lang w:eastAsia="zh-CN"/>
        </w:rPr>
        <w:t>工程量清单</w:t>
      </w:r>
      <w:bookmarkEnd w:id="130"/>
      <w:bookmarkEnd w:id="131"/>
    </w:p>
    <w:p w14:paraId="3E23CAC6">
      <w:pPr>
        <w:adjustRightInd w:val="0"/>
        <w:spacing w:line="400" w:lineRule="exact"/>
        <w:ind w:firstLine="1205" w:firstLineChars="500"/>
        <w:rPr>
          <w:rFonts w:hint="eastAsia" w:ascii="宋体" w:hAnsi="宋体" w:eastAsia="宋体" w:cs="宋体"/>
          <w:color w:val="auto"/>
          <w:sz w:val="32"/>
          <w:szCs w:val="32"/>
          <w:highlight w:val="none"/>
          <w:lang w:eastAsia="zh-CN"/>
        </w:rPr>
      </w:pPr>
      <w:r>
        <w:rPr>
          <w:rFonts w:hint="eastAsia" w:ascii="宋体" w:hAnsi="宋体" w:cs="宋体"/>
          <w:b/>
          <w:color w:val="auto"/>
          <w:sz w:val="24"/>
          <w:szCs w:val="24"/>
          <w:highlight w:val="none"/>
        </w:rPr>
        <w:t>工程量清单（另册），是本竞争</w:t>
      </w:r>
      <w:r>
        <w:rPr>
          <w:rFonts w:hint="eastAsia" w:ascii="宋体" w:hAnsi="宋体" w:cs="宋体"/>
          <w:b/>
          <w:color w:val="auto"/>
          <w:sz w:val="24"/>
          <w:szCs w:val="24"/>
          <w:highlight w:val="none"/>
          <w:lang w:val="en-US" w:eastAsia="zh-CN"/>
        </w:rPr>
        <w:t>性磋商</w:t>
      </w:r>
      <w:r>
        <w:rPr>
          <w:rFonts w:hint="eastAsia" w:ascii="宋体" w:hAnsi="宋体" w:cs="宋体"/>
          <w:b/>
          <w:color w:val="auto"/>
          <w:sz w:val="24"/>
          <w:szCs w:val="24"/>
          <w:highlight w:val="none"/>
        </w:rPr>
        <w:t>文件的一个重要组成部分</w:t>
      </w:r>
      <w:bookmarkEnd w:id="132"/>
      <w:bookmarkStart w:id="133" w:name="_Toc17774"/>
    </w:p>
    <w:p w14:paraId="27B86B2F">
      <w:pPr>
        <w:pStyle w:val="4"/>
        <w:pageBreakBefore w:val="0"/>
        <w:widowControl w:val="0"/>
        <w:numPr>
          <w:ilvl w:val="0"/>
          <w:numId w:val="0"/>
        </w:numPr>
        <w:tabs>
          <w:tab w:val="left" w:pos="0"/>
        </w:tabs>
        <w:kinsoku/>
        <w:wordWrap/>
        <w:overflowPunct/>
        <w:topLinePunct w:val="0"/>
        <w:autoSpaceDE w:val="0"/>
        <w:autoSpaceDN w:val="0"/>
        <w:bidi w:val="0"/>
        <w:adjustRightInd w:val="0"/>
        <w:snapToGrid/>
        <w:spacing w:before="0" w:after="0" w:line="440" w:lineRule="exact"/>
        <w:jc w:val="center"/>
        <w:textAlignment w:val="auto"/>
        <w:rPr>
          <w:rFonts w:hint="eastAsia" w:ascii="宋体" w:hAnsi="宋体" w:eastAsia="宋体" w:cs="宋体"/>
          <w:color w:val="auto"/>
          <w:sz w:val="32"/>
          <w:szCs w:val="32"/>
          <w:highlight w:val="none"/>
          <w:lang w:eastAsia="zh-CN"/>
        </w:rPr>
      </w:pPr>
    </w:p>
    <w:p w14:paraId="28F0036E">
      <w:pPr>
        <w:rPr>
          <w:rFonts w:hint="eastAsia"/>
          <w:color w:val="auto"/>
          <w:highlight w:val="none"/>
          <w:lang w:eastAsia="zh-CN"/>
        </w:rPr>
      </w:pPr>
    </w:p>
    <w:p w14:paraId="4581735A">
      <w:pPr>
        <w:pStyle w:val="4"/>
        <w:pageBreakBefore w:val="0"/>
        <w:widowControl w:val="0"/>
        <w:numPr>
          <w:ilvl w:val="0"/>
          <w:numId w:val="0"/>
        </w:numPr>
        <w:tabs>
          <w:tab w:val="left" w:pos="0"/>
        </w:tabs>
        <w:kinsoku/>
        <w:wordWrap/>
        <w:overflowPunct/>
        <w:topLinePunct w:val="0"/>
        <w:autoSpaceDE w:val="0"/>
        <w:autoSpaceDN w:val="0"/>
        <w:bidi w:val="0"/>
        <w:adjustRightInd w:val="0"/>
        <w:snapToGrid/>
        <w:spacing w:before="0" w:after="0" w:line="440" w:lineRule="exact"/>
        <w:jc w:val="center"/>
        <w:textAlignment w:val="auto"/>
        <w:rPr>
          <w:rFonts w:hint="eastAsia" w:ascii="宋体" w:hAnsi="宋体" w:eastAsia="宋体" w:cs="宋体"/>
          <w:color w:val="auto"/>
          <w:sz w:val="32"/>
          <w:szCs w:val="32"/>
          <w:highlight w:val="none"/>
          <w:lang w:eastAsia="zh-CN"/>
        </w:rPr>
      </w:pPr>
    </w:p>
    <w:p w14:paraId="69DD7B8D">
      <w:pPr>
        <w:pStyle w:val="4"/>
        <w:pageBreakBefore w:val="0"/>
        <w:widowControl w:val="0"/>
        <w:numPr>
          <w:ilvl w:val="0"/>
          <w:numId w:val="0"/>
        </w:numPr>
        <w:tabs>
          <w:tab w:val="left" w:pos="0"/>
        </w:tabs>
        <w:kinsoku/>
        <w:wordWrap/>
        <w:overflowPunct/>
        <w:topLinePunct w:val="0"/>
        <w:autoSpaceDE w:val="0"/>
        <w:autoSpaceDN w:val="0"/>
        <w:bidi w:val="0"/>
        <w:adjustRightInd w:val="0"/>
        <w:snapToGrid/>
        <w:spacing w:before="0" w:after="0" w:line="440" w:lineRule="exact"/>
        <w:jc w:val="center"/>
        <w:textAlignment w:val="auto"/>
        <w:rPr>
          <w:rFonts w:hint="eastAsia" w:ascii="宋体" w:hAnsi="宋体" w:eastAsia="宋体" w:cs="宋体"/>
          <w:color w:val="auto"/>
          <w:sz w:val="32"/>
          <w:szCs w:val="32"/>
          <w:highlight w:val="none"/>
          <w:lang w:eastAsia="zh-CN"/>
        </w:rPr>
      </w:pPr>
    </w:p>
    <w:p w14:paraId="7A5F0DE0">
      <w:pPr>
        <w:pStyle w:val="4"/>
        <w:pageBreakBefore w:val="0"/>
        <w:widowControl w:val="0"/>
        <w:numPr>
          <w:ilvl w:val="0"/>
          <w:numId w:val="0"/>
        </w:numPr>
        <w:tabs>
          <w:tab w:val="left" w:pos="0"/>
        </w:tabs>
        <w:kinsoku/>
        <w:wordWrap/>
        <w:overflowPunct/>
        <w:topLinePunct w:val="0"/>
        <w:autoSpaceDE w:val="0"/>
        <w:autoSpaceDN w:val="0"/>
        <w:bidi w:val="0"/>
        <w:adjustRightInd w:val="0"/>
        <w:snapToGrid/>
        <w:spacing w:before="0" w:after="0" w:line="440" w:lineRule="exact"/>
        <w:jc w:val="center"/>
        <w:textAlignment w:val="auto"/>
        <w:rPr>
          <w:rFonts w:hint="eastAsia" w:ascii="宋体" w:hAnsi="宋体" w:eastAsia="宋体" w:cs="宋体"/>
          <w:color w:val="auto"/>
          <w:sz w:val="32"/>
          <w:szCs w:val="32"/>
          <w:highlight w:val="none"/>
          <w:lang w:eastAsia="zh-CN"/>
        </w:rPr>
      </w:pPr>
    </w:p>
    <w:p w14:paraId="6DD0B895">
      <w:pPr>
        <w:pStyle w:val="4"/>
        <w:pageBreakBefore w:val="0"/>
        <w:widowControl w:val="0"/>
        <w:numPr>
          <w:ilvl w:val="0"/>
          <w:numId w:val="0"/>
        </w:numPr>
        <w:tabs>
          <w:tab w:val="left" w:pos="0"/>
        </w:tabs>
        <w:kinsoku/>
        <w:wordWrap/>
        <w:overflowPunct/>
        <w:topLinePunct w:val="0"/>
        <w:autoSpaceDE w:val="0"/>
        <w:autoSpaceDN w:val="0"/>
        <w:bidi w:val="0"/>
        <w:adjustRightInd w:val="0"/>
        <w:snapToGrid/>
        <w:spacing w:before="0" w:after="0" w:line="440" w:lineRule="exact"/>
        <w:jc w:val="center"/>
        <w:textAlignment w:val="auto"/>
        <w:rPr>
          <w:rFonts w:hint="eastAsia" w:ascii="宋体" w:hAnsi="宋体" w:eastAsia="宋体" w:cs="宋体"/>
          <w:color w:val="auto"/>
          <w:sz w:val="32"/>
          <w:szCs w:val="32"/>
          <w:highlight w:val="none"/>
          <w:lang w:eastAsia="zh-CN"/>
        </w:rPr>
      </w:pPr>
    </w:p>
    <w:p w14:paraId="386DA1C0">
      <w:pPr>
        <w:pStyle w:val="4"/>
        <w:pageBreakBefore w:val="0"/>
        <w:widowControl w:val="0"/>
        <w:numPr>
          <w:ilvl w:val="0"/>
          <w:numId w:val="0"/>
        </w:numPr>
        <w:tabs>
          <w:tab w:val="left" w:pos="0"/>
        </w:tabs>
        <w:kinsoku/>
        <w:wordWrap/>
        <w:overflowPunct/>
        <w:topLinePunct w:val="0"/>
        <w:autoSpaceDE w:val="0"/>
        <w:autoSpaceDN w:val="0"/>
        <w:bidi w:val="0"/>
        <w:adjustRightInd w:val="0"/>
        <w:snapToGrid/>
        <w:spacing w:before="0" w:after="0" w:line="440" w:lineRule="exact"/>
        <w:jc w:val="center"/>
        <w:textAlignment w:val="auto"/>
        <w:rPr>
          <w:rFonts w:hint="eastAsia" w:ascii="宋体" w:hAnsi="宋体" w:eastAsia="宋体" w:cs="宋体"/>
          <w:color w:val="auto"/>
          <w:sz w:val="32"/>
          <w:szCs w:val="32"/>
          <w:highlight w:val="none"/>
          <w:lang w:eastAsia="zh-CN"/>
        </w:rPr>
      </w:pPr>
    </w:p>
    <w:p w14:paraId="0F04C6F5">
      <w:pPr>
        <w:pStyle w:val="4"/>
        <w:pageBreakBefore w:val="0"/>
        <w:widowControl w:val="0"/>
        <w:numPr>
          <w:ilvl w:val="0"/>
          <w:numId w:val="0"/>
        </w:numPr>
        <w:tabs>
          <w:tab w:val="left" w:pos="0"/>
        </w:tabs>
        <w:kinsoku/>
        <w:wordWrap/>
        <w:overflowPunct/>
        <w:topLinePunct w:val="0"/>
        <w:autoSpaceDE w:val="0"/>
        <w:autoSpaceDN w:val="0"/>
        <w:bidi w:val="0"/>
        <w:adjustRightInd w:val="0"/>
        <w:snapToGrid/>
        <w:spacing w:before="0" w:after="0" w:line="440" w:lineRule="exact"/>
        <w:jc w:val="center"/>
        <w:textAlignment w:val="auto"/>
        <w:rPr>
          <w:rFonts w:hint="eastAsia" w:ascii="宋体" w:hAnsi="宋体" w:eastAsia="宋体" w:cs="宋体"/>
          <w:color w:val="auto"/>
          <w:sz w:val="32"/>
          <w:szCs w:val="32"/>
          <w:highlight w:val="none"/>
          <w:lang w:eastAsia="zh-CN"/>
        </w:rPr>
      </w:pPr>
    </w:p>
    <w:p w14:paraId="62B26E48">
      <w:pPr>
        <w:pStyle w:val="4"/>
        <w:pageBreakBefore w:val="0"/>
        <w:widowControl w:val="0"/>
        <w:numPr>
          <w:ilvl w:val="0"/>
          <w:numId w:val="0"/>
        </w:numPr>
        <w:tabs>
          <w:tab w:val="left" w:pos="0"/>
        </w:tabs>
        <w:kinsoku/>
        <w:wordWrap/>
        <w:overflowPunct/>
        <w:topLinePunct w:val="0"/>
        <w:autoSpaceDE w:val="0"/>
        <w:autoSpaceDN w:val="0"/>
        <w:bidi w:val="0"/>
        <w:adjustRightInd w:val="0"/>
        <w:snapToGrid/>
        <w:spacing w:before="0" w:after="0" w:line="440" w:lineRule="exact"/>
        <w:jc w:val="center"/>
        <w:textAlignment w:val="auto"/>
        <w:rPr>
          <w:rFonts w:hint="eastAsia" w:ascii="宋体" w:hAnsi="宋体" w:eastAsia="宋体" w:cs="宋体"/>
          <w:color w:val="auto"/>
          <w:sz w:val="32"/>
          <w:szCs w:val="32"/>
          <w:highlight w:val="none"/>
          <w:lang w:eastAsia="zh-CN"/>
        </w:rPr>
      </w:pPr>
    </w:p>
    <w:p w14:paraId="54112EDD">
      <w:pPr>
        <w:pStyle w:val="4"/>
        <w:pageBreakBefore w:val="0"/>
        <w:widowControl w:val="0"/>
        <w:numPr>
          <w:ilvl w:val="0"/>
          <w:numId w:val="0"/>
        </w:numPr>
        <w:tabs>
          <w:tab w:val="left" w:pos="0"/>
        </w:tabs>
        <w:kinsoku/>
        <w:wordWrap/>
        <w:overflowPunct/>
        <w:topLinePunct w:val="0"/>
        <w:autoSpaceDE w:val="0"/>
        <w:autoSpaceDN w:val="0"/>
        <w:bidi w:val="0"/>
        <w:adjustRightInd w:val="0"/>
        <w:snapToGrid/>
        <w:spacing w:before="0" w:after="0" w:line="440" w:lineRule="exact"/>
        <w:jc w:val="center"/>
        <w:textAlignment w:val="auto"/>
        <w:rPr>
          <w:rFonts w:hint="eastAsia" w:ascii="宋体" w:hAnsi="宋体" w:eastAsia="宋体" w:cs="宋体"/>
          <w:color w:val="auto"/>
          <w:sz w:val="32"/>
          <w:szCs w:val="32"/>
          <w:highlight w:val="none"/>
          <w:lang w:eastAsia="zh-CN"/>
        </w:rPr>
      </w:pPr>
    </w:p>
    <w:p w14:paraId="42F850E3">
      <w:pPr>
        <w:pStyle w:val="4"/>
        <w:pageBreakBefore w:val="0"/>
        <w:widowControl w:val="0"/>
        <w:numPr>
          <w:ilvl w:val="0"/>
          <w:numId w:val="0"/>
        </w:numPr>
        <w:tabs>
          <w:tab w:val="left" w:pos="0"/>
        </w:tabs>
        <w:kinsoku/>
        <w:wordWrap/>
        <w:overflowPunct/>
        <w:topLinePunct w:val="0"/>
        <w:autoSpaceDE w:val="0"/>
        <w:autoSpaceDN w:val="0"/>
        <w:bidi w:val="0"/>
        <w:adjustRightInd w:val="0"/>
        <w:snapToGrid/>
        <w:spacing w:before="0" w:after="0" w:line="440" w:lineRule="exact"/>
        <w:jc w:val="center"/>
        <w:textAlignment w:val="auto"/>
        <w:rPr>
          <w:rFonts w:hint="eastAsia" w:ascii="宋体" w:hAnsi="宋体" w:eastAsia="宋体" w:cs="宋体"/>
          <w:color w:val="auto"/>
          <w:sz w:val="32"/>
          <w:szCs w:val="32"/>
          <w:highlight w:val="none"/>
          <w:lang w:eastAsia="zh-CN"/>
        </w:rPr>
      </w:pPr>
    </w:p>
    <w:p w14:paraId="20046C8A">
      <w:pPr>
        <w:pStyle w:val="4"/>
        <w:pageBreakBefore w:val="0"/>
        <w:widowControl w:val="0"/>
        <w:numPr>
          <w:ilvl w:val="0"/>
          <w:numId w:val="0"/>
        </w:numPr>
        <w:tabs>
          <w:tab w:val="left" w:pos="0"/>
        </w:tabs>
        <w:kinsoku/>
        <w:wordWrap/>
        <w:overflowPunct/>
        <w:topLinePunct w:val="0"/>
        <w:autoSpaceDE w:val="0"/>
        <w:autoSpaceDN w:val="0"/>
        <w:bidi w:val="0"/>
        <w:adjustRightInd w:val="0"/>
        <w:snapToGrid/>
        <w:spacing w:before="0" w:after="0" w:line="440" w:lineRule="exact"/>
        <w:jc w:val="center"/>
        <w:textAlignment w:val="auto"/>
        <w:rPr>
          <w:rFonts w:hint="eastAsia" w:ascii="宋体" w:hAnsi="宋体" w:eastAsia="宋体" w:cs="宋体"/>
          <w:color w:val="auto"/>
          <w:sz w:val="32"/>
          <w:szCs w:val="32"/>
          <w:highlight w:val="none"/>
          <w:lang w:eastAsia="zh-CN"/>
        </w:rPr>
      </w:pPr>
    </w:p>
    <w:p w14:paraId="6E7FE6D9">
      <w:pPr>
        <w:pStyle w:val="4"/>
        <w:pageBreakBefore w:val="0"/>
        <w:widowControl w:val="0"/>
        <w:numPr>
          <w:ilvl w:val="0"/>
          <w:numId w:val="0"/>
        </w:numPr>
        <w:tabs>
          <w:tab w:val="left" w:pos="0"/>
        </w:tabs>
        <w:kinsoku/>
        <w:wordWrap/>
        <w:overflowPunct/>
        <w:topLinePunct w:val="0"/>
        <w:autoSpaceDE w:val="0"/>
        <w:autoSpaceDN w:val="0"/>
        <w:bidi w:val="0"/>
        <w:adjustRightInd w:val="0"/>
        <w:snapToGrid/>
        <w:spacing w:before="0" w:after="0" w:line="440" w:lineRule="exact"/>
        <w:jc w:val="center"/>
        <w:textAlignment w:val="auto"/>
        <w:rPr>
          <w:rFonts w:hint="eastAsia" w:ascii="宋体" w:hAnsi="宋体" w:eastAsia="宋体" w:cs="宋体"/>
          <w:color w:val="auto"/>
          <w:sz w:val="32"/>
          <w:szCs w:val="32"/>
          <w:highlight w:val="none"/>
          <w:lang w:eastAsia="zh-CN"/>
        </w:rPr>
      </w:pPr>
    </w:p>
    <w:p w14:paraId="26BB9B66">
      <w:pPr>
        <w:pStyle w:val="4"/>
        <w:pageBreakBefore w:val="0"/>
        <w:widowControl w:val="0"/>
        <w:numPr>
          <w:ilvl w:val="0"/>
          <w:numId w:val="0"/>
        </w:numPr>
        <w:tabs>
          <w:tab w:val="left" w:pos="0"/>
        </w:tabs>
        <w:kinsoku/>
        <w:wordWrap/>
        <w:overflowPunct/>
        <w:topLinePunct w:val="0"/>
        <w:autoSpaceDE w:val="0"/>
        <w:autoSpaceDN w:val="0"/>
        <w:bidi w:val="0"/>
        <w:adjustRightInd w:val="0"/>
        <w:snapToGrid/>
        <w:spacing w:before="0" w:after="0" w:line="440" w:lineRule="exact"/>
        <w:jc w:val="center"/>
        <w:textAlignment w:val="auto"/>
        <w:rPr>
          <w:rFonts w:hint="eastAsia" w:ascii="宋体" w:hAnsi="宋体" w:eastAsia="宋体" w:cs="宋体"/>
          <w:color w:val="auto"/>
          <w:sz w:val="32"/>
          <w:szCs w:val="32"/>
          <w:highlight w:val="none"/>
          <w:lang w:eastAsia="zh-CN"/>
        </w:rPr>
      </w:pPr>
    </w:p>
    <w:p w14:paraId="74698B75">
      <w:pPr>
        <w:pStyle w:val="4"/>
        <w:pageBreakBefore w:val="0"/>
        <w:widowControl w:val="0"/>
        <w:numPr>
          <w:ilvl w:val="0"/>
          <w:numId w:val="0"/>
        </w:numPr>
        <w:tabs>
          <w:tab w:val="left" w:pos="0"/>
        </w:tabs>
        <w:kinsoku/>
        <w:wordWrap/>
        <w:overflowPunct/>
        <w:topLinePunct w:val="0"/>
        <w:autoSpaceDE w:val="0"/>
        <w:autoSpaceDN w:val="0"/>
        <w:bidi w:val="0"/>
        <w:adjustRightInd w:val="0"/>
        <w:snapToGrid/>
        <w:spacing w:before="0" w:after="0" w:line="440" w:lineRule="exact"/>
        <w:jc w:val="center"/>
        <w:textAlignment w:val="auto"/>
        <w:rPr>
          <w:rFonts w:hint="eastAsia" w:ascii="宋体" w:hAnsi="宋体" w:eastAsia="宋体" w:cs="宋体"/>
          <w:color w:val="auto"/>
          <w:sz w:val="32"/>
          <w:szCs w:val="32"/>
          <w:highlight w:val="none"/>
          <w:lang w:eastAsia="zh-CN"/>
        </w:rPr>
      </w:pPr>
    </w:p>
    <w:p w14:paraId="5FB6C1DF">
      <w:pPr>
        <w:pStyle w:val="4"/>
        <w:pageBreakBefore w:val="0"/>
        <w:widowControl w:val="0"/>
        <w:numPr>
          <w:ilvl w:val="0"/>
          <w:numId w:val="0"/>
        </w:numPr>
        <w:tabs>
          <w:tab w:val="left" w:pos="0"/>
        </w:tabs>
        <w:kinsoku/>
        <w:wordWrap/>
        <w:overflowPunct/>
        <w:topLinePunct w:val="0"/>
        <w:autoSpaceDE w:val="0"/>
        <w:autoSpaceDN w:val="0"/>
        <w:bidi w:val="0"/>
        <w:adjustRightInd w:val="0"/>
        <w:snapToGrid/>
        <w:spacing w:before="0" w:after="0" w:line="440" w:lineRule="exact"/>
        <w:jc w:val="center"/>
        <w:textAlignment w:val="auto"/>
        <w:rPr>
          <w:rFonts w:hint="eastAsia" w:ascii="宋体" w:hAnsi="宋体" w:eastAsia="宋体" w:cs="宋体"/>
          <w:color w:val="auto"/>
          <w:sz w:val="32"/>
          <w:szCs w:val="32"/>
          <w:highlight w:val="none"/>
          <w:lang w:eastAsia="zh-CN"/>
        </w:rPr>
      </w:pPr>
    </w:p>
    <w:p w14:paraId="5333FB3E">
      <w:pPr>
        <w:pStyle w:val="4"/>
        <w:pageBreakBefore w:val="0"/>
        <w:widowControl w:val="0"/>
        <w:numPr>
          <w:ilvl w:val="0"/>
          <w:numId w:val="0"/>
        </w:numPr>
        <w:tabs>
          <w:tab w:val="left" w:pos="0"/>
        </w:tabs>
        <w:kinsoku/>
        <w:wordWrap/>
        <w:overflowPunct/>
        <w:topLinePunct w:val="0"/>
        <w:autoSpaceDE w:val="0"/>
        <w:autoSpaceDN w:val="0"/>
        <w:bidi w:val="0"/>
        <w:adjustRightInd w:val="0"/>
        <w:snapToGrid/>
        <w:spacing w:before="0" w:after="0" w:line="440" w:lineRule="exact"/>
        <w:jc w:val="center"/>
        <w:textAlignment w:val="auto"/>
        <w:rPr>
          <w:rFonts w:hint="eastAsia" w:ascii="宋体" w:hAnsi="宋体" w:eastAsia="宋体" w:cs="宋体"/>
          <w:color w:val="auto"/>
          <w:sz w:val="32"/>
          <w:szCs w:val="32"/>
          <w:highlight w:val="none"/>
          <w:lang w:eastAsia="zh-CN"/>
        </w:rPr>
      </w:pPr>
    </w:p>
    <w:p w14:paraId="3CF9368F">
      <w:pPr>
        <w:pStyle w:val="4"/>
        <w:pageBreakBefore w:val="0"/>
        <w:widowControl w:val="0"/>
        <w:numPr>
          <w:ilvl w:val="0"/>
          <w:numId w:val="0"/>
        </w:numPr>
        <w:tabs>
          <w:tab w:val="left" w:pos="0"/>
        </w:tabs>
        <w:kinsoku/>
        <w:wordWrap/>
        <w:overflowPunct/>
        <w:topLinePunct w:val="0"/>
        <w:autoSpaceDE w:val="0"/>
        <w:autoSpaceDN w:val="0"/>
        <w:bidi w:val="0"/>
        <w:adjustRightInd w:val="0"/>
        <w:snapToGrid/>
        <w:spacing w:before="0" w:after="0" w:line="440" w:lineRule="exact"/>
        <w:jc w:val="center"/>
        <w:textAlignment w:val="auto"/>
        <w:rPr>
          <w:rFonts w:hint="eastAsia" w:ascii="宋体" w:hAnsi="宋体" w:eastAsia="宋体" w:cs="宋体"/>
          <w:color w:val="auto"/>
          <w:sz w:val="32"/>
          <w:szCs w:val="32"/>
          <w:highlight w:val="none"/>
          <w:lang w:eastAsia="zh-CN"/>
        </w:rPr>
      </w:pPr>
    </w:p>
    <w:p w14:paraId="699A874C">
      <w:pPr>
        <w:pStyle w:val="4"/>
        <w:pageBreakBefore w:val="0"/>
        <w:widowControl w:val="0"/>
        <w:numPr>
          <w:ilvl w:val="0"/>
          <w:numId w:val="0"/>
        </w:numPr>
        <w:tabs>
          <w:tab w:val="left" w:pos="0"/>
        </w:tabs>
        <w:kinsoku/>
        <w:wordWrap/>
        <w:overflowPunct/>
        <w:topLinePunct w:val="0"/>
        <w:autoSpaceDE w:val="0"/>
        <w:autoSpaceDN w:val="0"/>
        <w:bidi w:val="0"/>
        <w:adjustRightInd w:val="0"/>
        <w:snapToGrid/>
        <w:spacing w:before="0" w:after="0" w:line="440" w:lineRule="exact"/>
        <w:jc w:val="center"/>
        <w:textAlignment w:val="auto"/>
        <w:rPr>
          <w:rFonts w:hint="eastAsia" w:ascii="宋体" w:hAnsi="宋体" w:eastAsia="宋体" w:cs="宋体"/>
          <w:color w:val="auto"/>
          <w:sz w:val="32"/>
          <w:szCs w:val="32"/>
          <w:highlight w:val="none"/>
          <w:lang w:eastAsia="zh-CN"/>
        </w:rPr>
      </w:pPr>
    </w:p>
    <w:p w14:paraId="50CC3BEF">
      <w:pPr>
        <w:pStyle w:val="4"/>
        <w:pageBreakBefore w:val="0"/>
        <w:widowControl w:val="0"/>
        <w:numPr>
          <w:ilvl w:val="0"/>
          <w:numId w:val="0"/>
        </w:numPr>
        <w:tabs>
          <w:tab w:val="left" w:pos="0"/>
        </w:tabs>
        <w:kinsoku/>
        <w:wordWrap/>
        <w:overflowPunct/>
        <w:topLinePunct w:val="0"/>
        <w:autoSpaceDE w:val="0"/>
        <w:autoSpaceDN w:val="0"/>
        <w:bidi w:val="0"/>
        <w:adjustRightInd w:val="0"/>
        <w:snapToGrid/>
        <w:spacing w:before="0" w:after="0" w:line="440" w:lineRule="exact"/>
        <w:jc w:val="center"/>
        <w:textAlignment w:val="auto"/>
        <w:rPr>
          <w:rFonts w:hint="eastAsia" w:ascii="宋体" w:hAnsi="宋体" w:eastAsia="宋体" w:cs="宋体"/>
          <w:color w:val="auto"/>
          <w:sz w:val="32"/>
          <w:szCs w:val="32"/>
          <w:highlight w:val="none"/>
          <w:lang w:eastAsia="zh-CN"/>
        </w:rPr>
      </w:pPr>
    </w:p>
    <w:p w14:paraId="1246CDEB">
      <w:pPr>
        <w:pStyle w:val="4"/>
        <w:pageBreakBefore w:val="0"/>
        <w:widowControl w:val="0"/>
        <w:numPr>
          <w:ilvl w:val="0"/>
          <w:numId w:val="0"/>
        </w:numPr>
        <w:tabs>
          <w:tab w:val="left" w:pos="0"/>
        </w:tabs>
        <w:kinsoku/>
        <w:wordWrap/>
        <w:overflowPunct/>
        <w:topLinePunct w:val="0"/>
        <w:autoSpaceDE w:val="0"/>
        <w:autoSpaceDN w:val="0"/>
        <w:bidi w:val="0"/>
        <w:adjustRightInd w:val="0"/>
        <w:snapToGrid/>
        <w:spacing w:before="0" w:after="0" w:line="440" w:lineRule="exact"/>
        <w:jc w:val="center"/>
        <w:textAlignment w:val="auto"/>
        <w:rPr>
          <w:rFonts w:hint="eastAsia" w:ascii="宋体" w:hAnsi="宋体" w:eastAsia="宋体" w:cs="宋体"/>
          <w:color w:val="auto"/>
          <w:sz w:val="32"/>
          <w:szCs w:val="32"/>
          <w:highlight w:val="none"/>
          <w:lang w:eastAsia="zh-CN"/>
        </w:rPr>
      </w:pPr>
    </w:p>
    <w:p w14:paraId="5360AED8">
      <w:pPr>
        <w:pStyle w:val="4"/>
        <w:pageBreakBefore w:val="0"/>
        <w:widowControl w:val="0"/>
        <w:numPr>
          <w:ilvl w:val="0"/>
          <w:numId w:val="0"/>
        </w:numPr>
        <w:tabs>
          <w:tab w:val="left" w:pos="0"/>
        </w:tabs>
        <w:kinsoku/>
        <w:wordWrap/>
        <w:overflowPunct/>
        <w:topLinePunct w:val="0"/>
        <w:autoSpaceDE w:val="0"/>
        <w:autoSpaceDN w:val="0"/>
        <w:bidi w:val="0"/>
        <w:adjustRightInd w:val="0"/>
        <w:snapToGrid/>
        <w:spacing w:before="0" w:after="0" w:line="440" w:lineRule="exact"/>
        <w:jc w:val="center"/>
        <w:textAlignment w:val="auto"/>
        <w:rPr>
          <w:rFonts w:hint="eastAsia" w:ascii="宋体" w:hAnsi="宋体" w:eastAsia="宋体" w:cs="宋体"/>
          <w:color w:val="auto"/>
          <w:sz w:val="32"/>
          <w:szCs w:val="32"/>
          <w:highlight w:val="none"/>
          <w:lang w:eastAsia="zh-CN"/>
        </w:rPr>
      </w:pPr>
    </w:p>
    <w:p w14:paraId="540AE417">
      <w:pPr>
        <w:pStyle w:val="4"/>
        <w:pageBreakBefore w:val="0"/>
        <w:widowControl w:val="0"/>
        <w:numPr>
          <w:ilvl w:val="0"/>
          <w:numId w:val="0"/>
        </w:numPr>
        <w:tabs>
          <w:tab w:val="left" w:pos="0"/>
        </w:tabs>
        <w:kinsoku/>
        <w:wordWrap/>
        <w:overflowPunct/>
        <w:topLinePunct w:val="0"/>
        <w:autoSpaceDE w:val="0"/>
        <w:autoSpaceDN w:val="0"/>
        <w:bidi w:val="0"/>
        <w:adjustRightInd w:val="0"/>
        <w:snapToGrid/>
        <w:spacing w:before="0" w:after="0" w:line="440" w:lineRule="exact"/>
        <w:jc w:val="center"/>
        <w:textAlignment w:val="auto"/>
        <w:rPr>
          <w:rFonts w:hint="eastAsia" w:ascii="宋体" w:hAnsi="宋体" w:eastAsia="宋体" w:cs="宋体"/>
          <w:color w:val="auto"/>
          <w:sz w:val="32"/>
          <w:szCs w:val="32"/>
          <w:highlight w:val="none"/>
          <w:lang w:eastAsia="zh-CN"/>
        </w:rPr>
      </w:pPr>
    </w:p>
    <w:p w14:paraId="5C1B175D">
      <w:pPr>
        <w:pStyle w:val="4"/>
        <w:pageBreakBefore w:val="0"/>
        <w:widowControl w:val="0"/>
        <w:numPr>
          <w:ilvl w:val="0"/>
          <w:numId w:val="0"/>
        </w:numPr>
        <w:tabs>
          <w:tab w:val="left" w:pos="0"/>
        </w:tabs>
        <w:kinsoku/>
        <w:wordWrap/>
        <w:overflowPunct/>
        <w:topLinePunct w:val="0"/>
        <w:autoSpaceDE w:val="0"/>
        <w:autoSpaceDN w:val="0"/>
        <w:bidi w:val="0"/>
        <w:adjustRightInd w:val="0"/>
        <w:snapToGrid/>
        <w:spacing w:before="0" w:after="0" w:line="440" w:lineRule="exact"/>
        <w:jc w:val="center"/>
        <w:textAlignment w:val="auto"/>
        <w:rPr>
          <w:rFonts w:hint="eastAsia" w:ascii="宋体" w:hAnsi="宋体" w:eastAsia="宋体" w:cs="宋体"/>
          <w:color w:val="auto"/>
          <w:sz w:val="32"/>
          <w:szCs w:val="32"/>
          <w:highlight w:val="none"/>
          <w:lang w:eastAsia="zh-CN"/>
        </w:rPr>
      </w:pPr>
    </w:p>
    <w:p w14:paraId="6080B61B">
      <w:pPr>
        <w:pStyle w:val="4"/>
        <w:pageBreakBefore w:val="0"/>
        <w:widowControl w:val="0"/>
        <w:numPr>
          <w:ilvl w:val="0"/>
          <w:numId w:val="0"/>
        </w:numPr>
        <w:tabs>
          <w:tab w:val="left" w:pos="0"/>
        </w:tabs>
        <w:kinsoku/>
        <w:wordWrap/>
        <w:overflowPunct/>
        <w:topLinePunct w:val="0"/>
        <w:autoSpaceDE w:val="0"/>
        <w:autoSpaceDN w:val="0"/>
        <w:bidi w:val="0"/>
        <w:adjustRightInd w:val="0"/>
        <w:snapToGrid/>
        <w:spacing w:before="0" w:after="0" w:line="440" w:lineRule="exact"/>
        <w:jc w:val="center"/>
        <w:textAlignment w:val="auto"/>
        <w:rPr>
          <w:rFonts w:hint="eastAsia" w:ascii="宋体" w:hAnsi="宋体" w:eastAsia="宋体" w:cs="宋体"/>
          <w:color w:val="auto"/>
          <w:sz w:val="32"/>
          <w:szCs w:val="32"/>
          <w:highlight w:val="none"/>
          <w:lang w:eastAsia="zh-CN"/>
        </w:rPr>
      </w:pPr>
    </w:p>
    <w:p w14:paraId="6D7433A1">
      <w:pPr>
        <w:pStyle w:val="4"/>
        <w:pageBreakBefore w:val="0"/>
        <w:widowControl w:val="0"/>
        <w:numPr>
          <w:ilvl w:val="0"/>
          <w:numId w:val="0"/>
        </w:numPr>
        <w:tabs>
          <w:tab w:val="left" w:pos="0"/>
        </w:tabs>
        <w:kinsoku/>
        <w:wordWrap/>
        <w:overflowPunct/>
        <w:topLinePunct w:val="0"/>
        <w:autoSpaceDE w:val="0"/>
        <w:autoSpaceDN w:val="0"/>
        <w:bidi w:val="0"/>
        <w:adjustRightInd w:val="0"/>
        <w:snapToGrid/>
        <w:spacing w:before="0" w:after="0" w:line="440" w:lineRule="exact"/>
        <w:jc w:val="center"/>
        <w:textAlignment w:val="auto"/>
        <w:rPr>
          <w:rFonts w:hint="eastAsia" w:ascii="宋体" w:hAnsi="宋体" w:eastAsia="宋体" w:cs="宋体"/>
          <w:color w:val="auto"/>
          <w:sz w:val="32"/>
          <w:szCs w:val="32"/>
          <w:highlight w:val="none"/>
          <w:lang w:eastAsia="zh-CN"/>
        </w:rPr>
      </w:pPr>
    </w:p>
    <w:p w14:paraId="126CE679">
      <w:pPr>
        <w:pStyle w:val="4"/>
        <w:pageBreakBefore w:val="0"/>
        <w:widowControl w:val="0"/>
        <w:numPr>
          <w:ilvl w:val="0"/>
          <w:numId w:val="0"/>
        </w:numPr>
        <w:tabs>
          <w:tab w:val="left" w:pos="0"/>
        </w:tabs>
        <w:kinsoku/>
        <w:wordWrap/>
        <w:overflowPunct/>
        <w:topLinePunct w:val="0"/>
        <w:autoSpaceDE w:val="0"/>
        <w:autoSpaceDN w:val="0"/>
        <w:bidi w:val="0"/>
        <w:adjustRightInd w:val="0"/>
        <w:snapToGrid/>
        <w:spacing w:before="0" w:after="0" w:line="440" w:lineRule="exact"/>
        <w:jc w:val="center"/>
        <w:textAlignment w:val="auto"/>
        <w:rPr>
          <w:rFonts w:hint="eastAsia" w:ascii="宋体" w:hAnsi="宋体" w:eastAsia="宋体" w:cs="宋体"/>
          <w:color w:val="auto"/>
          <w:sz w:val="32"/>
          <w:szCs w:val="32"/>
          <w:highlight w:val="none"/>
          <w:lang w:eastAsia="zh-CN"/>
        </w:rPr>
      </w:pPr>
    </w:p>
    <w:p w14:paraId="36A24AD9">
      <w:pPr>
        <w:rPr>
          <w:rFonts w:hint="eastAsia" w:ascii="宋体" w:hAnsi="宋体" w:eastAsia="宋体" w:cs="宋体"/>
          <w:color w:val="auto"/>
          <w:sz w:val="32"/>
          <w:szCs w:val="32"/>
          <w:highlight w:val="none"/>
          <w:lang w:eastAsia="zh-CN"/>
        </w:rPr>
      </w:pPr>
    </w:p>
    <w:p w14:paraId="114D3892">
      <w:pPr>
        <w:pStyle w:val="11"/>
        <w:rPr>
          <w:rFonts w:hint="eastAsia"/>
          <w:lang w:eastAsia="zh-CN"/>
        </w:rPr>
      </w:pPr>
    </w:p>
    <w:p w14:paraId="62FB30F6">
      <w:pPr>
        <w:rPr>
          <w:rFonts w:hint="eastAsia"/>
          <w:color w:val="auto"/>
          <w:highlight w:val="none"/>
          <w:lang w:eastAsia="zh-CN"/>
        </w:rPr>
      </w:pPr>
    </w:p>
    <w:p w14:paraId="5A023482">
      <w:pPr>
        <w:pStyle w:val="4"/>
        <w:pageBreakBefore w:val="0"/>
        <w:widowControl w:val="0"/>
        <w:numPr>
          <w:ilvl w:val="0"/>
          <w:numId w:val="0"/>
        </w:numPr>
        <w:tabs>
          <w:tab w:val="left" w:pos="0"/>
        </w:tabs>
        <w:kinsoku/>
        <w:wordWrap/>
        <w:overflowPunct/>
        <w:topLinePunct w:val="0"/>
        <w:autoSpaceDE w:val="0"/>
        <w:autoSpaceDN w:val="0"/>
        <w:bidi w:val="0"/>
        <w:adjustRightInd w:val="0"/>
        <w:snapToGrid/>
        <w:spacing w:before="0" w:after="0" w:line="440" w:lineRule="exact"/>
        <w:jc w:val="center"/>
        <w:textAlignment w:val="auto"/>
        <w:rPr>
          <w:rFonts w:hint="eastAsia" w:ascii="宋体" w:hAnsi="宋体" w:eastAsia="宋体" w:cs="宋体"/>
          <w:b/>
          <w:bCs/>
          <w:color w:val="auto"/>
          <w:highlight w:val="none"/>
        </w:rPr>
      </w:pPr>
      <w:r>
        <w:rPr>
          <w:rFonts w:hint="eastAsia" w:ascii="宋体" w:hAnsi="宋体" w:eastAsia="宋体" w:cs="宋体"/>
          <w:color w:val="auto"/>
          <w:sz w:val="32"/>
          <w:szCs w:val="32"/>
          <w:highlight w:val="none"/>
          <w:lang w:eastAsia="zh-CN"/>
        </w:rPr>
        <w:t>第四章</w:t>
      </w:r>
      <w:r>
        <w:rPr>
          <w:rFonts w:hint="eastAsia" w:ascii="宋体" w:hAnsi="宋体" w:eastAsia="宋体" w:cs="宋体"/>
          <w:color w:val="auto"/>
          <w:sz w:val="32"/>
          <w:szCs w:val="32"/>
          <w:highlight w:val="none"/>
          <w:lang w:val="en-US" w:eastAsia="zh-CN"/>
        </w:rPr>
        <w:t xml:space="preserve"> </w:t>
      </w:r>
      <w:r>
        <w:rPr>
          <w:rFonts w:hint="eastAsia" w:ascii="宋体" w:hAnsi="宋体" w:eastAsia="宋体" w:cs="宋体"/>
          <w:color w:val="auto"/>
          <w:sz w:val="32"/>
          <w:szCs w:val="32"/>
          <w:highlight w:val="none"/>
        </w:rPr>
        <w:t>评审办法</w:t>
      </w:r>
      <w:bookmarkEnd w:id="133"/>
    </w:p>
    <w:p w14:paraId="6668375E">
      <w:pPr>
        <w:pStyle w:val="14"/>
        <w:pageBreakBefore w:val="0"/>
        <w:widowControl w:val="0"/>
        <w:kinsoku/>
        <w:wordWrap/>
        <w:overflowPunct/>
        <w:topLinePunct w:val="0"/>
        <w:bidi w:val="0"/>
        <w:snapToGrid/>
        <w:spacing w:line="440" w:lineRule="exact"/>
        <w:ind w:firstLine="422" w:firstLineChars="20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一、评审依据及方式</w:t>
      </w:r>
    </w:p>
    <w:p w14:paraId="2BAB4BD4">
      <w:pPr>
        <w:pStyle w:val="14"/>
        <w:pageBreakBefore w:val="0"/>
        <w:widowControl w:val="0"/>
        <w:kinsoku/>
        <w:wordWrap/>
        <w:overflowPunct/>
        <w:topLinePunct w:val="0"/>
        <w:bidi w:val="0"/>
        <w:snapToGrid/>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1.评审依据：磋商小组以竞争性磋商文件和响应文件为评审依据，</w:t>
      </w:r>
      <w:r>
        <w:rPr>
          <w:rFonts w:hint="eastAsia" w:ascii="宋体" w:hAnsi="宋体" w:eastAsia="宋体" w:cs="宋体"/>
          <w:color w:val="auto"/>
          <w:highlight w:val="none"/>
          <w:lang w:val="en-US" w:eastAsia="zh-CN"/>
        </w:rPr>
        <w:t>对磋商供应商的响应文件按百分制打分</w:t>
      </w:r>
      <w:r>
        <w:rPr>
          <w:rFonts w:hint="eastAsia" w:ascii="宋体" w:hAnsi="宋体" w:eastAsia="宋体" w:cs="宋体"/>
          <w:color w:val="auto"/>
          <w:highlight w:val="none"/>
        </w:rPr>
        <w:t>。</w:t>
      </w:r>
    </w:p>
    <w:p w14:paraId="0CAACB1C">
      <w:pPr>
        <w:pStyle w:val="14"/>
        <w:pageBreakBefore w:val="0"/>
        <w:widowControl w:val="0"/>
        <w:kinsoku/>
        <w:wordWrap/>
        <w:overflowPunct/>
        <w:topLinePunct w:val="0"/>
        <w:bidi w:val="0"/>
        <w:snapToGrid/>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2.评审方式：以封闭方式进行评审。</w:t>
      </w:r>
    </w:p>
    <w:p w14:paraId="60745855">
      <w:pPr>
        <w:pStyle w:val="14"/>
        <w:pageBreakBefore w:val="0"/>
        <w:widowControl w:val="0"/>
        <w:kinsoku/>
        <w:wordWrap/>
        <w:overflowPunct/>
        <w:topLinePunct w:val="0"/>
        <w:bidi w:val="0"/>
        <w:snapToGrid/>
        <w:spacing w:line="440" w:lineRule="exact"/>
        <w:ind w:left="210" w:leftChars="100" w:firstLine="210" w:firstLineChars="100"/>
        <w:textAlignment w:val="auto"/>
        <w:rPr>
          <w:rFonts w:hint="eastAsia" w:ascii="宋体" w:hAnsi="宋体" w:eastAsia="宋体" w:cs="宋体"/>
          <w:color w:val="auto"/>
          <w:highlight w:val="none"/>
        </w:rPr>
      </w:pPr>
      <w:r>
        <w:rPr>
          <w:rFonts w:hint="eastAsia" w:ascii="宋体" w:hAnsi="宋体" w:eastAsia="宋体" w:cs="宋体"/>
          <w:color w:val="auto"/>
          <w:highlight w:val="none"/>
        </w:rPr>
        <w:t>3.根据财库〔2012〕69号文规定，采购人和采购代理机构，磋商小组成员要严格遵守政府采购相关法律制度，依法履行各自职责，公正、客观、审慎地组织和参与评审工作。</w:t>
      </w:r>
    </w:p>
    <w:p w14:paraId="253A121E">
      <w:pPr>
        <w:pStyle w:val="14"/>
        <w:pageBreakBefore w:val="0"/>
        <w:widowControl w:val="0"/>
        <w:kinsoku/>
        <w:wordWrap/>
        <w:overflowPunct/>
        <w:topLinePunct w:val="0"/>
        <w:bidi w:val="0"/>
        <w:snapToGrid/>
        <w:spacing w:line="440" w:lineRule="exact"/>
        <w:ind w:firstLine="422" w:firstLineChars="20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二、评审办法</w:t>
      </w:r>
    </w:p>
    <w:p w14:paraId="62E48087">
      <w:pPr>
        <w:pStyle w:val="14"/>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Cs/>
          <w:color w:val="auto"/>
          <w:highlight w:val="none"/>
        </w:rPr>
      </w:pPr>
      <w:r>
        <w:rPr>
          <w:rFonts w:hint="eastAsia" w:ascii="宋体" w:hAnsi="宋体" w:eastAsia="宋体" w:cs="宋体"/>
          <w:bCs/>
          <w:color w:val="auto"/>
          <w:highlight w:val="none"/>
        </w:rPr>
        <w:t>（一）本次评标采用综合评分法。</w:t>
      </w:r>
      <w:r>
        <w:rPr>
          <w:rFonts w:hint="eastAsia" w:hAnsi="宋体" w:eastAsia="宋体" w:cs="宋体"/>
          <w:bCs/>
          <w:color w:val="auto"/>
          <w:highlight w:val="none"/>
          <w:lang w:eastAsia="zh-CN"/>
        </w:rPr>
        <w:t>磋商小组</w:t>
      </w:r>
      <w:r>
        <w:rPr>
          <w:rFonts w:hint="eastAsia" w:ascii="宋体" w:hAnsi="宋体" w:eastAsia="宋体" w:cs="宋体"/>
          <w:bCs/>
          <w:color w:val="auto"/>
          <w:highlight w:val="none"/>
        </w:rPr>
        <w:t>会首先对</w:t>
      </w:r>
      <w:r>
        <w:rPr>
          <w:rFonts w:hint="eastAsia" w:hAnsi="宋体" w:eastAsia="宋体" w:cs="宋体"/>
          <w:bCs/>
          <w:color w:val="auto"/>
          <w:highlight w:val="none"/>
          <w:lang w:eastAsia="zh-CN"/>
        </w:rPr>
        <w:t>磋商供应商</w:t>
      </w:r>
      <w:r>
        <w:rPr>
          <w:rFonts w:hint="eastAsia" w:ascii="宋体" w:hAnsi="宋体" w:eastAsia="宋体" w:cs="宋体"/>
          <w:bCs/>
          <w:color w:val="auto"/>
          <w:highlight w:val="none"/>
        </w:rPr>
        <w:t>提交的响应文件进行资格性审查和符合性审查，只有通过了资格性审查和符合性审查才能进入详评。</w:t>
      </w:r>
    </w:p>
    <w:p w14:paraId="36321629">
      <w:pPr>
        <w:pageBreakBefore w:val="0"/>
        <w:wordWrap/>
        <w:overflowPunct/>
        <w:topLinePunct w:val="0"/>
        <w:bidi w:val="0"/>
        <w:spacing w:line="500" w:lineRule="exact"/>
        <w:jc w:val="left"/>
        <w:rPr>
          <w:rFonts w:hint="eastAsia" w:ascii="宋体" w:hAnsi="宋体" w:eastAsia="宋体" w:cs="宋体"/>
          <w:b/>
          <w:color w:val="auto"/>
          <w:w w:val="99"/>
          <w:kern w:val="0"/>
          <w:sz w:val="24"/>
          <w:szCs w:val="24"/>
          <w:highlight w:val="none"/>
          <w:lang w:val="en-US" w:eastAsia="zh-CN"/>
        </w:rPr>
      </w:pPr>
      <w:r>
        <w:rPr>
          <w:rFonts w:hint="eastAsia" w:ascii="宋体" w:hAnsi="宋体" w:eastAsia="宋体" w:cs="宋体"/>
          <w:b/>
          <w:color w:val="auto"/>
          <w:w w:val="99"/>
          <w:kern w:val="0"/>
          <w:sz w:val="24"/>
          <w:szCs w:val="24"/>
          <w:highlight w:val="none"/>
          <w:lang w:val="en-US" w:eastAsia="zh-CN"/>
        </w:rPr>
        <w:t>初步评审：</w:t>
      </w:r>
    </w:p>
    <w:tbl>
      <w:tblPr>
        <w:tblStyle w:val="29"/>
        <w:tblW w:w="9948" w:type="dxa"/>
        <w:jc w:val="center"/>
        <w:tblLayout w:type="fixed"/>
        <w:tblCellMar>
          <w:top w:w="0" w:type="dxa"/>
          <w:left w:w="108" w:type="dxa"/>
          <w:bottom w:w="0" w:type="dxa"/>
          <w:right w:w="108" w:type="dxa"/>
        </w:tblCellMar>
      </w:tblPr>
      <w:tblGrid>
        <w:gridCol w:w="944"/>
        <w:gridCol w:w="1460"/>
        <w:gridCol w:w="2344"/>
        <w:gridCol w:w="5200"/>
      </w:tblGrid>
      <w:tr w14:paraId="6DAB9196">
        <w:tblPrEx>
          <w:tblCellMar>
            <w:top w:w="0" w:type="dxa"/>
            <w:left w:w="108" w:type="dxa"/>
            <w:bottom w:w="0" w:type="dxa"/>
            <w:right w:w="108" w:type="dxa"/>
          </w:tblCellMar>
        </w:tblPrEx>
        <w:trPr>
          <w:trHeight w:val="609" w:hRule="atLeast"/>
          <w:jc w:val="center"/>
        </w:trPr>
        <w:tc>
          <w:tcPr>
            <w:tcW w:w="944" w:type="dxa"/>
            <w:tcBorders>
              <w:top w:val="single" w:color="auto" w:sz="4" w:space="0"/>
              <w:left w:val="single" w:color="auto" w:sz="4" w:space="0"/>
              <w:bottom w:val="single" w:color="auto" w:sz="4" w:space="0"/>
              <w:right w:val="single" w:color="auto" w:sz="4" w:space="0"/>
            </w:tcBorders>
            <w:noWrap w:val="0"/>
            <w:vAlign w:val="center"/>
          </w:tcPr>
          <w:p w14:paraId="5AECF52E">
            <w:pPr>
              <w:pStyle w:val="36"/>
              <w:pageBreakBefore w:val="0"/>
              <w:kinsoku/>
              <w:wordWrap/>
              <w:overflowPunct/>
              <w:topLinePunct w:val="0"/>
              <w:bidi w:val="0"/>
              <w:snapToGrid w:val="0"/>
              <w:spacing w:line="500" w:lineRule="exact"/>
              <w:jc w:val="center"/>
              <w:rPr>
                <w:rFonts w:hint="eastAsia" w:ascii="宋体" w:hAnsi="宋体" w:cs="宋体"/>
                <w:b w:val="0"/>
                <w:bCs w:val="0"/>
                <w:color w:val="auto"/>
                <w:highlight w:val="none"/>
              </w:rPr>
            </w:pPr>
            <w:r>
              <w:rPr>
                <w:rFonts w:hint="eastAsia" w:ascii="宋体" w:hAnsi="宋体" w:cs="宋体"/>
                <w:b w:val="0"/>
                <w:bCs w:val="0"/>
                <w:color w:val="auto"/>
                <w:highlight w:val="none"/>
              </w:rPr>
              <w:t>条款号</w:t>
            </w:r>
          </w:p>
        </w:tc>
        <w:tc>
          <w:tcPr>
            <w:tcW w:w="9004" w:type="dxa"/>
            <w:gridSpan w:val="3"/>
            <w:tcBorders>
              <w:top w:val="single" w:color="auto" w:sz="4" w:space="0"/>
              <w:left w:val="single" w:color="auto" w:sz="4" w:space="0"/>
              <w:bottom w:val="single" w:color="auto" w:sz="4" w:space="0"/>
              <w:right w:val="single" w:color="auto" w:sz="4" w:space="0"/>
            </w:tcBorders>
            <w:noWrap w:val="0"/>
            <w:vAlign w:val="center"/>
          </w:tcPr>
          <w:p w14:paraId="0706B472">
            <w:pPr>
              <w:pStyle w:val="36"/>
              <w:pageBreakBefore w:val="0"/>
              <w:kinsoku/>
              <w:wordWrap/>
              <w:overflowPunct/>
              <w:topLinePunct w:val="0"/>
              <w:bidi w:val="0"/>
              <w:snapToGrid w:val="0"/>
              <w:spacing w:line="500" w:lineRule="exact"/>
              <w:jc w:val="center"/>
              <w:rPr>
                <w:rFonts w:hint="eastAsia" w:ascii="宋体" w:hAnsi="宋体" w:cs="宋体"/>
                <w:b w:val="0"/>
                <w:bCs w:val="0"/>
                <w:color w:val="auto"/>
                <w:highlight w:val="none"/>
              </w:rPr>
            </w:pPr>
            <w:r>
              <w:rPr>
                <w:rFonts w:hint="eastAsia" w:ascii="宋体" w:hAnsi="宋体" w:cs="宋体"/>
                <w:b w:val="0"/>
                <w:bCs w:val="0"/>
                <w:color w:val="auto"/>
                <w:highlight w:val="none"/>
              </w:rPr>
              <w:t>评审标准</w:t>
            </w:r>
          </w:p>
        </w:tc>
      </w:tr>
      <w:tr w14:paraId="7913D03A">
        <w:tblPrEx>
          <w:tblCellMar>
            <w:top w:w="0" w:type="dxa"/>
            <w:left w:w="108" w:type="dxa"/>
            <w:bottom w:w="0" w:type="dxa"/>
            <w:right w:w="108" w:type="dxa"/>
          </w:tblCellMar>
        </w:tblPrEx>
        <w:trPr>
          <w:trHeight w:val="453" w:hRule="atLeast"/>
          <w:jc w:val="center"/>
        </w:trPr>
        <w:tc>
          <w:tcPr>
            <w:tcW w:w="944" w:type="dxa"/>
            <w:vMerge w:val="restart"/>
            <w:tcBorders>
              <w:top w:val="single" w:color="auto" w:sz="4" w:space="0"/>
              <w:left w:val="single" w:color="auto" w:sz="4" w:space="0"/>
              <w:bottom w:val="single" w:color="auto" w:sz="4" w:space="0"/>
              <w:right w:val="single" w:color="auto" w:sz="4" w:space="0"/>
            </w:tcBorders>
            <w:noWrap w:val="0"/>
            <w:vAlign w:val="center"/>
          </w:tcPr>
          <w:p w14:paraId="3D4EE1E0">
            <w:pPr>
              <w:pageBreakBefore w:val="0"/>
              <w:widowControl/>
              <w:kinsoku/>
              <w:wordWrap/>
              <w:overflowPunct/>
              <w:topLinePunct w:val="0"/>
              <w:bidi w:val="0"/>
              <w:spacing w:line="500" w:lineRule="exact"/>
              <w:jc w:val="center"/>
              <w:rPr>
                <w:rFonts w:hint="eastAsia" w:ascii="宋体" w:hAnsi="宋体" w:cs="宋体"/>
                <w:color w:val="auto"/>
                <w:highlight w:val="none"/>
              </w:rPr>
            </w:pPr>
            <w:r>
              <w:rPr>
                <w:rFonts w:hint="eastAsia" w:ascii="宋体" w:hAnsi="宋体" w:cs="宋体"/>
                <w:color w:val="auto"/>
                <w:highlight w:val="none"/>
              </w:rPr>
              <w:t>2.1.1</w:t>
            </w:r>
          </w:p>
        </w:tc>
        <w:tc>
          <w:tcPr>
            <w:tcW w:w="1460" w:type="dxa"/>
            <w:vMerge w:val="restart"/>
            <w:tcBorders>
              <w:top w:val="single" w:color="auto" w:sz="4" w:space="0"/>
              <w:left w:val="single" w:color="auto" w:sz="4" w:space="0"/>
              <w:bottom w:val="single" w:color="auto" w:sz="4" w:space="0"/>
              <w:right w:val="single" w:color="auto" w:sz="4" w:space="0"/>
            </w:tcBorders>
            <w:noWrap w:val="0"/>
            <w:vAlign w:val="center"/>
          </w:tcPr>
          <w:p w14:paraId="4EE59E58">
            <w:pPr>
              <w:pStyle w:val="36"/>
              <w:pageBreakBefore w:val="0"/>
              <w:kinsoku/>
              <w:wordWrap/>
              <w:overflowPunct/>
              <w:topLinePunct w:val="0"/>
              <w:bidi w:val="0"/>
              <w:snapToGrid w:val="0"/>
              <w:spacing w:line="500" w:lineRule="exact"/>
              <w:jc w:val="center"/>
              <w:rPr>
                <w:rFonts w:hint="eastAsia" w:ascii="宋体" w:hAnsi="宋体" w:eastAsia="宋体" w:cs="宋体"/>
                <w:color w:val="auto"/>
                <w:spacing w:val="-6"/>
                <w:highlight w:val="none"/>
                <w:lang w:eastAsia="zh-CN"/>
              </w:rPr>
            </w:pPr>
            <w:r>
              <w:rPr>
                <w:rFonts w:hint="eastAsia" w:ascii="宋体" w:hAnsi="宋体" w:cs="宋体"/>
                <w:color w:val="auto"/>
                <w:highlight w:val="none"/>
              </w:rPr>
              <w:t>资格</w:t>
            </w:r>
            <w:r>
              <w:rPr>
                <w:rFonts w:hint="eastAsia" w:ascii="宋体" w:hAnsi="宋体" w:cs="宋体"/>
                <w:color w:val="auto"/>
                <w:highlight w:val="none"/>
                <w:lang w:eastAsia="zh-CN"/>
              </w:rPr>
              <w:t>评审</w:t>
            </w:r>
          </w:p>
          <w:p w14:paraId="1D492BAF">
            <w:pPr>
              <w:pStyle w:val="17"/>
              <w:pageBreakBefore w:val="0"/>
              <w:kinsoku/>
              <w:wordWrap/>
              <w:overflowPunct/>
              <w:topLinePunct w:val="0"/>
              <w:bidi w:val="0"/>
              <w:snapToGrid w:val="0"/>
              <w:spacing w:line="500" w:lineRule="exact"/>
              <w:jc w:val="center"/>
              <w:rPr>
                <w:rFonts w:hint="eastAsia" w:ascii="宋体" w:hAnsi="宋体" w:cs="宋体"/>
                <w:color w:val="auto"/>
                <w:spacing w:val="-6"/>
                <w:highlight w:val="none"/>
              </w:rPr>
            </w:pPr>
          </w:p>
        </w:tc>
        <w:tc>
          <w:tcPr>
            <w:tcW w:w="2344" w:type="dxa"/>
            <w:tcBorders>
              <w:top w:val="single" w:color="auto" w:sz="4" w:space="0"/>
              <w:left w:val="single" w:color="auto" w:sz="4" w:space="0"/>
              <w:bottom w:val="single" w:color="auto" w:sz="4" w:space="0"/>
              <w:right w:val="single" w:color="auto" w:sz="4" w:space="0"/>
            </w:tcBorders>
            <w:noWrap w:val="0"/>
            <w:vAlign w:val="center"/>
          </w:tcPr>
          <w:p w14:paraId="7D319CA4">
            <w:pPr>
              <w:pStyle w:val="36"/>
              <w:pageBreakBefore w:val="0"/>
              <w:kinsoku/>
              <w:wordWrap/>
              <w:overflowPunct/>
              <w:topLinePunct w:val="0"/>
              <w:bidi w:val="0"/>
              <w:snapToGrid w:val="0"/>
              <w:spacing w:line="500" w:lineRule="exact"/>
              <w:jc w:val="center"/>
              <w:rPr>
                <w:rFonts w:hint="eastAsia" w:ascii="宋体" w:hAnsi="宋体" w:cs="宋体"/>
                <w:b/>
                <w:color w:val="auto"/>
                <w:highlight w:val="none"/>
              </w:rPr>
            </w:pPr>
            <w:r>
              <w:rPr>
                <w:rFonts w:hint="eastAsia" w:ascii="宋体" w:hAnsi="宋体" w:cs="宋体"/>
                <w:b/>
                <w:color w:val="auto"/>
                <w:highlight w:val="none"/>
              </w:rPr>
              <w:t>评审因素</w:t>
            </w:r>
          </w:p>
        </w:tc>
        <w:tc>
          <w:tcPr>
            <w:tcW w:w="5200" w:type="dxa"/>
            <w:tcBorders>
              <w:top w:val="single" w:color="auto" w:sz="4" w:space="0"/>
              <w:left w:val="single" w:color="auto" w:sz="4" w:space="0"/>
              <w:bottom w:val="single" w:color="auto" w:sz="4" w:space="0"/>
              <w:right w:val="single" w:color="auto" w:sz="4" w:space="0"/>
            </w:tcBorders>
            <w:noWrap w:val="0"/>
            <w:vAlign w:val="center"/>
          </w:tcPr>
          <w:p w14:paraId="3F843132">
            <w:pPr>
              <w:pStyle w:val="36"/>
              <w:pageBreakBefore w:val="0"/>
              <w:kinsoku/>
              <w:wordWrap/>
              <w:overflowPunct/>
              <w:topLinePunct w:val="0"/>
              <w:bidi w:val="0"/>
              <w:snapToGrid w:val="0"/>
              <w:spacing w:line="500" w:lineRule="exact"/>
              <w:jc w:val="left"/>
              <w:rPr>
                <w:rFonts w:hint="eastAsia" w:ascii="宋体" w:hAnsi="宋体" w:cs="宋体"/>
                <w:b/>
                <w:color w:val="auto"/>
                <w:highlight w:val="none"/>
              </w:rPr>
            </w:pPr>
            <w:r>
              <w:rPr>
                <w:rFonts w:hint="eastAsia" w:ascii="宋体" w:hAnsi="宋体" w:cs="宋体"/>
                <w:b/>
                <w:color w:val="auto"/>
                <w:highlight w:val="none"/>
              </w:rPr>
              <w:t>评审标准</w:t>
            </w:r>
            <w:r>
              <w:rPr>
                <w:rFonts w:hint="eastAsia" w:ascii="宋体" w:hAnsi="宋体" w:cs="宋体"/>
                <w:b/>
                <w:bCs/>
                <w:color w:val="auto"/>
                <w:highlight w:val="none"/>
              </w:rPr>
              <w:t>（合格标准：缺少任何一项或有任何一项不合格者，其资格</w:t>
            </w:r>
            <w:r>
              <w:rPr>
                <w:rFonts w:hint="eastAsia" w:ascii="宋体" w:hAnsi="宋体" w:cs="宋体"/>
                <w:b/>
                <w:bCs/>
                <w:color w:val="auto"/>
                <w:highlight w:val="none"/>
                <w:lang w:eastAsia="zh-CN"/>
              </w:rPr>
              <w:t>评审</w:t>
            </w:r>
            <w:r>
              <w:rPr>
                <w:rFonts w:hint="eastAsia" w:ascii="宋体" w:hAnsi="宋体" w:cs="宋体"/>
                <w:b/>
                <w:bCs/>
                <w:color w:val="auto"/>
                <w:highlight w:val="none"/>
              </w:rPr>
              <w:t>视为不合格）</w:t>
            </w:r>
          </w:p>
        </w:tc>
      </w:tr>
      <w:tr w14:paraId="0BF773C4">
        <w:tblPrEx>
          <w:tblCellMar>
            <w:top w:w="0" w:type="dxa"/>
            <w:left w:w="108" w:type="dxa"/>
            <w:bottom w:w="0" w:type="dxa"/>
            <w:right w:w="108" w:type="dxa"/>
          </w:tblCellMar>
        </w:tblPrEx>
        <w:trPr>
          <w:trHeight w:val="537" w:hRule="atLeast"/>
          <w:jc w:val="center"/>
        </w:trPr>
        <w:tc>
          <w:tcPr>
            <w:tcW w:w="944" w:type="dxa"/>
            <w:vMerge w:val="continue"/>
            <w:tcBorders>
              <w:top w:val="single" w:color="auto" w:sz="4" w:space="0"/>
              <w:left w:val="single" w:color="auto" w:sz="4" w:space="0"/>
              <w:bottom w:val="single" w:color="auto" w:sz="4" w:space="0"/>
              <w:right w:val="single" w:color="auto" w:sz="4" w:space="0"/>
            </w:tcBorders>
            <w:noWrap w:val="0"/>
            <w:vAlign w:val="center"/>
          </w:tcPr>
          <w:p w14:paraId="697973A2">
            <w:pPr>
              <w:pageBreakBefore w:val="0"/>
              <w:widowControl/>
              <w:kinsoku/>
              <w:wordWrap/>
              <w:overflowPunct/>
              <w:topLinePunct w:val="0"/>
              <w:bidi w:val="0"/>
              <w:spacing w:line="500" w:lineRule="exact"/>
              <w:jc w:val="left"/>
              <w:rPr>
                <w:rFonts w:hint="eastAsia" w:ascii="宋体" w:hAnsi="宋体" w:cs="宋体"/>
                <w:color w:val="auto"/>
                <w:highlight w:val="none"/>
              </w:rPr>
            </w:pPr>
          </w:p>
        </w:tc>
        <w:tc>
          <w:tcPr>
            <w:tcW w:w="1460" w:type="dxa"/>
            <w:vMerge w:val="continue"/>
            <w:tcBorders>
              <w:top w:val="single" w:color="auto" w:sz="4" w:space="0"/>
              <w:left w:val="single" w:color="auto" w:sz="4" w:space="0"/>
              <w:bottom w:val="single" w:color="auto" w:sz="4" w:space="0"/>
              <w:right w:val="single" w:color="auto" w:sz="4" w:space="0"/>
            </w:tcBorders>
            <w:noWrap w:val="0"/>
            <w:vAlign w:val="center"/>
          </w:tcPr>
          <w:p w14:paraId="10414924">
            <w:pPr>
              <w:pageBreakBefore w:val="0"/>
              <w:widowControl/>
              <w:kinsoku/>
              <w:wordWrap/>
              <w:overflowPunct/>
              <w:topLinePunct w:val="0"/>
              <w:bidi w:val="0"/>
              <w:spacing w:line="500" w:lineRule="exact"/>
              <w:jc w:val="left"/>
              <w:rPr>
                <w:rFonts w:hint="eastAsia" w:ascii="宋体" w:hAnsi="宋体" w:cs="宋体"/>
                <w:color w:val="auto"/>
                <w:kern w:val="0"/>
                <w:highlight w:val="none"/>
              </w:rPr>
            </w:pPr>
          </w:p>
        </w:tc>
        <w:tc>
          <w:tcPr>
            <w:tcW w:w="2344" w:type="dxa"/>
            <w:tcBorders>
              <w:top w:val="single" w:color="auto" w:sz="4" w:space="0"/>
              <w:left w:val="single" w:color="auto" w:sz="4" w:space="0"/>
              <w:bottom w:val="single" w:color="auto" w:sz="4" w:space="0"/>
              <w:right w:val="single" w:color="auto" w:sz="4" w:space="0"/>
            </w:tcBorders>
            <w:noWrap w:val="0"/>
            <w:vAlign w:val="center"/>
          </w:tcPr>
          <w:p w14:paraId="5483290D">
            <w:pPr>
              <w:pStyle w:val="36"/>
              <w:pageBreakBefore w:val="0"/>
              <w:kinsoku/>
              <w:wordWrap/>
              <w:overflowPunct/>
              <w:topLinePunct w:val="0"/>
              <w:bidi w:val="0"/>
              <w:snapToGrid w:val="0"/>
              <w:spacing w:line="500" w:lineRule="exact"/>
              <w:ind w:left="720" w:hanging="720"/>
              <w:jc w:val="left"/>
              <w:rPr>
                <w:rFonts w:hint="eastAsia" w:ascii="宋体" w:hAnsi="宋体" w:eastAsia="宋体" w:cs="宋体"/>
                <w:color w:val="auto"/>
                <w:highlight w:val="none"/>
                <w:lang w:eastAsia="zh-CN"/>
              </w:rPr>
            </w:pPr>
            <w:r>
              <w:rPr>
                <w:rFonts w:hint="eastAsia" w:ascii="宋体" w:hAnsi="宋体" w:eastAsia="宋体" w:cs="宋体"/>
                <w:color w:val="auto"/>
                <w:szCs w:val="21"/>
                <w:highlight w:val="none"/>
              </w:rPr>
              <w:t>法定代表人</w:t>
            </w:r>
            <w:r>
              <w:rPr>
                <w:rFonts w:hint="eastAsia" w:ascii="宋体" w:hAnsi="宋体" w:eastAsia="宋体" w:cs="宋体"/>
                <w:color w:val="auto"/>
                <w:szCs w:val="21"/>
                <w:highlight w:val="none"/>
                <w:lang w:eastAsia="zh-CN"/>
              </w:rPr>
              <w:t>、委托代理人身份</w:t>
            </w:r>
            <w:r>
              <w:rPr>
                <w:rFonts w:hint="eastAsia" w:ascii="宋体" w:hAnsi="宋体" w:cs="宋体"/>
                <w:color w:val="auto"/>
                <w:szCs w:val="21"/>
                <w:highlight w:val="none"/>
                <w:lang w:eastAsia="zh-CN"/>
              </w:rPr>
              <w:t>证</w:t>
            </w:r>
            <w:r>
              <w:rPr>
                <w:rFonts w:hint="eastAsia" w:ascii="宋体" w:hAnsi="宋体" w:eastAsia="宋体" w:cs="宋体"/>
                <w:color w:val="auto"/>
                <w:szCs w:val="21"/>
                <w:highlight w:val="none"/>
                <w:lang w:eastAsia="zh-CN"/>
              </w:rPr>
              <w:t>明</w:t>
            </w:r>
          </w:p>
        </w:tc>
        <w:tc>
          <w:tcPr>
            <w:tcW w:w="5200" w:type="dxa"/>
            <w:tcBorders>
              <w:top w:val="single" w:color="auto" w:sz="4" w:space="0"/>
              <w:left w:val="single" w:color="auto" w:sz="4" w:space="0"/>
              <w:bottom w:val="single" w:color="auto" w:sz="4" w:space="0"/>
              <w:right w:val="single" w:color="auto" w:sz="4" w:space="0"/>
            </w:tcBorders>
            <w:noWrap w:val="0"/>
            <w:vAlign w:val="center"/>
          </w:tcPr>
          <w:p w14:paraId="52ED9E2B">
            <w:pPr>
              <w:pStyle w:val="36"/>
              <w:pageBreakBefore w:val="0"/>
              <w:kinsoku/>
              <w:wordWrap/>
              <w:overflowPunct/>
              <w:topLinePunct w:val="0"/>
              <w:bidi w:val="0"/>
              <w:snapToGrid w:val="0"/>
              <w:spacing w:line="500" w:lineRule="exact"/>
              <w:rPr>
                <w:rFonts w:hint="eastAsia" w:ascii="宋体" w:hAnsi="宋体" w:cs="宋体"/>
                <w:color w:val="auto"/>
                <w:highlight w:val="none"/>
              </w:rPr>
            </w:pPr>
            <w:r>
              <w:rPr>
                <w:rFonts w:hint="eastAsia" w:ascii="宋体" w:hAnsi="宋体" w:cs="宋体"/>
                <w:color w:val="auto"/>
                <w:highlight w:val="none"/>
              </w:rPr>
              <w:t>有效的法定代表人身份</w:t>
            </w:r>
            <w:r>
              <w:rPr>
                <w:rFonts w:hint="eastAsia" w:ascii="宋体" w:hAnsi="宋体" w:cs="宋体"/>
                <w:color w:val="auto"/>
                <w:highlight w:val="none"/>
                <w:lang w:eastAsia="zh-CN"/>
              </w:rPr>
              <w:t>证</w:t>
            </w:r>
            <w:r>
              <w:rPr>
                <w:rFonts w:hint="eastAsia" w:ascii="宋体" w:hAnsi="宋体" w:cs="宋体"/>
                <w:color w:val="auto"/>
                <w:highlight w:val="none"/>
              </w:rPr>
              <w:t>复印件</w:t>
            </w:r>
            <w:r>
              <w:rPr>
                <w:rFonts w:hint="eastAsia" w:ascii="宋体" w:hAnsi="宋体" w:cs="宋体"/>
                <w:color w:val="auto"/>
                <w:highlight w:val="none"/>
                <w:lang w:eastAsia="zh-CN"/>
              </w:rPr>
              <w:t>、</w:t>
            </w:r>
            <w:r>
              <w:rPr>
                <w:rFonts w:hint="eastAsia" w:ascii="宋体" w:hAnsi="宋体" w:cs="宋体"/>
                <w:color w:val="auto"/>
                <w:highlight w:val="none"/>
              </w:rPr>
              <w:t>法人授权委托书（附身份证复印件，</w:t>
            </w:r>
            <w:r>
              <w:rPr>
                <w:rFonts w:hint="eastAsia" w:ascii="宋体" w:hAnsi="宋体" w:cs="宋体"/>
                <w:color w:val="auto"/>
                <w:highlight w:val="none"/>
                <w:lang w:eastAsia="zh-CN"/>
              </w:rPr>
              <w:t>社会保险缴纳证明材料</w:t>
            </w:r>
            <w:r>
              <w:rPr>
                <w:rFonts w:hint="eastAsia" w:ascii="宋体" w:hAnsi="宋体" w:cs="宋体"/>
                <w:color w:val="auto"/>
                <w:highlight w:val="none"/>
              </w:rPr>
              <w:t>授权代理时提供）</w:t>
            </w:r>
          </w:p>
        </w:tc>
      </w:tr>
      <w:tr w14:paraId="5EF81CE1">
        <w:tblPrEx>
          <w:tblCellMar>
            <w:top w:w="0" w:type="dxa"/>
            <w:left w:w="108" w:type="dxa"/>
            <w:bottom w:w="0" w:type="dxa"/>
            <w:right w:w="108" w:type="dxa"/>
          </w:tblCellMar>
        </w:tblPrEx>
        <w:trPr>
          <w:trHeight w:val="537" w:hRule="atLeast"/>
          <w:jc w:val="center"/>
        </w:trPr>
        <w:tc>
          <w:tcPr>
            <w:tcW w:w="944" w:type="dxa"/>
            <w:vMerge w:val="continue"/>
            <w:tcBorders>
              <w:top w:val="single" w:color="auto" w:sz="4" w:space="0"/>
              <w:left w:val="single" w:color="auto" w:sz="4" w:space="0"/>
              <w:bottom w:val="single" w:color="auto" w:sz="4" w:space="0"/>
              <w:right w:val="single" w:color="auto" w:sz="4" w:space="0"/>
            </w:tcBorders>
            <w:noWrap w:val="0"/>
            <w:vAlign w:val="center"/>
          </w:tcPr>
          <w:p w14:paraId="7D57E2BD">
            <w:pPr>
              <w:pageBreakBefore w:val="0"/>
              <w:widowControl/>
              <w:kinsoku/>
              <w:wordWrap/>
              <w:overflowPunct/>
              <w:topLinePunct w:val="0"/>
              <w:bidi w:val="0"/>
              <w:spacing w:line="500" w:lineRule="exact"/>
              <w:jc w:val="left"/>
              <w:rPr>
                <w:rFonts w:hint="eastAsia" w:ascii="宋体" w:hAnsi="宋体" w:cs="宋体"/>
                <w:color w:val="auto"/>
                <w:highlight w:val="none"/>
              </w:rPr>
            </w:pPr>
          </w:p>
        </w:tc>
        <w:tc>
          <w:tcPr>
            <w:tcW w:w="1460" w:type="dxa"/>
            <w:vMerge w:val="continue"/>
            <w:tcBorders>
              <w:top w:val="single" w:color="auto" w:sz="4" w:space="0"/>
              <w:left w:val="single" w:color="auto" w:sz="4" w:space="0"/>
              <w:bottom w:val="single" w:color="auto" w:sz="4" w:space="0"/>
              <w:right w:val="single" w:color="auto" w:sz="4" w:space="0"/>
            </w:tcBorders>
            <w:noWrap w:val="0"/>
            <w:vAlign w:val="center"/>
          </w:tcPr>
          <w:p w14:paraId="6E764AEF">
            <w:pPr>
              <w:pageBreakBefore w:val="0"/>
              <w:widowControl/>
              <w:kinsoku/>
              <w:wordWrap/>
              <w:overflowPunct/>
              <w:topLinePunct w:val="0"/>
              <w:bidi w:val="0"/>
              <w:spacing w:line="500" w:lineRule="exact"/>
              <w:jc w:val="left"/>
              <w:rPr>
                <w:rFonts w:hint="eastAsia" w:ascii="宋体" w:hAnsi="宋体" w:cs="宋体"/>
                <w:color w:val="auto"/>
                <w:kern w:val="0"/>
                <w:highlight w:val="none"/>
              </w:rPr>
            </w:pPr>
          </w:p>
        </w:tc>
        <w:tc>
          <w:tcPr>
            <w:tcW w:w="2344" w:type="dxa"/>
            <w:tcBorders>
              <w:top w:val="single" w:color="auto" w:sz="4" w:space="0"/>
              <w:left w:val="single" w:color="auto" w:sz="4" w:space="0"/>
              <w:bottom w:val="single" w:color="auto" w:sz="4" w:space="0"/>
              <w:right w:val="single" w:color="auto" w:sz="4" w:space="0"/>
            </w:tcBorders>
            <w:noWrap w:val="0"/>
            <w:vAlign w:val="center"/>
          </w:tcPr>
          <w:p w14:paraId="2C1463BD">
            <w:pPr>
              <w:pStyle w:val="36"/>
              <w:pageBreakBefore w:val="0"/>
              <w:kinsoku/>
              <w:wordWrap/>
              <w:overflowPunct/>
              <w:topLinePunct w:val="0"/>
              <w:bidi w:val="0"/>
              <w:snapToGrid w:val="0"/>
              <w:spacing w:line="500" w:lineRule="exact"/>
              <w:jc w:val="left"/>
              <w:rPr>
                <w:rFonts w:hint="eastAsia" w:ascii="宋体" w:hAnsi="宋体" w:cs="宋体"/>
                <w:color w:val="auto"/>
                <w:kern w:val="0"/>
                <w:sz w:val="21"/>
                <w:szCs w:val="21"/>
                <w:highlight w:val="none"/>
                <w:lang w:val="en-US" w:eastAsia="zh-CN" w:bidi="ar-SA"/>
              </w:rPr>
            </w:pPr>
            <w:r>
              <w:rPr>
                <w:rFonts w:hint="eastAsia" w:ascii="宋体" w:hAnsi="宋体" w:eastAsia="宋体" w:cs="宋体"/>
                <w:color w:val="auto"/>
                <w:szCs w:val="21"/>
                <w:highlight w:val="none"/>
                <w:lang w:eastAsia="zh-CN"/>
              </w:rPr>
              <w:t>无</w:t>
            </w:r>
            <w:r>
              <w:rPr>
                <w:rFonts w:hint="eastAsia" w:ascii="宋体" w:hAnsi="宋体" w:eastAsia="宋体" w:cs="宋体"/>
                <w:color w:val="auto"/>
                <w:szCs w:val="21"/>
                <w:highlight w:val="none"/>
              </w:rPr>
              <w:t>重大违法记录的书面声明</w:t>
            </w:r>
          </w:p>
        </w:tc>
        <w:tc>
          <w:tcPr>
            <w:tcW w:w="5200" w:type="dxa"/>
            <w:tcBorders>
              <w:top w:val="single" w:color="auto" w:sz="4" w:space="0"/>
              <w:left w:val="single" w:color="auto" w:sz="4" w:space="0"/>
              <w:bottom w:val="single" w:color="auto" w:sz="4" w:space="0"/>
              <w:right w:val="single" w:color="auto" w:sz="4" w:space="0"/>
            </w:tcBorders>
            <w:noWrap w:val="0"/>
            <w:vAlign w:val="center"/>
          </w:tcPr>
          <w:p w14:paraId="230FFD48">
            <w:pPr>
              <w:pStyle w:val="36"/>
              <w:pageBreakBefore w:val="0"/>
              <w:kinsoku/>
              <w:wordWrap/>
              <w:overflowPunct/>
              <w:topLinePunct w:val="0"/>
              <w:bidi w:val="0"/>
              <w:snapToGrid w:val="0"/>
              <w:spacing w:line="500" w:lineRule="exact"/>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color w:val="auto"/>
                <w:szCs w:val="21"/>
                <w:highlight w:val="none"/>
                <w:lang w:eastAsia="zh-CN"/>
              </w:rPr>
              <w:t>竞标人</w:t>
            </w:r>
            <w:r>
              <w:rPr>
                <w:rFonts w:hint="eastAsia" w:ascii="宋体" w:hAnsi="宋体" w:eastAsia="宋体" w:cs="宋体"/>
                <w:color w:val="auto"/>
                <w:szCs w:val="21"/>
                <w:highlight w:val="none"/>
              </w:rPr>
              <w:t>参加政府采购活动前3年内在经营活动中没有重大违法记录的书面声明</w:t>
            </w:r>
          </w:p>
        </w:tc>
      </w:tr>
      <w:tr w14:paraId="41839F6A">
        <w:tblPrEx>
          <w:tblCellMar>
            <w:top w:w="0" w:type="dxa"/>
            <w:left w:w="108" w:type="dxa"/>
            <w:bottom w:w="0" w:type="dxa"/>
            <w:right w:w="108" w:type="dxa"/>
          </w:tblCellMar>
        </w:tblPrEx>
        <w:trPr>
          <w:trHeight w:val="622" w:hRule="atLeast"/>
          <w:jc w:val="center"/>
        </w:trPr>
        <w:tc>
          <w:tcPr>
            <w:tcW w:w="944" w:type="dxa"/>
            <w:vMerge w:val="continue"/>
            <w:tcBorders>
              <w:top w:val="single" w:color="auto" w:sz="4" w:space="0"/>
              <w:left w:val="single" w:color="auto" w:sz="4" w:space="0"/>
              <w:bottom w:val="single" w:color="auto" w:sz="4" w:space="0"/>
              <w:right w:val="single" w:color="auto" w:sz="4" w:space="0"/>
            </w:tcBorders>
            <w:noWrap w:val="0"/>
            <w:vAlign w:val="center"/>
          </w:tcPr>
          <w:p w14:paraId="55E63EBE">
            <w:pPr>
              <w:pageBreakBefore w:val="0"/>
              <w:widowControl/>
              <w:kinsoku/>
              <w:wordWrap/>
              <w:overflowPunct/>
              <w:topLinePunct w:val="0"/>
              <w:bidi w:val="0"/>
              <w:spacing w:line="500" w:lineRule="exact"/>
              <w:jc w:val="left"/>
              <w:rPr>
                <w:rFonts w:hint="eastAsia" w:ascii="宋体" w:hAnsi="宋体" w:cs="宋体"/>
                <w:color w:val="auto"/>
                <w:highlight w:val="none"/>
              </w:rPr>
            </w:pPr>
          </w:p>
        </w:tc>
        <w:tc>
          <w:tcPr>
            <w:tcW w:w="1460" w:type="dxa"/>
            <w:vMerge w:val="continue"/>
            <w:tcBorders>
              <w:top w:val="single" w:color="auto" w:sz="4" w:space="0"/>
              <w:left w:val="single" w:color="auto" w:sz="4" w:space="0"/>
              <w:bottom w:val="single" w:color="auto" w:sz="4" w:space="0"/>
              <w:right w:val="single" w:color="auto" w:sz="4" w:space="0"/>
            </w:tcBorders>
            <w:noWrap w:val="0"/>
            <w:vAlign w:val="center"/>
          </w:tcPr>
          <w:p w14:paraId="0A33E553">
            <w:pPr>
              <w:pageBreakBefore w:val="0"/>
              <w:widowControl/>
              <w:kinsoku/>
              <w:wordWrap/>
              <w:overflowPunct/>
              <w:topLinePunct w:val="0"/>
              <w:bidi w:val="0"/>
              <w:spacing w:line="500" w:lineRule="exact"/>
              <w:jc w:val="left"/>
              <w:rPr>
                <w:rFonts w:hint="eastAsia" w:ascii="宋体" w:hAnsi="宋体" w:cs="宋体"/>
                <w:color w:val="auto"/>
                <w:kern w:val="0"/>
                <w:highlight w:val="none"/>
              </w:rPr>
            </w:pPr>
          </w:p>
        </w:tc>
        <w:tc>
          <w:tcPr>
            <w:tcW w:w="2344" w:type="dxa"/>
            <w:tcBorders>
              <w:top w:val="single" w:color="auto" w:sz="4" w:space="0"/>
              <w:left w:val="single" w:color="auto" w:sz="4" w:space="0"/>
              <w:bottom w:val="single" w:color="auto" w:sz="4" w:space="0"/>
              <w:right w:val="single" w:color="auto" w:sz="4" w:space="0"/>
            </w:tcBorders>
            <w:noWrap w:val="0"/>
            <w:vAlign w:val="center"/>
          </w:tcPr>
          <w:p w14:paraId="09F96DED">
            <w:pPr>
              <w:pStyle w:val="36"/>
              <w:pageBreakBefore w:val="0"/>
              <w:kinsoku/>
              <w:wordWrap/>
              <w:overflowPunct/>
              <w:topLinePunct w:val="0"/>
              <w:bidi w:val="0"/>
              <w:snapToGrid w:val="0"/>
              <w:spacing w:line="500" w:lineRule="exact"/>
              <w:jc w:val="left"/>
              <w:rPr>
                <w:rFonts w:hint="eastAsia" w:ascii="宋体" w:hAnsi="宋体" w:cs="宋体"/>
                <w:color w:val="auto"/>
                <w:highlight w:val="none"/>
              </w:rPr>
            </w:pPr>
            <w:r>
              <w:rPr>
                <w:rFonts w:hint="eastAsia" w:ascii="宋体" w:hAnsi="宋体" w:cs="宋体"/>
                <w:color w:val="auto"/>
                <w:highlight w:val="none"/>
              </w:rPr>
              <w:t>营业执照</w:t>
            </w:r>
          </w:p>
        </w:tc>
        <w:tc>
          <w:tcPr>
            <w:tcW w:w="5200" w:type="dxa"/>
            <w:tcBorders>
              <w:top w:val="single" w:color="auto" w:sz="4" w:space="0"/>
              <w:left w:val="single" w:color="auto" w:sz="4" w:space="0"/>
              <w:bottom w:val="single" w:color="auto" w:sz="4" w:space="0"/>
              <w:right w:val="single" w:color="auto" w:sz="4" w:space="0"/>
            </w:tcBorders>
            <w:noWrap w:val="0"/>
            <w:vAlign w:val="center"/>
          </w:tcPr>
          <w:p w14:paraId="72D6AAAB">
            <w:pPr>
              <w:pStyle w:val="36"/>
              <w:pageBreakBefore w:val="0"/>
              <w:kinsoku/>
              <w:wordWrap/>
              <w:overflowPunct/>
              <w:topLinePunct w:val="0"/>
              <w:bidi w:val="0"/>
              <w:snapToGrid w:val="0"/>
              <w:spacing w:line="500" w:lineRule="exact"/>
              <w:rPr>
                <w:rFonts w:hint="eastAsia" w:ascii="宋体" w:hAnsi="宋体" w:eastAsia="宋体" w:cs="宋体"/>
                <w:bCs/>
                <w:color w:val="auto"/>
                <w:highlight w:val="none"/>
                <w:lang w:eastAsia="zh-CN"/>
              </w:rPr>
            </w:pPr>
            <w:r>
              <w:rPr>
                <w:rFonts w:hint="eastAsia" w:ascii="宋体" w:hAnsi="宋体" w:cs="宋体"/>
                <w:color w:val="auto"/>
                <w:highlight w:val="none"/>
                <w:lang w:eastAsia="zh-CN"/>
              </w:rPr>
              <w:t>提供</w:t>
            </w:r>
            <w:r>
              <w:rPr>
                <w:rFonts w:hint="eastAsia" w:ascii="宋体" w:hAnsi="宋体" w:cs="宋体"/>
                <w:color w:val="auto"/>
                <w:highlight w:val="none"/>
              </w:rPr>
              <w:t>有效的营业执照</w:t>
            </w:r>
            <w:r>
              <w:rPr>
                <w:rFonts w:hint="eastAsia" w:ascii="宋体" w:hAnsi="宋体" w:cs="宋体"/>
                <w:color w:val="auto"/>
                <w:highlight w:val="none"/>
                <w:lang w:eastAsia="zh-CN"/>
              </w:rPr>
              <w:t>复印件</w:t>
            </w:r>
          </w:p>
        </w:tc>
      </w:tr>
      <w:tr w14:paraId="31512E21">
        <w:tblPrEx>
          <w:tblCellMar>
            <w:top w:w="0" w:type="dxa"/>
            <w:left w:w="108" w:type="dxa"/>
            <w:bottom w:w="0" w:type="dxa"/>
            <w:right w:w="108" w:type="dxa"/>
          </w:tblCellMar>
        </w:tblPrEx>
        <w:trPr>
          <w:trHeight w:val="622" w:hRule="atLeast"/>
          <w:jc w:val="center"/>
        </w:trPr>
        <w:tc>
          <w:tcPr>
            <w:tcW w:w="944" w:type="dxa"/>
            <w:vMerge w:val="continue"/>
            <w:tcBorders>
              <w:top w:val="single" w:color="auto" w:sz="4" w:space="0"/>
              <w:left w:val="single" w:color="auto" w:sz="4" w:space="0"/>
              <w:bottom w:val="single" w:color="auto" w:sz="4" w:space="0"/>
              <w:right w:val="single" w:color="auto" w:sz="4" w:space="0"/>
            </w:tcBorders>
            <w:noWrap w:val="0"/>
            <w:vAlign w:val="center"/>
          </w:tcPr>
          <w:p w14:paraId="3E241251">
            <w:pPr>
              <w:pageBreakBefore w:val="0"/>
              <w:widowControl/>
              <w:kinsoku/>
              <w:wordWrap/>
              <w:overflowPunct/>
              <w:topLinePunct w:val="0"/>
              <w:bidi w:val="0"/>
              <w:spacing w:line="500" w:lineRule="exact"/>
              <w:jc w:val="left"/>
              <w:rPr>
                <w:rFonts w:hint="eastAsia" w:ascii="宋体" w:hAnsi="宋体" w:cs="宋体"/>
                <w:color w:val="auto"/>
                <w:highlight w:val="none"/>
              </w:rPr>
            </w:pPr>
          </w:p>
        </w:tc>
        <w:tc>
          <w:tcPr>
            <w:tcW w:w="1460" w:type="dxa"/>
            <w:vMerge w:val="continue"/>
            <w:tcBorders>
              <w:top w:val="single" w:color="auto" w:sz="4" w:space="0"/>
              <w:left w:val="single" w:color="auto" w:sz="4" w:space="0"/>
              <w:bottom w:val="single" w:color="auto" w:sz="4" w:space="0"/>
              <w:right w:val="single" w:color="auto" w:sz="4" w:space="0"/>
            </w:tcBorders>
            <w:noWrap w:val="0"/>
            <w:vAlign w:val="center"/>
          </w:tcPr>
          <w:p w14:paraId="35FBF53A">
            <w:pPr>
              <w:pageBreakBefore w:val="0"/>
              <w:widowControl/>
              <w:kinsoku/>
              <w:wordWrap/>
              <w:overflowPunct/>
              <w:topLinePunct w:val="0"/>
              <w:bidi w:val="0"/>
              <w:spacing w:line="500" w:lineRule="exact"/>
              <w:jc w:val="left"/>
              <w:rPr>
                <w:rFonts w:hint="eastAsia" w:ascii="宋体" w:hAnsi="宋体" w:cs="宋体"/>
                <w:color w:val="auto"/>
                <w:kern w:val="0"/>
                <w:highlight w:val="none"/>
              </w:rPr>
            </w:pPr>
          </w:p>
        </w:tc>
        <w:tc>
          <w:tcPr>
            <w:tcW w:w="2344" w:type="dxa"/>
            <w:tcBorders>
              <w:top w:val="single" w:color="auto" w:sz="4" w:space="0"/>
              <w:left w:val="single" w:color="auto" w:sz="4" w:space="0"/>
              <w:bottom w:val="single" w:color="auto" w:sz="4" w:space="0"/>
              <w:right w:val="single" w:color="auto" w:sz="4" w:space="0"/>
            </w:tcBorders>
            <w:noWrap w:val="0"/>
            <w:vAlign w:val="center"/>
          </w:tcPr>
          <w:p w14:paraId="61B5AD12">
            <w:pPr>
              <w:pStyle w:val="36"/>
              <w:pageBreakBefore w:val="0"/>
              <w:kinsoku/>
              <w:wordWrap/>
              <w:overflowPunct/>
              <w:topLinePunct w:val="0"/>
              <w:bidi w:val="0"/>
              <w:snapToGrid w:val="0"/>
              <w:spacing w:line="500" w:lineRule="exact"/>
              <w:jc w:val="left"/>
              <w:rPr>
                <w:rFonts w:hint="eastAsia" w:ascii="宋体" w:hAnsi="宋体" w:cs="宋体"/>
                <w:color w:val="auto"/>
                <w:kern w:val="0"/>
                <w:sz w:val="21"/>
                <w:szCs w:val="21"/>
                <w:highlight w:val="none"/>
                <w:lang w:val="en-US" w:eastAsia="zh-CN" w:bidi="ar-SA"/>
              </w:rPr>
            </w:pPr>
            <w:r>
              <w:rPr>
                <w:rFonts w:hint="eastAsia" w:ascii="宋体" w:hAnsi="宋体" w:eastAsia="宋体" w:cs="宋体"/>
                <w:color w:val="auto"/>
                <w:szCs w:val="21"/>
                <w:highlight w:val="none"/>
                <w:lang w:eastAsia="zh-CN"/>
              </w:rPr>
              <w:t>资质证书</w:t>
            </w:r>
          </w:p>
        </w:tc>
        <w:tc>
          <w:tcPr>
            <w:tcW w:w="5200" w:type="dxa"/>
            <w:tcBorders>
              <w:top w:val="single" w:color="auto" w:sz="4" w:space="0"/>
              <w:left w:val="single" w:color="auto" w:sz="4" w:space="0"/>
              <w:bottom w:val="single" w:color="auto" w:sz="4" w:space="0"/>
              <w:right w:val="single" w:color="auto" w:sz="4" w:space="0"/>
            </w:tcBorders>
            <w:noWrap w:val="0"/>
            <w:vAlign w:val="center"/>
          </w:tcPr>
          <w:p w14:paraId="000AE9C8">
            <w:pPr>
              <w:pStyle w:val="36"/>
              <w:pageBreakBefore w:val="0"/>
              <w:kinsoku/>
              <w:wordWrap/>
              <w:overflowPunct/>
              <w:topLinePunct w:val="0"/>
              <w:bidi w:val="0"/>
              <w:snapToGrid w:val="0"/>
              <w:spacing w:line="500" w:lineRule="exact"/>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highlight w:val="none"/>
              </w:rPr>
              <w:t>符合</w:t>
            </w:r>
            <w:r>
              <w:rPr>
                <w:rFonts w:hint="eastAsia" w:ascii="宋体" w:hAnsi="宋体" w:cs="宋体"/>
                <w:color w:val="auto"/>
                <w:highlight w:val="none"/>
                <w:lang w:eastAsia="zh-CN"/>
              </w:rPr>
              <w:t>采购文件要求。</w:t>
            </w:r>
          </w:p>
        </w:tc>
      </w:tr>
      <w:tr w14:paraId="46F27853">
        <w:tblPrEx>
          <w:tblCellMar>
            <w:top w:w="0" w:type="dxa"/>
            <w:left w:w="108" w:type="dxa"/>
            <w:bottom w:w="0" w:type="dxa"/>
            <w:right w:w="108" w:type="dxa"/>
          </w:tblCellMar>
        </w:tblPrEx>
        <w:trPr>
          <w:trHeight w:val="622" w:hRule="atLeast"/>
          <w:jc w:val="center"/>
        </w:trPr>
        <w:tc>
          <w:tcPr>
            <w:tcW w:w="944" w:type="dxa"/>
            <w:vMerge w:val="continue"/>
            <w:tcBorders>
              <w:top w:val="single" w:color="auto" w:sz="4" w:space="0"/>
              <w:left w:val="single" w:color="auto" w:sz="4" w:space="0"/>
              <w:bottom w:val="single" w:color="auto" w:sz="4" w:space="0"/>
              <w:right w:val="single" w:color="auto" w:sz="4" w:space="0"/>
            </w:tcBorders>
            <w:noWrap w:val="0"/>
            <w:vAlign w:val="center"/>
          </w:tcPr>
          <w:p w14:paraId="7AC33C0F">
            <w:pPr>
              <w:pageBreakBefore w:val="0"/>
              <w:widowControl/>
              <w:kinsoku/>
              <w:wordWrap/>
              <w:overflowPunct/>
              <w:topLinePunct w:val="0"/>
              <w:bidi w:val="0"/>
              <w:spacing w:line="500" w:lineRule="exact"/>
              <w:jc w:val="left"/>
              <w:rPr>
                <w:rFonts w:hint="eastAsia" w:ascii="宋体" w:hAnsi="宋体" w:cs="宋体"/>
                <w:color w:val="auto"/>
                <w:highlight w:val="none"/>
              </w:rPr>
            </w:pPr>
          </w:p>
        </w:tc>
        <w:tc>
          <w:tcPr>
            <w:tcW w:w="1460" w:type="dxa"/>
            <w:vMerge w:val="continue"/>
            <w:tcBorders>
              <w:top w:val="single" w:color="auto" w:sz="4" w:space="0"/>
              <w:left w:val="single" w:color="auto" w:sz="4" w:space="0"/>
              <w:bottom w:val="single" w:color="auto" w:sz="4" w:space="0"/>
              <w:right w:val="single" w:color="auto" w:sz="4" w:space="0"/>
            </w:tcBorders>
            <w:noWrap w:val="0"/>
            <w:vAlign w:val="center"/>
          </w:tcPr>
          <w:p w14:paraId="45B0469C">
            <w:pPr>
              <w:pageBreakBefore w:val="0"/>
              <w:widowControl/>
              <w:kinsoku/>
              <w:wordWrap/>
              <w:overflowPunct/>
              <w:topLinePunct w:val="0"/>
              <w:bidi w:val="0"/>
              <w:spacing w:line="500" w:lineRule="exact"/>
              <w:jc w:val="left"/>
              <w:rPr>
                <w:rFonts w:hint="eastAsia" w:ascii="宋体" w:hAnsi="宋体" w:cs="宋体"/>
                <w:color w:val="auto"/>
                <w:kern w:val="0"/>
                <w:highlight w:val="none"/>
              </w:rPr>
            </w:pPr>
          </w:p>
        </w:tc>
        <w:tc>
          <w:tcPr>
            <w:tcW w:w="2344" w:type="dxa"/>
            <w:tcBorders>
              <w:top w:val="single" w:color="auto" w:sz="4" w:space="0"/>
              <w:left w:val="single" w:color="auto" w:sz="4" w:space="0"/>
              <w:bottom w:val="single" w:color="auto" w:sz="4" w:space="0"/>
              <w:right w:val="single" w:color="auto" w:sz="4" w:space="0"/>
            </w:tcBorders>
            <w:noWrap w:val="0"/>
            <w:vAlign w:val="center"/>
          </w:tcPr>
          <w:p w14:paraId="014AAE32">
            <w:pPr>
              <w:pStyle w:val="36"/>
              <w:pageBreakBefore w:val="0"/>
              <w:kinsoku/>
              <w:wordWrap/>
              <w:overflowPunct/>
              <w:topLinePunct w:val="0"/>
              <w:bidi w:val="0"/>
              <w:snapToGrid w:val="0"/>
              <w:spacing w:line="500" w:lineRule="exact"/>
              <w:jc w:val="left"/>
              <w:rPr>
                <w:rFonts w:hint="eastAsia" w:ascii="宋体" w:hAnsi="宋体" w:eastAsia="宋体" w:cs="宋体"/>
                <w:color w:val="auto"/>
                <w:szCs w:val="21"/>
                <w:highlight w:val="none"/>
                <w:lang w:eastAsia="zh-CN"/>
              </w:rPr>
            </w:pPr>
            <w:r>
              <w:rPr>
                <w:rFonts w:hint="eastAsia" w:ascii="宋体" w:hAnsi="宋体" w:eastAsia="宋体" w:cs="宋体"/>
                <w:color w:val="auto"/>
                <w:kern w:val="0"/>
                <w:sz w:val="21"/>
                <w:szCs w:val="21"/>
                <w:highlight w:val="none"/>
                <w:lang w:val="en-US" w:eastAsia="zh-CN"/>
              </w:rPr>
              <w:t>落实政府采购政策需满足的资格要求</w:t>
            </w:r>
          </w:p>
        </w:tc>
        <w:tc>
          <w:tcPr>
            <w:tcW w:w="5200" w:type="dxa"/>
            <w:tcBorders>
              <w:top w:val="single" w:color="auto" w:sz="4" w:space="0"/>
              <w:left w:val="single" w:color="auto" w:sz="4" w:space="0"/>
              <w:bottom w:val="single" w:color="auto" w:sz="4" w:space="0"/>
              <w:right w:val="single" w:color="auto" w:sz="4" w:space="0"/>
            </w:tcBorders>
            <w:noWrap w:val="0"/>
            <w:vAlign w:val="center"/>
          </w:tcPr>
          <w:p w14:paraId="025D91C1">
            <w:pPr>
              <w:pStyle w:val="36"/>
              <w:pageBreakBefore w:val="0"/>
              <w:kinsoku/>
              <w:wordWrap/>
              <w:overflowPunct/>
              <w:topLinePunct w:val="0"/>
              <w:bidi w:val="0"/>
              <w:snapToGrid w:val="0"/>
              <w:spacing w:line="500" w:lineRule="exact"/>
              <w:rPr>
                <w:rFonts w:hint="eastAsia" w:ascii="宋体" w:hAnsi="宋体" w:cs="宋体"/>
                <w:color w:val="auto"/>
                <w:highlight w:val="none"/>
              </w:rPr>
            </w:pPr>
            <w:r>
              <w:rPr>
                <w:rFonts w:hint="eastAsia" w:ascii="宋体" w:hAnsi="宋体" w:cs="宋体"/>
                <w:color w:val="000000" w:themeColor="text1"/>
                <w:highlight w:val="none"/>
                <w:lang w:val="en-US" w:eastAsia="zh-CN"/>
                <w14:textFill>
                  <w14:solidFill>
                    <w14:schemeClr w14:val="tx1"/>
                  </w14:solidFill>
                </w14:textFill>
              </w:rPr>
              <w:t>《中小企业声明函》或《残疾人福利性单位声明函》或省级以上监狱管理局、戒毒管理局（含新疆生产建设兵团）出具的属于监狱企业的证明文件复印件（必须提供其中一项）</w:t>
            </w:r>
          </w:p>
        </w:tc>
      </w:tr>
      <w:tr w14:paraId="6069C0A4">
        <w:tblPrEx>
          <w:tblCellMar>
            <w:top w:w="0" w:type="dxa"/>
            <w:left w:w="108" w:type="dxa"/>
            <w:bottom w:w="0" w:type="dxa"/>
            <w:right w:w="108" w:type="dxa"/>
          </w:tblCellMar>
        </w:tblPrEx>
        <w:trPr>
          <w:trHeight w:val="497" w:hRule="atLeast"/>
          <w:jc w:val="center"/>
        </w:trPr>
        <w:tc>
          <w:tcPr>
            <w:tcW w:w="944" w:type="dxa"/>
            <w:vMerge w:val="continue"/>
            <w:tcBorders>
              <w:top w:val="single" w:color="auto" w:sz="4" w:space="0"/>
              <w:left w:val="single" w:color="auto" w:sz="4" w:space="0"/>
              <w:bottom w:val="single" w:color="auto" w:sz="4" w:space="0"/>
              <w:right w:val="single" w:color="auto" w:sz="4" w:space="0"/>
            </w:tcBorders>
            <w:noWrap w:val="0"/>
            <w:vAlign w:val="center"/>
          </w:tcPr>
          <w:p w14:paraId="25C97E81">
            <w:pPr>
              <w:pageBreakBefore w:val="0"/>
              <w:widowControl/>
              <w:kinsoku/>
              <w:wordWrap/>
              <w:overflowPunct/>
              <w:topLinePunct w:val="0"/>
              <w:bidi w:val="0"/>
              <w:spacing w:line="500" w:lineRule="exact"/>
              <w:jc w:val="left"/>
              <w:rPr>
                <w:rFonts w:hint="eastAsia" w:ascii="宋体" w:hAnsi="宋体" w:cs="宋体"/>
                <w:color w:val="auto"/>
                <w:highlight w:val="none"/>
              </w:rPr>
            </w:pPr>
          </w:p>
        </w:tc>
        <w:tc>
          <w:tcPr>
            <w:tcW w:w="1460" w:type="dxa"/>
            <w:vMerge w:val="continue"/>
            <w:tcBorders>
              <w:top w:val="single" w:color="auto" w:sz="4" w:space="0"/>
              <w:left w:val="single" w:color="auto" w:sz="4" w:space="0"/>
              <w:bottom w:val="single" w:color="auto" w:sz="4" w:space="0"/>
              <w:right w:val="single" w:color="auto" w:sz="4" w:space="0"/>
            </w:tcBorders>
            <w:noWrap w:val="0"/>
            <w:vAlign w:val="center"/>
          </w:tcPr>
          <w:p w14:paraId="583A9516">
            <w:pPr>
              <w:pageBreakBefore w:val="0"/>
              <w:widowControl/>
              <w:kinsoku/>
              <w:wordWrap/>
              <w:overflowPunct/>
              <w:topLinePunct w:val="0"/>
              <w:bidi w:val="0"/>
              <w:spacing w:line="500" w:lineRule="exact"/>
              <w:jc w:val="left"/>
              <w:rPr>
                <w:rFonts w:hint="eastAsia" w:ascii="宋体" w:hAnsi="宋体" w:cs="宋体"/>
                <w:color w:val="auto"/>
                <w:kern w:val="0"/>
                <w:highlight w:val="none"/>
              </w:rPr>
            </w:pPr>
          </w:p>
        </w:tc>
        <w:tc>
          <w:tcPr>
            <w:tcW w:w="2344" w:type="dxa"/>
            <w:tcBorders>
              <w:top w:val="single" w:color="auto" w:sz="4" w:space="0"/>
              <w:left w:val="single" w:color="auto" w:sz="4" w:space="0"/>
              <w:bottom w:val="single" w:color="auto" w:sz="4" w:space="0"/>
              <w:right w:val="single" w:color="auto" w:sz="4" w:space="0"/>
            </w:tcBorders>
            <w:noWrap w:val="0"/>
            <w:vAlign w:val="center"/>
          </w:tcPr>
          <w:p w14:paraId="477D22AF">
            <w:pPr>
              <w:pStyle w:val="36"/>
              <w:pageBreakBefore w:val="0"/>
              <w:kinsoku/>
              <w:wordWrap/>
              <w:overflowPunct/>
              <w:topLinePunct w:val="0"/>
              <w:bidi w:val="0"/>
              <w:snapToGrid w:val="0"/>
              <w:spacing w:line="500" w:lineRule="exact"/>
              <w:jc w:val="left"/>
              <w:rPr>
                <w:rFonts w:hint="eastAsia" w:ascii="宋体" w:hAnsi="宋体" w:cs="宋体"/>
                <w:color w:val="auto"/>
                <w:highlight w:val="none"/>
              </w:rPr>
            </w:pPr>
            <w:r>
              <w:rPr>
                <w:rFonts w:hint="eastAsia" w:ascii="宋体" w:hAnsi="宋体" w:cs="宋体"/>
                <w:color w:val="auto"/>
                <w:highlight w:val="none"/>
              </w:rPr>
              <w:t>安全生产许可证</w:t>
            </w:r>
          </w:p>
        </w:tc>
        <w:tc>
          <w:tcPr>
            <w:tcW w:w="5200" w:type="dxa"/>
            <w:tcBorders>
              <w:top w:val="single" w:color="auto" w:sz="4" w:space="0"/>
              <w:left w:val="single" w:color="auto" w:sz="4" w:space="0"/>
              <w:bottom w:val="single" w:color="auto" w:sz="4" w:space="0"/>
              <w:right w:val="single" w:color="auto" w:sz="4" w:space="0"/>
            </w:tcBorders>
            <w:noWrap w:val="0"/>
            <w:vAlign w:val="center"/>
          </w:tcPr>
          <w:p w14:paraId="188053E6">
            <w:pPr>
              <w:pStyle w:val="36"/>
              <w:pageBreakBefore w:val="0"/>
              <w:kinsoku/>
              <w:wordWrap/>
              <w:overflowPunct/>
              <w:topLinePunct w:val="0"/>
              <w:bidi w:val="0"/>
              <w:snapToGrid w:val="0"/>
              <w:spacing w:line="500" w:lineRule="exact"/>
              <w:rPr>
                <w:rFonts w:hint="eastAsia" w:ascii="宋体" w:hAnsi="宋体" w:eastAsia="宋体" w:cs="宋体"/>
                <w:color w:val="auto"/>
                <w:highlight w:val="none"/>
                <w:lang w:eastAsia="zh-CN"/>
              </w:rPr>
            </w:pPr>
            <w:r>
              <w:rPr>
                <w:rFonts w:hint="eastAsia" w:ascii="宋体" w:hAnsi="宋体" w:cs="宋体"/>
                <w:color w:val="auto"/>
                <w:highlight w:val="none"/>
                <w:lang w:eastAsia="zh-CN"/>
              </w:rPr>
              <w:t>提供</w:t>
            </w:r>
            <w:r>
              <w:rPr>
                <w:rFonts w:hint="eastAsia" w:ascii="宋体" w:hAnsi="宋体" w:cs="宋体"/>
                <w:color w:val="auto"/>
                <w:highlight w:val="none"/>
              </w:rPr>
              <w:t>有效的安全生产许可证</w:t>
            </w:r>
            <w:r>
              <w:rPr>
                <w:rFonts w:hint="eastAsia" w:ascii="宋体" w:hAnsi="宋体" w:cs="宋体"/>
                <w:color w:val="auto"/>
                <w:highlight w:val="none"/>
                <w:lang w:eastAsia="zh-CN"/>
              </w:rPr>
              <w:t>复印件取得“三证合一”的除外。</w:t>
            </w:r>
          </w:p>
        </w:tc>
      </w:tr>
      <w:tr w14:paraId="24DAE687">
        <w:tblPrEx>
          <w:tblCellMar>
            <w:top w:w="0" w:type="dxa"/>
            <w:left w:w="108" w:type="dxa"/>
            <w:bottom w:w="0" w:type="dxa"/>
            <w:right w:w="108" w:type="dxa"/>
          </w:tblCellMar>
        </w:tblPrEx>
        <w:trPr>
          <w:trHeight w:val="560" w:hRule="atLeast"/>
          <w:jc w:val="center"/>
        </w:trPr>
        <w:tc>
          <w:tcPr>
            <w:tcW w:w="944" w:type="dxa"/>
            <w:vMerge w:val="continue"/>
            <w:tcBorders>
              <w:top w:val="single" w:color="auto" w:sz="4" w:space="0"/>
              <w:left w:val="single" w:color="auto" w:sz="4" w:space="0"/>
              <w:bottom w:val="single" w:color="auto" w:sz="4" w:space="0"/>
              <w:right w:val="single" w:color="auto" w:sz="4" w:space="0"/>
            </w:tcBorders>
            <w:noWrap w:val="0"/>
            <w:vAlign w:val="center"/>
          </w:tcPr>
          <w:p w14:paraId="5DFFE4AD">
            <w:pPr>
              <w:pageBreakBefore w:val="0"/>
              <w:widowControl/>
              <w:kinsoku/>
              <w:wordWrap/>
              <w:overflowPunct/>
              <w:topLinePunct w:val="0"/>
              <w:bidi w:val="0"/>
              <w:spacing w:line="500" w:lineRule="exact"/>
              <w:jc w:val="left"/>
              <w:rPr>
                <w:rFonts w:hint="eastAsia" w:ascii="宋体" w:hAnsi="宋体" w:cs="宋体"/>
                <w:color w:val="auto"/>
                <w:highlight w:val="none"/>
              </w:rPr>
            </w:pPr>
          </w:p>
        </w:tc>
        <w:tc>
          <w:tcPr>
            <w:tcW w:w="1460" w:type="dxa"/>
            <w:vMerge w:val="continue"/>
            <w:tcBorders>
              <w:top w:val="single" w:color="auto" w:sz="4" w:space="0"/>
              <w:left w:val="single" w:color="auto" w:sz="4" w:space="0"/>
              <w:bottom w:val="single" w:color="auto" w:sz="4" w:space="0"/>
              <w:right w:val="single" w:color="auto" w:sz="4" w:space="0"/>
            </w:tcBorders>
            <w:noWrap w:val="0"/>
            <w:vAlign w:val="center"/>
          </w:tcPr>
          <w:p w14:paraId="6F0E7CBD">
            <w:pPr>
              <w:pageBreakBefore w:val="0"/>
              <w:widowControl/>
              <w:kinsoku/>
              <w:wordWrap/>
              <w:overflowPunct/>
              <w:topLinePunct w:val="0"/>
              <w:bidi w:val="0"/>
              <w:spacing w:line="500" w:lineRule="exact"/>
              <w:jc w:val="left"/>
              <w:rPr>
                <w:rFonts w:hint="eastAsia" w:ascii="宋体" w:hAnsi="宋体" w:cs="宋体"/>
                <w:color w:val="auto"/>
                <w:kern w:val="0"/>
                <w:highlight w:val="none"/>
              </w:rPr>
            </w:pPr>
          </w:p>
        </w:tc>
        <w:tc>
          <w:tcPr>
            <w:tcW w:w="2344" w:type="dxa"/>
            <w:tcBorders>
              <w:top w:val="single" w:color="auto" w:sz="4" w:space="0"/>
              <w:left w:val="single" w:color="auto" w:sz="4" w:space="0"/>
              <w:bottom w:val="single" w:color="auto" w:sz="4" w:space="0"/>
              <w:right w:val="single" w:color="auto" w:sz="4" w:space="0"/>
            </w:tcBorders>
            <w:noWrap w:val="0"/>
            <w:vAlign w:val="center"/>
          </w:tcPr>
          <w:p w14:paraId="635A7BB9">
            <w:pPr>
              <w:pStyle w:val="36"/>
              <w:pageBreakBefore w:val="0"/>
              <w:kinsoku/>
              <w:wordWrap/>
              <w:overflowPunct/>
              <w:topLinePunct w:val="0"/>
              <w:bidi w:val="0"/>
              <w:snapToGrid w:val="0"/>
              <w:spacing w:line="500" w:lineRule="exact"/>
              <w:jc w:val="left"/>
              <w:rPr>
                <w:rFonts w:hint="eastAsia" w:ascii="宋体" w:hAnsi="宋体" w:eastAsia="宋体" w:cs="宋体"/>
                <w:color w:val="auto"/>
                <w:highlight w:val="none"/>
                <w:lang w:eastAsia="zh-CN"/>
              </w:rPr>
            </w:pPr>
            <w:r>
              <w:rPr>
                <w:rFonts w:hint="eastAsia" w:ascii="宋体" w:hAnsi="宋体" w:eastAsia="宋体" w:cs="宋体"/>
                <w:color w:val="auto"/>
                <w:szCs w:val="21"/>
                <w:highlight w:val="none"/>
                <w:lang w:eastAsia="zh-CN"/>
              </w:rPr>
              <w:t>财务状况报告</w:t>
            </w:r>
          </w:p>
        </w:tc>
        <w:tc>
          <w:tcPr>
            <w:tcW w:w="5200" w:type="dxa"/>
            <w:tcBorders>
              <w:top w:val="single" w:color="auto" w:sz="4" w:space="0"/>
              <w:left w:val="single" w:color="auto" w:sz="4" w:space="0"/>
              <w:bottom w:val="single" w:color="auto" w:sz="4" w:space="0"/>
              <w:right w:val="single" w:color="auto" w:sz="4" w:space="0"/>
            </w:tcBorders>
            <w:noWrap w:val="0"/>
            <w:vAlign w:val="center"/>
          </w:tcPr>
          <w:p w14:paraId="63616AE3">
            <w:pPr>
              <w:pStyle w:val="36"/>
              <w:pageBreakBefore w:val="0"/>
              <w:kinsoku/>
              <w:wordWrap/>
              <w:overflowPunct/>
              <w:topLinePunct w:val="0"/>
              <w:bidi w:val="0"/>
              <w:snapToGrid w:val="0"/>
              <w:spacing w:line="500" w:lineRule="exact"/>
              <w:rPr>
                <w:rFonts w:hint="eastAsia" w:ascii="宋体" w:hAnsi="宋体" w:cs="宋体"/>
                <w:color w:val="auto"/>
                <w:highlight w:val="none"/>
              </w:rPr>
            </w:pPr>
            <w:r>
              <w:rPr>
                <w:rFonts w:hint="eastAsia" w:ascii="宋体" w:hAnsi="宋体" w:cs="宋体"/>
                <w:color w:val="auto"/>
                <w:highlight w:val="none"/>
                <w:lang w:eastAsia="zh-CN"/>
              </w:rPr>
              <w:t>按采购文件要求提供。</w:t>
            </w:r>
          </w:p>
        </w:tc>
      </w:tr>
      <w:tr w14:paraId="20B09A30">
        <w:tblPrEx>
          <w:tblCellMar>
            <w:top w:w="0" w:type="dxa"/>
            <w:left w:w="108" w:type="dxa"/>
            <w:bottom w:w="0" w:type="dxa"/>
            <w:right w:w="108" w:type="dxa"/>
          </w:tblCellMar>
        </w:tblPrEx>
        <w:trPr>
          <w:trHeight w:val="514" w:hRule="atLeast"/>
          <w:jc w:val="center"/>
        </w:trPr>
        <w:tc>
          <w:tcPr>
            <w:tcW w:w="944" w:type="dxa"/>
            <w:vMerge w:val="continue"/>
            <w:tcBorders>
              <w:top w:val="single" w:color="auto" w:sz="4" w:space="0"/>
              <w:left w:val="single" w:color="auto" w:sz="4" w:space="0"/>
              <w:bottom w:val="single" w:color="auto" w:sz="4" w:space="0"/>
              <w:right w:val="single" w:color="auto" w:sz="4" w:space="0"/>
            </w:tcBorders>
            <w:noWrap w:val="0"/>
            <w:vAlign w:val="center"/>
          </w:tcPr>
          <w:p w14:paraId="04370B4A">
            <w:pPr>
              <w:pageBreakBefore w:val="0"/>
              <w:widowControl/>
              <w:kinsoku/>
              <w:wordWrap/>
              <w:overflowPunct/>
              <w:topLinePunct w:val="0"/>
              <w:bidi w:val="0"/>
              <w:spacing w:line="500" w:lineRule="exact"/>
              <w:jc w:val="left"/>
              <w:rPr>
                <w:rFonts w:hint="eastAsia" w:ascii="宋体" w:hAnsi="宋体" w:cs="宋体"/>
                <w:color w:val="auto"/>
                <w:highlight w:val="none"/>
              </w:rPr>
            </w:pPr>
          </w:p>
        </w:tc>
        <w:tc>
          <w:tcPr>
            <w:tcW w:w="1460" w:type="dxa"/>
            <w:vMerge w:val="continue"/>
            <w:tcBorders>
              <w:top w:val="single" w:color="auto" w:sz="4" w:space="0"/>
              <w:left w:val="single" w:color="auto" w:sz="4" w:space="0"/>
              <w:bottom w:val="single" w:color="auto" w:sz="4" w:space="0"/>
              <w:right w:val="single" w:color="auto" w:sz="4" w:space="0"/>
            </w:tcBorders>
            <w:noWrap w:val="0"/>
            <w:vAlign w:val="center"/>
          </w:tcPr>
          <w:p w14:paraId="0A3A1CD6">
            <w:pPr>
              <w:pageBreakBefore w:val="0"/>
              <w:widowControl/>
              <w:kinsoku/>
              <w:wordWrap/>
              <w:overflowPunct/>
              <w:topLinePunct w:val="0"/>
              <w:bidi w:val="0"/>
              <w:spacing w:line="500" w:lineRule="exact"/>
              <w:jc w:val="left"/>
              <w:rPr>
                <w:rFonts w:hint="eastAsia" w:ascii="宋体" w:hAnsi="宋体" w:cs="宋体"/>
                <w:color w:val="auto"/>
                <w:kern w:val="0"/>
                <w:highlight w:val="none"/>
              </w:rPr>
            </w:pPr>
          </w:p>
        </w:tc>
        <w:tc>
          <w:tcPr>
            <w:tcW w:w="2344" w:type="dxa"/>
            <w:tcBorders>
              <w:top w:val="single" w:color="auto" w:sz="4" w:space="0"/>
              <w:left w:val="single" w:color="auto" w:sz="4" w:space="0"/>
              <w:bottom w:val="single" w:color="auto" w:sz="4" w:space="0"/>
              <w:right w:val="single" w:color="auto" w:sz="4" w:space="0"/>
            </w:tcBorders>
            <w:noWrap w:val="0"/>
            <w:vAlign w:val="center"/>
          </w:tcPr>
          <w:p w14:paraId="2EB22731">
            <w:pPr>
              <w:pStyle w:val="36"/>
              <w:pageBreakBefore w:val="0"/>
              <w:kinsoku/>
              <w:wordWrap/>
              <w:overflowPunct/>
              <w:topLinePunct w:val="0"/>
              <w:bidi w:val="0"/>
              <w:snapToGrid w:val="0"/>
              <w:spacing w:line="500" w:lineRule="exact"/>
              <w:jc w:val="left"/>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highlight w:val="none"/>
                <w:lang w:eastAsia="zh-CN"/>
              </w:rPr>
              <w:t>依法纳税证明材料</w:t>
            </w:r>
          </w:p>
        </w:tc>
        <w:tc>
          <w:tcPr>
            <w:tcW w:w="5200" w:type="dxa"/>
            <w:tcBorders>
              <w:top w:val="single" w:color="auto" w:sz="4" w:space="0"/>
              <w:left w:val="single" w:color="auto" w:sz="4" w:space="0"/>
              <w:right w:val="single" w:color="auto" w:sz="4" w:space="0"/>
            </w:tcBorders>
            <w:noWrap w:val="0"/>
            <w:vAlign w:val="center"/>
          </w:tcPr>
          <w:p w14:paraId="12AE1A11">
            <w:pPr>
              <w:pStyle w:val="36"/>
              <w:pageBreakBefore w:val="0"/>
              <w:kinsoku/>
              <w:wordWrap/>
              <w:overflowPunct/>
              <w:topLinePunct w:val="0"/>
              <w:bidi w:val="0"/>
              <w:snapToGrid w:val="0"/>
              <w:spacing w:line="500" w:lineRule="exact"/>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highlight w:val="none"/>
                <w:lang w:eastAsia="zh-CN"/>
              </w:rPr>
              <w:t>按采购文件要求提供。</w:t>
            </w:r>
          </w:p>
        </w:tc>
      </w:tr>
      <w:tr w14:paraId="3E62A6A1">
        <w:tblPrEx>
          <w:tblCellMar>
            <w:top w:w="0" w:type="dxa"/>
            <w:left w:w="108" w:type="dxa"/>
            <w:bottom w:w="0" w:type="dxa"/>
            <w:right w:w="108" w:type="dxa"/>
          </w:tblCellMar>
        </w:tblPrEx>
        <w:trPr>
          <w:trHeight w:val="487" w:hRule="atLeast"/>
          <w:jc w:val="center"/>
        </w:trPr>
        <w:tc>
          <w:tcPr>
            <w:tcW w:w="944" w:type="dxa"/>
            <w:vMerge w:val="restart"/>
            <w:tcBorders>
              <w:top w:val="single" w:color="auto" w:sz="4" w:space="0"/>
              <w:left w:val="single" w:color="auto" w:sz="4" w:space="0"/>
              <w:bottom w:val="single" w:color="auto" w:sz="4" w:space="0"/>
              <w:right w:val="single" w:color="auto" w:sz="4" w:space="0"/>
            </w:tcBorders>
            <w:noWrap w:val="0"/>
            <w:vAlign w:val="center"/>
          </w:tcPr>
          <w:p w14:paraId="301C9B2F">
            <w:pPr>
              <w:pageBreakBefore w:val="0"/>
              <w:kinsoku/>
              <w:wordWrap/>
              <w:overflowPunct/>
              <w:topLinePunct w:val="0"/>
              <w:bidi w:val="0"/>
              <w:spacing w:line="500" w:lineRule="exact"/>
              <w:jc w:val="center"/>
              <w:rPr>
                <w:rFonts w:hint="eastAsia" w:ascii="宋体" w:hAnsi="宋体" w:cs="宋体"/>
                <w:b/>
                <w:color w:val="auto"/>
                <w:highlight w:val="none"/>
              </w:rPr>
            </w:pPr>
            <w:r>
              <w:rPr>
                <w:rFonts w:hint="eastAsia" w:ascii="宋体" w:hAnsi="宋体" w:cs="宋体"/>
                <w:bCs/>
                <w:color w:val="auto"/>
                <w:highlight w:val="none"/>
              </w:rPr>
              <w:t>2.1.2</w:t>
            </w:r>
          </w:p>
        </w:tc>
        <w:tc>
          <w:tcPr>
            <w:tcW w:w="1460" w:type="dxa"/>
            <w:vMerge w:val="restart"/>
            <w:tcBorders>
              <w:top w:val="single" w:color="auto" w:sz="4" w:space="0"/>
              <w:left w:val="single" w:color="auto" w:sz="4" w:space="0"/>
              <w:bottom w:val="single" w:color="auto" w:sz="4" w:space="0"/>
              <w:right w:val="single" w:color="auto" w:sz="4" w:space="0"/>
            </w:tcBorders>
            <w:noWrap w:val="0"/>
            <w:vAlign w:val="center"/>
          </w:tcPr>
          <w:p w14:paraId="47C93ADA">
            <w:pPr>
              <w:pageBreakBefore w:val="0"/>
              <w:kinsoku/>
              <w:wordWrap/>
              <w:overflowPunct/>
              <w:topLinePunct w:val="0"/>
              <w:bidi w:val="0"/>
              <w:spacing w:line="500" w:lineRule="exact"/>
              <w:jc w:val="center"/>
              <w:rPr>
                <w:rFonts w:hint="eastAsia" w:ascii="宋体" w:hAnsi="宋体" w:eastAsia="宋体" w:cs="宋体"/>
                <w:color w:val="auto"/>
                <w:highlight w:val="none"/>
                <w:lang w:eastAsia="zh-CN"/>
              </w:rPr>
            </w:pPr>
            <w:r>
              <w:rPr>
                <w:rFonts w:hint="eastAsia" w:ascii="宋体" w:hAnsi="宋体" w:cs="宋体"/>
                <w:color w:val="auto"/>
                <w:highlight w:val="none"/>
                <w:lang w:eastAsia="zh-CN"/>
              </w:rPr>
              <w:t>符合性评审</w:t>
            </w:r>
          </w:p>
        </w:tc>
        <w:tc>
          <w:tcPr>
            <w:tcW w:w="2344" w:type="dxa"/>
            <w:tcBorders>
              <w:top w:val="single" w:color="auto" w:sz="4" w:space="0"/>
              <w:left w:val="single" w:color="auto" w:sz="4" w:space="0"/>
              <w:bottom w:val="single" w:color="auto" w:sz="4" w:space="0"/>
              <w:right w:val="single" w:color="auto" w:sz="4" w:space="0"/>
            </w:tcBorders>
            <w:noWrap w:val="0"/>
            <w:vAlign w:val="center"/>
          </w:tcPr>
          <w:p w14:paraId="7418F9FD">
            <w:pPr>
              <w:pageBreakBefore w:val="0"/>
              <w:kinsoku/>
              <w:wordWrap/>
              <w:overflowPunct/>
              <w:topLinePunct w:val="0"/>
              <w:bidi w:val="0"/>
              <w:spacing w:line="500" w:lineRule="exact"/>
              <w:rPr>
                <w:rFonts w:hint="eastAsia" w:ascii="宋体" w:hAnsi="宋体" w:cs="宋体"/>
                <w:b/>
                <w:bCs/>
                <w:color w:val="auto"/>
                <w:highlight w:val="none"/>
              </w:rPr>
            </w:pPr>
            <w:r>
              <w:rPr>
                <w:rFonts w:hint="eastAsia" w:ascii="宋体" w:hAnsi="宋体" w:cs="宋体"/>
                <w:b/>
                <w:bCs/>
                <w:color w:val="auto"/>
                <w:highlight w:val="none"/>
              </w:rPr>
              <w:t>评审因素</w:t>
            </w:r>
          </w:p>
        </w:tc>
        <w:tc>
          <w:tcPr>
            <w:tcW w:w="5200" w:type="dxa"/>
            <w:tcBorders>
              <w:top w:val="single" w:color="auto" w:sz="4" w:space="0"/>
              <w:left w:val="single" w:color="auto" w:sz="4" w:space="0"/>
              <w:bottom w:val="single" w:color="auto" w:sz="4" w:space="0"/>
              <w:right w:val="single" w:color="auto" w:sz="4" w:space="0"/>
            </w:tcBorders>
            <w:noWrap w:val="0"/>
            <w:vAlign w:val="center"/>
          </w:tcPr>
          <w:p w14:paraId="4AEECDEE">
            <w:pPr>
              <w:pageBreakBefore w:val="0"/>
              <w:kinsoku/>
              <w:wordWrap/>
              <w:overflowPunct/>
              <w:topLinePunct w:val="0"/>
              <w:bidi w:val="0"/>
              <w:spacing w:line="500" w:lineRule="exact"/>
              <w:rPr>
                <w:rFonts w:hint="eastAsia" w:ascii="宋体" w:hAnsi="宋体" w:cs="宋体"/>
                <w:b/>
                <w:bCs/>
                <w:color w:val="auto"/>
                <w:highlight w:val="none"/>
              </w:rPr>
            </w:pPr>
            <w:r>
              <w:rPr>
                <w:rFonts w:hint="eastAsia" w:ascii="宋体" w:hAnsi="宋体" w:cs="宋体"/>
                <w:b/>
                <w:bCs/>
                <w:color w:val="auto"/>
                <w:highlight w:val="none"/>
              </w:rPr>
              <w:t>评审标准（合格标准：缺少任何一项或有任何一项不合格者，其</w:t>
            </w:r>
            <w:r>
              <w:rPr>
                <w:rFonts w:hint="eastAsia" w:ascii="宋体" w:hAnsi="宋体" w:cs="宋体"/>
                <w:b/>
                <w:bCs/>
                <w:color w:val="auto"/>
                <w:highlight w:val="none"/>
                <w:lang w:eastAsia="zh-CN"/>
              </w:rPr>
              <w:t>符合性评审</w:t>
            </w:r>
            <w:r>
              <w:rPr>
                <w:rFonts w:hint="eastAsia" w:ascii="宋体" w:hAnsi="宋体" w:cs="宋体"/>
                <w:b/>
                <w:bCs/>
                <w:color w:val="auto"/>
                <w:highlight w:val="none"/>
              </w:rPr>
              <w:t>视为不合格）</w:t>
            </w:r>
          </w:p>
        </w:tc>
      </w:tr>
      <w:tr w14:paraId="3D67CC55">
        <w:tblPrEx>
          <w:tblCellMar>
            <w:top w:w="0" w:type="dxa"/>
            <w:left w:w="108" w:type="dxa"/>
            <w:bottom w:w="0" w:type="dxa"/>
            <w:right w:w="108" w:type="dxa"/>
          </w:tblCellMar>
        </w:tblPrEx>
        <w:trPr>
          <w:trHeight w:val="515" w:hRule="atLeast"/>
          <w:jc w:val="center"/>
        </w:trPr>
        <w:tc>
          <w:tcPr>
            <w:tcW w:w="944" w:type="dxa"/>
            <w:vMerge w:val="continue"/>
            <w:tcBorders>
              <w:top w:val="single" w:color="auto" w:sz="4" w:space="0"/>
              <w:left w:val="single" w:color="auto" w:sz="4" w:space="0"/>
              <w:bottom w:val="single" w:color="auto" w:sz="4" w:space="0"/>
              <w:right w:val="single" w:color="000000" w:sz="4" w:space="0"/>
            </w:tcBorders>
            <w:noWrap w:val="0"/>
            <w:vAlign w:val="center"/>
          </w:tcPr>
          <w:p w14:paraId="54E851F2">
            <w:pPr>
              <w:pageBreakBefore w:val="0"/>
              <w:kinsoku/>
              <w:wordWrap/>
              <w:overflowPunct/>
              <w:topLinePunct w:val="0"/>
              <w:bidi w:val="0"/>
              <w:spacing w:line="500" w:lineRule="exact"/>
              <w:rPr>
                <w:rFonts w:hint="eastAsia" w:ascii="宋体" w:hAnsi="宋体" w:cs="宋体"/>
                <w:color w:val="auto"/>
                <w:highlight w:val="none"/>
              </w:rPr>
            </w:pPr>
          </w:p>
        </w:tc>
        <w:tc>
          <w:tcPr>
            <w:tcW w:w="1460" w:type="dxa"/>
            <w:vMerge w:val="continue"/>
            <w:tcBorders>
              <w:top w:val="single" w:color="auto" w:sz="4" w:space="0"/>
              <w:left w:val="single" w:color="000000" w:sz="4" w:space="0"/>
              <w:bottom w:val="single" w:color="auto" w:sz="4" w:space="0"/>
              <w:right w:val="single" w:color="000000" w:sz="4" w:space="0"/>
            </w:tcBorders>
            <w:noWrap w:val="0"/>
            <w:vAlign w:val="center"/>
          </w:tcPr>
          <w:p w14:paraId="4260F0D2">
            <w:pPr>
              <w:pageBreakBefore w:val="0"/>
              <w:kinsoku/>
              <w:wordWrap/>
              <w:overflowPunct/>
              <w:topLinePunct w:val="0"/>
              <w:bidi w:val="0"/>
              <w:spacing w:line="500" w:lineRule="exact"/>
              <w:rPr>
                <w:rFonts w:hint="eastAsia" w:ascii="宋体" w:hAnsi="宋体" w:cs="宋体"/>
                <w:color w:val="auto"/>
                <w:highlight w:val="none"/>
              </w:rPr>
            </w:pPr>
          </w:p>
        </w:tc>
        <w:tc>
          <w:tcPr>
            <w:tcW w:w="2344" w:type="dxa"/>
            <w:tcBorders>
              <w:top w:val="single" w:color="auto" w:sz="4" w:space="0"/>
              <w:left w:val="single" w:color="000000" w:sz="4" w:space="0"/>
              <w:bottom w:val="single" w:color="000000" w:sz="4" w:space="0"/>
              <w:right w:val="single" w:color="000000" w:sz="4" w:space="0"/>
            </w:tcBorders>
            <w:noWrap w:val="0"/>
            <w:vAlign w:val="center"/>
          </w:tcPr>
          <w:p w14:paraId="3D2B05B8">
            <w:pPr>
              <w:pageBreakBefore w:val="0"/>
              <w:kinsoku/>
              <w:wordWrap/>
              <w:overflowPunct/>
              <w:topLinePunct w:val="0"/>
              <w:bidi w:val="0"/>
              <w:spacing w:line="500" w:lineRule="exact"/>
              <w:rPr>
                <w:rFonts w:hint="eastAsia" w:ascii="宋体" w:hAnsi="宋体" w:cs="宋体"/>
                <w:color w:val="auto"/>
                <w:highlight w:val="none"/>
              </w:rPr>
            </w:pPr>
            <w:r>
              <w:rPr>
                <w:rFonts w:hint="eastAsia" w:ascii="宋体" w:hAnsi="宋体" w:cs="宋体"/>
                <w:color w:val="auto"/>
                <w:kern w:val="0"/>
                <w:highlight w:val="none"/>
                <w:lang w:eastAsia="zh-CN"/>
              </w:rPr>
              <w:t>响应函</w:t>
            </w:r>
          </w:p>
        </w:tc>
        <w:tc>
          <w:tcPr>
            <w:tcW w:w="5200" w:type="dxa"/>
            <w:tcBorders>
              <w:top w:val="single" w:color="auto" w:sz="4" w:space="0"/>
              <w:left w:val="single" w:color="000000" w:sz="4" w:space="0"/>
              <w:bottom w:val="single" w:color="000000" w:sz="4" w:space="0"/>
              <w:right w:val="single" w:color="000000" w:sz="4" w:space="0"/>
            </w:tcBorders>
            <w:noWrap w:val="0"/>
            <w:vAlign w:val="center"/>
          </w:tcPr>
          <w:p w14:paraId="152494C1">
            <w:pPr>
              <w:pageBreakBefore w:val="0"/>
              <w:kinsoku/>
              <w:wordWrap/>
              <w:overflowPunct/>
              <w:topLinePunct w:val="0"/>
              <w:bidi w:val="0"/>
              <w:spacing w:line="500" w:lineRule="exact"/>
              <w:rPr>
                <w:rFonts w:hint="eastAsia" w:ascii="宋体" w:hAnsi="宋体" w:eastAsia="宋体" w:cs="宋体"/>
                <w:color w:val="auto"/>
                <w:highlight w:val="none"/>
                <w:lang w:eastAsia="zh-CN"/>
              </w:rPr>
            </w:pPr>
            <w:r>
              <w:rPr>
                <w:rFonts w:hint="eastAsia" w:ascii="宋体" w:hAnsi="宋体" w:cs="宋体"/>
                <w:color w:val="auto"/>
                <w:kern w:val="0"/>
                <w:highlight w:val="none"/>
                <w:lang w:eastAsia="zh-CN"/>
              </w:rPr>
              <w:t>必须提供</w:t>
            </w:r>
          </w:p>
        </w:tc>
      </w:tr>
      <w:tr w14:paraId="47D52AC2">
        <w:tblPrEx>
          <w:tblCellMar>
            <w:top w:w="0" w:type="dxa"/>
            <w:left w:w="108" w:type="dxa"/>
            <w:bottom w:w="0" w:type="dxa"/>
            <w:right w:w="108" w:type="dxa"/>
          </w:tblCellMar>
        </w:tblPrEx>
        <w:trPr>
          <w:trHeight w:val="546" w:hRule="atLeast"/>
          <w:jc w:val="center"/>
        </w:trPr>
        <w:tc>
          <w:tcPr>
            <w:tcW w:w="944" w:type="dxa"/>
            <w:vMerge w:val="continue"/>
            <w:tcBorders>
              <w:top w:val="single" w:color="auto" w:sz="4" w:space="0"/>
              <w:left w:val="single" w:color="auto" w:sz="4" w:space="0"/>
              <w:bottom w:val="single" w:color="auto" w:sz="4" w:space="0"/>
              <w:right w:val="single" w:color="000000" w:sz="4" w:space="0"/>
            </w:tcBorders>
            <w:noWrap w:val="0"/>
            <w:vAlign w:val="center"/>
          </w:tcPr>
          <w:p w14:paraId="371B561B">
            <w:pPr>
              <w:pageBreakBefore w:val="0"/>
              <w:widowControl/>
              <w:kinsoku/>
              <w:wordWrap/>
              <w:overflowPunct/>
              <w:topLinePunct w:val="0"/>
              <w:bidi w:val="0"/>
              <w:spacing w:line="500" w:lineRule="exact"/>
              <w:jc w:val="left"/>
              <w:rPr>
                <w:rFonts w:hint="eastAsia" w:ascii="宋体" w:hAnsi="宋体" w:cs="宋体"/>
                <w:color w:val="auto"/>
                <w:highlight w:val="none"/>
              </w:rPr>
            </w:pPr>
          </w:p>
        </w:tc>
        <w:tc>
          <w:tcPr>
            <w:tcW w:w="1460" w:type="dxa"/>
            <w:vMerge w:val="continue"/>
            <w:tcBorders>
              <w:top w:val="single" w:color="auto" w:sz="4" w:space="0"/>
              <w:left w:val="single" w:color="000000" w:sz="4" w:space="0"/>
              <w:bottom w:val="single" w:color="auto" w:sz="4" w:space="0"/>
              <w:right w:val="single" w:color="000000" w:sz="4" w:space="0"/>
            </w:tcBorders>
            <w:noWrap w:val="0"/>
            <w:vAlign w:val="center"/>
          </w:tcPr>
          <w:p w14:paraId="365A1224">
            <w:pPr>
              <w:pageBreakBefore w:val="0"/>
              <w:widowControl/>
              <w:kinsoku/>
              <w:wordWrap/>
              <w:overflowPunct/>
              <w:topLinePunct w:val="0"/>
              <w:bidi w:val="0"/>
              <w:spacing w:line="500" w:lineRule="exact"/>
              <w:jc w:val="left"/>
              <w:rPr>
                <w:rFonts w:hint="eastAsia" w:ascii="宋体" w:hAnsi="宋体" w:cs="宋体"/>
                <w:color w:val="auto"/>
                <w:highlight w:val="none"/>
              </w:rPr>
            </w:pPr>
          </w:p>
        </w:tc>
        <w:tc>
          <w:tcPr>
            <w:tcW w:w="2344" w:type="dxa"/>
            <w:tcBorders>
              <w:top w:val="single" w:color="000000" w:sz="4" w:space="0"/>
              <w:left w:val="single" w:color="000000" w:sz="4" w:space="0"/>
              <w:bottom w:val="single" w:color="000000" w:sz="4" w:space="0"/>
              <w:right w:val="single" w:color="000000" w:sz="4" w:space="0"/>
            </w:tcBorders>
            <w:noWrap w:val="0"/>
            <w:vAlign w:val="center"/>
          </w:tcPr>
          <w:p w14:paraId="70013928">
            <w:pPr>
              <w:pageBreakBefore w:val="0"/>
              <w:kinsoku/>
              <w:wordWrap/>
              <w:overflowPunct/>
              <w:topLinePunct w:val="0"/>
              <w:bidi w:val="0"/>
              <w:spacing w:line="500" w:lineRule="exact"/>
              <w:rPr>
                <w:rFonts w:hint="eastAsia" w:ascii="宋体" w:hAnsi="宋体" w:eastAsia="宋体" w:cs="宋体"/>
                <w:color w:val="auto"/>
                <w:highlight w:val="none"/>
                <w:lang w:eastAsia="zh-CN"/>
              </w:rPr>
            </w:pPr>
            <w:r>
              <w:rPr>
                <w:rFonts w:hint="eastAsia" w:ascii="宋体" w:hAnsi="宋体" w:cs="宋体"/>
                <w:color w:val="auto"/>
                <w:kern w:val="0"/>
                <w:highlight w:val="none"/>
                <w:lang w:eastAsia="zh-CN"/>
              </w:rPr>
              <w:t>工程报价汇总表</w:t>
            </w:r>
          </w:p>
        </w:tc>
        <w:tc>
          <w:tcPr>
            <w:tcW w:w="5200" w:type="dxa"/>
            <w:tcBorders>
              <w:top w:val="single" w:color="000000" w:sz="4" w:space="0"/>
              <w:left w:val="single" w:color="000000" w:sz="4" w:space="0"/>
              <w:bottom w:val="single" w:color="000000" w:sz="4" w:space="0"/>
              <w:right w:val="single" w:color="000000" w:sz="4" w:space="0"/>
            </w:tcBorders>
            <w:noWrap w:val="0"/>
            <w:vAlign w:val="center"/>
          </w:tcPr>
          <w:p w14:paraId="07C595AE">
            <w:pPr>
              <w:pageBreakBefore w:val="0"/>
              <w:kinsoku/>
              <w:wordWrap/>
              <w:overflowPunct/>
              <w:topLinePunct w:val="0"/>
              <w:bidi w:val="0"/>
              <w:spacing w:line="500" w:lineRule="exact"/>
              <w:rPr>
                <w:rFonts w:hint="eastAsia" w:ascii="宋体" w:hAnsi="宋体" w:eastAsia="宋体" w:cs="宋体"/>
                <w:color w:val="auto"/>
                <w:highlight w:val="none"/>
                <w:lang w:eastAsia="zh-CN"/>
              </w:rPr>
            </w:pPr>
            <w:r>
              <w:rPr>
                <w:rFonts w:hint="eastAsia" w:ascii="宋体" w:hAnsi="宋体" w:cs="宋体"/>
                <w:color w:val="auto"/>
                <w:kern w:val="0"/>
                <w:highlight w:val="none"/>
                <w:lang w:eastAsia="zh-CN"/>
              </w:rPr>
              <w:t>必须提供</w:t>
            </w:r>
          </w:p>
        </w:tc>
      </w:tr>
      <w:tr w14:paraId="35410BFA">
        <w:tblPrEx>
          <w:tblCellMar>
            <w:top w:w="0" w:type="dxa"/>
            <w:left w:w="108" w:type="dxa"/>
            <w:bottom w:w="0" w:type="dxa"/>
            <w:right w:w="108" w:type="dxa"/>
          </w:tblCellMar>
        </w:tblPrEx>
        <w:trPr>
          <w:trHeight w:val="525" w:hRule="atLeast"/>
          <w:jc w:val="center"/>
        </w:trPr>
        <w:tc>
          <w:tcPr>
            <w:tcW w:w="944" w:type="dxa"/>
            <w:vMerge w:val="continue"/>
            <w:tcBorders>
              <w:top w:val="single" w:color="auto" w:sz="4" w:space="0"/>
              <w:left w:val="single" w:color="auto" w:sz="4" w:space="0"/>
              <w:bottom w:val="single" w:color="auto" w:sz="4" w:space="0"/>
              <w:right w:val="single" w:color="000000" w:sz="4" w:space="0"/>
            </w:tcBorders>
            <w:noWrap w:val="0"/>
            <w:vAlign w:val="center"/>
          </w:tcPr>
          <w:p w14:paraId="45FFDFDC">
            <w:pPr>
              <w:pageBreakBefore w:val="0"/>
              <w:widowControl/>
              <w:kinsoku/>
              <w:wordWrap/>
              <w:overflowPunct/>
              <w:topLinePunct w:val="0"/>
              <w:bidi w:val="0"/>
              <w:spacing w:line="500" w:lineRule="exact"/>
              <w:jc w:val="left"/>
              <w:rPr>
                <w:rFonts w:hint="eastAsia" w:ascii="宋体" w:hAnsi="宋体" w:cs="宋体"/>
                <w:color w:val="auto"/>
                <w:highlight w:val="none"/>
              </w:rPr>
            </w:pPr>
          </w:p>
        </w:tc>
        <w:tc>
          <w:tcPr>
            <w:tcW w:w="1460" w:type="dxa"/>
            <w:vMerge w:val="continue"/>
            <w:tcBorders>
              <w:top w:val="single" w:color="auto" w:sz="4" w:space="0"/>
              <w:left w:val="single" w:color="000000" w:sz="4" w:space="0"/>
              <w:bottom w:val="single" w:color="auto" w:sz="4" w:space="0"/>
              <w:right w:val="single" w:color="000000" w:sz="4" w:space="0"/>
            </w:tcBorders>
            <w:noWrap w:val="0"/>
            <w:vAlign w:val="center"/>
          </w:tcPr>
          <w:p w14:paraId="2F0B173C">
            <w:pPr>
              <w:pageBreakBefore w:val="0"/>
              <w:widowControl/>
              <w:kinsoku/>
              <w:wordWrap/>
              <w:overflowPunct/>
              <w:topLinePunct w:val="0"/>
              <w:bidi w:val="0"/>
              <w:spacing w:line="500" w:lineRule="exact"/>
              <w:jc w:val="left"/>
              <w:rPr>
                <w:rFonts w:hint="eastAsia" w:ascii="宋体" w:hAnsi="宋体" w:cs="宋体"/>
                <w:color w:val="auto"/>
                <w:highlight w:val="none"/>
              </w:rPr>
            </w:pPr>
          </w:p>
        </w:tc>
        <w:tc>
          <w:tcPr>
            <w:tcW w:w="2344" w:type="dxa"/>
            <w:tcBorders>
              <w:top w:val="single" w:color="000000" w:sz="4" w:space="0"/>
              <w:left w:val="single" w:color="000000" w:sz="4" w:space="0"/>
              <w:bottom w:val="single" w:color="auto" w:sz="4" w:space="0"/>
              <w:right w:val="single" w:color="000000" w:sz="4" w:space="0"/>
            </w:tcBorders>
            <w:noWrap w:val="0"/>
            <w:vAlign w:val="center"/>
          </w:tcPr>
          <w:p w14:paraId="3BC7469F">
            <w:pPr>
              <w:pageBreakBefore w:val="0"/>
              <w:kinsoku/>
              <w:wordWrap/>
              <w:overflowPunct/>
              <w:topLinePunct w:val="0"/>
              <w:bidi w:val="0"/>
              <w:spacing w:line="500" w:lineRule="exact"/>
              <w:rPr>
                <w:rFonts w:hint="eastAsia" w:ascii="宋体" w:hAnsi="宋体" w:eastAsia="宋体" w:cs="宋体"/>
                <w:color w:val="auto"/>
                <w:highlight w:val="none"/>
                <w:lang w:eastAsia="zh-CN"/>
              </w:rPr>
            </w:pPr>
            <w:r>
              <w:rPr>
                <w:rFonts w:hint="eastAsia" w:ascii="宋体" w:hAnsi="宋体" w:cs="宋体"/>
                <w:color w:val="auto"/>
                <w:highlight w:val="none"/>
                <w:lang w:eastAsia="zh-CN"/>
              </w:rPr>
              <w:t>已标价工程量清单</w:t>
            </w:r>
          </w:p>
        </w:tc>
        <w:tc>
          <w:tcPr>
            <w:tcW w:w="5200" w:type="dxa"/>
            <w:tcBorders>
              <w:top w:val="single" w:color="000000" w:sz="4" w:space="0"/>
              <w:left w:val="single" w:color="000000" w:sz="4" w:space="0"/>
              <w:bottom w:val="single" w:color="000000" w:sz="4" w:space="0"/>
              <w:right w:val="single" w:color="000000" w:sz="4" w:space="0"/>
            </w:tcBorders>
            <w:noWrap w:val="0"/>
            <w:vAlign w:val="center"/>
          </w:tcPr>
          <w:p w14:paraId="14D25D6A">
            <w:pPr>
              <w:pageBreakBefore w:val="0"/>
              <w:kinsoku/>
              <w:wordWrap/>
              <w:overflowPunct/>
              <w:topLinePunct w:val="0"/>
              <w:bidi w:val="0"/>
              <w:spacing w:line="500" w:lineRule="exact"/>
              <w:rPr>
                <w:rFonts w:hint="eastAsia" w:ascii="宋体" w:hAnsi="宋体" w:cs="宋体"/>
                <w:color w:val="auto"/>
                <w:highlight w:val="none"/>
              </w:rPr>
            </w:pPr>
            <w:r>
              <w:rPr>
                <w:rFonts w:hint="eastAsia" w:ascii="宋体" w:hAnsi="宋体" w:cs="宋体"/>
                <w:color w:val="auto"/>
                <w:kern w:val="0"/>
                <w:highlight w:val="none"/>
                <w:lang w:eastAsia="zh-CN"/>
              </w:rPr>
              <w:t>必须提供</w:t>
            </w:r>
          </w:p>
        </w:tc>
      </w:tr>
      <w:tr w14:paraId="4D84167E">
        <w:tblPrEx>
          <w:tblCellMar>
            <w:top w:w="0" w:type="dxa"/>
            <w:left w:w="108" w:type="dxa"/>
            <w:bottom w:w="0" w:type="dxa"/>
            <w:right w:w="108" w:type="dxa"/>
          </w:tblCellMar>
        </w:tblPrEx>
        <w:trPr>
          <w:trHeight w:val="491" w:hRule="atLeast"/>
          <w:jc w:val="center"/>
        </w:trPr>
        <w:tc>
          <w:tcPr>
            <w:tcW w:w="944" w:type="dxa"/>
            <w:vMerge w:val="continue"/>
            <w:tcBorders>
              <w:top w:val="single" w:color="auto" w:sz="4" w:space="0"/>
              <w:left w:val="single" w:color="auto" w:sz="4" w:space="0"/>
              <w:bottom w:val="single" w:color="auto" w:sz="4" w:space="0"/>
              <w:right w:val="single" w:color="000000" w:sz="4" w:space="0"/>
            </w:tcBorders>
            <w:noWrap w:val="0"/>
            <w:vAlign w:val="center"/>
          </w:tcPr>
          <w:p w14:paraId="321EACDC">
            <w:pPr>
              <w:pageBreakBefore w:val="0"/>
              <w:widowControl/>
              <w:kinsoku/>
              <w:wordWrap/>
              <w:overflowPunct/>
              <w:topLinePunct w:val="0"/>
              <w:bidi w:val="0"/>
              <w:spacing w:line="500" w:lineRule="exact"/>
              <w:jc w:val="left"/>
              <w:rPr>
                <w:rFonts w:hint="eastAsia" w:ascii="宋体" w:hAnsi="宋体" w:cs="宋体"/>
                <w:color w:val="auto"/>
                <w:highlight w:val="none"/>
              </w:rPr>
            </w:pPr>
          </w:p>
        </w:tc>
        <w:tc>
          <w:tcPr>
            <w:tcW w:w="1460" w:type="dxa"/>
            <w:vMerge w:val="continue"/>
            <w:tcBorders>
              <w:top w:val="single" w:color="auto" w:sz="4" w:space="0"/>
              <w:left w:val="single" w:color="000000" w:sz="4" w:space="0"/>
              <w:bottom w:val="single" w:color="auto" w:sz="4" w:space="0"/>
              <w:right w:val="single" w:color="000000" w:sz="4" w:space="0"/>
            </w:tcBorders>
            <w:noWrap w:val="0"/>
            <w:vAlign w:val="center"/>
          </w:tcPr>
          <w:p w14:paraId="7A14C36B">
            <w:pPr>
              <w:pageBreakBefore w:val="0"/>
              <w:widowControl/>
              <w:kinsoku/>
              <w:wordWrap/>
              <w:overflowPunct/>
              <w:topLinePunct w:val="0"/>
              <w:bidi w:val="0"/>
              <w:spacing w:line="500" w:lineRule="exact"/>
              <w:jc w:val="left"/>
              <w:rPr>
                <w:rFonts w:hint="eastAsia" w:ascii="宋体" w:hAnsi="宋体" w:cs="宋体"/>
                <w:color w:val="auto"/>
                <w:highlight w:val="none"/>
              </w:rPr>
            </w:pPr>
          </w:p>
        </w:tc>
        <w:tc>
          <w:tcPr>
            <w:tcW w:w="2344" w:type="dxa"/>
            <w:tcBorders>
              <w:top w:val="single" w:color="auto" w:sz="4" w:space="0"/>
              <w:left w:val="single" w:color="000000" w:sz="4" w:space="0"/>
              <w:bottom w:val="single" w:color="auto" w:sz="4" w:space="0"/>
              <w:right w:val="single" w:color="000000" w:sz="4" w:space="0"/>
            </w:tcBorders>
            <w:noWrap w:val="0"/>
            <w:vAlign w:val="center"/>
          </w:tcPr>
          <w:p w14:paraId="7EE4F4AE">
            <w:pPr>
              <w:pageBreakBefore w:val="0"/>
              <w:kinsoku/>
              <w:wordWrap/>
              <w:overflowPunct/>
              <w:topLinePunct w:val="0"/>
              <w:bidi w:val="0"/>
              <w:spacing w:line="500" w:lineRule="exact"/>
              <w:rPr>
                <w:rFonts w:hint="eastAsia" w:ascii="宋体" w:hAnsi="宋体" w:eastAsia="宋体" w:cs="宋体"/>
                <w:color w:val="auto"/>
                <w:highlight w:val="none"/>
                <w:lang w:eastAsia="zh-CN"/>
              </w:rPr>
            </w:pPr>
            <w:r>
              <w:rPr>
                <w:rFonts w:hint="eastAsia" w:ascii="宋体" w:hAnsi="宋体" w:cs="宋体"/>
                <w:color w:val="auto"/>
                <w:kern w:val="0"/>
                <w:highlight w:val="none"/>
                <w:lang w:eastAsia="zh-CN"/>
              </w:rPr>
              <w:t>拟投入主要施工管理人员</w:t>
            </w:r>
          </w:p>
        </w:tc>
        <w:tc>
          <w:tcPr>
            <w:tcW w:w="5200" w:type="dxa"/>
            <w:tcBorders>
              <w:top w:val="single" w:color="000000" w:sz="4" w:space="0"/>
              <w:left w:val="single" w:color="000000" w:sz="4" w:space="0"/>
              <w:bottom w:val="single" w:color="auto" w:sz="4" w:space="0"/>
              <w:right w:val="single" w:color="000000" w:sz="4" w:space="0"/>
            </w:tcBorders>
            <w:noWrap w:val="0"/>
            <w:vAlign w:val="center"/>
          </w:tcPr>
          <w:p w14:paraId="73454AA6">
            <w:pPr>
              <w:pageBreakBefore w:val="0"/>
              <w:kinsoku/>
              <w:wordWrap/>
              <w:overflowPunct/>
              <w:topLinePunct w:val="0"/>
              <w:bidi w:val="0"/>
              <w:spacing w:line="500" w:lineRule="exact"/>
              <w:rPr>
                <w:rFonts w:hint="eastAsia" w:ascii="宋体" w:hAnsi="宋体" w:eastAsia="宋体" w:cs="宋体"/>
                <w:color w:val="auto"/>
                <w:highlight w:val="none"/>
                <w:lang w:eastAsia="zh-CN"/>
              </w:rPr>
            </w:pPr>
            <w:r>
              <w:rPr>
                <w:rFonts w:hint="eastAsia" w:ascii="宋体" w:hAnsi="宋体" w:cs="宋体"/>
                <w:color w:val="auto"/>
                <w:kern w:val="0"/>
                <w:highlight w:val="none"/>
                <w:lang w:eastAsia="zh-CN"/>
              </w:rPr>
              <w:t>符合采购文件要求</w:t>
            </w:r>
          </w:p>
        </w:tc>
      </w:tr>
      <w:tr w14:paraId="5222E93E">
        <w:tblPrEx>
          <w:tblCellMar>
            <w:top w:w="0" w:type="dxa"/>
            <w:left w:w="108" w:type="dxa"/>
            <w:bottom w:w="0" w:type="dxa"/>
            <w:right w:w="108" w:type="dxa"/>
          </w:tblCellMar>
        </w:tblPrEx>
        <w:trPr>
          <w:trHeight w:val="429" w:hRule="atLeast"/>
          <w:jc w:val="center"/>
        </w:trPr>
        <w:tc>
          <w:tcPr>
            <w:tcW w:w="944" w:type="dxa"/>
            <w:vMerge w:val="continue"/>
            <w:tcBorders>
              <w:top w:val="single" w:color="auto" w:sz="4" w:space="0"/>
              <w:left w:val="single" w:color="auto" w:sz="4" w:space="0"/>
              <w:bottom w:val="single" w:color="auto" w:sz="4" w:space="0"/>
              <w:right w:val="single" w:color="000000" w:sz="4" w:space="0"/>
            </w:tcBorders>
            <w:noWrap w:val="0"/>
            <w:vAlign w:val="center"/>
          </w:tcPr>
          <w:p w14:paraId="1159CC1E">
            <w:pPr>
              <w:pageBreakBefore w:val="0"/>
              <w:widowControl/>
              <w:kinsoku/>
              <w:wordWrap/>
              <w:overflowPunct/>
              <w:topLinePunct w:val="0"/>
              <w:bidi w:val="0"/>
              <w:spacing w:line="500" w:lineRule="exact"/>
              <w:jc w:val="left"/>
              <w:rPr>
                <w:rFonts w:hint="eastAsia" w:ascii="宋体" w:hAnsi="宋体" w:cs="宋体"/>
                <w:color w:val="auto"/>
                <w:highlight w:val="none"/>
              </w:rPr>
            </w:pPr>
          </w:p>
        </w:tc>
        <w:tc>
          <w:tcPr>
            <w:tcW w:w="1460" w:type="dxa"/>
            <w:vMerge w:val="continue"/>
            <w:tcBorders>
              <w:top w:val="single" w:color="auto" w:sz="4" w:space="0"/>
              <w:left w:val="single" w:color="000000" w:sz="4" w:space="0"/>
              <w:bottom w:val="single" w:color="auto" w:sz="4" w:space="0"/>
              <w:right w:val="single" w:color="000000" w:sz="4" w:space="0"/>
            </w:tcBorders>
            <w:noWrap w:val="0"/>
            <w:vAlign w:val="center"/>
          </w:tcPr>
          <w:p w14:paraId="41C6165D">
            <w:pPr>
              <w:pageBreakBefore w:val="0"/>
              <w:widowControl/>
              <w:kinsoku/>
              <w:wordWrap/>
              <w:overflowPunct/>
              <w:topLinePunct w:val="0"/>
              <w:bidi w:val="0"/>
              <w:spacing w:line="500" w:lineRule="exact"/>
              <w:jc w:val="left"/>
              <w:rPr>
                <w:rFonts w:hint="eastAsia" w:ascii="宋体" w:hAnsi="宋体" w:cs="宋体"/>
                <w:color w:val="auto"/>
                <w:highlight w:val="none"/>
              </w:rPr>
            </w:pPr>
          </w:p>
        </w:tc>
        <w:tc>
          <w:tcPr>
            <w:tcW w:w="2344" w:type="dxa"/>
            <w:tcBorders>
              <w:top w:val="single" w:color="000000" w:sz="4" w:space="0"/>
              <w:left w:val="single" w:color="000000" w:sz="4" w:space="0"/>
              <w:bottom w:val="single" w:color="000000" w:sz="4" w:space="0"/>
              <w:right w:val="single" w:color="000000" w:sz="4" w:space="0"/>
            </w:tcBorders>
            <w:noWrap w:val="0"/>
            <w:vAlign w:val="center"/>
          </w:tcPr>
          <w:p w14:paraId="6C7838C2">
            <w:pPr>
              <w:pageBreakBefore w:val="0"/>
              <w:kinsoku/>
              <w:wordWrap/>
              <w:overflowPunct/>
              <w:topLinePunct w:val="0"/>
              <w:bidi w:val="0"/>
              <w:spacing w:line="500" w:lineRule="exact"/>
              <w:rPr>
                <w:rFonts w:hint="default" w:ascii="宋体" w:hAnsi="宋体" w:eastAsia="宋体" w:cs="宋体"/>
                <w:color w:val="auto"/>
                <w:highlight w:val="none"/>
                <w:lang w:val="en-US" w:eastAsia="zh-CN"/>
              </w:rPr>
            </w:pPr>
            <w:r>
              <w:rPr>
                <w:rFonts w:hint="eastAsia" w:ascii="宋体" w:hAnsi="宋体" w:cs="宋体"/>
                <w:color w:val="auto"/>
                <w:kern w:val="0"/>
                <w:highlight w:val="none"/>
                <w:lang w:eastAsia="zh-CN"/>
              </w:rPr>
              <w:t>项目经理</w:t>
            </w:r>
          </w:p>
        </w:tc>
        <w:tc>
          <w:tcPr>
            <w:tcW w:w="5200" w:type="dxa"/>
            <w:tcBorders>
              <w:top w:val="single" w:color="000000" w:sz="4" w:space="0"/>
              <w:left w:val="single" w:color="000000" w:sz="4" w:space="0"/>
              <w:bottom w:val="single" w:color="000000" w:sz="4" w:space="0"/>
              <w:right w:val="single" w:color="auto" w:sz="4" w:space="0"/>
            </w:tcBorders>
            <w:noWrap w:val="0"/>
            <w:vAlign w:val="center"/>
          </w:tcPr>
          <w:p w14:paraId="5F9F6142">
            <w:pPr>
              <w:pageBreakBefore w:val="0"/>
              <w:kinsoku/>
              <w:wordWrap/>
              <w:overflowPunct/>
              <w:topLinePunct w:val="0"/>
              <w:bidi w:val="0"/>
              <w:spacing w:line="500" w:lineRule="exact"/>
              <w:rPr>
                <w:rFonts w:hint="eastAsia" w:ascii="宋体" w:hAnsi="宋体" w:cs="宋体"/>
                <w:color w:val="auto"/>
                <w:highlight w:val="none"/>
              </w:rPr>
            </w:pPr>
            <w:r>
              <w:rPr>
                <w:rFonts w:hint="eastAsia" w:ascii="宋体" w:hAnsi="宋体" w:cs="宋体"/>
                <w:color w:val="auto"/>
                <w:kern w:val="0"/>
                <w:highlight w:val="none"/>
                <w:lang w:eastAsia="zh-CN"/>
              </w:rPr>
              <w:t>符合采购文件要求</w:t>
            </w:r>
          </w:p>
        </w:tc>
      </w:tr>
      <w:tr w14:paraId="217DF0AF">
        <w:tblPrEx>
          <w:tblCellMar>
            <w:top w:w="0" w:type="dxa"/>
            <w:left w:w="108" w:type="dxa"/>
            <w:bottom w:w="0" w:type="dxa"/>
            <w:right w:w="108" w:type="dxa"/>
          </w:tblCellMar>
        </w:tblPrEx>
        <w:trPr>
          <w:trHeight w:val="470" w:hRule="atLeast"/>
          <w:jc w:val="center"/>
        </w:trPr>
        <w:tc>
          <w:tcPr>
            <w:tcW w:w="944" w:type="dxa"/>
            <w:vMerge w:val="continue"/>
            <w:tcBorders>
              <w:top w:val="single" w:color="auto" w:sz="4" w:space="0"/>
              <w:left w:val="single" w:color="auto" w:sz="4" w:space="0"/>
              <w:bottom w:val="single" w:color="auto" w:sz="4" w:space="0"/>
              <w:right w:val="single" w:color="000000" w:sz="4" w:space="0"/>
            </w:tcBorders>
            <w:noWrap w:val="0"/>
            <w:vAlign w:val="center"/>
          </w:tcPr>
          <w:p w14:paraId="1485D549">
            <w:pPr>
              <w:pageBreakBefore w:val="0"/>
              <w:widowControl/>
              <w:kinsoku/>
              <w:wordWrap/>
              <w:overflowPunct/>
              <w:topLinePunct w:val="0"/>
              <w:bidi w:val="0"/>
              <w:spacing w:line="500" w:lineRule="exact"/>
              <w:jc w:val="left"/>
              <w:rPr>
                <w:rFonts w:hint="eastAsia" w:ascii="宋体" w:hAnsi="宋体" w:cs="宋体"/>
                <w:color w:val="auto"/>
                <w:highlight w:val="none"/>
              </w:rPr>
            </w:pPr>
          </w:p>
        </w:tc>
        <w:tc>
          <w:tcPr>
            <w:tcW w:w="1460" w:type="dxa"/>
            <w:vMerge w:val="continue"/>
            <w:tcBorders>
              <w:top w:val="single" w:color="auto" w:sz="4" w:space="0"/>
              <w:left w:val="single" w:color="000000" w:sz="4" w:space="0"/>
              <w:bottom w:val="single" w:color="auto" w:sz="4" w:space="0"/>
              <w:right w:val="single" w:color="000000" w:sz="4" w:space="0"/>
            </w:tcBorders>
            <w:noWrap w:val="0"/>
            <w:vAlign w:val="center"/>
          </w:tcPr>
          <w:p w14:paraId="29214CA3">
            <w:pPr>
              <w:pageBreakBefore w:val="0"/>
              <w:widowControl/>
              <w:kinsoku/>
              <w:wordWrap/>
              <w:overflowPunct/>
              <w:topLinePunct w:val="0"/>
              <w:bidi w:val="0"/>
              <w:spacing w:line="500" w:lineRule="exact"/>
              <w:jc w:val="left"/>
              <w:rPr>
                <w:rFonts w:hint="eastAsia" w:ascii="宋体" w:hAnsi="宋体" w:cs="宋体"/>
                <w:color w:val="auto"/>
                <w:highlight w:val="none"/>
              </w:rPr>
            </w:pPr>
          </w:p>
        </w:tc>
        <w:tc>
          <w:tcPr>
            <w:tcW w:w="2344" w:type="dxa"/>
            <w:tcBorders>
              <w:top w:val="single" w:color="000000" w:sz="4" w:space="0"/>
              <w:left w:val="single" w:color="000000" w:sz="4" w:space="0"/>
              <w:bottom w:val="single" w:color="000000" w:sz="4" w:space="0"/>
              <w:right w:val="single" w:color="000000" w:sz="4" w:space="0"/>
            </w:tcBorders>
            <w:noWrap w:val="0"/>
            <w:vAlign w:val="center"/>
          </w:tcPr>
          <w:p w14:paraId="330EE90D">
            <w:pPr>
              <w:pageBreakBefore w:val="0"/>
              <w:kinsoku/>
              <w:wordWrap/>
              <w:overflowPunct/>
              <w:topLinePunct w:val="0"/>
              <w:bidi w:val="0"/>
              <w:spacing w:line="500" w:lineRule="exact"/>
              <w:rPr>
                <w:rFonts w:hint="eastAsia" w:ascii="宋体" w:hAnsi="宋体" w:eastAsia="宋体" w:cs="宋体"/>
                <w:color w:val="auto"/>
                <w:highlight w:val="none"/>
                <w:lang w:eastAsia="zh-CN"/>
              </w:rPr>
            </w:pPr>
            <w:r>
              <w:rPr>
                <w:rFonts w:hint="eastAsia" w:ascii="宋体" w:hAnsi="宋体" w:cs="宋体"/>
                <w:color w:val="auto"/>
                <w:kern w:val="0"/>
                <w:highlight w:val="none"/>
                <w:lang w:eastAsia="zh-CN"/>
              </w:rPr>
              <w:t>施工组织方案</w:t>
            </w:r>
          </w:p>
        </w:tc>
        <w:tc>
          <w:tcPr>
            <w:tcW w:w="5200" w:type="dxa"/>
            <w:tcBorders>
              <w:top w:val="single" w:color="000000" w:sz="4" w:space="0"/>
              <w:left w:val="single" w:color="000000" w:sz="4" w:space="0"/>
              <w:bottom w:val="single" w:color="000000" w:sz="4" w:space="0"/>
              <w:right w:val="single" w:color="auto" w:sz="4" w:space="0"/>
            </w:tcBorders>
            <w:noWrap w:val="0"/>
            <w:vAlign w:val="center"/>
          </w:tcPr>
          <w:p w14:paraId="4B489A28">
            <w:pPr>
              <w:pageBreakBefore w:val="0"/>
              <w:kinsoku/>
              <w:wordWrap/>
              <w:overflowPunct/>
              <w:topLinePunct w:val="0"/>
              <w:bidi w:val="0"/>
              <w:spacing w:line="500" w:lineRule="exact"/>
              <w:rPr>
                <w:rFonts w:hint="eastAsia" w:ascii="宋体" w:hAnsi="宋体" w:eastAsia="宋体" w:cs="宋体"/>
                <w:color w:val="auto"/>
                <w:highlight w:val="none"/>
                <w:lang w:eastAsia="zh-CN"/>
              </w:rPr>
            </w:pPr>
            <w:r>
              <w:rPr>
                <w:rFonts w:hint="eastAsia" w:ascii="宋体" w:hAnsi="宋体" w:cs="宋体"/>
                <w:color w:val="auto"/>
                <w:kern w:val="0"/>
                <w:highlight w:val="none"/>
                <w:lang w:eastAsia="zh-CN"/>
              </w:rPr>
              <w:t>必须提供</w:t>
            </w:r>
          </w:p>
        </w:tc>
      </w:tr>
      <w:tr w14:paraId="6DB8F891">
        <w:tblPrEx>
          <w:tblCellMar>
            <w:top w:w="0" w:type="dxa"/>
            <w:left w:w="108" w:type="dxa"/>
            <w:bottom w:w="0" w:type="dxa"/>
            <w:right w:w="108" w:type="dxa"/>
          </w:tblCellMar>
        </w:tblPrEx>
        <w:trPr>
          <w:trHeight w:val="523" w:hRule="atLeast"/>
          <w:jc w:val="center"/>
        </w:trPr>
        <w:tc>
          <w:tcPr>
            <w:tcW w:w="944" w:type="dxa"/>
            <w:vMerge w:val="continue"/>
            <w:tcBorders>
              <w:top w:val="single" w:color="auto" w:sz="4" w:space="0"/>
              <w:left w:val="single" w:color="auto" w:sz="4" w:space="0"/>
              <w:bottom w:val="single" w:color="auto" w:sz="4" w:space="0"/>
              <w:right w:val="single" w:color="000000" w:sz="4" w:space="0"/>
            </w:tcBorders>
            <w:noWrap w:val="0"/>
            <w:vAlign w:val="center"/>
          </w:tcPr>
          <w:p w14:paraId="4EC9558A">
            <w:pPr>
              <w:pageBreakBefore w:val="0"/>
              <w:widowControl/>
              <w:kinsoku/>
              <w:wordWrap/>
              <w:overflowPunct/>
              <w:topLinePunct w:val="0"/>
              <w:bidi w:val="0"/>
              <w:spacing w:line="500" w:lineRule="exact"/>
              <w:jc w:val="left"/>
              <w:rPr>
                <w:rFonts w:hint="eastAsia" w:ascii="宋体" w:hAnsi="宋体" w:cs="宋体"/>
                <w:color w:val="auto"/>
                <w:highlight w:val="none"/>
              </w:rPr>
            </w:pPr>
          </w:p>
        </w:tc>
        <w:tc>
          <w:tcPr>
            <w:tcW w:w="1460" w:type="dxa"/>
            <w:vMerge w:val="continue"/>
            <w:tcBorders>
              <w:top w:val="single" w:color="auto" w:sz="4" w:space="0"/>
              <w:left w:val="single" w:color="000000" w:sz="4" w:space="0"/>
              <w:bottom w:val="single" w:color="auto" w:sz="4" w:space="0"/>
              <w:right w:val="single" w:color="000000" w:sz="4" w:space="0"/>
            </w:tcBorders>
            <w:noWrap w:val="0"/>
            <w:vAlign w:val="center"/>
          </w:tcPr>
          <w:p w14:paraId="31CB9E28">
            <w:pPr>
              <w:pageBreakBefore w:val="0"/>
              <w:widowControl/>
              <w:kinsoku/>
              <w:wordWrap/>
              <w:overflowPunct/>
              <w:topLinePunct w:val="0"/>
              <w:bidi w:val="0"/>
              <w:spacing w:line="500" w:lineRule="exact"/>
              <w:jc w:val="left"/>
              <w:rPr>
                <w:rFonts w:hint="eastAsia" w:ascii="宋体" w:hAnsi="宋体" w:cs="宋体"/>
                <w:color w:val="auto"/>
                <w:highlight w:val="none"/>
              </w:rPr>
            </w:pPr>
          </w:p>
        </w:tc>
        <w:tc>
          <w:tcPr>
            <w:tcW w:w="2344" w:type="dxa"/>
            <w:tcBorders>
              <w:top w:val="single" w:color="000000" w:sz="4" w:space="0"/>
              <w:left w:val="single" w:color="000000" w:sz="4" w:space="0"/>
              <w:bottom w:val="single" w:color="000000" w:sz="4" w:space="0"/>
              <w:right w:val="single" w:color="000000" w:sz="4" w:space="0"/>
            </w:tcBorders>
            <w:noWrap w:val="0"/>
            <w:vAlign w:val="center"/>
          </w:tcPr>
          <w:p w14:paraId="387525DC">
            <w:pPr>
              <w:pageBreakBefore w:val="0"/>
              <w:kinsoku/>
              <w:wordWrap/>
              <w:overflowPunct/>
              <w:topLinePunct w:val="0"/>
              <w:bidi w:val="0"/>
              <w:spacing w:line="500" w:lineRule="exact"/>
              <w:rPr>
                <w:rFonts w:hint="eastAsia" w:ascii="宋体" w:hAnsi="宋体" w:eastAsia="宋体" w:cs="宋体"/>
                <w:color w:val="auto"/>
                <w:highlight w:val="none"/>
                <w:lang w:eastAsia="zh-CN"/>
              </w:rPr>
            </w:pPr>
            <w:r>
              <w:rPr>
                <w:rFonts w:hint="eastAsia" w:ascii="宋体" w:hAnsi="宋体" w:cs="宋体"/>
                <w:color w:val="auto"/>
                <w:kern w:val="0"/>
                <w:highlight w:val="none"/>
                <w:lang w:eastAsia="zh-CN"/>
              </w:rPr>
              <w:t>工程完工服务承诺书</w:t>
            </w:r>
          </w:p>
        </w:tc>
        <w:tc>
          <w:tcPr>
            <w:tcW w:w="5200" w:type="dxa"/>
            <w:tcBorders>
              <w:top w:val="single" w:color="000000" w:sz="4" w:space="0"/>
              <w:left w:val="single" w:color="000000" w:sz="4" w:space="0"/>
              <w:bottom w:val="single" w:color="000000" w:sz="4" w:space="0"/>
              <w:right w:val="single" w:color="auto" w:sz="4" w:space="0"/>
            </w:tcBorders>
            <w:noWrap w:val="0"/>
            <w:vAlign w:val="center"/>
          </w:tcPr>
          <w:p w14:paraId="3448A659">
            <w:pPr>
              <w:pageBreakBefore w:val="0"/>
              <w:kinsoku/>
              <w:wordWrap/>
              <w:overflowPunct/>
              <w:topLinePunct w:val="0"/>
              <w:bidi w:val="0"/>
              <w:spacing w:line="500" w:lineRule="exact"/>
              <w:rPr>
                <w:rFonts w:hint="eastAsia" w:ascii="宋体" w:hAnsi="宋体" w:cs="宋体"/>
                <w:color w:val="auto"/>
                <w:highlight w:val="none"/>
              </w:rPr>
            </w:pPr>
            <w:r>
              <w:rPr>
                <w:rFonts w:hint="eastAsia" w:ascii="宋体" w:hAnsi="宋体" w:cs="宋体"/>
                <w:color w:val="auto"/>
                <w:kern w:val="0"/>
                <w:highlight w:val="none"/>
                <w:lang w:eastAsia="zh-CN"/>
              </w:rPr>
              <w:t>必须提供</w:t>
            </w:r>
          </w:p>
        </w:tc>
      </w:tr>
      <w:tr w14:paraId="185CB331">
        <w:tblPrEx>
          <w:tblCellMar>
            <w:top w:w="0" w:type="dxa"/>
            <w:left w:w="108" w:type="dxa"/>
            <w:bottom w:w="0" w:type="dxa"/>
            <w:right w:w="108" w:type="dxa"/>
          </w:tblCellMar>
        </w:tblPrEx>
        <w:trPr>
          <w:trHeight w:val="577" w:hRule="atLeast"/>
          <w:jc w:val="center"/>
        </w:trPr>
        <w:tc>
          <w:tcPr>
            <w:tcW w:w="944" w:type="dxa"/>
            <w:vMerge w:val="continue"/>
            <w:tcBorders>
              <w:top w:val="single" w:color="auto" w:sz="4" w:space="0"/>
              <w:left w:val="single" w:color="auto" w:sz="4" w:space="0"/>
              <w:bottom w:val="single" w:color="auto" w:sz="4" w:space="0"/>
              <w:right w:val="single" w:color="000000" w:sz="4" w:space="0"/>
            </w:tcBorders>
            <w:noWrap w:val="0"/>
            <w:vAlign w:val="center"/>
          </w:tcPr>
          <w:p w14:paraId="675B8429">
            <w:pPr>
              <w:pageBreakBefore w:val="0"/>
              <w:widowControl/>
              <w:kinsoku/>
              <w:wordWrap/>
              <w:overflowPunct/>
              <w:topLinePunct w:val="0"/>
              <w:bidi w:val="0"/>
              <w:spacing w:line="500" w:lineRule="exact"/>
              <w:jc w:val="left"/>
              <w:rPr>
                <w:rFonts w:hint="eastAsia" w:ascii="宋体" w:hAnsi="宋体" w:cs="宋体"/>
                <w:color w:val="auto"/>
                <w:highlight w:val="none"/>
              </w:rPr>
            </w:pPr>
          </w:p>
        </w:tc>
        <w:tc>
          <w:tcPr>
            <w:tcW w:w="1460" w:type="dxa"/>
            <w:vMerge w:val="continue"/>
            <w:tcBorders>
              <w:top w:val="single" w:color="auto" w:sz="4" w:space="0"/>
              <w:left w:val="single" w:color="000000" w:sz="4" w:space="0"/>
              <w:bottom w:val="single" w:color="auto" w:sz="4" w:space="0"/>
              <w:right w:val="single" w:color="000000" w:sz="4" w:space="0"/>
            </w:tcBorders>
            <w:noWrap w:val="0"/>
            <w:vAlign w:val="center"/>
          </w:tcPr>
          <w:p w14:paraId="16B7F2AA">
            <w:pPr>
              <w:pageBreakBefore w:val="0"/>
              <w:widowControl/>
              <w:kinsoku/>
              <w:wordWrap/>
              <w:overflowPunct/>
              <w:topLinePunct w:val="0"/>
              <w:bidi w:val="0"/>
              <w:spacing w:line="500" w:lineRule="exact"/>
              <w:jc w:val="left"/>
              <w:rPr>
                <w:rFonts w:hint="eastAsia" w:ascii="宋体" w:hAnsi="宋体" w:cs="宋体"/>
                <w:color w:val="auto"/>
                <w:highlight w:val="none"/>
              </w:rPr>
            </w:pPr>
          </w:p>
        </w:tc>
        <w:tc>
          <w:tcPr>
            <w:tcW w:w="2344" w:type="dxa"/>
            <w:tcBorders>
              <w:top w:val="single" w:color="000000" w:sz="4" w:space="0"/>
              <w:left w:val="single" w:color="000000" w:sz="4" w:space="0"/>
              <w:bottom w:val="single" w:color="000000" w:sz="4" w:space="0"/>
              <w:right w:val="single" w:color="000000" w:sz="4" w:space="0"/>
            </w:tcBorders>
            <w:noWrap w:val="0"/>
            <w:vAlign w:val="center"/>
          </w:tcPr>
          <w:p w14:paraId="0E11D03A">
            <w:pPr>
              <w:pageBreakBefore w:val="0"/>
              <w:kinsoku/>
              <w:wordWrap/>
              <w:overflowPunct/>
              <w:topLinePunct w:val="0"/>
              <w:bidi w:val="0"/>
              <w:spacing w:line="500" w:lineRule="exact"/>
              <w:rPr>
                <w:rFonts w:hint="eastAsia" w:ascii="宋体" w:hAnsi="宋体" w:eastAsia="宋体" w:cs="宋体"/>
                <w:bCs/>
                <w:color w:val="auto"/>
                <w:highlight w:val="none"/>
                <w:lang w:eastAsia="zh-CN"/>
              </w:rPr>
            </w:pPr>
            <w:r>
              <w:rPr>
                <w:rFonts w:hint="eastAsia" w:ascii="宋体" w:hAnsi="宋体" w:cs="宋体"/>
                <w:color w:val="auto"/>
                <w:kern w:val="0"/>
                <w:highlight w:val="none"/>
                <w:lang w:eastAsia="zh-CN"/>
              </w:rPr>
              <w:t>农民工工资保障金缴纳与使用承诺书</w:t>
            </w:r>
          </w:p>
        </w:tc>
        <w:tc>
          <w:tcPr>
            <w:tcW w:w="5200" w:type="dxa"/>
            <w:tcBorders>
              <w:top w:val="single" w:color="000000" w:sz="4" w:space="0"/>
              <w:left w:val="single" w:color="000000" w:sz="4" w:space="0"/>
              <w:bottom w:val="single" w:color="000000" w:sz="4" w:space="0"/>
              <w:right w:val="single" w:color="auto" w:sz="4" w:space="0"/>
            </w:tcBorders>
            <w:noWrap w:val="0"/>
            <w:vAlign w:val="center"/>
          </w:tcPr>
          <w:p w14:paraId="3EE152A7">
            <w:pPr>
              <w:pageBreakBefore w:val="0"/>
              <w:kinsoku/>
              <w:wordWrap/>
              <w:overflowPunct/>
              <w:topLinePunct w:val="0"/>
              <w:bidi w:val="0"/>
              <w:spacing w:line="500" w:lineRule="exact"/>
              <w:rPr>
                <w:rFonts w:hint="eastAsia" w:ascii="宋体" w:hAnsi="宋体" w:cs="宋体"/>
                <w:bCs/>
                <w:color w:val="auto"/>
                <w:highlight w:val="none"/>
              </w:rPr>
            </w:pPr>
            <w:r>
              <w:rPr>
                <w:rFonts w:hint="eastAsia" w:ascii="宋体" w:hAnsi="宋体" w:cs="宋体"/>
                <w:color w:val="auto"/>
                <w:kern w:val="0"/>
                <w:highlight w:val="none"/>
                <w:lang w:eastAsia="zh-CN"/>
              </w:rPr>
              <w:t>必须提供</w:t>
            </w:r>
          </w:p>
        </w:tc>
      </w:tr>
      <w:tr w14:paraId="70269BE7">
        <w:tblPrEx>
          <w:tblCellMar>
            <w:top w:w="0" w:type="dxa"/>
            <w:left w:w="108" w:type="dxa"/>
            <w:bottom w:w="0" w:type="dxa"/>
            <w:right w:w="108" w:type="dxa"/>
          </w:tblCellMar>
        </w:tblPrEx>
        <w:trPr>
          <w:trHeight w:val="1039" w:hRule="exact"/>
          <w:jc w:val="center"/>
        </w:trPr>
        <w:tc>
          <w:tcPr>
            <w:tcW w:w="944" w:type="dxa"/>
            <w:vMerge w:val="continue"/>
            <w:tcBorders>
              <w:top w:val="single" w:color="auto" w:sz="4" w:space="0"/>
              <w:left w:val="single" w:color="auto" w:sz="4" w:space="0"/>
              <w:bottom w:val="single" w:color="auto" w:sz="4" w:space="0"/>
              <w:right w:val="single" w:color="000000" w:sz="4" w:space="0"/>
            </w:tcBorders>
            <w:noWrap w:val="0"/>
            <w:vAlign w:val="center"/>
          </w:tcPr>
          <w:p w14:paraId="6A46028D">
            <w:pPr>
              <w:pageBreakBefore w:val="0"/>
              <w:widowControl/>
              <w:kinsoku/>
              <w:wordWrap/>
              <w:overflowPunct/>
              <w:topLinePunct w:val="0"/>
              <w:bidi w:val="0"/>
              <w:spacing w:line="500" w:lineRule="exact"/>
              <w:jc w:val="left"/>
              <w:rPr>
                <w:rFonts w:hint="eastAsia" w:ascii="宋体" w:hAnsi="宋体" w:cs="宋体"/>
                <w:color w:val="auto"/>
                <w:highlight w:val="none"/>
              </w:rPr>
            </w:pPr>
          </w:p>
        </w:tc>
        <w:tc>
          <w:tcPr>
            <w:tcW w:w="1460" w:type="dxa"/>
            <w:vMerge w:val="continue"/>
            <w:tcBorders>
              <w:top w:val="single" w:color="auto" w:sz="4" w:space="0"/>
              <w:left w:val="single" w:color="000000" w:sz="4" w:space="0"/>
              <w:bottom w:val="single" w:color="auto" w:sz="4" w:space="0"/>
              <w:right w:val="single" w:color="000000" w:sz="4" w:space="0"/>
            </w:tcBorders>
            <w:noWrap w:val="0"/>
            <w:vAlign w:val="center"/>
          </w:tcPr>
          <w:p w14:paraId="33BD991D">
            <w:pPr>
              <w:pageBreakBefore w:val="0"/>
              <w:widowControl/>
              <w:kinsoku/>
              <w:wordWrap/>
              <w:overflowPunct/>
              <w:topLinePunct w:val="0"/>
              <w:bidi w:val="0"/>
              <w:spacing w:line="500" w:lineRule="exact"/>
              <w:jc w:val="left"/>
              <w:rPr>
                <w:rFonts w:hint="eastAsia" w:ascii="宋体" w:hAnsi="宋体" w:cs="宋体"/>
                <w:color w:val="auto"/>
                <w:highlight w:val="none"/>
              </w:rPr>
            </w:pPr>
          </w:p>
        </w:tc>
        <w:tc>
          <w:tcPr>
            <w:tcW w:w="2344" w:type="dxa"/>
            <w:tcBorders>
              <w:top w:val="single" w:color="000000" w:sz="4" w:space="0"/>
              <w:left w:val="single" w:color="000000" w:sz="4" w:space="0"/>
              <w:bottom w:val="single" w:color="auto" w:sz="4" w:space="0"/>
              <w:right w:val="single" w:color="000000" w:sz="4" w:space="0"/>
            </w:tcBorders>
            <w:noWrap w:val="0"/>
            <w:vAlign w:val="center"/>
          </w:tcPr>
          <w:p w14:paraId="6DEF59C6">
            <w:pPr>
              <w:pageBreakBefore w:val="0"/>
              <w:kinsoku/>
              <w:wordWrap/>
              <w:overflowPunct/>
              <w:topLinePunct w:val="0"/>
              <w:bidi w:val="0"/>
              <w:spacing w:line="500" w:lineRule="exact"/>
              <w:rPr>
                <w:rFonts w:hint="eastAsia" w:ascii="宋体" w:hAnsi="宋体" w:eastAsia="宋体" w:cs="宋体"/>
                <w:color w:val="auto"/>
                <w:kern w:val="0"/>
                <w:highlight w:val="none"/>
                <w:lang w:eastAsia="zh-CN"/>
              </w:rPr>
            </w:pPr>
            <w:r>
              <w:rPr>
                <w:rFonts w:hint="eastAsia" w:ascii="宋体" w:hAnsi="宋体" w:cs="宋体"/>
                <w:color w:val="auto"/>
                <w:kern w:val="0"/>
                <w:highlight w:val="none"/>
                <w:lang w:eastAsia="zh-CN"/>
              </w:rPr>
              <w:t>城乡清洁工程渣土清运承诺书</w:t>
            </w:r>
          </w:p>
        </w:tc>
        <w:tc>
          <w:tcPr>
            <w:tcW w:w="5200" w:type="dxa"/>
            <w:tcBorders>
              <w:top w:val="single" w:color="000000" w:sz="4" w:space="0"/>
              <w:left w:val="single" w:color="000000" w:sz="4" w:space="0"/>
              <w:bottom w:val="single" w:color="auto" w:sz="4" w:space="0"/>
              <w:right w:val="single" w:color="auto" w:sz="4" w:space="0"/>
            </w:tcBorders>
            <w:noWrap w:val="0"/>
            <w:vAlign w:val="center"/>
          </w:tcPr>
          <w:p w14:paraId="5E0E27CF">
            <w:pPr>
              <w:pageBreakBefore w:val="0"/>
              <w:kinsoku/>
              <w:wordWrap/>
              <w:overflowPunct/>
              <w:topLinePunct w:val="0"/>
              <w:bidi w:val="0"/>
              <w:snapToGrid w:val="0"/>
              <w:spacing w:line="500" w:lineRule="exact"/>
              <w:rPr>
                <w:rFonts w:hint="eastAsia" w:ascii="宋体" w:hAnsi="宋体" w:cs="宋体"/>
                <w:color w:val="auto"/>
                <w:kern w:val="0"/>
                <w:highlight w:val="none"/>
              </w:rPr>
            </w:pPr>
            <w:r>
              <w:rPr>
                <w:rFonts w:hint="eastAsia" w:ascii="宋体" w:hAnsi="宋体" w:cs="宋体"/>
                <w:color w:val="auto"/>
                <w:kern w:val="0"/>
                <w:highlight w:val="none"/>
                <w:lang w:eastAsia="zh-CN"/>
              </w:rPr>
              <w:t>必须提供</w:t>
            </w:r>
          </w:p>
        </w:tc>
      </w:tr>
    </w:tbl>
    <w:p w14:paraId="4A6F11EE">
      <w:pPr>
        <w:pStyle w:val="14"/>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color w:val="auto"/>
          <w:highlight w:val="none"/>
        </w:rPr>
      </w:pPr>
      <w:r>
        <w:rPr>
          <w:rFonts w:hint="eastAsia" w:hAnsi="宋体" w:eastAsia="宋体" w:cs="宋体"/>
          <w:b/>
          <w:bCs w:val="0"/>
          <w:color w:val="auto"/>
          <w:sz w:val="24"/>
          <w:szCs w:val="24"/>
          <w:highlight w:val="none"/>
          <w:lang w:eastAsia="zh-CN"/>
        </w:rPr>
        <w:t>详细评审：</w:t>
      </w:r>
    </w:p>
    <w:p w14:paraId="1944376E">
      <w:pPr>
        <w:pageBreakBefore w:val="0"/>
        <w:widowControl w:val="0"/>
        <w:kinsoku/>
        <w:wordWrap/>
        <w:overflowPunct/>
        <w:topLinePunct w:val="0"/>
        <w:bidi w:val="0"/>
        <w:snapToGrid/>
        <w:spacing w:line="440" w:lineRule="exact"/>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1、价格分…………………………………………………………………………………</w:t>
      </w:r>
      <w:r>
        <w:rPr>
          <w:rFonts w:hint="eastAsia" w:ascii="宋体" w:hAnsi="宋体" w:eastAsia="宋体" w:cs="宋体"/>
          <w:b/>
          <w:bCs w:val="0"/>
          <w:color w:val="auto"/>
          <w:highlight w:val="none"/>
        </w:rPr>
        <w:t>……</w:t>
      </w:r>
      <w:r>
        <w:rPr>
          <w:rFonts w:hint="eastAsia" w:ascii="宋体" w:hAnsi="宋体" w:eastAsia="宋体" w:cs="宋体"/>
          <w:b/>
          <w:color w:val="auto"/>
          <w:highlight w:val="none"/>
        </w:rPr>
        <w:t>……</w:t>
      </w:r>
      <w:r>
        <w:rPr>
          <w:rFonts w:hint="eastAsia" w:ascii="宋体" w:hAnsi="宋体" w:eastAsia="宋体" w:cs="宋体"/>
          <w:b/>
          <w:color w:val="auto"/>
          <w:highlight w:val="none"/>
          <w:lang w:val="en-US" w:eastAsia="zh-CN"/>
        </w:rPr>
        <w:t>满分30</w:t>
      </w:r>
      <w:r>
        <w:rPr>
          <w:rFonts w:hint="eastAsia" w:ascii="宋体" w:hAnsi="宋体" w:eastAsia="宋体" w:cs="宋体"/>
          <w:b/>
          <w:color w:val="auto"/>
          <w:highlight w:val="none"/>
        </w:rPr>
        <w:t>分</w:t>
      </w:r>
    </w:p>
    <w:p w14:paraId="158388BB">
      <w:pPr>
        <w:pageBreakBefore w:val="0"/>
        <w:widowControl w:val="0"/>
        <w:kinsoku/>
        <w:wordWrap/>
        <w:overflowPunct/>
        <w:topLinePunct w:val="0"/>
        <w:bidi w:val="0"/>
        <w:snapToGrid/>
        <w:spacing w:line="440" w:lineRule="exact"/>
        <w:ind w:firstLine="210" w:firstLineChars="100"/>
        <w:textAlignment w:val="auto"/>
        <w:rPr>
          <w:rFonts w:hint="eastAsia" w:ascii="宋体" w:hAnsi="宋体" w:eastAsia="宋体" w:cs="宋体"/>
          <w:b w:val="0"/>
          <w:bCs/>
          <w:color w:val="auto"/>
          <w:highlight w:val="none"/>
        </w:rPr>
      </w:pPr>
      <w:r>
        <w:rPr>
          <w:rFonts w:hint="eastAsia" w:ascii="宋体" w:hAnsi="宋体" w:eastAsia="宋体" w:cs="宋体"/>
          <w:b w:val="0"/>
          <w:bCs/>
          <w:color w:val="auto"/>
          <w:highlight w:val="none"/>
        </w:rPr>
        <w:t>（1）本项目为专门面向中小微企业采购的项目（供应商应为中小微企业、监狱企业、残疾人福利性单位)，不再执行价格评审优惠的扶持政策。即评标价=最终报价。</w:t>
      </w:r>
    </w:p>
    <w:p w14:paraId="530265A0">
      <w:pPr>
        <w:pageBreakBefore w:val="0"/>
        <w:widowControl w:val="0"/>
        <w:kinsoku/>
        <w:wordWrap/>
        <w:overflowPunct/>
        <w:topLinePunct w:val="0"/>
        <w:bidi w:val="0"/>
        <w:snapToGrid/>
        <w:spacing w:line="440" w:lineRule="exact"/>
        <w:ind w:firstLine="420" w:firstLineChars="200"/>
        <w:textAlignment w:val="auto"/>
        <w:rPr>
          <w:rFonts w:hint="eastAsia" w:ascii="宋体" w:hAnsi="宋体" w:eastAsia="宋体" w:cs="宋体"/>
          <w:b w:val="0"/>
          <w:bCs/>
          <w:color w:val="auto"/>
          <w:highlight w:val="none"/>
        </w:rPr>
      </w:pPr>
      <w:r>
        <w:rPr>
          <w:rFonts w:hint="eastAsia" w:ascii="宋体" w:hAnsi="宋体" w:eastAsia="宋体" w:cs="宋体"/>
          <w:b w:val="0"/>
          <w:bCs/>
          <w:color w:val="auto"/>
          <w:highlight w:val="none"/>
        </w:rPr>
        <w:t>按照《关于政府采购支持监狱企业发展有关问题的通知》（财库〔2014〕68号）认定为监狱企业的，在政府采购活动中，监狱企业视同小型、微型企业。监狱企业参加政府采购活动时，应当提供由省级以上监狱管理局、戒毒管理局（含新疆生产建设兵团）出具的属于监狱企业的证明文件。</w:t>
      </w:r>
    </w:p>
    <w:p w14:paraId="5AEC9FF1">
      <w:pPr>
        <w:pageBreakBefore w:val="0"/>
        <w:widowControl w:val="0"/>
        <w:kinsoku/>
        <w:wordWrap/>
        <w:overflowPunct/>
        <w:topLinePunct w:val="0"/>
        <w:bidi w:val="0"/>
        <w:snapToGrid/>
        <w:spacing w:line="440" w:lineRule="exact"/>
        <w:ind w:firstLine="420" w:firstLineChars="200"/>
        <w:textAlignment w:val="auto"/>
        <w:rPr>
          <w:rFonts w:hint="eastAsia" w:ascii="宋体" w:hAnsi="宋体" w:eastAsia="宋体" w:cs="宋体"/>
          <w:b w:val="0"/>
          <w:bCs/>
          <w:color w:val="auto"/>
          <w:highlight w:val="none"/>
        </w:rPr>
      </w:pPr>
      <w:r>
        <w:rPr>
          <w:rFonts w:hint="eastAsia" w:ascii="宋体" w:hAnsi="宋体" w:eastAsia="宋体" w:cs="宋体"/>
          <w:b w:val="0"/>
          <w:bCs/>
          <w:color w:val="auto"/>
          <w:highlight w:val="none"/>
        </w:rPr>
        <w:t>符合《关于促进残疾人就业政府采购政策的通知》(财库〔2017〕141号)规定条件，认定为残疾人福利性单位的，在政府采购活动中，残疾人福利性单位视同小型、微型企业。残疾人福利性单位参加政府采购活动时，应当提供该通知规定的《残疾人福利性单位声明函》，并对声明的真实性负责。</w:t>
      </w:r>
      <w:r>
        <w:rPr>
          <w:rFonts w:hint="eastAsia" w:ascii="宋体" w:hAnsi="宋体" w:eastAsia="宋体" w:cs="宋体"/>
          <w:b w:val="0"/>
          <w:bCs/>
          <w:color w:val="auto"/>
          <w:highlight w:val="none"/>
          <w:lang w:eastAsia="zh-CN"/>
        </w:rPr>
        <w:t>成交</w:t>
      </w:r>
      <w:r>
        <w:rPr>
          <w:rFonts w:hint="eastAsia" w:ascii="宋体" w:hAnsi="宋体" w:eastAsia="宋体" w:cs="宋体"/>
          <w:b w:val="0"/>
          <w:bCs/>
          <w:color w:val="auto"/>
          <w:highlight w:val="none"/>
        </w:rPr>
        <w:t>人为残疾人福利性单位的，随</w:t>
      </w:r>
      <w:r>
        <w:rPr>
          <w:rFonts w:hint="eastAsia" w:ascii="宋体" w:hAnsi="宋体" w:eastAsia="宋体" w:cs="宋体"/>
          <w:b w:val="0"/>
          <w:bCs/>
          <w:color w:val="auto"/>
          <w:highlight w:val="none"/>
          <w:lang w:eastAsia="zh-CN"/>
        </w:rPr>
        <w:t>成交</w:t>
      </w:r>
      <w:r>
        <w:rPr>
          <w:rFonts w:hint="eastAsia" w:ascii="宋体" w:hAnsi="宋体" w:eastAsia="宋体" w:cs="宋体"/>
          <w:b w:val="0"/>
          <w:bCs/>
          <w:color w:val="auto"/>
          <w:highlight w:val="none"/>
        </w:rPr>
        <w:t>结果公告其《残疾人福利性单位声明函》，接受社会监督。</w:t>
      </w:r>
    </w:p>
    <w:p w14:paraId="361CE328">
      <w:pPr>
        <w:pageBreakBefore w:val="0"/>
        <w:widowControl w:val="0"/>
        <w:kinsoku/>
        <w:wordWrap/>
        <w:overflowPunct/>
        <w:topLinePunct w:val="0"/>
        <w:bidi w:val="0"/>
        <w:snapToGrid/>
        <w:spacing w:line="440" w:lineRule="exact"/>
        <w:ind w:firstLine="210" w:firstLineChars="100"/>
        <w:textAlignment w:val="auto"/>
        <w:rPr>
          <w:rFonts w:hint="eastAsia" w:ascii="宋体" w:hAnsi="宋体" w:eastAsia="宋体" w:cs="宋体"/>
          <w:b w:val="0"/>
          <w:bCs/>
          <w:color w:val="auto"/>
          <w:highlight w:val="none"/>
        </w:rPr>
      </w:pPr>
      <w:r>
        <w:rPr>
          <w:rFonts w:hint="eastAsia" w:ascii="宋体" w:hAnsi="宋体" w:eastAsia="宋体" w:cs="宋体"/>
          <w:b w:val="0"/>
          <w:bCs/>
          <w:color w:val="auto"/>
          <w:highlight w:val="none"/>
        </w:rPr>
        <w:t>（2）以进入评审的最低的评标价为</w:t>
      </w:r>
      <w:r>
        <w:rPr>
          <w:rFonts w:hint="eastAsia" w:ascii="宋体" w:hAnsi="宋体" w:eastAsia="宋体" w:cs="宋体"/>
          <w:b w:val="0"/>
          <w:bCs/>
          <w:color w:val="auto"/>
          <w:highlight w:val="none"/>
          <w:lang w:val="en-US" w:eastAsia="zh-CN"/>
        </w:rPr>
        <w:t>30</w:t>
      </w:r>
      <w:r>
        <w:rPr>
          <w:rFonts w:hint="eastAsia" w:ascii="宋体" w:hAnsi="宋体" w:eastAsia="宋体" w:cs="宋体"/>
          <w:b w:val="0"/>
          <w:bCs/>
          <w:color w:val="auto"/>
          <w:highlight w:val="none"/>
        </w:rPr>
        <w:t>分。</w:t>
      </w:r>
    </w:p>
    <w:p w14:paraId="029CD696">
      <w:pPr>
        <w:pageBreakBefore w:val="0"/>
        <w:widowControl w:val="0"/>
        <w:kinsoku/>
        <w:wordWrap/>
        <w:overflowPunct/>
        <w:topLinePunct w:val="0"/>
        <w:bidi w:val="0"/>
        <w:snapToGrid/>
        <w:spacing w:line="440" w:lineRule="exact"/>
        <w:ind w:firstLine="210" w:firstLineChars="100"/>
        <w:textAlignment w:val="auto"/>
        <w:rPr>
          <w:rFonts w:hint="eastAsia" w:ascii="宋体" w:hAnsi="宋体" w:eastAsia="宋体" w:cs="宋体"/>
          <w:b w:val="0"/>
          <w:bCs/>
          <w:color w:val="auto"/>
          <w:highlight w:val="none"/>
        </w:rPr>
      </w:pPr>
      <w:r>
        <w:rPr>
          <w:rFonts w:hint="eastAsia" w:ascii="宋体" w:hAnsi="宋体" w:eastAsia="宋体" w:cs="宋体"/>
          <w:b w:val="0"/>
          <w:bCs/>
          <w:color w:val="auto"/>
          <w:highlight w:val="none"/>
        </w:rPr>
        <w:t>（3）某供应商价格分 = 供应商最低评</w:t>
      </w:r>
      <w:r>
        <w:rPr>
          <w:rFonts w:hint="eastAsia" w:ascii="宋体" w:hAnsi="宋体" w:eastAsia="宋体" w:cs="宋体"/>
          <w:b w:val="0"/>
          <w:bCs/>
          <w:color w:val="auto"/>
          <w:highlight w:val="none"/>
          <w:lang w:eastAsia="zh-CN"/>
        </w:rPr>
        <w:t>审</w:t>
      </w:r>
      <w:r>
        <w:rPr>
          <w:rFonts w:hint="eastAsia" w:ascii="宋体" w:hAnsi="宋体" w:eastAsia="宋体" w:cs="宋体"/>
          <w:b w:val="0"/>
          <w:bCs/>
          <w:color w:val="auto"/>
          <w:highlight w:val="none"/>
        </w:rPr>
        <w:t>报价（金额）/某供应商评</w:t>
      </w:r>
      <w:r>
        <w:rPr>
          <w:rFonts w:hint="eastAsia" w:ascii="宋体" w:hAnsi="宋体" w:eastAsia="宋体" w:cs="宋体"/>
          <w:b w:val="0"/>
          <w:bCs/>
          <w:color w:val="auto"/>
          <w:highlight w:val="none"/>
          <w:lang w:eastAsia="zh-CN"/>
        </w:rPr>
        <w:t>审</w:t>
      </w:r>
      <w:r>
        <w:rPr>
          <w:rFonts w:hint="eastAsia" w:ascii="宋体" w:hAnsi="宋体" w:eastAsia="宋体" w:cs="宋体"/>
          <w:b w:val="0"/>
          <w:bCs/>
          <w:color w:val="auto"/>
          <w:highlight w:val="none"/>
        </w:rPr>
        <w:t>报价（金额）×</w:t>
      </w:r>
      <w:r>
        <w:rPr>
          <w:rFonts w:hint="eastAsia" w:ascii="宋体" w:hAnsi="宋体" w:eastAsia="宋体" w:cs="宋体"/>
          <w:b w:val="0"/>
          <w:bCs/>
          <w:color w:val="auto"/>
          <w:highlight w:val="none"/>
          <w:lang w:val="en-US" w:eastAsia="zh-CN"/>
        </w:rPr>
        <w:t>30</w:t>
      </w:r>
      <w:r>
        <w:rPr>
          <w:rFonts w:hint="eastAsia" w:ascii="宋体" w:hAnsi="宋体" w:eastAsia="宋体" w:cs="宋体"/>
          <w:b w:val="0"/>
          <w:bCs/>
          <w:color w:val="auto"/>
          <w:highlight w:val="none"/>
        </w:rPr>
        <w:t>分。</w:t>
      </w:r>
    </w:p>
    <w:p w14:paraId="43FD50F4">
      <w:pPr>
        <w:pageBreakBefore w:val="0"/>
        <w:widowControl w:val="0"/>
        <w:kinsoku/>
        <w:wordWrap/>
        <w:overflowPunct/>
        <w:topLinePunct w:val="0"/>
        <w:bidi w:val="0"/>
        <w:snapToGrid/>
        <w:spacing w:line="440" w:lineRule="exact"/>
        <w:ind w:firstLine="211" w:firstLineChars="100"/>
        <w:textAlignment w:val="auto"/>
        <w:rPr>
          <w:rFonts w:hint="eastAsia" w:ascii="新宋体" w:hAnsi="新宋体" w:eastAsia="新宋体" w:cs="新宋体"/>
          <w:b/>
          <w:color w:val="auto"/>
          <w:highlight w:val="none"/>
        </w:rPr>
      </w:pPr>
      <w:r>
        <w:rPr>
          <w:rFonts w:hint="eastAsia" w:ascii="新宋体" w:hAnsi="新宋体" w:eastAsia="新宋体" w:cs="新宋体"/>
          <w:b/>
          <w:color w:val="auto"/>
          <w:highlight w:val="none"/>
        </w:rPr>
        <w:t>2、</w:t>
      </w:r>
      <w:r>
        <w:rPr>
          <w:rFonts w:hint="eastAsia" w:ascii="新宋体" w:hAnsi="新宋体" w:eastAsia="新宋体" w:cs="新宋体"/>
          <w:b/>
          <w:color w:val="auto"/>
          <w:highlight w:val="none"/>
          <w:lang w:val="en-US" w:eastAsia="zh-CN"/>
        </w:rPr>
        <w:t>技术分</w:t>
      </w:r>
      <w:r>
        <w:rPr>
          <w:rFonts w:hint="eastAsia" w:ascii="新宋体" w:hAnsi="新宋体" w:eastAsia="新宋体" w:cs="新宋体"/>
          <w:b/>
          <w:color w:val="auto"/>
          <w:highlight w:val="none"/>
        </w:rPr>
        <w:t>……………………………</w:t>
      </w:r>
      <w:r>
        <w:rPr>
          <w:rFonts w:hint="eastAsia" w:ascii="新宋体" w:hAnsi="新宋体" w:eastAsia="新宋体" w:cs="新宋体"/>
          <w:b/>
          <w:bCs/>
          <w:color w:val="auto"/>
          <w:sz w:val="21"/>
          <w:szCs w:val="21"/>
          <w:highlight w:val="none"/>
        </w:rPr>
        <w:t>…………………………</w:t>
      </w:r>
      <w:r>
        <w:rPr>
          <w:rFonts w:hint="eastAsia" w:ascii="新宋体" w:hAnsi="新宋体" w:eastAsia="新宋体" w:cs="新宋体"/>
          <w:b/>
          <w:color w:val="auto"/>
          <w:highlight w:val="none"/>
        </w:rPr>
        <w:t>…………………………………</w:t>
      </w:r>
      <w:r>
        <w:rPr>
          <w:rFonts w:hint="eastAsia" w:ascii="新宋体" w:hAnsi="新宋体" w:eastAsia="新宋体" w:cs="新宋体"/>
          <w:b/>
          <w:color w:val="auto"/>
          <w:highlight w:val="none"/>
          <w:lang w:val="en-US" w:eastAsia="zh-CN"/>
        </w:rPr>
        <w:t>满分50</w:t>
      </w:r>
      <w:r>
        <w:rPr>
          <w:rFonts w:hint="eastAsia" w:ascii="新宋体" w:hAnsi="新宋体" w:eastAsia="新宋体" w:cs="新宋体"/>
          <w:b/>
          <w:color w:val="auto"/>
          <w:highlight w:val="none"/>
        </w:rPr>
        <w:t>分</w:t>
      </w:r>
    </w:p>
    <w:p w14:paraId="06238D8C">
      <w:pPr>
        <w:pStyle w:val="14"/>
        <w:pageBreakBefore w:val="0"/>
        <w:widowControl w:val="0"/>
        <w:tabs>
          <w:tab w:val="left" w:leader="middleDot" w:pos="8820"/>
        </w:tabs>
        <w:kinsoku/>
        <w:wordWrap/>
        <w:overflowPunct/>
        <w:topLinePunct w:val="0"/>
        <w:bidi w:val="0"/>
        <w:snapToGrid/>
        <w:spacing w:line="440" w:lineRule="exact"/>
        <w:ind w:firstLine="211" w:firstLineChars="100"/>
        <w:textAlignment w:val="auto"/>
        <w:rPr>
          <w:rFonts w:hint="eastAsia" w:ascii="新宋体" w:hAnsi="新宋体" w:eastAsia="新宋体" w:cs="新宋体"/>
          <w:b/>
          <w:bCs w:val="0"/>
          <w:color w:val="auto"/>
          <w:szCs w:val="21"/>
          <w:highlight w:val="none"/>
        </w:rPr>
      </w:pPr>
      <w:r>
        <w:rPr>
          <w:rFonts w:hint="eastAsia" w:ascii="新宋体" w:hAnsi="新宋体" w:eastAsia="新宋体" w:cs="新宋体"/>
          <w:b/>
          <w:bCs w:val="0"/>
          <w:color w:val="auto"/>
          <w:highlight w:val="none"/>
        </w:rPr>
        <w:t>（1）</w:t>
      </w:r>
      <w:r>
        <w:rPr>
          <w:rFonts w:hint="eastAsia" w:ascii="新宋体" w:hAnsi="新宋体" w:eastAsia="新宋体" w:cs="新宋体"/>
          <w:b/>
          <w:bCs w:val="0"/>
          <w:color w:val="auto"/>
          <w:szCs w:val="21"/>
          <w:highlight w:val="none"/>
        </w:rPr>
        <w:t>总体概述</w:t>
      </w:r>
      <w:r>
        <w:rPr>
          <w:rFonts w:hint="eastAsia" w:ascii="新宋体" w:hAnsi="新宋体" w:eastAsia="新宋体" w:cs="新宋体"/>
          <w:b/>
          <w:bCs w:val="0"/>
          <w:color w:val="auto"/>
          <w:highlight w:val="none"/>
        </w:rPr>
        <w:t>……………………………………………</w:t>
      </w:r>
      <w:r>
        <w:rPr>
          <w:rFonts w:hint="eastAsia" w:ascii="新宋体" w:hAnsi="新宋体" w:eastAsia="新宋体" w:cs="新宋体"/>
          <w:b/>
          <w:color w:val="auto"/>
          <w:highlight w:val="none"/>
        </w:rPr>
        <w:t>………</w:t>
      </w:r>
      <w:r>
        <w:rPr>
          <w:rFonts w:hint="eastAsia" w:ascii="新宋体" w:hAnsi="新宋体" w:eastAsia="新宋体" w:cs="新宋体"/>
          <w:b/>
          <w:bCs w:val="0"/>
          <w:color w:val="auto"/>
          <w:highlight w:val="none"/>
        </w:rPr>
        <w:t>………………</w:t>
      </w:r>
      <w:r>
        <w:rPr>
          <w:rFonts w:hint="eastAsia" w:ascii="新宋体" w:hAnsi="新宋体" w:eastAsia="新宋体" w:cs="新宋体"/>
          <w:b/>
          <w:bCs w:val="0"/>
          <w:color w:val="auto"/>
          <w:szCs w:val="21"/>
          <w:highlight w:val="none"/>
        </w:rPr>
        <w:t>…</w:t>
      </w:r>
      <w:r>
        <w:rPr>
          <w:rFonts w:hint="eastAsia" w:ascii="新宋体" w:hAnsi="新宋体" w:eastAsia="新宋体" w:cs="新宋体"/>
          <w:b/>
          <w:bCs w:val="0"/>
          <w:color w:val="auto"/>
          <w:highlight w:val="none"/>
        </w:rPr>
        <w:t>…………………</w:t>
      </w:r>
      <w:r>
        <w:rPr>
          <w:rFonts w:hint="eastAsia" w:ascii="新宋体" w:hAnsi="新宋体" w:eastAsia="新宋体" w:cs="新宋体"/>
          <w:b/>
          <w:bCs w:val="0"/>
          <w:color w:val="auto"/>
          <w:highlight w:val="none"/>
          <w:lang w:val="en-US" w:eastAsia="zh-CN"/>
        </w:rPr>
        <w:t>5</w:t>
      </w:r>
      <w:r>
        <w:rPr>
          <w:rFonts w:hint="eastAsia" w:ascii="新宋体" w:hAnsi="新宋体" w:eastAsia="新宋体" w:cs="新宋体"/>
          <w:b/>
          <w:bCs w:val="0"/>
          <w:color w:val="auto"/>
          <w:szCs w:val="21"/>
          <w:highlight w:val="none"/>
        </w:rPr>
        <w:t>分</w:t>
      </w:r>
    </w:p>
    <w:p w14:paraId="479101AB">
      <w:pPr>
        <w:pStyle w:val="14"/>
        <w:pageBreakBefore w:val="0"/>
        <w:widowControl w:val="0"/>
        <w:kinsoku/>
        <w:wordWrap/>
        <w:overflowPunct/>
        <w:topLinePunct w:val="0"/>
        <w:bidi w:val="0"/>
        <w:snapToGrid/>
        <w:spacing w:line="440" w:lineRule="exact"/>
        <w:ind w:firstLine="535" w:firstLineChars="255"/>
        <w:textAlignment w:val="auto"/>
        <w:rPr>
          <w:rFonts w:hint="eastAsia" w:ascii="新宋体" w:hAnsi="新宋体" w:eastAsia="新宋体" w:cs="新宋体"/>
          <w:b w:val="0"/>
          <w:bCs/>
          <w:color w:val="auto"/>
          <w:kern w:val="0"/>
          <w:szCs w:val="21"/>
          <w:highlight w:val="none"/>
          <w:lang w:eastAsia="zh-CN"/>
        </w:rPr>
      </w:pPr>
      <w:r>
        <w:rPr>
          <w:rFonts w:hint="eastAsia" w:ascii="新宋体" w:hAnsi="新宋体" w:eastAsia="新宋体" w:cs="新宋体"/>
          <w:b w:val="0"/>
          <w:bCs/>
          <w:color w:val="auto"/>
          <w:kern w:val="0"/>
          <w:szCs w:val="21"/>
          <w:highlight w:val="none"/>
        </w:rPr>
        <w:t>优</w:t>
      </w:r>
      <w:r>
        <w:rPr>
          <w:rFonts w:hint="eastAsia" w:ascii="新宋体" w:hAnsi="新宋体" w:eastAsia="新宋体" w:cs="新宋体"/>
          <w:b w:val="0"/>
          <w:bCs/>
          <w:color w:val="auto"/>
          <w:kern w:val="0"/>
          <w:szCs w:val="21"/>
          <w:highlight w:val="none"/>
          <w:lang w:eastAsia="zh-CN"/>
        </w:rPr>
        <w:t>（</w:t>
      </w:r>
      <w:r>
        <w:rPr>
          <w:rFonts w:hint="eastAsia" w:ascii="新宋体" w:hAnsi="新宋体" w:eastAsia="新宋体" w:cs="新宋体"/>
          <w:b w:val="0"/>
          <w:bCs/>
          <w:color w:val="auto"/>
          <w:kern w:val="0"/>
          <w:szCs w:val="21"/>
          <w:highlight w:val="none"/>
          <w:lang w:val="en-US" w:eastAsia="zh-CN"/>
        </w:rPr>
        <w:t>5.0分</w:t>
      </w:r>
      <w:r>
        <w:rPr>
          <w:rFonts w:hint="eastAsia" w:ascii="新宋体" w:hAnsi="新宋体" w:eastAsia="新宋体" w:cs="新宋体"/>
          <w:b w:val="0"/>
          <w:bCs/>
          <w:color w:val="auto"/>
          <w:kern w:val="0"/>
          <w:szCs w:val="21"/>
          <w:highlight w:val="none"/>
          <w:lang w:eastAsia="zh-CN"/>
        </w:rPr>
        <w:t>）</w:t>
      </w:r>
      <w:r>
        <w:rPr>
          <w:rFonts w:hint="eastAsia" w:ascii="新宋体" w:hAnsi="新宋体" w:eastAsia="新宋体" w:cs="新宋体"/>
          <w:b w:val="0"/>
          <w:bCs/>
          <w:color w:val="auto"/>
          <w:kern w:val="0"/>
          <w:szCs w:val="21"/>
          <w:highlight w:val="none"/>
        </w:rPr>
        <w:t>：对项目总体有深刻认识，表达清晰、完整、严谨、合理，措施先进、具体、有效、成熟；施工段划分清晰、合理，符合规范要求</w:t>
      </w:r>
      <w:r>
        <w:rPr>
          <w:rFonts w:hint="eastAsia" w:ascii="新宋体" w:hAnsi="新宋体" w:eastAsia="新宋体" w:cs="新宋体"/>
          <w:b w:val="0"/>
          <w:bCs/>
          <w:color w:val="auto"/>
          <w:kern w:val="0"/>
          <w:szCs w:val="21"/>
          <w:highlight w:val="none"/>
          <w:lang w:eastAsia="zh-CN"/>
        </w:rPr>
        <w:t>；</w:t>
      </w:r>
    </w:p>
    <w:p w14:paraId="0353A890">
      <w:pPr>
        <w:pStyle w:val="14"/>
        <w:pageBreakBefore w:val="0"/>
        <w:widowControl w:val="0"/>
        <w:kinsoku/>
        <w:wordWrap/>
        <w:overflowPunct/>
        <w:topLinePunct w:val="0"/>
        <w:bidi w:val="0"/>
        <w:snapToGrid/>
        <w:spacing w:line="440" w:lineRule="exact"/>
        <w:ind w:firstLine="535" w:firstLineChars="255"/>
        <w:textAlignment w:val="auto"/>
        <w:rPr>
          <w:rFonts w:hint="eastAsia" w:ascii="新宋体" w:hAnsi="新宋体" w:eastAsia="新宋体" w:cs="新宋体"/>
          <w:b w:val="0"/>
          <w:bCs/>
          <w:color w:val="auto"/>
          <w:kern w:val="0"/>
          <w:szCs w:val="21"/>
          <w:highlight w:val="none"/>
          <w:lang w:eastAsia="zh-CN"/>
        </w:rPr>
      </w:pPr>
      <w:r>
        <w:rPr>
          <w:rFonts w:hint="eastAsia" w:ascii="新宋体" w:hAnsi="新宋体" w:eastAsia="新宋体" w:cs="新宋体"/>
          <w:b w:val="0"/>
          <w:bCs/>
          <w:color w:val="auto"/>
          <w:kern w:val="0"/>
          <w:szCs w:val="21"/>
          <w:highlight w:val="none"/>
        </w:rPr>
        <w:t>良</w:t>
      </w:r>
      <w:r>
        <w:rPr>
          <w:rFonts w:hint="eastAsia" w:ascii="新宋体" w:hAnsi="新宋体" w:eastAsia="新宋体" w:cs="新宋体"/>
          <w:b w:val="0"/>
          <w:bCs/>
          <w:color w:val="auto"/>
          <w:kern w:val="0"/>
          <w:szCs w:val="21"/>
          <w:highlight w:val="none"/>
          <w:lang w:eastAsia="zh-CN"/>
        </w:rPr>
        <w:t>（</w:t>
      </w:r>
      <w:r>
        <w:rPr>
          <w:rFonts w:hint="eastAsia" w:ascii="新宋体" w:hAnsi="新宋体" w:eastAsia="新宋体" w:cs="新宋体"/>
          <w:b w:val="0"/>
          <w:bCs/>
          <w:color w:val="auto"/>
          <w:kern w:val="0"/>
          <w:szCs w:val="21"/>
          <w:highlight w:val="none"/>
          <w:lang w:val="en-US" w:eastAsia="zh-CN"/>
        </w:rPr>
        <w:t>3.0分</w:t>
      </w:r>
      <w:r>
        <w:rPr>
          <w:rFonts w:hint="eastAsia" w:ascii="新宋体" w:hAnsi="新宋体" w:eastAsia="新宋体" w:cs="新宋体"/>
          <w:b w:val="0"/>
          <w:bCs/>
          <w:color w:val="auto"/>
          <w:kern w:val="0"/>
          <w:szCs w:val="21"/>
          <w:highlight w:val="none"/>
          <w:lang w:eastAsia="zh-CN"/>
        </w:rPr>
        <w:t>）</w:t>
      </w:r>
      <w:r>
        <w:rPr>
          <w:rFonts w:hint="eastAsia" w:ascii="新宋体" w:hAnsi="新宋体" w:eastAsia="新宋体" w:cs="新宋体"/>
          <w:b w:val="0"/>
          <w:bCs/>
          <w:color w:val="auto"/>
          <w:kern w:val="0"/>
          <w:szCs w:val="21"/>
          <w:highlight w:val="none"/>
        </w:rPr>
        <w:t>：对项目总体有一定认识，表达清晰、完整，措施具体有效；施工段划分清晰，符合规范要求</w:t>
      </w:r>
      <w:r>
        <w:rPr>
          <w:rFonts w:hint="eastAsia" w:ascii="新宋体" w:hAnsi="新宋体" w:eastAsia="新宋体" w:cs="新宋体"/>
          <w:b w:val="0"/>
          <w:bCs/>
          <w:color w:val="auto"/>
          <w:kern w:val="0"/>
          <w:szCs w:val="21"/>
          <w:highlight w:val="none"/>
          <w:lang w:eastAsia="zh-CN"/>
        </w:rPr>
        <w:t>；</w:t>
      </w:r>
    </w:p>
    <w:p w14:paraId="340DA152">
      <w:pPr>
        <w:pStyle w:val="14"/>
        <w:pageBreakBefore w:val="0"/>
        <w:widowControl w:val="0"/>
        <w:kinsoku/>
        <w:wordWrap/>
        <w:overflowPunct/>
        <w:topLinePunct w:val="0"/>
        <w:bidi w:val="0"/>
        <w:snapToGrid/>
        <w:spacing w:line="440" w:lineRule="exact"/>
        <w:ind w:firstLine="535" w:firstLineChars="255"/>
        <w:textAlignment w:val="auto"/>
        <w:rPr>
          <w:rFonts w:hint="eastAsia" w:ascii="新宋体" w:hAnsi="新宋体" w:eastAsia="新宋体" w:cs="新宋体"/>
          <w:b w:val="0"/>
          <w:bCs/>
          <w:color w:val="auto"/>
          <w:kern w:val="0"/>
          <w:szCs w:val="21"/>
          <w:highlight w:val="none"/>
          <w:lang w:eastAsia="zh-CN"/>
        </w:rPr>
      </w:pPr>
      <w:r>
        <w:rPr>
          <w:rFonts w:hint="eastAsia" w:ascii="新宋体" w:hAnsi="新宋体" w:eastAsia="新宋体" w:cs="新宋体"/>
          <w:b w:val="0"/>
          <w:bCs/>
          <w:color w:val="auto"/>
          <w:kern w:val="0"/>
          <w:szCs w:val="21"/>
          <w:highlight w:val="none"/>
        </w:rPr>
        <w:t>中</w:t>
      </w:r>
      <w:r>
        <w:rPr>
          <w:rFonts w:hint="eastAsia" w:ascii="新宋体" w:hAnsi="新宋体" w:eastAsia="新宋体" w:cs="新宋体"/>
          <w:b w:val="0"/>
          <w:bCs/>
          <w:color w:val="auto"/>
          <w:kern w:val="0"/>
          <w:szCs w:val="21"/>
          <w:highlight w:val="none"/>
          <w:lang w:eastAsia="zh-CN"/>
        </w:rPr>
        <w:t>（</w:t>
      </w:r>
      <w:r>
        <w:rPr>
          <w:rFonts w:hint="eastAsia" w:ascii="新宋体" w:hAnsi="新宋体" w:eastAsia="新宋体" w:cs="新宋体"/>
          <w:b w:val="0"/>
          <w:bCs/>
          <w:color w:val="auto"/>
          <w:kern w:val="0"/>
          <w:szCs w:val="21"/>
          <w:highlight w:val="none"/>
          <w:lang w:val="en-US" w:eastAsia="zh-CN"/>
        </w:rPr>
        <w:t>1.0分</w:t>
      </w:r>
      <w:r>
        <w:rPr>
          <w:rFonts w:hint="eastAsia" w:ascii="新宋体" w:hAnsi="新宋体" w:eastAsia="新宋体" w:cs="新宋体"/>
          <w:b w:val="0"/>
          <w:bCs/>
          <w:color w:val="auto"/>
          <w:kern w:val="0"/>
          <w:szCs w:val="21"/>
          <w:highlight w:val="none"/>
          <w:lang w:eastAsia="zh-CN"/>
        </w:rPr>
        <w:t>）</w:t>
      </w:r>
      <w:r>
        <w:rPr>
          <w:rFonts w:hint="eastAsia" w:ascii="新宋体" w:hAnsi="新宋体" w:eastAsia="新宋体" w:cs="新宋体"/>
          <w:b w:val="0"/>
          <w:bCs/>
          <w:color w:val="auto"/>
          <w:kern w:val="0"/>
          <w:szCs w:val="21"/>
          <w:highlight w:val="none"/>
        </w:rPr>
        <w:t>：对项目总体有认识，有一定的措施但部分不具体；施工段划分较合理，符合规范要求</w:t>
      </w:r>
      <w:r>
        <w:rPr>
          <w:rFonts w:hint="eastAsia" w:ascii="新宋体" w:hAnsi="新宋体" w:eastAsia="新宋体" w:cs="新宋体"/>
          <w:b w:val="0"/>
          <w:bCs/>
          <w:color w:val="auto"/>
          <w:kern w:val="0"/>
          <w:szCs w:val="21"/>
          <w:highlight w:val="none"/>
          <w:lang w:eastAsia="zh-CN"/>
        </w:rPr>
        <w:t>；</w:t>
      </w:r>
    </w:p>
    <w:p w14:paraId="1FF2F3E4">
      <w:pPr>
        <w:pStyle w:val="14"/>
        <w:pageBreakBefore w:val="0"/>
        <w:widowControl w:val="0"/>
        <w:kinsoku/>
        <w:wordWrap/>
        <w:overflowPunct/>
        <w:topLinePunct w:val="0"/>
        <w:bidi w:val="0"/>
        <w:snapToGrid/>
        <w:spacing w:line="440" w:lineRule="exact"/>
        <w:ind w:firstLine="535" w:firstLineChars="255"/>
        <w:textAlignment w:val="auto"/>
        <w:rPr>
          <w:rFonts w:hint="eastAsia" w:ascii="新宋体" w:hAnsi="新宋体" w:eastAsia="新宋体" w:cs="新宋体"/>
          <w:b w:val="0"/>
          <w:bCs/>
          <w:color w:val="auto"/>
          <w:kern w:val="0"/>
          <w:szCs w:val="21"/>
          <w:highlight w:val="none"/>
        </w:rPr>
      </w:pPr>
      <w:r>
        <w:rPr>
          <w:rFonts w:hint="eastAsia" w:ascii="新宋体" w:hAnsi="新宋体" w:eastAsia="新宋体" w:cs="新宋体"/>
          <w:b w:val="0"/>
          <w:bCs/>
          <w:color w:val="auto"/>
          <w:kern w:val="0"/>
          <w:szCs w:val="21"/>
          <w:highlight w:val="none"/>
        </w:rPr>
        <w:t>差</w:t>
      </w:r>
      <w:r>
        <w:rPr>
          <w:rFonts w:hint="eastAsia" w:ascii="新宋体" w:hAnsi="新宋体" w:eastAsia="新宋体" w:cs="新宋体"/>
          <w:b w:val="0"/>
          <w:bCs/>
          <w:color w:val="auto"/>
          <w:kern w:val="0"/>
          <w:szCs w:val="21"/>
          <w:highlight w:val="none"/>
          <w:lang w:eastAsia="zh-CN"/>
        </w:rPr>
        <w:t>（</w:t>
      </w:r>
      <w:r>
        <w:rPr>
          <w:rFonts w:hint="eastAsia" w:ascii="新宋体" w:hAnsi="新宋体" w:eastAsia="新宋体" w:cs="新宋体"/>
          <w:b w:val="0"/>
          <w:bCs/>
          <w:color w:val="auto"/>
          <w:kern w:val="0"/>
          <w:szCs w:val="21"/>
          <w:highlight w:val="none"/>
          <w:lang w:val="en-US" w:eastAsia="zh-CN"/>
        </w:rPr>
        <w:t>0分</w:t>
      </w:r>
      <w:r>
        <w:rPr>
          <w:rFonts w:hint="eastAsia" w:ascii="新宋体" w:hAnsi="新宋体" w:eastAsia="新宋体" w:cs="新宋体"/>
          <w:b w:val="0"/>
          <w:bCs/>
          <w:color w:val="auto"/>
          <w:kern w:val="0"/>
          <w:szCs w:val="21"/>
          <w:highlight w:val="none"/>
          <w:lang w:eastAsia="zh-CN"/>
        </w:rPr>
        <w:t>）</w:t>
      </w:r>
      <w:r>
        <w:rPr>
          <w:rFonts w:hint="eastAsia" w:ascii="新宋体" w:hAnsi="新宋体" w:eastAsia="新宋体" w:cs="新宋体"/>
          <w:b w:val="0"/>
          <w:bCs/>
          <w:color w:val="auto"/>
          <w:kern w:val="0"/>
          <w:szCs w:val="21"/>
          <w:highlight w:val="none"/>
        </w:rPr>
        <w:t>：对项目认识不足，表达不清晰，措施不具体；施工段划分不合理。</w:t>
      </w:r>
    </w:p>
    <w:p w14:paraId="3E280684">
      <w:pPr>
        <w:pStyle w:val="14"/>
        <w:pageBreakBefore w:val="0"/>
        <w:widowControl w:val="0"/>
        <w:kinsoku/>
        <w:wordWrap/>
        <w:overflowPunct/>
        <w:topLinePunct w:val="0"/>
        <w:bidi w:val="0"/>
        <w:snapToGrid/>
        <w:spacing w:line="440" w:lineRule="exact"/>
        <w:ind w:firstLine="210" w:firstLineChars="100"/>
        <w:textAlignment w:val="auto"/>
        <w:rPr>
          <w:rFonts w:hint="eastAsia"/>
        </w:rPr>
      </w:pPr>
      <w:r>
        <w:rPr>
          <w:rFonts w:hint="eastAsia" w:ascii="新宋体" w:hAnsi="新宋体" w:eastAsia="新宋体" w:cs="新宋体"/>
          <w:sz w:val="21"/>
          <w:highlight w:val="none"/>
        </w:rPr>
        <w:t>注：</w:t>
      </w:r>
      <w:r>
        <w:rPr>
          <w:rFonts w:hint="eastAsia" w:ascii="新宋体" w:hAnsi="新宋体" w:eastAsia="新宋体" w:cs="新宋体"/>
          <w:sz w:val="21"/>
          <w:highlight w:val="none"/>
          <w:lang w:eastAsia="zh-CN"/>
        </w:rPr>
        <w:t>磋商供应商响应文件</w:t>
      </w:r>
      <w:r>
        <w:rPr>
          <w:rFonts w:hint="eastAsia" w:ascii="新宋体" w:hAnsi="新宋体" w:eastAsia="新宋体" w:cs="新宋体"/>
          <w:sz w:val="21"/>
          <w:highlight w:val="none"/>
        </w:rPr>
        <w:t>中提供的项目实施方案未达到相应评审档次全部标准的，相应降低一个档次</w:t>
      </w:r>
      <w:r>
        <w:rPr>
          <w:rFonts w:hint="eastAsia" w:ascii="新宋体" w:hAnsi="新宋体" w:eastAsia="新宋体" w:cs="新宋体"/>
          <w:sz w:val="21"/>
          <w:highlight w:val="none"/>
          <w:lang w:eastAsia="zh-CN"/>
        </w:rPr>
        <w:t>。</w:t>
      </w:r>
    </w:p>
    <w:p w14:paraId="03EEC9A6">
      <w:pPr>
        <w:pStyle w:val="14"/>
        <w:pageBreakBefore w:val="0"/>
        <w:widowControl w:val="0"/>
        <w:kinsoku/>
        <w:wordWrap/>
        <w:overflowPunct/>
        <w:topLinePunct w:val="0"/>
        <w:bidi w:val="0"/>
        <w:snapToGrid/>
        <w:spacing w:line="440" w:lineRule="exact"/>
        <w:ind w:firstLine="211" w:firstLineChars="100"/>
        <w:textAlignment w:val="auto"/>
        <w:rPr>
          <w:rFonts w:hint="eastAsia" w:ascii="新宋体" w:hAnsi="新宋体" w:eastAsia="新宋体" w:cs="新宋体"/>
          <w:b/>
          <w:bCs w:val="0"/>
          <w:color w:val="auto"/>
          <w:highlight w:val="none"/>
        </w:rPr>
      </w:pPr>
      <w:r>
        <w:rPr>
          <w:rFonts w:hint="eastAsia" w:ascii="新宋体" w:hAnsi="新宋体" w:eastAsia="新宋体" w:cs="新宋体"/>
          <w:b/>
          <w:bCs w:val="0"/>
          <w:color w:val="auto"/>
          <w:highlight w:val="none"/>
        </w:rPr>
        <w:t>（2）主要施工方法…………</w:t>
      </w:r>
      <w:r>
        <w:rPr>
          <w:rFonts w:hint="eastAsia" w:ascii="新宋体" w:hAnsi="新宋体" w:eastAsia="新宋体" w:cs="新宋体"/>
          <w:b/>
          <w:bCs w:val="0"/>
          <w:color w:val="auto"/>
          <w:szCs w:val="21"/>
          <w:highlight w:val="none"/>
        </w:rPr>
        <w:t>…</w:t>
      </w:r>
      <w:r>
        <w:rPr>
          <w:rFonts w:hint="eastAsia" w:ascii="新宋体" w:hAnsi="新宋体" w:eastAsia="新宋体" w:cs="新宋体"/>
          <w:b/>
          <w:bCs w:val="0"/>
          <w:color w:val="auto"/>
          <w:highlight w:val="none"/>
        </w:rPr>
        <w:t>…………</w:t>
      </w:r>
      <w:r>
        <w:rPr>
          <w:rFonts w:hint="eastAsia" w:ascii="新宋体" w:hAnsi="新宋体" w:eastAsia="新宋体" w:cs="新宋体"/>
          <w:b/>
          <w:bCs w:val="0"/>
          <w:color w:val="auto"/>
          <w:szCs w:val="21"/>
          <w:highlight w:val="none"/>
        </w:rPr>
        <w:t>…</w:t>
      </w:r>
      <w:r>
        <w:rPr>
          <w:rFonts w:hint="eastAsia" w:ascii="新宋体" w:hAnsi="新宋体" w:eastAsia="新宋体" w:cs="新宋体"/>
          <w:b/>
          <w:bCs w:val="0"/>
          <w:color w:val="auto"/>
          <w:highlight w:val="none"/>
        </w:rPr>
        <w:t>……</w:t>
      </w:r>
      <w:r>
        <w:rPr>
          <w:rFonts w:hint="eastAsia" w:ascii="新宋体" w:hAnsi="新宋体" w:eastAsia="新宋体" w:cs="新宋体"/>
          <w:b/>
          <w:color w:val="auto"/>
          <w:highlight w:val="none"/>
        </w:rPr>
        <w:t>………</w:t>
      </w:r>
      <w:r>
        <w:rPr>
          <w:rFonts w:hint="eastAsia" w:ascii="新宋体" w:hAnsi="新宋体" w:eastAsia="新宋体" w:cs="新宋体"/>
          <w:b/>
          <w:bCs w:val="0"/>
          <w:color w:val="auto"/>
          <w:highlight w:val="none"/>
        </w:rPr>
        <w:t>……………………………………………</w:t>
      </w:r>
      <w:r>
        <w:rPr>
          <w:rFonts w:hint="eastAsia" w:ascii="新宋体" w:hAnsi="新宋体" w:eastAsia="新宋体" w:cs="新宋体"/>
          <w:b/>
          <w:bCs w:val="0"/>
          <w:color w:val="auto"/>
          <w:highlight w:val="none"/>
          <w:lang w:val="en-US" w:eastAsia="zh-CN"/>
        </w:rPr>
        <w:t>8</w:t>
      </w:r>
      <w:r>
        <w:rPr>
          <w:rFonts w:hint="eastAsia" w:ascii="新宋体" w:hAnsi="新宋体" w:eastAsia="新宋体" w:cs="新宋体"/>
          <w:b/>
          <w:bCs w:val="0"/>
          <w:color w:val="auto"/>
          <w:szCs w:val="21"/>
          <w:highlight w:val="none"/>
        </w:rPr>
        <w:t>分</w:t>
      </w:r>
    </w:p>
    <w:p w14:paraId="6B87545B">
      <w:pPr>
        <w:pStyle w:val="14"/>
        <w:pageBreakBefore w:val="0"/>
        <w:widowControl w:val="0"/>
        <w:kinsoku/>
        <w:wordWrap/>
        <w:overflowPunct/>
        <w:topLinePunct w:val="0"/>
        <w:bidi w:val="0"/>
        <w:snapToGrid/>
        <w:spacing w:line="440" w:lineRule="exact"/>
        <w:ind w:firstLine="535" w:firstLineChars="255"/>
        <w:textAlignment w:val="auto"/>
        <w:rPr>
          <w:rFonts w:hint="eastAsia" w:ascii="新宋体" w:hAnsi="新宋体" w:eastAsia="新宋体" w:cs="新宋体"/>
          <w:b w:val="0"/>
          <w:bCs/>
          <w:color w:val="auto"/>
          <w:szCs w:val="21"/>
          <w:highlight w:val="none"/>
        </w:rPr>
      </w:pPr>
      <w:r>
        <w:rPr>
          <w:rFonts w:hint="eastAsia" w:ascii="新宋体" w:hAnsi="新宋体" w:eastAsia="新宋体" w:cs="新宋体"/>
          <w:sz w:val="21"/>
          <w:highlight w:val="none"/>
          <w:lang w:eastAsia="zh-CN"/>
        </w:rPr>
        <w:t>磋商小组</w:t>
      </w:r>
      <w:r>
        <w:rPr>
          <w:rFonts w:hint="eastAsia" w:ascii="新宋体" w:hAnsi="新宋体" w:eastAsia="新宋体" w:cs="新宋体"/>
          <w:sz w:val="21"/>
          <w:highlight w:val="none"/>
        </w:rPr>
        <w:t>会</w:t>
      </w:r>
      <w:r>
        <w:rPr>
          <w:rFonts w:hint="eastAsia" w:ascii="新宋体" w:hAnsi="新宋体" w:eastAsia="新宋体" w:cs="新宋体"/>
          <w:sz w:val="21"/>
          <w:highlight w:val="none"/>
          <w:lang w:eastAsia="zh-CN"/>
        </w:rPr>
        <w:t>各成员</w:t>
      </w:r>
      <w:r>
        <w:rPr>
          <w:rFonts w:hint="eastAsia" w:ascii="新宋体" w:hAnsi="新宋体" w:eastAsia="新宋体" w:cs="新宋体"/>
          <w:sz w:val="21"/>
          <w:highlight w:val="none"/>
        </w:rPr>
        <w:t>对比各</w:t>
      </w:r>
      <w:r>
        <w:rPr>
          <w:rFonts w:hint="eastAsia" w:ascii="新宋体" w:hAnsi="新宋体" w:eastAsia="新宋体" w:cs="新宋体"/>
          <w:sz w:val="21"/>
          <w:highlight w:val="none"/>
          <w:lang w:eastAsia="zh-CN"/>
        </w:rPr>
        <w:t>磋商供应商</w:t>
      </w:r>
      <w:r>
        <w:rPr>
          <w:rFonts w:hint="eastAsia" w:ascii="新宋体" w:hAnsi="新宋体" w:eastAsia="新宋体" w:cs="新宋体"/>
          <w:sz w:val="21"/>
          <w:highlight w:val="none"/>
        </w:rPr>
        <w:t>提供的</w:t>
      </w:r>
      <w:r>
        <w:rPr>
          <w:rFonts w:hint="eastAsia" w:ascii="新宋体" w:hAnsi="新宋体" w:eastAsia="新宋体" w:cs="新宋体"/>
          <w:sz w:val="21"/>
          <w:highlight w:val="none"/>
        </w:rPr>
        <w:fldChar w:fldCharType="begin"/>
      </w:r>
      <w:r>
        <w:rPr>
          <w:rFonts w:hint="eastAsia" w:ascii="新宋体" w:hAnsi="新宋体" w:eastAsia="新宋体" w:cs="新宋体"/>
          <w:sz w:val="21"/>
          <w:highlight w:val="none"/>
        </w:rPr>
        <w:instrText xml:space="preserve"> = 1 \* GB3 \* MERGEFORMAT </w:instrText>
      </w:r>
      <w:r>
        <w:rPr>
          <w:rFonts w:hint="eastAsia" w:ascii="新宋体" w:hAnsi="新宋体" w:eastAsia="新宋体" w:cs="新宋体"/>
          <w:sz w:val="21"/>
          <w:highlight w:val="none"/>
        </w:rPr>
        <w:fldChar w:fldCharType="separate"/>
      </w:r>
      <w:r>
        <w:rPr>
          <w:rFonts w:hint="eastAsia" w:ascii="新宋体" w:hAnsi="新宋体" w:eastAsia="新宋体" w:cs="新宋体"/>
          <w:highlight w:val="none"/>
        </w:rPr>
        <w:t>①</w:t>
      </w:r>
      <w:r>
        <w:rPr>
          <w:rFonts w:hint="eastAsia" w:ascii="新宋体" w:hAnsi="新宋体" w:eastAsia="新宋体" w:cs="新宋体"/>
          <w:sz w:val="21"/>
          <w:highlight w:val="none"/>
        </w:rPr>
        <w:fldChar w:fldCharType="end"/>
      </w:r>
      <w:r>
        <w:rPr>
          <w:rFonts w:hint="eastAsia" w:ascii="新宋体" w:hAnsi="新宋体" w:eastAsia="新宋体" w:cs="新宋体"/>
          <w:b w:val="0"/>
          <w:bCs w:val="0"/>
          <w:color w:val="auto"/>
          <w:sz w:val="21"/>
          <w:highlight w:val="none"/>
          <w:lang w:val="en-US" w:eastAsia="zh-CN"/>
        </w:rPr>
        <w:t>对</w:t>
      </w:r>
      <w:r>
        <w:rPr>
          <w:rFonts w:hint="eastAsia" w:ascii="新宋体" w:hAnsi="新宋体" w:eastAsia="新宋体" w:cs="新宋体"/>
          <w:bCs/>
          <w:color w:val="auto"/>
          <w:sz w:val="21"/>
          <w:highlight w:val="none"/>
        </w:rPr>
        <w:t>项目关键技术、工艺的表述</w:t>
      </w:r>
      <w:r>
        <w:rPr>
          <w:rFonts w:hint="eastAsia" w:ascii="新宋体" w:hAnsi="新宋体" w:eastAsia="新宋体" w:cs="新宋体"/>
          <w:bCs/>
          <w:color w:val="auto"/>
          <w:sz w:val="21"/>
          <w:highlight w:val="none"/>
          <w:lang w:eastAsia="zh-CN"/>
        </w:rPr>
        <w:t>；</w:t>
      </w:r>
      <w:r>
        <w:rPr>
          <w:rFonts w:hint="eastAsia" w:ascii="新宋体" w:hAnsi="新宋体" w:eastAsia="新宋体" w:cs="新宋体"/>
          <w:bCs/>
          <w:color w:val="auto"/>
          <w:sz w:val="21"/>
          <w:highlight w:val="none"/>
          <w:lang w:eastAsia="zh-CN"/>
        </w:rPr>
        <w:fldChar w:fldCharType="begin"/>
      </w:r>
      <w:r>
        <w:rPr>
          <w:rFonts w:hint="eastAsia" w:ascii="新宋体" w:hAnsi="新宋体" w:eastAsia="新宋体" w:cs="新宋体"/>
          <w:bCs/>
          <w:color w:val="auto"/>
          <w:sz w:val="21"/>
          <w:highlight w:val="none"/>
          <w:lang w:eastAsia="zh-CN"/>
        </w:rPr>
        <w:instrText xml:space="preserve"> = 2 \* GB3 \* MERGEFORMAT </w:instrText>
      </w:r>
      <w:r>
        <w:rPr>
          <w:rFonts w:hint="eastAsia" w:ascii="新宋体" w:hAnsi="新宋体" w:eastAsia="新宋体" w:cs="新宋体"/>
          <w:bCs/>
          <w:color w:val="auto"/>
          <w:sz w:val="21"/>
          <w:highlight w:val="none"/>
          <w:lang w:eastAsia="zh-CN"/>
        </w:rPr>
        <w:fldChar w:fldCharType="separate"/>
      </w:r>
      <w:r>
        <w:rPr>
          <w:rFonts w:hint="eastAsia" w:ascii="新宋体" w:hAnsi="新宋体" w:eastAsia="新宋体" w:cs="新宋体"/>
          <w:highlight w:val="none"/>
        </w:rPr>
        <w:t>②</w:t>
      </w:r>
      <w:r>
        <w:rPr>
          <w:rFonts w:hint="eastAsia" w:ascii="新宋体" w:hAnsi="新宋体" w:eastAsia="新宋体" w:cs="新宋体"/>
          <w:bCs/>
          <w:color w:val="auto"/>
          <w:sz w:val="21"/>
          <w:highlight w:val="none"/>
          <w:lang w:eastAsia="zh-CN"/>
        </w:rPr>
        <w:fldChar w:fldCharType="end"/>
      </w:r>
      <w:r>
        <w:rPr>
          <w:rFonts w:hint="eastAsia" w:ascii="新宋体" w:hAnsi="新宋体" w:eastAsia="新宋体" w:cs="新宋体"/>
          <w:bCs/>
          <w:color w:val="auto"/>
          <w:sz w:val="21"/>
          <w:highlight w:val="none"/>
        </w:rPr>
        <w:t>对重点、难点的施工措施</w:t>
      </w:r>
      <w:r>
        <w:rPr>
          <w:rFonts w:hint="eastAsia" w:ascii="新宋体" w:hAnsi="新宋体" w:eastAsia="新宋体" w:cs="新宋体"/>
          <w:bCs/>
          <w:color w:val="auto"/>
          <w:sz w:val="21"/>
          <w:highlight w:val="none"/>
          <w:lang w:eastAsia="zh-CN"/>
        </w:rPr>
        <w:t>；</w:t>
      </w:r>
      <w:r>
        <w:rPr>
          <w:rFonts w:hint="eastAsia" w:ascii="新宋体" w:hAnsi="新宋体" w:eastAsia="新宋体" w:cs="新宋体"/>
          <w:bCs/>
          <w:color w:val="auto"/>
          <w:sz w:val="21"/>
          <w:highlight w:val="none"/>
          <w:lang w:eastAsia="zh-CN"/>
        </w:rPr>
        <w:fldChar w:fldCharType="begin"/>
      </w:r>
      <w:r>
        <w:rPr>
          <w:rFonts w:hint="eastAsia" w:ascii="新宋体" w:hAnsi="新宋体" w:eastAsia="新宋体" w:cs="新宋体"/>
          <w:bCs/>
          <w:color w:val="auto"/>
          <w:sz w:val="21"/>
          <w:highlight w:val="none"/>
          <w:lang w:eastAsia="zh-CN"/>
        </w:rPr>
        <w:instrText xml:space="preserve"> = 3 \* GB3 \* MERGEFORMAT </w:instrText>
      </w:r>
      <w:r>
        <w:rPr>
          <w:rFonts w:hint="eastAsia" w:ascii="新宋体" w:hAnsi="新宋体" w:eastAsia="新宋体" w:cs="新宋体"/>
          <w:bCs/>
          <w:color w:val="auto"/>
          <w:sz w:val="21"/>
          <w:highlight w:val="none"/>
          <w:lang w:eastAsia="zh-CN"/>
        </w:rPr>
        <w:fldChar w:fldCharType="separate"/>
      </w:r>
      <w:r>
        <w:rPr>
          <w:rFonts w:hint="eastAsia" w:ascii="新宋体" w:hAnsi="新宋体" w:eastAsia="新宋体" w:cs="新宋体"/>
          <w:highlight w:val="none"/>
        </w:rPr>
        <w:t>③</w:t>
      </w:r>
      <w:r>
        <w:rPr>
          <w:rFonts w:hint="eastAsia" w:ascii="新宋体" w:hAnsi="新宋体" w:eastAsia="新宋体" w:cs="新宋体"/>
          <w:bCs/>
          <w:color w:val="auto"/>
          <w:sz w:val="21"/>
          <w:highlight w:val="none"/>
          <w:lang w:eastAsia="zh-CN"/>
        </w:rPr>
        <w:fldChar w:fldCharType="end"/>
      </w:r>
      <w:r>
        <w:rPr>
          <w:rFonts w:hint="eastAsia" w:ascii="新宋体" w:hAnsi="新宋体" w:eastAsia="新宋体" w:cs="新宋体"/>
          <w:bCs/>
          <w:color w:val="auto"/>
          <w:sz w:val="21"/>
          <w:highlight w:val="none"/>
        </w:rPr>
        <w:t>安全措施</w:t>
      </w:r>
      <w:r>
        <w:rPr>
          <w:rFonts w:hint="eastAsia" w:ascii="新宋体" w:hAnsi="新宋体" w:eastAsia="新宋体" w:cs="新宋体"/>
          <w:bCs/>
          <w:color w:val="auto"/>
          <w:sz w:val="21"/>
          <w:highlight w:val="none"/>
          <w:lang w:eastAsia="zh-CN"/>
        </w:rPr>
        <w:t>；</w:t>
      </w:r>
      <w:r>
        <w:rPr>
          <w:rFonts w:hint="eastAsia" w:ascii="新宋体" w:hAnsi="新宋体" w:eastAsia="新宋体" w:cs="新宋体"/>
          <w:bCs/>
          <w:color w:val="auto"/>
          <w:sz w:val="21"/>
          <w:highlight w:val="none"/>
          <w:lang w:eastAsia="zh-CN"/>
        </w:rPr>
        <w:fldChar w:fldCharType="begin"/>
      </w:r>
      <w:r>
        <w:rPr>
          <w:rFonts w:hint="eastAsia" w:ascii="新宋体" w:hAnsi="新宋体" w:eastAsia="新宋体" w:cs="新宋体"/>
          <w:bCs/>
          <w:color w:val="auto"/>
          <w:sz w:val="21"/>
          <w:highlight w:val="none"/>
          <w:lang w:eastAsia="zh-CN"/>
        </w:rPr>
        <w:instrText xml:space="preserve"> = 4 \* GB3 \* MERGEFORMAT </w:instrText>
      </w:r>
      <w:r>
        <w:rPr>
          <w:rFonts w:hint="eastAsia" w:ascii="新宋体" w:hAnsi="新宋体" w:eastAsia="新宋体" w:cs="新宋体"/>
          <w:bCs/>
          <w:color w:val="auto"/>
          <w:sz w:val="21"/>
          <w:highlight w:val="none"/>
          <w:lang w:eastAsia="zh-CN"/>
        </w:rPr>
        <w:fldChar w:fldCharType="separate"/>
      </w:r>
      <w:r>
        <w:rPr>
          <w:rFonts w:hint="eastAsia" w:ascii="新宋体" w:hAnsi="新宋体" w:eastAsia="新宋体" w:cs="新宋体"/>
          <w:highlight w:val="none"/>
        </w:rPr>
        <w:t>④</w:t>
      </w:r>
      <w:r>
        <w:rPr>
          <w:rFonts w:hint="eastAsia" w:ascii="新宋体" w:hAnsi="新宋体" w:eastAsia="新宋体" w:cs="新宋体"/>
          <w:bCs/>
          <w:color w:val="auto"/>
          <w:sz w:val="21"/>
          <w:highlight w:val="none"/>
          <w:lang w:eastAsia="zh-CN"/>
        </w:rPr>
        <w:fldChar w:fldCharType="end"/>
      </w:r>
      <w:r>
        <w:rPr>
          <w:rFonts w:hint="eastAsia" w:ascii="新宋体" w:hAnsi="新宋体" w:eastAsia="新宋体" w:cs="新宋体"/>
          <w:bCs/>
          <w:color w:val="auto"/>
          <w:sz w:val="21"/>
          <w:highlight w:val="none"/>
        </w:rPr>
        <w:t>解决方案</w:t>
      </w:r>
      <w:r>
        <w:rPr>
          <w:rFonts w:hint="eastAsia" w:ascii="新宋体" w:hAnsi="新宋体" w:eastAsia="新宋体" w:cs="新宋体"/>
          <w:sz w:val="21"/>
          <w:highlight w:val="none"/>
        </w:rPr>
        <w:t>等</w:t>
      </w:r>
      <w:r>
        <w:rPr>
          <w:rFonts w:hint="eastAsia" w:ascii="新宋体" w:hAnsi="新宋体" w:eastAsia="新宋体" w:cs="新宋体"/>
          <w:sz w:val="21"/>
          <w:highlight w:val="none"/>
          <w:lang w:val="en-US" w:eastAsia="zh-CN"/>
        </w:rPr>
        <w:t>4</w:t>
      </w:r>
      <w:r>
        <w:rPr>
          <w:rFonts w:hint="eastAsia" w:ascii="新宋体" w:hAnsi="新宋体" w:eastAsia="新宋体" w:cs="新宋体"/>
          <w:sz w:val="21"/>
          <w:highlight w:val="none"/>
        </w:rPr>
        <w:t>项内容进行综合评定，并按以下标准独立评分：</w:t>
      </w:r>
    </w:p>
    <w:p w14:paraId="061DEC45">
      <w:pPr>
        <w:pStyle w:val="14"/>
        <w:pageBreakBefore w:val="0"/>
        <w:widowControl w:val="0"/>
        <w:kinsoku/>
        <w:wordWrap/>
        <w:overflowPunct/>
        <w:topLinePunct w:val="0"/>
        <w:bidi w:val="0"/>
        <w:snapToGrid/>
        <w:spacing w:line="440" w:lineRule="exact"/>
        <w:ind w:firstLine="535" w:firstLineChars="255"/>
        <w:textAlignment w:val="auto"/>
        <w:rPr>
          <w:rFonts w:hint="eastAsia" w:ascii="新宋体" w:hAnsi="新宋体" w:eastAsia="新宋体" w:cs="新宋体"/>
          <w:b w:val="0"/>
          <w:bCs/>
          <w:color w:val="auto"/>
          <w:szCs w:val="21"/>
          <w:highlight w:val="none"/>
        </w:rPr>
      </w:pPr>
      <w:r>
        <w:rPr>
          <w:rFonts w:hint="eastAsia" w:ascii="新宋体" w:hAnsi="新宋体" w:eastAsia="新宋体" w:cs="新宋体"/>
          <w:b w:val="0"/>
          <w:bCs/>
          <w:color w:val="auto"/>
          <w:szCs w:val="21"/>
          <w:highlight w:val="none"/>
        </w:rPr>
        <w:t>优</w:t>
      </w:r>
      <w:r>
        <w:rPr>
          <w:rFonts w:hint="eastAsia" w:ascii="新宋体" w:hAnsi="新宋体" w:eastAsia="新宋体" w:cs="新宋体"/>
          <w:b w:val="0"/>
          <w:bCs/>
          <w:color w:val="auto"/>
          <w:szCs w:val="21"/>
          <w:highlight w:val="none"/>
          <w:lang w:eastAsia="zh-CN"/>
        </w:rPr>
        <w:t>（</w:t>
      </w:r>
      <w:r>
        <w:rPr>
          <w:rFonts w:hint="eastAsia" w:ascii="新宋体" w:hAnsi="新宋体" w:eastAsia="新宋体" w:cs="新宋体"/>
          <w:b w:val="0"/>
          <w:bCs/>
          <w:color w:val="auto"/>
          <w:szCs w:val="21"/>
          <w:highlight w:val="none"/>
          <w:lang w:val="en-US" w:eastAsia="zh-CN"/>
        </w:rPr>
        <w:t>8</w:t>
      </w:r>
      <w:r>
        <w:rPr>
          <w:rFonts w:hint="eastAsia" w:ascii="新宋体" w:hAnsi="新宋体" w:eastAsia="新宋体" w:cs="新宋体"/>
          <w:b w:val="0"/>
          <w:bCs w:val="0"/>
          <w:color w:val="auto"/>
          <w:kern w:val="0"/>
          <w:sz w:val="21"/>
          <w:szCs w:val="21"/>
          <w:highlight w:val="none"/>
          <w:lang w:val="en-US" w:eastAsia="zh-CN"/>
        </w:rPr>
        <w:t>.0分</w:t>
      </w:r>
      <w:r>
        <w:rPr>
          <w:rFonts w:hint="eastAsia" w:ascii="新宋体" w:hAnsi="新宋体" w:eastAsia="新宋体" w:cs="新宋体"/>
          <w:b w:val="0"/>
          <w:bCs/>
          <w:color w:val="auto"/>
          <w:szCs w:val="21"/>
          <w:highlight w:val="none"/>
          <w:lang w:eastAsia="zh-CN"/>
        </w:rPr>
        <w:t>）</w:t>
      </w:r>
      <w:r>
        <w:rPr>
          <w:rFonts w:hint="eastAsia" w:ascii="新宋体" w:hAnsi="新宋体" w:eastAsia="新宋体" w:cs="新宋体"/>
          <w:b w:val="0"/>
          <w:bCs/>
          <w:color w:val="auto"/>
          <w:szCs w:val="21"/>
          <w:highlight w:val="none"/>
        </w:rPr>
        <w:t>：上述</w:t>
      </w:r>
      <w:r>
        <w:rPr>
          <w:rFonts w:hint="eastAsia" w:ascii="新宋体" w:hAnsi="新宋体" w:eastAsia="新宋体" w:cs="新宋体"/>
          <w:b w:val="0"/>
          <w:bCs/>
          <w:color w:val="auto"/>
          <w:szCs w:val="21"/>
          <w:highlight w:val="none"/>
          <w:lang w:val="en-US" w:eastAsia="zh-CN"/>
        </w:rPr>
        <w:t>4</w:t>
      </w:r>
      <w:r>
        <w:rPr>
          <w:rFonts w:hint="eastAsia" w:ascii="新宋体" w:hAnsi="新宋体" w:eastAsia="新宋体" w:cs="新宋体"/>
          <w:b w:val="0"/>
          <w:bCs/>
          <w:color w:val="auto"/>
          <w:szCs w:val="21"/>
          <w:highlight w:val="none"/>
        </w:rPr>
        <w:t>项全部评审内容经评审为完善、合理、可行的。</w:t>
      </w:r>
    </w:p>
    <w:p w14:paraId="174C141C">
      <w:pPr>
        <w:pStyle w:val="14"/>
        <w:pageBreakBefore w:val="0"/>
        <w:widowControl w:val="0"/>
        <w:kinsoku/>
        <w:wordWrap/>
        <w:overflowPunct/>
        <w:topLinePunct w:val="0"/>
        <w:bidi w:val="0"/>
        <w:snapToGrid/>
        <w:spacing w:line="440" w:lineRule="exact"/>
        <w:ind w:firstLine="535" w:firstLineChars="255"/>
        <w:textAlignment w:val="auto"/>
        <w:rPr>
          <w:rFonts w:hint="eastAsia" w:ascii="新宋体" w:hAnsi="新宋体" w:eastAsia="新宋体" w:cs="新宋体"/>
          <w:b w:val="0"/>
          <w:bCs/>
          <w:color w:val="auto"/>
          <w:szCs w:val="21"/>
          <w:highlight w:val="none"/>
        </w:rPr>
      </w:pPr>
      <w:r>
        <w:rPr>
          <w:rFonts w:hint="eastAsia" w:ascii="新宋体" w:hAnsi="新宋体" w:eastAsia="新宋体" w:cs="新宋体"/>
          <w:b w:val="0"/>
          <w:bCs/>
          <w:color w:val="auto"/>
          <w:szCs w:val="21"/>
          <w:highlight w:val="none"/>
        </w:rPr>
        <w:t>良</w:t>
      </w:r>
      <w:r>
        <w:rPr>
          <w:rFonts w:hint="eastAsia" w:ascii="新宋体" w:hAnsi="新宋体" w:eastAsia="新宋体" w:cs="新宋体"/>
          <w:b w:val="0"/>
          <w:bCs/>
          <w:color w:val="auto"/>
          <w:szCs w:val="21"/>
          <w:highlight w:val="none"/>
          <w:lang w:eastAsia="zh-CN"/>
        </w:rPr>
        <w:t>（</w:t>
      </w:r>
      <w:r>
        <w:rPr>
          <w:rFonts w:hint="eastAsia" w:ascii="新宋体" w:hAnsi="新宋体" w:eastAsia="新宋体" w:cs="新宋体"/>
          <w:b w:val="0"/>
          <w:bCs/>
          <w:color w:val="auto"/>
          <w:szCs w:val="21"/>
          <w:highlight w:val="none"/>
          <w:lang w:val="en-US" w:eastAsia="zh-CN"/>
        </w:rPr>
        <w:t>5</w:t>
      </w:r>
      <w:r>
        <w:rPr>
          <w:rFonts w:hint="eastAsia" w:ascii="新宋体" w:hAnsi="新宋体" w:eastAsia="新宋体" w:cs="新宋体"/>
          <w:b w:val="0"/>
          <w:bCs w:val="0"/>
          <w:color w:val="auto"/>
          <w:kern w:val="0"/>
          <w:sz w:val="21"/>
          <w:szCs w:val="21"/>
          <w:highlight w:val="none"/>
          <w:lang w:val="en-US" w:eastAsia="zh-CN"/>
        </w:rPr>
        <w:t>.0分</w:t>
      </w:r>
      <w:r>
        <w:rPr>
          <w:rFonts w:hint="eastAsia" w:ascii="新宋体" w:hAnsi="新宋体" w:eastAsia="新宋体" w:cs="新宋体"/>
          <w:b w:val="0"/>
          <w:bCs/>
          <w:color w:val="auto"/>
          <w:szCs w:val="21"/>
          <w:highlight w:val="none"/>
          <w:lang w:eastAsia="zh-CN"/>
        </w:rPr>
        <w:t>）</w:t>
      </w:r>
      <w:r>
        <w:rPr>
          <w:rFonts w:hint="eastAsia" w:ascii="新宋体" w:hAnsi="新宋体" w:eastAsia="新宋体" w:cs="新宋体"/>
          <w:b w:val="0"/>
          <w:bCs/>
          <w:color w:val="auto"/>
          <w:szCs w:val="21"/>
          <w:highlight w:val="none"/>
        </w:rPr>
        <w:t>：上述</w:t>
      </w:r>
      <w:r>
        <w:rPr>
          <w:rFonts w:hint="eastAsia" w:ascii="新宋体" w:hAnsi="新宋体" w:eastAsia="新宋体" w:cs="新宋体"/>
          <w:b w:val="0"/>
          <w:bCs/>
          <w:color w:val="auto"/>
          <w:szCs w:val="21"/>
          <w:highlight w:val="none"/>
          <w:lang w:val="en-US" w:eastAsia="zh-CN"/>
        </w:rPr>
        <w:t>4</w:t>
      </w:r>
      <w:r>
        <w:rPr>
          <w:rFonts w:hint="eastAsia" w:ascii="新宋体" w:hAnsi="新宋体" w:eastAsia="新宋体" w:cs="新宋体"/>
          <w:b w:val="0"/>
          <w:bCs/>
          <w:color w:val="auto"/>
          <w:szCs w:val="21"/>
          <w:highlight w:val="none"/>
        </w:rPr>
        <w:t>项评审内容有</w:t>
      </w:r>
      <w:r>
        <w:rPr>
          <w:rFonts w:hint="eastAsia" w:ascii="新宋体" w:hAnsi="新宋体" w:eastAsia="新宋体" w:cs="新宋体"/>
          <w:b w:val="0"/>
          <w:bCs/>
          <w:color w:val="auto"/>
          <w:szCs w:val="21"/>
          <w:highlight w:val="none"/>
          <w:lang w:val="en-US" w:eastAsia="zh-CN"/>
        </w:rPr>
        <w:t>3</w:t>
      </w:r>
      <w:r>
        <w:rPr>
          <w:rFonts w:hint="eastAsia" w:ascii="新宋体" w:hAnsi="新宋体" w:eastAsia="新宋体" w:cs="新宋体"/>
          <w:b w:val="0"/>
          <w:bCs/>
          <w:color w:val="auto"/>
          <w:szCs w:val="21"/>
          <w:highlight w:val="none"/>
        </w:rPr>
        <w:t>项内容经评审为完善、合理、可行的。</w:t>
      </w:r>
    </w:p>
    <w:p w14:paraId="2DCD0C28">
      <w:pPr>
        <w:pStyle w:val="14"/>
        <w:pageBreakBefore w:val="0"/>
        <w:widowControl w:val="0"/>
        <w:kinsoku/>
        <w:wordWrap/>
        <w:overflowPunct/>
        <w:topLinePunct w:val="0"/>
        <w:bidi w:val="0"/>
        <w:snapToGrid/>
        <w:spacing w:line="440" w:lineRule="exact"/>
        <w:ind w:firstLine="535" w:firstLineChars="255"/>
        <w:textAlignment w:val="auto"/>
        <w:rPr>
          <w:rFonts w:hint="eastAsia" w:ascii="新宋体" w:hAnsi="新宋体" w:eastAsia="新宋体" w:cs="新宋体"/>
          <w:sz w:val="21"/>
          <w:highlight w:val="none"/>
        </w:rPr>
      </w:pPr>
      <w:r>
        <w:rPr>
          <w:rFonts w:hint="eastAsia" w:ascii="新宋体" w:hAnsi="新宋体" w:eastAsia="新宋体" w:cs="新宋体"/>
          <w:b w:val="0"/>
          <w:bCs/>
          <w:color w:val="auto"/>
          <w:szCs w:val="21"/>
          <w:highlight w:val="none"/>
        </w:rPr>
        <w:t>中</w:t>
      </w:r>
      <w:r>
        <w:rPr>
          <w:rFonts w:hint="eastAsia" w:ascii="新宋体" w:hAnsi="新宋体" w:eastAsia="新宋体" w:cs="新宋体"/>
          <w:b w:val="0"/>
          <w:bCs/>
          <w:color w:val="auto"/>
          <w:szCs w:val="21"/>
          <w:highlight w:val="none"/>
          <w:lang w:eastAsia="zh-CN"/>
        </w:rPr>
        <w:t>（</w:t>
      </w:r>
      <w:r>
        <w:rPr>
          <w:rFonts w:hint="eastAsia" w:ascii="新宋体" w:hAnsi="新宋体" w:eastAsia="新宋体" w:cs="新宋体"/>
          <w:b w:val="0"/>
          <w:bCs/>
          <w:color w:val="auto"/>
          <w:szCs w:val="21"/>
          <w:highlight w:val="none"/>
          <w:lang w:val="en-US" w:eastAsia="zh-CN"/>
        </w:rPr>
        <w:t>3</w:t>
      </w:r>
      <w:r>
        <w:rPr>
          <w:rFonts w:hint="eastAsia" w:ascii="新宋体" w:hAnsi="新宋体" w:eastAsia="新宋体" w:cs="新宋体"/>
          <w:b w:val="0"/>
          <w:bCs w:val="0"/>
          <w:color w:val="auto"/>
          <w:kern w:val="0"/>
          <w:sz w:val="21"/>
          <w:szCs w:val="21"/>
          <w:highlight w:val="none"/>
          <w:lang w:val="en-US" w:eastAsia="zh-CN"/>
        </w:rPr>
        <w:t>.0分</w:t>
      </w:r>
      <w:r>
        <w:rPr>
          <w:rFonts w:hint="eastAsia" w:ascii="新宋体" w:hAnsi="新宋体" w:eastAsia="新宋体" w:cs="新宋体"/>
          <w:b w:val="0"/>
          <w:bCs/>
          <w:color w:val="auto"/>
          <w:szCs w:val="21"/>
          <w:highlight w:val="none"/>
          <w:lang w:eastAsia="zh-CN"/>
        </w:rPr>
        <w:t>）</w:t>
      </w:r>
      <w:r>
        <w:rPr>
          <w:rFonts w:hint="eastAsia" w:ascii="新宋体" w:hAnsi="新宋体" w:eastAsia="新宋体" w:cs="新宋体"/>
          <w:b w:val="0"/>
          <w:bCs/>
          <w:color w:val="auto"/>
          <w:szCs w:val="21"/>
          <w:highlight w:val="none"/>
        </w:rPr>
        <w:t>：</w:t>
      </w:r>
      <w:r>
        <w:rPr>
          <w:rFonts w:hint="eastAsia" w:ascii="新宋体" w:hAnsi="新宋体" w:eastAsia="新宋体" w:cs="新宋体"/>
          <w:sz w:val="21"/>
          <w:highlight w:val="none"/>
        </w:rPr>
        <w:t>上述</w:t>
      </w:r>
      <w:r>
        <w:rPr>
          <w:rFonts w:hint="eastAsia" w:ascii="新宋体" w:hAnsi="新宋体" w:eastAsia="新宋体" w:cs="新宋体"/>
          <w:sz w:val="21"/>
          <w:highlight w:val="none"/>
          <w:lang w:val="en-US" w:eastAsia="zh-CN"/>
        </w:rPr>
        <w:t>4</w:t>
      </w:r>
      <w:r>
        <w:rPr>
          <w:rFonts w:hint="eastAsia" w:ascii="新宋体" w:hAnsi="新宋体" w:eastAsia="新宋体" w:cs="新宋体"/>
          <w:sz w:val="21"/>
          <w:highlight w:val="none"/>
        </w:rPr>
        <w:t>项评审内容有</w:t>
      </w:r>
      <w:r>
        <w:rPr>
          <w:rFonts w:hint="eastAsia" w:ascii="新宋体" w:hAnsi="新宋体" w:eastAsia="新宋体" w:cs="新宋体"/>
          <w:sz w:val="21"/>
          <w:highlight w:val="none"/>
          <w:lang w:val="en-US" w:eastAsia="zh-CN"/>
        </w:rPr>
        <w:t>1</w:t>
      </w:r>
      <w:r>
        <w:rPr>
          <w:rFonts w:hint="eastAsia" w:ascii="新宋体" w:hAnsi="新宋体" w:eastAsia="新宋体" w:cs="新宋体"/>
          <w:sz w:val="21"/>
          <w:highlight w:val="none"/>
        </w:rPr>
        <w:t>项内容经评审为完善、合理、可行的。</w:t>
      </w:r>
    </w:p>
    <w:p w14:paraId="05EC8543">
      <w:pPr>
        <w:pStyle w:val="14"/>
        <w:pageBreakBefore w:val="0"/>
        <w:widowControl w:val="0"/>
        <w:kinsoku/>
        <w:wordWrap/>
        <w:overflowPunct/>
        <w:topLinePunct w:val="0"/>
        <w:bidi w:val="0"/>
        <w:snapToGrid/>
        <w:spacing w:line="440" w:lineRule="exact"/>
        <w:ind w:firstLine="535" w:firstLineChars="255"/>
        <w:textAlignment w:val="auto"/>
        <w:rPr>
          <w:rFonts w:hint="eastAsia" w:ascii="新宋体" w:hAnsi="新宋体" w:eastAsia="新宋体" w:cs="新宋体"/>
          <w:sz w:val="21"/>
          <w:highlight w:val="none"/>
        </w:rPr>
      </w:pPr>
      <w:r>
        <w:rPr>
          <w:rFonts w:hint="eastAsia" w:ascii="新宋体" w:hAnsi="新宋体" w:eastAsia="新宋体" w:cs="新宋体"/>
          <w:b w:val="0"/>
          <w:bCs/>
          <w:color w:val="auto"/>
          <w:szCs w:val="21"/>
          <w:highlight w:val="none"/>
        </w:rPr>
        <w:t>差</w:t>
      </w:r>
      <w:r>
        <w:rPr>
          <w:rFonts w:hint="eastAsia" w:ascii="新宋体" w:hAnsi="新宋体" w:eastAsia="新宋体" w:cs="新宋体"/>
          <w:b w:val="0"/>
          <w:bCs/>
          <w:color w:val="auto"/>
          <w:szCs w:val="21"/>
          <w:highlight w:val="none"/>
          <w:lang w:eastAsia="zh-CN"/>
        </w:rPr>
        <w:t>（</w:t>
      </w:r>
      <w:r>
        <w:rPr>
          <w:rFonts w:hint="eastAsia" w:ascii="新宋体" w:hAnsi="新宋体" w:eastAsia="新宋体" w:cs="新宋体"/>
          <w:b w:val="0"/>
          <w:bCs/>
          <w:color w:val="auto"/>
          <w:szCs w:val="21"/>
          <w:highlight w:val="none"/>
          <w:lang w:val="en-US" w:eastAsia="zh-CN"/>
        </w:rPr>
        <w:t>0</w:t>
      </w:r>
      <w:r>
        <w:rPr>
          <w:rFonts w:hint="eastAsia" w:ascii="新宋体" w:hAnsi="新宋体" w:eastAsia="新宋体" w:cs="新宋体"/>
          <w:b w:val="0"/>
          <w:bCs w:val="0"/>
          <w:color w:val="auto"/>
          <w:kern w:val="0"/>
          <w:sz w:val="21"/>
          <w:szCs w:val="21"/>
          <w:highlight w:val="none"/>
          <w:lang w:val="en-US" w:eastAsia="zh-CN"/>
        </w:rPr>
        <w:t>分</w:t>
      </w:r>
      <w:r>
        <w:rPr>
          <w:rFonts w:hint="eastAsia" w:ascii="新宋体" w:hAnsi="新宋体" w:eastAsia="新宋体" w:cs="新宋体"/>
          <w:b w:val="0"/>
          <w:bCs/>
          <w:color w:val="auto"/>
          <w:szCs w:val="21"/>
          <w:highlight w:val="none"/>
          <w:lang w:eastAsia="zh-CN"/>
        </w:rPr>
        <w:t>）</w:t>
      </w:r>
      <w:r>
        <w:rPr>
          <w:rFonts w:hint="eastAsia" w:ascii="新宋体" w:hAnsi="新宋体" w:eastAsia="新宋体" w:cs="新宋体"/>
          <w:b w:val="0"/>
          <w:bCs/>
          <w:color w:val="auto"/>
          <w:szCs w:val="21"/>
          <w:highlight w:val="none"/>
        </w:rPr>
        <w:t>：</w:t>
      </w:r>
      <w:r>
        <w:rPr>
          <w:rFonts w:hint="eastAsia" w:ascii="新宋体" w:hAnsi="新宋体" w:eastAsia="新宋体" w:cs="新宋体"/>
          <w:sz w:val="21"/>
          <w:highlight w:val="none"/>
        </w:rPr>
        <w:t>未达“</w:t>
      </w:r>
      <w:r>
        <w:rPr>
          <w:rFonts w:hint="eastAsia" w:ascii="新宋体" w:hAnsi="新宋体" w:eastAsia="新宋体" w:cs="新宋体"/>
          <w:sz w:val="21"/>
          <w:highlight w:val="none"/>
          <w:lang w:eastAsia="zh-CN"/>
        </w:rPr>
        <w:t>中</w:t>
      </w:r>
      <w:r>
        <w:rPr>
          <w:rFonts w:hint="eastAsia" w:ascii="新宋体" w:hAnsi="新宋体" w:eastAsia="新宋体" w:cs="新宋体"/>
          <w:sz w:val="21"/>
          <w:highlight w:val="none"/>
        </w:rPr>
        <w:t>”</w:t>
      </w:r>
      <w:r>
        <w:rPr>
          <w:rFonts w:hint="eastAsia" w:ascii="新宋体" w:hAnsi="新宋体" w:eastAsia="新宋体" w:cs="新宋体"/>
          <w:sz w:val="21"/>
          <w:highlight w:val="none"/>
          <w:lang w:eastAsia="zh-CN"/>
        </w:rPr>
        <w:t>档</w:t>
      </w:r>
      <w:r>
        <w:rPr>
          <w:rFonts w:hint="eastAsia" w:ascii="新宋体" w:hAnsi="新宋体" w:eastAsia="新宋体" w:cs="新宋体"/>
          <w:sz w:val="21"/>
          <w:highlight w:val="none"/>
        </w:rPr>
        <w:t>标准的，计0分。</w:t>
      </w:r>
    </w:p>
    <w:p w14:paraId="765EDF16">
      <w:pPr>
        <w:pStyle w:val="14"/>
        <w:pageBreakBefore w:val="0"/>
        <w:widowControl w:val="0"/>
        <w:kinsoku/>
        <w:wordWrap/>
        <w:overflowPunct/>
        <w:topLinePunct w:val="0"/>
        <w:bidi w:val="0"/>
        <w:snapToGrid/>
        <w:spacing w:line="440" w:lineRule="exact"/>
        <w:ind w:firstLine="210" w:firstLineChars="100"/>
        <w:textAlignment w:val="auto"/>
        <w:rPr>
          <w:rFonts w:hint="eastAsia" w:ascii="新宋体" w:hAnsi="新宋体" w:eastAsia="新宋体" w:cs="新宋体"/>
          <w:b/>
          <w:bCs w:val="0"/>
          <w:color w:val="auto"/>
          <w:szCs w:val="21"/>
          <w:highlight w:val="none"/>
          <w:lang w:eastAsia="zh-CN"/>
        </w:rPr>
      </w:pPr>
      <w:r>
        <w:rPr>
          <w:rFonts w:hint="eastAsia" w:ascii="新宋体" w:hAnsi="新宋体" w:eastAsia="新宋体" w:cs="新宋体"/>
          <w:sz w:val="21"/>
          <w:highlight w:val="none"/>
        </w:rPr>
        <w:t>注：</w:t>
      </w:r>
      <w:r>
        <w:rPr>
          <w:rFonts w:hint="eastAsia" w:ascii="新宋体" w:hAnsi="新宋体" w:eastAsia="新宋体" w:cs="新宋体"/>
          <w:sz w:val="21"/>
          <w:highlight w:val="none"/>
          <w:lang w:eastAsia="zh-CN"/>
        </w:rPr>
        <w:t>磋商供应商响应文件</w:t>
      </w:r>
      <w:r>
        <w:rPr>
          <w:rFonts w:hint="eastAsia" w:ascii="新宋体" w:hAnsi="新宋体" w:eastAsia="新宋体" w:cs="新宋体"/>
          <w:sz w:val="21"/>
          <w:highlight w:val="none"/>
        </w:rPr>
        <w:t>中提供的项目实施方案未达到相应评审档次全部标准的，相应降低一个档次</w:t>
      </w:r>
      <w:r>
        <w:rPr>
          <w:rFonts w:hint="eastAsia" w:ascii="新宋体" w:hAnsi="新宋体" w:eastAsia="新宋体" w:cs="新宋体"/>
          <w:sz w:val="21"/>
          <w:highlight w:val="none"/>
          <w:lang w:eastAsia="zh-CN"/>
        </w:rPr>
        <w:t>。</w:t>
      </w:r>
    </w:p>
    <w:p w14:paraId="7E3673D4">
      <w:pPr>
        <w:pStyle w:val="14"/>
        <w:pageBreakBefore w:val="0"/>
        <w:widowControl w:val="0"/>
        <w:kinsoku/>
        <w:wordWrap/>
        <w:overflowPunct/>
        <w:topLinePunct w:val="0"/>
        <w:bidi w:val="0"/>
        <w:snapToGrid/>
        <w:spacing w:line="440" w:lineRule="exact"/>
        <w:ind w:firstLine="211" w:firstLineChars="100"/>
        <w:textAlignment w:val="auto"/>
        <w:rPr>
          <w:rFonts w:hint="eastAsia" w:ascii="新宋体" w:hAnsi="新宋体" w:eastAsia="新宋体" w:cs="新宋体"/>
          <w:b/>
          <w:bCs w:val="0"/>
          <w:color w:val="auto"/>
          <w:highlight w:val="none"/>
        </w:rPr>
      </w:pPr>
      <w:r>
        <w:rPr>
          <w:rFonts w:hint="eastAsia" w:ascii="新宋体" w:hAnsi="新宋体" w:eastAsia="新宋体" w:cs="新宋体"/>
          <w:b/>
          <w:bCs w:val="0"/>
          <w:color w:val="auto"/>
          <w:szCs w:val="21"/>
          <w:highlight w:val="none"/>
        </w:rPr>
        <w:t>（3）施工进度、施工进度计划和各阶段进度的保证措施</w:t>
      </w:r>
      <w:r>
        <w:rPr>
          <w:rFonts w:hint="eastAsia" w:ascii="新宋体" w:hAnsi="新宋体" w:eastAsia="新宋体" w:cs="新宋体"/>
          <w:b/>
          <w:bCs w:val="0"/>
          <w:color w:val="auto"/>
          <w:highlight w:val="none"/>
        </w:rPr>
        <w:t>……</w:t>
      </w:r>
      <w:r>
        <w:rPr>
          <w:rFonts w:hint="eastAsia" w:ascii="新宋体" w:hAnsi="新宋体" w:eastAsia="新宋体" w:cs="新宋体"/>
          <w:b/>
          <w:color w:val="auto"/>
          <w:highlight w:val="none"/>
        </w:rPr>
        <w:t>………</w:t>
      </w:r>
      <w:r>
        <w:rPr>
          <w:rFonts w:hint="eastAsia" w:ascii="新宋体" w:hAnsi="新宋体" w:eastAsia="新宋体" w:cs="新宋体"/>
          <w:b/>
          <w:bCs w:val="0"/>
          <w:color w:val="auto"/>
          <w:highlight w:val="none"/>
        </w:rPr>
        <w:t>……………………………</w:t>
      </w:r>
      <w:r>
        <w:rPr>
          <w:rFonts w:hint="eastAsia" w:ascii="新宋体" w:hAnsi="新宋体" w:eastAsia="新宋体" w:cs="新宋体"/>
          <w:b/>
          <w:bCs w:val="0"/>
          <w:color w:val="auto"/>
          <w:highlight w:val="none"/>
          <w:lang w:val="en-US" w:eastAsia="zh-CN"/>
        </w:rPr>
        <w:t>5</w:t>
      </w:r>
      <w:r>
        <w:rPr>
          <w:rFonts w:hint="eastAsia" w:ascii="新宋体" w:hAnsi="新宋体" w:eastAsia="新宋体" w:cs="新宋体"/>
          <w:b/>
          <w:bCs w:val="0"/>
          <w:color w:val="auto"/>
          <w:szCs w:val="21"/>
          <w:highlight w:val="none"/>
        </w:rPr>
        <w:t>分</w:t>
      </w:r>
    </w:p>
    <w:p w14:paraId="4215FEA4">
      <w:pPr>
        <w:pStyle w:val="14"/>
        <w:pageBreakBefore w:val="0"/>
        <w:widowControl w:val="0"/>
        <w:kinsoku/>
        <w:wordWrap/>
        <w:overflowPunct/>
        <w:topLinePunct w:val="0"/>
        <w:bidi w:val="0"/>
        <w:snapToGrid/>
        <w:spacing w:line="440" w:lineRule="exact"/>
        <w:ind w:firstLine="535" w:firstLineChars="255"/>
        <w:textAlignment w:val="auto"/>
        <w:rPr>
          <w:rFonts w:hint="eastAsia" w:ascii="新宋体" w:hAnsi="新宋体" w:eastAsia="新宋体" w:cs="新宋体"/>
          <w:b w:val="0"/>
          <w:bCs/>
          <w:color w:val="auto"/>
          <w:szCs w:val="21"/>
          <w:highlight w:val="none"/>
        </w:rPr>
      </w:pPr>
      <w:r>
        <w:rPr>
          <w:rFonts w:hint="eastAsia" w:ascii="新宋体" w:hAnsi="新宋体" w:eastAsia="新宋体" w:cs="新宋体"/>
          <w:sz w:val="21"/>
          <w:highlight w:val="none"/>
          <w:lang w:eastAsia="zh-CN"/>
        </w:rPr>
        <w:t>磋商小组</w:t>
      </w:r>
      <w:r>
        <w:rPr>
          <w:rFonts w:hint="eastAsia" w:ascii="新宋体" w:hAnsi="新宋体" w:eastAsia="新宋体" w:cs="新宋体"/>
          <w:sz w:val="21"/>
          <w:highlight w:val="none"/>
        </w:rPr>
        <w:t>会</w:t>
      </w:r>
      <w:r>
        <w:rPr>
          <w:rFonts w:hint="eastAsia" w:ascii="新宋体" w:hAnsi="新宋体" w:eastAsia="新宋体" w:cs="新宋体"/>
          <w:sz w:val="21"/>
          <w:highlight w:val="none"/>
          <w:lang w:eastAsia="zh-CN"/>
        </w:rPr>
        <w:t>各成员</w:t>
      </w:r>
      <w:r>
        <w:rPr>
          <w:rFonts w:hint="eastAsia" w:ascii="新宋体" w:hAnsi="新宋体" w:eastAsia="新宋体" w:cs="新宋体"/>
          <w:sz w:val="21"/>
          <w:highlight w:val="none"/>
        </w:rPr>
        <w:t>对比各</w:t>
      </w:r>
      <w:r>
        <w:rPr>
          <w:rFonts w:hint="eastAsia" w:ascii="新宋体" w:hAnsi="新宋体" w:eastAsia="新宋体" w:cs="新宋体"/>
          <w:sz w:val="21"/>
          <w:highlight w:val="none"/>
          <w:lang w:eastAsia="zh-CN"/>
        </w:rPr>
        <w:t>磋商供应商</w:t>
      </w:r>
      <w:r>
        <w:rPr>
          <w:rFonts w:hint="eastAsia" w:ascii="新宋体" w:hAnsi="新宋体" w:eastAsia="新宋体" w:cs="新宋体"/>
          <w:sz w:val="21"/>
          <w:highlight w:val="none"/>
        </w:rPr>
        <w:t>提供的</w:t>
      </w:r>
      <w:r>
        <w:rPr>
          <w:rFonts w:hint="eastAsia" w:ascii="新宋体" w:hAnsi="新宋体" w:eastAsia="新宋体" w:cs="新宋体"/>
          <w:sz w:val="21"/>
          <w:highlight w:val="none"/>
        </w:rPr>
        <w:fldChar w:fldCharType="begin"/>
      </w:r>
      <w:r>
        <w:rPr>
          <w:rFonts w:hint="eastAsia" w:ascii="新宋体" w:hAnsi="新宋体" w:eastAsia="新宋体" w:cs="新宋体"/>
          <w:sz w:val="21"/>
          <w:highlight w:val="none"/>
        </w:rPr>
        <w:instrText xml:space="preserve"> = 1 \* GB3 \* MERGEFORMAT </w:instrText>
      </w:r>
      <w:r>
        <w:rPr>
          <w:rFonts w:hint="eastAsia" w:ascii="新宋体" w:hAnsi="新宋体" w:eastAsia="新宋体" w:cs="新宋体"/>
          <w:sz w:val="21"/>
          <w:highlight w:val="none"/>
        </w:rPr>
        <w:fldChar w:fldCharType="separate"/>
      </w:r>
      <w:r>
        <w:rPr>
          <w:rFonts w:hint="eastAsia" w:ascii="新宋体" w:hAnsi="新宋体" w:eastAsia="新宋体" w:cs="新宋体"/>
          <w:highlight w:val="none"/>
        </w:rPr>
        <w:t>①</w:t>
      </w:r>
      <w:r>
        <w:rPr>
          <w:rFonts w:hint="eastAsia" w:ascii="新宋体" w:hAnsi="新宋体" w:eastAsia="新宋体" w:cs="新宋体"/>
          <w:sz w:val="21"/>
          <w:highlight w:val="none"/>
        </w:rPr>
        <w:fldChar w:fldCharType="end"/>
      </w:r>
      <w:r>
        <w:rPr>
          <w:rFonts w:hint="eastAsia" w:ascii="新宋体" w:hAnsi="新宋体" w:eastAsia="新宋体" w:cs="新宋体"/>
          <w:b w:val="0"/>
          <w:bCs w:val="0"/>
          <w:color w:val="auto"/>
          <w:sz w:val="21"/>
          <w:highlight w:val="none"/>
          <w:lang w:val="en-US" w:eastAsia="zh-CN"/>
        </w:rPr>
        <w:t>关键线路；</w:t>
      </w:r>
      <w:r>
        <w:rPr>
          <w:rFonts w:hint="eastAsia" w:ascii="新宋体" w:hAnsi="新宋体" w:eastAsia="新宋体" w:cs="新宋体"/>
          <w:bCs/>
          <w:color w:val="auto"/>
          <w:sz w:val="21"/>
          <w:highlight w:val="none"/>
          <w:lang w:eastAsia="zh-CN"/>
        </w:rPr>
        <w:fldChar w:fldCharType="begin"/>
      </w:r>
      <w:r>
        <w:rPr>
          <w:rFonts w:hint="eastAsia" w:ascii="新宋体" w:hAnsi="新宋体" w:eastAsia="新宋体" w:cs="新宋体"/>
          <w:bCs/>
          <w:color w:val="auto"/>
          <w:sz w:val="21"/>
          <w:highlight w:val="none"/>
          <w:lang w:eastAsia="zh-CN"/>
        </w:rPr>
        <w:instrText xml:space="preserve"> = 2 \* GB3 \* MERGEFORMAT </w:instrText>
      </w:r>
      <w:r>
        <w:rPr>
          <w:rFonts w:hint="eastAsia" w:ascii="新宋体" w:hAnsi="新宋体" w:eastAsia="新宋体" w:cs="新宋体"/>
          <w:bCs/>
          <w:color w:val="auto"/>
          <w:sz w:val="21"/>
          <w:highlight w:val="none"/>
          <w:lang w:eastAsia="zh-CN"/>
        </w:rPr>
        <w:fldChar w:fldCharType="separate"/>
      </w:r>
      <w:r>
        <w:rPr>
          <w:rFonts w:hint="eastAsia" w:ascii="新宋体" w:hAnsi="新宋体" w:eastAsia="新宋体" w:cs="新宋体"/>
          <w:highlight w:val="none"/>
        </w:rPr>
        <w:t>②</w:t>
      </w:r>
      <w:r>
        <w:rPr>
          <w:rFonts w:hint="eastAsia" w:ascii="新宋体" w:hAnsi="新宋体" w:eastAsia="新宋体" w:cs="新宋体"/>
          <w:bCs/>
          <w:color w:val="auto"/>
          <w:sz w:val="21"/>
          <w:highlight w:val="none"/>
          <w:lang w:eastAsia="zh-CN"/>
        </w:rPr>
        <w:fldChar w:fldCharType="end"/>
      </w:r>
      <w:r>
        <w:rPr>
          <w:rFonts w:hint="eastAsia" w:ascii="新宋体" w:hAnsi="新宋体" w:eastAsia="新宋体" w:cs="新宋体"/>
          <w:b w:val="0"/>
          <w:bCs w:val="0"/>
          <w:color w:val="auto"/>
          <w:sz w:val="21"/>
          <w:highlight w:val="none"/>
          <w:lang w:val="en-US" w:eastAsia="zh-CN"/>
        </w:rPr>
        <w:t>计划编制；</w:t>
      </w:r>
      <w:r>
        <w:rPr>
          <w:rFonts w:hint="eastAsia" w:ascii="新宋体" w:hAnsi="新宋体" w:eastAsia="新宋体" w:cs="新宋体"/>
          <w:bCs/>
          <w:color w:val="auto"/>
          <w:sz w:val="21"/>
          <w:highlight w:val="none"/>
          <w:lang w:eastAsia="zh-CN"/>
        </w:rPr>
        <w:fldChar w:fldCharType="begin"/>
      </w:r>
      <w:r>
        <w:rPr>
          <w:rFonts w:hint="eastAsia" w:ascii="新宋体" w:hAnsi="新宋体" w:eastAsia="新宋体" w:cs="新宋体"/>
          <w:bCs/>
          <w:color w:val="auto"/>
          <w:sz w:val="21"/>
          <w:highlight w:val="none"/>
          <w:lang w:eastAsia="zh-CN"/>
        </w:rPr>
        <w:instrText xml:space="preserve"> = 3 \* GB3 \* MERGEFORMAT </w:instrText>
      </w:r>
      <w:r>
        <w:rPr>
          <w:rFonts w:hint="eastAsia" w:ascii="新宋体" w:hAnsi="新宋体" w:eastAsia="新宋体" w:cs="新宋体"/>
          <w:bCs/>
          <w:color w:val="auto"/>
          <w:sz w:val="21"/>
          <w:highlight w:val="none"/>
          <w:lang w:eastAsia="zh-CN"/>
        </w:rPr>
        <w:fldChar w:fldCharType="separate"/>
      </w:r>
      <w:r>
        <w:rPr>
          <w:rFonts w:hint="eastAsia" w:ascii="新宋体" w:hAnsi="新宋体" w:eastAsia="新宋体" w:cs="新宋体"/>
          <w:highlight w:val="none"/>
        </w:rPr>
        <w:t>③</w:t>
      </w:r>
      <w:r>
        <w:rPr>
          <w:rFonts w:hint="eastAsia" w:ascii="新宋体" w:hAnsi="新宋体" w:eastAsia="新宋体" w:cs="新宋体"/>
          <w:bCs/>
          <w:color w:val="auto"/>
          <w:sz w:val="21"/>
          <w:highlight w:val="none"/>
          <w:lang w:eastAsia="zh-CN"/>
        </w:rPr>
        <w:fldChar w:fldCharType="end"/>
      </w:r>
      <w:r>
        <w:rPr>
          <w:rFonts w:hint="eastAsia" w:ascii="新宋体" w:hAnsi="新宋体" w:eastAsia="新宋体" w:cs="新宋体"/>
          <w:b w:val="0"/>
          <w:bCs w:val="0"/>
          <w:color w:val="auto"/>
          <w:sz w:val="21"/>
          <w:highlight w:val="none"/>
          <w:lang w:val="en-US" w:eastAsia="zh-CN"/>
        </w:rPr>
        <w:t>关键节点的控制措施；</w:t>
      </w:r>
      <w:r>
        <w:rPr>
          <w:rFonts w:hint="eastAsia" w:ascii="新宋体" w:hAnsi="新宋体" w:eastAsia="新宋体" w:cs="新宋体"/>
          <w:bCs/>
          <w:color w:val="auto"/>
          <w:sz w:val="21"/>
          <w:highlight w:val="none"/>
          <w:lang w:eastAsia="zh-CN"/>
        </w:rPr>
        <w:fldChar w:fldCharType="begin"/>
      </w:r>
      <w:r>
        <w:rPr>
          <w:rFonts w:hint="eastAsia" w:ascii="新宋体" w:hAnsi="新宋体" w:eastAsia="新宋体" w:cs="新宋体"/>
          <w:bCs/>
          <w:color w:val="auto"/>
          <w:sz w:val="21"/>
          <w:highlight w:val="none"/>
          <w:lang w:eastAsia="zh-CN"/>
        </w:rPr>
        <w:instrText xml:space="preserve"> = 4 \* GB3 \* MERGEFORMAT </w:instrText>
      </w:r>
      <w:r>
        <w:rPr>
          <w:rFonts w:hint="eastAsia" w:ascii="新宋体" w:hAnsi="新宋体" w:eastAsia="新宋体" w:cs="新宋体"/>
          <w:bCs/>
          <w:color w:val="auto"/>
          <w:sz w:val="21"/>
          <w:highlight w:val="none"/>
          <w:lang w:eastAsia="zh-CN"/>
        </w:rPr>
        <w:fldChar w:fldCharType="separate"/>
      </w:r>
      <w:r>
        <w:rPr>
          <w:rFonts w:hint="eastAsia" w:ascii="新宋体" w:hAnsi="新宋体" w:eastAsia="新宋体" w:cs="新宋体"/>
          <w:highlight w:val="none"/>
        </w:rPr>
        <w:t>④</w:t>
      </w:r>
      <w:r>
        <w:rPr>
          <w:rFonts w:hint="eastAsia" w:ascii="新宋体" w:hAnsi="新宋体" w:eastAsia="新宋体" w:cs="新宋体"/>
          <w:bCs/>
          <w:color w:val="auto"/>
          <w:sz w:val="21"/>
          <w:highlight w:val="none"/>
          <w:lang w:eastAsia="zh-CN"/>
        </w:rPr>
        <w:fldChar w:fldCharType="end"/>
      </w:r>
      <w:r>
        <w:rPr>
          <w:rFonts w:hint="eastAsia" w:ascii="新宋体" w:hAnsi="新宋体" w:eastAsia="新宋体" w:cs="新宋体"/>
          <w:b w:val="0"/>
          <w:bCs w:val="0"/>
          <w:color w:val="auto"/>
          <w:sz w:val="21"/>
          <w:highlight w:val="none"/>
          <w:lang w:val="en-US" w:eastAsia="zh-CN"/>
        </w:rPr>
        <w:t>进度违约责任承诺</w:t>
      </w:r>
      <w:r>
        <w:rPr>
          <w:rFonts w:hint="eastAsia" w:ascii="新宋体" w:hAnsi="新宋体" w:eastAsia="新宋体" w:cs="新宋体"/>
          <w:sz w:val="21"/>
          <w:highlight w:val="none"/>
        </w:rPr>
        <w:t>等</w:t>
      </w:r>
      <w:r>
        <w:rPr>
          <w:rFonts w:hint="eastAsia" w:ascii="新宋体" w:hAnsi="新宋体" w:eastAsia="新宋体" w:cs="新宋体"/>
          <w:sz w:val="21"/>
          <w:highlight w:val="none"/>
          <w:lang w:val="en-US" w:eastAsia="zh-CN"/>
        </w:rPr>
        <w:t>4</w:t>
      </w:r>
      <w:r>
        <w:rPr>
          <w:rFonts w:hint="eastAsia" w:ascii="新宋体" w:hAnsi="新宋体" w:eastAsia="新宋体" w:cs="新宋体"/>
          <w:sz w:val="21"/>
          <w:highlight w:val="none"/>
        </w:rPr>
        <w:t>项内容进行综合评定，并按以下标准独立评分：</w:t>
      </w:r>
    </w:p>
    <w:p w14:paraId="5997CFD0">
      <w:pPr>
        <w:pStyle w:val="14"/>
        <w:pageBreakBefore w:val="0"/>
        <w:widowControl w:val="0"/>
        <w:kinsoku/>
        <w:wordWrap/>
        <w:overflowPunct/>
        <w:topLinePunct w:val="0"/>
        <w:bidi w:val="0"/>
        <w:snapToGrid/>
        <w:spacing w:line="440" w:lineRule="exact"/>
        <w:ind w:firstLine="535" w:firstLineChars="255"/>
        <w:textAlignment w:val="auto"/>
        <w:rPr>
          <w:rFonts w:hint="eastAsia" w:ascii="新宋体" w:hAnsi="新宋体" w:eastAsia="新宋体" w:cs="新宋体"/>
          <w:b w:val="0"/>
          <w:bCs/>
          <w:color w:val="auto"/>
          <w:szCs w:val="21"/>
          <w:highlight w:val="none"/>
        </w:rPr>
      </w:pPr>
      <w:r>
        <w:rPr>
          <w:rFonts w:hint="eastAsia" w:ascii="新宋体" w:hAnsi="新宋体" w:eastAsia="新宋体" w:cs="新宋体"/>
          <w:b w:val="0"/>
          <w:bCs/>
          <w:color w:val="auto"/>
          <w:szCs w:val="21"/>
          <w:highlight w:val="none"/>
        </w:rPr>
        <w:t>优</w:t>
      </w:r>
      <w:r>
        <w:rPr>
          <w:rFonts w:hint="eastAsia" w:ascii="新宋体" w:hAnsi="新宋体" w:eastAsia="新宋体" w:cs="新宋体"/>
          <w:b w:val="0"/>
          <w:bCs/>
          <w:color w:val="auto"/>
          <w:szCs w:val="21"/>
          <w:highlight w:val="none"/>
          <w:lang w:eastAsia="zh-CN"/>
        </w:rPr>
        <w:t>（</w:t>
      </w:r>
      <w:r>
        <w:rPr>
          <w:rFonts w:hint="eastAsia" w:ascii="新宋体" w:hAnsi="新宋体" w:eastAsia="新宋体" w:cs="新宋体"/>
          <w:b w:val="0"/>
          <w:bCs/>
          <w:color w:val="auto"/>
          <w:szCs w:val="21"/>
          <w:highlight w:val="none"/>
          <w:lang w:val="en-US" w:eastAsia="zh-CN"/>
        </w:rPr>
        <w:t>5</w:t>
      </w:r>
      <w:r>
        <w:rPr>
          <w:rFonts w:hint="eastAsia" w:ascii="新宋体" w:hAnsi="新宋体" w:eastAsia="新宋体" w:cs="新宋体"/>
          <w:b w:val="0"/>
          <w:bCs w:val="0"/>
          <w:color w:val="auto"/>
          <w:kern w:val="0"/>
          <w:sz w:val="21"/>
          <w:szCs w:val="21"/>
          <w:highlight w:val="none"/>
          <w:lang w:val="en-US" w:eastAsia="zh-CN"/>
        </w:rPr>
        <w:t>.0分</w:t>
      </w:r>
      <w:r>
        <w:rPr>
          <w:rFonts w:hint="eastAsia" w:ascii="新宋体" w:hAnsi="新宋体" w:eastAsia="新宋体" w:cs="新宋体"/>
          <w:b w:val="0"/>
          <w:bCs/>
          <w:color w:val="auto"/>
          <w:szCs w:val="21"/>
          <w:highlight w:val="none"/>
          <w:lang w:eastAsia="zh-CN"/>
        </w:rPr>
        <w:t>）</w:t>
      </w:r>
      <w:r>
        <w:rPr>
          <w:rFonts w:hint="eastAsia" w:ascii="新宋体" w:hAnsi="新宋体" w:eastAsia="新宋体" w:cs="新宋体"/>
          <w:b w:val="0"/>
          <w:bCs/>
          <w:color w:val="auto"/>
          <w:szCs w:val="21"/>
          <w:highlight w:val="none"/>
        </w:rPr>
        <w:t>：上述</w:t>
      </w:r>
      <w:r>
        <w:rPr>
          <w:rFonts w:hint="eastAsia" w:ascii="新宋体" w:hAnsi="新宋体" w:eastAsia="新宋体" w:cs="新宋体"/>
          <w:b w:val="0"/>
          <w:bCs/>
          <w:color w:val="auto"/>
          <w:szCs w:val="21"/>
          <w:highlight w:val="none"/>
          <w:lang w:val="en-US" w:eastAsia="zh-CN"/>
        </w:rPr>
        <w:t>4</w:t>
      </w:r>
      <w:r>
        <w:rPr>
          <w:rFonts w:hint="eastAsia" w:ascii="新宋体" w:hAnsi="新宋体" w:eastAsia="新宋体" w:cs="新宋体"/>
          <w:b w:val="0"/>
          <w:bCs/>
          <w:color w:val="auto"/>
          <w:szCs w:val="21"/>
          <w:highlight w:val="none"/>
        </w:rPr>
        <w:t>项全部评审内容经评审为完善、合理、可行的。</w:t>
      </w:r>
    </w:p>
    <w:p w14:paraId="7753E720">
      <w:pPr>
        <w:pStyle w:val="14"/>
        <w:pageBreakBefore w:val="0"/>
        <w:widowControl w:val="0"/>
        <w:kinsoku/>
        <w:wordWrap/>
        <w:overflowPunct/>
        <w:topLinePunct w:val="0"/>
        <w:bidi w:val="0"/>
        <w:snapToGrid/>
        <w:spacing w:line="440" w:lineRule="exact"/>
        <w:ind w:firstLine="535" w:firstLineChars="255"/>
        <w:textAlignment w:val="auto"/>
        <w:rPr>
          <w:rFonts w:hint="eastAsia" w:ascii="新宋体" w:hAnsi="新宋体" w:eastAsia="新宋体" w:cs="新宋体"/>
          <w:b w:val="0"/>
          <w:bCs/>
          <w:color w:val="auto"/>
          <w:szCs w:val="21"/>
          <w:highlight w:val="none"/>
        </w:rPr>
      </w:pPr>
      <w:r>
        <w:rPr>
          <w:rFonts w:hint="eastAsia" w:ascii="新宋体" w:hAnsi="新宋体" w:eastAsia="新宋体" w:cs="新宋体"/>
          <w:b w:val="0"/>
          <w:bCs/>
          <w:color w:val="auto"/>
          <w:szCs w:val="21"/>
          <w:highlight w:val="none"/>
        </w:rPr>
        <w:t>良</w:t>
      </w:r>
      <w:r>
        <w:rPr>
          <w:rFonts w:hint="eastAsia" w:ascii="新宋体" w:hAnsi="新宋体" w:eastAsia="新宋体" w:cs="新宋体"/>
          <w:b w:val="0"/>
          <w:bCs/>
          <w:color w:val="auto"/>
          <w:szCs w:val="21"/>
          <w:highlight w:val="none"/>
          <w:lang w:eastAsia="zh-CN"/>
        </w:rPr>
        <w:t>（</w:t>
      </w:r>
      <w:r>
        <w:rPr>
          <w:rFonts w:hint="eastAsia" w:ascii="新宋体" w:hAnsi="新宋体" w:eastAsia="新宋体" w:cs="新宋体"/>
          <w:b w:val="0"/>
          <w:bCs/>
          <w:color w:val="auto"/>
          <w:szCs w:val="21"/>
          <w:highlight w:val="none"/>
          <w:lang w:val="en-US" w:eastAsia="zh-CN"/>
        </w:rPr>
        <w:t>3</w:t>
      </w:r>
      <w:r>
        <w:rPr>
          <w:rFonts w:hint="eastAsia" w:ascii="新宋体" w:hAnsi="新宋体" w:eastAsia="新宋体" w:cs="新宋体"/>
          <w:b w:val="0"/>
          <w:bCs w:val="0"/>
          <w:color w:val="auto"/>
          <w:kern w:val="0"/>
          <w:sz w:val="21"/>
          <w:szCs w:val="21"/>
          <w:highlight w:val="none"/>
          <w:lang w:val="en-US" w:eastAsia="zh-CN"/>
        </w:rPr>
        <w:t>.0分</w:t>
      </w:r>
      <w:r>
        <w:rPr>
          <w:rFonts w:hint="eastAsia" w:ascii="新宋体" w:hAnsi="新宋体" w:eastAsia="新宋体" w:cs="新宋体"/>
          <w:b w:val="0"/>
          <w:bCs/>
          <w:color w:val="auto"/>
          <w:szCs w:val="21"/>
          <w:highlight w:val="none"/>
          <w:lang w:eastAsia="zh-CN"/>
        </w:rPr>
        <w:t>）</w:t>
      </w:r>
      <w:r>
        <w:rPr>
          <w:rFonts w:hint="eastAsia" w:ascii="新宋体" w:hAnsi="新宋体" w:eastAsia="新宋体" w:cs="新宋体"/>
          <w:b w:val="0"/>
          <w:bCs/>
          <w:color w:val="auto"/>
          <w:szCs w:val="21"/>
          <w:highlight w:val="none"/>
        </w:rPr>
        <w:t>：上述</w:t>
      </w:r>
      <w:r>
        <w:rPr>
          <w:rFonts w:hint="eastAsia" w:ascii="新宋体" w:hAnsi="新宋体" w:eastAsia="新宋体" w:cs="新宋体"/>
          <w:b w:val="0"/>
          <w:bCs/>
          <w:color w:val="auto"/>
          <w:szCs w:val="21"/>
          <w:highlight w:val="none"/>
          <w:lang w:val="en-US" w:eastAsia="zh-CN"/>
        </w:rPr>
        <w:t>4</w:t>
      </w:r>
      <w:r>
        <w:rPr>
          <w:rFonts w:hint="eastAsia" w:ascii="新宋体" w:hAnsi="新宋体" w:eastAsia="新宋体" w:cs="新宋体"/>
          <w:b w:val="0"/>
          <w:bCs/>
          <w:color w:val="auto"/>
          <w:szCs w:val="21"/>
          <w:highlight w:val="none"/>
        </w:rPr>
        <w:t>项评审内容有</w:t>
      </w:r>
      <w:r>
        <w:rPr>
          <w:rFonts w:hint="eastAsia" w:ascii="新宋体" w:hAnsi="新宋体" w:eastAsia="新宋体" w:cs="新宋体"/>
          <w:b w:val="0"/>
          <w:bCs/>
          <w:color w:val="auto"/>
          <w:szCs w:val="21"/>
          <w:highlight w:val="none"/>
          <w:lang w:val="en-US" w:eastAsia="zh-CN"/>
        </w:rPr>
        <w:t>3</w:t>
      </w:r>
      <w:r>
        <w:rPr>
          <w:rFonts w:hint="eastAsia" w:ascii="新宋体" w:hAnsi="新宋体" w:eastAsia="新宋体" w:cs="新宋体"/>
          <w:b w:val="0"/>
          <w:bCs/>
          <w:color w:val="auto"/>
          <w:szCs w:val="21"/>
          <w:highlight w:val="none"/>
        </w:rPr>
        <w:t>项内容经评审为完善、合理、可行的。</w:t>
      </w:r>
    </w:p>
    <w:p w14:paraId="33119CF0">
      <w:pPr>
        <w:pStyle w:val="14"/>
        <w:pageBreakBefore w:val="0"/>
        <w:widowControl w:val="0"/>
        <w:kinsoku/>
        <w:wordWrap/>
        <w:overflowPunct/>
        <w:topLinePunct w:val="0"/>
        <w:bidi w:val="0"/>
        <w:snapToGrid/>
        <w:spacing w:line="440" w:lineRule="exact"/>
        <w:ind w:firstLine="535" w:firstLineChars="255"/>
        <w:textAlignment w:val="auto"/>
        <w:rPr>
          <w:rFonts w:hint="eastAsia" w:ascii="新宋体" w:hAnsi="新宋体" w:eastAsia="新宋体" w:cs="新宋体"/>
          <w:sz w:val="21"/>
          <w:highlight w:val="none"/>
        </w:rPr>
      </w:pPr>
      <w:r>
        <w:rPr>
          <w:rFonts w:hint="eastAsia" w:ascii="新宋体" w:hAnsi="新宋体" w:eastAsia="新宋体" w:cs="新宋体"/>
          <w:b w:val="0"/>
          <w:bCs/>
          <w:color w:val="auto"/>
          <w:szCs w:val="21"/>
          <w:highlight w:val="none"/>
        </w:rPr>
        <w:t>中</w:t>
      </w:r>
      <w:r>
        <w:rPr>
          <w:rFonts w:hint="eastAsia" w:ascii="新宋体" w:hAnsi="新宋体" w:eastAsia="新宋体" w:cs="新宋体"/>
          <w:b w:val="0"/>
          <w:bCs/>
          <w:color w:val="auto"/>
          <w:szCs w:val="21"/>
          <w:highlight w:val="none"/>
          <w:lang w:eastAsia="zh-CN"/>
        </w:rPr>
        <w:t>（</w:t>
      </w:r>
      <w:r>
        <w:rPr>
          <w:rFonts w:hint="eastAsia" w:ascii="新宋体" w:hAnsi="新宋体" w:eastAsia="新宋体" w:cs="新宋体"/>
          <w:b w:val="0"/>
          <w:bCs/>
          <w:color w:val="auto"/>
          <w:szCs w:val="21"/>
          <w:highlight w:val="none"/>
          <w:lang w:val="en-US" w:eastAsia="zh-CN"/>
        </w:rPr>
        <w:t>1</w:t>
      </w:r>
      <w:r>
        <w:rPr>
          <w:rFonts w:hint="eastAsia" w:ascii="新宋体" w:hAnsi="新宋体" w:eastAsia="新宋体" w:cs="新宋体"/>
          <w:b w:val="0"/>
          <w:bCs w:val="0"/>
          <w:color w:val="auto"/>
          <w:kern w:val="0"/>
          <w:sz w:val="21"/>
          <w:szCs w:val="21"/>
          <w:highlight w:val="none"/>
          <w:lang w:val="en-US" w:eastAsia="zh-CN"/>
        </w:rPr>
        <w:t>.0分</w:t>
      </w:r>
      <w:r>
        <w:rPr>
          <w:rFonts w:hint="eastAsia" w:ascii="新宋体" w:hAnsi="新宋体" w:eastAsia="新宋体" w:cs="新宋体"/>
          <w:b w:val="0"/>
          <w:bCs/>
          <w:color w:val="auto"/>
          <w:szCs w:val="21"/>
          <w:highlight w:val="none"/>
          <w:lang w:eastAsia="zh-CN"/>
        </w:rPr>
        <w:t>）</w:t>
      </w:r>
      <w:r>
        <w:rPr>
          <w:rFonts w:hint="eastAsia" w:ascii="新宋体" w:hAnsi="新宋体" w:eastAsia="新宋体" w:cs="新宋体"/>
          <w:b w:val="0"/>
          <w:bCs/>
          <w:color w:val="auto"/>
          <w:szCs w:val="21"/>
          <w:highlight w:val="none"/>
        </w:rPr>
        <w:t>：</w:t>
      </w:r>
      <w:r>
        <w:rPr>
          <w:rFonts w:hint="eastAsia" w:ascii="新宋体" w:hAnsi="新宋体" w:eastAsia="新宋体" w:cs="新宋体"/>
          <w:sz w:val="21"/>
          <w:highlight w:val="none"/>
        </w:rPr>
        <w:t>上述</w:t>
      </w:r>
      <w:r>
        <w:rPr>
          <w:rFonts w:hint="eastAsia" w:ascii="新宋体" w:hAnsi="新宋体" w:eastAsia="新宋体" w:cs="新宋体"/>
          <w:sz w:val="21"/>
          <w:highlight w:val="none"/>
          <w:lang w:val="en-US" w:eastAsia="zh-CN"/>
        </w:rPr>
        <w:t>4</w:t>
      </w:r>
      <w:r>
        <w:rPr>
          <w:rFonts w:hint="eastAsia" w:ascii="新宋体" w:hAnsi="新宋体" w:eastAsia="新宋体" w:cs="新宋体"/>
          <w:sz w:val="21"/>
          <w:highlight w:val="none"/>
        </w:rPr>
        <w:t>项评审内容有</w:t>
      </w:r>
      <w:r>
        <w:rPr>
          <w:rFonts w:hint="eastAsia" w:ascii="新宋体" w:hAnsi="新宋体" w:eastAsia="新宋体" w:cs="新宋体"/>
          <w:sz w:val="21"/>
          <w:highlight w:val="none"/>
          <w:lang w:val="en-US" w:eastAsia="zh-CN"/>
        </w:rPr>
        <w:t>1</w:t>
      </w:r>
      <w:r>
        <w:rPr>
          <w:rFonts w:hint="eastAsia" w:ascii="新宋体" w:hAnsi="新宋体" w:eastAsia="新宋体" w:cs="新宋体"/>
          <w:sz w:val="21"/>
          <w:highlight w:val="none"/>
        </w:rPr>
        <w:t>项内容经评审为完善、合理、可行的。</w:t>
      </w:r>
    </w:p>
    <w:p w14:paraId="305AE5D9">
      <w:pPr>
        <w:pStyle w:val="14"/>
        <w:pageBreakBefore w:val="0"/>
        <w:widowControl w:val="0"/>
        <w:kinsoku/>
        <w:wordWrap/>
        <w:overflowPunct/>
        <w:topLinePunct w:val="0"/>
        <w:bidi w:val="0"/>
        <w:snapToGrid/>
        <w:spacing w:line="440" w:lineRule="exact"/>
        <w:ind w:firstLine="535" w:firstLineChars="255"/>
        <w:textAlignment w:val="auto"/>
        <w:rPr>
          <w:rFonts w:hint="eastAsia" w:ascii="新宋体" w:hAnsi="新宋体" w:eastAsia="新宋体" w:cs="新宋体"/>
          <w:sz w:val="21"/>
          <w:highlight w:val="none"/>
        </w:rPr>
      </w:pPr>
      <w:r>
        <w:rPr>
          <w:rFonts w:hint="eastAsia" w:ascii="新宋体" w:hAnsi="新宋体" w:eastAsia="新宋体" w:cs="新宋体"/>
          <w:b w:val="0"/>
          <w:bCs/>
          <w:color w:val="auto"/>
          <w:szCs w:val="21"/>
          <w:highlight w:val="none"/>
        </w:rPr>
        <w:t>差</w:t>
      </w:r>
      <w:r>
        <w:rPr>
          <w:rFonts w:hint="eastAsia" w:ascii="新宋体" w:hAnsi="新宋体" w:eastAsia="新宋体" w:cs="新宋体"/>
          <w:b w:val="0"/>
          <w:bCs/>
          <w:color w:val="auto"/>
          <w:szCs w:val="21"/>
          <w:highlight w:val="none"/>
          <w:lang w:eastAsia="zh-CN"/>
        </w:rPr>
        <w:t>（</w:t>
      </w:r>
      <w:r>
        <w:rPr>
          <w:rFonts w:hint="eastAsia" w:ascii="新宋体" w:hAnsi="新宋体" w:eastAsia="新宋体" w:cs="新宋体"/>
          <w:b w:val="0"/>
          <w:bCs/>
          <w:color w:val="auto"/>
          <w:szCs w:val="21"/>
          <w:highlight w:val="none"/>
          <w:lang w:val="en-US" w:eastAsia="zh-CN"/>
        </w:rPr>
        <w:t>0</w:t>
      </w:r>
      <w:r>
        <w:rPr>
          <w:rFonts w:hint="eastAsia" w:ascii="新宋体" w:hAnsi="新宋体" w:eastAsia="新宋体" w:cs="新宋体"/>
          <w:b w:val="0"/>
          <w:bCs w:val="0"/>
          <w:color w:val="auto"/>
          <w:kern w:val="0"/>
          <w:sz w:val="21"/>
          <w:szCs w:val="21"/>
          <w:highlight w:val="none"/>
          <w:lang w:val="en-US" w:eastAsia="zh-CN"/>
        </w:rPr>
        <w:t>分</w:t>
      </w:r>
      <w:r>
        <w:rPr>
          <w:rFonts w:hint="eastAsia" w:ascii="新宋体" w:hAnsi="新宋体" w:eastAsia="新宋体" w:cs="新宋体"/>
          <w:b w:val="0"/>
          <w:bCs/>
          <w:color w:val="auto"/>
          <w:szCs w:val="21"/>
          <w:highlight w:val="none"/>
          <w:lang w:eastAsia="zh-CN"/>
        </w:rPr>
        <w:t>）</w:t>
      </w:r>
      <w:r>
        <w:rPr>
          <w:rFonts w:hint="eastAsia" w:ascii="新宋体" w:hAnsi="新宋体" w:eastAsia="新宋体" w:cs="新宋体"/>
          <w:b w:val="0"/>
          <w:bCs/>
          <w:color w:val="auto"/>
          <w:szCs w:val="21"/>
          <w:highlight w:val="none"/>
        </w:rPr>
        <w:t>：</w:t>
      </w:r>
      <w:r>
        <w:rPr>
          <w:rFonts w:hint="eastAsia" w:ascii="新宋体" w:hAnsi="新宋体" w:eastAsia="新宋体" w:cs="新宋体"/>
          <w:sz w:val="21"/>
          <w:highlight w:val="none"/>
        </w:rPr>
        <w:t>未达“</w:t>
      </w:r>
      <w:r>
        <w:rPr>
          <w:rFonts w:hint="eastAsia" w:ascii="新宋体" w:hAnsi="新宋体" w:eastAsia="新宋体" w:cs="新宋体"/>
          <w:sz w:val="21"/>
          <w:highlight w:val="none"/>
          <w:lang w:eastAsia="zh-CN"/>
        </w:rPr>
        <w:t>中</w:t>
      </w:r>
      <w:r>
        <w:rPr>
          <w:rFonts w:hint="eastAsia" w:ascii="新宋体" w:hAnsi="新宋体" w:eastAsia="新宋体" w:cs="新宋体"/>
          <w:sz w:val="21"/>
          <w:highlight w:val="none"/>
        </w:rPr>
        <w:t>”</w:t>
      </w:r>
      <w:r>
        <w:rPr>
          <w:rFonts w:hint="eastAsia" w:ascii="新宋体" w:hAnsi="新宋体" w:eastAsia="新宋体" w:cs="新宋体"/>
          <w:sz w:val="21"/>
          <w:highlight w:val="none"/>
          <w:lang w:eastAsia="zh-CN"/>
        </w:rPr>
        <w:t>档</w:t>
      </w:r>
      <w:r>
        <w:rPr>
          <w:rFonts w:hint="eastAsia" w:ascii="新宋体" w:hAnsi="新宋体" w:eastAsia="新宋体" w:cs="新宋体"/>
          <w:sz w:val="21"/>
          <w:highlight w:val="none"/>
        </w:rPr>
        <w:t>标准的，计0分。</w:t>
      </w:r>
    </w:p>
    <w:p w14:paraId="03CD4E92">
      <w:pPr>
        <w:pStyle w:val="14"/>
        <w:pageBreakBefore w:val="0"/>
        <w:widowControl w:val="0"/>
        <w:kinsoku/>
        <w:wordWrap/>
        <w:overflowPunct/>
        <w:topLinePunct w:val="0"/>
        <w:bidi w:val="0"/>
        <w:snapToGrid/>
        <w:spacing w:line="440" w:lineRule="exact"/>
        <w:ind w:firstLine="210" w:firstLineChars="100"/>
        <w:textAlignment w:val="auto"/>
        <w:rPr>
          <w:rFonts w:hint="eastAsia" w:ascii="新宋体" w:hAnsi="新宋体" w:eastAsia="新宋体" w:cs="新宋体"/>
          <w:b/>
          <w:bCs w:val="0"/>
          <w:color w:val="auto"/>
          <w:szCs w:val="21"/>
          <w:highlight w:val="none"/>
          <w:lang w:eastAsia="zh-CN"/>
        </w:rPr>
      </w:pPr>
      <w:r>
        <w:rPr>
          <w:rFonts w:hint="eastAsia" w:ascii="新宋体" w:hAnsi="新宋体" w:eastAsia="新宋体" w:cs="新宋体"/>
          <w:sz w:val="21"/>
          <w:highlight w:val="none"/>
        </w:rPr>
        <w:t>注：</w:t>
      </w:r>
      <w:r>
        <w:rPr>
          <w:rFonts w:hint="eastAsia" w:ascii="新宋体" w:hAnsi="新宋体" w:eastAsia="新宋体" w:cs="新宋体"/>
          <w:sz w:val="21"/>
          <w:highlight w:val="none"/>
          <w:lang w:eastAsia="zh-CN"/>
        </w:rPr>
        <w:t>磋商供应商响应文件</w:t>
      </w:r>
      <w:r>
        <w:rPr>
          <w:rFonts w:hint="eastAsia" w:ascii="新宋体" w:hAnsi="新宋体" w:eastAsia="新宋体" w:cs="新宋体"/>
          <w:sz w:val="21"/>
          <w:highlight w:val="none"/>
        </w:rPr>
        <w:t>中提供的项目实施方案未达到相应评审档次全部标准的，相应降低一个档次</w:t>
      </w:r>
      <w:r>
        <w:rPr>
          <w:rFonts w:hint="eastAsia" w:ascii="新宋体" w:hAnsi="新宋体" w:eastAsia="新宋体" w:cs="新宋体"/>
          <w:sz w:val="21"/>
          <w:highlight w:val="none"/>
          <w:lang w:eastAsia="zh-CN"/>
        </w:rPr>
        <w:t>。</w:t>
      </w:r>
    </w:p>
    <w:p w14:paraId="428A70A4">
      <w:pPr>
        <w:pStyle w:val="14"/>
        <w:pageBreakBefore w:val="0"/>
        <w:widowControl w:val="0"/>
        <w:kinsoku/>
        <w:wordWrap/>
        <w:overflowPunct/>
        <w:topLinePunct w:val="0"/>
        <w:bidi w:val="0"/>
        <w:snapToGrid/>
        <w:spacing w:line="440" w:lineRule="exact"/>
        <w:ind w:firstLine="211" w:firstLineChars="100"/>
        <w:textAlignment w:val="auto"/>
        <w:rPr>
          <w:rFonts w:hint="eastAsia" w:ascii="新宋体" w:hAnsi="新宋体" w:eastAsia="新宋体" w:cs="新宋体"/>
          <w:b/>
          <w:bCs w:val="0"/>
          <w:color w:val="auto"/>
          <w:highlight w:val="none"/>
        </w:rPr>
      </w:pPr>
      <w:r>
        <w:rPr>
          <w:rFonts w:hint="eastAsia" w:ascii="新宋体" w:hAnsi="新宋体" w:eastAsia="新宋体" w:cs="新宋体"/>
          <w:b/>
          <w:bCs w:val="0"/>
          <w:color w:val="auto"/>
          <w:szCs w:val="21"/>
          <w:highlight w:val="none"/>
        </w:rPr>
        <w:t>（4）劳动力和材料投入计划及其保证措施</w:t>
      </w:r>
      <w:r>
        <w:rPr>
          <w:rFonts w:hint="eastAsia" w:ascii="新宋体" w:hAnsi="新宋体" w:eastAsia="新宋体" w:cs="新宋体"/>
          <w:b/>
          <w:bCs w:val="0"/>
          <w:color w:val="auto"/>
          <w:highlight w:val="none"/>
        </w:rPr>
        <w:t>…………………………………………</w:t>
      </w:r>
      <w:r>
        <w:rPr>
          <w:rFonts w:hint="eastAsia" w:ascii="新宋体" w:hAnsi="新宋体" w:eastAsia="新宋体" w:cs="新宋体"/>
          <w:b/>
          <w:bCs w:val="0"/>
          <w:color w:val="auto"/>
          <w:szCs w:val="21"/>
          <w:highlight w:val="none"/>
        </w:rPr>
        <w:t>…</w:t>
      </w:r>
      <w:r>
        <w:rPr>
          <w:rFonts w:hint="eastAsia" w:ascii="新宋体" w:hAnsi="新宋体" w:eastAsia="新宋体" w:cs="新宋体"/>
          <w:b/>
          <w:bCs w:val="0"/>
          <w:color w:val="auto"/>
          <w:highlight w:val="none"/>
        </w:rPr>
        <w:t>……</w:t>
      </w:r>
      <w:r>
        <w:rPr>
          <w:rFonts w:hint="eastAsia" w:ascii="新宋体" w:hAnsi="新宋体" w:eastAsia="新宋体" w:cs="新宋体"/>
          <w:b/>
          <w:color w:val="auto"/>
          <w:highlight w:val="none"/>
        </w:rPr>
        <w:t>………</w:t>
      </w:r>
      <w:r>
        <w:rPr>
          <w:rFonts w:hint="eastAsia" w:ascii="新宋体" w:hAnsi="新宋体" w:eastAsia="新宋体" w:cs="新宋体"/>
          <w:b/>
          <w:color w:val="auto"/>
          <w:highlight w:val="none"/>
          <w:lang w:val="en-US" w:eastAsia="zh-CN"/>
        </w:rPr>
        <w:t>8</w:t>
      </w:r>
      <w:r>
        <w:rPr>
          <w:rFonts w:hint="eastAsia" w:ascii="新宋体" w:hAnsi="新宋体" w:eastAsia="新宋体" w:cs="新宋体"/>
          <w:b/>
          <w:bCs w:val="0"/>
          <w:color w:val="auto"/>
          <w:szCs w:val="21"/>
          <w:highlight w:val="none"/>
        </w:rPr>
        <w:t>分</w:t>
      </w:r>
    </w:p>
    <w:p w14:paraId="56B68A4E">
      <w:pPr>
        <w:pStyle w:val="14"/>
        <w:pageBreakBefore w:val="0"/>
        <w:widowControl w:val="0"/>
        <w:kinsoku/>
        <w:wordWrap/>
        <w:overflowPunct/>
        <w:topLinePunct w:val="0"/>
        <w:bidi w:val="0"/>
        <w:snapToGrid/>
        <w:spacing w:line="440" w:lineRule="exact"/>
        <w:ind w:firstLine="535" w:firstLineChars="255"/>
        <w:textAlignment w:val="auto"/>
        <w:rPr>
          <w:rFonts w:hint="eastAsia" w:ascii="新宋体" w:hAnsi="新宋体" w:eastAsia="新宋体" w:cs="新宋体"/>
          <w:b w:val="0"/>
          <w:bCs/>
          <w:color w:val="auto"/>
          <w:szCs w:val="21"/>
          <w:highlight w:val="none"/>
        </w:rPr>
      </w:pPr>
      <w:r>
        <w:rPr>
          <w:rFonts w:hint="eastAsia" w:ascii="新宋体" w:hAnsi="新宋体" w:eastAsia="新宋体" w:cs="新宋体"/>
          <w:sz w:val="21"/>
          <w:highlight w:val="none"/>
          <w:lang w:eastAsia="zh-CN"/>
        </w:rPr>
        <w:t>磋商小组</w:t>
      </w:r>
      <w:r>
        <w:rPr>
          <w:rFonts w:hint="eastAsia" w:ascii="新宋体" w:hAnsi="新宋体" w:eastAsia="新宋体" w:cs="新宋体"/>
          <w:sz w:val="21"/>
          <w:highlight w:val="none"/>
        </w:rPr>
        <w:t>会</w:t>
      </w:r>
      <w:r>
        <w:rPr>
          <w:rFonts w:hint="eastAsia" w:ascii="新宋体" w:hAnsi="新宋体" w:eastAsia="新宋体" w:cs="新宋体"/>
          <w:sz w:val="21"/>
          <w:highlight w:val="none"/>
          <w:lang w:eastAsia="zh-CN"/>
        </w:rPr>
        <w:t>各成员</w:t>
      </w:r>
      <w:r>
        <w:rPr>
          <w:rFonts w:hint="eastAsia" w:ascii="新宋体" w:hAnsi="新宋体" w:eastAsia="新宋体" w:cs="新宋体"/>
          <w:sz w:val="21"/>
          <w:highlight w:val="none"/>
        </w:rPr>
        <w:t>对比各</w:t>
      </w:r>
      <w:r>
        <w:rPr>
          <w:rFonts w:hint="eastAsia" w:ascii="新宋体" w:hAnsi="新宋体" w:eastAsia="新宋体" w:cs="新宋体"/>
          <w:sz w:val="21"/>
          <w:highlight w:val="none"/>
          <w:lang w:eastAsia="zh-CN"/>
        </w:rPr>
        <w:t>磋商供应商</w:t>
      </w:r>
      <w:r>
        <w:rPr>
          <w:rFonts w:hint="eastAsia" w:ascii="新宋体" w:hAnsi="新宋体" w:eastAsia="新宋体" w:cs="新宋体"/>
          <w:sz w:val="21"/>
          <w:highlight w:val="none"/>
        </w:rPr>
        <w:t>提供的</w:t>
      </w:r>
      <w:r>
        <w:rPr>
          <w:rFonts w:hint="eastAsia" w:ascii="新宋体" w:hAnsi="新宋体" w:eastAsia="新宋体" w:cs="新宋体"/>
          <w:sz w:val="21"/>
          <w:highlight w:val="none"/>
        </w:rPr>
        <w:fldChar w:fldCharType="begin"/>
      </w:r>
      <w:r>
        <w:rPr>
          <w:rFonts w:hint="eastAsia" w:ascii="新宋体" w:hAnsi="新宋体" w:eastAsia="新宋体" w:cs="新宋体"/>
          <w:sz w:val="21"/>
          <w:highlight w:val="none"/>
        </w:rPr>
        <w:instrText xml:space="preserve"> = 1 \* GB3 \* MERGEFORMAT </w:instrText>
      </w:r>
      <w:r>
        <w:rPr>
          <w:rFonts w:hint="eastAsia" w:ascii="新宋体" w:hAnsi="新宋体" w:eastAsia="新宋体" w:cs="新宋体"/>
          <w:sz w:val="21"/>
          <w:highlight w:val="none"/>
        </w:rPr>
        <w:fldChar w:fldCharType="separate"/>
      </w:r>
      <w:r>
        <w:rPr>
          <w:rFonts w:hint="eastAsia" w:ascii="新宋体" w:hAnsi="新宋体" w:eastAsia="新宋体" w:cs="新宋体"/>
          <w:highlight w:val="none"/>
        </w:rPr>
        <w:t>①</w:t>
      </w:r>
      <w:r>
        <w:rPr>
          <w:rFonts w:hint="eastAsia" w:ascii="新宋体" w:hAnsi="新宋体" w:eastAsia="新宋体" w:cs="新宋体"/>
          <w:sz w:val="21"/>
          <w:highlight w:val="none"/>
        </w:rPr>
        <w:fldChar w:fldCharType="end"/>
      </w:r>
      <w:r>
        <w:rPr>
          <w:rFonts w:hint="eastAsia" w:ascii="新宋体" w:hAnsi="新宋体" w:eastAsia="新宋体" w:cs="新宋体"/>
          <w:b w:val="0"/>
          <w:bCs w:val="0"/>
          <w:color w:val="auto"/>
          <w:sz w:val="21"/>
          <w:highlight w:val="none"/>
          <w:lang w:val="en-US" w:eastAsia="zh-CN"/>
        </w:rPr>
        <w:t>劳动力计划；</w:t>
      </w:r>
      <w:r>
        <w:rPr>
          <w:rFonts w:hint="eastAsia" w:ascii="新宋体" w:hAnsi="新宋体" w:eastAsia="新宋体" w:cs="新宋体"/>
          <w:bCs/>
          <w:color w:val="auto"/>
          <w:sz w:val="21"/>
          <w:highlight w:val="none"/>
          <w:lang w:eastAsia="zh-CN"/>
        </w:rPr>
        <w:fldChar w:fldCharType="begin"/>
      </w:r>
      <w:r>
        <w:rPr>
          <w:rFonts w:hint="eastAsia" w:ascii="新宋体" w:hAnsi="新宋体" w:eastAsia="新宋体" w:cs="新宋体"/>
          <w:bCs/>
          <w:color w:val="auto"/>
          <w:sz w:val="21"/>
          <w:highlight w:val="none"/>
          <w:lang w:eastAsia="zh-CN"/>
        </w:rPr>
        <w:instrText xml:space="preserve"> = 2 \* GB3 \* MERGEFORMAT </w:instrText>
      </w:r>
      <w:r>
        <w:rPr>
          <w:rFonts w:hint="eastAsia" w:ascii="新宋体" w:hAnsi="新宋体" w:eastAsia="新宋体" w:cs="新宋体"/>
          <w:bCs/>
          <w:color w:val="auto"/>
          <w:sz w:val="21"/>
          <w:highlight w:val="none"/>
          <w:lang w:eastAsia="zh-CN"/>
        </w:rPr>
        <w:fldChar w:fldCharType="separate"/>
      </w:r>
      <w:r>
        <w:rPr>
          <w:rFonts w:hint="eastAsia" w:ascii="新宋体" w:hAnsi="新宋体" w:eastAsia="新宋体" w:cs="新宋体"/>
          <w:highlight w:val="none"/>
        </w:rPr>
        <w:t>②</w:t>
      </w:r>
      <w:r>
        <w:rPr>
          <w:rFonts w:hint="eastAsia" w:ascii="新宋体" w:hAnsi="新宋体" w:eastAsia="新宋体" w:cs="新宋体"/>
          <w:bCs/>
          <w:color w:val="auto"/>
          <w:sz w:val="21"/>
          <w:highlight w:val="none"/>
          <w:lang w:eastAsia="zh-CN"/>
        </w:rPr>
        <w:fldChar w:fldCharType="end"/>
      </w:r>
      <w:r>
        <w:rPr>
          <w:rFonts w:hint="eastAsia" w:ascii="新宋体" w:hAnsi="新宋体" w:eastAsia="新宋体" w:cs="新宋体"/>
          <w:b w:val="0"/>
          <w:bCs w:val="0"/>
          <w:color w:val="auto"/>
          <w:sz w:val="21"/>
          <w:highlight w:val="none"/>
          <w:lang w:val="en-US" w:eastAsia="zh-CN"/>
        </w:rPr>
        <w:t>材料投入计划；</w:t>
      </w:r>
      <w:r>
        <w:rPr>
          <w:rFonts w:hint="eastAsia" w:ascii="新宋体" w:hAnsi="新宋体" w:eastAsia="新宋体" w:cs="新宋体"/>
          <w:bCs/>
          <w:color w:val="auto"/>
          <w:sz w:val="21"/>
          <w:highlight w:val="none"/>
          <w:lang w:eastAsia="zh-CN"/>
        </w:rPr>
        <w:fldChar w:fldCharType="begin"/>
      </w:r>
      <w:r>
        <w:rPr>
          <w:rFonts w:hint="eastAsia" w:ascii="新宋体" w:hAnsi="新宋体" w:eastAsia="新宋体" w:cs="新宋体"/>
          <w:bCs/>
          <w:color w:val="auto"/>
          <w:sz w:val="21"/>
          <w:highlight w:val="none"/>
          <w:lang w:eastAsia="zh-CN"/>
        </w:rPr>
        <w:instrText xml:space="preserve"> = 3 \* GB3 \* MERGEFORMAT </w:instrText>
      </w:r>
      <w:r>
        <w:rPr>
          <w:rFonts w:hint="eastAsia" w:ascii="新宋体" w:hAnsi="新宋体" w:eastAsia="新宋体" w:cs="新宋体"/>
          <w:bCs/>
          <w:color w:val="auto"/>
          <w:sz w:val="21"/>
          <w:highlight w:val="none"/>
          <w:lang w:eastAsia="zh-CN"/>
        </w:rPr>
        <w:fldChar w:fldCharType="separate"/>
      </w:r>
      <w:r>
        <w:rPr>
          <w:rFonts w:hint="eastAsia" w:ascii="新宋体" w:hAnsi="新宋体" w:eastAsia="新宋体" w:cs="新宋体"/>
          <w:highlight w:val="none"/>
        </w:rPr>
        <w:t>③</w:t>
      </w:r>
      <w:r>
        <w:rPr>
          <w:rFonts w:hint="eastAsia" w:ascii="新宋体" w:hAnsi="新宋体" w:eastAsia="新宋体" w:cs="新宋体"/>
          <w:bCs/>
          <w:color w:val="auto"/>
          <w:sz w:val="21"/>
          <w:highlight w:val="none"/>
          <w:lang w:eastAsia="zh-CN"/>
        </w:rPr>
        <w:fldChar w:fldCharType="end"/>
      </w:r>
      <w:r>
        <w:rPr>
          <w:rFonts w:hint="eastAsia" w:ascii="新宋体" w:hAnsi="新宋体" w:eastAsia="新宋体" w:cs="新宋体"/>
          <w:b w:val="0"/>
          <w:bCs/>
          <w:color w:val="auto"/>
          <w:szCs w:val="21"/>
          <w:highlight w:val="none"/>
        </w:rPr>
        <w:t>调配投入计划</w:t>
      </w:r>
      <w:r>
        <w:rPr>
          <w:rFonts w:hint="eastAsia" w:ascii="新宋体" w:hAnsi="新宋体" w:eastAsia="新宋体" w:cs="新宋体"/>
          <w:b w:val="0"/>
          <w:bCs/>
          <w:color w:val="auto"/>
          <w:szCs w:val="21"/>
          <w:highlight w:val="none"/>
          <w:lang w:eastAsia="zh-CN"/>
        </w:rPr>
        <w:t>；</w:t>
      </w:r>
      <w:r>
        <w:rPr>
          <w:rFonts w:hint="eastAsia" w:ascii="新宋体" w:hAnsi="新宋体" w:eastAsia="新宋体" w:cs="新宋体"/>
          <w:bCs/>
          <w:color w:val="auto"/>
          <w:sz w:val="21"/>
          <w:highlight w:val="none"/>
          <w:lang w:eastAsia="zh-CN"/>
        </w:rPr>
        <w:fldChar w:fldCharType="begin"/>
      </w:r>
      <w:r>
        <w:rPr>
          <w:rFonts w:hint="eastAsia" w:ascii="新宋体" w:hAnsi="新宋体" w:eastAsia="新宋体" w:cs="新宋体"/>
          <w:bCs/>
          <w:color w:val="auto"/>
          <w:sz w:val="21"/>
          <w:highlight w:val="none"/>
          <w:lang w:eastAsia="zh-CN"/>
        </w:rPr>
        <w:instrText xml:space="preserve"> = 4 \* GB3 \* MERGEFORMAT </w:instrText>
      </w:r>
      <w:r>
        <w:rPr>
          <w:rFonts w:hint="eastAsia" w:ascii="新宋体" w:hAnsi="新宋体" w:eastAsia="新宋体" w:cs="新宋体"/>
          <w:bCs/>
          <w:color w:val="auto"/>
          <w:sz w:val="21"/>
          <w:highlight w:val="none"/>
          <w:lang w:eastAsia="zh-CN"/>
        </w:rPr>
        <w:fldChar w:fldCharType="separate"/>
      </w:r>
      <w:r>
        <w:rPr>
          <w:rFonts w:hint="eastAsia" w:ascii="新宋体" w:hAnsi="新宋体" w:eastAsia="新宋体" w:cs="新宋体"/>
          <w:highlight w:val="none"/>
        </w:rPr>
        <w:t>④</w:t>
      </w:r>
      <w:r>
        <w:rPr>
          <w:rFonts w:hint="eastAsia" w:ascii="新宋体" w:hAnsi="新宋体" w:eastAsia="新宋体" w:cs="新宋体"/>
          <w:bCs/>
          <w:color w:val="auto"/>
          <w:sz w:val="21"/>
          <w:highlight w:val="none"/>
          <w:lang w:eastAsia="zh-CN"/>
        </w:rPr>
        <w:fldChar w:fldCharType="end"/>
      </w:r>
      <w:r>
        <w:rPr>
          <w:rFonts w:hint="eastAsia" w:ascii="新宋体" w:hAnsi="新宋体" w:eastAsia="新宋体" w:cs="新宋体"/>
          <w:b w:val="0"/>
          <w:bCs/>
          <w:color w:val="auto"/>
          <w:szCs w:val="21"/>
          <w:highlight w:val="none"/>
        </w:rPr>
        <w:t>进度计划</w:t>
      </w:r>
      <w:r>
        <w:rPr>
          <w:rFonts w:hint="eastAsia" w:ascii="新宋体" w:hAnsi="新宋体" w:eastAsia="新宋体" w:cs="新宋体"/>
          <w:sz w:val="21"/>
          <w:highlight w:val="none"/>
        </w:rPr>
        <w:t>等</w:t>
      </w:r>
      <w:r>
        <w:rPr>
          <w:rFonts w:hint="eastAsia" w:ascii="新宋体" w:hAnsi="新宋体" w:eastAsia="新宋体" w:cs="新宋体"/>
          <w:sz w:val="21"/>
          <w:highlight w:val="none"/>
          <w:lang w:val="en-US" w:eastAsia="zh-CN"/>
        </w:rPr>
        <w:t>4</w:t>
      </w:r>
      <w:r>
        <w:rPr>
          <w:rFonts w:hint="eastAsia" w:ascii="新宋体" w:hAnsi="新宋体" w:eastAsia="新宋体" w:cs="新宋体"/>
          <w:sz w:val="21"/>
          <w:highlight w:val="none"/>
        </w:rPr>
        <w:t>项内容进行综合评定，并按以下标准独立评分：</w:t>
      </w:r>
    </w:p>
    <w:p w14:paraId="553CC7AF">
      <w:pPr>
        <w:pStyle w:val="14"/>
        <w:pageBreakBefore w:val="0"/>
        <w:widowControl w:val="0"/>
        <w:kinsoku/>
        <w:wordWrap/>
        <w:overflowPunct/>
        <w:topLinePunct w:val="0"/>
        <w:bidi w:val="0"/>
        <w:snapToGrid/>
        <w:spacing w:line="440" w:lineRule="exact"/>
        <w:ind w:firstLine="535" w:firstLineChars="255"/>
        <w:textAlignment w:val="auto"/>
        <w:rPr>
          <w:rFonts w:hint="eastAsia" w:ascii="新宋体" w:hAnsi="新宋体" w:eastAsia="新宋体" w:cs="新宋体"/>
          <w:b w:val="0"/>
          <w:bCs/>
          <w:color w:val="auto"/>
          <w:szCs w:val="21"/>
          <w:highlight w:val="none"/>
        </w:rPr>
      </w:pPr>
      <w:r>
        <w:rPr>
          <w:rFonts w:hint="eastAsia" w:ascii="新宋体" w:hAnsi="新宋体" w:eastAsia="新宋体" w:cs="新宋体"/>
          <w:b w:val="0"/>
          <w:bCs/>
          <w:color w:val="auto"/>
          <w:szCs w:val="21"/>
          <w:highlight w:val="none"/>
        </w:rPr>
        <w:t>优</w:t>
      </w:r>
      <w:r>
        <w:rPr>
          <w:rFonts w:hint="eastAsia" w:ascii="新宋体" w:hAnsi="新宋体" w:eastAsia="新宋体" w:cs="新宋体"/>
          <w:b w:val="0"/>
          <w:bCs/>
          <w:color w:val="auto"/>
          <w:szCs w:val="21"/>
          <w:highlight w:val="none"/>
          <w:lang w:eastAsia="zh-CN"/>
        </w:rPr>
        <w:t>（</w:t>
      </w:r>
      <w:r>
        <w:rPr>
          <w:rFonts w:hint="eastAsia" w:ascii="新宋体" w:hAnsi="新宋体" w:eastAsia="新宋体" w:cs="新宋体"/>
          <w:b w:val="0"/>
          <w:bCs/>
          <w:color w:val="auto"/>
          <w:szCs w:val="21"/>
          <w:highlight w:val="none"/>
          <w:lang w:val="en-US" w:eastAsia="zh-CN"/>
        </w:rPr>
        <w:t>8</w:t>
      </w:r>
      <w:r>
        <w:rPr>
          <w:rFonts w:hint="eastAsia" w:ascii="新宋体" w:hAnsi="新宋体" w:eastAsia="新宋体" w:cs="新宋体"/>
          <w:b w:val="0"/>
          <w:bCs w:val="0"/>
          <w:color w:val="auto"/>
          <w:kern w:val="0"/>
          <w:sz w:val="21"/>
          <w:szCs w:val="21"/>
          <w:highlight w:val="none"/>
          <w:lang w:val="en-US" w:eastAsia="zh-CN"/>
        </w:rPr>
        <w:t>.0分</w:t>
      </w:r>
      <w:r>
        <w:rPr>
          <w:rFonts w:hint="eastAsia" w:ascii="新宋体" w:hAnsi="新宋体" w:eastAsia="新宋体" w:cs="新宋体"/>
          <w:b w:val="0"/>
          <w:bCs/>
          <w:color w:val="auto"/>
          <w:szCs w:val="21"/>
          <w:highlight w:val="none"/>
          <w:lang w:eastAsia="zh-CN"/>
        </w:rPr>
        <w:t>）</w:t>
      </w:r>
      <w:r>
        <w:rPr>
          <w:rFonts w:hint="eastAsia" w:ascii="新宋体" w:hAnsi="新宋体" w:eastAsia="新宋体" w:cs="新宋体"/>
          <w:b w:val="0"/>
          <w:bCs/>
          <w:color w:val="auto"/>
          <w:szCs w:val="21"/>
          <w:highlight w:val="none"/>
        </w:rPr>
        <w:t>：</w:t>
      </w:r>
      <w:r>
        <w:rPr>
          <w:rFonts w:hint="eastAsia" w:ascii="新宋体" w:hAnsi="新宋体" w:eastAsia="新宋体" w:cs="新宋体"/>
          <w:b w:val="0"/>
          <w:bCs/>
          <w:color w:val="auto"/>
          <w:szCs w:val="21"/>
          <w:highlight w:val="none"/>
          <w:lang w:val="en-US" w:eastAsia="zh-CN"/>
        </w:rPr>
        <w:t>项目负责人和技术负责人都具有文博系列文物保护专业副高级及以上职称，以及</w:t>
      </w:r>
      <w:r>
        <w:rPr>
          <w:rFonts w:hint="eastAsia" w:ascii="新宋体" w:hAnsi="新宋体" w:eastAsia="新宋体" w:cs="新宋体"/>
          <w:b w:val="0"/>
          <w:bCs/>
          <w:color w:val="auto"/>
          <w:szCs w:val="21"/>
          <w:highlight w:val="none"/>
        </w:rPr>
        <w:t>上述</w:t>
      </w:r>
      <w:r>
        <w:rPr>
          <w:rFonts w:hint="eastAsia" w:ascii="新宋体" w:hAnsi="新宋体" w:eastAsia="新宋体" w:cs="新宋体"/>
          <w:b w:val="0"/>
          <w:bCs/>
          <w:color w:val="auto"/>
          <w:szCs w:val="21"/>
          <w:highlight w:val="none"/>
          <w:lang w:val="en-US" w:eastAsia="zh-CN"/>
        </w:rPr>
        <w:t>4</w:t>
      </w:r>
      <w:r>
        <w:rPr>
          <w:rFonts w:hint="eastAsia" w:ascii="新宋体" w:hAnsi="新宋体" w:eastAsia="新宋体" w:cs="新宋体"/>
          <w:b w:val="0"/>
          <w:bCs/>
          <w:color w:val="auto"/>
          <w:szCs w:val="21"/>
          <w:highlight w:val="none"/>
        </w:rPr>
        <w:t>项全部评审内容经评审为完善、合理、可行的。</w:t>
      </w:r>
    </w:p>
    <w:p w14:paraId="5F4B697B">
      <w:pPr>
        <w:pStyle w:val="14"/>
        <w:pageBreakBefore w:val="0"/>
        <w:widowControl w:val="0"/>
        <w:kinsoku/>
        <w:wordWrap/>
        <w:overflowPunct/>
        <w:topLinePunct w:val="0"/>
        <w:bidi w:val="0"/>
        <w:snapToGrid/>
        <w:spacing w:line="440" w:lineRule="exact"/>
        <w:ind w:firstLine="535" w:firstLineChars="255"/>
        <w:textAlignment w:val="auto"/>
        <w:rPr>
          <w:rFonts w:hint="eastAsia" w:ascii="新宋体" w:hAnsi="新宋体" w:eastAsia="新宋体" w:cs="新宋体"/>
          <w:b w:val="0"/>
          <w:bCs/>
          <w:color w:val="auto"/>
          <w:szCs w:val="21"/>
          <w:highlight w:val="none"/>
        </w:rPr>
      </w:pPr>
      <w:r>
        <w:rPr>
          <w:rFonts w:hint="eastAsia" w:ascii="新宋体" w:hAnsi="新宋体" w:eastAsia="新宋体" w:cs="新宋体"/>
          <w:b w:val="0"/>
          <w:bCs/>
          <w:color w:val="auto"/>
          <w:szCs w:val="21"/>
          <w:highlight w:val="none"/>
        </w:rPr>
        <w:t>良</w:t>
      </w:r>
      <w:r>
        <w:rPr>
          <w:rFonts w:hint="eastAsia" w:ascii="新宋体" w:hAnsi="新宋体" w:eastAsia="新宋体" w:cs="新宋体"/>
          <w:b w:val="0"/>
          <w:bCs/>
          <w:color w:val="auto"/>
          <w:szCs w:val="21"/>
          <w:highlight w:val="none"/>
          <w:lang w:eastAsia="zh-CN"/>
        </w:rPr>
        <w:t>（</w:t>
      </w:r>
      <w:r>
        <w:rPr>
          <w:rFonts w:hint="eastAsia" w:ascii="新宋体" w:hAnsi="新宋体" w:eastAsia="新宋体" w:cs="新宋体"/>
          <w:b w:val="0"/>
          <w:bCs/>
          <w:color w:val="auto"/>
          <w:szCs w:val="21"/>
          <w:highlight w:val="none"/>
          <w:lang w:val="en-US" w:eastAsia="zh-CN"/>
        </w:rPr>
        <w:t>5</w:t>
      </w:r>
      <w:r>
        <w:rPr>
          <w:rFonts w:hint="eastAsia" w:ascii="新宋体" w:hAnsi="新宋体" w:eastAsia="新宋体" w:cs="新宋体"/>
          <w:b w:val="0"/>
          <w:bCs w:val="0"/>
          <w:color w:val="auto"/>
          <w:kern w:val="0"/>
          <w:sz w:val="21"/>
          <w:szCs w:val="21"/>
          <w:highlight w:val="none"/>
          <w:lang w:val="en-US" w:eastAsia="zh-CN"/>
        </w:rPr>
        <w:t>.0分</w:t>
      </w:r>
      <w:r>
        <w:rPr>
          <w:rFonts w:hint="eastAsia" w:ascii="新宋体" w:hAnsi="新宋体" w:eastAsia="新宋体" w:cs="新宋体"/>
          <w:b w:val="0"/>
          <w:bCs/>
          <w:color w:val="auto"/>
          <w:szCs w:val="21"/>
          <w:highlight w:val="none"/>
          <w:lang w:eastAsia="zh-CN"/>
        </w:rPr>
        <w:t>）</w:t>
      </w:r>
      <w:r>
        <w:rPr>
          <w:rFonts w:hint="eastAsia" w:ascii="新宋体" w:hAnsi="新宋体" w:eastAsia="新宋体" w:cs="新宋体"/>
          <w:b w:val="0"/>
          <w:bCs/>
          <w:color w:val="auto"/>
          <w:szCs w:val="21"/>
          <w:highlight w:val="none"/>
        </w:rPr>
        <w:t>：</w:t>
      </w:r>
      <w:r>
        <w:rPr>
          <w:rFonts w:hint="eastAsia" w:ascii="新宋体" w:hAnsi="新宋体" w:eastAsia="新宋体" w:cs="新宋体"/>
          <w:b w:val="0"/>
          <w:bCs/>
          <w:color w:val="auto"/>
          <w:szCs w:val="21"/>
          <w:highlight w:val="none"/>
          <w:lang w:val="en-US" w:eastAsia="zh-CN"/>
        </w:rPr>
        <w:t>项目负责人或技术负责人具有文博系列文物保护专业副高级及以上职称，以及</w:t>
      </w:r>
      <w:r>
        <w:rPr>
          <w:rFonts w:hint="eastAsia" w:ascii="新宋体" w:hAnsi="新宋体" w:eastAsia="新宋体" w:cs="新宋体"/>
          <w:b w:val="0"/>
          <w:bCs/>
          <w:color w:val="auto"/>
          <w:szCs w:val="21"/>
          <w:highlight w:val="none"/>
        </w:rPr>
        <w:t>上述</w:t>
      </w:r>
      <w:r>
        <w:rPr>
          <w:rFonts w:hint="eastAsia" w:ascii="新宋体" w:hAnsi="新宋体" w:eastAsia="新宋体" w:cs="新宋体"/>
          <w:b w:val="0"/>
          <w:bCs/>
          <w:color w:val="auto"/>
          <w:szCs w:val="21"/>
          <w:highlight w:val="none"/>
          <w:lang w:val="en-US" w:eastAsia="zh-CN"/>
        </w:rPr>
        <w:t>4</w:t>
      </w:r>
      <w:r>
        <w:rPr>
          <w:rFonts w:hint="eastAsia" w:ascii="新宋体" w:hAnsi="新宋体" w:eastAsia="新宋体" w:cs="新宋体"/>
          <w:b w:val="0"/>
          <w:bCs/>
          <w:color w:val="auto"/>
          <w:szCs w:val="21"/>
          <w:highlight w:val="none"/>
        </w:rPr>
        <w:t>项评审内容有</w:t>
      </w:r>
      <w:r>
        <w:rPr>
          <w:rFonts w:hint="eastAsia" w:ascii="新宋体" w:hAnsi="新宋体" w:eastAsia="新宋体" w:cs="新宋体"/>
          <w:b w:val="0"/>
          <w:bCs/>
          <w:color w:val="auto"/>
          <w:szCs w:val="21"/>
          <w:highlight w:val="none"/>
          <w:lang w:val="en-US" w:eastAsia="zh-CN"/>
        </w:rPr>
        <w:t>3</w:t>
      </w:r>
      <w:r>
        <w:rPr>
          <w:rFonts w:hint="eastAsia" w:ascii="新宋体" w:hAnsi="新宋体" w:eastAsia="新宋体" w:cs="新宋体"/>
          <w:b w:val="0"/>
          <w:bCs/>
          <w:color w:val="auto"/>
          <w:szCs w:val="21"/>
          <w:highlight w:val="none"/>
        </w:rPr>
        <w:t>项内容经评审为完善、合理、可行的。</w:t>
      </w:r>
    </w:p>
    <w:p w14:paraId="3403D7AE">
      <w:pPr>
        <w:pStyle w:val="14"/>
        <w:pageBreakBefore w:val="0"/>
        <w:widowControl w:val="0"/>
        <w:kinsoku/>
        <w:wordWrap/>
        <w:overflowPunct/>
        <w:topLinePunct w:val="0"/>
        <w:bidi w:val="0"/>
        <w:snapToGrid/>
        <w:spacing w:line="440" w:lineRule="exact"/>
        <w:ind w:firstLine="535" w:firstLineChars="255"/>
        <w:textAlignment w:val="auto"/>
        <w:rPr>
          <w:rFonts w:hint="eastAsia" w:ascii="新宋体" w:hAnsi="新宋体" w:eastAsia="新宋体" w:cs="新宋体"/>
          <w:sz w:val="21"/>
          <w:highlight w:val="none"/>
        </w:rPr>
      </w:pPr>
      <w:r>
        <w:rPr>
          <w:rFonts w:hint="eastAsia" w:ascii="新宋体" w:hAnsi="新宋体" w:eastAsia="新宋体" w:cs="新宋体"/>
          <w:b w:val="0"/>
          <w:bCs/>
          <w:color w:val="auto"/>
          <w:szCs w:val="21"/>
          <w:highlight w:val="none"/>
        </w:rPr>
        <w:t>中</w:t>
      </w:r>
      <w:r>
        <w:rPr>
          <w:rFonts w:hint="eastAsia" w:ascii="新宋体" w:hAnsi="新宋体" w:eastAsia="新宋体" w:cs="新宋体"/>
          <w:b w:val="0"/>
          <w:bCs/>
          <w:color w:val="auto"/>
          <w:szCs w:val="21"/>
          <w:highlight w:val="none"/>
          <w:lang w:eastAsia="zh-CN"/>
        </w:rPr>
        <w:t>（</w:t>
      </w:r>
      <w:r>
        <w:rPr>
          <w:rFonts w:hint="eastAsia" w:ascii="新宋体" w:hAnsi="新宋体" w:eastAsia="新宋体" w:cs="新宋体"/>
          <w:b w:val="0"/>
          <w:bCs/>
          <w:color w:val="auto"/>
          <w:szCs w:val="21"/>
          <w:highlight w:val="none"/>
          <w:lang w:val="en-US" w:eastAsia="zh-CN"/>
        </w:rPr>
        <w:t>2</w:t>
      </w:r>
      <w:r>
        <w:rPr>
          <w:rFonts w:hint="eastAsia" w:ascii="新宋体" w:hAnsi="新宋体" w:eastAsia="新宋体" w:cs="新宋体"/>
          <w:b w:val="0"/>
          <w:bCs w:val="0"/>
          <w:color w:val="auto"/>
          <w:kern w:val="0"/>
          <w:sz w:val="21"/>
          <w:szCs w:val="21"/>
          <w:highlight w:val="none"/>
          <w:lang w:val="en-US" w:eastAsia="zh-CN"/>
        </w:rPr>
        <w:t>.0分</w:t>
      </w:r>
      <w:r>
        <w:rPr>
          <w:rFonts w:hint="eastAsia" w:ascii="新宋体" w:hAnsi="新宋体" w:eastAsia="新宋体" w:cs="新宋体"/>
          <w:b w:val="0"/>
          <w:bCs/>
          <w:color w:val="auto"/>
          <w:szCs w:val="21"/>
          <w:highlight w:val="none"/>
          <w:lang w:eastAsia="zh-CN"/>
        </w:rPr>
        <w:t>）</w:t>
      </w:r>
      <w:r>
        <w:rPr>
          <w:rFonts w:hint="eastAsia" w:ascii="新宋体" w:hAnsi="新宋体" w:eastAsia="新宋体" w:cs="新宋体"/>
          <w:b w:val="0"/>
          <w:bCs/>
          <w:color w:val="auto"/>
          <w:szCs w:val="21"/>
          <w:highlight w:val="none"/>
        </w:rPr>
        <w:t>：</w:t>
      </w:r>
      <w:r>
        <w:rPr>
          <w:rFonts w:hint="eastAsia" w:ascii="新宋体" w:hAnsi="新宋体" w:eastAsia="新宋体" w:cs="新宋体"/>
          <w:sz w:val="21"/>
          <w:highlight w:val="none"/>
        </w:rPr>
        <w:t>上述</w:t>
      </w:r>
      <w:r>
        <w:rPr>
          <w:rFonts w:hint="eastAsia" w:ascii="新宋体" w:hAnsi="新宋体" w:eastAsia="新宋体" w:cs="新宋体"/>
          <w:sz w:val="21"/>
          <w:highlight w:val="none"/>
          <w:lang w:val="en-US" w:eastAsia="zh-CN"/>
        </w:rPr>
        <w:t>4</w:t>
      </w:r>
      <w:r>
        <w:rPr>
          <w:rFonts w:hint="eastAsia" w:ascii="新宋体" w:hAnsi="新宋体" w:eastAsia="新宋体" w:cs="新宋体"/>
          <w:sz w:val="21"/>
          <w:highlight w:val="none"/>
        </w:rPr>
        <w:t>项评审内容有</w:t>
      </w:r>
      <w:r>
        <w:rPr>
          <w:rFonts w:hint="eastAsia" w:ascii="新宋体" w:hAnsi="新宋体" w:eastAsia="新宋体" w:cs="新宋体"/>
          <w:sz w:val="21"/>
          <w:highlight w:val="none"/>
          <w:lang w:val="en-US" w:eastAsia="zh-CN"/>
        </w:rPr>
        <w:t>1</w:t>
      </w:r>
      <w:r>
        <w:rPr>
          <w:rFonts w:hint="eastAsia" w:ascii="新宋体" w:hAnsi="新宋体" w:eastAsia="新宋体" w:cs="新宋体"/>
          <w:sz w:val="21"/>
          <w:highlight w:val="none"/>
        </w:rPr>
        <w:t>项内容经评审为完善、合理、可行的。</w:t>
      </w:r>
    </w:p>
    <w:p w14:paraId="23039367">
      <w:pPr>
        <w:pStyle w:val="14"/>
        <w:pageBreakBefore w:val="0"/>
        <w:widowControl w:val="0"/>
        <w:kinsoku/>
        <w:wordWrap/>
        <w:overflowPunct/>
        <w:topLinePunct w:val="0"/>
        <w:bidi w:val="0"/>
        <w:snapToGrid/>
        <w:spacing w:line="440" w:lineRule="exact"/>
        <w:ind w:firstLine="535" w:firstLineChars="255"/>
        <w:textAlignment w:val="auto"/>
        <w:rPr>
          <w:rFonts w:hint="eastAsia" w:ascii="新宋体" w:hAnsi="新宋体" w:eastAsia="新宋体" w:cs="新宋体"/>
          <w:sz w:val="21"/>
          <w:highlight w:val="none"/>
        </w:rPr>
      </w:pPr>
      <w:r>
        <w:rPr>
          <w:rFonts w:hint="eastAsia" w:ascii="新宋体" w:hAnsi="新宋体" w:eastAsia="新宋体" w:cs="新宋体"/>
          <w:b w:val="0"/>
          <w:bCs/>
          <w:color w:val="auto"/>
          <w:szCs w:val="21"/>
          <w:highlight w:val="none"/>
        </w:rPr>
        <w:t>差</w:t>
      </w:r>
      <w:r>
        <w:rPr>
          <w:rFonts w:hint="eastAsia" w:ascii="新宋体" w:hAnsi="新宋体" w:eastAsia="新宋体" w:cs="新宋体"/>
          <w:b w:val="0"/>
          <w:bCs/>
          <w:color w:val="auto"/>
          <w:szCs w:val="21"/>
          <w:highlight w:val="none"/>
          <w:lang w:eastAsia="zh-CN"/>
        </w:rPr>
        <w:t>（</w:t>
      </w:r>
      <w:r>
        <w:rPr>
          <w:rFonts w:hint="eastAsia" w:ascii="新宋体" w:hAnsi="新宋体" w:eastAsia="新宋体" w:cs="新宋体"/>
          <w:b w:val="0"/>
          <w:bCs/>
          <w:color w:val="auto"/>
          <w:szCs w:val="21"/>
          <w:highlight w:val="none"/>
          <w:lang w:val="en-US" w:eastAsia="zh-CN"/>
        </w:rPr>
        <w:t>0</w:t>
      </w:r>
      <w:r>
        <w:rPr>
          <w:rFonts w:hint="eastAsia" w:ascii="新宋体" w:hAnsi="新宋体" w:eastAsia="新宋体" w:cs="新宋体"/>
          <w:b w:val="0"/>
          <w:bCs w:val="0"/>
          <w:color w:val="auto"/>
          <w:kern w:val="0"/>
          <w:sz w:val="21"/>
          <w:szCs w:val="21"/>
          <w:highlight w:val="none"/>
          <w:lang w:val="en-US" w:eastAsia="zh-CN"/>
        </w:rPr>
        <w:t>分</w:t>
      </w:r>
      <w:r>
        <w:rPr>
          <w:rFonts w:hint="eastAsia" w:ascii="新宋体" w:hAnsi="新宋体" w:eastAsia="新宋体" w:cs="新宋体"/>
          <w:b w:val="0"/>
          <w:bCs/>
          <w:color w:val="auto"/>
          <w:szCs w:val="21"/>
          <w:highlight w:val="none"/>
          <w:lang w:eastAsia="zh-CN"/>
        </w:rPr>
        <w:t>）</w:t>
      </w:r>
      <w:r>
        <w:rPr>
          <w:rFonts w:hint="eastAsia" w:ascii="新宋体" w:hAnsi="新宋体" w:eastAsia="新宋体" w:cs="新宋体"/>
          <w:b w:val="0"/>
          <w:bCs/>
          <w:color w:val="auto"/>
          <w:szCs w:val="21"/>
          <w:highlight w:val="none"/>
        </w:rPr>
        <w:t>：</w:t>
      </w:r>
      <w:r>
        <w:rPr>
          <w:rFonts w:hint="eastAsia" w:ascii="新宋体" w:hAnsi="新宋体" w:eastAsia="新宋体" w:cs="新宋体"/>
          <w:sz w:val="21"/>
          <w:highlight w:val="none"/>
        </w:rPr>
        <w:t>未达“</w:t>
      </w:r>
      <w:r>
        <w:rPr>
          <w:rFonts w:hint="eastAsia" w:ascii="新宋体" w:hAnsi="新宋体" w:eastAsia="新宋体" w:cs="新宋体"/>
          <w:sz w:val="21"/>
          <w:highlight w:val="none"/>
          <w:lang w:eastAsia="zh-CN"/>
        </w:rPr>
        <w:t>中</w:t>
      </w:r>
      <w:r>
        <w:rPr>
          <w:rFonts w:hint="eastAsia" w:ascii="新宋体" w:hAnsi="新宋体" w:eastAsia="新宋体" w:cs="新宋体"/>
          <w:sz w:val="21"/>
          <w:highlight w:val="none"/>
        </w:rPr>
        <w:t>”</w:t>
      </w:r>
      <w:r>
        <w:rPr>
          <w:rFonts w:hint="eastAsia" w:ascii="新宋体" w:hAnsi="新宋体" w:eastAsia="新宋体" w:cs="新宋体"/>
          <w:sz w:val="21"/>
          <w:highlight w:val="none"/>
          <w:lang w:eastAsia="zh-CN"/>
        </w:rPr>
        <w:t>档</w:t>
      </w:r>
      <w:r>
        <w:rPr>
          <w:rFonts w:hint="eastAsia" w:ascii="新宋体" w:hAnsi="新宋体" w:eastAsia="新宋体" w:cs="新宋体"/>
          <w:sz w:val="21"/>
          <w:highlight w:val="none"/>
        </w:rPr>
        <w:t>标准的，计0分。</w:t>
      </w:r>
    </w:p>
    <w:p w14:paraId="325A4545">
      <w:pPr>
        <w:pStyle w:val="14"/>
        <w:pageBreakBefore w:val="0"/>
        <w:widowControl w:val="0"/>
        <w:kinsoku/>
        <w:wordWrap/>
        <w:overflowPunct/>
        <w:topLinePunct w:val="0"/>
        <w:bidi w:val="0"/>
        <w:snapToGrid/>
        <w:spacing w:line="440" w:lineRule="exact"/>
        <w:ind w:firstLine="535" w:firstLineChars="255"/>
        <w:textAlignment w:val="auto"/>
        <w:rPr>
          <w:rFonts w:hint="eastAsia" w:ascii="新宋体" w:hAnsi="新宋体" w:eastAsia="新宋体" w:cs="新宋体"/>
          <w:b w:val="0"/>
          <w:bCs/>
          <w:color w:val="auto"/>
          <w:szCs w:val="21"/>
          <w:highlight w:val="none"/>
        </w:rPr>
      </w:pPr>
      <w:r>
        <w:rPr>
          <w:rFonts w:hint="eastAsia" w:ascii="新宋体" w:hAnsi="新宋体" w:eastAsia="新宋体" w:cs="新宋体"/>
          <w:sz w:val="21"/>
          <w:highlight w:val="none"/>
        </w:rPr>
        <w:t>注：</w:t>
      </w:r>
      <w:r>
        <w:rPr>
          <w:rFonts w:hint="eastAsia" w:ascii="新宋体" w:hAnsi="新宋体" w:eastAsia="新宋体" w:cs="新宋体"/>
          <w:sz w:val="21"/>
          <w:highlight w:val="none"/>
          <w:lang w:eastAsia="zh-CN"/>
        </w:rPr>
        <w:t>磋商供应商响应文件</w:t>
      </w:r>
      <w:r>
        <w:rPr>
          <w:rFonts w:hint="eastAsia" w:ascii="新宋体" w:hAnsi="新宋体" w:eastAsia="新宋体" w:cs="新宋体"/>
          <w:sz w:val="21"/>
          <w:highlight w:val="none"/>
        </w:rPr>
        <w:t>中提供的项目实施方案未达到相应评审档次全部标准的，相应降低一个档次</w:t>
      </w:r>
      <w:r>
        <w:rPr>
          <w:rFonts w:hint="eastAsia" w:ascii="新宋体" w:hAnsi="新宋体" w:eastAsia="新宋体" w:cs="新宋体"/>
          <w:sz w:val="21"/>
          <w:highlight w:val="none"/>
          <w:lang w:eastAsia="zh-CN"/>
        </w:rPr>
        <w:t>。</w:t>
      </w:r>
    </w:p>
    <w:p w14:paraId="73604435">
      <w:pPr>
        <w:pStyle w:val="14"/>
        <w:pageBreakBefore w:val="0"/>
        <w:widowControl w:val="0"/>
        <w:kinsoku/>
        <w:wordWrap/>
        <w:overflowPunct/>
        <w:topLinePunct w:val="0"/>
        <w:bidi w:val="0"/>
        <w:snapToGrid/>
        <w:spacing w:line="440" w:lineRule="exact"/>
        <w:ind w:firstLine="211" w:firstLineChars="100"/>
        <w:textAlignment w:val="auto"/>
        <w:rPr>
          <w:rFonts w:hint="eastAsia" w:ascii="新宋体" w:hAnsi="新宋体" w:eastAsia="新宋体" w:cs="新宋体"/>
          <w:b/>
          <w:bCs w:val="0"/>
          <w:color w:val="auto"/>
          <w:szCs w:val="21"/>
          <w:highlight w:val="none"/>
        </w:rPr>
      </w:pPr>
      <w:r>
        <w:rPr>
          <w:rFonts w:hint="eastAsia" w:ascii="新宋体" w:hAnsi="新宋体" w:eastAsia="新宋体" w:cs="新宋体"/>
          <w:b/>
          <w:bCs w:val="0"/>
          <w:color w:val="auto"/>
          <w:szCs w:val="21"/>
          <w:highlight w:val="none"/>
        </w:rPr>
        <w:t>（5）施工平面布置和临时设施布置</w:t>
      </w:r>
      <w:r>
        <w:rPr>
          <w:rFonts w:hint="eastAsia" w:ascii="新宋体" w:hAnsi="新宋体" w:eastAsia="新宋体" w:cs="新宋体"/>
          <w:b/>
          <w:bCs w:val="0"/>
          <w:color w:val="auto"/>
          <w:highlight w:val="none"/>
        </w:rPr>
        <w:t>……………………</w:t>
      </w:r>
      <w:r>
        <w:rPr>
          <w:rFonts w:hint="eastAsia" w:ascii="新宋体" w:hAnsi="新宋体" w:eastAsia="新宋体" w:cs="新宋体"/>
          <w:b/>
          <w:bCs w:val="0"/>
          <w:color w:val="auto"/>
          <w:szCs w:val="21"/>
          <w:highlight w:val="none"/>
        </w:rPr>
        <w:t>…</w:t>
      </w:r>
      <w:r>
        <w:rPr>
          <w:rFonts w:hint="eastAsia" w:ascii="新宋体" w:hAnsi="新宋体" w:eastAsia="新宋体" w:cs="新宋体"/>
          <w:b/>
          <w:bCs w:val="0"/>
          <w:color w:val="auto"/>
          <w:highlight w:val="none"/>
        </w:rPr>
        <w:t>……………</w:t>
      </w:r>
      <w:r>
        <w:rPr>
          <w:rFonts w:hint="eastAsia" w:ascii="新宋体" w:hAnsi="新宋体" w:eastAsia="新宋体" w:cs="新宋体"/>
          <w:b/>
          <w:bCs w:val="0"/>
          <w:color w:val="auto"/>
          <w:szCs w:val="21"/>
          <w:highlight w:val="none"/>
        </w:rPr>
        <w:t>…</w:t>
      </w:r>
      <w:r>
        <w:rPr>
          <w:rFonts w:hint="eastAsia" w:ascii="新宋体" w:hAnsi="新宋体" w:eastAsia="新宋体" w:cs="新宋体"/>
          <w:b/>
          <w:bCs w:val="0"/>
          <w:color w:val="auto"/>
          <w:highlight w:val="none"/>
        </w:rPr>
        <w:t>…………………………</w:t>
      </w:r>
      <w:r>
        <w:rPr>
          <w:rFonts w:hint="eastAsia" w:ascii="新宋体" w:hAnsi="新宋体" w:eastAsia="新宋体" w:cs="新宋体"/>
          <w:b/>
          <w:bCs w:val="0"/>
          <w:color w:val="auto"/>
          <w:highlight w:val="none"/>
          <w:lang w:val="en-US" w:eastAsia="zh-CN"/>
        </w:rPr>
        <w:t>5</w:t>
      </w:r>
      <w:r>
        <w:rPr>
          <w:rFonts w:hint="eastAsia" w:ascii="新宋体" w:hAnsi="新宋体" w:eastAsia="新宋体" w:cs="新宋体"/>
          <w:b/>
          <w:bCs w:val="0"/>
          <w:color w:val="auto"/>
          <w:szCs w:val="21"/>
          <w:highlight w:val="none"/>
        </w:rPr>
        <w:t>分</w:t>
      </w:r>
    </w:p>
    <w:p w14:paraId="76B505D1">
      <w:pPr>
        <w:pStyle w:val="14"/>
        <w:pageBreakBefore w:val="0"/>
        <w:widowControl w:val="0"/>
        <w:kinsoku/>
        <w:wordWrap/>
        <w:overflowPunct/>
        <w:topLinePunct w:val="0"/>
        <w:bidi w:val="0"/>
        <w:snapToGrid/>
        <w:spacing w:line="440" w:lineRule="exact"/>
        <w:ind w:firstLine="535" w:firstLineChars="255"/>
        <w:textAlignment w:val="auto"/>
        <w:rPr>
          <w:rFonts w:hint="eastAsia" w:ascii="新宋体" w:hAnsi="新宋体" w:eastAsia="新宋体" w:cs="新宋体"/>
          <w:b w:val="0"/>
          <w:bCs/>
          <w:color w:val="auto"/>
          <w:szCs w:val="21"/>
          <w:highlight w:val="none"/>
        </w:rPr>
      </w:pPr>
      <w:r>
        <w:rPr>
          <w:rFonts w:hint="eastAsia" w:ascii="新宋体" w:hAnsi="新宋体" w:eastAsia="新宋体" w:cs="新宋体"/>
          <w:sz w:val="21"/>
          <w:highlight w:val="none"/>
          <w:lang w:eastAsia="zh-CN"/>
        </w:rPr>
        <w:t>磋商小组</w:t>
      </w:r>
      <w:r>
        <w:rPr>
          <w:rFonts w:hint="eastAsia" w:ascii="新宋体" w:hAnsi="新宋体" w:eastAsia="新宋体" w:cs="新宋体"/>
          <w:sz w:val="21"/>
          <w:highlight w:val="none"/>
        </w:rPr>
        <w:t>会</w:t>
      </w:r>
      <w:r>
        <w:rPr>
          <w:rFonts w:hint="eastAsia" w:ascii="新宋体" w:hAnsi="新宋体" w:eastAsia="新宋体" w:cs="新宋体"/>
          <w:sz w:val="21"/>
          <w:highlight w:val="none"/>
          <w:lang w:eastAsia="zh-CN"/>
        </w:rPr>
        <w:t>各成员</w:t>
      </w:r>
      <w:r>
        <w:rPr>
          <w:rFonts w:hint="eastAsia" w:ascii="新宋体" w:hAnsi="新宋体" w:eastAsia="新宋体" w:cs="新宋体"/>
          <w:sz w:val="21"/>
          <w:highlight w:val="none"/>
        </w:rPr>
        <w:t>对比各</w:t>
      </w:r>
      <w:r>
        <w:rPr>
          <w:rFonts w:hint="eastAsia" w:ascii="新宋体" w:hAnsi="新宋体" w:eastAsia="新宋体" w:cs="新宋体"/>
          <w:sz w:val="21"/>
          <w:highlight w:val="none"/>
          <w:lang w:eastAsia="zh-CN"/>
        </w:rPr>
        <w:t>磋商供应商</w:t>
      </w:r>
      <w:r>
        <w:rPr>
          <w:rFonts w:hint="eastAsia" w:ascii="新宋体" w:hAnsi="新宋体" w:eastAsia="新宋体" w:cs="新宋体"/>
          <w:sz w:val="21"/>
          <w:highlight w:val="none"/>
        </w:rPr>
        <w:t>提供的</w:t>
      </w:r>
      <w:r>
        <w:rPr>
          <w:rFonts w:hint="eastAsia" w:ascii="新宋体" w:hAnsi="新宋体" w:eastAsia="新宋体" w:cs="新宋体"/>
          <w:sz w:val="21"/>
          <w:highlight w:val="none"/>
        </w:rPr>
        <w:fldChar w:fldCharType="begin"/>
      </w:r>
      <w:r>
        <w:rPr>
          <w:rFonts w:hint="eastAsia" w:ascii="新宋体" w:hAnsi="新宋体" w:eastAsia="新宋体" w:cs="新宋体"/>
          <w:sz w:val="21"/>
          <w:highlight w:val="none"/>
        </w:rPr>
        <w:instrText xml:space="preserve"> = 1 \* GB3 \* MERGEFORMAT </w:instrText>
      </w:r>
      <w:r>
        <w:rPr>
          <w:rFonts w:hint="eastAsia" w:ascii="新宋体" w:hAnsi="新宋体" w:eastAsia="新宋体" w:cs="新宋体"/>
          <w:sz w:val="21"/>
          <w:highlight w:val="none"/>
        </w:rPr>
        <w:fldChar w:fldCharType="separate"/>
      </w:r>
      <w:r>
        <w:rPr>
          <w:rFonts w:hint="eastAsia" w:ascii="新宋体" w:hAnsi="新宋体" w:eastAsia="新宋体" w:cs="新宋体"/>
          <w:highlight w:val="none"/>
        </w:rPr>
        <w:t>①</w:t>
      </w:r>
      <w:r>
        <w:rPr>
          <w:rFonts w:hint="eastAsia" w:ascii="新宋体" w:hAnsi="新宋体" w:eastAsia="新宋体" w:cs="新宋体"/>
          <w:sz w:val="21"/>
          <w:highlight w:val="none"/>
        </w:rPr>
        <w:fldChar w:fldCharType="end"/>
      </w:r>
      <w:r>
        <w:rPr>
          <w:rFonts w:hint="eastAsia" w:ascii="新宋体" w:hAnsi="新宋体" w:eastAsia="新宋体" w:cs="新宋体"/>
          <w:sz w:val="21"/>
          <w:highlight w:val="none"/>
        </w:rPr>
        <w:t>施工平面布置</w:t>
      </w:r>
      <w:r>
        <w:rPr>
          <w:rFonts w:hint="eastAsia" w:ascii="新宋体" w:hAnsi="新宋体" w:eastAsia="新宋体" w:cs="新宋体"/>
          <w:b w:val="0"/>
          <w:bCs w:val="0"/>
          <w:color w:val="auto"/>
          <w:sz w:val="21"/>
          <w:highlight w:val="none"/>
          <w:lang w:val="en-US" w:eastAsia="zh-CN"/>
        </w:rPr>
        <w:t>；</w:t>
      </w:r>
      <w:r>
        <w:rPr>
          <w:rFonts w:hint="eastAsia" w:ascii="新宋体" w:hAnsi="新宋体" w:eastAsia="新宋体" w:cs="新宋体"/>
          <w:bCs/>
          <w:color w:val="auto"/>
          <w:sz w:val="21"/>
          <w:highlight w:val="none"/>
          <w:lang w:eastAsia="zh-CN"/>
        </w:rPr>
        <w:fldChar w:fldCharType="begin"/>
      </w:r>
      <w:r>
        <w:rPr>
          <w:rFonts w:hint="eastAsia" w:ascii="新宋体" w:hAnsi="新宋体" w:eastAsia="新宋体" w:cs="新宋体"/>
          <w:bCs/>
          <w:color w:val="auto"/>
          <w:sz w:val="21"/>
          <w:highlight w:val="none"/>
          <w:lang w:eastAsia="zh-CN"/>
        </w:rPr>
        <w:instrText xml:space="preserve"> = 2 \* GB3 \* MERGEFORMAT </w:instrText>
      </w:r>
      <w:r>
        <w:rPr>
          <w:rFonts w:hint="eastAsia" w:ascii="新宋体" w:hAnsi="新宋体" w:eastAsia="新宋体" w:cs="新宋体"/>
          <w:bCs/>
          <w:color w:val="auto"/>
          <w:sz w:val="21"/>
          <w:highlight w:val="none"/>
          <w:lang w:eastAsia="zh-CN"/>
        </w:rPr>
        <w:fldChar w:fldCharType="separate"/>
      </w:r>
      <w:r>
        <w:rPr>
          <w:rFonts w:hint="eastAsia" w:ascii="新宋体" w:hAnsi="新宋体" w:eastAsia="新宋体" w:cs="新宋体"/>
          <w:highlight w:val="none"/>
        </w:rPr>
        <w:t>②</w:t>
      </w:r>
      <w:r>
        <w:rPr>
          <w:rFonts w:hint="eastAsia" w:ascii="新宋体" w:hAnsi="新宋体" w:eastAsia="新宋体" w:cs="新宋体"/>
          <w:bCs/>
          <w:color w:val="auto"/>
          <w:sz w:val="21"/>
          <w:highlight w:val="none"/>
          <w:lang w:eastAsia="zh-CN"/>
        </w:rPr>
        <w:fldChar w:fldCharType="end"/>
      </w:r>
      <w:r>
        <w:rPr>
          <w:rFonts w:hint="eastAsia" w:ascii="新宋体" w:hAnsi="新宋体" w:eastAsia="新宋体" w:cs="新宋体"/>
          <w:b w:val="0"/>
          <w:bCs w:val="0"/>
          <w:color w:val="auto"/>
          <w:sz w:val="21"/>
          <w:highlight w:val="none"/>
          <w:lang w:val="en-US" w:eastAsia="zh-CN"/>
        </w:rPr>
        <w:t>临时设施布置</w:t>
      </w:r>
      <w:r>
        <w:rPr>
          <w:rFonts w:hint="eastAsia" w:ascii="新宋体" w:hAnsi="新宋体" w:eastAsia="新宋体" w:cs="新宋体"/>
          <w:sz w:val="21"/>
          <w:highlight w:val="none"/>
        </w:rPr>
        <w:t>等</w:t>
      </w:r>
      <w:r>
        <w:rPr>
          <w:rFonts w:hint="eastAsia" w:ascii="新宋体" w:hAnsi="新宋体" w:eastAsia="新宋体" w:cs="新宋体"/>
          <w:sz w:val="21"/>
          <w:highlight w:val="none"/>
          <w:lang w:val="en-US" w:eastAsia="zh-CN"/>
        </w:rPr>
        <w:t>2</w:t>
      </w:r>
      <w:r>
        <w:rPr>
          <w:rFonts w:hint="eastAsia" w:ascii="新宋体" w:hAnsi="新宋体" w:eastAsia="新宋体" w:cs="新宋体"/>
          <w:sz w:val="21"/>
          <w:highlight w:val="none"/>
        </w:rPr>
        <w:t>项内容进行综合评定，并按以下标准独立评分：</w:t>
      </w:r>
    </w:p>
    <w:p w14:paraId="5B32377D">
      <w:pPr>
        <w:pStyle w:val="14"/>
        <w:pageBreakBefore w:val="0"/>
        <w:widowControl w:val="0"/>
        <w:kinsoku/>
        <w:wordWrap/>
        <w:overflowPunct/>
        <w:topLinePunct w:val="0"/>
        <w:bidi w:val="0"/>
        <w:snapToGrid/>
        <w:spacing w:line="440" w:lineRule="exact"/>
        <w:ind w:firstLine="535" w:firstLineChars="255"/>
        <w:textAlignment w:val="auto"/>
        <w:rPr>
          <w:rFonts w:hint="eastAsia" w:ascii="新宋体" w:hAnsi="新宋体" w:eastAsia="新宋体" w:cs="新宋体"/>
          <w:b w:val="0"/>
          <w:bCs/>
          <w:color w:val="auto"/>
          <w:szCs w:val="21"/>
          <w:highlight w:val="none"/>
        </w:rPr>
      </w:pPr>
      <w:r>
        <w:rPr>
          <w:rFonts w:hint="eastAsia" w:ascii="新宋体" w:hAnsi="新宋体" w:eastAsia="新宋体" w:cs="新宋体"/>
          <w:b w:val="0"/>
          <w:bCs/>
          <w:color w:val="auto"/>
          <w:szCs w:val="21"/>
          <w:highlight w:val="none"/>
        </w:rPr>
        <w:t>优</w:t>
      </w:r>
      <w:r>
        <w:rPr>
          <w:rFonts w:hint="eastAsia" w:ascii="新宋体" w:hAnsi="新宋体" w:eastAsia="新宋体" w:cs="新宋体"/>
          <w:b w:val="0"/>
          <w:bCs/>
          <w:color w:val="auto"/>
          <w:szCs w:val="21"/>
          <w:highlight w:val="none"/>
          <w:lang w:eastAsia="zh-CN"/>
        </w:rPr>
        <w:t>（</w:t>
      </w:r>
      <w:r>
        <w:rPr>
          <w:rFonts w:hint="eastAsia" w:ascii="新宋体" w:hAnsi="新宋体" w:eastAsia="新宋体" w:cs="新宋体"/>
          <w:b w:val="0"/>
          <w:bCs/>
          <w:color w:val="auto"/>
          <w:szCs w:val="21"/>
          <w:highlight w:val="none"/>
          <w:lang w:val="en-US" w:eastAsia="zh-CN"/>
        </w:rPr>
        <w:t>5</w:t>
      </w:r>
      <w:r>
        <w:rPr>
          <w:rFonts w:hint="eastAsia" w:ascii="新宋体" w:hAnsi="新宋体" w:eastAsia="新宋体" w:cs="新宋体"/>
          <w:b w:val="0"/>
          <w:bCs w:val="0"/>
          <w:color w:val="auto"/>
          <w:kern w:val="0"/>
          <w:sz w:val="21"/>
          <w:szCs w:val="21"/>
          <w:highlight w:val="none"/>
          <w:lang w:val="en-US" w:eastAsia="zh-CN"/>
        </w:rPr>
        <w:t>.0分</w:t>
      </w:r>
      <w:r>
        <w:rPr>
          <w:rFonts w:hint="eastAsia" w:ascii="新宋体" w:hAnsi="新宋体" w:eastAsia="新宋体" w:cs="新宋体"/>
          <w:b w:val="0"/>
          <w:bCs/>
          <w:color w:val="auto"/>
          <w:szCs w:val="21"/>
          <w:highlight w:val="none"/>
          <w:lang w:eastAsia="zh-CN"/>
        </w:rPr>
        <w:t>）</w:t>
      </w:r>
      <w:r>
        <w:rPr>
          <w:rFonts w:hint="eastAsia" w:ascii="新宋体" w:hAnsi="新宋体" w:eastAsia="新宋体" w:cs="新宋体"/>
          <w:b w:val="0"/>
          <w:bCs/>
          <w:color w:val="auto"/>
          <w:szCs w:val="21"/>
          <w:highlight w:val="none"/>
        </w:rPr>
        <w:t>：上述</w:t>
      </w:r>
      <w:r>
        <w:rPr>
          <w:rFonts w:hint="eastAsia" w:ascii="新宋体" w:hAnsi="新宋体" w:eastAsia="新宋体" w:cs="新宋体"/>
          <w:b w:val="0"/>
          <w:bCs/>
          <w:color w:val="auto"/>
          <w:szCs w:val="21"/>
          <w:highlight w:val="none"/>
          <w:lang w:val="en-US" w:eastAsia="zh-CN"/>
        </w:rPr>
        <w:t>2</w:t>
      </w:r>
      <w:r>
        <w:rPr>
          <w:rFonts w:hint="eastAsia" w:ascii="新宋体" w:hAnsi="新宋体" w:eastAsia="新宋体" w:cs="新宋体"/>
          <w:b w:val="0"/>
          <w:bCs/>
          <w:color w:val="auto"/>
          <w:szCs w:val="21"/>
          <w:highlight w:val="none"/>
        </w:rPr>
        <w:t>项全部评审内容经评审为完善、合理、可行的。</w:t>
      </w:r>
    </w:p>
    <w:p w14:paraId="07088F67">
      <w:pPr>
        <w:pStyle w:val="14"/>
        <w:pageBreakBefore w:val="0"/>
        <w:widowControl w:val="0"/>
        <w:kinsoku/>
        <w:wordWrap/>
        <w:overflowPunct/>
        <w:topLinePunct w:val="0"/>
        <w:bidi w:val="0"/>
        <w:snapToGrid/>
        <w:spacing w:line="440" w:lineRule="exact"/>
        <w:ind w:firstLine="535" w:firstLineChars="255"/>
        <w:textAlignment w:val="auto"/>
        <w:rPr>
          <w:rFonts w:hint="eastAsia" w:ascii="新宋体" w:hAnsi="新宋体" w:eastAsia="新宋体" w:cs="新宋体"/>
          <w:sz w:val="21"/>
          <w:highlight w:val="none"/>
        </w:rPr>
      </w:pPr>
      <w:r>
        <w:rPr>
          <w:rFonts w:hint="eastAsia" w:ascii="新宋体" w:hAnsi="新宋体" w:eastAsia="新宋体" w:cs="新宋体"/>
          <w:b w:val="0"/>
          <w:bCs/>
          <w:color w:val="auto"/>
          <w:szCs w:val="21"/>
          <w:highlight w:val="none"/>
        </w:rPr>
        <w:t>中</w:t>
      </w:r>
      <w:r>
        <w:rPr>
          <w:rFonts w:hint="eastAsia" w:ascii="新宋体" w:hAnsi="新宋体" w:eastAsia="新宋体" w:cs="新宋体"/>
          <w:b w:val="0"/>
          <w:bCs/>
          <w:color w:val="auto"/>
          <w:szCs w:val="21"/>
          <w:highlight w:val="none"/>
          <w:lang w:eastAsia="zh-CN"/>
        </w:rPr>
        <w:t>（</w:t>
      </w:r>
      <w:r>
        <w:rPr>
          <w:rFonts w:hint="eastAsia" w:ascii="新宋体" w:hAnsi="新宋体" w:eastAsia="新宋体" w:cs="新宋体"/>
          <w:b w:val="0"/>
          <w:bCs/>
          <w:color w:val="auto"/>
          <w:szCs w:val="21"/>
          <w:highlight w:val="none"/>
          <w:lang w:val="en-US" w:eastAsia="zh-CN"/>
        </w:rPr>
        <w:t>2</w:t>
      </w:r>
      <w:r>
        <w:rPr>
          <w:rFonts w:hint="eastAsia" w:ascii="新宋体" w:hAnsi="新宋体" w:eastAsia="新宋体" w:cs="新宋体"/>
          <w:b w:val="0"/>
          <w:bCs w:val="0"/>
          <w:color w:val="auto"/>
          <w:kern w:val="0"/>
          <w:sz w:val="21"/>
          <w:szCs w:val="21"/>
          <w:highlight w:val="none"/>
          <w:lang w:val="en-US" w:eastAsia="zh-CN"/>
        </w:rPr>
        <w:t>.0分</w:t>
      </w:r>
      <w:r>
        <w:rPr>
          <w:rFonts w:hint="eastAsia" w:ascii="新宋体" w:hAnsi="新宋体" w:eastAsia="新宋体" w:cs="新宋体"/>
          <w:b w:val="0"/>
          <w:bCs/>
          <w:color w:val="auto"/>
          <w:szCs w:val="21"/>
          <w:highlight w:val="none"/>
          <w:lang w:eastAsia="zh-CN"/>
        </w:rPr>
        <w:t>）</w:t>
      </w:r>
      <w:r>
        <w:rPr>
          <w:rFonts w:hint="eastAsia" w:ascii="新宋体" w:hAnsi="新宋体" w:eastAsia="新宋体" w:cs="新宋体"/>
          <w:b w:val="0"/>
          <w:bCs/>
          <w:color w:val="auto"/>
          <w:szCs w:val="21"/>
          <w:highlight w:val="none"/>
        </w:rPr>
        <w:t>：</w:t>
      </w:r>
      <w:r>
        <w:rPr>
          <w:rFonts w:hint="eastAsia" w:ascii="新宋体" w:hAnsi="新宋体" w:eastAsia="新宋体" w:cs="新宋体"/>
          <w:sz w:val="21"/>
          <w:highlight w:val="none"/>
        </w:rPr>
        <w:t>上述</w:t>
      </w:r>
      <w:r>
        <w:rPr>
          <w:rFonts w:hint="eastAsia" w:ascii="新宋体" w:hAnsi="新宋体" w:eastAsia="新宋体" w:cs="新宋体"/>
          <w:sz w:val="21"/>
          <w:highlight w:val="none"/>
          <w:lang w:val="en-US" w:eastAsia="zh-CN"/>
        </w:rPr>
        <w:t>2</w:t>
      </w:r>
      <w:r>
        <w:rPr>
          <w:rFonts w:hint="eastAsia" w:ascii="新宋体" w:hAnsi="新宋体" w:eastAsia="新宋体" w:cs="新宋体"/>
          <w:sz w:val="21"/>
          <w:highlight w:val="none"/>
        </w:rPr>
        <w:t>项评审内容有</w:t>
      </w:r>
      <w:r>
        <w:rPr>
          <w:rFonts w:hint="eastAsia" w:ascii="新宋体" w:hAnsi="新宋体" w:eastAsia="新宋体" w:cs="新宋体"/>
          <w:sz w:val="21"/>
          <w:highlight w:val="none"/>
          <w:lang w:val="en-US" w:eastAsia="zh-CN"/>
        </w:rPr>
        <w:t>1</w:t>
      </w:r>
      <w:r>
        <w:rPr>
          <w:rFonts w:hint="eastAsia" w:ascii="新宋体" w:hAnsi="新宋体" w:eastAsia="新宋体" w:cs="新宋体"/>
          <w:sz w:val="21"/>
          <w:highlight w:val="none"/>
        </w:rPr>
        <w:t>项内容经评审为完善、合理、可行的。</w:t>
      </w:r>
    </w:p>
    <w:p w14:paraId="0392B124">
      <w:pPr>
        <w:pStyle w:val="14"/>
        <w:pageBreakBefore w:val="0"/>
        <w:widowControl w:val="0"/>
        <w:kinsoku/>
        <w:wordWrap/>
        <w:overflowPunct/>
        <w:topLinePunct w:val="0"/>
        <w:bidi w:val="0"/>
        <w:snapToGrid/>
        <w:spacing w:line="440" w:lineRule="exact"/>
        <w:ind w:firstLine="535" w:firstLineChars="255"/>
        <w:textAlignment w:val="auto"/>
        <w:rPr>
          <w:rFonts w:hint="eastAsia" w:ascii="新宋体" w:hAnsi="新宋体" w:eastAsia="新宋体" w:cs="新宋体"/>
          <w:sz w:val="21"/>
          <w:highlight w:val="none"/>
        </w:rPr>
      </w:pPr>
      <w:r>
        <w:rPr>
          <w:rFonts w:hint="eastAsia" w:ascii="新宋体" w:hAnsi="新宋体" w:eastAsia="新宋体" w:cs="新宋体"/>
          <w:b w:val="0"/>
          <w:bCs/>
          <w:color w:val="auto"/>
          <w:szCs w:val="21"/>
          <w:highlight w:val="none"/>
        </w:rPr>
        <w:t>差</w:t>
      </w:r>
      <w:r>
        <w:rPr>
          <w:rFonts w:hint="eastAsia" w:ascii="新宋体" w:hAnsi="新宋体" w:eastAsia="新宋体" w:cs="新宋体"/>
          <w:b w:val="0"/>
          <w:bCs/>
          <w:color w:val="auto"/>
          <w:szCs w:val="21"/>
          <w:highlight w:val="none"/>
          <w:lang w:eastAsia="zh-CN"/>
        </w:rPr>
        <w:t>（</w:t>
      </w:r>
      <w:r>
        <w:rPr>
          <w:rFonts w:hint="eastAsia" w:ascii="新宋体" w:hAnsi="新宋体" w:eastAsia="新宋体" w:cs="新宋体"/>
          <w:b w:val="0"/>
          <w:bCs/>
          <w:color w:val="auto"/>
          <w:szCs w:val="21"/>
          <w:highlight w:val="none"/>
          <w:lang w:val="en-US" w:eastAsia="zh-CN"/>
        </w:rPr>
        <w:t>0</w:t>
      </w:r>
      <w:r>
        <w:rPr>
          <w:rFonts w:hint="eastAsia" w:ascii="新宋体" w:hAnsi="新宋体" w:eastAsia="新宋体" w:cs="新宋体"/>
          <w:b w:val="0"/>
          <w:bCs w:val="0"/>
          <w:color w:val="auto"/>
          <w:kern w:val="0"/>
          <w:sz w:val="21"/>
          <w:szCs w:val="21"/>
          <w:highlight w:val="none"/>
          <w:lang w:val="en-US" w:eastAsia="zh-CN"/>
        </w:rPr>
        <w:t>分</w:t>
      </w:r>
      <w:r>
        <w:rPr>
          <w:rFonts w:hint="eastAsia" w:ascii="新宋体" w:hAnsi="新宋体" w:eastAsia="新宋体" w:cs="新宋体"/>
          <w:b w:val="0"/>
          <w:bCs/>
          <w:color w:val="auto"/>
          <w:szCs w:val="21"/>
          <w:highlight w:val="none"/>
          <w:lang w:eastAsia="zh-CN"/>
        </w:rPr>
        <w:t>）</w:t>
      </w:r>
      <w:r>
        <w:rPr>
          <w:rFonts w:hint="eastAsia" w:ascii="新宋体" w:hAnsi="新宋体" w:eastAsia="新宋体" w:cs="新宋体"/>
          <w:b w:val="0"/>
          <w:bCs/>
          <w:color w:val="auto"/>
          <w:szCs w:val="21"/>
          <w:highlight w:val="none"/>
        </w:rPr>
        <w:t>：</w:t>
      </w:r>
      <w:r>
        <w:rPr>
          <w:rFonts w:hint="eastAsia" w:ascii="新宋体" w:hAnsi="新宋体" w:eastAsia="新宋体" w:cs="新宋体"/>
          <w:sz w:val="21"/>
          <w:highlight w:val="none"/>
        </w:rPr>
        <w:t>未达“</w:t>
      </w:r>
      <w:r>
        <w:rPr>
          <w:rFonts w:hint="eastAsia" w:ascii="新宋体" w:hAnsi="新宋体" w:eastAsia="新宋体" w:cs="新宋体"/>
          <w:sz w:val="21"/>
          <w:highlight w:val="none"/>
          <w:lang w:eastAsia="zh-CN"/>
        </w:rPr>
        <w:t>中</w:t>
      </w:r>
      <w:r>
        <w:rPr>
          <w:rFonts w:hint="eastAsia" w:ascii="新宋体" w:hAnsi="新宋体" w:eastAsia="新宋体" w:cs="新宋体"/>
          <w:sz w:val="21"/>
          <w:highlight w:val="none"/>
        </w:rPr>
        <w:t>”</w:t>
      </w:r>
      <w:r>
        <w:rPr>
          <w:rFonts w:hint="eastAsia" w:ascii="新宋体" w:hAnsi="新宋体" w:eastAsia="新宋体" w:cs="新宋体"/>
          <w:sz w:val="21"/>
          <w:highlight w:val="none"/>
          <w:lang w:eastAsia="zh-CN"/>
        </w:rPr>
        <w:t>档</w:t>
      </w:r>
      <w:r>
        <w:rPr>
          <w:rFonts w:hint="eastAsia" w:ascii="新宋体" w:hAnsi="新宋体" w:eastAsia="新宋体" w:cs="新宋体"/>
          <w:sz w:val="21"/>
          <w:highlight w:val="none"/>
        </w:rPr>
        <w:t>标准的，计0分。</w:t>
      </w:r>
    </w:p>
    <w:p w14:paraId="13F461F2">
      <w:pPr>
        <w:pStyle w:val="14"/>
        <w:pageBreakBefore w:val="0"/>
        <w:widowControl w:val="0"/>
        <w:kinsoku/>
        <w:wordWrap/>
        <w:overflowPunct/>
        <w:topLinePunct w:val="0"/>
        <w:bidi w:val="0"/>
        <w:snapToGrid/>
        <w:spacing w:line="440" w:lineRule="exact"/>
        <w:ind w:firstLine="535" w:firstLineChars="255"/>
        <w:textAlignment w:val="auto"/>
        <w:rPr>
          <w:rFonts w:hint="eastAsia" w:ascii="新宋体" w:hAnsi="新宋体" w:eastAsia="新宋体" w:cs="新宋体"/>
          <w:b w:val="0"/>
          <w:bCs/>
          <w:color w:val="auto"/>
          <w:szCs w:val="21"/>
          <w:highlight w:val="none"/>
        </w:rPr>
      </w:pPr>
      <w:r>
        <w:rPr>
          <w:rFonts w:hint="eastAsia" w:ascii="新宋体" w:hAnsi="新宋体" w:eastAsia="新宋体" w:cs="新宋体"/>
          <w:sz w:val="21"/>
          <w:highlight w:val="none"/>
        </w:rPr>
        <w:t>注：</w:t>
      </w:r>
      <w:r>
        <w:rPr>
          <w:rFonts w:hint="eastAsia" w:ascii="新宋体" w:hAnsi="新宋体" w:eastAsia="新宋体" w:cs="新宋体"/>
          <w:sz w:val="21"/>
          <w:highlight w:val="none"/>
          <w:lang w:eastAsia="zh-CN"/>
        </w:rPr>
        <w:t>磋商供应商响应文件</w:t>
      </w:r>
      <w:r>
        <w:rPr>
          <w:rFonts w:hint="eastAsia" w:ascii="新宋体" w:hAnsi="新宋体" w:eastAsia="新宋体" w:cs="新宋体"/>
          <w:sz w:val="21"/>
          <w:highlight w:val="none"/>
        </w:rPr>
        <w:t>中提供的项目实施方案未达到相应评审档次全部标准的，相应降低一个档次</w:t>
      </w:r>
      <w:r>
        <w:rPr>
          <w:rFonts w:hint="eastAsia" w:ascii="新宋体" w:hAnsi="新宋体" w:eastAsia="新宋体" w:cs="新宋体"/>
          <w:sz w:val="21"/>
          <w:highlight w:val="none"/>
          <w:lang w:eastAsia="zh-CN"/>
        </w:rPr>
        <w:t>。</w:t>
      </w:r>
    </w:p>
    <w:p w14:paraId="655C1632">
      <w:pPr>
        <w:pStyle w:val="14"/>
        <w:pageBreakBefore w:val="0"/>
        <w:widowControl w:val="0"/>
        <w:kinsoku/>
        <w:wordWrap/>
        <w:overflowPunct/>
        <w:topLinePunct w:val="0"/>
        <w:bidi w:val="0"/>
        <w:snapToGrid/>
        <w:spacing w:line="440" w:lineRule="exact"/>
        <w:ind w:firstLine="211" w:firstLineChars="100"/>
        <w:textAlignment w:val="auto"/>
        <w:rPr>
          <w:rFonts w:hint="eastAsia" w:ascii="新宋体" w:hAnsi="新宋体" w:eastAsia="新宋体" w:cs="新宋体"/>
          <w:b/>
          <w:bCs w:val="0"/>
          <w:color w:val="auto"/>
          <w:szCs w:val="21"/>
          <w:highlight w:val="none"/>
        </w:rPr>
      </w:pPr>
      <w:r>
        <w:rPr>
          <w:rFonts w:hint="eastAsia" w:ascii="新宋体" w:hAnsi="新宋体" w:eastAsia="新宋体" w:cs="新宋体"/>
          <w:b/>
          <w:bCs w:val="0"/>
          <w:color w:val="auto"/>
          <w:szCs w:val="21"/>
          <w:highlight w:val="none"/>
        </w:rPr>
        <w:t>（6）关键施工技术、工艺及工程实施的重点、难点和解决方案</w:t>
      </w:r>
      <w:r>
        <w:rPr>
          <w:rFonts w:hint="eastAsia" w:ascii="新宋体" w:hAnsi="新宋体" w:eastAsia="新宋体" w:cs="新宋体"/>
          <w:b/>
          <w:bCs w:val="0"/>
          <w:color w:val="auto"/>
          <w:highlight w:val="none"/>
        </w:rPr>
        <w:t>…………………………………</w:t>
      </w:r>
      <w:r>
        <w:rPr>
          <w:rFonts w:hint="eastAsia" w:ascii="新宋体" w:hAnsi="新宋体" w:eastAsia="新宋体" w:cs="新宋体"/>
          <w:b/>
          <w:bCs w:val="0"/>
          <w:color w:val="auto"/>
          <w:highlight w:val="none"/>
          <w:lang w:val="en-US" w:eastAsia="zh-CN"/>
        </w:rPr>
        <w:t>7</w:t>
      </w:r>
      <w:r>
        <w:rPr>
          <w:rFonts w:hint="eastAsia" w:ascii="新宋体" w:hAnsi="新宋体" w:eastAsia="新宋体" w:cs="新宋体"/>
          <w:b/>
          <w:bCs w:val="0"/>
          <w:color w:val="auto"/>
          <w:szCs w:val="21"/>
          <w:highlight w:val="none"/>
        </w:rPr>
        <w:t>分</w:t>
      </w:r>
    </w:p>
    <w:p w14:paraId="72A88427">
      <w:pPr>
        <w:pStyle w:val="14"/>
        <w:pageBreakBefore w:val="0"/>
        <w:widowControl w:val="0"/>
        <w:kinsoku/>
        <w:wordWrap/>
        <w:overflowPunct/>
        <w:topLinePunct w:val="0"/>
        <w:bidi w:val="0"/>
        <w:snapToGrid/>
        <w:spacing w:line="440" w:lineRule="exact"/>
        <w:ind w:firstLine="535" w:firstLineChars="255"/>
        <w:textAlignment w:val="auto"/>
        <w:rPr>
          <w:rFonts w:hint="eastAsia" w:ascii="新宋体" w:hAnsi="新宋体" w:eastAsia="新宋体" w:cs="新宋体"/>
          <w:b w:val="0"/>
          <w:bCs/>
          <w:color w:val="auto"/>
          <w:szCs w:val="21"/>
          <w:highlight w:val="none"/>
        </w:rPr>
      </w:pPr>
      <w:r>
        <w:rPr>
          <w:rFonts w:hint="eastAsia" w:ascii="新宋体" w:hAnsi="新宋体" w:eastAsia="新宋体" w:cs="新宋体"/>
          <w:sz w:val="21"/>
          <w:highlight w:val="none"/>
          <w:lang w:eastAsia="zh-CN"/>
        </w:rPr>
        <w:t>磋商小组</w:t>
      </w:r>
      <w:r>
        <w:rPr>
          <w:rFonts w:hint="eastAsia" w:ascii="新宋体" w:hAnsi="新宋体" w:eastAsia="新宋体" w:cs="新宋体"/>
          <w:sz w:val="21"/>
          <w:highlight w:val="none"/>
        </w:rPr>
        <w:t>会</w:t>
      </w:r>
      <w:r>
        <w:rPr>
          <w:rFonts w:hint="eastAsia" w:ascii="新宋体" w:hAnsi="新宋体" w:eastAsia="新宋体" w:cs="新宋体"/>
          <w:sz w:val="21"/>
          <w:highlight w:val="none"/>
          <w:lang w:eastAsia="zh-CN"/>
        </w:rPr>
        <w:t>各成员</w:t>
      </w:r>
      <w:r>
        <w:rPr>
          <w:rFonts w:hint="eastAsia" w:ascii="新宋体" w:hAnsi="新宋体" w:eastAsia="新宋体" w:cs="新宋体"/>
          <w:sz w:val="21"/>
          <w:highlight w:val="none"/>
        </w:rPr>
        <w:t>对比各</w:t>
      </w:r>
      <w:r>
        <w:rPr>
          <w:rFonts w:hint="eastAsia" w:ascii="新宋体" w:hAnsi="新宋体" w:eastAsia="新宋体" w:cs="新宋体"/>
          <w:sz w:val="21"/>
          <w:highlight w:val="none"/>
          <w:lang w:eastAsia="zh-CN"/>
        </w:rPr>
        <w:t>磋商供应商</w:t>
      </w:r>
      <w:r>
        <w:rPr>
          <w:rFonts w:hint="eastAsia" w:ascii="新宋体" w:hAnsi="新宋体" w:eastAsia="新宋体" w:cs="新宋体"/>
          <w:sz w:val="21"/>
          <w:highlight w:val="none"/>
        </w:rPr>
        <w:t>提供的</w:t>
      </w:r>
      <w:r>
        <w:rPr>
          <w:rFonts w:hint="eastAsia" w:ascii="新宋体" w:hAnsi="新宋体" w:eastAsia="新宋体" w:cs="新宋体"/>
          <w:sz w:val="21"/>
          <w:highlight w:val="none"/>
        </w:rPr>
        <w:fldChar w:fldCharType="begin"/>
      </w:r>
      <w:r>
        <w:rPr>
          <w:rFonts w:hint="eastAsia" w:ascii="新宋体" w:hAnsi="新宋体" w:eastAsia="新宋体" w:cs="新宋体"/>
          <w:sz w:val="21"/>
          <w:highlight w:val="none"/>
        </w:rPr>
        <w:instrText xml:space="preserve"> = 1 \* GB3 \* MERGEFORMAT </w:instrText>
      </w:r>
      <w:r>
        <w:rPr>
          <w:rFonts w:hint="eastAsia" w:ascii="新宋体" w:hAnsi="新宋体" w:eastAsia="新宋体" w:cs="新宋体"/>
          <w:sz w:val="21"/>
          <w:highlight w:val="none"/>
        </w:rPr>
        <w:fldChar w:fldCharType="separate"/>
      </w:r>
      <w:r>
        <w:rPr>
          <w:rFonts w:hint="eastAsia" w:ascii="新宋体" w:hAnsi="新宋体" w:eastAsia="新宋体" w:cs="新宋体"/>
          <w:highlight w:val="none"/>
        </w:rPr>
        <w:t>①</w:t>
      </w:r>
      <w:r>
        <w:rPr>
          <w:rFonts w:hint="eastAsia" w:ascii="新宋体" w:hAnsi="新宋体" w:eastAsia="新宋体" w:cs="新宋体"/>
          <w:sz w:val="21"/>
          <w:highlight w:val="none"/>
        </w:rPr>
        <w:fldChar w:fldCharType="end"/>
      </w:r>
      <w:r>
        <w:rPr>
          <w:rFonts w:hint="eastAsia" w:ascii="新宋体" w:hAnsi="新宋体" w:eastAsia="新宋体" w:cs="新宋体"/>
          <w:sz w:val="21"/>
          <w:highlight w:val="none"/>
        </w:rPr>
        <w:t>关键施工技术</w:t>
      </w:r>
      <w:r>
        <w:rPr>
          <w:rFonts w:hint="eastAsia" w:ascii="新宋体" w:hAnsi="新宋体" w:eastAsia="新宋体" w:cs="新宋体"/>
          <w:b w:val="0"/>
          <w:bCs w:val="0"/>
          <w:color w:val="auto"/>
          <w:sz w:val="21"/>
          <w:highlight w:val="none"/>
          <w:lang w:val="en-US" w:eastAsia="zh-CN"/>
        </w:rPr>
        <w:t>、工艺；</w:t>
      </w:r>
      <w:r>
        <w:rPr>
          <w:rFonts w:hint="eastAsia" w:ascii="新宋体" w:hAnsi="新宋体" w:eastAsia="新宋体" w:cs="新宋体"/>
          <w:bCs/>
          <w:color w:val="auto"/>
          <w:sz w:val="21"/>
          <w:highlight w:val="none"/>
          <w:lang w:eastAsia="zh-CN"/>
        </w:rPr>
        <w:fldChar w:fldCharType="begin"/>
      </w:r>
      <w:r>
        <w:rPr>
          <w:rFonts w:hint="eastAsia" w:ascii="新宋体" w:hAnsi="新宋体" w:eastAsia="新宋体" w:cs="新宋体"/>
          <w:bCs/>
          <w:color w:val="auto"/>
          <w:sz w:val="21"/>
          <w:highlight w:val="none"/>
          <w:lang w:eastAsia="zh-CN"/>
        </w:rPr>
        <w:instrText xml:space="preserve"> = 2 \* GB3 \* MERGEFORMAT </w:instrText>
      </w:r>
      <w:r>
        <w:rPr>
          <w:rFonts w:hint="eastAsia" w:ascii="新宋体" w:hAnsi="新宋体" w:eastAsia="新宋体" w:cs="新宋体"/>
          <w:bCs/>
          <w:color w:val="auto"/>
          <w:sz w:val="21"/>
          <w:highlight w:val="none"/>
          <w:lang w:eastAsia="zh-CN"/>
        </w:rPr>
        <w:fldChar w:fldCharType="separate"/>
      </w:r>
      <w:r>
        <w:rPr>
          <w:rFonts w:hint="eastAsia" w:ascii="新宋体" w:hAnsi="新宋体" w:eastAsia="新宋体" w:cs="新宋体"/>
          <w:highlight w:val="none"/>
        </w:rPr>
        <w:t>②</w:t>
      </w:r>
      <w:r>
        <w:rPr>
          <w:rFonts w:hint="eastAsia" w:ascii="新宋体" w:hAnsi="新宋体" w:eastAsia="新宋体" w:cs="新宋体"/>
          <w:bCs/>
          <w:color w:val="auto"/>
          <w:sz w:val="21"/>
          <w:highlight w:val="none"/>
          <w:lang w:eastAsia="zh-CN"/>
        </w:rPr>
        <w:fldChar w:fldCharType="end"/>
      </w:r>
      <w:r>
        <w:rPr>
          <w:rFonts w:hint="eastAsia" w:ascii="新宋体" w:hAnsi="新宋体" w:eastAsia="新宋体" w:cs="新宋体"/>
          <w:b w:val="0"/>
          <w:bCs w:val="0"/>
          <w:color w:val="auto"/>
          <w:sz w:val="21"/>
          <w:highlight w:val="none"/>
          <w:lang w:val="en-US" w:eastAsia="zh-CN"/>
        </w:rPr>
        <w:t>工程实施的重点、难点；</w:t>
      </w:r>
      <w:r>
        <w:rPr>
          <w:rFonts w:hint="eastAsia" w:ascii="新宋体" w:hAnsi="新宋体" w:eastAsia="新宋体" w:cs="新宋体"/>
          <w:bCs/>
          <w:color w:val="auto"/>
          <w:sz w:val="21"/>
          <w:highlight w:val="none"/>
          <w:lang w:eastAsia="zh-CN"/>
        </w:rPr>
        <w:fldChar w:fldCharType="begin"/>
      </w:r>
      <w:r>
        <w:rPr>
          <w:rFonts w:hint="eastAsia" w:ascii="新宋体" w:hAnsi="新宋体" w:eastAsia="新宋体" w:cs="新宋体"/>
          <w:bCs/>
          <w:color w:val="auto"/>
          <w:sz w:val="21"/>
          <w:highlight w:val="none"/>
          <w:lang w:eastAsia="zh-CN"/>
        </w:rPr>
        <w:instrText xml:space="preserve"> = 3 \* GB3 \* MERGEFORMAT </w:instrText>
      </w:r>
      <w:r>
        <w:rPr>
          <w:rFonts w:hint="eastAsia" w:ascii="新宋体" w:hAnsi="新宋体" w:eastAsia="新宋体" w:cs="新宋体"/>
          <w:bCs/>
          <w:color w:val="auto"/>
          <w:sz w:val="21"/>
          <w:highlight w:val="none"/>
          <w:lang w:eastAsia="zh-CN"/>
        </w:rPr>
        <w:fldChar w:fldCharType="separate"/>
      </w:r>
      <w:r>
        <w:rPr>
          <w:rFonts w:hint="eastAsia" w:ascii="新宋体" w:hAnsi="新宋体" w:eastAsia="新宋体" w:cs="新宋体"/>
          <w:highlight w:val="none"/>
        </w:rPr>
        <w:t>③</w:t>
      </w:r>
      <w:r>
        <w:rPr>
          <w:rFonts w:hint="eastAsia" w:ascii="新宋体" w:hAnsi="新宋体" w:eastAsia="新宋体" w:cs="新宋体"/>
          <w:bCs/>
          <w:color w:val="auto"/>
          <w:sz w:val="21"/>
          <w:highlight w:val="none"/>
          <w:lang w:eastAsia="zh-CN"/>
        </w:rPr>
        <w:fldChar w:fldCharType="end"/>
      </w:r>
      <w:r>
        <w:rPr>
          <w:rFonts w:hint="eastAsia" w:ascii="新宋体" w:hAnsi="新宋体" w:eastAsia="新宋体" w:cs="新宋体"/>
          <w:b w:val="0"/>
          <w:bCs w:val="0"/>
          <w:color w:val="auto"/>
          <w:sz w:val="21"/>
          <w:highlight w:val="none"/>
          <w:lang w:val="en-US" w:eastAsia="zh-CN"/>
        </w:rPr>
        <w:t>解决方案</w:t>
      </w:r>
      <w:r>
        <w:rPr>
          <w:rFonts w:hint="eastAsia" w:ascii="新宋体" w:hAnsi="新宋体" w:eastAsia="新宋体" w:cs="新宋体"/>
          <w:sz w:val="21"/>
          <w:highlight w:val="none"/>
        </w:rPr>
        <w:t>等</w:t>
      </w:r>
      <w:r>
        <w:rPr>
          <w:rFonts w:hint="eastAsia" w:ascii="新宋体" w:hAnsi="新宋体" w:eastAsia="新宋体" w:cs="新宋体"/>
          <w:sz w:val="21"/>
          <w:highlight w:val="none"/>
          <w:lang w:val="en-US" w:eastAsia="zh-CN"/>
        </w:rPr>
        <w:t>3</w:t>
      </w:r>
      <w:r>
        <w:rPr>
          <w:rFonts w:hint="eastAsia" w:ascii="新宋体" w:hAnsi="新宋体" w:eastAsia="新宋体" w:cs="新宋体"/>
          <w:sz w:val="21"/>
          <w:highlight w:val="none"/>
        </w:rPr>
        <w:t>项内容进行综合评定，并按以下标准独立评分：</w:t>
      </w:r>
    </w:p>
    <w:p w14:paraId="6C036CA2">
      <w:pPr>
        <w:pStyle w:val="14"/>
        <w:pageBreakBefore w:val="0"/>
        <w:widowControl w:val="0"/>
        <w:kinsoku/>
        <w:wordWrap/>
        <w:overflowPunct/>
        <w:topLinePunct w:val="0"/>
        <w:bidi w:val="0"/>
        <w:snapToGrid/>
        <w:spacing w:line="440" w:lineRule="exact"/>
        <w:ind w:firstLine="535" w:firstLineChars="255"/>
        <w:textAlignment w:val="auto"/>
        <w:rPr>
          <w:rFonts w:hint="eastAsia" w:ascii="新宋体" w:hAnsi="新宋体" w:eastAsia="新宋体" w:cs="新宋体"/>
          <w:b w:val="0"/>
          <w:bCs/>
          <w:color w:val="auto"/>
          <w:szCs w:val="21"/>
          <w:highlight w:val="none"/>
        </w:rPr>
      </w:pPr>
      <w:r>
        <w:rPr>
          <w:rFonts w:hint="eastAsia" w:ascii="新宋体" w:hAnsi="新宋体" w:eastAsia="新宋体" w:cs="新宋体"/>
          <w:b w:val="0"/>
          <w:bCs/>
          <w:color w:val="auto"/>
          <w:szCs w:val="21"/>
          <w:highlight w:val="none"/>
        </w:rPr>
        <w:t>优</w:t>
      </w:r>
      <w:r>
        <w:rPr>
          <w:rFonts w:hint="eastAsia" w:ascii="新宋体" w:hAnsi="新宋体" w:eastAsia="新宋体" w:cs="新宋体"/>
          <w:b w:val="0"/>
          <w:bCs/>
          <w:color w:val="auto"/>
          <w:szCs w:val="21"/>
          <w:highlight w:val="none"/>
          <w:lang w:eastAsia="zh-CN"/>
        </w:rPr>
        <w:t>（</w:t>
      </w:r>
      <w:r>
        <w:rPr>
          <w:rFonts w:hint="eastAsia" w:ascii="新宋体" w:hAnsi="新宋体" w:eastAsia="新宋体" w:cs="新宋体"/>
          <w:b w:val="0"/>
          <w:bCs/>
          <w:color w:val="auto"/>
          <w:szCs w:val="21"/>
          <w:highlight w:val="none"/>
          <w:lang w:val="en-US" w:eastAsia="zh-CN"/>
        </w:rPr>
        <w:t>7</w:t>
      </w:r>
      <w:r>
        <w:rPr>
          <w:rFonts w:hint="eastAsia" w:ascii="新宋体" w:hAnsi="新宋体" w:eastAsia="新宋体" w:cs="新宋体"/>
          <w:b w:val="0"/>
          <w:bCs w:val="0"/>
          <w:color w:val="auto"/>
          <w:kern w:val="0"/>
          <w:sz w:val="21"/>
          <w:szCs w:val="21"/>
          <w:highlight w:val="none"/>
          <w:lang w:val="en-US" w:eastAsia="zh-CN"/>
        </w:rPr>
        <w:t>.0分</w:t>
      </w:r>
      <w:r>
        <w:rPr>
          <w:rFonts w:hint="eastAsia" w:ascii="新宋体" w:hAnsi="新宋体" w:eastAsia="新宋体" w:cs="新宋体"/>
          <w:b w:val="0"/>
          <w:bCs/>
          <w:color w:val="auto"/>
          <w:szCs w:val="21"/>
          <w:highlight w:val="none"/>
          <w:lang w:eastAsia="zh-CN"/>
        </w:rPr>
        <w:t>）</w:t>
      </w:r>
      <w:r>
        <w:rPr>
          <w:rFonts w:hint="eastAsia" w:ascii="新宋体" w:hAnsi="新宋体" w:eastAsia="新宋体" w:cs="新宋体"/>
          <w:b w:val="0"/>
          <w:bCs/>
          <w:color w:val="auto"/>
          <w:szCs w:val="21"/>
          <w:highlight w:val="none"/>
        </w:rPr>
        <w:t>：上述</w:t>
      </w:r>
      <w:r>
        <w:rPr>
          <w:rFonts w:hint="eastAsia" w:ascii="新宋体" w:hAnsi="新宋体" w:eastAsia="新宋体" w:cs="新宋体"/>
          <w:b w:val="0"/>
          <w:bCs/>
          <w:color w:val="auto"/>
          <w:szCs w:val="21"/>
          <w:highlight w:val="none"/>
          <w:lang w:val="en-US" w:eastAsia="zh-CN"/>
        </w:rPr>
        <w:t>3</w:t>
      </w:r>
      <w:r>
        <w:rPr>
          <w:rFonts w:hint="eastAsia" w:ascii="新宋体" w:hAnsi="新宋体" w:eastAsia="新宋体" w:cs="新宋体"/>
          <w:b w:val="0"/>
          <w:bCs/>
          <w:color w:val="auto"/>
          <w:szCs w:val="21"/>
          <w:highlight w:val="none"/>
        </w:rPr>
        <w:t>项全部评审内容经评审为完善、合理、可行的。</w:t>
      </w:r>
    </w:p>
    <w:p w14:paraId="4069253E">
      <w:pPr>
        <w:pStyle w:val="14"/>
        <w:pageBreakBefore w:val="0"/>
        <w:widowControl w:val="0"/>
        <w:kinsoku/>
        <w:wordWrap/>
        <w:overflowPunct/>
        <w:topLinePunct w:val="0"/>
        <w:bidi w:val="0"/>
        <w:snapToGrid/>
        <w:spacing w:line="440" w:lineRule="exact"/>
        <w:ind w:firstLine="535" w:firstLineChars="255"/>
        <w:textAlignment w:val="auto"/>
        <w:rPr>
          <w:rFonts w:hint="eastAsia" w:ascii="新宋体" w:hAnsi="新宋体" w:eastAsia="新宋体" w:cs="新宋体"/>
          <w:b w:val="0"/>
          <w:bCs/>
          <w:color w:val="auto"/>
          <w:szCs w:val="21"/>
          <w:highlight w:val="none"/>
        </w:rPr>
      </w:pPr>
      <w:r>
        <w:rPr>
          <w:rFonts w:hint="eastAsia" w:ascii="新宋体" w:hAnsi="新宋体" w:eastAsia="新宋体" w:cs="新宋体"/>
          <w:b w:val="0"/>
          <w:bCs/>
          <w:color w:val="auto"/>
          <w:szCs w:val="21"/>
          <w:highlight w:val="none"/>
        </w:rPr>
        <w:t>良</w:t>
      </w:r>
      <w:r>
        <w:rPr>
          <w:rFonts w:hint="eastAsia" w:ascii="新宋体" w:hAnsi="新宋体" w:eastAsia="新宋体" w:cs="新宋体"/>
          <w:b w:val="0"/>
          <w:bCs/>
          <w:color w:val="auto"/>
          <w:szCs w:val="21"/>
          <w:highlight w:val="none"/>
          <w:lang w:eastAsia="zh-CN"/>
        </w:rPr>
        <w:t>（</w:t>
      </w:r>
      <w:r>
        <w:rPr>
          <w:rFonts w:hint="eastAsia" w:ascii="新宋体" w:hAnsi="新宋体" w:eastAsia="新宋体" w:cs="新宋体"/>
          <w:b w:val="0"/>
          <w:bCs w:val="0"/>
          <w:color w:val="auto"/>
          <w:kern w:val="0"/>
          <w:sz w:val="21"/>
          <w:szCs w:val="21"/>
          <w:highlight w:val="none"/>
          <w:lang w:val="en-US" w:eastAsia="zh-CN"/>
        </w:rPr>
        <w:t>4.0分</w:t>
      </w:r>
      <w:r>
        <w:rPr>
          <w:rFonts w:hint="eastAsia" w:ascii="新宋体" w:hAnsi="新宋体" w:eastAsia="新宋体" w:cs="新宋体"/>
          <w:b w:val="0"/>
          <w:bCs/>
          <w:color w:val="auto"/>
          <w:szCs w:val="21"/>
          <w:highlight w:val="none"/>
          <w:lang w:eastAsia="zh-CN"/>
        </w:rPr>
        <w:t>）</w:t>
      </w:r>
      <w:r>
        <w:rPr>
          <w:rFonts w:hint="eastAsia" w:ascii="新宋体" w:hAnsi="新宋体" w:eastAsia="新宋体" w:cs="新宋体"/>
          <w:b w:val="0"/>
          <w:bCs/>
          <w:color w:val="auto"/>
          <w:szCs w:val="21"/>
          <w:highlight w:val="none"/>
        </w:rPr>
        <w:t>：上述</w:t>
      </w:r>
      <w:r>
        <w:rPr>
          <w:rFonts w:hint="eastAsia" w:ascii="新宋体" w:hAnsi="新宋体" w:eastAsia="新宋体" w:cs="新宋体"/>
          <w:b w:val="0"/>
          <w:bCs/>
          <w:color w:val="auto"/>
          <w:szCs w:val="21"/>
          <w:highlight w:val="none"/>
          <w:lang w:val="en-US" w:eastAsia="zh-CN"/>
        </w:rPr>
        <w:t>3</w:t>
      </w:r>
      <w:r>
        <w:rPr>
          <w:rFonts w:hint="eastAsia" w:ascii="新宋体" w:hAnsi="新宋体" w:eastAsia="新宋体" w:cs="新宋体"/>
          <w:b w:val="0"/>
          <w:bCs/>
          <w:color w:val="auto"/>
          <w:szCs w:val="21"/>
          <w:highlight w:val="none"/>
        </w:rPr>
        <w:t>项评审内容有</w:t>
      </w:r>
      <w:r>
        <w:rPr>
          <w:rFonts w:hint="eastAsia" w:ascii="新宋体" w:hAnsi="新宋体" w:eastAsia="新宋体" w:cs="新宋体"/>
          <w:b w:val="0"/>
          <w:bCs/>
          <w:color w:val="auto"/>
          <w:szCs w:val="21"/>
          <w:highlight w:val="none"/>
          <w:lang w:val="en-US" w:eastAsia="zh-CN"/>
        </w:rPr>
        <w:t>2</w:t>
      </w:r>
      <w:r>
        <w:rPr>
          <w:rFonts w:hint="eastAsia" w:ascii="新宋体" w:hAnsi="新宋体" w:eastAsia="新宋体" w:cs="新宋体"/>
          <w:b w:val="0"/>
          <w:bCs/>
          <w:color w:val="auto"/>
          <w:szCs w:val="21"/>
          <w:highlight w:val="none"/>
        </w:rPr>
        <w:t>项内容经评审为完善、合理、可行的。</w:t>
      </w:r>
    </w:p>
    <w:p w14:paraId="5C804A2C">
      <w:pPr>
        <w:pStyle w:val="14"/>
        <w:pageBreakBefore w:val="0"/>
        <w:widowControl w:val="0"/>
        <w:kinsoku/>
        <w:wordWrap/>
        <w:overflowPunct/>
        <w:topLinePunct w:val="0"/>
        <w:bidi w:val="0"/>
        <w:snapToGrid/>
        <w:spacing w:line="440" w:lineRule="exact"/>
        <w:ind w:firstLine="535" w:firstLineChars="255"/>
        <w:textAlignment w:val="auto"/>
        <w:rPr>
          <w:rFonts w:hint="eastAsia" w:ascii="新宋体" w:hAnsi="新宋体" w:eastAsia="新宋体" w:cs="新宋体"/>
          <w:sz w:val="21"/>
          <w:highlight w:val="none"/>
        </w:rPr>
      </w:pPr>
      <w:r>
        <w:rPr>
          <w:rFonts w:hint="eastAsia" w:ascii="新宋体" w:hAnsi="新宋体" w:eastAsia="新宋体" w:cs="新宋体"/>
          <w:b w:val="0"/>
          <w:bCs/>
          <w:color w:val="auto"/>
          <w:szCs w:val="21"/>
          <w:highlight w:val="none"/>
        </w:rPr>
        <w:t>中</w:t>
      </w:r>
      <w:r>
        <w:rPr>
          <w:rFonts w:hint="eastAsia" w:ascii="新宋体" w:hAnsi="新宋体" w:eastAsia="新宋体" w:cs="新宋体"/>
          <w:b w:val="0"/>
          <w:bCs/>
          <w:color w:val="auto"/>
          <w:szCs w:val="21"/>
          <w:highlight w:val="none"/>
          <w:lang w:eastAsia="zh-CN"/>
        </w:rPr>
        <w:t>（</w:t>
      </w:r>
      <w:r>
        <w:rPr>
          <w:rFonts w:hint="eastAsia" w:ascii="新宋体" w:hAnsi="新宋体" w:eastAsia="新宋体" w:cs="新宋体"/>
          <w:b w:val="0"/>
          <w:bCs/>
          <w:color w:val="auto"/>
          <w:szCs w:val="21"/>
          <w:highlight w:val="none"/>
          <w:lang w:val="en-US" w:eastAsia="zh-CN"/>
        </w:rPr>
        <w:t>2</w:t>
      </w:r>
      <w:r>
        <w:rPr>
          <w:rFonts w:hint="eastAsia" w:ascii="新宋体" w:hAnsi="新宋体" w:eastAsia="新宋体" w:cs="新宋体"/>
          <w:b w:val="0"/>
          <w:bCs w:val="0"/>
          <w:color w:val="auto"/>
          <w:kern w:val="0"/>
          <w:sz w:val="21"/>
          <w:szCs w:val="21"/>
          <w:highlight w:val="none"/>
          <w:lang w:val="en-US" w:eastAsia="zh-CN"/>
        </w:rPr>
        <w:t>.0分</w:t>
      </w:r>
      <w:r>
        <w:rPr>
          <w:rFonts w:hint="eastAsia" w:ascii="新宋体" w:hAnsi="新宋体" w:eastAsia="新宋体" w:cs="新宋体"/>
          <w:b w:val="0"/>
          <w:bCs/>
          <w:color w:val="auto"/>
          <w:szCs w:val="21"/>
          <w:highlight w:val="none"/>
          <w:lang w:eastAsia="zh-CN"/>
        </w:rPr>
        <w:t>）</w:t>
      </w:r>
      <w:r>
        <w:rPr>
          <w:rFonts w:hint="eastAsia" w:ascii="新宋体" w:hAnsi="新宋体" w:eastAsia="新宋体" w:cs="新宋体"/>
          <w:b w:val="0"/>
          <w:bCs/>
          <w:color w:val="auto"/>
          <w:szCs w:val="21"/>
          <w:highlight w:val="none"/>
        </w:rPr>
        <w:t>：</w:t>
      </w:r>
      <w:r>
        <w:rPr>
          <w:rFonts w:hint="eastAsia" w:ascii="新宋体" w:hAnsi="新宋体" w:eastAsia="新宋体" w:cs="新宋体"/>
          <w:sz w:val="21"/>
          <w:highlight w:val="none"/>
        </w:rPr>
        <w:t>上述</w:t>
      </w:r>
      <w:r>
        <w:rPr>
          <w:rFonts w:hint="eastAsia" w:ascii="新宋体" w:hAnsi="新宋体" w:eastAsia="新宋体" w:cs="新宋体"/>
          <w:sz w:val="21"/>
          <w:highlight w:val="none"/>
          <w:lang w:val="en-US" w:eastAsia="zh-CN"/>
        </w:rPr>
        <w:t>3</w:t>
      </w:r>
      <w:r>
        <w:rPr>
          <w:rFonts w:hint="eastAsia" w:ascii="新宋体" w:hAnsi="新宋体" w:eastAsia="新宋体" w:cs="新宋体"/>
          <w:sz w:val="21"/>
          <w:highlight w:val="none"/>
        </w:rPr>
        <w:t>项评审内容有</w:t>
      </w:r>
      <w:r>
        <w:rPr>
          <w:rFonts w:hint="eastAsia" w:ascii="新宋体" w:hAnsi="新宋体" w:eastAsia="新宋体" w:cs="新宋体"/>
          <w:sz w:val="21"/>
          <w:highlight w:val="none"/>
          <w:lang w:val="en-US" w:eastAsia="zh-CN"/>
        </w:rPr>
        <w:t>1</w:t>
      </w:r>
      <w:r>
        <w:rPr>
          <w:rFonts w:hint="eastAsia" w:ascii="新宋体" w:hAnsi="新宋体" w:eastAsia="新宋体" w:cs="新宋体"/>
          <w:sz w:val="21"/>
          <w:highlight w:val="none"/>
        </w:rPr>
        <w:t>项内容经评审为完善、合理、可行的。</w:t>
      </w:r>
    </w:p>
    <w:p w14:paraId="24E70555">
      <w:pPr>
        <w:pStyle w:val="14"/>
        <w:pageBreakBefore w:val="0"/>
        <w:widowControl w:val="0"/>
        <w:kinsoku/>
        <w:wordWrap/>
        <w:overflowPunct/>
        <w:topLinePunct w:val="0"/>
        <w:bidi w:val="0"/>
        <w:snapToGrid/>
        <w:spacing w:line="440" w:lineRule="exact"/>
        <w:ind w:firstLine="535" w:firstLineChars="255"/>
        <w:textAlignment w:val="auto"/>
        <w:rPr>
          <w:rFonts w:hint="eastAsia" w:ascii="新宋体" w:hAnsi="新宋体" w:eastAsia="新宋体" w:cs="新宋体"/>
          <w:sz w:val="21"/>
          <w:highlight w:val="none"/>
        </w:rPr>
      </w:pPr>
      <w:r>
        <w:rPr>
          <w:rFonts w:hint="eastAsia" w:ascii="新宋体" w:hAnsi="新宋体" w:eastAsia="新宋体" w:cs="新宋体"/>
          <w:b w:val="0"/>
          <w:bCs/>
          <w:color w:val="auto"/>
          <w:szCs w:val="21"/>
          <w:highlight w:val="none"/>
        </w:rPr>
        <w:t>差</w:t>
      </w:r>
      <w:r>
        <w:rPr>
          <w:rFonts w:hint="eastAsia" w:ascii="新宋体" w:hAnsi="新宋体" w:eastAsia="新宋体" w:cs="新宋体"/>
          <w:b w:val="0"/>
          <w:bCs/>
          <w:color w:val="auto"/>
          <w:szCs w:val="21"/>
          <w:highlight w:val="none"/>
          <w:lang w:eastAsia="zh-CN"/>
        </w:rPr>
        <w:t>（</w:t>
      </w:r>
      <w:r>
        <w:rPr>
          <w:rFonts w:hint="eastAsia" w:ascii="新宋体" w:hAnsi="新宋体" w:eastAsia="新宋体" w:cs="新宋体"/>
          <w:b w:val="0"/>
          <w:bCs/>
          <w:color w:val="auto"/>
          <w:szCs w:val="21"/>
          <w:highlight w:val="none"/>
          <w:lang w:val="en-US" w:eastAsia="zh-CN"/>
        </w:rPr>
        <w:t>0</w:t>
      </w:r>
      <w:r>
        <w:rPr>
          <w:rFonts w:hint="eastAsia" w:ascii="新宋体" w:hAnsi="新宋体" w:eastAsia="新宋体" w:cs="新宋体"/>
          <w:b w:val="0"/>
          <w:bCs w:val="0"/>
          <w:color w:val="auto"/>
          <w:kern w:val="0"/>
          <w:sz w:val="21"/>
          <w:szCs w:val="21"/>
          <w:highlight w:val="none"/>
          <w:lang w:val="en-US" w:eastAsia="zh-CN"/>
        </w:rPr>
        <w:t>分</w:t>
      </w:r>
      <w:r>
        <w:rPr>
          <w:rFonts w:hint="eastAsia" w:ascii="新宋体" w:hAnsi="新宋体" w:eastAsia="新宋体" w:cs="新宋体"/>
          <w:b w:val="0"/>
          <w:bCs/>
          <w:color w:val="auto"/>
          <w:szCs w:val="21"/>
          <w:highlight w:val="none"/>
          <w:lang w:eastAsia="zh-CN"/>
        </w:rPr>
        <w:t>）</w:t>
      </w:r>
      <w:r>
        <w:rPr>
          <w:rFonts w:hint="eastAsia" w:ascii="新宋体" w:hAnsi="新宋体" w:eastAsia="新宋体" w:cs="新宋体"/>
          <w:b w:val="0"/>
          <w:bCs/>
          <w:color w:val="auto"/>
          <w:szCs w:val="21"/>
          <w:highlight w:val="none"/>
        </w:rPr>
        <w:t>：</w:t>
      </w:r>
      <w:r>
        <w:rPr>
          <w:rFonts w:hint="eastAsia" w:ascii="新宋体" w:hAnsi="新宋体" w:eastAsia="新宋体" w:cs="新宋体"/>
          <w:sz w:val="21"/>
          <w:highlight w:val="none"/>
        </w:rPr>
        <w:t>未达“</w:t>
      </w:r>
      <w:r>
        <w:rPr>
          <w:rFonts w:hint="eastAsia" w:ascii="新宋体" w:hAnsi="新宋体" w:eastAsia="新宋体" w:cs="新宋体"/>
          <w:sz w:val="21"/>
          <w:highlight w:val="none"/>
          <w:lang w:eastAsia="zh-CN"/>
        </w:rPr>
        <w:t>中</w:t>
      </w:r>
      <w:r>
        <w:rPr>
          <w:rFonts w:hint="eastAsia" w:ascii="新宋体" w:hAnsi="新宋体" w:eastAsia="新宋体" w:cs="新宋体"/>
          <w:sz w:val="21"/>
          <w:highlight w:val="none"/>
        </w:rPr>
        <w:t>”</w:t>
      </w:r>
      <w:r>
        <w:rPr>
          <w:rFonts w:hint="eastAsia" w:ascii="新宋体" w:hAnsi="新宋体" w:eastAsia="新宋体" w:cs="新宋体"/>
          <w:sz w:val="21"/>
          <w:highlight w:val="none"/>
          <w:lang w:eastAsia="zh-CN"/>
        </w:rPr>
        <w:t>档</w:t>
      </w:r>
      <w:r>
        <w:rPr>
          <w:rFonts w:hint="eastAsia" w:ascii="新宋体" w:hAnsi="新宋体" w:eastAsia="新宋体" w:cs="新宋体"/>
          <w:sz w:val="21"/>
          <w:highlight w:val="none"/>
        </w:rPr>
        <w:t>标准的，计0分。</w:t>
      </w:r>
    </w:p>
    <w:p w14:paraId="4EAB6EA7">
      <w:pPr>
        <w:pStyle w:val="14"/>
        <w:pageBreakBefore w:val="0"/>
        <w:widowControl w:val="0"/>
        <w:kinsoku/>
        <w:wordWrap/>
        <w:overflowPunct/>
        <w:topLinePunct w:val="0"/>
        <w:bidi w:val="0"/>
        <w:snapToGrid/>
        <w:spacing w:line="440" w:lineRule="exact"/>
        <w:ind w:firstLine="535" w:firstLineChars="255"/>
        <w:textAlignment w:val="auto"/>
        <w:rPr>
          <w:rFonts w:hint="eastAsia" w:ascii="新宋体" w:hAnsi="新宋体" w:eastAsia="新宋体" w:cs="新宋体"/>
          <w:b w:val="0"/>
          <w:bCs/>
          <w:color w:val="auto"/>
          <w:szCs w:val="21"/>
          <w:highlight w:val="none"/>
        </w:rPr>
      </w:pPr>
      <w:r>
        <w:rPr>
          <w:rFonts w:hint="eastAsia" w:ascii="新宋体" w:hAnsi="新宋体" w:eastAsia="新宋体" w:cs="新宋体"/>
          <w:sz w:val="21"/>
          <w:highlight w:val="none"/>
        </w:rPr>
        <w:t>注：</w:t>
      </w:r>
      <w:r>
        <w:rPr>
          <w:rFonts w:hint="eastAsia" w:ascii="新宋体" w:hAnsi="新宋体" w:eastAsia="新宋体" w:cs="新宋体"/>
          <w:sz w:val="21"/>
          <w:highlight w:val="none"/>
          <w:lang w:eastAsia="zh-CN"/>
        </w:rPr>
        <w:t>磋商供应商响应文件</w:t>
      </w:r>
      <w:r>
        <w:rPr>
          <w:rFonts w:hint="eastAsia" w:ascii="新宋体" w:hAnsi="新宋体" w:eastAsia="新宋体" w:cs="新宋体"/>
          <w:sz w:val="21"/>
          <w:highlight w:val="none"/>
        </w:rPr>
        <w:t>中提供的项目实施方案未达到相应评审档次全部标准的，相应降低一个档次</w:t>
      </w:r>
      <w:r>
        <w:rPr>
          <w:rFonts w:hint="eastAsia" w:ascii="新宋体" w:hAnsi="新宋体" w:eastAsia="新宋体" w:cs="新宋体"/>
          <w:sz w:val="21"/>
          <w:highlight w:val="none"/>
          <w:lang w:eastAsia="zh-CN"/>
        </w:rPr>
        <w:t>。</w:t>
      </w:r>
    </w:p>
    <w:p w14:paraId="692B0AC7">
      <w:pPr>
        <w:pStyle w:val="14"/>
        <w:pageBreakBefore w:val="0"/>
        <w:widowControl w:val="0"/>
        <w:kinsoku/>
        <w:wordWrap/>
        <w:overflowPunct/>
        <w:topLinePunct w:val="0"/>
        <w:bidi w:val="0"/>
        <w:snapToGrid/>
        <w:spacing w:line="440" w:lineRule="exact"/>
        <w:ind w:firstLine="211" w:firstLineChars="100"/>
        <w:textAlignment w:val="auto"/>
        <w:rPr>
          <w:rFonts w:hint="eastAsia" w:ascii="新宋体" w:hAnsi="新宋体" w:eastAsia="新宋体" w:cs="新宋体"/>
          <w:b/>
          <w:bCs w:val="0"/>
          <w:color w:val="auto"/>
          <w:szCs w:val="21"/>
          <w:highlight w:val="none"/>
        </w:rPr>
      </w:pPr>
      <w:r>
        <w:rPr>
          <w:rFonts w:hint="eastAsia" w:ascii="新宋体" w:hAnsi="新宋体" w:eastAsia="新宋体" w:cs="新宋体"/>
          <w:b/>
          <w:bCs w:val="0"/>
          <w:color w:val="auto"/>
          <w:kern w:val="0"/>
          <w:szCs w:val="21"/>
          <w:highlight w:val="none"/>
        </w:rPr>
        <w:t>（7）安全文明施工措施</w:t>
      </w:r>
      <w:r>
        <w:rPr>
          <w:rFonts w:hint="eastAsia" w:ascii="新宋体" w:hAnsi="新宋体" w:eastAsia="新宋体" w:cs="新宋体"/>
          <w:b/>
          <w:bCs w:val="0"/>
          <w:color w:val="auto"/>
          <w:highlight w:val="none"/>
        </w:rPr>
        <w:t>…………………</w:t>
      </w:r>
      <w:r>
        <w:rPr>
          <w:rFonts w:hint="eastAsia" w:ascii="新宋体" w:hAnsi="新宋体" w:eastAsia="新宋体" w:cs="新宋体"/>
          <w:b/>
          <w:bCs w:val="0"/>
          <w:color w:val="auto"/>
          <w:szCs w:val="21"/>
          <w:highlight w:val="none"/>
        </w:rPr>
        <w:t>…</w:t>
      </w:r>
      <w:r>
        <w:rPr>
          <w:rFonts w:hint="eastAsia" w:ascii="新宋体" w:hAnsi="新宋体" w:eastAsia="新宋体" w:cs="新宋体"/>
          <w:b/>
          <w:bCs w:val="0"/>
          <w:color w:val="auto"/>
          <w:highlight w:val="none"/>
        </w:rPr>
        <w:t>………………………</w:t>
      </w:r>
      <w:r>
        <w:rPr>
          <w:rFonts w:hint="eastAsia" w:ascii="新宋体" w:hAnsi="新宋体" w:eastAsia="新宋体" w:cs="新宋体"/>
          <w:b/>
          <w:bCs w:val="0"/>
          <w:color w:val="auto"/>
          <w:szCs w:val="21"/>
          <w:highlight w:val="none"/>
        </w:rPr>
        <w:t>…</w:t>
      </w:r>
      <w:r>
        <w:rPr>
          <w:rFonts w:hint="eastAsia" w:ascii="新宋体" w:hAnsi="新宋体" w:eastAsia="新宋体" w:cs="新宋体"/>
          <w:b/>
          <w:bCs w:val="0"/>
          <w:color w:val="auto"/>
          <w:highlight w:val="none"/>
        </w:rPr>
        <w:t>………………………………</w:t>
      </w:r>
      <w:r>
        <w:rPr>
          <w:rFonts w:hint="eastAsia" w:ascii="新宋体" w:hAnsi="新宋体" w:eastAsia="新宋体" w:cs="新宋体"/>
          <w:b/>
          <w:bCs w:val="0"/>
          <w:color w:val="auto"/>
          <w:szCs w:val="21"/>
          <w:highlight w:val="none"/>
          <w:lang w:val="en-US" w:eastAsia="zh-CN"/>
        </w:rPr>
        <w:t>4</w:t>
      </w:r>
      <w:r>
        <w:rPr>
          <w:rFonts w:hint="eastAsia" w:ascii="新宋体" w:hAnsi="新宋体" w:eastAsia="新宋体" w:cs="新宋体"/>
          <w:b/>
          <w:bCs w:val="0"/>
          <w:color w:val="auto"/>
          <w:szCs w:val="21"/>
          <w:highlight w:val="none"/>
        </w:rPr>
        <w:t>分</w:t>
      </w:r>
    </w:p>
    <w:p w14:paraId="4C6A550C">
      <w:pPr>
        <w:pStyle w:val="14"/>
        <w:pageBreakBefore w:val="0"/>
        <w:widowControl w:val="0"/>
        <w:kinsoku/>
        <w:wordWrap/>
        <w:overflowPunct/>
        <w:topLinePunct w:val="0"/>
        <w:bidi w:val="0"/>
        <w:snapToGrid/>
        <w:spacing w:line="440" w:lineRule="exact"/>
        <w:ind w:firstLine="535" w:firstLineChars="255"/>
        <w:textAlignment w:val="auto"/>
        <w:rPr>
          <w:rFonts w:hint="eastAsia" w:ascii="新宋体" w:hAnsi="新宋体" w:eastAsia="新宋体" w:cs="新宋体"/>
          <w:b w:val="0"/>
          <w:bCs/>
          <w:color w:val="auto"/>
          <w:szCs w:val="21"/>
          <w:highlight w:val="none"/>
        </w:rPr>
      </w:pPr>
      <w:r>
        <w:rPr>
          <w:rFonts w:hint="eastAsia" w:ascii="新宋体" w:hAnsi="新宋体" w:eastAsia="新宋体" w:cs="新宋体"/>
          <w:sz w:val="21"/>
          <w:highlight w:val="none"/>
          <w:lang w:eastAsia="zh-CN"/>
        </w:rPr>
        <w:t>磋商小组</w:t>
      </w:r>
      <w:r>
        <w:rPr>
          <w:rFonts w:hint="eastAsia" w:ascii="新宋体" w:hAnsi="新宋体" w:eastAsia="新宋体" w:cs="新宋体"/>
          <w:sz w:val="21"/>
          <w:highlight w:val="none"/>
        </w:rPr>
        <w:t>会</w:t>
      </w:r>
      <w:r>
        <w:rPr>
          <w:rFonts w:hint="eastAsia" w:ascii="新宋体" w:hAnsi="新宋体" w:eastAsia="新宋体" w:cs="新宋体"/>
          <w:sz w:val="21"/>
          <w:highlight w:val="none"/>
          <w:lang w:eastAsia="zh-CN"/>
        </w:rPr>
        <w:t>各成员</w:t>
      </w:r>
      <w:r>
        <w:rPr>
          <w:rFonts w:hint="eastAsia" w:ascii="新宋体" w:hAnsi="新宋体" w:eastAsia="新宋体" w:cs="新宋体"/>
          <w:sz w:val="21"/>
          <w:highlight w:val="none"/>
        </w:rPr>
        <w:t>对比各</w:t>
      </w:r>
      <w:r>
        <w:rPr>
          <w:rFonts w:hint="eastAsia" w:ascii="新宋体" w:hAnsi="新宋体" w:eastAsia="新宋体" w:cs="新宋体"/>
          <w:sz w:val="21"/>
          <w:highlight w:val="none"/>
          <w:lang w:eastAsia="zh-CN"/>
        </w:rPr>
        <w:t>磋商供应商</w:t>
      </w:r>
      <w:r>
        <w:rPr>
          <w:rFonts w:hint="eastAsia" w:ascii="新宋体" w:hAnsi="新宋体" w:eastAsia="新宋体" w:cs="新宋体"/>
          <w:sz w:val="21"/>
          <w:highlight w:val="none"/>
        </w:rPr>
        <w:t>提供的</w:t>
      </w:r>
      <w:r>
        <w:rPr>
          <w:rFonts w:hint="eastAsia" w:ascii="新宋体" w:hAnsi="新宋体" w:eastAsia="新宋体" w:cs="新宋体"/>
          <w:sz w:val="21"/>
          <w:highlight w:val="none"/>
        </w:rPr>
        <w:fldChar w:fldCharType="begin"/>
      </w:r>
      <w:r>
        <w:rPr>
          <w:rFonts w:hint="eastAsia" w:ascii="新宋体" w:hAnsi="新宋体" w:eastAsia="新宋体" w:cs="新宋体"/>
          <w:sz w:val="21"/>
          <w:highlight w:val="none"/>
        </w:rPr>
        <w:instrText xml:space="preserve"> = 1 \* GB3 \* MERGEFORMAT </w:instrText>
      </w:r>
      <w:r>
        <w:rPr>
          <w:rFonts w:hint="eastAsia" w:ascii="新宋体" w:hAnsi="新宋体" w:eastAsia="新宋体" w:cs="新宋体"/>
          <w:sz w:val="21"/>
          <w:highlight w:val="none"/>
        </w:rPr>
        <w:fldChar w:fldCharType="separate"/>
      </w:r>
      <w:r>
        <w:rPr>
          <w:rFonts w:hint="eastAsia" w:ascii="新宋体" w:hAnsi="新宋体" w:eastAsia="新宋体" w:cs="新宋体"/>
          <w:highlight w:val="none"/>
        </w:rPr>
        <w:t>①</w:t>
      </w:r>
      <w:r>
        <w:rPr>
          <w:rFonts w:hint="eastAsia" w:ascii="新宋体" w:hAnsi="新宋体" w:eastAsia="新宋体" w:cs="新宋体"/>
          <w:sz w:val="21"/>
          <w:highlight w:val="none"/>
        </w:rPr>
        <w:fldChar w:fldCharType="end"/>
      </w:r>
      <w:r>
        <w:rPr>
          <w:rFonts w:hint="eastAsia" w:ascii="新宋体" w:hAnsi="新宋体" w:eastAsia="新宋体" w:cs="新宋体"/>
          <w:sz w:val="21"/>
          <w:highlight w:val="none"/>
        </w:rPr>
        <w:t>项目实际情况</w:t>
      </w:r>
      <w:r>
        <w:rPr>
          <w:rFonts w:hint="eastAsia" w:ascii="新宋体" w:hAnsi="新宋体" w:eastAsia="新宋体" w:cs="新宋体"/>
          <w:sz w:val="21"/>
          <w:highlight w:val="none"/>
          <w:lang w:eastAsia="zh-CN"/>
        </w:rPr>
        <w:t>；</w:t>
      </w:r>
      <w:r>
        <w:rPr>
          <w:rFonts w:hint="eastAsia" w:ascii="新宋体" w:hAnsi="新宋体" w:eastAsia="新宋体" w:cs="新宋体"/>
          <w:bCs/>
          <w:color w:val="auto"/>
          <w:sz w:val="21"/>
          <w:highlight w:val="none"/>
          <w:lang w:eastAsia="zh-CN"/>
        </w:rPr>
        <w:fldChar w:fldCharType="begin"/>
      </w:r>
      <w:r>
        <w:rPr>
          <w:rFonts w:hint="eastAsia" w:ascii="新宋体" w:hAnsi="新宋体" w:eastAsia="新宋体" w:cs="新宋体"/>
          <w:bCs/>
          <w:color w:val="auto"/>
          <w:sz w:val="21"/>
          <w:highlight w:val="none"/>
          <w:lang w:eastAsia="zh-CN"/>
        </w:rPr>
        <w:instrText xml:space="preserve"> = 2 \* GB3 \* MERGEFORMAT </w:instrText>
      </w:r>
      <w:r>
        <w:rPr>
          <w:rFonts w:hint="eastAsia" w:ascii="新宋体" w:hAnsi="新宋体" w:eastAsia="新宋体" w:cs="新宋体"/>
          <w:bCs/>
          <w:color w:val="auto"/>
          <w:sz w:val="21"/>
          <w:highlight w:val="none"/>
          <w:lang w:eastAsia="zh-CN"/>
        </w:rPr>
        <w:fldChar w:fldCharType="separate"/>
      </w:r>
      <w:r>
        <w:rPr>
          <w:rFonts w:hint="eastAsia" w:ascii="新宋体" w:hAnsi="新宋体" w:eastAsia="新宋体" w:cs="新宋体"/>
          <w:highlight w:val="none"/>
        </w:rPr>
        <w:t>②</w:t>
      </w:r>
      <w:r>
        <w:rPr>
          <w:rFonts w:hint="eastAsia" w:ascii="新宋体" w:hAnsi="新宋体" w:eastAsia="新宋体" w:cs="新宋体"/>
          <w:bCs/>
          <w:color w:val="auto"/>
          <w:sz w:val="21"/>
          <w:highlight w:val="none"/>
          <w:lang w:eastAsia="zh-CN"/>
        </w:rPr>
        <w:fldChar w:fldCharType="end"/>
      </w:r>
      <w:r>
        <w:rPr>
          <w:rFonts w:hint="eastAsia" w:ascii="新宋体" w:hAnsi="新宋体" w:eastAsia="新宋体" w:cs="新宋体"/>
          <w:sz w:val="21"/>
          <w:highlight w:val="none"/>
        </w:rPr>
        <w:t>实施措施</w:t>
      </w:r>
      <w:r>
        <w:rPr>
          <w:rFonts w:hint="eastAsia" w:ascii="新宋体" w:hAnsi="新宋体" w:eastAsia="新宋体" w:cs="新宋体"/>
          <w:sz w:val="21"/>
          <w:highlight w:val="none"/>
          <w:lang w:eastAsia="zh-CN"/>
        </w:rPr>
        <w:t>；</w:t>
      </w:r>
      <w:r>
        <w:rPr>
          <w:rFonts w:hint="eastAsia" w:ascii="新宋体" w:hAnsi="新宋体" w:eastAsia="新宋体" w:cs="新宋体"/>
          <w:bCs/>
          <w:color w:val="auto"/>
          <w:sz w:val="21"/>
          <w:highlight w:val="none"/>
          <w:lang w:eastAsia="zh-CN"/>
        </w:rPr>
        <w:fldChar w:fldCharType="begin"/>
      </w:r>
      <w:r>
        <w:rPr>
          <w:rFonts w:hint="eastAsia" w:ascii="新宋体" w:hAnsi="新宋体" w:eastAsia="新宋体" w:cs="新宋体"/>
          <w:bCs/>
          <w:color w:val="auto"/>
          <w:sz w:val="21"/>
          <w:highlight w:val="none"/>
          <w:lang w:eastAsia="zh-CN"/>
        </w:rPr>
        <w:instrText xml:space="preserve"> = 3 \* GB3 \* MERGEFORMAT </w:instrText>
      </w:r>
      <w:r>
        <w:rPr>
          <w:rFonts w:hint="eastAsia" w:ascii="新宋体" w:hAnsi="新宋体" w:eastAsia="新宋体" w:cs="新宋体"/>
          <w:bCs/>
          <w:color w:val="auto"/>
          <w:sz w:val="21"/>
          <w:highlight w:val="none"/>
          <w:lang w:eastAsia="zh-CN"/>
        </w:rPr>
        <w:fldChar w:fldCharType="separate"/>
      </w:r>
      <w:r>
        <w:rPr>
          <w:rFonts w:hint="eastAsia" w:ascii="新宋体" w:hAnsi="新宋体" w:eastAsia="新宋体" w:cs="新宋体"/>
          <w:highlight w:val="none"/>
        </w:rPr>
        <w:t>③</w:t>
      </w:r>
      <w:r>
        <w:rPr>
          <w:rFonts w:hint="eastAsia" w:ascii="新宋体" w:hAnsi="新宋体" w:eastAsia="新宋体" w:cs="新宋体"/>
          <w:bCs/>
          <w:color w:val="auto"/>
          <w:sz w:val="21"/>
          <w:highlight w:val="none"/>
          <w:lang w:eastAsia="zh-CN"/>
        </w:rPr>
        <w:fldChar w:fldCharType="end"/>
      </w:r>
      <w:r>
        <w:rPr>
          <w:rFonts w:hint="eastAsia" w:ascii="新宋体" w:hAnsi="新宋体" w:eastAsia="新宋体" w:cs="新宋体"/>
          <w:sz w:val="21"/>
          <w:highlight w:val="none"/>
        </w:rPr>
        <w:t>安全文明措施等</w:t>
      </w:r>
      <w:r>
        <w:rPr>
          <w:rFonts w:hint="eastAsia" w:ascii="新宋体" w:hAnsi="新宋体" w:eastAsia="新宋体" w:cs="新宋体"/>
          <w:sz w:val="21"/>
          <w:highlight w:val="none"/>
          <w:lang w:val="en-US" w:eastAsia="zh-CN"/>
        </w:rPr>
        <w:t>3</w:t>
      </w:r>
      <w:r>
        <w:rPr>
          <w:rFonts w:hint="eastAsia" w:ascii="新宋体" w:hAnsi="新宋体" w:eastAsia="新宋体" w:cs="新宋体"/>
          <w:sz w:val="21"/>
          <w:highlight w:val="none"/>
        </w:rPr>
        <w:t>项内容进行综合评定，并按以下标准独立评分：</w:t>
      </w:r>
    </w:p>
    <w:p w14:paraId="3CE1AA20">
      <w:pPr>
        <w:pStyle w:val="14"/>
        <w:pageBreakBefore w:val="0"/>
        <w:widowControl w:val="0"/>
        <w:kinsoku/>
        <w:wordWrap/>
        <w:overflowPunct/>
        <w:topLinePunct w:val="0"/>
        <w:bidi w:val="0"/>
        <w:snapToGrid/>
        <w:spacing w:line="440" w:lineRule="exact"/>
        <w:ind w:firstLine="535" w:firstLineChars="255"/>
        <w:textAlignment w:val="auto"/>
        <w:rPr>
          <w:rFonts w:hint="eastAsia" w:ascii="新宋体" w:hAnsi="新宋体" w:eastAsia="新宋体" w:cs="新宋体"/>
          <w:b w:val="0"/>
          <w:bCs/>
          <w:color w:val="auto"/>
          <w:szCs w:val="21"/>
          <w:highlight w:val="none"/>
        </w:rPr>
      </w:pPr>
      <w:r>
        <w:rPr>
          <w:rFonts w:hint="eastAsia" w:ascii="新宋体" w:hAnsi="新宋体" w:eastAsia="新宋体" w:cs="新宋体"/>
          <w:b w:val="0"/>
          <w:bCs/>
          <w:color w:val="auto"/>
          <w:szCs w:val="21"/>
          <w:highlight w:val="none"/>
        </w:rPr>
        <w:t>优</w:t>
      </w:r>
      <w:r>
        <w:rPr>
          <w:rFonts w:hint="eastAsia" w:ascii="新宋体" w:hAnsi="新宋体" w:eastAsia="新宋体" w:cs="新宋体"/>
          <w:b w:val="0"/>
          <w:bCs/>
          <w:color w:val="auto"/>
          <w:szCs w:val="21"/>
          <w:highlight w:val="none"/>
          <w:lang w:eastAsia="zh-CN"/>
        </w:rPr>
        <w:t>（</w:t>
      </w:r>
      <w:r>
        <w:rPr>
          <w:rFonts w:hint="eastAsia" w:ascii="新宋体" w:hAnsi="新宋体" w:eastAsia="新宋体" w:cs="新宋体"/>
          <w:b w:val="0"/>
          <w:bCs w:val="0"/>
          <w:color w:val="auto"/>
          <w:kern w:val="0"/>
          <w:sz w:val="21"/>
          <w:szCs w:val="21"/>
          <w:highlight w:val="none"/>
          <w:lang w:val="en-US" w:eastAsia="zh-CN"/>
        </w:rPr>
        <w:t>4.0分</w:t>
      </w:r>
      <w:r>
        <w:rPr>
          <w:rFonts w:hint="eastAsia" w:ascii="新宋体" w:hAnsi="新宋体" w:eastAsia="新宋体" w:cs="新宋体"/>
          <w:b w:val="0"/>
          <w:bCs/>
          <w:color w:val="auto"/>
          <w:szCs w:val="21"/>
          <w:highlight w:val="none"/>
          <w:lang w:eastAsia="zh-CN"/>
        </w:rPr>
        <w:t>）</w:t>
      </w:r>
      <w:r>
        <w:rPr>
          <w:rFonts w:hint="eastAsia" w:ascii="新宋体" w:hAnsi="新宋体" w:eastAsia="新宋体" w:cs="新宋体"/>
          <w:b w:val="0"/>
          <w:bCs/>
          <w:color w:val="auto"/>
          <w:szCs w:val="21"/>
          <w:highlight w:val="none"/>
        </w:rPr>
        <w:t>：上述</w:t>
      </w:r>
      <w:r>
        <w:rPr>
          <w:rFonts w:hint="eastAsia" w:ascii="新宋体" w:hAnsi="新宋体" w:eastAsia="新宋体" w:cs="新宋体"/>
          <w:b w:val="0"/>
          <w:bCs/>
          <w:color w:val="auto"/>
          <w:szCs w:val="21"/>
          <w:highlight w:val="none"/>
          <w:lang w:val="en-US" w:eastAsia="zh-CN"/>
        </w:rPr>
        <w:t>3</w:t>
      </w:r>
      <w:r>
        <w:rPr>
          <w:rFonts w:hint="eastAsia" w:ascii="新宋体" w:hAnsi="新宋体" w:eastAsia="新宋体" w:cs="新宋体"/>
          <w:b w:val="0"/>
          <w:bCs/>
          <w:color w:val="auto"/>
          <w:szCs w:val="21"/>
          <w:highlight w:val="none"/>
        </w:rPr>
        <w:t>项全部评审内容经评审为完善、合理、可行的。</w:t>
      </w:r>
    </w:p>
    <w:p w14:paraId="2E88D34F">
      <w:pPr>
        <w:pStyle w:val="14"/>
        <w:pageBreakBefore w:val="0"/>
        <w:widowControl w:val="0"/>
        <w:kinsoku/>
        <w:wordWrap/>
        <w:overflowPunct/>
        <w:topLinePunct w:val="0"/>
        <w:bidi w:val="0"/>
        <w:snapToGrid/>
        <w:spacing w:line="440" w:lineRule="exact"/>
        <w:ind w:firstLine="535" w:firstLineChars="255"/>
        <w:textAlignment w:val="auto"/>
        <w:rPr>
          <w:rFonts w:hint="eastAsia" w:ascii="新宋体" w:hAnsi="新宋体" w:eastAsia="新宋体" w:cs="新宋体"/>
          <w:b w:val="0"/>
          <w:bCs/>
          <w:color w:val="auto"/>
          <w:szCs w:val="21"/>
          <w:highlight w:val="none"/>
        </w:rPr>
      </w:pPr>
      <w:r>
        <w:rPr>
          <w:rFonts w:hint="eastAsia" w:ascii="新宋体" w:hAnsi="新宋体" w:eastAsia="新宋体" w:cs="新宋体"/>
          <w:b w:val="0"/>
          <w:bCs/>
          <w:color w:val="auto"/>
          <w:szCs w:val="21"/>
          <w:highlight w:val="none"/>
        </w:rPr>
        <w:t>良</w:t>
      </w:r>
      <w:r>
        <w:rPr>
          <w:rFonts w:hint="eastAsia" w:ascii="新宋体" w:hAnsi="新宋体" w:eastAsia="新宋体" w:cs="新宋体"/>
          <w:b w:val="0"/>
          <w:bCs/>
          <w:color w:val="auto"/>
          <w:szCs w:val="21"/>
          <w:highlight w:val="none"/>
          <w:lang w:eastAsia="zh-CN"/>
        </w:rPr>
        <w:t>（</w:t>
      </w:r>
      <w:r>
        <w:rPr>
          <w:rFonts w:hint="eastAsia" w:ascii="新宋体" w:hAnsi="新宋体" w:eastAsia="新宋体" w:cs="新宋体"/>
          <w:b w:val="0"/>
          <w:bCs w:val="0"/>
          <w:color w:val="auto"/>
          <w:kern w:val="0"/>
          <w:sz w:val="21"/>
          <w:szCs w:val="21"/>
          <w:highlight w:val="none"/>
          <w:lang w:val="en-US" w:eastAsia="zh-CN"/>
        </w:rPr>
        <w:t>2.0分</w:t>
      </w:r>
      <w:r>
        <w:rPr>
          <w:rFonts w:hint="eastAsia" w:ascii="新宋体" w:hAnsi="新宋体" w:eastAsia="新宋体" w:cs="新宋体"/>
          <w:b w:val="0"/>
          <w:bCs/>
          <w:color w:val="auto"/>
          <w:szCs w:val="21"/>
          <w:highlight w:val="none"/>
          <w:lang w:eastAsia="zh-CN"/>
        </w:rPr>
        <w:t>）</w:t>
      </w:r>
      <w:r>
        <w:rPr>
          <w:rFonts w:hint="eastAsia" w:ascii="新宋体" w:hAnsi="新宋体" w:eastAsia="新宋体" w:cs="新宋体"/>
          <w:b w:val="0"/>
          <w:bCs/>
          <w:color w:val="auto"/>
          <w:szCs w:val="21"/>
          <w:highlight w:val="none"/>
        </w:rPr>
        <w:t>：上述</w:t>
      </w:r>
      <w:r>
        <w:rPr>
          <w:rFonts w:hint="eastAsia" w:ascii="新宋体" w:hAnsi="新宋体" w:eastAsia="新宋体" w:cs="新宋体"/>
          <w:b w:val="0"/>
          <w:bCs/>
          <w:color w:val="auto"/>
          <w:szCs w:val="21"/>
          <w:highlight w:val="none"/>
          <w:lang w:val="en-US" w:eastAsia="zh-CN"/>
        </w:rPr>
        <w:t>3</w:t>
      </w:r>
      <w:r>
        <w:rPr>
          <w:rFonts w:hint="eastAsia" w:ascii="新宋体" w:hAnsi="新宋体" w:eastAsia="新宋体" w:cs="新宋体"/>
          <w:b w:val="0"/>
          <w:bCs/>
          <w:color w:val="auto"/>
          <w:szCs w:val="21"/>
          <w:highlight w:val="none"/>
        </w:rPr>
        <w:t>项评审内容有</w:t>
      </w:r>
      <w:r>
        <w:rPr>
          <w:rFonts w:hint="eastAsia" w:ascii="新宋体" w:hAnsi="新宋体" w:eastAsia="新宋体" w:cs="新宋体"/>
          <w:b w:val="0"/>
          <w:bCs/>
          <w:color w:val="auto"/>
          <w:szCs w:val="21"/>
          <w:highlight w:val="none"/>
          <w:lang w:val="en-US" w:eastAsia="zh-CN"/>
        </w:rPr>
        <w:t>2</w:t>
      </w:r>
      <w:r>
        <w:rPr>
          <w:rFonts w:hint="eastAsia" w:ascii="新宋体" w:hAnsi="新宋体" w:eastAsia="新宋体" w:cs="新宋体"/>
          <w:b w:val="0"/>
          <w:bCs/>
          <w:color w:val="auto"/>
          <w:szCs w:val="21"/>
          <w:highlight w:val="none"/>
        </w:rPr>
        <w:t>项内容经评审为完善、合理、可行的。</w:t>
      </w:r>
    </w:p>
    <w:p w14:paraId="722E81B9">
      <w:pPr>
        <w:pStyle w:val="14"/>
        <w:pageBreakBefore w:val="0"/>
        <w:widowControl w:val="0"/>
        <w:kinsoku/>
        <w:wordWrap/>
        <w:overflowPunct/>
        <w:topLinePunct w:val="0"/>
        <w:bidi w:val="0"/>
        <w:snapToGrid/>
        <w:spacing w:line="440" w:lineRule="exact"/>
        <w:ind w:firstLine="535" w:firstLineChars="255"/>
        <w:textAlignment w:val="auto"/>
        <w:rPr>
          <w:rFonts w:hint="eastAsia" w:ascii="新宋体" w:hAnsi="新宋体" w:eastAsia="新宋体" w:cs="新宋体"/>
          <w:sz w:val="21"/>
          <w:highlight w:val="none"/>
        </w:rPr>
      </w:pPr>
      <w:r>
        <w:rPr>
          <w:rFonts w:hint="eastAsia" w:ascii="新宋体" w:hAnsi="新宋体" w:eastAsia="新宋体" w:cs="新宋体"/>
          <w:b w:val="0"/>
          <w:bCs/>
          <w:color w:val="auto"/>
          <w:szCs w:val="21"/>
          <w:highlight w:val="none"/>
        </w:rPr>
        <w:t>中</w:t>
      </w:r>
      <w:r>
        <w:rPr>
          <w:rFonts w:hint="eastAsia" w:ascii="新宋体" w:hAnsi="新宋体" w:eastAsia="新宋体" w:cs="新宋体"/>
          <w:b w:val="0"/>
          <w:bCs/>
          <w:color w:val="auto"/>
          <w:szCs w:val="21"/>
          <w:highlight w:val="none"/>
          <w:lang w:eastAsia="zh-CN"/>
        </w:rPr>
        <w:t>（</w:t>
      </w:r>
      <w:r>
        <w:rPr>
          <w:rFonts w:hint="eastAsia" w:ascii="新宋体" w:hAnsi="新宋体" w:eastAsia="新宋体" w:cs="新宋体"/>
          <w:b w:val="0"/>
          <w:bCs w:val="0"/>
          <w:color w:val="auto"/>
          <w:kern w:val="0"/>
          <w:sz w:val="21"/>
          <w:szCs w:val="21"/>
          <w:highlight w:val="none"/>
          <w:lang w:val="en-US" w:eastAsia="zh-CN"/>
        </w:rPr>
        <w:t>1.0分</w:t>
      </w:r>
      <w:r>
        <w:rPr>
          <w:rFonts w:hint="eastAsia" w:ascii="新宋体" w:hAnsi="新宋体" w:eastAsia="新宋体" w:cs="新宋体"/>
          <w:b w:val="0"/>
          <w:bCs/>
          <w:color w:val="auto"/>
          <w:szCs w:val="21"/>
          <w:highlight w:val="none"/>
          <w:lang w:eastAsia="zh-CN"/>
        </w:rPr>
        <w:t>）</w:t>
      </w:r>
      <w:r>
        <w:rPr>
          <w:rFonts w:hint="eastAsia" w:ascii="新宋体" w:hAnsi="新宋体" w:eastAsia="新宋体" w:cs="新宋体"/>
          <w:b w:val="0"/>
          <w:bCs/>
          <w:color w:val="auto"/>
          <w:szCs w:val="21"/>
          <w:highlight w:val="none"/>
        </w:rPr>
        <w:t>：</w:t>
      </w:r>
      <w:r>
        <w:rPr>
          <w:rFonts w:hint="eastAsia" w:ascii="新宋体" w:hAnsi="新宋体" w:eastAsia="新宋体" w:cs="新宋体"/>
          <w:sz w:val="21"/>
          <w:highlight w:val="none"/>
        </w:rPr>
        <w:t>上述</w:t>
      </w:r>
      <w:r>
        <w:rPr>
          <w:rFonts w:hint="eastAsia" w:ascii="新宋体" w:hAnsi="新宋体" w:eastAsia="新宋体" w:cs="新宋体"/>
          <w:sz w:val="21"/>
          <w:highlight w:val="none"/>
          <w:lang w:val="en-US" w:eastAsia="zh-CN"/>
        </w:rPr>
        <w:t>3</w:t>
      </w:r>
      <w:r>
        <w:rPr>
          <w:rFonts w:hint="eastAsia" w:ascii="新宋体" w:hAnsi="新宋体" w:eastAsia="新宋体" w:cs="新宋体"/>
          <w:sz w:val="21"/>
          <w:highlight w:val="none"/>
        </w:rPr>
        <w:t>项评审内容有</w:t>
      </w:r>
      <w:r>
        <w:rPr>
          <w:rFonts w:hint="eastAsia" w:ascii="新宋体" w:hAnsi="新宋体" w:eastAsia="新宋体" w:cs="新宋体"/>
          <w:sz w:val="21"/>
          <w:highlight w:val="none"/>
          <w:lang w:val="en-US" w:eastAsia="zh-CN"/>
        </w:rPr>
        <w:t>1</w:t>
      </w:r>
      <w:r>
        <w:rPr>
          <w:rFonts w:hint="eastAsia" w:ascii="新宋体" w:hAnsi="新宋体" w:eastAsia="新宋体" w:cs="新宋体"/>
          <w:sz w:val="21"/>
          <w:highlight w:val="none"/>
        </w:rPr>
        <w:t>项内容经评审为完善、合理、可行的。</w:t>
      </w:r>
    </w:p>
    <w:p w14:paraId="4EFE5F28">
      <w:pPr>
        <w:pStyle w:val="14"/>
        <w:pageBreakBefore w:val="0"/>
        <w:widowControl w:val="0"/>
        <w:kinsoku/>
        <w:wordWrap/>
        <w:overflowPunct/>
        <w:topLinePunct w:val="0"/>
        <w:bidi w:val="0"/>
        <w:snapToGrid/>
        <w:spacing w:line="440" w:lineRule="exact"/>
        <w:ind w:firstLine="535" w:firstLineChars="255"/>
        <w:textAlignment w:val="auto"/>
        <w:rPr>
          <w:rFonts w:hint="eastAsia" w:ascii="新宋体" w:hAnsi="新宋体" w:eastAsia="新宋体" w:cs="新宋体"/>
          <w:sz w:val="21"/>
          <w:highlight w:val="none"/>
        </w:rPr>
      </w:pPr>
      <w:r>
        <w:rPr>
          <w:rFonts w:hint="eastAsia" w:ascii="新宋体" w:hAnsi="新宋体" w:eastAsia="新宋体" w:cs="新宋体"/>
          <w:b w:val="0"/>
          <w:bCs/>
          <w:color w:val="auto"/>
          <w:szCs w:val="21"/>
          <w:highlight w:val="none"/>
        </w:rPr>
        <w:t>差</w:t>
      </w:r>
      <w:r>
        <w:rPr>
          <w:rFonts w:hint="eastAsia" w:ascii="新宋体" w:hAnsi="新宋体" w:eastAsia="新宋体" w:cs="新宋体"/>
          <w:b w:val="0"/>
          <w:bCs/>
          <w:color w:val="auto"/>
          <w:szCs w:val="21"/>
          <w:highlight w:val="none"/>
          <w:lang w:eastAsia="zh-CN"/>
        </w:rPr>
        <w:t>（</w:t>
      </w:r>
      <w:r>
        <w:rPr>
          <w:rFonts w:hint="eastAsia" w:ascii="新宋体" w:hAnsi="新宋体" w:eastAsia="新宋体" w:cs="新宋体"/>
          <w:b w:val="0"/>
          <w:bCs/>
          <w:color w:val="auto"/>
          <w:szCs w:val="21"/>
          <w:highlight w:val="none"/>
          <w:lang w:val="en-US" w:eastAsia="zh-CN"/>
        </w:rPr>
        <w:t>0</w:t>
      </w:r>
      <w:r>
        <w:rPr>
          <w:rFonts w:hint="eastAsia" w:ascii="新宋体" w:hAnsi="新宋体" w:eastAsia="新宋体" w:cs="新宋体"/>
          <w:b w:val="0"/>
          <w:bCs w:val="0"/>
          <w:color w:val="auto"/>
          <w:kern w:val="0"/>
          <w:sz w:val="21"/>
          <w:szCs w:val="21"/>
          <w:highlight w:val="none"/>
          <w:lang w:val="en-US" w:eastAsia="zh-CN"/>
        </w:rPr>
        <w:t>分</w:t>
      </w:r>
      <w:r>
        <w:rPr>
          <w:rFonts w:hint="eastAsia" w:ascii="新宋体" w:hAnsi="新宋体" w:eastAsia="新宋体" w:cs="新宋体"/>
          <w:b w:val="0"/>
          <w:bCs/>
          <w:color w:val="auto"/>
          <w:szCs w:val="21"/>
          <w:highlight w:val="none"/>
          <w:lang w:eastAsia="zh-CN"/>
        </w:rPr>
        <w:t>）</w:t>
      </w:r>
      <w:r>
        <w:rPr>
          <w:rFonts w:hint="eastAsia" w:ascii="新宋体" w:hAnsi="新宋体" w:eastAsia="新宋体" w:cs="新宋体"/>
          <w:b w:val="0"/>
          <w:bCs/>
          <w:color w:val="auto"/>
          <w:szCs w:val="21"/>
          <w:highlight w:val="none"/>
        </w:rPr>
        <w:t>：</w:t>
      </w:r>
      <w:r>
        <w:rPr>
          <w:rFonts w:hint="eastAsia" w:ascii="新宋体" w:hAnsi="新宋体" w:eastAsia="新宋体" w:cs="新宋体"/>
          <w:sz w:val="21"/>
          <w:highlight w:val="none"/>
        </w:rPr>
        <w:t>未达“</w:t>
      </w:r>
      <w:r>
        <w:rPr>
          <w:rFonts w:hint="eastAsia" w:ascii="新宋体" w:hAnsi="新宋体" w:eastAsia="新宋体" w:cs="新宋体"/>
          <w:sz w:val="21"/>
          <w:highlight w:val="none"/>
          <w:lang w:eastAsia="zh-CN"/>
        </w:rPr>
        <w:t>中</w:t>
      </w:r>
      <w:r>
        <w:rPr>
          <w:rFonts w:hint="eastAsia" w:ascii="新宋体" w:hAnsi="新宋体" w:eastAsia="新宋体" w:cs="新宋体"/>
          <w:sz w:val="21"/>
          <w:highlight w:val="none"/>
        </w:rPr>
        <w:t>”</w:t>
      </w:r>
      <w:r>
        <w:rPr>
          <w:rFonts w:hint="eastAsia" w:ascii="新宋体" w:hAnsi="新宋体" w:eastAsia="新宋体" w:cs="新宋体"/>
          <w:sz w:val="21"/>
          <w:highlight w:val="none"/>
          <w:lang w:eastAsia="zh-CN"/>
        </w:rPr>
        <w:t>档</w:t>
      </w:r>
      <w:r>
        <w:rPr>
          <w:rFonts w:hint="eastAsia" w:ascii="新宋体" w:hAnsi="新宋体" w:eastAsia="新宋体" w:cs="新宋体"/>
          <w:sz w:val="21"/>
          <w:highlight w:val="none"/>
        </w:rPr>
        <w:t>标准的，计0分。</w:t>
      </w:r>
    </w:p>
    <w:p w14:paraId="1A44492B">
      <w:pPr>
        <w:pStyle w:val="14"/>
        <w:pageBreakBefore w:val="0"/>
        <w:widowControl w:val="0"/>
        <w:kinsoku/>
        <w:wordWrap/>
        <w:overflowPunct/>
        <w:topLinePunct w:val="0"/>
        <w:bidi w:val="0"/>
        <w:snapToGrid/>
        <w:spacing w:line="440" w:lineRule="exact"/>
        <w:ind w:firstLine="535" w:firstLineChars="255"/>
        <w:textAlignment w:val="auto"/>
        <w:rPr>
          <w:rFonts w:hint="eastAsia" w:ascii="新宋体" w:hAnsi="新宋体" w:eastAsia="新宋体" w:cs="新宋体"/>
          <w:b w:val="0"/>
          <w:bCs/>
          <w:color w:val="auto"/>
          <w:szCs w:val="21"/>
          <w:highlight w:val="none"/>
        </w:rPr>
      </w:pPr>
      <w:r>
        <w:rPr>
          <w:rFonts w:hint="eastAsia" w:ascii="新宋体" w:hAnsi="新宋体" w:eastAsia="新宋体" w:cs="新宋体"/>
          <w:sz w:val="21"/>
          <w:highlight w:val="none"/>
        </w:rPr>
        <w:t>注：</w:t>
      </w:r>
      <w:r>
        <w:rPr>
          <w:rFonts w:hint="eastAsia" w:ascii="新宋体" w:hAnsi="新宋体" w:eastAsia="新宋体" w:cs="新宋体"/>
          <w:sz w:val="21"/>
          <w:highlight w:val="none"/>
          <w:lang w:eastAsia="zh-CN"/>
        </w:rPr>
        <w:t>磋商供应商响应文件</w:t>
      </w:r>
      <w:r>
        <w:rPr>
          <w:rFonts w:hint="eastAsia" w:ascii="新宋体" w:hAnsi="新宋体" w:eastAsia="新宋体" w:cs="新宋体"/>
          <w:sz w:val="21"/>
          <w:highlight w:val="none"/>
        </w:rPr>
        <w:t>中提供的项目实施方案未达到相应评审档次全部标准的，相应降低一个档次</w:t>
      </w:r>
      <w:r>
        <w:rPr>
          <w:rFonts w:hint="eastAsia" w:ascii="新宋体" w:hAnsi="新宋体" w:eastAsia="新宋体" w:cs="新宋体"/>
          <w:sz w:val="21"/>
          <w:highlight w:val="none"/>
          <w:lang w:eastAsia="zh-CN"/>
        </w:rPr>
        <w:t>。</w:t>
      </w:r>
    </w:p>
    <w:p w14:paraId="04AE8283">
      <w:pPr>
        <w:pStyle w:val="14"/>
        <w:pageBreakBefore w:val="0"/>
        <w:widowControl w:val="0"/>
        <w:kinsoku/>
        <w:wordWrap/>
        <w:overflowPunct/>
        <w:topLinePunct w:val="0"/>
        <w:bidi w:val="0"/>
        <w:snapToGrid/>
        <w:spacing w:line="440" w:lineRule="exact"/>
        <w:ind w:firstLine="211" w:firstLineChars="100"/>
        <w:textAlignment w:val="auto"/>
        <w:rPr>
          <w:rFonts w:hint="eastAsia" w:ascii="新宋体" w:hAnsi="新宋体" w:eastAsia="新宋体" w:cs="新宋体"/>
          <w:b/>
          <w:bCs w:val="0"/>
          <w:color w:val="auto"/>
          <w:szCs w:val="21"/>
          <w:highlight w:val="none"/>
        </w:rPr>
      </w:pPr>
      <w:r>
        <w:rPr>
          <w:rFonts w:hint="eastAsia" w:ascii="新宋体" w:hAnsi="新宋体" w:eastAsia="新宋体" w:cs="新宋体"/>
          <w:b/>
          <w:bCs w:val="0"/>
          <w:color w:val="auto"/>
          <w:szCs w:val="21"/>
          <w:highlight w:val="none"/>
        </w:rPr>
        <w:t>（8）质量保证与承诺</w:t>
      </w:r>
      <w:r>
        <w:rPr>
          <w:rFonts w:hint="eastAsia" w:ascii="新宋体" w:hAnsi="新宋体" w:eastAsia="新宋体" w:cs="新宋体"/>
          <w:b/>
          <w:bCs w:val="0"/>
          <w:color w:val="auto"/>
          <w:highlight w:val="none"/>
        </w:rPr>
        <w:t>………………</w:t>
      </w:r>
      <w:r>
        <w:rPr>
          <w:rFonts w:hint="eastAsia" w:ascii="新宋体" w:hAnsi="新宋体" w:eastAsia="新宋体" w:cs="新宋体"/>
          <w:b/>
          <w:bCs w:val="0"/>
          <w:color w:val="auto"/>
          <w:szCs w:val="21"/>
          <w:highlight w:val="none"/>
        </w:rPr>
        <w:t>…</w:t>
      </w:r>
      <w:r>
        <w:rPr>
          <w:rFonts w:hint="eastAsia" w:ascii="新宋体" w:hAnsi="新宋体" w:eastAsia="新宋体" w:cs="新宋体"/>
          <w:b/>
          <w:bCs w:val="0"/>
          <w:color w:val="auto"/>
          <w:highlight w:val="none"/>
        </w:rPr>
        <w:t>…………………………………</w:t>
      </w:r>
      <w:r>
        <w:rPr>
          <w:rFonts w:hint="eastAsia" w:ascii="新宋体" w:hAnsi="新宋体" w:eastAsia="新宋体" w:cs="新宋体"/>
          <w:b/>
          <w:bCs w:val="0"/>
          <w:color w:val="auto"/>
          <w:szCs w:val="21"/>
          <w:highlight w:val="none"/>
        </w:rPr>
        <w:t>…</w:t>
      </w:r>
      <w:r>
        <w:rPr>
          <w:rFonts w:hint="eastAsia" w:ascii="新宋体" w:hAnsi="新宋体" w:eastAsia="新宋体" w:cs="新宋体"/>
          <w:b/>
          <w:bCs w:val="0"/>
          <w:color w:val="auto"/>
          <w:highlight w:val="none"/>
        </w:rPr>
        <w:t>…………………………</w:t>
      </w:r>
      <w:r>
        <w:rPr>
          <w:rFonts w:hint="eastAsia" w:ascii="新宋体" w:hAnsi="新宋体" w:eastAsia="新宋体" w:cs="新宋体"/>
          <w:b/>
          <w:bCs w:val="0"/>
          <w:color w:val="auto"/>
          <w:szCs w:val="21"/>
          <w:highlight w:val="none"/>
          <w:lang w:val="en-US" w:eastAsia="zh-CN"/>
        </w:rPr>
        <w:t>5</w:t>
      </w:r>
      <w:r>
        <w:rPr>
          <w:rFonts w:hint="eastAsia" w:ascii="新宋体" w:hAnsi="新宋体" w:eastAsia="新宋体" w:cs="新宋体"/>
          <w:b/>
          <w:bCs w:val="0"/>
          <w:color w:val="auto"/>
          <w:szCs w:val="21"/>
          <w:highlight w:val="none"/>
        </w:rPr>
        <w:t>分</w:t>
      </w:r>
    </w:p>
    <w:p w14:paraId="703633E2">
      <w:pPr>
        <w:pStyle w:val="14"/>
        <w:pageBreakBefore w:val="0"/>
        <w:widowControl w:val="0"/>
        <w:kinsoku/>
        <w:wordWrap/>
        <w:overflowPunct/>
        <w:topLinePunct w:val="0"/>
        <w:bidi w:val="0"/>
        <w:snapToGrid/>
        <w:spacing w:line="440" w:lineRule="exact"/>
        <w:ind w:firstLine="535" w:firstLineChars="255"/>
        <w:textAlignment w:val="auto"/>
        <w:rPr>
          <w:rFonts w:hint="eastAsia" w:ascii="新宋体" w:hAnsi="新宋体" w:eastAsia="新宋体" w:cs="新宋体"/>
          <w:b w:val="0"/>
          <w:bCs/>
          <w:color w:val="auto"/>
          <w:szCs w:val="21"/>
          <w:highlight w:val="none"/>
        </w:rPr>
      </w:pPr>
      <w:r>
        <w:rPr>
          <w:rFonts w:hint="eastAsia" w:ascii="新宋体" w:hAnsi="新宋体" w:eastAsia="新宋体" w:cs="新宋体"/>
          <w:sz w:val="21"/>
          <w:highlight w:val="none"/>
          <w:lang w:eastAsia="zh-CN"/>
        </w:rPr>
        <w:t>磋商小组</w:t>
      </w:r>
      <w:r>
        <w:rPr>
          <w:rFonts w:hint="eastAsia" w:ascii="新宋体" w:hAnsi="新宋体" w:eastAsia="新宋体" w:cs="新宋体"/>
          <w:sz w:val="21"/>
          <w:highlight w:val="none"/>
        </w:rPr>
        <w:t>会</w:t>
      </w:r>
      <w:r>
        <w:rPr>
          <w:rFonts w:hint="eastAsia" w:ascii="新宋体" w:hAnsi="新宋体" w:eastAsia="新宋体" w:cs="新宋体"/>
          <w:sz w:val="21"/>
          <w:highlight w:val="none"/>
          <w:lang w:eastAsia="zh-CN"/>
        </w:rPr>
        <w:t>各成员</w:t>
      </w:r>
      <w:r>
        <w:rPr>
          <w:rFonts w:hint="eastAsia" w:ascii="新宋体" w:hAnsi="新宋体" w:eastAsia="新宋体" w:cs="新宋体"/>
          <w:sz w:val="21"/>
          <w:highlight w:val="none"/>
        </w:rPr>
        <w:t>对比各</w:t>
      </w:r>
      <w:r>
        <w:rPr>
          <w:rFonts w:hint="eastAsia" w:ascii="新宋体" w:hAnsi="新宋体" w:eastAsia="新宋体" w:cs="新宋体"/>
          <w:sz w:val="21"/>
          <w:highlight w:val="none"/>
          <w:lang w:eastAsia="zh-CN"/>
        </w:rPr>
        <w:t>磋商供应商</w:t>
      </w:r>
      <w:r>
        <w:rPr>
          <w:rFonts w:hint="eastAsia" w:ascii="新宋体" w:hAnsi="新宋体" w:eastAsia="新宋体" w:cs="新宋体"/>
          <w:sz w:val="21"/>
          <w:highlight w:val="none"/>
        </w:rPr>
        <w:t>提供的</w:t>
      </w:r>
      <w:r>
        <w:rPr>
          <w:rFonts w:hint="eastAsia" w:ascii="新宋体" w:hAnsi="新宋体" w:eastAsia="新宋体" w:cs="新宋体"/>
          <w:sz w:val="21"/>
          <w:highlight w:val="none"/>
        </w:rPr>
        <w:fldChar w:fldCharType="begin"/>
      </w:r>
      <w:r>
        <w:rPr>
          <w:rFonts w:hint="eastAsia" w:ascii="新宋体" w:hAnsi="新宋体" w:eastAsia="新宋体" w:cs="新宋体"/>
          <w:sz w:val="21"/>
          <w:highlight w:val="none"/>
        </w:rPr>
        <w:instrText xml:space="preserve"> = 1 \* GB3 \* MERGEFORMAT </w:instrText>
      </w:r>
      <w:r>
        <w:rPr>
          <w:rFonts w:hint="eastAsia" w:ascii="新宋体" w:hAnsi="新宋体" w:eastAsia="新宋体" w:cs="新宋体"/>
          <w:sz w:val="21"/>
          <w:highlight w:val="none"/>
        </w:rPr>
        <w:fldChar w:fldCharType="separate"/>
      </w:r>
      <w:r>
        <w:rPr>
          <w:rFonts w:hint="eastAsia" w:ascii="新宋体" w:hAnsi="新宋体" w:eastAsia="新宋体" w:cs="新宋体"/>
          <w:highlight w:val="none"/>
        </w:rPr>
        <w:t>①</w:t>
      </w:r>
      <w:r>
        <w:rPr>
          <w:rFonts w:hint="eastAsia" w:ascii="新宋体" w:hAnsi="新宋体" w:eastAsia="新宋体" w:cs="新宋体"/>
          <w:sz w:val="21"/>
          <w:highlight w:val="none"/>
        </w:rPr>
        <w:fldChar w:fldCharType="end"/>
      </w:r>
      <w:r>
        <w:rPr>
          <w:rFonts w:hint="eastAsia" w:ascii="新宋体" w:hAnsi="新宋体" w:eastAsia="新宋体" w:cs="新宋体"/>
          <w:b w:val="0"/>
          <w:bCs w:val="0"/>
          <w:color w:val="auto"/>
          <w:sz w:val="21"/>
          <w:highlight w:val="none"/>
          <w:lang w:val="en-US" w:eastAsia="zh-CN"/>
        </w:rPr>
        <w:t>主要施工方法；</w:t>
      </w:r>
      <w:r>
        <w:rPr>
          <w:rFonts w:hint="eastAsia" w:ascii="新宋体" w:hAnsi="新宋体" w:eastAsia="新宋体" w:cs="新宋体"/>
          <w:bCs/>
          <w:color w:val="auto"/>
          <w:sz w:val="21"/>
          <w:highlight w:val="none"/>
          <w:lang w:eastAsia="zh-CN"/>
        </w:rPr>
        <w:fldChar w:fldCharType="begin"/>
      </w:r>
      <w:r>
        <w:rPr>
          <w:rFonts w:hint="eastAsia" w:ascii="新宋体" w:hAnsi="新宋体" w:eastAsia="新宋体" w:cs="新宋体"/>
          <w:bCs/>
          <w:color w:val="auto"/>
          <w:sz w:val="21"/>
          <w:highlight w:val="none"/>
          <w:lang w:eastAsia="zh-CN"/>
        </w:rPr>
        <w:instrText xml:space="preserve"> = 2 \* GB3 \* MERGEFORMAT </w:instrText>
      </w:r>
      <w:r>
        <w:rPr>
          <w:rFonts w:hint="eastAsia" w:ascii="新宋体" w:hAnsi="新宋体" w:eastAsia="新宋体" w:cs="新宋体"/>
          <w:bCs/>
          <w:color w:val="auto"/>
          <w:sz w:val="21"/>
          <w:highlight w:val="none"/>
          <w:lang w:eastAsia="zh-CN"/>
        </w:rPr>
        <w:fldChar w:fldCharType="separate"/>
      </w:r>
      <w:r>
        <w:rPr>
          <w:rFonts w:hint="eastAsia" w:ascii="新宋体" w:hAnsi="新宋体" w:eastAsia="新宋体" w:cs="新宋体"/>
          <w:highlight w:val="none"/>
        </w:rPr>
        <w:t>②</w:t>
      </w:r>
      <w:r>
        <w:rPr>
          <w:rFonts w:hint="eastAsia" w:ascii="新宋体" w:hAnsi="新宋体" w:eastAsia="新宋体" w:cs="新宋体"/>
          <w:bCs/>
          <w:color w:val="auto"/>
          <w:sz w:val="21"/>
          <w:highlight w:val="none"/>
          <w:lang w:eastAsia="zh-CN"/>
        </w:rPr>
        <w:fldChar w:fldCharType="end"/>
      </w:r>
      <w:r>
        <w:rPr>
          <w:rFonts w:hint="eastAsia" w:ascii="新宋体" w:hAnsi="新宋体" w:eastAsia="新宋体" w:cs="新宋体"/>
          <w:b w:val="0"/>
          <w:bCs w:val="0"/>
          <w:color w:val="auto"/>
          <w:sz w:val="21"/>
          <w:highlight w:val="none"/>
          <w:lang w:val="en-US" w:eastAsia="zh-CN"/>
        </w:rPr>
        <w:t>质量管理体系；</w:t>
      </w:r>
      <w:r>
        <w:rPr>
          <w:rFonts w:hint="eastAsia" w:ascii="新宋体" w:hAnsi="新宋体" w:eastAsia="新宋体" w:cs="新宋体"/>
          <w:bCs/>
          <w:color w:val="auto"/>
          <w:sz w:val="21"/>
          <w:highlight w:val="none"/>
          <w:lang w:eastAsia="zh-CN"/>
        </w:rPr>
        <w:fldChar w:fldCharType="begin"/>
      </w:r>
      <w:r>
        <w:rPr>
          <w:rFonts w:hint="eastAsia" w:ascii="新宋体" w:hAnsi="新宋体" w:eastAsia="新宋体" w:cs="新宋体"/>
          <w:bCs/>
          <w:color w:val="auto"/>
          <w:sz w:val="21"/>
          <w:highlight w:val="none"/>
          <w:lang w:eastAsia="zh-CN"/>
        </w:rPr>
        <w:instrText xml:space="preserve"> = 3 \* GB3 \* MERGEFORMAT </w:instrText>
      </w:r>
      <w:r>
        <w:rPr>
          <w:rFonts w:hint="eastAsia" w:ascii="新宋体" w:hAnsi="新宋体" w:eastAsia="新宋体" w:cs="新宋体"/>
          <w:bCs/>
          <w:color w:val="auto"/>
          <w:sz w:val="21"/>
          <w:highlight w:val="none"/>
          <w:lang w:eastAsia="zh-CN"/>
        </w:rPr>
        <w:fldChar w:fldCharType="separate"/>
      </w:r>
      <w:r>
        <w:rPr>
          <w:rFonts w:hint="eastAsia" w:ascii="新宋体" w:hAnsi="新宋体" w:eastAsia="新宋体" w:cs="新宋体"/>
          <w:highlight w:val="none"/>
        </w:rPr>
        <w:t>③</w:t>
      </w:r>
      <w:r>
        <w:rPr>
          <w:rFonts w:hint="eastAsia" w:ascii="新宋体" w:hAnsi="新宋体" w:eastAsia="新宋体" w:cs="新宋体"/>
          <w:bCs/>
          <w:color w:val="auto"/>
          <w:sz w:val="21"/>
          <w:highlight w:val="none"/>
          <w:lang w:eastAsia="zh-CN"/>
        </w:rPr>
        <w:fldChar w:fldCharType="end"/>
      </w:r>
      <w:r>
        <w:rPr>
          <w:rFonts w:hint="eastAsia" w:ascii="新宋体" w:hAnsi="新宋体" w:eastAsia="新宋体" w:cs="新宋体"/>
          <w:b w:val="0"/>
          <w:bCs w:val="0"/>
          <w:color w:val="auto"/>
          <w:sz w:val="21"/>
          <w:highlight w:val="none"/>
          <w:lang w:val="en-US" w:eastAsia="zh-CN"/>
        </w:rPr>
        <w:t>保证措施；</w:t>
      </w:r>
      <w:r>
        <w:rPr>
          <w:rFonts w:hint="eastAsia" w:ascii="新宋体" w:hAnsi="新宋体" w:eastAsia="新宋体" w:cs="新宋体"/>
          <w:bCs/>
          <w:color w:val="auto"/>
          <w:sz w:val="21"/>
          <w:highlight w:val="none"/>
          <w:lang w:eastAsia="zh-CN"/>
        </w:rPr>
        <w:fldChar w:fldCharType="begin"/>
      </w:r>
      <w:r>
        <w:rPr>
          <w:rFonts w:hint="eastAsia" w:ascii="新宋体" w:hAnsi="新宋体" w:eastAsia="新宋体" w:cs="新宋体"/>
          <w:bCs/>
          <w:color w:val="auto"/>
          <w:sz w:val="21"/>
          <w:highlight w:val="none"/>
          <w:lang w:eastAsia="zh-CN"/>
        </w:rPr>
        <w:instrText xml:space="preserve"> = 4 \* GB3 \* MERGEFORMAT </w:instrText>
      </w:r>
      <w:r>
        <w:rPr>
          <w:rFonts w:hint="eastAsia" w:ascii="新宋体" w:hAnsi="新宋体" w:eastAsia="新宋体" w:cs="新宋体"/>
          <w:bCs/>
          <w:color w:val="auto"/>
          <w:sz w:val="21"/>
          <w:highlight w:val="none"/>
          <w:lang w:eastAsia="zh-CN"/>
        </w:rPr>
        <w:fldChar w:fldCharType="separate"/>
      </w:r>
      <w:r>
        <w:rPr>
          <w:rFonts w:hint="eastAsia" w:ascii="新宋体" w:hAnsi="新宋体" w:eastAsia="新宋体" w:cs="新宋体"/>
          <w:highlight w:val="none"/>
        </w:rPr>
        <w:t>④</w:t>
      </w:r>
      <w:r>
        <w:rPr>
          <w:rFonts w:hint="eastAsia" w:ascii="新宋体" w:hAnsi="新宋体" w:eastAsia="新宋体" w:cs="新宋体"/>
          <w:bCs/>
          <w:color w:val="auto"/>
          <w:sz w:val="21"/>
          <w:highlight w:val="none"/>
          <w:lang w:eastAsia="zh-CN"/>
        </w:rPr>
        <w:fldChar w:fldCharType="end"/>
      </w:r>
      <w:r>
        <w:rPr>
          <w:rFonts w:hint="eastAsia" w:ascii="新宋体" w:hAnsi="新宋体" w:eastAsia="新宋体" w:cs="新宋体"/>
          <w:b w:val="0"/>
          <w:bCs w:val="0"/>
          <w:color w:val="auto"/>
          <w:sz w:val="21"/>
          <w:highlight w:val="none"/>
          <w:lang w:val="en-US" w:eastAsia="zh-CN"/>
        </w:rPr>
        <w:t>质量保证承诺</w:t>
      </w:r>
      <w:r>
        <w:rPr>
          <w:rFonts w:hint="eastAsia" w:ascii="新宋体" w:hAnsi="新宋体" w:eastAsia="新宋体" w:cs="新宋体"/>
          <w:sz w:val="21"/>
          <w:highlight w:val="none"/>
        </w:rPr>
        <w:t>等</w:t>
      </w:r>
      <w:r>
        <w:rPr>
          <w:rFonts w:hint="eastAsia" w:ascii="新宋体" w:hAnsi="新宋体" w:eastAsia="新宋体" w:cs="新宋体"/>
          <w:sz w:val="21"/>
          <w:highlight w:val="none"/>
          <w:lang w:val="en-US" w:eastAsia="zh-CN"/>
        </w:rPr>
        <w:t>4</w:t>
      </w:r>
      <w:r>
        <w:rPr>
          <w:rFonts w:hint="eastAsia" w:ascii="新宋体" w:hAnsi="新宋体" w:eastAsia="新宋体" w:cs="新宋体"/>
          <w:sz w:val="21"/>
          <w:highlight w:val="none"/>
        </w:rPr>
        <w:t>项内容进行综合评定，并按以下标准独立评分：</w:t>
      </w:r>
    </w:p>
    <w:p w14:paraId="5159AA70">
      <w:pPr>
        <w:pStyle w:val="14"/>
        <w:pageBreakBefore w:val="0"/>
        <w:widowControl w:val="0"/>
        <w:kinsoku/>
        <w:wordWrap/>
        <w:overflowPunct/>
        <w:topLinePunct w:val="0"/>
        <w:bidi w:val="0"/>
        <w:snapToGrid/>
        <w:spacing w:line="440" w:lineRule="exact"/>
        <w:ind w:firstLine="535" w:firstLineChars="255"/>
        <w:textAlignment w:val="auto"/>
        <w:rPr>
          <w:rFonts w:hint="eastAsia" w:ascii="新宋体" w:hAnsi="新宋体" w:eastAsia="新宋体" w:cs="新宋体"/>
          <w:b w:val="0"/>
          <w:bCs/>
          <w:color w:val="auto"/>
          <w:szCs w:val="21"/>
          <w:highlight w:val="none"/>
        </w:rPr>
      </w:pPr>
      <w:r>
        <w:rPr>
          <w:rFonts w:hint="eastAsia" w:ascii="新宋体" w:hAnsi="新宋体" w:eastAsia="新宋体" w:cs="新宋体"/>
          <w:b w:val="0"/>
          <w:bCs/>
          <w:color w:val="auto"/>
          <w:szCs w:val="21"/>
          <w:highlight w:val="none"/>
        </w:rPr>
        <w:t>优</w:t>
      </w:r>
      <w:r>
        <w:rPr>
          <w:rFonts w:hint="eastAsia" w:ascii="新宋体" w:hAnsi="新宋体" w:eastAsia="新宋体" w:cs="新宋体"/>
          <w:b w:val="0"/>
          <w:bCs/>
          <w:color w:val="auto"/>
          <w:szCs w:val="21"/>
          <w:highlight w:val="none"/>
          <w:lang w:eastAsia="zh-CN"/>
        </w:rPr>
        <w:t>（</w:t>
      </w:r>
      <w:r>
        <w:rPr>
          <w:rFonts w:hint="eastAsia" w:ascii="新宋体" w:hAnsi="新宋体" w:eastAsia="新宋体" w:cs="新宋体"/>
          <w:b w:val="0"/>
          <w:bCs w:val="0"/>
          <w:color w:val="auto"/>
          <w:kern w:val="0"/>
          <w:sz w:val="21"/>
          <w:szCs w:val="21"/>
          <w:highlight w:val="none"/>
          <w:lang w:val="en-US" w:eastAsia="zh-CN"/>
        </w:rPr>
        <w:t>5.0分</w:t>
      </w:r>
      <w:r>
        <w:rPr>
          <w:rFonts w:hint="eastAsia" w:ascii="新宋体" w:hAnsi="新宋体" w:eastAsia="新宋体" w:cs="新宋体"/>
          <w:b w:val="0"/>
          <w:bCs/>
          <w:color w:val="auto"/>
          <w:szCs w:val="21"/>
          <w:highlight w:val="none"/>
          <w:lang w:eastAsia="zh-CN"/>
        </w:rPr>
        <w:t>）</w:t>
      </w:r>
      <w:r>
        <w:rPr>
          <w:rFonts w:hint="eastAsia" w:ascii="新宋体" w:hAnsi="新宋体" w:eastAsia="新宋体" w:cs="新宋体"/>
          <w:b w:val="0"/>
          <w:bCs/>
          <w:color w:val="auto"/>
          <w:szCs w:val="21"/>
          <w:highlight w:val="none"/>
        </w:rPr>
        <w:t>：上述</w:t>
      </w:r>
      <w:r>
        <w:rPr>
          <w:rFonts w:hint="eastAsia" w:ascii="新宋体" w:hAnsi="新宋体" w:eastAsia="新宋体" w:cs="新宋体"/>
          <w:b w:val="0"/>
          <w:bCs/>
          <w:color w:val="auto"/>
          <w:szCs w:val="21"/>
          <w:highlight w:val="none"/>
          <w:lang w:val="en-US" w:eastAsia="zh-CN"/>
        </w:rPr>
        <w:t>4</w:t>
      </w:r>
      <w:r>
        <w:rPr>
          <w:rFonts w:hint="eastAsia" w:ascii="新宋体" w:hAnsi="新宋体" w:eastAsia="新宋体" w:cs="新宋体"/>
          <w:b w:val="0"/>
          <w:bCs/>
          <w:color w:val="auto"/>
          <w:szCs w:val="21"/>
          <w:highlight w:val="none"/>
        </w:rPr>
        <w:t>项全部评审内容经评审为完善、合理、可行的。</w:t>
      </w:r>
    </w:p>
    <w:p w14:paraId="152DE5F2">
      <w:pPr>
        <w:pStyle w:val="14"/>
        <w:pageBreakBefore w:val="0"/>
        <w:widowControl w:val="0"/>
        <w:kinsoku/>
        <w:wordWrap/>
        <w:overflowPunct/>
        <w:topLinePunct w:val="0"/>
        <w:bidi w:val="0"/>
        <w:snapToGrid/>
        <w:spacing w:line="440" w:lineRule="exact"/>
        <w:ind w:firstLine="535" w:firstLineChars="255"/>
        <w:textAlignment w:val="auto"/>
        <w:rPr>
          <w:rFonts w:hint="eastAsia" w:ascii="新宋体" w:hAnsi="新宋体" w:eastAsia="新宋体" w:cs="新宋体"/>
          <w:b w:val="0"/>
          <w:bCs/>
          <w:color w:val="auto"/>
          <w:szCs w:val="21"/>
          <w:highlight w:val="none"/>
        </w:rPr>
      </w:pPr>
      <w:r>
        <w:rPr>
          <w:rFonts w:hint="eastAsia" w:ascii="新宋体" w:hAnsi="新宋体" w:eastAsia="新宋体" w:cs="新宋体"/>
          <w:b w:val="0"/>
          <w:bCs/>
          <w:color w:val="auto"/>
          <w:szCs w:val="21"/>
          <w:highlight w:val="none"/>
        </w:rPr>
        <w:t>良</w:t>
      </w:r>
      <w:r>
        <w:rPr>
          <w:rFonts w:hint="eastAsia" w:ascii="新宋体" w:hAnsi="新宋体" w:eastAsia="新宋体" w:cs="新宋体"/>
          <w:b w:val="0"/>
          <w:bCs/>
          <w:color w:val="auto"/>
          <w:szCs w:val="21"/>
          <w:highlight w:val="none"/>
          <w:lang w:eastAsia="zh-CN"/>
        </w:rPr>
        <w:t>（</w:t>
      </w:r>
      <w:r>
        <w:rPr>
          <w:rFonts w:hint="eastAsia" w:ascii="新宋体" w:hAnsi="新宋体" w:eastAsia="新宋体" w:cs="新宋体"/>
          <w:b w:val="0"/>
          <w:bCs w:val="0"/>
          <w:color w:val="auto"/>
          <w:kern w:val="0"/>
          <w:sz w:val="21"/>
          <w:szCs w:val="21"/>
          <w:highlight w:val="none"/>
          <w:lang w:val="en-US" w:eastAsia="zh-CN"/>
        </w:rPr>
        <w:t>3.0分</w:t>
      </w:r>
      <w:r>
        <w:rPr>
          <w:rFonts w:hint="eastAsia" w:ascii="新宋体" w:hAnsi="新宋体" w:eastAsia="新宋体" w:cs="新宋体"/>
          <w:b w:val="0"/>
          <w:bCs/>
          <w:color w:val="auto"/>
          <w:szCs w:val="21"/>
          <w:highlight w:val="none"/>
          <w:lang w:eastAsia="zh-CN"/>
        </w:rPr>
        <w:t>）</w:t>
      </w:r>
      <w:r>
        <w:rPr>
          <w:rFonts w:hint="eastAsia" w:ascii="新宋体" w:hAnsi="新宋体" w:eastAsia="新宋体" w:cs="新宋体"/>
          <w:b w:val="0"/>
          <w:bCs/>
          <w:color w:val="auto"/>
          <w:szCs w:val="21"/>
          <w:highlight w:val="none"/>
        </w:rPr>
        <w:t>：上述</w:t>
      </w:r>
      <w:r>
        <w:rPr>
          <w:rFonts w:hint="eastAsia" w:ascii="新宋体" w:hAnsi="新宋体" w:eastAsia="新宋体" w:cs="新宋体"/>
          <w:b w:val="0"/>
          <w:bCs/>
          <w:color w:val="auto"/>
          <w:szCs w:val="21"/>
          <w:highlight w:val="none"/>
          <w:lang w:val="en-US" w:eastAsia="zh-CN"/>
        </w:rPr>
        <w:t>4</w:t>
      </w:r>
      <w:r>
        <w:rPr>
          <w:rFonts w:hint="eastAsia" w:ascii="新宋体" w:hAnsi="新宋体" w:eastAsia="新宋体" w:cs="新宋体"/>
          <w:b w:val="0"/>
          <w:bCs/>
          <w:color w:val="auto"/>
          <w:szCs w:val="21"/>
          <w:highlight w:val="none"/>
        </w:rPr>
        <w:t>项评审内容有</w:t>
      </w:r>
      <w:r>
        <w:rPr>
          <w:rFonts w:hint="eastAsia" w:ascii="新宋体" w:hAnsi="新宋体" w:eastAsia="新宋体" w:cs="新宋体"/>
          <w:b w:val="0"/>
          <w:bCs/>
          <w:color w:val="auto"/>
          <w:szCs w:val="21"/>
          <w:highlight w:val="none"/>
          <w:lang w:val="en-US" w:eastAsia="zh-CN"/>
        </w:rPr>
        <w:t>2</w:t>
      </w:r>
      <w:r>
        <w:rPr>
          <w:rFonts w:hint="eastAsia" w:ascii="新宋体" w:hAnsi="新宋体" w:eastAsia="新宋体" w:cs="新宋体"/>
          <w:b w:val="0"/>
          <w:bCs/>
          <w:color w:val="auto"/>
          <w:szCs w:val="21"/>
          <w:highlight w:val="none"/>
        </w:rPr>
        <w:t>项内容经评审为完善、合理、可行的。</w:t>
      </w:r>
    </w:p>
    <w:p w14:paraId="4CD6EAA9">
      <w:pPr>
        <w:pStyle w:val="14"/>
        <w:pageBreakBefore w:val="0"/>
        <w:widowControl w:val="0"/>
        <w:kinsoku/>
        <w:wordWrap/>
        <w:overflowPunct/>
        <w:topLinePunct w:val="0"/>
        <w:bidi w:val="0"/>
        <w:snapToGrid/>
        <w:spacing w:line="440" w:lineRule="exact"/>
        <w:ind w:firstLine="535" w:firstLineChars="255"/>
        <w:textAlignment w:val="auto"/>
        <w:rPr>
          <w:rFonts w:hint="eastAsia" w:ascii="新宋体" w:hAnsi="新宋体" w:eastAsia="新宋体" w:cs="新宋体"/>
          <w:sz w:val="21"/>
          <w:highlight w:val="none"/>
        </w:rPr>
      </w:pPr>
      <w:r>
        <w:rPr>
          <w:rFonts w:hint="eastAsia" w:ascii="新宋体" w:hAnsi="新宋体" w:eastAsia="新宋体" w:cs="新宋体"/>
          <w:b w:val="0"/>
          <w:bCs/>
          <w:color w:val="auto"/>
          <w:szCs w:val="21"/>
          <w:highlight w:val="none"/>
        </w:rPr>
        <w:t>中</w:t>
      </w:r>
      <w:r>
        <w:rPr>
          <w:rFonts w:hint="eastAsia" w:ascii="新宋体" w:hAnsi="新宋体" w:eastAsia="新宋体" w:cs="新宋体"/>
          <w:b w:val="0"/>
          <w:bCs/>
          <w:color w:val="auto"/>
          <w:szCs w:val="21"/>
          <w:highlight w:val="none"/>
          <w:lang w:eastAsia="zh-CN"/>
        </w:rPr>
        <w:t>（</w:t>
      </w:r>
      <w:r>
        <w:rPr>
          <w:rFonts w:hint="eastAsia" w:ascii="新宋体" w:hAnsi="新宋体" w:eastAsia="新宋体" w:cs="新宋体"/>
          <w:b w:val="0"/>
          <w:bCs w:val="0"/>
          <w:color w:val="auto"/>
          <w:kern w:val="0"/>
          <w:sz w:val="21"/>
          <w:szCs w:val="21"/>
          <w:highlight w:val="none"/>
          <w:lang w:val="en-US" w:eastAsia="zh-CN"/>
        </w:rPr>
        <w:t>1.0分</w:t>
      </w:r>
      <w:r>
        <w:rPr>
          <w:rFonts w:hint="eastAsia" w:ascii="新宋体" w:hAnsi="新宋体" w:eastAsia="新宋体" w:cs="新宋体"/>
          <w:b w:val="0"/>
          <w:bCs/>
          <w:color w:val="auto"/>
          <w:szCs w:val="21"/>
          <w:highlight w:val="none"/>
          <w:lang w:eastAsia="zh-CN"/>
        </w:rPr>
        <w:t>）</w:t>
      </w:r>
      <w:r>
        <w:rPr>
          <w:rFonts w:hint="eastAsia" w:ascii="新宋体" w:hAnsi="新宋体" w:eastAsia="新宋体" w:cs="新宋体"/>
          <w:b w:val="0"/>
          <w:bCs/>
          <w:color w:val="auto"/>
          <w:szCs w:val="21"/>
          <w:highlight w:val="none"/>
        </w:rPr>
        <w:t>：</w:t>
      </w:r>
      <w:r>
        <w:rPr>
          <w:rFonts w:hint="eastAsia" w:ascii="新宋体" w:hAnsi="新宋体" w:eastAsia="新宋体" w:cs="新宋体"/>
          <w:sz w:val="21"/>
          <w:highlight w:val="none"/>
        </w:rPr>
        <w:t>上述</w:t>
      </w:r>
      <w:r>
        <w:rPr>
          <w:rFonts w:hint="eastAsia" w:ascii="新宋体" w:hAnsi="新宋体" w:eastAsia="新宋体" w:cs="新宋体"/>
          <w:sz w:val="21"/>
          <w:highlight w:val="none"/>
          <w:lang w:val="en-US" w:eastAsia="zh-CN"/>
        </w:rPr>
        <w:t>4</w:t>
      </w:r>
      <w:r>
        <w:rPr>
          <w:rFonts w:hint="eastAsia" w:ascii="新宋体" w:hAnsi="新宋体" w:eastAsia="新宋体" w:cs="新宋体"/>
          <w:sz w:val="21"/>
          <w:highlight w:val="none"/>
        </w:rPr>
        <w:t>项评审内容有</w:t>
      </w:r>
      <w:r>
        <w:rPr>
          <w:rFonts w:hint="eastAsia" w:ascii="新宋体" w:hAnsi="新宋体" w:eastAsia="新宋体" w:cs="新宋体"/>
          <w:sz w:val="21"/>
          <w:highlight w:val="none"/>
          <w:lang w:val="en-US" w:eastAsia="zh-CN"/>
        </w:rPr>
        <w:t>1</w:t>
      </w:r>
      <w:r>
        <w:rPr>
          <w:rFonts w:hint="eastAsia" w:ascii="新宋体" w:hAnsi="新宋体" w:eastAsia="新宋体" w:cs="新宋体"/>
          <w:sz w:val="21"/>
          <w:highlight w:val="none"/>
        </w:rPr>
        <w:t>项内容经评审为完善、合理、可行的。</w:t>
      </w:r>
    </w:p>
    <w:p w14:paraId="1F523B8E">
      <w:pPr>
        <w:pStyle w:val="14"/>
        <w:pageBreakBefore w:val="0"/>
        <w:widowControl w:val="0"/>
        <w:kinsoku/>
        <w:wordWrap/>
        <w:overflowPunct/>
        <w:topLinePunct w:val="0"/>
        <w:bidi w:val="0"/>
        <w:snapToGrid/>
        <w:spacing w:line="440" w:lineRule="exact"/>
        <w:ind w:firstLine="535" w:firstLineChars="255"/>
        <w:textAlignment w:val="auto"/>
        <w:rPr>
          <w:rFonts w:hint="eastAsia" w:ascii="新宋体" w:hAnsi="新宋体" w:eastAsia="新宋体" w:cs="新宋体"/>
          <w:sz w:val="21"/>
          <w:highlight w:val="none"/>
        </w:rPr>
      </w:pPr>
      <w:r>
        <w:rPr>
          <w:rFonts w:hint="eastAsia" w:ascii="新宋体" w:hAnsi="新宋体" w:eastAsia="新宋体" w:cs="新宋体"/>
          <w:b w:val="0"/>
          <w:bCs/>
          <w:color w:val="auto"/>
          <w:szCs w:val="21"/>
          <w:highlight w:val="none"/>
        </w:rPr>
        <w:t>差</w:t>
      </w:r>
      <w:r>
        <w:rPr>
          <w:rFonts w:hint="eastAsia" w:ascii="新宋体" w:hAnsi="新宋体" w:eastAsia="新宋体" w:cs="新宋体"/>
          <w:b w:val="0"/>
          <w:bCs/>
          <w:color w:val="auto"/>
          <w:szCs w:val="21"/>
          <w:highlight w:val="none"/>
          <w:lang w:eastAsia="zh-CN"/>
        </w:rPr>
        <w:t>（</w:t>
      </w:r>
      <w:r>
        <w:rPr>
          <w:rFonts w:hint="eastAsia" w:ascii="新宋体" w:hAnsi="新宋体" w:eastAsia="新宋体" w:cs="新宋体"/>
          <w:b w:val="0"/>
          <w:bCs/>
          <w:color w:val="auto"/>
          <w:szCs w:val="21"/>
          <w:highlight w:val="none"/>
          <w:lang w:val="en-US" w:eastAsia="zh-CN"/>
        </w:rPr>
        <w:t>0</w:t>
      </w:r>
      <w:r>
        <w:rPr>
          <w:rFonts w:hint="eastAsia" w:ascii="新宋体" w:hAnsi="新宋体" w:eastAsia="新宋体" w:cs="新宋体"/>
          <w:b w:val="0"/>
          <w:bCs w:val="0"/>
          <w:color w:val="auto"/>
          <w:kern w:val="0"/>
          <w:sz w:val="21"/>
          <w:szCs w:val="21"/>
          <w:highlight w:val="none"/>
          <w:lang w:val="en-US" w:eastAsia="zh-CN"/>
        </w:rPr>
        <w:t>分</w:t>
      </w:r>
      <w:r>
        <w:rPr>
          <w:rFonts w:hint="eastAsia" w:ascii="新宋体" w:hAnsi="新宋体" w:eastAsia="新宋体" w:cs="新宋体"/>
          <w:b w:val="0"/>
          <w:bCs/>
          <w:color w:val="auto"/>
          <w:szCs w:val="21"/>
          <w:highlight w:val="none"/>
          <w:lang w:eastAsia="zh-CN"/>
        </w:rPr>
        <w:t>）</w:t>
      </w:r>
      <w:r>
        <w:rPr>
          <w:rFonts w:hint="eastAsia" w:ascii="新宋体" w:hAnsi="新宋体" w:eastAsia="新宋体" w:cs="新宋体"/>
          <w:b w:val="0"/>
          <w:bCs/>
          <w:color w:val="auto"/>
          <w:szCs w:val="21"/>
          <w:highlight w:val="none"/>
        </w:rPr>
        <w:t>：</w:t>
      </w:r>
      <w:r>
        <w:rPr>
          <w:rFonts w:hint="eastAsia" w:ascii="新宋体" w:hAnsi="新宋体" w:eastAsia="新宋体" w:cs="新宋体"/>
          <w:sz w:val="21"/>
          <w:highlight w:val="none"/>
        </w:rPr>
        <w:t>未达“</w:t>
      </w:r>
      <w:r>
        <w:rPr>
          <w:rFonts w:hint="eastAsia" w:ascii="新宋体" w:hAnsi="新宋体" w:eastAsia="新宋体" w:cs="新宋体"/>
          <w:sz w:val="21"/>
          <w:highlight w:val="none"/>
          <w:lang w:eastAsia="zh-CN"/>
        </w:rPr>
        <w:t>中</w:t>
      </w:r>
      <w:r>
        <w:rPr>
          <w:rFonts w:hint="eastAsia" w:ascii="新宋体" w:hAnsi="新宋体" w:eastAsia="新宋体" w:cs="新宋体"/>
          <w:sz w:val="21"/>
          <w:highlight w:val="none"/>
        </w:rPr>
        <w:t>”</w:t>
      </w:r>
      <w:r>
        <w:rPr>
          <w:rFonts w:hint="eastAsia" w:ascii="新宋体" w:hAnsi="新宋体" w:eastAsia="新宋体" w:cs="新宋体"/>
          <w:sz w:val="21"/>
          <w:highlight w:val="none"/>
          <w:lang w:eastAsia="zh-CN"/>
        </w:rPr>
        <w:t>档</w:t>
      </w:r>
      <w:r>
        <w:rPr>
          <w:rFonts w:hint="eastAsia" w:ascii="新宋体" w:hAnsi="新宋体" w:eastAsia="新宋体" w:cs="新宋体"/>
          <w:sz w:val="21"/>
          <w:highlight w:val="none"/>
        </w:rPr>
        <w:t>标准的，计0分。</w:t>
      </w:r>
    </w:p>
    <w:p w14:paraId="219F36EC">
      <w:pPr>
        <w:pStyle w:val="14"/>
        <w:pageBreakBefore w:val="0"/>
        <w:widowControl w:val="0"/>
        <w:kinsoku/>
        <w:wordWrap/>
        <w:overflowPunct/>
        <w:topLinePunct w:val="0"/>
        <w:bidi w:val="0"/>
        <w:snapToGrid/>
        <w:spacing w:line="440" w:lineRule="exact"/>
        <w:ind w:firstLine="210" w:firstLineChars="100"/>
        <w:textAlignment w:val="auto"/>
        <w:rPr>
          <w:rFonts w:hint="eastAsia" w:ascii="新宋体" w:hAnsi="新宋体" w:eastAsia="新宋体" w:cs="新宋体"/>
          <w:b/>
          <w:bCs w:val="0"/>
          <w:color w:val="auto"/>
          <w:szCs w:val="21"/>
          <w:highlight w:val="none"/>
        </w:rPr>
      </w:pPr>
      <w:r>
        <w:rPr>
          <w:rFonts w:hint="eastAsia" w:ascii="新宋体" w:hAnsi="新宋体" w:eastAsia="新宋体" w:cs="新宋体"/>
          <w:sz w:val="21"/>
          <w:highlight w:val="none"/>
        </w:rPr>
        <w:t>注：</w:t>
      </w:r>
      <w:r>
        <w:rPr>
          <w:rFonts w:hint="eastAsia" w:ascii="新宋体" w:hAnsi="新宋体" w:eastAsia="新宋体" w:cs="新宋体"/>
          <w:sz w:val="21"/>
          <w:highlight w:val="none"/>
          <w:lang w:eastAsia="zh-CN"/>
        </w:rPr>
        <w:t>磋商供应商响应文件</w:t>
      </w:r>
      <w:r>
        <w:rPr>
          <w:rFonts w:hint="eastAsia" w:ascii="新宋体" w:hAnsi="新宋体" w:eastAsia="新宋体" w:cs="新宋体"/>
          <w:sz w:val="21"/>
          <w:highlight w:val="none"/>
        </w:rPr>
        <w:t>中提供的项目实施方案未达到相应评审档次全部标准的，相应降低一个档次</w:t>
      </w:r>
      <w:r>
        <w:rPr>
          <w:rFonts w:hint="eastAsia" w:ascii="新宋体" w:hAnsi="新宋体" w:eastAsia="新宋体" w:cs="新宋体"/>
          <w:sz w:val="21"/>
          <w:highlight w:val="none"/>
          <w:lang w:eastAsia="zh-CN"/>
        </w:rPr>
        <w:t>。</w:t>
      </w:r>
      <w:r>
        <w:rPr>
          <w:rFonts w:hint="eastAsia" w:ascii="新宋体" w:hAnsi="新宋体" w:eastAsia="新宋体" w:cs="新宋体"/>
          <w:b/>
          <w:bCs w:val="0"/>
          <w:color w:val="auto"/>
          <w:szCs w:val="21"/>
          <w:highlight w:val="none"/>
        </w:rPr>
        <w:t>（9）新技术应用与承诺</w:t>
      </w:r>
      <w:r>
        <w:rPr>
          <w:rFonts w:hint="eastAsia" w:ascii="新宋体" w:hAnsi="新宋体" w:eastAsia="新宋体" w:cs="新宋体"/>
          <w:b/>
          <w:bCs w:val="0"/>
          <w:color w:val="auto"/>
          <w:highlight w:val="none"/>
        </w:rPr>
        <w:t>………………</w:t>
      </w:r>
      <w:r>
        <w:rPr>
          <w:rFonts w:hint="eastAsia" w:ascii="新宋体" w:hAnsi="新宋体" w:eastAsia="新宋体" w:cs="新宋体"/>
          <w:b/>
          <w:bCs w:val="0"/>
          <w:color w:val="auto"/>
          <w:szCs w:val="21"/>
          <w:highlight w:val="none"/>
        </w:rPr>
        <w:t>…</w:t>
      </w:r>
      <w:r>
        <w:rPr>
          <w:rFonts w:hint="eastAsia" w:ascii="新宋体" w:hAnsi="新宋体" w:eastAsia="新宋体" w:cs="新宋体"/>
          <w:b/>
          <w:bCs w:val="0"/>
          <w:color w:val="auto"/>
          <w:highlight w:val="none"/>
        </w:rPr>
        <w:t>…………………</w:t>
      </w:r>
      <w:r>
        <w:rPr>
          <w:rFonts w:hint="eastAsia" w:ascii="新宋体" w:hAnsi="新宋体" w:eastAsia="新宋体" w:cs="新宋体"/>
          <w:b/>
          <w:bCs w:val="0"/>
          <w:color w:val="auto"/>
          <w:szCs w:val="21"/>
          <w:highlight w:val="none"/>
        </w:rPr>
        <w:t>…</w:t>
      </w:r>
      <w:r>
        <w:rPr>
          <w:rFonts w:hint="eastAsia" w:ascii="新宋体" w:hAnsi="新宋体" w:eastAsia="新宋体" w:cs="新宋体"/>
          <w:b/>
          <w:bCs w:val="0"/>
          <w:color w:val="auto"/>
          <w:highlight w:val="none"/>
        </w:rPr>
        <w:t>………</w:t>
      </w:r>
      <w:r>
        <w:rPr>
          <w:rFonts w:hint="eastAsia" w:ascii="新宋体" w:hAnsi="新宋体" w:eastAsia="新宋体" w:cs="新宋体"/>
          <w:b/>
          <w:bCs w:val="0"/>
          <w:color w:val="auto"/>
          <w:szCs w:val="21"/>
          <w:highlight w:val="none"/>
        </w:rPr>
        <w:t>…</w:t>
      </w:r>
      <w:r>
        <w:rPr>
          <w:rFonts w:hint="eastAsia" w:ascii="新宋体" w:hAnsi="新宋体" w:eastAsia="新宋体" w:cs="新宋体"/>
          <w:b/>
          <w:bCs w:val="0"/>
          <w:color w:val="auto"/>
          <w:highlight w:val="none"/>
        </w:rPr>
        <w:t>………</w:t>
      </w:r>
      <w:r>
        <w:rPr>
          <w:rFonts w:hint="eastAsia" w:ascii="新宋体" w:hAnsi="新宋体" w:eastAsia="新宋体" w:cs="新宋体"/>
          <w:b/>
          <w:bCs w:val="0"/>
          <w:color w:val="auto"/>
          <w:szCs w:val="21"/>
          <w:highlight w:val="none"/>
        </w:rPr>
        <w:t>…</w:t>
      </w:r>
      <w:r>
        <w:rPr>
          <w:rFonts w:hint="eastAsia" w:ascii="新宋体" w:hAnsi="新宋体" w:eastAsia="新宋体" w:cs="新宋体"/>
          <w:b/>
          <w:bCs w:val="0"/>
          <w:color w:val="auto"/>
          <w:highlight w:val="none"/>
        </w:rPr>
        <w:t>…………</w:t>
      </w:r>
      <w:r>
        <w:rPr>
          <w:rFonts w:hint="eastAsia" w:ascii="新宋体" w:hAnsi="新宋体" w:eastAsia="新宋体" w:cs="新宋体"/>
          <w:b/>
          <w:bCs w:val="0"/>
          <w:color w:val="auto"/>
          <w:szCs w:val="21"/>
          <w:highlight w:val="none"/>
        </w:rPr>
        <w:t>…</w:t>
      </w:r>
      <w:r>
        <w:rPr>
          <w:rFonts w:hint="eastAsia" w:ascii="新宋体" w:hAnsi="新宋体" w:eastAsia="新宋体" w:cs="新宋体"/>
          <w:b/>
          <w:bCs w:val="0"/>
          <w:color w:val="auto"/>
          <w:highlight w:val="none"/>
        </w:rPr>
        <w:t>…</w:t>
      </w:r>
      <w:r>
        <w:rPr>
          <w:rFonts w:hint="eastAsia" w:ascii="新宋体" w:hAnsi="新宋体" w:eastAsia="新宋体" w:cs="新宋体"/>
          <w:b/>
          <w:bCs w:val="0"/>
          <w:color w:val="auto"/>
          <w:szCs w:val="21"/>
          <w:highlight w:val="none"/>
        </w:rPr>
        <w:t>…</w:t>
      </w:r>
      <w:r>
        <w:rPr>
          <w:rFonts w:hint="eastAsia" w:ascii="新宋体" w:hAnsi="新宋体" w:eastAsia="新宋体" w:cs="新宋体"/>
          <w:b/>
          <w:bCs w:val="0"/>
          <w:color w:val="auto"/>
          <w:highlight w:val="none"/>
        </w:rPr>
        <w:t>……</w:t>
      </w:r>
      <w:r>
        <w:rPr>
          <w:rFonts w:hint="eastAsia" w:ascii="新宋体" w:hAnsi="新宋体" w:eastAsia="新宋体" w:cs="新宋体"/>
          <w:b/>
          <w:bCs w:val="0"/>
          <w:color w:val="auto"/>
          <w:szCs w:val="21"/>
          <w:highlight w:val="none"/>
          <w:lang w:val="en-US" w:eastAsia="zh-CN"/>
        </w:rPr>
        <w:t>3</w:t>
      </w:r>
      <w:r>
        <w:rPr>
          <w:rFonts w:hint="eastAsia" w:ascii="新宋体" w:hAnsi="新宋体" w:eastAsia="新宋体" w:cs="新宋体"/>
          <w:b/>
          <w:bCs w:val="0"/>
          <w:color w:val="auto"/>
          <w:szCs w:val="21"/>
          <w:highlight w:val="none"/>
        </w:rPr>
        <w:t>分</w:t>
      </w:r>
    </w:p>
    <w:p w14:paraId="49BEBB30">
      <w:pPr>
        <w:pStyle w:val="14"/>
        <w:pageBreakBefore w:val="0"/>
        <w:widowControl w:val="0"/>
        <w:kinsoku/>
        <w:wordWrap/>
        <w:overflowPunct/>
        <w:topLinePunct w:val="0"/>
        <w:bidi w:val="0"/>
        <w:snapToGrid/>
        <w:spacing w:line="440" w:lineRule="exact"/>
        <w:ind w:firstLine="535" w:firstLineChars="255"/>
        <w:textAlignment w:val="auto"/>
        <w:rPr>
          <w:rFonts w:hint="eastAsia" w:ascii="新宋体" w:hAnsi="新宋体" w:eastAsia="新宋体" w:cs="新宋体"/>
          <w:color w:val="auto"/>
          <w:highlight w:val="none"/>
        </w:rPr>
      </w:pPr>
      <w:r>
        <w:rPr>
          <w:rFonts w:hint="eastAsia" w:ascii="新宋体" w:hAnsi="新宋体" w:eastAsia="新宋体" w:cs="新宋体"/>
          <w:color w:val="auto"/>
          <w:highlight w:val="none"/>
        </w:rPr>
        <w:t>优</w:t>
      </w:r>
      <w:r>
        <w:rPr>
          <w:rFonts w:hint="eastAsia" w:ascii="新宋体" w:hAnsi="新宋体" w:eastAsia="新宋体" w:cs="新宋体"/>
          <w:color w:val="auto"/>
          <w:highlight w:val="none"/>
          <w:lang w:eastAsia="zh-CN"/>
        </w:rPr>
        <w:t>（</w:t>
      </w:r>
      <w:r>
        <w:rPr>
          <w:rFonts w:hint="eastAsia" w:ascii="新宋体" w:hAnsi="新宋体" w:eastAsia="新宋体" w:cs="新宋体"/>
          <w:b w:val="0"/>
          <w:bCs w:val="0"/>
          <w:color w:val="auto"/>
          <w:kern w:val="0"/>
          <w:sz w:val="21"/>
          <w:szCs w:val="21"/>
          <w:highlight w:val="none"/>
          <w:lang w:val="en-US" w:eastAsia="zh-CN"/>
        </w:rPr>
        <w:t>3.0分</w:t>
      </w:r>
      <w:r>
        <w:rPr>
          <w:rFonts w:hint="eastAsia" w:ascii="新宋体" w:hAnsi="新宋体" w:eastAsia="新宋体" w:cs="新宋体"/>
          <w:color w:val="auto"/>
          <w:highlight w:val="none"/>
          <w:lang w:eastAsia="zh-CN"/>
        </w:rPr>
        <w:t>）</w:t>
      </w:r>
      <w:r>
        <w:rPr>
          <w:rFonts w:hint="eastAsia" w:ascii="新宋体" w:hAnsi="新宋体" w:eastAsia="新宋体" w:cs="新宋体"/>
          <w:color w:val="auto"/>
          <w:highlight w:val="none"/>
        </w:rPr>
        <w:t>：针对项目实际，提出采用新技术的具体措施。新技术的验证材料可靠，对节约投资和工期的保证措施得力、具体、严谨。对采用新技术可能产生的风险预见充分，对新技术的实施有安全生产的可靠方案。</w:t>
      </w:r>
    </w:p>
    <w:p w14:paraId="365419CA">
      <w:pPr>
        <w:pStyle w:val="14"/>
        <w:pageBreakBefore w:val="0"/>
        <w:widowControl w:val="0"/>
        <w:kinsoku/>
        <w:wordWrap/>
        <w:overflowPunct/>
        <w:topLinePunct w:val="0"/>
        <w:bidi w:val="0"/>
        <w:snapToGrid/>
        <w:spacing w:line="440" w:lineRule="exact"/>
        <w:ind w:firstLine="535" w:firstLineChars="255"/>
        <w:textAlignment w:val="auto"/>
        <w:rPr>
          <w:rFonts w:hint="eastAsia" w:ascii="新宋体" w:hAnsi="新宋体" w:eastAsia="新宋体" w:cs="新宋体"/>
          <w:color w:val="auto"/>
          <w:highlight w:val="none"/>
        </w:rPr>
      </w:pPr>
      <w:r>
        <w:rPr>
          <w:rFonts w:hint="eastAsia" w:ascii="新宋体" w:hAnsi="新宋体" w:eastAsia="新宋体" w:cs="新宋体"/>
          <w:color w:val="auto"/>
          <w:highlight w:val="none"/>
        </w:rPr>
        <w:t>良</w:t>
      </w:r>
      <w:r>
        <w:rPr>
          <w:rFonts w:hint="eastAsia" w:ascii="新宋体" w:hAnsi="新宋体" w:eastAsia="新宋体" w:cs="新宋体"/>
          <w:color w:val="auto"/>
          <w:highlight w:val="none"/>
          <w:lang w:eastAsia="zh-CN"/>
        </w:rPr>
        <w:t>（</w:t>
      </w:r>
      <w:r>
        <w:rPr>
          <w:rFonts w:hint="eastAsia" w:ascii="新宋体" w:hAnsi="新宋体" w:eastAsia="新宋体" w:cs="新宋体"/>
          <w:b w:val="0"/>
          <w:bCs w:val="0"/>
          <w:color w:val="auto"/>
          <w:kern w:val="0"/>
          <w:sz w:val="21"/>
          <w:szCs w:val="21"/>
          <w:highlight w:val="none"/>
          <w:lang w:val="en-US" w:eastAsia="zh-CN"/>
        </w:rPr>
        <w:t>2.0分</w:t>
      </w:r>
      <w:r>
        <w:rPr>
          <w:rFonts w:hint="eastAsia" w:ascii="新宋体" w:hAnsi="新宋体" w:eastAsia="新宋体" w:cs="新宋体"/>
          <w:color w:val="auto"/>
          <w:highlight w:val="none"/>
          <w:lang w:eastAsia="zh-CN"/>
        </w:rPr>
        <w:t>）</w:t>
      </w:r>
      <w:r>
        <w:rPr>
          <w:rFonts w:hint="eastAsia" w:ascii="新宋体" w:hAnsi="新宋体" w:eastAsia="新宋体" w:cs="新宋体"/>
          <w:color w:val="auto"/>
          <w:highlight w:val="none"/>
        </w:rPr>
        <w:t>：针对项目实际，提出采用新技术的具体措施。新技术的验证材料可靠，对节约投资和工期有保证措施。对采用新技术可能产生的风险有一定的预见。</w:t>
      </w:r>
    </w:p>
    <w:p w14:paraId="40EA2038">
      <w:pPr>
        <w:pStyle w:val="14"/>
        <w:pageBreakBefore w:val="0"/>
        <w:widowControl w:val="0"/>
        <w:kinsoku/>
        <w:wordWrap/>
        <w:overflowPunct/>
        <w:topLinePunct w:val="0"/>
        <w:bidi w:val="0"/>
        <w:snapToGrid/>
        <w:spacing w:line="440" w:lineRule="exact"/>
        <w:ind w:firstLine="535" w:firstLineChars="255"/>
        <w:textAlignment w:val="auto"/>
        <w:rPr>
          <w:rFonts w:hint="eastAsia" w:ascii="新宋体" w:hAnsi="新宋体" w:eastAsia="新宋体" w:cs="新宋体"/>
          <w:color w:val="auto"/>
          <w:sz w:val="21"/>
          <w:szCs w:val="21"/>
          <w:highlight w:val="none"/>
        </w:rPr>
      </w:pPr>
      <w:r>
        <w:rPr>
          <w:rFonts w:hint="eastAsia" w:ascii="新宋体" w:hAnsi="新宋体" w:eastAsia="新宋体" w:cs="新宋体"/>
          <w:color w:val="auto"/>
          <w:highlight w:val="none"/>
        </w:rPr>
        <w:t>中</w:t>
      </w:r>
      <w:r>
        <w:rPr>
          <w:rFonts w:hint="eastAsia" w:ascii="新宋体" w:hAnsi="新宋体" w:eastAsia="新宋体" w:cs="新宋体"/>
          <w:color w:val="auto"/>
          <w:highlight w:val="none"/>
          <w:lang w:eastAsia="zh-CN"/>
        </w:rPr>
        <w:t>（</w:t>
      </w:r>
      <w:r>
        <w:rPr>
          <w:rFonts w:hint="eastAsia" w:ascii="新宋体" w:hAnsi="新宋体" w:eastAsia="新宋体" w:cs="新宋体"/>
          <w:b w:val="0"/>
          <w:bCs w:val="0"/>
          <w:color w:val="auto"/>
          <w:kern w:val="0"/>
          <w:sz w:val="21"/>
          <w:szCs w:val="21"/>
          <w:highlight w:val="none"/>
          <w:lang w:val="en-US" w:eastAsia="zh-CN"/>
        </w:rPr>
        <w:t>1.0分</w:t>
      </w:r>
      <w:r>
        <w:rPr>
          <w:rFonts w:hint="eastAsia" w:ascii="新宋体" w:hAnsi="新宋体" w:eastAsia="新宋体" w:cs="新宋体"/>
          <w:color w:val="auto"/>
          <w:highlight w:val="none"/>
          <w:lang w:eastAsia="zh-CN"/>
        </w:rPr>
        <w:t>）</w:t>
      </w:r>
      <w:r>
        <w:rPr>
          <w:rFonts w:hint="eastAsia" w:ascii="新宋体" w:hAnsi="新宋体" w:eastAsia="新宋体" w:cs="新宋体"/>
          <w:color w:val="auto"/>
          <w:highlight w:val="none"/>
        </w:rPr>
        <w:t>：有新技术措施，但验证材料不充分，对节约投资和工期可能有一定收益，对</w:t>
      </w:r>
      <w:r>
        <w:rPr>
          <w:rFonts w:hint="eastAsia" w:ascii="新宋体" w:hAnsi="新宋体" w:eastAsia="新宋体" w:cs="新宋体"/>
          <w:color w:val="auto"/>
          <w:sz w:val="21"/>
          <w:szCs w:val="21"/>
          <w:highlight w:val="none"/>
        </w:rPr>
        <w:t>采用新技术可能产生的风险预见不足。</w:t>
      </w:r>
    </w:p>
    <w:p w14:paraId="30A291E8">
      <w:pPr>
        <w:pStyle w:val="14"/>
        <w:pageBreakBefore w:val="0"/>
        <w:widowControl w:val="0"/>
        <w:kinsoku/>
        <w:wordWrap/>
        <w:overflowPunct/>
        <w:topLinePunct w:val="0"/>
        <w:bidi w:val="0"/>
        <w:snapToGrid/>
        <w:spacing w:line="440" w:lineRule="exact"/>
        <w:ind w:firstLine="535" w:firstLineChars="255"/>
        <w:textAlignment w:val="auto"/>
        <w:rPr>
          <w:rFonts w:hint="eastAsia" w:ascii="新宋体" w:hAnsi="新宋体" w:eastAsia="新宋体" w:cs="新宋体"/>
          <w:color w:val="auto"/>
          <w:sz w:val="21"/>
          <w:szCs w:val="21"/>
          <w:highlight w:val="none"/>
        </w:rPr>
      </w:pPr>
      <w:r>
        <w:rPr>
          <w:rFonts w:hint="eastAsia" w:ascii="新宋体" w:hAnsi="新宋体" w:eastAsia="新宋体" w:cs="新宋体"/>
          <w:color w:val="auto"/>
          <w:sz w:val="21"/>
          <w:szCs w:val="21"/>
          <w:highlight w:val="none"/>
        </w:rPr>
        <w:t>差</w:t>
      </w:r>
      <w:r>
        <w:rPr>
          <w:rFonts w:hint="eastAsia" w:ascii="新宋体" w:hAnsi="新宋体" w:eastAsia="新宋体" w:cs="新宋体"/>
          <w:color w:val="auto"/>
          <w:sz w:val="21"/>
          <w:szCs w:val="21"/>
          <w:highlight w:val="none"/>
          <w:lang w:eastAsia="zh-CN"/>
        </w:rPr>
        <w:t>（</w:t>
      </w:r>
      <w:r>
        <w:rPr>
          <w:rFonts w:hint="eastAsia" w:ascii="新宋体" w:hAnsi="新宋体" w:eastAsia="新宋体" w:cs="新宋体"/>
          <w:color w:val="auto"/>
          <w:sz w:val="21"/>
          <w:szCs w:val="21"/>
          <w:highlight w:val="none"/>
          <w:lang w:val="en-US" w:eastAsia="zh-CN"/>
        </w:rPr>
        <w:t>0</w:t>
      </w:r>
      <w:r>
        <w:rPr>
          <w:rFonts w:hint="eastAsia" w:ascii="新宋体" w:hAnsi="新宋体" w:eastAsia="新宋体" w:cs="新宋体"/>
          <w:b w:val="0"/>
          <w:bCs w:val="0"/>
          <w:color w:val="auto"/>
          <w:kern w:val="0"/>
          <w:sz w:val="21"/>
          <w:szCs w:val="21"/>
          <w:highlight w:val="none"/>
          <w:lang w:val="en-US" w:eastAsia="zh-CN"/>
        </w:rPr>
        <w:t>分</w:t>
      </w:r>
      <w:r>
        <w:rPr>
          <w:rFonts w:hint="eastAsia" w:ascii="新宋体" w:hAnsi="新宋体" w:eastAsia="新宋体" w:cs="新宋体"/>
          <w:color w:val="auto"/>
          <w:sz w:val="21"/>
          <w:szCs w:val="21"/>
          <w:highlight w:val="none"/>
          <w:lang w:eastAsia="zh-CN"/>
        </w:rPr>
        <w:t>）</w:t>
      </w:r>
      <w:r>
        <w:rPr>
          <w:rFonts w:hint="eastAsia" w:ascii="新宋体" w:hAnsi="新宋体" w:eastAsia="新宋体" w:cs="新宋体"/>
          <w:color w:val="auto"/>
          <w:sz w:val="21"/>
          <w:szCs w:val="21"/>
          <w:highlight w:val="none"/>
        </w:rPr>
        <w:t>：采用的新技术针对性不强或验证材料不可靠，对节约投资和工期没有具体收益。</w:t>
      </w:r>
    </w:p>
    <w:p w14:paraId="6AF0AD7B">
      <w:pPr>
        <w:pStyle w:val="9"/>
        <w:ind w:left="0" w:leftChars="0" w:firstLine="0" w:firstLineChars="0"/>
        <w:rPr>
          <w:rFonts w:hint="eastAsia"/>
        </w:rPr>
      </w:pPr>
      <w:r>
        <w:rPr>
          <w:rFonts w:hint="eastAsia" w:ascii="新宋体" w:hAnsi="新宋体" w:eastAsia="新宋体" w:cs="新宋体"/>
          <w:sz w:val="21"/>
          <w:highlight w:val="none"/>
        </w:rPr>
        <w:t>注：</w:t>
      </w:r>
      <w:r>
        <w:rPr>
          <w:rFonts w:hint="eastAsia" w:ascii="新宋体" w:hAnsi="新宋体" w:eastAsia="新宋体" w:cs="新宋体"/>
          <w:sz w:val="21"/>
          <w:highlight w:val="none"/>
          <w:lang w:eastAsia="zh-CN"/>
        </w:rPr>
        <w:t>磋商供应商响应文件</w:t>
      </w:r>
      <w:r>
        <w:rPr>
          <w:rFonts w:hint="eastAsia" w:ascii="新宋体" w:hAnsi="新宋体" w:eastAsia="新宋体" w:cs="新宋体"/>
          <w:sz w:val="21"/>
          <w:highlight w:val="none"/>
        </w:rPr>
        <w:t>中提供的项目实施方案未达到相应评审档次全部标准的，相应降低一个档次</w:t>
      </w:r>
      <w:r>
        <w:rPr>
          <w:rFonts w:hint="eastAsia" w:ascii="新宋体" w:hAnsi="新宋体" w:eastAsia="新宋体" w:cs="新宋体"/>
          <w:sz w:val="21"/>
          <w:highlight w:val="none"/>
          <w:lang w:eastAsia="zh-CN"/>
        </w:rPr>
        <w:t>。</w:t>
      </w:r>
    </w:p>
    <w:p w14:paraId="1EA3BE2C">
      <w:pPr>
        <w:pageBreakBefore w:val="0"/>
        <w:widowControl w:val="0"/>
        <w:kinsoku/>
        <w:wordWrap/>
        <w:overflowPunct/>
        <w:topLinePunct w:val="0"/>
        <w:bidi w:val="0"/>
        <w:snapToGrid/>
        <w:spacing w:line="440" w:lineRule="exact"/>
        <w:ind w:firstLine="316" w:firstLineChars="150"/>
        <w:textAlignment w:val="auto"/>
        <w:outlineLvl w:val="0"/>
        <w:rPr>
          <w:rFonts w:hint="eastAsia" w:ascii="新宋体" w:hAnsi="新宋体" w:eastAsia="新宋体" w:cs="新宋体"/>
          <w:b/>
          <w:bCs/>
          <w:color w:val="auto"/>
          <w:kern w:val="0"/>
          <w:sz w:val="21"/>
          <w:szCs w:val="21"/>
          <w:highlight w:val="none"/>
        </w:rPr>
      </w:pPr>
      <w:bookmarkStart w:id="134" w:name="_Toc27705"/>
      <w:bookmarkStart w:id="135" w:name="_Toc4007"/>
      <w:bookmarkStart w:id="136" w:name="_Toc23170"/>
      <w:r>
        <w:rPr>
          <w:rFonts w:hint="eastAsia" w:ascii="新宋体" w:hAnsi="新宋体" w:eastAsia="新宋体" w:cs="新宋体"/>
          <w:b/>
          <w:color w:val="auto"/>
          <w:kern w:val="0"/>
          <w:sz w:val="21"/>
          <w:szCs w:val="21"/>
          <w:highlight w:val="none"/>
        </w:rPr>
        <w:t>注：</w:t>
      </w:r>
      <w:r>
        <w:rPr>
          <w:rFonts w:hint="eastAsia" w:ascii="新宋体" w:hAnsi="新宋体" w:eastAsia="新宋体" w:cs="新宋体"/>
          <w:b/>
          <w:bCs/>
          <w:color w:val="auto"/>
          <w:kern w:val="0"/>
          <w:sz w:val="21"/>
          <w:szCs w:val="21"/>
          <w:highlight w:val="none"/>
        </w:rPr>
        <w:t>供应商未提供上述“施工组织技术方案”相应内容的，相应项不得分。</w:t>
      </w:r>
      <w:bookmarkEnd w:id="134"/>
      <w:bookmarkEnd w:id="135"/>
      <w:bookmarkEnd w:id="136"/>
    </w:p>
    <w:p w14:paraId="3FA7E69E">
      <w:pPr>
        <w:pageBreakBefore w:val="0"/>
        <w:widowControl w:val="0"/>
        <w:numPr>
          <w:ilvl w:val="0"/>
          <w:numId w:val="0"/>
        </w:numPr>
        <w:tabs>
          <w:tab w:val="left" w:pos="1305"/>
        </w:tabs>
        <w:kinsoku/>
        <w:wordWrap/>
        <w:overflowPunct/>
        <w:topLinePunct w:val="0"/>
        <w:bidi w:val="0"/>
        <w:snapToGrid/>
        <w:spacing w:line="440" w:lineRule="exact"/>
        <w:ind w:left="210" w:leftChars="0"/>
        <w:textAlignment w:val="auto"/>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highlight w:val="none"/>
          <w:lang w:val="en-US" w:eastAsia="zh-CN"/>
          <w14:textFill>
            <w14:solidFill>
              <w14:schemeClr w14:val="tx1"/>
            </w14:solidFill>
          </w14:textFill>
        </w:rPr>
        <w:t>3、信誉业绩分</w:t>
      </w:r>
      <w:r>
        <w:rPr>
          <w:rFonts w:hint="eastAsia" w:ascii="宋体" w:hAnsi="宋体" w:eastAsia="宋体" w:cs="宋体"/>
          <w:b/>
          <w:bCs/>
          <w:color w:val="000000" w:themeColor="text1"/>
          <w:highlight w:val="none"/>
          <w14:textFill>
            <w14:solidFill>
              <w14:schemeClr w14:val="tx1"/>
            </w14:solidFill>
          </w14:textFill>
        </w:rPr>
        <w:t>………………</w:t>
      </w:r>
      <w:r>
        <w:rPr>
          <w:rFonts w:hint="eastAsia" w:ascii="宋体" w:hAnsi="宋体" w:eastAsia="宋体" w:cs="宋体"/>
          <w:b/>
          <w:bCs/>
          <w:color w:val="000000" w:themeColor="text1"/>
          <w:szCs w:val="21"/>
          <w:highlight w:val="none"/>
          <w14:textFill>
            <w14:solidFill>
              <w14:schemeClr w14:val="tx1"/>
            </w14:solidFill>
          </w14:textFill>
        </w:rPr>
        <w:t>…</w:t>
      </w:r>
      <w:r>
        <w:rPr>
          <w:rFonts w:hint="eastAsia" w:ascii="宋体" w:hAnsi="宋体" w:eastAsia="宋体" w:cs="宋体"/>
          <w:b/>
          <w:bCs/>
          <w:color w:val="000000" w:themeColor="text1"/>
          <w:highlight w:val="none"/>
          <w14:textFill>
            <w14:solidFill>
              <w14:schemeClr w14:val="tx1"/>
            </w14:solidFill>
          </w14:textFill>
        </w:rPr>
        <w:t>…………………</w:t>
      </w:r>
      <w:r>
        <w:rPr>
          <w:rFonts w:hint="eastAsia" w:ascii="宋体" w:hAnsi="宋体" w:eastAsia="宋体" w:cs="宋体"/>
          <w:b/>
          <w:bCs/>
          <w:color w:val="000000" w:themeColor="text1"/>
          <w:szCs w:val="21"/>
          <w:highlight w:val="none"/>
          <w14:textFill>
            <w14:solidFill>
              <w14:schemeClr w14:val="tx1"/>
            </w14:solidFill>
          </w14:textFill>
        </w:rPr>
        <w:t>…</w:t>
      </w:r>
      <w:r>
        <w:rPr>
          <w:rFonts w:hint="eastAsia" w:ascii="宋体" w:hAnsi="宋体" w:eastAsia="宋体" w:cs="宋体"/>
          <w:b/>
          <w:bCs/>
          <w:color w:val="000000" w:themeColor="text1"/>
          <w:highlight w:val="none"/>
          <w14:textFill>
            <w14:solidFill>
              <w14:schemeClr w14:val="tx1"/>
            </w14:solidFill>
          </w14:textFill>
        </w:rPr>
        <w:t>………</w:t>
      </w:r>
      <w:r>
        <w:rPr>
          <w:rFonts w:hint="eastAsia" w:ascii="宋体" w:hAnsi="宋体" w:eastAsia="宋体" w:cs="宋体"/>
          <w:b/>
          <w:bCs/>
          <w:color w:val="000000" w:themeColor="text1"/>
          <w:szCs w:val="21"/>
          <w:highlight w:val="none"/>
          <w14:textFill>
            <w14:solidFill>
              <w14:schemeClr w14:val="tx1"/>
            </w14:solidFill>
          </w14:textFill>
        </w:rPr>
        <w:t>…</w:t>
      </w:r>
      <w:r>
        <w:rPr>
          <w:rFonts w:hint="eastAsia" w:ascii="宋体" w:hAnsi="宋体" w:eastAsia="宋体" w:cs="宋体"/>
          <w:b/>
          <w:bCs/>
          <w:color w:val="000000" w:themeColor="text1"/>
          <w:highlight w:val="none"/>
          <w14:textFill>
            <w14:solidFill>
              <w14:schemeClr w14:val="tx1"/>
            </w14:solidFill>
          </w14:textFill>
        </w:rPr>
        <w:t>…</w:t>
      </w:r>
      <w:r>
        <w:rPr>
          <w:rFonts w:hint="eastAsia" w:ascii="宋体" w:hAnsi="宋体" w:eastAsia="宋体" w:cs="宋体"/>
          <w:b/>
          <w:bCs/>
          <w:color w:val="000000" w:themeColor="text1"/>
          <w:szCs w:val="21"/>
          <w:highlight w:val="none"/>
          <w14:textFill>
            <w14:solidFill>
              <w14:schemeClr w14:val="tx1"/>
            </w14:solidFill>
          </w14:textFill>
        </w:rPr>
        <w:t>…</w:t>
      </w:r>
      <w:r>
        <w:rPr>
          <w:rFonts w:hint="eastAsia" w:ascii="宋体" w:hAnsi="宋体" w:eastAsia="宋体" w:cs="宋体"/>
          <w:b/>
          <w:bCs/>
          <w:color w:val="000000" w:themeColor="text1"/>
          <w:highlight w:val="none"/>
          <w14:textFill>
            <w14:solidFill>
              <w14:schemeClr w14:val="tx1"/>
            </w14:solidFill>
          </w14:textFill>
        </w:rPr>
        <w:t>………</w:t>
      </w:r>
      <w:r>
        <w:rPr>
          <w:rFonts w:hint="eastAsia" w:ascii="宋体" w:hAnsi="宋体" w:eastAsia="宋体" w:cs="宋体"/>
          <w:b/>
          <w:bCs/>
          <w:color w:val="000000" w:themeColor="text1"/>
          <w:szCs w:val="21"/>
          <w:highlight w:val="none"/>
          <w14:textFill>
            <w14:solidFill>
              <w14:schemeClr w14:val="tx1"/>
            </w14:solidFill>
          </w14:textFill>
        </w:rPr>
        <w:t>…</w:t>
      </w:r>
      <w:r>
        <w:rPr>
          <w:rFonts w:hint="eastAsia" w:ascii="宋体" w:hAnsi="宋体" w:eastAsia="宋体" w:cs="宋体"/>
          <w:b/>
          <w:bCs/>
          <w:color w:val="000000" w:themeColor="text1"/>
          <w:highlight w:val="none"/>
          <w14:textFill>
            <w14:solidFill>
              <w14:schemeClr w14:val="tx1"/>
            </w14:solidFill>
          </w14:textFill>
        </w:rPr>
        <w:t>…</w:t>
      </w:r>
      <w:r>
        <w:rPr>
          <w:rFonts w:hint="eastAsia" w:ascii="宋体" w:hAnsi="宋体" w:eastAsia="宋体" w:cs="宋体"/>
          <w:b/>
          <w:bCs/>
          <w:color w:val="000000" w:themeColor="text1"/>
          <w:szCs w:val="21"/>
          <w:highlight w:val="none"/>
          <w14:textFill>
            <w14:solidFill>
              <w14:schemeClr w14:val="tx1"/>
            </w14:solidFill>
          </w14:textFill>
        </w:rPr>
        <w:t>…</w:t>
      </w:r>
      <w:r>
        <w:rPr>
          <w:rFonts w:hint="eastAsia" w:ascii="宋体" w:hAnsi="宋体" w:eastAsia="宋体" w:cs="宋体"/>
          <w:b/>
          <w:bCs/>
          <w:color w:val="000000" w:themeColor="text1"/>
          <w:highlight w:val="none"/>
          <w14:textFill>
            <w14:solidFill>
              <w14:schemeClr w14:val="tx1"/>
            </w14:solidFill>
          </w14:textFill>
        </w:rPr>
        <w:t>……</w:t>
      </w:r>
      <w:r>
        <w:rPr>
          <w:rFonts w:hint="eastAsia" w:ascii="宋体" w:hAnsi="宋体" w:eastAsia="宋体" w:cs="宋体"/>
          <w:b/>
          <w:bCs/>
          <w:color w:val="000000" w:themeColor="text1"/>
          <w:szCs w:val="21"/>
          <w:highlight w:val="none"/>
          <w14:textFill>
            <w14:solidFill>
              <w14:schemeClr w14:val="tx1"/>
            </w14:solidFill>
          </w14:textFill>
        </w:rPr>
        <w:t>…</w:t>
      </w:r>
      <w:r>
        <w:rPr>
          <w:rFonts w:hint="eastAsia" w:ascii="宋体" w:hAnsi="宋体" w:eastAsia="宋体" w:cs="宋体"/>
          <w:b/>
          <w:bCs/>
          <w:color w:val="000000" w:themeColor="text1"/>
          <w:highlight w:val="none"/>
          <w14:textFill>
            <w14:solidFill>
              <w14:schemeClr w14:val="tx1"/>
            </w14:solidFill>
          </w14:textFill>
        </w:rPr>
        <w:t>……</w:t>
      </w:r>
      <w:r>
        <w:rPr>
          <w:rFonts w:hint="eastAsia" w:ascii="宋体" w:hAnsi="宋体" w:eastAsia="宋体" w:cs="宋体"/>
          <w:b/>
          <w:bCs/>
          <w:color w:val="000000" w:themeColor="text1"/>
          <w:szCs w:val="21"/>
          <w:highlight w:val="none"/>
          <w14:textFill>
            <w14:solidFill>
              <w14:schemeClr w14:val="tx1"/>
            </w14:solidFill>
          </w14:textFill>
        </w:rPr>
        <w:t>…</w:t>
      </w:r>
      <w:r>
        <w:rPr>
          <w:rFonts w:hint="eastAsia" w:ascii="宋体" w:hAnsi="宋体" w:eastAsia="宋体" w:cs="宋体"/>
          <w:b/>
          <w:bCs/>
          <w:color w:val="000000" w:themeColor="text1"/>
          <w:highlight w:val="none"/>
          <w14:textFill>
            <w14:solidFill>
              <w14:schemeClr w14:val="tx1"/>
            </w14:solidFill>
          </w14:textFill>
        </w:rPr>
        <w:t>…</w:t>
      </w:r>
      <w:r>
        <w:rPr>
          <w:rFonts w:hint="eastAsia" w:ascii="宋体" w:hAnsi="宋体" w:cs="宋体"/>
          <w:b/>
          <w:bCs/>
          <w:color w:val="000000" w:themeColor="text1"/>
          <w:szCs w:val="21"/>
          <w:highlight w:val="none"/>
          <w:lang w:val="en-US" w:eastAsia="zh-CN"/>
          <w14:textFill>
            <w14:solidFill>
              <w14:schemeClr w14:val="tx1"/>
            </w14:solidFill>
          </w14:textFill>
        </w:rPr>
        <w:t>20</w:t>
      </w:r>
      <w:r>
        <w:rPr>
          <w:rFonts w:hint="eastAsia" w:ascii="宋体" w:hAnsi="宋体" w:eastAsia="宋体" w:cs="宋体"/>
          <w:b/>
          <w:bCs/>
          <w:color w:val="000000" w:themeColor="text1"/>
          <w:szCs w:val="21"/>
          <w:highlight w:val="none"/>
          <w14:textFill>
            <w14:solidFill>
              <w14:schemeClr w14:val="tx1"/>
            </w14:solidFill>
          </w14:textFill>
        </w:rPr>
        <w:t>分</w:t>
      </w:r>
    </w:p>
    <w:p w14:paraId="35B37FF5">
      <w:pPr>
        <w:pageBreakBefore w:val="0"/>
        <w:widowControl w:val="0"/>
        <w:numPr>
          <w:ilvl w:val="0"/>
          <w:numId w:val="6"/>
        </w:numPr>
        <w:kinsoku/>
        <w:wordWrap/>
        <w:overflowPunct/>
        <w:topLinePunct w:val="0"/>
        <w:bidi w:val="0"/>
        <w:spacing w:line="440" w:lineRule="exact"/>
        <w:ind w:firstLine="420" w:firstLineChars="200"/>
        <w:textAlignment w:val="auto"/>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业绩：</w:t>
      </w:r>
      <w:r>
        <w:rPr>
          <w:rFonts w:hint="eastAsia" w:ascii="宋体" w:hAnsi="宋体" w:cs="宋体"/>
          <w:color w:val="000000" w:themeColor="text1"/>
          <w:szCs w:val="21"/>
          <w:highlight w:val="none"/>
          <w:lang w:eastAsia="zh-CN"/>
          <w14:textFill>
            <w14:solidFill>
              <w14:schemeClr w14:val="tx1"/>
            </w14:solidFill>
          </w14:textFill>
        </w:rPr>
        <w:t>供应商</w:t>
      </w:r>
      <w:r>
        <w:rPr>
          <w:rFonts w:hint="default" w:ascii="宋体" w:hAnsi="宋体" w:cs="宋体"/>
          <w:color w:val="000000" w:themeColor="text1"/>
          <w:szCs w:val="21"/>
          <w:highlight w:val="none"/>
          <w:lang w:val="en-US" w:eastAsia="zh-CN"/>
          <w14:textFill>
            <w14:solidFill>
              <w14:schemeClr w14:val="tx1"/>
            </w14:solidFill>
          </w14:textFill>
        </w:rPr>
        <w:t>20</w:t>
      </w:r>
      <w:r>
        <w:rPr>
          <w:rFonts w:hint="eastAsia" w:ascii="宋体" w:hAnsi="宋体" w:cs="宋体"/>
          <w:color w:val="000000" w:themeColor="text1"/>
          <w:szCs w:val="21"/>
          <w:highlight w:val="none"/>
          <w:lang w:val="en-US" w:eastAsia="zh-CN"/>
          <w14:textFill>
            <w14:solidFill>
              <w14:schemeClr w14:val="tx1"/>
            </w14:solidFill>
          </w14:textFill>
        </w:rPr>
        <w:t>20</w:t>
      </w:r>
      <w:r>
        <w:rPr>
          <w:rFonts w:hint="eastAsia" w:ascii="宋体" w:hAnsi="宋体" w:cs="宋体"/>
          <w:color w:val="000000" w:themeColor="text1"/>
          <w:szCs w:val="21"/>
          <w:highlight w:val="none"/>
          <w:lang w:eastAsia="zh-CN"/>
          <w14:textFill>
            <w14:solidFill>
              <w14:schemeClr w14:val="tx1"/>
            </w14:solidFill>
          </w14:textFill>
        </w:rPr>
        <w:t>年1月1日以来具有</w:t>
      </w:r>
      <w:r>
        <w:rPr>
          <w:rFonts w:hint="eastAsia" w:ascii="宋体" w:hAnsi="宋体" w:cs="宋体"/>
          <w:color w:val="000000" w:themeColor="text1"/>
          <w:szCs w:val="21"/>
          <w:highlight w:val="none"/>
          <w:lang w:val="en-US" w:eastAsia="zh-CN"/>
          <w14:textFill>
            <w14:solidFill>
              <w14:schemeClr w14:val="tx1"/>
            </w14:solidFill>
          </w14:textFill>
        </w:rPr>
        <w:t>类似</w:t>
      </w:r>
      <w:r>
        <w:rPr>
          <w:rFonts w:hint="eastAsia" w:ascii="宋体" w:hAnsi="宋体" w:cs="宋体"/>
          <w:color w:val="000000" w:themeColor="text1"/>
          <w:kern w:val="2"/>
          <w:sz w:val="21"/>
          <w:szCs w:val="21"/>
          <w:highlight w:val="none"/>
          <w:lang w:val="en-US" w:eastAsia="zh-CN"/>
          <w14:textFill>
            <w14:solidFill>
              <w14:schemeClr w14:val="tx1"/>
            </w14:solidFill>
          </w14:textFill>
        </w:rPr>
        <w:t>工程</w:t>
      </w:r>
      <w:r>
        <w:rPr>
          <w:rFonts w:hint="eastAsia" w:ascii="宋体" w:hAnsi="宋体" w:eastAsia="宋体" w:cs="宋体"/>
          <w:color w:val="000000" w:themeColor="text1"/>
          <w:szCs w:val="21"/>
          <w:highlight w:val="none"/>
          <w14:textFill>
            <w14:solidFill>
              <w14:schemeClr w14:val="tx1"/>
            </w14:solidFill>
          </w14:textFill>
        </w:rPr>
        <w:t>的业绩</w:t>
      </w:r>
      <w:r>
        <w:rPr>
          <w:rFonts w:hint="eastAsia" w:ascii="宋体" w:hAnsi="宋体" w:eastAsia="宋体" w:cs="宋体"/>
          <w:color w:val="000000" w:themeColor="text1"/>
          <w:highlight w:val="none"/>
          <w:lang w:eastAsia="zh-CN"/>
          <w14:textFill>
            <w14:solidFill>
              <w14:schemeClr w14:val="tx1"/>
            </w14:solidFill>
          </w14:textFill>
        </w:rPr>
        <w:t>，每提供一个得</w:t>
      </w:r>
      <w:r>
        <w:rPr>
          <w:rFonts w:hint="eastAsia" w:ascii="宋体" w:hAnsi="宋体" w:cs="宋体"/>
          <w:color w:val="000000" w:themeColor="text1"/>
          <w:highlight w:val="none"/>
          <w:lang w:val="en-US" w:eastAsia="zh-CN"/>
          <w14:textFill>
            <w14:solidFill>
              <w14:schemeClr w14:val="tx1"/>
            </w14:solidFill>
          </w14:textFill>
        </w:rPr>
        <w:t>3</w:t>
      </w:r>
      <w:r>
        <w:rPr>
          <w:rFonts w:hint="eastAsia" w:ascii="宋体" w:hAnsi="宋体" w:eastAsia="宋体" w:cs="宋体"/>
          <w:color w:val="000000" w:themeColor="text1"/>
          <w:highlight w:val="none"/>
          <w:lang w:val="en-US" w:eastAsia="zh-CN"/>
          <w14:textFill>
            <w14:solidFill>
              <w14:schemeClr w14:val="tx1"/>
            </w14:solidFill>
          </w14:textFill>
        </w:rPr>
        <w:t>分，满分</w:t>
      </w:r>
      <w:r>
        <w:rPr>
          <w:rFonts w:hint="eastAsia" w:ascii="宋体" w:hAnsi="宋体" w:cs="宋体"/>
          <w:color w:val="000000" w:themeColor="text1"/>
          <w:highlight w:val="none"/>
          <w:lang w:val="en-US" w:eastAsia="zh-CN"/>
          <w14:textFill>
            <w14:solidFill>
              <w14:schemeClr w14:val="tx1"/>
            </w14:solidFill>
          </w14:textFill>
        </w:rPr>
        <w:t>12</w:t>
      </w:r>
      <w:r>
        <w:rPr>
          <w:rFonts w:hint="eastAsia" w:ascii="宋体" w:hAnsi="宋体" w:eastAsia="宋体" w:cs="宋体"/>
          <w:color w:val="000000" w:themeColor="text1"/>
          <w:highlight w:val="none"/>
          <w:lang w:val="en-US" w:eastAsia="zh-CN"/>
          <w14:textFill>
            <w14:solidFill>
              <w14:schemeClr w14:val="tx1"/>
            </w14:solidFill>
          </w14:textFill>
        </w:rPr>
        <w:t>分。</w:t>
      </w:r>
      <w:r>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t>以中标</w:t>
      </w:r>
      <w:r>
        <w:rPr>
          <w:rFonts w:hint="eastAsia" w:ascii="宋体" w:hAnsi="宋体" w:cs="宋体"/>
          <w:color w:val="000000" w:themeColor="text1"/>
          <w:kern w:val="2"/>
          <w:sz w:val="21"/>
          <w:szCs w:val="24"/>
          <w:highlight w:val="none"/>
          <w:lang w:val="en-US" w:eastAsia="zh-CN" w:bidi="ar-SA"/>
          <w14:textFill>
            <w14:solidFill>
              <w14:schemeClr w14:val="tx1"/>
            </w14:solidFill>
          </w14:textFill>
        </w:rPr>
        <w:t>（</w:t>
      </w:r>
      <w:r>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t>成交</w:t>
      </w:r>
      <w:r>
        <w:rPr>
          <w:rFonts w:hint="eastAsia" w:ascii="宋体" w:hAnsi="宋体" w:cs="宋体"/>
          <w:color w:val="000000" w:themeColor="text1"/>
          <w:kern w:val="2"/>
          <w:sz w:val="21"/>
          <w:szCs w:val="24"/>
          <w:highlight w:val="none"/>
          <w:lang w:val="en-US" w:eastAsia="zh-CN" w:bidi="ar-SA"/>
          <w14:textFill>
            <w14:solidFill>
              <w14:schemeClr w14:val="tx1"/>
            </w14:solidFill>
          </w14:textFill>
        </w:rPr>
        <w:t>）</w:t>
      </w:r>
      <w:r>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t>通知书</w:t>
      </w:r>
      <w:r>
        <w:rPr>
          <w:rFonts w:hint="eastAsia" w:ascii="宋体" w:hAnsi="宋体" w:cs="宋体"/>
          <w:color w:val="000000" w:themeColor="text1"/>
          <w:kern w:val="2"/>
          <w:sz w:val="21"/>
          <w:szCs w:val="24"/>
          <w:highlight w:val="none"/>
          <w:lang w:val="en-US" w:eastAsia="zh-CN" w:bidi="ar-SA"/>
          <w14:textFill>
            <w14:solidFill>
              <w14:schemeClr w14:val="tx1"/>
            </w14:solidFill>
          </w14:textFill>
        </w:rPr>
        <w:t>或</w:t>
      </w:r>
      <w:r>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t>签订的合同</w:t>
      </w:r>
      <w:r>
        <w:rPr>
          <w:rFonts w:hint="eastAsia" w:ascii="宋体" w:hAnsi="宋体" w:cs="宋体"/>
          <w:color w:val="000000" w:themeColor="text1"/>
          <w:kern w:val="2"/>
          <w:sz w:val="21"/>
          <w:szCs w:val="24"/>
          <w:highlight w:val="none"/>
          <w:lang w:val="en-US" w:eastAsia="zh-CN" w:bidi="ar-SA"/>
          <w14:textFill>
            <w14:solidFill>
              <w14:schemeClr w14:val="tx1"/>
            </w14:solidFill>
          </w14:textFill>
        </w:rPr>
        <w:t>及竣工证明文件</w:t>
      </w:r>
      <w:r>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t>为准。</w:t>
      </w:r>
    </w:p>
    <w:p w14:paraId="68F0F1FE">
      <w:pPr>
        <w:pageBreakBefore w:val="0"/>
        <w:widowControl/>
        <w:kinsoku/>
        <w:wordWrap/>
        <w:overflowPunct/>
        <w:topLinePunct w:val="0"/>
        <w:bidi w:val="0"/>
        <w:spacing w:line="360" w:lineRule="auto"/>
        <w:ind w:firstLine="420" w:firstLineChars="200"/>
        <w:textAlignment w:val="auto"/>
        <w:rPr>
          <w:rFonts w:hint="eastAsia"/>
          <w:b w:val="0"/>
          <w:bCs w:val="0"/>
          <w:color w:val="000000" w:themeColor="text1"/>
          <w:highlight w:val="none"/>
          <w14:textFill>
            <w14:solidFill>
              <w14:schemeClr w14:val="tx1"/>
            </w14:solidFill>
          </w14:textFill>
        </w:rPr>
      </w:pPr>
      <w:r>
        <w:rPr>
          <w:rFonts w:hint="eastAsia" w:ascii="宋体" w:hAnsi="宋体" w:cs="宋体"/>
          <w:color w:val="000000" w:themeColor="text1"/>
          <w:kern w:val="2"/>
          <w:sz w:val="21"/>
          <w:szCs w:val="24"/>
          <w:highlight w:val="none"/>
          <w:lang w:val="en-US" w:eastAsia="zh-CN" w:bidi="ar-SA"/>
          <w14:textFill>
            <w14:solidFill>
              <w14:schemeClr w14:val="tx1"/>
            </w14:solidFill>
          </w14:textFill>
        </w:rPr>
        <w:t>（2）信誉：</w:t>
      </w:r>
      <w:r>
        <w:rPr>
          <w:rFonts w:hint="eastAsia"/>
          <w:color w:val="000000" w:themeColor="text1"/>
          <w:highlight w:val="none"/>
          <w:lang w:val="en-US" w:eastAsia="zh-CN"/>
          <w14:textFill>
            <w14:solidFill>
              <w14:schemeClr w14:val="tx1"/>
            </w14:solidFill>
          </w14:textFill>
        </w:rPr>
        <w:t>供应商</w:t>
      </w:r>
      <w:r>
        <w:rPr>
          <w:rFonts w:hint="eastAsia"/>
          <w:color w:val="000000" w:themeColor="text1"/>
          <w:highlight w:val="none"/>
          <w14:textFill>
            <w14:solidFill>
              <w14:schemeClr w14:val="tx1"/>
            </w14:solidFill>
          </w14:textFill>
        </w:rPr>
        <w:t>2020</w:t>
      </w:r>
      <w:r>
        <w:rPr>
          <w:rFonts w:hint="eastAsia" w:ascii="宋体" w:hAnsi="宋体" w:cs="宋体"/>
          <w:color w:val="000000" w:themeColor="text1"/>
          <w:szCs w:val="21"/>
          <w:highlight w:val="none"/>
          <w:lang w:eastAsia="zh-CN"/>
          <w14:textFill>
            <w14:solidFill>
              <w14:schemeClr w14:val="tx1"/>
            </w14:solidFill>
          </w14:textFill>
        </w:rPr>
        <w:t>年1月1日以来</w:t>
      </w:r>
      <w:r>
        <w:rPr>
          <w:rFonts w:hint="eastAsia" w:ascii="宋体" w:hAnsi="宋体" w:eastAsia="宋体" w:cs="宋体"/>
          <w:color w:val="000000" w:themeColor="text1"/>
          <w:highlight w:val="none"/>
          <w14:textFill>
            <w14:solidFill>
              <w14:schemeClr w14:val="tx1"/>
            </w14:solidFill>
          </w14:textFill>
        </w:rPr>
        <w:t>获得有关文物保护方面的奖项，每项得</w:t>
      </w:r>
      <w:r>
        <w:rPr>
          <w:rFonts w:hint="eastAsia" w:ascii="宋体" w:hAnsi="宋体" w:cs="宋体"/>
          <w:color w:val="000000" w:themeColor="text1"/>
          <w:highlight w:val="none"/>
          <w:lang w:val="en-US" w:eastAsia="zh-CN"/>
          <w14:textFill>
            <w14:solidFill>
              <w14:schemeClr w14:val="tx1"/>
            </w14:solidFill>
          </w14:textFill>
        </w:rPr>
        <w:t>4</w:t>
      </w:r>
      <w:r>
        <w:rPr>
          <w:rFonts w:hint="eastAsia" w:ascii="宋体" w:hAnsi="宋体" w:eastAsia="宋体" w:cs="宋体"/>
          <w:color w:val="000000" w:themeColor="text1"/>
          <w:highlight w:val="none"/>
          <w14:textFill>
            <w14:solidFill>
              <w14:schemeClr w14:val="tx1"/>
            </w14:solidFill>
          </w14:textFill>
        </w:rPr>
        <w:t>分</w:t>
      </w:r>
      <w:r>
        <w:rPr>
          <w:rFonts w:hint="eastAsia" w:ascii="宋体" w:hAnsi="宋体" w:eastAsia="宋体" w:cs="宋体"/>
          <w:color w:val="000000" w:themeColor="text1"/>
          <w:highlight w:val="none"/>
          <w:lang w:eastAsia="zh-CN"/>
          <w14:textFill>
            <w14:solidFill>
              <w14:schemeClr w14:val="tx1"/>
            </w14:solidFill>
          </w14:textFill>
        </w:rPr>
        <w:t>，</w:t>
      </w:r>
      <w:r>
        <w:rPr>
          <w:rFonts w:hint="eastAsia" w:ascii="宋体" w:hAnsi="宋体" w:eastAsia="宋体" w:cs="宋体"/>
          <w:b w:val="0"/>
          <w:bCs w:val="0"/>
          <w:color w:val="000000" w:themeColor="text1"/>
          <w:highlight w:val="none"/>
          <w:lang w:val="en-US" w:eastAsia="zh-CN"/>
          <w14:textFill>
            <w14:solidFill>
              <w14:schemeClr w14:val="tx1"/>
            </w14:solidFill>
          </w14:textFill>
        </w:rPr>
        <w:t>(满分8分）。</w:t>
      </w:r>
    </w:p>
    <w:p w14:paraId="1F18F759">
      <w:pPr>
        <w:pStyle w:val="37"/>
        <w:ind w:left="0" w:leftChars="0" w:firstLine="0" w:firstLineChars="0"/>
        <w:rPr>
          <w:rFonts w:hint="default" w:ascii="宋体" w:hAnsi="宋体" w:eastAsia="宋体" w:cs="宋体"/>
          <w:b/>
          <w:color w:val="auto"/>
          <w:szCs w:val="21"/>
          <w:highlight w:val="none"/>
          <w:lang w:val="en-US" w:eastAsia="zh-CN"/>
        </w:rPr>
      </w:pPr>
      <w:r>
        <w:rPr>
          <w:rFonts w:hint="eastAsia" w:eastAsia="宋体" w:cs="宋体"/>
          <w:b/>
          <w:color w:val="auto"/>
          <w:szCs w:val="21"/>
          <w:highlight w:val="none"/>
          <w:lang w:val="en-US" w:eastAsia="zh-CN"/>
        </w:rPr>
        <w:t xml:space="preserve">  </w:t>
      </w:r>
      <w:r>
        <w:rPr>
          <w:rFonts w:hint="eastAsia" w:cs="宋体"/>
          <w:b/>
          <w:color w:val="auto"/>
          <w:szCs w:val="21"/>
          <w:highlight w:val="none"/>
          <w:lang w:val="en-US" w:eastAsia="zh-CN"/>
        </w:rPr>
        <w:t>4</w:t>
      </w:r>
      <w:r>
        <w:rPr>
          <w:rFonts w:hint="eastAsia" w:eastAsia="宋体" w:cs="宋体"/>
          <w:b/>
          <w:color w:val="auto"/>
          <w:szCs w:val="21"/>
          <w:highlight w:val="none"/>
          <w:lang w:val="en-US" w:eastAsia="zh-CN"/>
        </w:rPr>
        <w:t>、</w:t>
      </w:r>
      <w:r>
        <w:rPr>
          <w:rFonts w:hint="eastAsia" w:ascii="宋体" w:hAnsi="宋体" w:eastAsia="宋体" w:cs="宋体"/>
          <w:b/>
          <w:color w:val="auto"/>
          <w:szCs w:val="21"/>
          <w:highlight w:val="none"/>
          <w:lang w:val="en-US" w:eastAsia="zh-CN"/>
        </w:rPr>
        <w:t>综合得分＝1+2</w:t>
      </w:r>
      <w:r>
        <w:rPr>
          <w:rFonts w:hint="eastAsia" w:eastAsia="宋体" w:cs="宋体"/>
          <w:b/>
          <w:color w:val="auto"/>
          <w:szCs w:val="21"/>
          <w:highlight w:val="none"/>
          <w:lang w:val="en-US" w:eastAsia="zh-CN"/>
        </w:rPr>
        <w:t>+3</w:t>
      </w:r>
    </w:p>
    <w:p w14:paraId="59D5EF9E">
      <w:pPr>
        <w:pageBreakBefore w:val="0"/>
        <w:widowControl w:val="0"/>
        <w:tabs>
          <w:tab w:val="left" w:pos="1305"/>
        </w:tabs>
        <w:kinsoku/>
        <w:wordWrap/>
        <w:overflowPunct/>
        <w:topLinePunct w:val="0"/>
        <w:bidi w:val="0"/>
        <w:snapToGrid/>
        <w:spacing w:line="440" w:lineRule="exact"/>
        <w:ind w:firstLine="211" w:firstLineChars="100"/>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val="en-US" w:eastAsia="zh-CN"/>
        </w:rPr>
        <w:t>三、</w:t>
      </w:r>
      <w:r>
        <w:rPr>
          <w:rFonts w:hint="eastAsia" w:ascii="宋体" w:hAnsi="宋体" w:eastAsia="宋体" w:cs="宋体"/>
          <w:b/>
          <w:color w:val="auto"/>
          <w:szCs w:val="21"/>
          <w:highlight w:val="none"/>
        </w:rPr>
        <w:t>推荐成交候选人原则</w:t>
      </w:r>
    </w:p>
    <w:p w14:paraId="75100D7D">
      <w:pPr>
        <w:pageBreakBefore w:val="0"/>
        <w:widowControl w:val="0"/>
        <w:tabs>
          <w:tab w:val="left" w:pos="1305"/>
        </w:tabs>
        <w:kinsoku/>
        <w:wordWrap/>
        <w:overflowPunct/>
        <w:topLinePunct w:val="0"/>
        <w:autoSpaceDE/>
        <w:autoSpaceDN/>
        <w:bidi w:val="0"/>
        <w:adjustRightInd/>
        <w:snapToGrid/>
        <w:spacing w:line="440" w:lineRule="exact"/>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（1）磋商小组应当根据综合评分情况，按照综合得分由高到低顺序推荐三名成交候选供应商，并编写评审报告。磋商小组根据综合得分由高到低排列次序，若得分相同时，以最后报价由低到高顺序排列；</w:t>
      </w:r>
      <w:r>
        <w:rPr>
          <w:rFonts w:hint="eastAsia" w:ascii="宋体" w:hAnsi="宋体" w:eastAsia="宋体" w:cs="宋体"/>
          <w:color w:val="auto"/>
          <w:szCs w:val="21"/>
          <w:highlight w:val="none"/>
        </w:rPr>
        <w:t>若仍相同的，依次按技术分、</w:t>
      </w:r>
      <w:r>
        <w:rPr>
          <w:rFonts w:hint="eastAsia" w:ascii="宋体" w:hAnsi="宋体" w:eastAsia="宋体" w:cs="宋体"/>
          <w:color w:val="auto"/>
          <w:szCs w:val="21"/>
          <w:highlight w:val="none"/>
          <w:lang w:val="en-US" w:eastAsia="zh-CN"/>
        </w:rPr>
        <w:t>企业信誉实力</w:t>
      </w:r>
      <w:r>
        <w:rPr>
          <w:rFonts w:hint="eastAsia" w:ascii="宋体" w:hAnsi="宋体" w:eastAsia="宋体" w:cs="宋体"/>
          <w:color w:val="auto"/>
          <w:szCs w:val="21"/>
          <w:highlight w:val="none"/>
        </w:rPr>
        <w:t>分由高到低顺序排列并推荐成交候选供应商</w:t>
      </w:r>
      <w:r>
        <w:rPr>
          <w:rFonts w:hint="eastAsia" w:ascii="宋体" w:hAnsi="宋体" w:eastAsia="宋体" w:cs="宋体"/>
          <w:color w:val="auto"/>
          <w:sz w:val="21"/>
          <w:szCs w:val="21"/>
          <w:highlight w:val="none"/>
        </w:rPr>
        <w:t>。</w:t>
      </w:r>
    </w:p>
    <w:p w14:paraId="71057197">
      <w:pPr>
        <w:pageBreakBefore w:val="0"/>
        <w:widowControl w:val="0"/>
        <w:tabs>
          <w:tab w:val="left" w:pos="1305"/>
        </w:tabs>
        <w:kinsoku/>
        <w:wordWrap/>
        <w:overflowPunct/>
        <w:topLinePunct w:val="0"/>
        <w:autoSpaceDE/>
        <w:autoSpaceDN/>
        <w:bidi w:val="0"/>
        <w:adjustRightInd/>
        <w:snapToGrid/>
        <w:spacing w:line="440" w:lineRule="exact"/>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（2）采购人应当确定磋商小组推荐排名第一的成交候选供应商为成交供应商。</w:t>
      </w:r>
    </w:p>
    <w:p w14:paraId="55519C91">
      <w:pPr>
        <w:pageBreakBefore w:val="0"/>
        <w:widowControl w:val="0"/>
        <w:tabs>
          <w:tab w:val="left" w:pos="1305"/>
        </w:tabs>
        <w:kinsoku/>
        <w:wordWrap/>
        <w:overflowPunct/>
        <w:topLinePunct w:val="0"/>
        <w:autoSpaceDE/>
        <w:autoSpaceDN/>
        <w:bidi w:val="0"/>
        <w:adjustRightInd/>
        <w:snapToGrid/>
        <w:spacing w:line="440" w:lineRule="exact"/>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（3）排名第一的成交候选供应商放弃成交、因不可抗力提出不能履行合同，采购人可以按照评审报告推荐的成交候选供应商名单排序，确定下一候选供应商为成交供应商，也可以重新开展政府采购活动。</w:t>
      </w:r>
    </w:p>
    <w:p w14:paraId="4985834A">
      <w:pPr>
        <w:pageBreakBefore w:val="0"/>
        <w:widowControl w:val="0"/>
        <w:tabs>
          <w:tab w:val="left" w:pos="1305"/>
        </w:tabs>
        <w:kinsoku/>
        <w:wordWrap/>
        <w:overflowPunct/>
        <w:topLinePunct w:val="0"/>
        <w:autoSpaceDE/>
        <w:autoSpaceDN/>
        <w:bidi w:val="0"/>
        <w:adjustRightInd/>
        <w:snapToGrid/>
        <w:spacing w:line="440" w:lineRule="exact"/>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磋商小组认为，某供应商的响应报价或者某些分项报价明显不合理或者低于成本，有可能影响质量和不能诚信履约的，应要求其在规定的期限内提供书面文件予以解释说明，并提交相关证明材料，否则，磋商小组可以取消该供应商的成交候选资格，按顺序由排在其后面的供应商递补，以此类推。</w:t>
      </w:r>
    </w:p>
    <w:p w14:paraId="28B47B38">
      <w:pPr>
        <w:pStyle w:val="5"/>
        <w:rPr>
          <w:rFonts w:hint="eastAsia" w:ascii="宋体" w:hAnsi="宋体" w:eastAsia="宋体" w:cs="宋体"/>
          <w:color w:val="auto"/>
          <w:sz w:val="21"/>
          <w:szCs w:val="21"/>
          <w:highlight w:val="none"/>
        </w:rPr>
      </w:pPr>
    </w:p>
    <w:p w14:paraId="053A12BB">
      <w:pPr>
        <w:pStyle w:val="13"/>
        <w:ind w:left="0" w:leftChars="0" w:firstLine="0" w:firstLineChars="0"/>
        <w:rPr>
          <w:rFonts w:hint="eastAsia"/>
          <w:color w:val="auto"/>
          <w:highlight w:val="none"/>
        </w:rPr>
      </w:pPr>
    </w:p>
    <w:p w14:paraId="4F515AD7">
      <w:pPr>
        <w:pStyle w:val="13"/>
        <w:ind w:left="0" w:leftChars="0" w:firstLine="0" w:firstLineChars="0"/>
        <w:rPr>
          <w:rFonts w:hint="eastAsia"/>
          <w:color w:val="auto"/>
          <w:highlight w:val="none"/>
        </w:rPr>
      </w:pPr>
    </w:p>
    <w:p w14:paraId="6274EF4C">
      <w:pPr>
        <w:keepNext w:val="0"/>
        <w:keepLines w:val="0"/>
        <w:pageBreakBefore w:val="0"/>
        <w:kinsoku/>
        <w:wordWrap/>
        <w:overflowPunct/>
        <w:topLinePunct w:val="0"/>
        <w:autoSpaceDE/>
        <w:autoSpaceDN/>
        <w:bidi w:val="0"/>
        <w:snapToGrid/>
        <w:spacing w:line="280" w:lineRule="exact"/>
        <w:ind w:right="0" w:rightChars="0"/>
        <w:textAlignment w:val="auto"/>
        <w:outlineLvl w:val="9"/>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附表</w:t>
      </w:r>
    </w:p>
    <w:p w14:paraId="544F4F6B">
      <w:pPr>
        <w:keepNext w:val="0"/>
        <w:keepLines w:val="0"/>
        <w:pageBreakBefore w:val="0"/>
        <w:widowControl/>
        <w:kinsoku/>
        <w:wordWrap/>
        <w:overflowPunct/>
        <w:topLinePunct w:val="0"/>
        <w:autoSpaceDE/>
        <w:autoSpaceDN/>
        <w:bidi w:val="0"/>
        <w:snapToGrid/>
        <w:spacing w:before="156" w:beforeLines="50" w:after="156" w:afterLines="50" w:line="280" w:lineRule="exact"/>
        <w:ind w:right="0" w:rightChars="0"/>
        <w:jc w:val="center"/>
        <w:textAlignment w:val="auto"/>
        <w:outlineLvl w:val="9"/>
        <w:rPr>
          <w:rFonts w:hint="eastAsia" w:ascii="宋体" w:hAnsi="宋体" w:eastAsia="宋体" w:cs="宋体"/>
          <w:b/>
          <w:bCs/>
          <w:color w:val="auto"/>
          <w:kern w:val="0"/>
          <w:sz w:val="30"/>
          <w:szCs w:val="30"/>
          <w:highlight w:val="none"/>
        </w:rPr>
      </w:pPr>
      <w:bookmarkStart w:id="137" w:name="_Toc28361_WPSOffice_Level2"/>
      <w:r>
        <w:rPr>
          <w:rFonts w:hint="eastAsia" w:ascii="宋体" w:hAnsi="宋体" w:eastAsia="宋体" w:cs="宋体"/>
          <w:b/>
          <w:bCs/>
          <w:color w:val="auto"/>
          <w:kern w:val="0"/>
          <w:sz w:val="30"/>
          <w:szCs w:val="30"/>
          <w:highlight w:val="none"/>
        </w:rPr>
        <w:t>统计上大中小微型企业划分标准</w:t>
      </w:r>
      <w:bookmarkEnd w:id="137"/>
    </w:p>
    <w:tbl>
      <w:tblPr>
        <w:tblStyle w:val="29"/>
        <w:tblpPr w:leftFromText="180" w:rightFromText="180" w:vertAnchor="text" w:horzAnchor="page" w:tblpX="1302" w:tblpY="438"/>
        <w:tblOverlap w:val="never"/>
        <w:tblW w:w="94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1369"/>
        <w:gridCol w:w="709"/>
        <w:gridCol w:w="1125"/>
        <w:gridCol w:w="1701"/>
        <w:gridCol w:w="1426"/>
        <w:gridCol w:w="992"/>
      </w:tblGrid>
      <w:tr w14:paraId="5EDD1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blHeader/>
        </w:trPr>
        <w:tc>
          <w:tcPr>
            <w:tcW w:w="2113" w:type="dxa"/>
            <w:shd w:val="clear" w:color="auto" w:fill="FFFFFF"/>
            <w:noWrap w:val="0"/>
            <w:vAlign w:val="center"/>
          </w:tcPr>
          <w:p w14:paraId="4BF70705">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b/>
                <w:bCs/>
                <w:color w:val="auto"/>
                <w:kern w:val="0"/>
                <w:sz w:val="18"/>
                <w:szCs w:val="21"/>
                <w:highlight w:val="none"/>
              </w:rPr>
            </w:pPr>
            <w:r>
              <w:rPr>
                <w:rFonts w:hint="eastAsia" w:ascii="宋体" w:hAnsi="宋体" w:eastAsia="宋体" w:cs="宋体"/>
                <w:b/>
                <w:bCs/>
                <w:color w:val="auto"/>
                <w:kern w:val="0"/>
                <w:sz w:val="18"/>
                <w:szCs w:val="21"/>
                <w:highlight w:val="none"/>
              </w:rPr>
              <w:t>行业名称</w:t>
            </w:r>
          </w:p>
        </w:tc>
        <w:tc>
          <w:tcPr>
            <w:tcW w:w="1369" w:type="dxa"/>
            <w:shd w:val="clear" w:color="auto" w:fill="FFFFFF"/>
            <w:noWrap w:val="0"/>
            <w:vAlign w:val="center"/>
          </w:tcPr>
          <w:p w14:paraId="30EA2ABD">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指标名称</w:t>
            </w:r>
          </w:p>
        </w:tc>
        <w:tc>
          <w:tcPr>
            <w:tcW w:w="709" w:type="dxa"/>
            <w:shd w:val="clear" w:color="auto" w:fill="FFFFFF"/>
            <w:noWrap w:val="0"/>
            <w:vAlign w:val="center"/>
          </w:tcPr>
          <w:p w14:paraId="1983FD9E">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b/>
                <w:bCs/>
                <w:color w:val="auto"/>
                <w:kern w:val="0"/>
                <w:sz w:val="18"/>
                <w:szCs w:val="18"/>
                <w:highlight w:val="none"/>
                <w:lang w:eastAsia="zh-CN"/>
              </w:rPr>
            </w:pPr>
            <w:r>
              <w:rPr>
                <w:rFonts w:hint="eastAsia" w:ascii="宋体" w:hAnsi="宋体" w:eastAsia="宋体" w:cs="宋体"/>
                <w:b/>
                <w:bCs/>
                <w:color w:val="auto"/>
                <w:kern w:val="0"/>
                <w:sz w:val="18"/>
                <w:szCs w:val="18"/>
                <w:highlight w:val="none"/>
              </w:rPr>
              <w:t>计量</w:t>
            </w:r>
          </w:p>
          <w:p w14:paraId="5E00DB2F">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单位</w:t>
            </w:r>
          </w:p>
        </w:tc>
        <w:tc>
          <w:tcPr>
            <w:tcW w:w="1125" w:type="dxa"/>
            <w:shd w:val="clear" w:color="auto" w:fill="FFFFFF"/>
            <w:noWrap w:val="0"/>
            <w:vAlign w:val="center"/>
          </w:tcPr>
          <w:p w14:paraId="57D684A3">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大型</w:t>
            </w:r>
          </w:p>
        </w:tc>
        <w:tc>
          <w:tcPr>
            <w:tcW w:w="1701" w:type="dxa"/>
            <w:shd w:val="clear" w:color="auto" w:fill="FFFFFF"/>
            <w:noWrap w:val="0"/>
            <w:vAlign w:val="center"/>
          </w:tcPr>
          <w:p w14:paraId="1B9123E9">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中型</w:t>
            </w:r>
          </w:p>
        </w:tc>
        <w:tc>
          <w:tcPr>
            <w:tcW w:w="1426" w:type="dxa"/>
            <w:shd w:val="clear" w:color="auto" w:fill="FFFFFF"/>
            <w:noWrap w:val="0"/>
            <w:vAlign w:val="center"/>
          </w:tcPr>
          <w:p w14:paraId="169FEE7D">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小型</w:t>
            </w:r>
          </w:p>
        </w:tc>
        <w:tc>
          <w:tcPr>
            <w:tcW w:w="992" w:type="dxa"/>
            <w:shd w:val="clear" w:color="auto" w:fill="FFFFFF"/>
            <w:noWrap w:val="0"/>
            <w:vAlign w:val="center"/>
          </w:tcPr>
          <w:p w14:paraId="364FF0FB">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微型</w:t>
            </w:r>
          </w:p>
        </w:tc>
      </w:tr>
      <w:tr w14:paraId="22A8A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13" w:type="dxa"/>
            <w:noWrap w:val="0"/>
            <w:vAlign w:val="center"/>
          </w:tcPr>
          <w:p w14:paraId="7E13069F">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农、林、牧、渔业</w:t>
            </w:r>
          </w:p>
        </w:tc>
        <w:tc>
          <w:tcPr>
            <w:tcW w:w="1369" w:type="dxa"/>
            <w:noWrap w:val="0"/>
            <w:vAlign w:val="center"/>
          </w:tcPr>
          <w:p w14:paraId="1A442FE6">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noWrap w:val="0"/>
            <w:vAlign w:val="center"/>
          </w:tcPr>
          <w:p w14:paraId="46A2901D">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noWrap w:val="0"/>
            <w:vAlign w:val="center"/>
          </w:tcPr>
          <w:p w14:paraId="682CC42B">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Y≥20000</w:t>
            </w:r>
          </w:p>
        </w:tc>
        <w:tc>
          <w:tcPr>
            <w:tcW w:w="1701" w:type="dxa"/>
            <w:noWrap w:val="0"/>
            <w:vAlign w:val="center"/>
          </w:tcPr>
          <w:p w14:paraId="758F271C">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500≤Y＜20000</w:t>
            </w:r>
          </w:p>
        </w:tc>
        <w:tc>
          <w:tcPr>
            <w:tcW w:w="1426" w:type="dxa"/>
            <w:noWrap w:val="0"/>
            <w:vAlign w:val="center"/>
          </w:tcPr>
          <w:p w14:paraId="321C001D">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50≤Y＜500</w:t>
            </w:r>
          </w:p>
        </w:tc>
        <w:tc>
          <w:tcPr>
            <w:tcW w:w="992" w:type="dxa"/>
            <w:noWrap w:val="0"/>
            <w:vAlign w:val="center"/>
          </w:tcPr>
          <w:p w14:paraId="672E76FE">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Y＜50</w:t>
            </w:r>
          </w:p>
        </w:tc>
      </w:tr>
      <w:tr w14:paraId="16C3F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13" w:type="dxa"/>
            <w:vMerge w:val="restart"/>
            <w:noWrap w:val="0"/>
            <w:vAlign w:val="center"/>
          </w:tcPr>
          <w:p w14:paraId="50449244">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工业 *</w:t>
            </w:r>
          </w:p>
        </w:tc>
        <w:tc>
          <w:tcPr>
            <w:tcW w:w="1369" w:type="dxa"/>
            <w:noWrap w:val="0"/>
            <w:vAlign w:val="center"/>
          </w:tcPr>
          <w:p w14:paraId="26B513BF">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noWrap w:val="0"/>
            <w:vAlign w:val="center"/>
          </w:tcPr>
          <w:p w14:paraId="37F558A9">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noWrap w:val="0"/>
            <w:vAlign w:val="center"/>
          </w:tcPr>
          <w:p w14:paraId="17DEE741">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X≥1000</w:t>
            </w:r>
          </w:p>
        </w:tc>
        <w:tc>
          <w:tcPr>
            <w:tcW w:w="1701" w:type="dxa"/>
            <w:noWrap w:val="0"/>
            <w:vAlign w:val="center"/>
          </w:tcPr>
          <w:p w14:paraId="181EC1A1">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300≤X＜1000</w:t>
            </w:r>
          </w:p>
        </w:tc>
        <w:tc>
          <w:tcPr>
            <w:tcW w:w="1426" w:type="dxa"/>
            <w:noWrap w:val="0"/>
            <w:vAlign w:val="center"/>
          </w:tcPr>
          <w:p w14:paraId="6C002B9F">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20≤X＜300</w:t>
            </w:r>
          </w:p>
        </w:tc>
        <w:tc>
          <w:tcPr>
            <w:tcW w:w="992" w:type="dxa"/>
            <w:noWrap w:val="0"/>
            <w:vAlign w:val="center"/>
          </w:tcPr>
          <w:p w14:paraId="2E5A8868">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w:t>
            </w:r>
          </w:p>
        </w:tc>
      </w:tr>
      <w:tr w14:paraId="553E5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13" w:type="dxa"/>
            <w:vMerge w:val="continue"/>
            <w:noWrap w:val="0"/>
            <w:vAlign w:val="center"/>
          </w:tcPr>
          <w:p w14:paraId="5992EE2F">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kern w:val="0"/>
                <w:sz w:val="18"/>
                <w:szCs w:val="18"/>
                <w:highlight w:val="none"/>
              </w:rPr>
            </w:pPr>
          </w:p>
        </w:tc>
        <w:tc>
          <w:tcPr>
            <w:tcW w:w="1369" w:type="dxa"/>
            <w:noWrap w:val="0"/>
            <w:vAlign w:val="center"/>
          </w:tcPr>
          <w:p w14:paraId="6BF5ECC9">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noWrap w:val="0"/>
            <w:vAlign w:val="center"/>
          </w:tcPr>
          <w:p w14:paraId="2637756A">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noWrap w:val="0"/>
            <w:vAlign w:val="center"/>
          </w:tcPr>
          <w:p w14:paraId="382DD8A9">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Y≥40000</w:t>
            </w:r>
          </w:p>
        </w:tc>
        <w:tc>
          <w:tcPr>
            <w:tcW w:w="1701" w:type="dxa"/>
            <w:noWrap w:val="0"/>
            <w:vAlign w:val="center"/>
          </w:tcPr>
          <w:p w14:paraId="0706F638">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2000≤Y＜40000</w:t>
            </w:r>
          </w:p>
        </w:tc>
        <w:tc>
          <w:tcPr>
            <w:tcW w:w="1426" w:type="dxa"/>
            <w:noWrap w:val="0"/>
            <w:vAlign w:val="center"/>
          </w:tcPr>
          <w:p w14:paraId="12E703B5">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300≤Y＜2000</w:t>
            </w:r>
          </w:p>
        </w:tc>
        <w:tc>
          <w:tcPr>
            <w:tcW w:w="992" w:type="dxa"/>
            <w:noWrap w:val="0"/>
            <w:vAlign w:val="center"/>
          </w:tcPr>
          <w:p w14:paraId="35F7A7FD">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Y＜300</w:t>
            </w:r>
          </w:p>
        </w:tc>
      </w:tr>
      <w:tr w14:paraId="35F14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13" w:type="dxa"/>
            <w:vMerge w:val="restart"/>
            <w:noWrap w:val="0"/>
            <w:vAlign w:val="center"/>
          </w:tcPr>
          <w:p w14:paraId="1A276D47">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建筑业</w:t>
            </w:r>
          </w:p>
        </w:tc>
        <w:tc>
          <w:tcPr>
            <w:tcW w:w="1369" w:type="dxa"/>
            <w:noWrap w:val="0"/>
            <w:vAlign w:val="center"/>
          </w:tcPr>
          <w:p w14:paraId="6AE53903">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noWrap w:val="0"/>
            <w:vAlign w:val="center"/>
          </w:tcPr>
          <w:p w14:paraId="0F53F12F">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noWrap w:val="0"/>
            <w:vAlign w:val="center"/>
          </w:tcPr>
          <w:p w14:paraId="303FBD57">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Y≥80000</w:t>
            </w:r>
          </w:p>
        </w:tc>
        <w:tc>
          <w:tcPr>
            <w:tcW w:w="1701" w:type="dxa"/>
            <w:noWrap w:val="0"/>
            <w:vAlign w:val="center"/>
          </w:tcPr>
          <w:p w14:paraId="24D38B77">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6000≤Y＜80000</w:t>
            </w:r>
          </w:p>
        </w:tc>
        <w:tc>
          <w:tcPr>
            <w:tcW w:w="1426" w:type="dxa"/>
            <w:noWrap w:val="0"/>
            <w:vAlign w:val="center"/>
          </w:tcPr>
          <w:p w14:paraId="37FA4A4D">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300≤Y＜6000</w:t>
            </w:r>
          </w:p>
        </w:tc>
        <w:tc>
          <w:tcPr>
            <w:tcW w:w="992" w:type="dxa"/>
            <w:noWrap w:val="0"/>
            <w:vAlign w:val="center"/>
          </w:tcPr>
          <w:p w14:paraId="1EEDC39F">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Y＜300</w:t>
            </w:r>
          </w:p>
        </w:tc>
      </w:tr>
      <w:tr w14:paraId="0F512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13" w:type="dxa"/>
            <w:vMerge w:val="continue"/>
            <w:noWrap w:val="0"/>
            <w:vAlign w:val="center"/>
          </w:tcPr>
          <w:p w14:paraId="69E69D5C">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kern w:val="0"/>
                <w:sz w:val="18"/>
                <w:szCs w:val="18"/>
                <w:highlight w:val="none"/>
              </w:rPr>
            </w:pPr>
          </w:p>
        </w:tc>
        <w:tc>
          <w:tcPr>
            <w:tcW w:w="1369" w:type="dxa"/>
            <w:noWrap w:val="0"/>
            <w:vAlign w:val="center"/>
          </w:tcPr>
          <w:p w14:paraId="59001D45">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资产总额(Z)</w:t>
            </w:r>
          </w:p>
        </w:tc>
        <w:tc>
          <w:tcPr>
            <w:tcW w:w="709" w:type="dxa"/>
            <w:noWrap w:val="0"/>
            <w:vAlign w:val="center"/>
          </w:tcPr>
          <w:p w14:paraId="177C73F7">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noWrap w:val="0"/>
            <w:vAlign w:val="center"/>
          </w:tcPr>
          <w:p w14:paraId="2C2F3D4C">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Z≥80000</w:t>
            </w:r>
          </w:p>
        </w:tc>
        <w:tc>
          <w:tcPr>
            <w:tcW w:w="1701" w:type="dxa"/>
            <w:noWrap w:val="0"/>
            <w:vAlign w:val="center"/>
          </w:tcPr>
          <w:p w14:paraId="511396ED">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5000≤Z＜80000</w:t>
            </w:r>
          </w:p>
        </w:tc>
        <w:tc>
          <w:tcPr>
            <w:tcW w:w="1426" w:type="dxa"/>
            <w:noWrap w:val="0"/>
            <w:vAlign w:val="center"/>
          </w:tcPr>
          <w:p w14:paraId="316E8E55">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300≤Z＜5000</w:t>
            </w:r>
          </w:p>
        </w:tc>
        <w:tc>
          <w:tcPr>
            <w:tcW w:w="992" w:type="dxa"/>
            <w:noWrap w:val="0"/>
            <w:vAlign w:val="center"/>
          </w:tcPr>
          <w:p w14:paraId="7F8B953D">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Z＜300</w:t>
            </w:r>
          </w:p>
        </w:tc>
      </w:tr>
      <w:tr w14:paraId="64F3E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13" w:type="dxa"/>
            <w:vMerge w:val="restart"/>
            <w:noWrap w:val="0"/>
            <w:vAlign w:val="center"/>
          </w:tcPr>
          <w:p w14:paraId="0AEEB0C4">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批发业</w:t>
            </w:r>
          </w:p>
        </w:tc>
        <w:tc>
          <w:tcPr>
            <w:tcW w:w="1369" w:type="dxa"/>
            <w:noWrap w:val="0"/>
            <w:vAlign w:val="center"/>
          </w:tcPr>
          <w:p w14:paraId="36A7B5B5">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noWrap w:val="0"/>
            <w:vAlign w:val="center"/>
          </w:tcPr>
          <w:p w14:paraId="79CDAD4D">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noWrap w:val="0"/>
            <w:vAlign w:val="center"/>
          </w:tcPr>
          <w:p w14:paraId="2732476B">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X≥200</w:t>
            </w:r>
          </w:p>
        </w:tc>
        <w:tc>
          <w:tcPr>
            <w:tcW w:w="1701" w:type="dxa"/>
            <w:noWrap w:val="0"/>
            <w:vAlign w:val="center"/>
          </w:tcPr>
          <w:p w14:paraId="10B57166">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20≤X＜200</w:t>
            </w:r>
          </w:p>
        </w:tc>
        <w:tc>
          <w:tcPr>
            <w:tcW w:w="1426" w:type="dxa"/>
            <w:noWrap w:val="0"/>
            <w:vAlign w:val="center"/>
          </w:tcPr>
          <w:p w14:paraId="791F75CD">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5≤X＜20</w:t>
            </w:r>
          </w:p>
        </w:tc>
        <w:tc>
          <w:tcPr>
            <w:tcW w:w="992" w:type="dxa"/>
            <w:noWrap w:val="0"/>
            <w:vAlign w:val="center"/>
          </w:tcPr>
          <w:p w14:paraId="1D1081C1">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X＜5</w:t>
            </w:r>
          </w:p>
        </w:tc>
      </w:tr>
      <w:tr w14:paraId="60514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13" w:type="dxa"/>
            <w:vMerge w:val="continue"/>
            <w:noWrap w:val="0"/>
            <w:vAlign w:val="center"/>
          </w:tcPr>
          <w:p w14:paraId="42DA536A">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kern w:val="0"/>
                <w:sz w:val="18"/>
                <w:szCs w:val="18"/>
                <w:highlight w:val="none"/>
              </w:rPr>
            </w:pPr>
          </w:p>
        </w:tc>
        <w:tc>
          <w:tcPr>
            <w:tcW w:w="1369" w:type="dxa"/>
            <w:noWrap w:val="0"/>
            <w:vAlign w:val="center"/>
          </w:tcPr>
          <w:p w14:paraId="67BAB2D0">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noWrap w:val="0"/>
            <w:vAlign w:val="center"/>
          </w:tcPr>
          <w:p w14:paraId="0E935DC1">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noWrap w:val="0"/>
            <w:vAlign w:val="center"/>
          </w:tcPr>
          <w:p w14:paraId="292EBDF6">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Y≥40000</w:t>
            </w:r>
          </w:p>
        </w:tc>
        <w:tc>
          <w:tcPr>
            <w:tcW w:w="1701" w:type="dxa"/>
            <w:noWrap w:val="0"/>
            <w:vAlign w:val="center"/>
          </w:tcPr>
          <w:p w14:paraId="5450C410">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5000≤Y＜40000</w:t>
            </w:r>
          </w:p>
        </w:tc>
        <w:tc>
          <w:tcPr>
            <w:tcW w:w="1426" w:type="dxa"/>
            <w:noWrap w:val="0"/>
            <w:vAlign w:val="center"/>
          </w:tcPr>
          <w:p w14:paraId="43F22F79">
            <w:pPr>
              <w:keepNext w:val="0"/>
              <w:keepLines w:val="0"/>
              <w:pageBreakBefore w:val="0"/>
              <w:widowControl/>
              <w:kinsoku/>
              <w:wordWrap/>
              <w:overflowPunct/>
              <w:topLinePunct w:val="0"/>
              <w:autoSpaceDE/>
              <w:autoSpaceDN/>
              <w:bidi w:val="0"/>
              <w:snapToGrid/>
              <w:spacing w:line="280" w:lineRule="exact"/>
              <w:ind w:left="-1" w:leftChars="-1" w:right="0" w:rightChars="0" w:hanging="1"/>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1000≤Y＜5000</w:t>
            </w:r>
          </w:p>
        </w:tc>
        <w:tc>
          <w:tcPr>
            <w:tcW w:w="992" w:type="dxa"/>
            <w:noWrap w:val="0"/>
            <w:vAlign w:val="center"/>
          </w:tcPr>
          <w:p w14:paraId="600FBCE8">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Y＜1000</w:t>
            </w:r>
          </w:p>
        </w:tc>
      </w:tr>
      <w:tr w14:paraId="1E1D6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13" w:type="dxa"/>
            <w:vMerge w:val="restart"/>
            <w:noWrap w:val="0"/>
            <w:vAlign w:val="center"/>
          </w:tcPr>
          <w:p w14:paraId="52CE50F5">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零售业</w:t>
            </w:r>
          </w:p>
        </w:tc>
        <w:tc>
          <w:tcPr>
            <w:tcW w:w="1369" w:type="dxa"/>
            <w:noWrap w:val="0"/>
            <w:vAlign w:val="center"/>
          </w:tcPr>
          <w:p w14:paraId="4CC2007F">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noWrap w:val="0"/>
            <w:vAlign w:val="center"/>
          </w:tcPr>
          <w:p w14:paraId="4918BAA9">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noWrap w:val="0"/>
            <w:vAlign w:val="center"/>
          </w:tcPr>
          <w:p w14:paraId="41B3AA8C">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X≥300</w:t>
            </w:r>
          </w:p>
        </w:tc>
        <w:tc>
          <w:tcPr>
            <w:tcW w:w="1701" w:type="dxa"/>
            <w:noWrap w:val="0"/>
            <w:vAlign w:val="center"/>
          </w:tcPr>
          <w:p w14:paraId="449B09D6">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50≤X＜300</w:t>
            </w:r>
          </w:p>
        </w:tc>
        <w:tc>
          <w:tcPr>
            <w:tcW w:w="1426" w:type="dxa"/>
            <w:noWrap w:val="0"/>
            <w:vAlign w:val="center"/>
          </w:tcPr>
          <w:p w14:paraId="302FB3E1">
            <w:pPr>
              <w:keepNext w:val="0"/>
              <w:keepLines w:val="0"/>
              <w:pageBreakBefore w:val="0"/>
              <w:widowControl/>
              <w:kinsoku/>
              <w:wordWrap/>
              <w:overflowPunct/>
              <w:topLinePunct w:val="0"/>
              <w:autoSpaceDE/>
              <w:autoSpaceDN/>
              <w:bidi w:val="0"/>
              <w:snapToGrid/>
              <w:spacing w:line="280" w:lineRule="exact"/>
              <w:ind w:left="-1" w:leftChars="-1" w:right="0" w:rightChars="0" w:hanging="1"/>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10≤X＜50 </w:t>
            </w:r>
          </w:p>
        </w:tc>
        <w:tc>
          <w:tcPr>
            <w:tcW w:w="992" w:type="dxa"/>
            <w:noWrap w:val="0"/>
            <w:vAlign w:val="center"/>
          </w:tcPr>
          <w:p w14:paraId="41C4263F">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71865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13" w:type="dxa"/>
            <w:vMerge w:val="continue"/>
            <w:noWrap w:val="0"/>
            <w:vAlign w:val="center"/>
          </w:tcPr>
          <w:p w14:paraId="329FCCA5">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kern w:val="0"/>
                <w:sz w:val="18"/>
                <w:szCs w:val="18"/>
                <w:highlight w:val="none"/>
              </w:rPr>
            </w:pPr>
          </w:p>
        </w:tc>
        <w:tc>
          <w:tcPr>
            <w:tcW w:w="1369" w:type="dxa"/>
            <w:noWrap w:val="0"/>
            <w:vAlign w:val="center"/>
          </w:tcPr>
          <w:p w14:paraId="5169EA85">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noWrap w:val="0"/>
            <w:vAlign w:val="center"/>
          </w:tcPr>
          <w:p w14:paraId="6932330B">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noWrap w:val="0"/>
            <w:vAlign w:val="center"/>
          </w:tcPr>
          <w:p w14:paraId="260E88A3">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Y≥20000</w:t>
            </w:r>
          </w:p>
        </w:tc>
        <w:tc>
          <w:tcPr>
            <w:tcW w:w="1701" w:type="dxa"/>
            <w:noWrap w:val="0"/>
            <w:vAlign w:val="center"/>
          </w:tcPr>
          <w:p w14:paraId="738C1A9B">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500≤Y＜20000</w:t>
            </w:r>
          </w:p>
        </w:tc>
        <w:tc>
          <w:tcPr>
            <w:tcW w:w="1426" w:type="dxa"/>
            <w:noWrap w:val="0"/>
            <w:vAlign w:val="center"/>
          </w:tcPr>
          <w:p w14:paraId="4729D439">
            <w:pPr>
              <w:keepNext w:val="0"/>
              <w:keepLines w:val="0"/>
              <w:pageBreakBefore w:val="0"/>
              <w:widowControl/>
              <w:kinsoku/>
              <w:wordWrap/>
              <w:overflowPunct/>
              <w:topLinePunct w:val="0"/>
              <w:autoSpaceDE/>
              <w:autoSpaceDN/>
              <w:bidi w:val="0"/>
              <w:snapToGrid/>
              <w:spacing w:line="280" w:lineRule="exact"/>
              <w:ind w:left="-1" w:leftChars="-1" w:right="0" w:rightChars="0" w:hanging="1"/>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100≤Y＜500</w:t>
            </w:r>
          </w:p>
        </w:tc>
        <w:tc>
          <w:tcPr>
            <w:tcW w:w="992" w:type="dxa"/>
            <w:noWrap w:val="0"/>
            <w:vAlign w:val="center"/>
          </w:tcPr>
          <w:p w14:paraId="44E4125D">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7023D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13" w:type="dxa"/>
            <w:vMerge w:val="restart"/>
            <w:noWrap w:val="0"/>
            <w:vAlign w:val="center"/>
          </w:tcPr>
          <w:p w14:paraId="182E4FE1">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交通运输业 *</w:t>
            </w:r>
          </w:p>
        </w:tc>
        <w:tc>
          <w:tcPr>
            <w:tcW w:w="1369" w:type="dxa"/>
            <w:noWrap w:val="0"/>
            <w:vAlign w:val="center"/>
          </w:tcPr>
          <w:p w14:paraId="6FC59FC2">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noWrap w:val="0"/>
            <w:vAlign w:val="center"/>
          </w:tcPr>
          <w:p w14:paraId="1F200B73">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noWrap w:val="0"/>
            <w:vAlign w:val="center"/>
          </w:tcPr>
          <w:p w14:paraId="0789C9B6">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X≥1000</w:t>
            </w:r>
          </w:p>
        </w:tc>
        <w:tc>
          <w:tcPr>
            <w:tcW w:w="1701" w:type="dxa"/>
            <w:noWrap w:val="0"/>
            <w:vAlign w:val="center"/>
          </w:tcPr>
          <w:p w14:paraId="01532E65">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300≤X＜1000</w:t>
            </w:r>
          </w:p>
        </w:tc>
        <w:tc>
          <w:tcPr>
            <w:tcW w:w="1426" w:type="dxa"/>
            <w:noWrap w:val="0"/>
            <w:vAlign w:val="center"/>
          </w:tcPr>
          <w:p w14:paraId="3CC8794F">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20≤X＜300</w:t>
            </w:r>
          </w:p>
        </w:tc>
        <w:tc>
          <w:tcPr>
            <w:tcW w:w="992" w:type="dxa"/>
            <w:noWrap w:val="0"/>
            <w:vAlign w:val="center"/>
          </w:tcPr>
          <w:p w14:paraId="0B4DCE76">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w:t>
            </w:r>
          </w:p>
        </w:tc>
      </w:tr>
      <w:tr w14:paraId="64509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13" w:type="dxa"/>
            <w:vMerge w:val="continue"/>
            <w:noWrap w:val="0"/>
            <w:vAlign w:val="center"/>
          </w:tcPr>
          <w:p w14:paraId="05C945E5">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kern w:val="0"/>
                <w:sz w:val="18"/>
                <w:szCs w:val="18"/>
                <w:highlight w:val="none"/>
              </w:rPr>
            </w:pPr>
          </w:p>
        </w:tc>
        <w:tc>
          <w:tcPr>
            <w:tcW w:w="1369" w:type="dxa"/>
            <w:noWrap w:val="0"/>
            <w:vAlign w:val="center"/>
          </w:tcPr>
          <w:p w14:paraId="00A37317">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noWrap w:val="0"/>
            <w:vAlign w:val="center"/>
          </w:tcPr>
          <w:p w14:paraId="74E27B54">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noWrap w:val="0"/>
            <w:vAlign w:val="center"/>
          </w:tcPr>
          <w:p w14:paraId="715D50E8">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Y≥30000</w:t>
            </w:r>
          </w:p>
        </w:tc>
        <w:tc>
          <w:tcPr>
            <w:tcW w:w="1701" w:type="dxa"/>
            <w:noWrap w:val="0"/>
            <w:vAlign w:val="center"/>
          </w:tcPr>
          <w:p w14:paraId="1EE058A0">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3000≤Y＜30000</w:t>
            </w:r>
          </w:p>
        </w:tc>
        <w:tc>
          <w:tcPr>
            <w:tcW w:w="1426" w:type="dxa"/>
            <w:noWrap w:val="0"/>
            <w:vAlign w:val="center"/>
          </w:tcPr>
          <w:p w14:paraId="302B8444">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200≤Y＜3000</w:t>
            </w:r>
          </w:p>
        </w:tc>
        <w:tc>
          <w:tcPr>
            <w:tcW w:w="992" w:type="dxa"/>
            <w:noWrap w:val="0"/>
            <w:vAlign w:val="center"/>
          </w:tcPr>
          <w:p w14:paraId="375ED757">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Y＜200</w:t>
            </w:r>
          </w:p>
        </w:tc>
      </w:tr>
      <w:tr w14:paraId="3FB85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13" w:type="dxa"/>
            <w:vMerge w:val="restart"/>
            <w:noWrap w:val="0"/>
            <w:vAlign w:val="center"/>
          </w:tcPr>
          <w:p w14:paraId="77486FCB">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仓储业*</w:t>
            </w:r>
          </w:p>
        </w:tc>
        <w:tc>
          <w:tcPr>
            <w:tcW w:w="1369" w:type="dxa"/>
            <w:noWrap w:val="0"/>
            <w:vAlign w:val="center"/>
          </w:tcPr>
          <w:p w14:paraId="7EF8E64F">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noWrap w:val="0"/>
            <w:vAlign w:val="center"/>
          </w:tcPr>
          <w:p w14:paraId="55840411">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noWrap w:val="0"/>
            <w:vAlign w:val="center"/>
          </w:tcPr>
          <w:p w14:paraId="1CA16EA5">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X≥200</w:t>
            </w:r>
          </w:p>
        </w:tc>
        <w:tc>
          <w:tcPr>
            <w:tcW w:w="1701" w:type="dxa"/>
            <w:noWrap w:val="0"/>
            <w:vAlign w:val="center"/>
          </w:tcPr>
          <w:p w14:paraId="04DBEB34">
            <w:pPr>
              <w:keepNext w:val="0"/>
              <w:keepLines w:val="0"/>
              <w:pageBreakBefore w:val="0"/>
              <w:widowControl/>
              <w:kinsoku/>
              <w:wordWrap/>
              <w:overflowPunct/>
              <w:topLinePunct w:val="0"/>
              <w:autoSpaceDE/>
              <w:autoSpaceDN/>
              <w:bidi w:val="0"/>
              <w:snapToGrid/>
              <w:spacing w:line="280" w:lineRule="exact"/>
              <w:ind w:left="1" w:leftChars="-51" w:right="0" w:rightChars="0" w:hanging="108" w:hangingChars="6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100≤X＜200</w:t>
            </w:r>
          </w:p>
        </w:tc>
        <w:tc>
          <w:tcPr>
            <w:tcW w:w="1426" w:type="dxa"/>
            <w:noWrap w:val="0"/>
            <w:vAlign w:val="center"/>
          </w:tcPr>
          <w:p w14:paraId="47A263F1">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20≤X＜100</w:t>
            </w:r>
          </w:p>
        </w:tc>
        <w:tc>
          <w:tcPr>
            <w:tcW w:w="992" w:type="dxa"/>
            <w:noWrap w:val="0"/>
            <w:vAlign w:val="center"/>
          </w:tcPr>
          <w:p w14:paraId="39AA514A">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w:t>
            </w:r>
          </w:p>
        </w:tc>
      </w:tr>
      <w:tr w14:paraId="4247C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13" w:type="dxa"/>
            <w:vMerge w:val="continue"/>
            <w:noWrap w:val="0"/>
            <w:vAlign w:val="center"/>
          </w:tcPr>
          <w:p w14:paraId="30AF74BE">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kern w:val="0"/>
                <w:sz w:val="18"/>
                <w:szCs w:val="18"/>
                <w:highlight w:val="none"/>
              </w:rPr>
            </w:pPr>
          </w:p>
        </w:tc>
        <w:tc>
          <w:tcPr>
            <w:tcW w:w="1369" w:type="dxa"/>
            <w:noWrap w:val="0"/>
            <w:vAlign w:val="center"/>
          </w:tcPr>
          <w:p w14:paraId="397510B1">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noWrap w:val="0"/>
            <w:vAlign w:val="center"/>
          </w:tcPr>
          <w:p w14:paraId="3052E7DB">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noWrap w:val="0"/>
            <w:vAlign w:val="center"/>
          </w:tcPr>
          <w:p w14:paraId="616FF154">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Y≥30000</w:t>
            </w:r>
          </w:p>
        </w:tc>
        <w:tc>
          <w:tcPr>
            <w:tcW w:w="1701" w:type="dxa"/>
            <w:noWrap w:val="0"/>
            <w:vAlign w:val="center"/>
          </w:tcPr>
          <w:p w14:paraId="7C04425E">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1000≤Y＜30000</w:t>
            </w:r>
          </w:p>
        </w:tc>
        <w:tc>
          <w:tcPr>
            <w:tcW w:w="1426" w:type="dxa"/>
            <w:noWrap w:val="0"/>
            <w:vAlign w:val="center"/>
          </w:tcPr>
          <w:p w14:paraId="04571849">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100≤Y＜1000</w:t>
            </w:r>
          </w:p>
        </w:tc>
        <w:tc>
          <w:tcPr>
            <w:tcW w:w="992" w:type="dxa"/>
            <w:noWrap w:val="0"/>
            <w:vAlign w:val="center"/>
          </w:tcPr>
          <w:p w14:paraId="233F2EA6">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4F079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13" w:type="dxa"/>
            <w:vMerge w:val="restart"/>
            <w:noWrap w:val="0"/>
            <w:vAlign w:val="center"/>
          </w:tcPr>
          <w:p w14:paraId="744D7D4C">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邮政业</w:t>
            </w:r>
          </w:p>
        </w:tc>
        <w:tc>
          <w:tcPr>
            <w:tcW w:w="1369" w:type="dxa"/>
            <w:noWrap w:val="0"/>
            <w:vAlign w:val="center"/>
          </w:tcPr>
          <w:p w14:paraId="7E9D725F">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noWrap w:val="0"/>
            <w:vAlign w:val="center"/>
          </w:tcPr>
          <w:p w14:paraId="7250ADB9">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noWrap w:val="0"/>
            <w:vAlign w:val="center"/>
          </w:tcPr>
          <w:p w14:paraId="65D7E42A">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X≥1000</w:t>
            </w:r>
          </w:p>
        </w:tc>
        <w:tc>
          <w:tcPr>
            <w:tcW w:w="1701" w:type="dxa"/>
            <w:noWrap w:val="0"/>
            <w:vAlign w:val="center"/>
          </w:tcPr>
          <w:p w14:paraId="6E5B8D60">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300≤X＜1000</w:t>
            </w:r>
          </w:p>
        </w:tc>
        <w:tc>
          <w:tcPr>
            <w:tcW w:w="1426" w:type="dxa"/>
            <w:noWrap w:val="0"/>
            <w:vAlign w:val="center"/>
          </w:tcPr>
          <w:p w14:paraId="58E45B2F">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20≤X＜300</w:t>
            </w:r>
          </w:p>
        </w:tc>
        <w:tc>
          <w:tcPr>
            <w:tcW w:w="992" w:type="dxa"/>
            <w:noWrap w:val="0"/>
            <w:vAlign w:val="center"/>
          </w:tcPr>
          <w:p w14:paraId="1A13EEA4">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w:t>
            </w:r>
          </w:p>
        </w:tc>
      </w:tr>
      <w:tr w14:paraId="724AC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13" w:type="dxa"/>
            <w:vMerge w:val="continue"/>
            <w:noWrap w:val="0"/>
            <w:vAlign w:val="center"/>
          </w:tcPr>
          <w:p w14:paraId="2AA5F97A">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kern w:val="0"/>
                <w:sz w:val="18"/>
                <w:szCs w:val="18"/>
                <w:highlight w:val="none"/>
              </w:rPr>
            </w:pPr>
          </w:p>
        </w:tc>
        <w:tc>
          <w:tcPr>
            <w:tcW w:w="1369" w:type="dxa"/>
            <w:noWrap w:val="0"/>
            <w:vAlign w:val="center"/>
          </w:tcPr>
          <w:p w14:paraId="00410169">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noWrap w:val="0"/>
            <w:vAlign w:val="center"/>
          </w:tcPr>
          <w:p w14:paraId="6ED6EDEC">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noWrap w:val="0"/>
            <w:vAlign w:val="center"/>
          </w:tcPr>
          <w:p w14:paraId="161801C6">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Y≥30000</w:t>
            </w:r>
          </w:p>
        </w:tc>
        <w:tc>
          <w:tcPr>
            <w:tcW w:w="1701" w:type="dxa"/>
            <w:noWrap w:val="0"/>
            <w:vAlign w:val="center"/>
          </w:tcPr>
          <w:p w14:paraId="2670E0D4">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2000≤Y＜30000</w:t>
            </w:r>
          </w:p>
        </w:tc>
        <w:tc>
          <w:tcPr>
            <w:tcW w:w="1426" w:type="dxa"/>
            <w:noWrap w:val="0"/>
            <w:vAlign w:val="center"/>
          </w:tcPr>
          <w:p w14:paraId="6D049764">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100≤Y＜2000</w:t>
            </w:r>
          </w:p>
        </w:tc>
        <w:tc>
          <w:tcPr>
            <w:tcW w:w="992" w:type="dxa"/>
            <w:noWrap w:val="0"/>
            <w:vAlign w:val="center"/>
          </w:tcPr>
          <w:p w14:paraId="6F1EB71F">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7AE64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13" w:type="dxa"/>
            <w:vMerge w:val="restart"/>
            <w:noWrap w:val="0"/>
            <w:vAlign w:val="center"/>
          </w:tcPr>
          <w:p w14:paraId="4F8401FD">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住宿业</w:t>
            </w:r>
          </w:p>
        </w:tc>
        <w:tc>
          <w:tcPr>
            <w:tcW w:w="1369" w:type="dxa"/>
            <w:noWrap w:val="0"/>
            <w:vAlign w:val="center"/>
          </w:tcPr>
          <w:p w14:paraId="5EA70DCE">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noWrap w:val="0"/>
            <w:vAlign w:val="center"/>
          </w:tcPr>
          <w:p w14:paraId="4C261E1A">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noWrap w:val="0"/>
            <w:vAlign w:val="center"/>
          </w:tcPr>
          <w:p w14:paraId="31D6C107">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X≥300</w:t>
            </w:r>
          </w:p>
        </w:tc>
        <w:tc>
          <w:tcPr>
            <w:tcW w:w="1701" w:type="dxa"/>
            <w:noWrap w:val="0"/>
            <w:vAlign w:val="center"/>
          </w:tcPr>
          <w:p w14:paraId="343F50C1">
            <w:pPr>
              <w:keepNext w:val="0"/>
              <w:keepLines w:val="0"/>
              <w:pageBreakBefore w:val="0"/>
              <w:widowControl/>
              <w:kinsoku/>
              <w:wordWrap/>
              <w:overflowPunct/>
              <w:topLinePunct w:val="0"/>
              <w:autoSpaceDE/>
              <w:autoSpaceDN/>
              <w:bidi w:val="0"/>
              <w:snapToGrid/>
              <w:spacing w:line="280" w:lineRule="exact"/>
              <w:ind w:left="1" w:leftChars="-51" w:right="0" w:rightChars="0" w:hanging="108" w:hangingChars="6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426" w:type="dxa"/>
            <w:noWrap w:val="0"/>
            <w:vAlign w:val="center"/>
          </w:tcPr>
          <w:p w14:paraId="731C038F">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992" w:type="dxa"/>
            <w:noWrap w:val="0"/>
            <w:vAlign w:val="center"/>
          </w:tcPr>
          <w:p w14:paraId="3117E879">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5CC3A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13" w:type="dxa"/>
            <w:vMerge w:val="continue"/>
            <w:noWrap w:val="0"/>
            <w:vAlign w:val="center"/>
          </w:tcPr>
          <w:p w14:paraId="052E816D">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kern w:val="0"/>
                <w:sz w:val="18"/>
                <w:szCs w:val="18"/>
                <w:highlight w:val="none"/>
              </w:rPr>
            </w:pPr>
          </w:p>
        </w:tc>
        <w:tc>
          <w:tcPr>
            <w:tcW w:w="1369" w:type="dxa"/>
            <w:noWrap w:val="0"/>
            <w:vAlign w:val="center"/>
          </w:tcPr>
          <w:p w14:paraId="52C21D21">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noWrap w:val="0"/>
            <w:vAlign w:val="center"/>
          </w:tcPr>
          <w:p w14:paraId="5835C5F3">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noWrap w:val="0"/>
            <w:vAlign w:val="center"/>
          </w:tcPr>
          <w:p w14:paraId="6D112665">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Y≥10000</w:t>
            </w:r>
          </w:p>
        </w:tc>
        <w:tc>
          <w:tcPr>
            <w:tcW w:w="1701" w:type="dxa"/>
            <w:noWrap w:val="0"/>
            <w:vAlign w:val="center"/>
          </w:tcPr>
          <w:p w14:paraId="6FF9EB07">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2000≤Y＜10000</w:t>
            </w:r>
          </w:p>
        </w:tc>
        <w:tc>
          <w:tcPr>
            <w:tcW w:w="1426" w:type="dxa"/>
            <w:noWrap w:val="0"/>
            <w:vAlign w:val="center"/>
          </w:tcPr>
          <w:p w14:paraId="35069CF7">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100≤Y＜2000</w:t>
            </w:r>
          </w:p>
        </w:tc>
        <w:tc>
          <w:tcPr>
            <w:tcW w:w="992" w:type="dxa"/>
            <w:noWrap w:val="0"/>
            <w:vAlign w:val="center"/>
          </w:tcPr>
          <w:p w14:paraId="072400DB">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23815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13" w:type="dxa"/>
            <w:vMerge w:val="restart"/>
            <w:noWrap w:val="0"/>
            <w:vAlign w:val="center"/>
          </w:tcPr>
          <w:p w14:paraId="710FB218">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餐饮业</w:t>
            </w:r>
          </w:p>
        </w:tc>
        <w:tc>
          <w:tcPr>
            <w:tcW w:w="1369" w:type="dxa"/>
            <w:noWrap w:val="0"/>
            <w:vAlign w:val="center"/>
          </w:tcPr>
          <w:p w14:paraId="78D06DC4">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noWrap w:val="0"/>
            <w:vAlign w:val="center"/>
          </w:tcPr>
          <w:p w14:paraId="2C84D125">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noWrap w:val="0"/>
            <w:vAlign w:val="center"/>
          </w:tcPr>
          <w:p w14:paraId="13C0398C">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X≥300</w:t>
            </w:r>
          </w:p>
        </w:tc>
        <w:tc>
          <w:tcPr>
            <w:tcW w:w="1701" w:type="dxa"/>
            <w:noWrap w:val="0"/>
            <w:vAlign w:val="center"/>
          </w:tcPr>
          <w:p w14:paraId="1FF5C639">
            <w:pPr>
              <w:keepNext w:val="0"/>
              <w:keepLines w:val="0"/>
              <w:pageBreakBefore w:val="0"/>
              <w:widowControl/>
              <w:kinsoku/>
              <w:wordWrap/>
              <w:overflowPunct/>
              <w:topLinePunct w:val="0"/>
              <w:autoSpaceDE/>
              <w:autoSpaceDN/>
              <w:bidi w:val="0"/>
              <w:snapToGrid/>
              <w:spacing w:line="280" w:lineRule="exact"/>
              <w:ind w:left="1" w:leftChars="-51" w:right="0" w:rightChars="0" w:hanging="108" w:hangingChars="6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100≤X＜300 </w:t>
            </w:r>
          </w:p>
        </w:tc>
        <w:tc>
          <w:tcPr>
            <w:tcW w:w="1426" w:type="dxa"/>
            <w:noWrap w:val="0"/>
            <w:vAlign w:val="center"/>
          </w:tcPr>
          <w:p w14:paraId="5DB6D3A9">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992" w:type="dxa"/>
            <w:noWrap w:val="0"/>
            <w:vAlign w:val="center"/>
          </w:tcPr>
          <w:p w14:paraId="2E304CDA">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537BB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13" w:type="dxa"/>
            <w:vMerge w:val="continue"/>
            <w:noWrap w:val="0"/>
            <w:vAlign w:val="center"/>
          </w:tcPr>
          <w:p w14:paraId="61C40FC3">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kern w:val="0"/>
                <w:sz w:val="18"/>
                <w:szCs w:val="18"/>
                <w:highlight w:val="none"/>
              </w:rPr>
            </w:pPr>
          </w:p>
        </w:tc>
        <w:tc>
          <w:tcPr>
            <w:tcW w:w="1369" w:type="dxa"/>
            <w:noWrap w:val="0"/>
            <w:vAlign w:val="center"/>
          </w:tcPr>
          <w:p w14:paraId="694C6481">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noWrap w:val="0"/>
            <w:vAlign w:val="center"/>
          </w:tcPr>
          <w:p w14:paraId="3CD3782B">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noWrap w:val="0"/>
            <w:vAlign w:val="center"/>
          </w:tcPr>
          <w:p w14:paraId="04DDAA43">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Y≥10000</w:t>
            </w:r>
          </w:p>
        </w:tc>
        <w:tc>
          <w:tcPr>
            <w:tcW w:w="1701" w:type="dxa"/>
            <w:noWrap w:val="0"/>
            <w:vAlign w:val="center"/>
          </w:tcPr>
          <w:p w14:paraId="25D1FBDF">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2000≤Y＜10000</w:t>
            </w:r>
          </w:p>
        </w:tc>
        <w:tc>
          <w:tcPr>
            <w:tcW w:w="1426" w:type="dxa"/>
            <w:noWrap w:val="0"/>
            <w:vAlign w:val="center"/>
          </w:tcPr>
          <w:p w14:paraId="72D5FA12">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100≤Y＜2000</w:t>
            </w:r>
          </w:p>
        </w:tc>
        <w:tc>
          <w:tcPr>
            <w:tcW w:w="992" w:type="dxa"/>
            <w:noWrap w:val="0"/>
            <w:vAlign w:val="center"/>
          </w:tcPr>
          <w:p w14:paraId="2F00CEF0">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6040B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13" w:type="dxa"/>
            <w:vMerge w:val="restart"/>
            <w:noWrap w:val="0"/>
            <w:vAlign w:val="center"/>
          </w:tcPr>
          <w:p w14:paraId="6187379A">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信息传输业 *</w:t>
            </w:r>
          </w:p>
        </w:tc>
        <w:tc>
          <w:tcPr>
            <w:tcW w:w="1369" w:type="dxa"/>
            <w:noWrap w:val="0"/>
            <w:vAlign w:val="center"/>
          </w:tcPr>
          <w:p w14:paraId="74E613FD">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noWrap w:val="0"/>
            <w:vAlign w:val="center"/>
          </w:tcPr>
          <w:p w14:paraId="34030EF1">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noWrap w:val="0"/>
            <w:vAlign w:val="center"/>
          </w:tcPr>
          <w:p w14:paraId="7F319042">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X≥2000</w:t>
            </w:r>
          </w:p>
        </w:tc>
        <w:tc>
          <w:tcPr>
            <w:tcW w:w="1701" w:type="dxa"/>
            <w:noWrap w:val="0"/>
            <w:vAlign w:val="center"/>
          </w:tcPr>
          <w:p w14:paraId="7FD332EB">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100≤X＜2000</w:t>
            </w:r>
          </w:p>
        </w:tc>
        <w:tc>
          <w:tcPr>
            <w:tcW w:w="1426" w:type="dxa"/>
            <w:noWrap w:val="0"/>
            <w:vAlign w:val="center"/>
          </w:tcPr>
          <w:p w14:paraId="79936AE5">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992" w:type="dxa"/>
            <w:noWrap w:val="0"/>
            <w:vAlign w:val="center"/>
          </w:tcPr>
          <w:p w14:paraId="74AACA5E">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2C718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13" w:type="dxa"/>
            <w:vMerge w:val="continue"/>
            <w:noWrap w:val="0"/>
            <w:vAlign w:val="center"/>
          </w:tcPr>
          <w:p w14:paraId="366B6E94">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kern w:val="0"/>
                <w:sz w:val="18"/>
                <w:szCs w:val="18"/>
                <w:highlight w:val="none"/>
              </w:rPr>
            </w:pPr>
          </w:p>
        </w:tc>
        <w:tc>
          <w:tcPr>
            <w:tcW w:w="1369" w:type="dxa"/>
            <w:noWrap w:val="0"/>
            <w:vAlign w:val="center"/>
          </w:tcPr>
          <w:p w14:paraId="49A3DE99">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noWrap w:val="0"/>
            <w:vAlign w:val="center"/>
          </w:tcPr>
          <w:p w14:paraId="5A0A2993">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noWrap w:val="0"/>
            <w:vAlign w:val="center"/>
          </w:tcPr>
          <w:p w14:paraId="7E4824C9">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Y≥100000</w:t>
            </w:r>
          </w:p>
        </w:tc>
        <w:tc>
          <w:tcPr>
            <w:tcW w:w="1701" w:type="dxa"/>
            <w:noWrap w:val="0"/>
            <w:vAlign w:val="center"/>
          </w:tcPr>
          <w:p w14:paraId="78172513">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1000≤Y＜100000</w:t>
            </w:r>
          </w:p>
        </w:tc>
        <w:tc>
          <w:tcPr>
            <w:tcW w:w="1426" w:type="dxa"/>
            <w:noWrap w:val="0"/>
            <w:vAlign w:val="center"/>
          </w:tcPr>
          <w:p w14:paraId="60BE6BE3">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100≤Y＜1000</w:t>
            </w:r>
          </w:p>
        </w:tc>
        <w:tc>
          <w:tcPr>
            <w:tcW w:w="992" w:type="dxa"/>
            <w:noWrap w:val="0"/>
            <w:vAlign w:val="center"/>
          </w:tcPr>
          <w:p w14:paraId="42A24FCA">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5B368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113" w:type="dxa"/>
            <w:vMerge w:val="restart"/>
            <w:noWrap w:val="0"/>
            <w:vAlign w:val="center"/>
          </w:tcPr>
          <w:p w14:paraId="43472AA6">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spacing w:val="-12"/>
                <w:kern w:val="0"/>
                <w:sz w:val="18"/>
                <w:szCs w:val="18"/>
                <w:highlight w:val="none"/>
              </w:rPr>
            </w:pPr>
            <w:r>
              <w:rPr>
                <w:rFonts w:hint="eastAsia" w:ascii="宋体" w:hAnsi="宋体" w:eastAsia="宋体" w:cs="宋体"/>
                <w:color w:val="auto"/>
                <w:spacing w:val="-12"/>
                <w:kern w:val="0"/>
                <w:sz w:val="18"/>
                <w:szCs w:val="18"/>
                <w:highlight w:val="none"/>
              </w:rPr>
              <w:t>软件和信息技术服</w:t>
            </w:r>
            <w:r>
              <w:rPr>
                <w:rFonts w:hint="eastAsia" w:ascii="宋体" w:hAnsi="宋体" w:eastAsia="宋体" w:cs="宋体"/>
                <w:color w:val="auto"/>
                <w:kern w:val="0"/>
                <w:sz w:val="18"/>
                <w:szCs w:val="18"/>
                <w:highlight w:val="none"/>
              </w:rPr>
              <w:t>务业</w:t>
            </w:r>
          </w:p>
        </w:tc>
        <w:tc>
          <w:tcPr>
            <w:tcW w:w="1369" w:type="dxa"/>
            <w:noWrap w:val="0"/>
            <w:vAlign w:val="center"/>
          </w:tcPr>
          <w:p w14:paraId="655DE7F1">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noWrap w:val="0"/>
            <w:vAlign w:val="center"/>
          </w:tcPr>
          <w:p w14:paraId="51D3041C">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noWrap w:val="0"/>
            <w:vAlign w:val="center"/>
          </w:tcPr>
          <w:p w14:paraId="199BC257">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X≥300</w:t>
            </w:r>
          </w:p>
        </w:tc>
        <w:tc>
          <w:tcPr>
            <w:tcW w:w="1701" w:type="dxa"/>
            <w:noWrap w:val="0"/>
            <w:vAlign w:val="center"/>
          </w:tcPr>
          <w:p w14:paraId="2022C49A">
            <w:pPr>
              <w:keepNext w:val="0"/>
              <w:keepLines w:val="0"/>
              <w:pageBreakBefore w:val="0"/>
              <w:widowControl/>
              <w:kinsoku/>
              <w:wordWrap/>
              <w:overflowPunct/>
              <w:topLinePunct w:val="0"/>
              <w:autoSpaceDE/>
              <w:autoSpaceDN/>
              <w:bidi w:val="0"/>
              <w:snapToGrid/>
              <w:spacing w:line="280" w:lineRule="exact"/>
              <w:ind w:left="1" w:leftChars="-51" w:right="0" w:rightChars="0" w:hanging="108" w:hangingChars="6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100≤X＜300 </w:t>
            </w:r>
          </w:p>
        </w:tc>
        <w:tc>
          <w:tcPr>
            <w:tcW w:w="1426" w:type="dxa"/>
            <w:noWrap w:val="0"/>
            <w:vAlign w:val="center"/>
          </w:tcPr>
          <w:p w14:paraId="4B3DF496">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992" w:type="dxa"/>
            <w:noWrap w:val="0"/>
            <w:vAlign w:val="center"/>
          </w:tcPr>
          <w:p w14:paraId="056E5402">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4B096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113" w:type="dxa"/>
            <w:vMerge w:val="continue"/>
            <w:noWrap w:val="0"/>
            <w:vAlign w:val="center"/>
          </w:tcPr>
          <w:p w14:paraId="10621A31">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spacing w:val="-12"/>
                <w:kern w:val="0"/>
                <w:sz w:val="18"/>
                <w:szCs w:val="18"/>
                <w:highlight w:val="none"/>
              </w:rPr>
            </w:pPr>
          </w:p>
        </w:tc>
        <w:tc>
          <w:tcPr>
            <w:tcW w:w="1369" w:type="dxa"/>
            <w:noWrap w:val="0"/>
            <w:vAlign w:val="center"/>
          </w:tcPr>
          <w:p w14:paraId="338B0319">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noWrap w:val="0"/>
            <w:vAlign w:val="center"/>
          </w:tcPr>
          <w:p w14:paraId="1BF99829">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noWrap w:val="0"/>
            <w:vAlign w:val="center"/>
          </w:tcPr>
          <w:p w14:paraId="0F8431CC">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Y≥10000</w:t>
            </w:r>
          </w:p>
        </w:tc>
        <w:tc>
          <w:tcPr>
            <w:tcW w:w="1701" w:type="dxa"/>
            <w:noWrap w:val="0"/>
            <w:vAlign w:val="center"/>
          </w:tcPr>
          <w:p w14:paraId="22DB55D4">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1000≤Y＜10000</w:t>
            </w:r>
          </w:p>
        </w:tc>
        <w:tc>
          <w:tcPr>
            <w:tcW w:w="1426" w:type="dxa"/>
            <w:noWrap w:val="0"/>
            <w:vAlign w:val="center"/>
          </w:tcPr>
          <w:p w14:paraId="10029141">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50≤Y＜1000</w:t>
            </w:r>
          </w:p>
        </w:tc>
        <w:tc>
          <w:tcPr>
            <w:tcW w:w="992" w:type="dxa"/>
            <w:noWrap w:val="0"/>
            <w:vAlign w:val="center"/>
          </w:tcPr>
          <w:p w14:paraId="7311E4BC">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Y＜50</w:t>
            </w:r>
          </w:p>
        </w:tc>
      </w:tr>
      <w:tr w14:paraId="38329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113" w:type="dxa"/>
            <w:vMerge w:val="restart"/>
            <w:noWrap w:val="0"/>
            <w:vAlign w:val="center"/>
          </w:tcPr>
          <w:p w14:paraId="3940D040">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房地产开发经营</w:t>
            </w:r>
          </w:p>
        </w:tc>
        <w:tc>
          <w:tcPr>
            <w:tcW w:w="1369" w:type="dxa"/>
            <w:noWrap w:val="0"/>
            <w:vAlign w:val="center"/>
          </w:tcPr>
          <w:p w14:paraId="5ADBFEC9">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noWrap w:val="0"/>
            <w:vAlign w:val="center"/>
          </w:tcPr>
          <w:p w14:paraId="0E00ACCF">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noWrap w:val="0"/>
            <w:vAlign w:val="center"/>
          </w:tcPr>
          <w:p w14:paraId="1C11B0D3">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Y≥200000</w:t>
            </w:r>
          </w:p>
        </w:tc>
        <w:tc>
          <w:tcPr>
            <w:tcW w:w="1701" w:type="dxa"/>
            <w:noWrap w:val="0"/>
            <w:vAlign w:val="center"/>
          </w:tcPr>
          <w:p w14:paraId="38DE4CCB">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1000≤Y＜200000</w:t>
            </w:r>
          </w:p>
        </w:tc>
        <w:tc>
          <w:tcPr>
            <w:tcW w:w="1426" w:type="dxa"/>
            <w:noWrap w:val="0"/>
            <w:vAlign w:val="center"/>
          </w:tcPr>
          <w:p w14:paraId="750455E8">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100≤Y＜1000</w:t>
            </w:r>
          </w:p>
        </w:tc>
        <w:tc>
          <w:tcPr>
            <w:tcW w:w="992" w:type="dxa"/>
            <w:noWrap w:val="0"/>
            <w:vAlign w:val="center"/>
          </w:tcPr>
          <w:p w14:paraId="097A6E17">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005B4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113" w:type="dxa"/>
            <w:vMerge w:val="continue"/>
            <w:noWrap w:val="0"/>
            <w:vAlign w:val="center"/>
          </w:tcPr>
          <w:p w14:paraId="256C40C1">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kern w:val="0"/>
                <w:sz w:val="18"/>
                <w:szCs w:val="18"/>
                <w:highlight w:val="none"/>
              </w:rPr>
            </w:pPr>
          </w:p>
        </w:tc>
        <w:tc>
          <w:tcPr>
            <w:tcW w:w="1369" w:type="dxa"/>
            <w:noWrap w:val="0"/>
            <w:vAlign w:val="center"/>
          </w:tcPr>
          <w:p w14:paraId="75ED787C">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资产总额(Z)</w:t>
            </w:r>
          </w:p>
        </w:tc>
        <w:tc>
          <w:tcPr>
            <w:tcW w:w="709" w:type="dxa"/>
            <w:noWrap w:val="0"/>
            <w:vAlign w:val="center"/>
          </w:tcPr>
          <w:p w14:paraId="233AB796">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noWrap w:val="0"/>
            <w:vAlign w:val="center"/>
          </w:tcPr>
          <w:p w14:paraId="123CEB97">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Z≥10000</w:t>
            </w:r>
          </w:p>
        </w:tc>
        <w:tc>
          <w:tcPr>
            <w:tcW w:w="1701" w:type="dxa"/>
            <w:noWrap w:val="0"/>
            <w:vAlign w:val="center"/>
          </w:tcPr>
          <w:p w14:paraId="2625402C">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5000≤Z＜10000</w:t>
            </w:r>
          </w:p>
        </w:tc>
        <w:tc>
          <w:tcPr>
            <w:tcW w:w="1426" w:type="dxa"/>
            <w:noWrap w:val="0"/>
            <w:vAlign w:val="center"/>
          </w:tcPr>
          <w:p w14:paraId="2901103D">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2000≤Z＜5000</w:t>
            </w:r>
          </w:p>
        </w:tc>
        <w:tc>
          <w:tcPr>
            <w:tcW w:w="992" w:type="dxa"/>
            <w:noWrap w:val="0"/>
            <w:vAlign w:val="center"/>
          </w:tcPr>
          <w:p w14:paraId="7FB73620">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Z＜2000</w:t>
            </w:r>
          </w:p>
        </w:tc>
      </w:tr>
      <w:tr w14:paraId="64139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113" w:type="dxa"/>
            <w:vMerge w:val="restart"/>
            <w:noWrap w:val="0"/>
            <w:vAlign w:val="center"/>
          </w:tcPr>
          <w:p w14:paraId="72B27B5B">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物业管理</w:t>
            </w:r>
          </w:p>
        </w:tc>
        <w:tc>
          <w:tcPr>
            <w:tcW w:w="1369" w:type="dxa"/>
            <w:noWrap w:val="0"/>
            <w:vAlign w:val="center"/>
          </w:tcPr>
          <w:p w14:paraId="309989D7">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noWrap w:val="0"/>
            <w:vAlign w:val="center"/>
          </w:tcPr>
          <w:p w14:paraId="797A369A">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noWrap w:val="0"/>
            <w:vAlign w:val="center"/>
          </w:tcPr>
          <w:p w14:paraId="78E4B3A3">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X≥1000</w:t>
            </w:r>
          </w:p>
        </w:tc>
        <w:tc>
          <w:tcPr>
            <w:tcW w:w="1701" w:type="dxa"/>
            <w:noWrap w:val="0"/>
            <w:vAlign w:val="center"/>
          </w:tcPr>
          <w:p w14:paraId="5C410264">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300≤X＜1000</w:t>
            </w:r>
          </w:p>
        </w:tc>
        <w:tc>
          <w:tcPr>
            <w:tcW w:w="1426" w:type="dxa"/>
            <w:noWrap w:val="0"/>
            <w:vAlign w:val="center"/>
          </w:tcPr>
          <w:p w14:paraId="67E0023B">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992" w:type="dxa"/>
            <w:noWrap w:val="0"/>
            <w:vAlign w:val="center"/>
          </w:tcPr>
          <w:p w14:paraId="033C23E8">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X＜100</w:t>
            </w:r>
          </w:p>
        </w:tc>
      </w:tr>
      <w:tr w14:paraId="468D9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113" w:type="dxa"/>
            <w:vMerge w:val="continue"/>
            <w:noWrap w:val="0"/>
            <w:vAlign w:val="center"/>
          </w:tcPr>
          <w:p w14:paraId="701110C8">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kern w:val="0"/>
                <w:sz w:val="18"/>
                <w:szCs w:val="18"/>
                <w:highlight w:val="none"/>
              </w:rPr>
            </w:pPr>
          </w:p>
        </w:tc>
        <w:tc>
          <w:tcPr>
            <w:tcW w:w="1369" w:type="dxa"/>
            <w:noWrap w:val="0"/>
            <w:vAlign w:val="center"/>
          </w:tcPr>
          <w:p w14:paraId="68E13372">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noWrap w:val="0"/>
            <w:vAlign w:val="center"/>
          </w:tcPr>
          <w:p w14:paraId="1863B82A">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noWrap w:val="0"/>
            <w:vAlign w:val="center"/>
          </w:tcPr>
          <w:p w14:paraId="2CD9F263">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Y≥5000</w:t>
            </w:r>
          </w:p>
        </w:tc>
        <w:tc>
          <w:tcPr>
            <w:tcW w:w="1701" w:type="dxa"/>
            <w:noWrap w:val="0"/>
            <w:vAlign w:val="center"/>
          </w:tcPr>
          <w:p w14:paraId="47031D5A">
            <w:pPr>
              <w:keepNext w:val="0"/>
              <w:keepLines w:val="0"/>
              <w:pageBreakBefore w:val="0"/>
              <w:widowControl/>
              <w:kinsoku/>
              <w:wordWrap/>
              <w:overflowPunct/>
              <w:topLinePunct w:val="0"/>
              <w:autoSpaceDE/>
              <w:autoSpaceDN/>
              <w:bidi w:val="0"/>
              <w:snapToGrid/>
              <w:spacing w:line="280" w:lineRule="exact"/>
              <w:ind w:left="1" w:leftChars="-51" w:right="0" w:rightChars="0" w:hanging="108" w:hangingChars="6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1000≤Y＜5000</w:t>
            </w:r>
          </w:p>
        </w:tc>
        <w:tc>
          <w:tcPr>
            <w:tcW w:w="1426" w:type="dxa"/>
            <w:noWrap w:val="0"/>
            <w:vAlign w:val="center"/>
          </w:tcPr>
          <w:p w14:paraId="68C37032">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500≤Y＜1000</w:t>
            </w:r>
          </w:p>
        </w:tc>
        <w:tc>
          <w:tcPr>
            <w:tcW w:w="992" w:type="dxa"/>
            <w:noWrap w:val="0"/>
            <w:vAlign w:val="center"/>
          </w:tcPr>
          <w:p w14:paraId="3A0CD36A">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Y＜500</w:t>
            </w:r>
          </w:p>
        </w:tc>
      </w:tr>
      <w:tr w14:paraId="75EFA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113" w:type="dxa"/>
            <w:vMerge w:val="restart"/>
            <w:noWrap w:val="0"/>
            <w:vAlign w:val="center"/>
          </w:tcPr>
          <w:p w14:paraId="0DDA80F0">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租赁和商务服务业</w:t>
            </w:r>
          </w:p>
        </w:tc>
        <w:tc>
          <w:tcPr>
            <w:tcW w:w="1369" w:type="dxa"/>
            <w:noWrap w:val="0"/>
            <w:vAlign w:val="center"/>
          </w:tcPr>
          <w:p w14:paraId="3468CEB6">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noWrap w:val="0"/>
            <w:vAlign w:val="center"/>
          </w:tcPr>
          <w:p w14:paraId="346C7DC4">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noWrap w:val="0"/>
            <w:vAlign w:val="center"/>
          </w:tcPr>
          <w:p w14:paraId="6A3C9F14">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X≥300</w:t>
            </w:r>
          </w:p>
        </w:tc>
        <w:tc>
          <w:tcPr>
            <w:tcW w:w="1701" w:type="dxa"/>
            <w:noWrap w:val="0"/>
            <w:vAlign w:val="center"/>
          </w:tcPr>
          <w:p w14:paraId="38E06018">
            <w:pPr>
              <w:keepNext w:val="0"/>
              <w:keepLines w:val="0"/>
              <w:pageBreakBefore w:val="0"/>
              <w:widowControl/>
              <w:kinsoku/>
              <w:wordWrap/>
              <w:overflowPunct/>
              <w:topLinePunct w:val="0"/>
              <w:autoSpaceDE/>
              <w:autoSpaceDN/>
              <w:bidi w:val="0"/>
              <w:snapToGrid/>
              <w:spacing w:line="280" w:lineRule="exact"/>
              <w:ind w:left="1" w:leftChars="-51" w:right="0" w:rightChars="0" w:hanging="108" w:hangingChars="6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426" w:type="dxa"/>
            <w:noWrap w:val="0"/>
            <w:vAlign w:val="center"/>
          </w:tcPr>
          <w:p w14:paraId="100A155E">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992" w:type="dxa"/>
            <w:noWrap w:val="0"/>
            <w:vAlign w:val="center"/>
          </w:tcPr>
          <w:p w14:paraId="4B99ABA7">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50F9A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113" w:type="dxa"/>
            <w:vMerge w:val="continue"/>
            <w:noWrap w:val="0"/>
            <w:vAlign w:val="center"/>
          </w:tcPr>
          <w:p w14:paraId="0C4F76D0">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kern w:val="0"/>
                <w:sz w:val="18"/>
                <w:szCs w:val="18"/>
                <w:highlight w:val="none"/>
              </w:rPr>
            </w:pPr>
          </w:p>
        </w:tc>
        <w:tc>
          <w:tcPr>
            <w:tcW w:w="1369" w:type="dxa"/>
            <w:noWrap w:val="0"/>
            <w:vAlign w:val="center"/>
          </w:tcPr>
          <w:p w14:paraId="51EEA556">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资产总额(Z)</w:t>
            </w:r>
          </w:p>
        </w:tc>
        <w:tc>
          <w:tcPr>
            <w:tcW w:w="709" w:type="dxa"/>
            <w:noWrap w:val="0"/>
            <w:vAlign w:val="center"/>
          </w:tcPr>
          <w:p w14:paraId="649A8DC7">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noWrap w:val="0"/>
            <w:vAlign w:val="center"/>
          </w:tcPr>
          <w:p w14:paraId="6EB3C10E">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Z≥120000</w:t>
            </w:r>
          </w:p>
        </w:tc>
        <w:tc>
          <w:tcPr>
            <w:tcW w:w="1701" w:type="dxa"/>
            <w:noWrap w:val="0"/>
            <w:vAlign w:val="center"/>
          </w:tcPr>
          <w:p w14:paraId="7C1273BD">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8000≤Z＜120000</w:t>
            </w:r>
          </w:p>
        </w:tc>
        <w:tc>
          <w:tcPr>
            <w:tcW w:w="1426" w:type="dxa"/>
            <w:noWrap w:val="0"/>
            <w:vAlign w:val="center"/>
          </w:tcPr>
          <w:p w14:paraId="317CBED7">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100≤Z＜8000</w:t>
            </w:r>
          </w:p>
        </w:tc>
        <w:tc>
          <w:tcPr>
            <w:tcW w:w="992" w:type="dxa"/>
            <w:noWrap w:val="0"/>
            <w:vAlign w:val="center"/>
          </w:tcPr>
          <w:p w14:paraId="01FD379E">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Z＜100</w:t>
            </w:r>
          </w:p>
        </w:tc>
      </w:tr>
      <w:tr w14:paraId="115F9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113" w:type="dxa"/>
            <w:noWrap w:val="0"/>
            <w:vAlign w:val="center"/>
          </w:tcPr>
          <w:p w14:paraId="44B02182">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其他未列明行业 *</w:t>
            </w:r>
          </w:p>
        </w:tc>
        <w:tc>
          <w:tcPr>
            <w:tcW w:w="1369" w:type="dxa"/>
            <w:noWrap w:val="0"/>
            <w:vAlign w:val="center"/>
          </w:tcPr>
          <w:p w14:paraId="42332EDE">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noWrap w:val="0"/>
            <w:vAlign w:val="center"/>
          </w:tcPr>
          <w:p w14:paraId="2C8D7D72">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noWrap w:val="0"/>
            <w:vAlign w:val="center"/>
          </w:tcPr>
          <w:p w14:paraId="6DB4D8AE">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X≥300</w:t>
            </w:r>
          </w:p>
        </w:tc>
        <w:tc>
          <w:tcPr>
            <w:tcW w:w="1701" w:type="dxa"/>
            <w:noWrap w:val="0"/>
            <w:vAlign w:val="center"/>
          </w:tcPr>
          <w:p w14:paraId="0548D67D">
            <w:pPr>
              <w:keepNext w:val="0"/>
              <w:keepLines w:val="0"/>
              <w:pageBreakBefore w:val="0"/>
              <w:widowControl/>
              <w:kinsoku/>
              <w:wordWrap/>
              <w:overflowPunct/>
              <w:topLinePunct w:val="0"/>
              <w:autoSpaceDE/>
              <w:autoSpaceDN/>
              <w:bidi w:val="0"/>
              <w:snapToGrid/>
              <w:spacing w:line="280" w:lineRule="exact"/>
              <w:ind w:left="1" w:leftChars="-51" w:right="0" w:rightChars="0" w:hanging="108" w:hangingChars="6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426" w:type="dxa"/>
            <w:noWrap w:val="0"/>
            <w:vAlign w:val="center"/>
          </w:tcPr>
          <w:p w14:paraId="3C4E5496">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992" w:type="dxa"/>
            <w:noWrap w:val="0"/>
            <w:vAlign w:val="center"/>
          </w:tcPr>
          <w:p w14:paraId="38CCAD8F">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bl>
    <w:p w14:paraId="1BF30912">
      <w:pPr>
        <w:keepNext w:val="0"/>
        <w:keepLines w:val="0"/>
        <w:pageBreakBefore w:val="0"/>
        <w:widowControl/>
        <w:kinsoku/>
        <w:wordWrap/>
        <w:overflowPunct/>
        <w:topLinePunct w:val="0"/>
        <w:autoSpaceDE/>
        <w:autoSpaceDN/>
        <w:bidi w:val="0"/>
        <w:snapToGrid/>
        <w:spacing w:line="280" w:lineRule="exact"/>
        <w:ind w:right="0" w:rightChars="0"/>
        <w:textAlignment w:val="auto"/>
        <w:outlineLvl w:val="9"/>
        <w:rPr>
          <w:rFonts w:hint="eastAsia" w:ascii="宋体" w:hAnsi="宋体" w:eastAsia="宋体" w:cs="宋体"/>
          <w:color w:val="auto"/>
          <w:spacing w:val="8"/>
          <w:kern w:val="0"/>
          <w:sz w:val="24"/>
          <w:highlight w:val="none"/>
        </w:rPr>
      </w:pPr>
    </w:p>
    <w:p w14:paraId="2BE0F0EA">
      <w:pPr>
        <w:keepNext w:val="0"/>
        <w:keepLines w:val="0"/>
        <w:pageBreakBefore w:val="0"/>
        <w:widowControl/>
        <w:kinsoku/>
        <w:wordWrap/>
        <w:overflowPunct/>
        <w:topLinePunct w:val="0"/>
        <w:autoSpaceDE/>
        <w:autoSpaceDN/>
        <w:bidi w:val="0"/>
        <w:snapToGrid/>
        <w:spacing w:line="280" w:lineRule="exact"/>
        <w:ind w:right="0" w:rightChars="0"/>
        <w:textAlignment w:val="auto"/>
        <w:outlineLvl w:val="9"/>
        <w:rPr>
          <w:rFonts w:hint="eastAsia" w:ascii="宋体" w:hAnsi="宋体" w:eastAsia="宋体" w:cs="宋体"/>
          <w:color w:val="auto"/>
          <w:spacing w:val="8"/>
          <w:kern w:val="0"/>
          <w:sz w:val="24"/>
          <w:highlight w:val="none"/>
        </w:rPr>
      </w:pPr>
    </w:p>
    <w:p w14:paraId="5249DF1A">
      <w:pPr>
        <w:keepNext w:val="0"/>
        <w:keepLines w:val="0"/>
        <w:pageBreakBefore w:val="0"/>
        <w:widowControl/>
        <w:kinsoku/>
        <w:wordWrap/>
        <w:overflowPunct/>
        <w:topLinePunct w:val="0"/>
        <w:autoSpaceDE/>
        <w:autoSpaceDN/>
        <w:bidi w:val="0"/>
        <w:snapToGrid/>
        <w:spacing w:line="280" w:lineRule="exact"/>
        <w:ind w:right="0" w:rightChars="0"/>
        <w:textAlignment w:val="auto"/>
        <w:outlineLvl w:val="9"/>
        <w:rPr>
          <w:rFonts w:hint="eastAsia" w:ascii="宋体" w:hAnsi="宋体" w:eastAsia="宋体" w:cs="宋体"/>
          <w:color w:val="auto"/>
          <w:spacing w:val="8"/>
          <w:kern w:val="0"/>
          <w:sz w:val="24"/>
          <w:highlight w:val="none"/>
        </w:rPr>
      </w:pPr>
    </w:p>
    <w:p w14:paraId="06A78830">
      <w:pPr>
        <w:keepNext w:val="0"/>
        <w:keepLines w:val="0"/>
        <w:pageBreakBefore w:val="0"/>
        <w:widowControl/>
        <w:kinsoku/>
        <w:wordWrap/>
        <w:overflowPunct/>
        <w:topLinePunct w:val="0"/>
        <w:autoSpaceDE/>
        <w:autoSpaceDN/>
        <w:bidi w:val="0"/>
        <w:snapToGrid/>
        <w:spacing w:line="440" w:lineRule="exact"/>
        <w:ind w:right="0" w:rightChars="0"/>
        <w:textAlignment w:val="auto"/>
        <w:outlineLvl w:val="9"/>
        <w:rPr>
          <w:rFonts w:hint="eastAsia" w:ascii="宋体" w:hAnsi="宋体" w:eastAsia="宋体" w:cs="宋体"/>
          <w:color w:val="auto"/>
          <w:spacing w:val="8"/>
          <w:kern w:val="0"/>
          <w:sz w:val="21"/>
          <w:szCs w:val="21"/>
          <w:highlight w:val="none"/>
        </w:rPr>
      </w:pPr>
      <w:r>
        <w:rPr>
          <w:rFonts w:hint="eastAsia" w:ascii="宋体" w:hAnsi="宋体" w:eastAsia="宋体" w:cs="宋体"/>
          <w:color w:val="auto"/>
          <w:spacing w:val="8"/>
          <w:kern w:val="0"/>
          <w:sz w:val="21"/>
          <w:szCs w:val="21"/>
          <w:highlight w:val="none"/>
        </w:rPr>
        <w:t>说明：</w:t>
      </w:r>
    </w:p>
    <w:p w14:paraId="23969AB8">
      <w:pPr>
        <w:pStyle w:val="14"/>
        <w:keepNext w:val="0"/>
        <w:keepLines w:val="0"/>
        <w:pageBreakBefore w:val="0"/>
        <w:kinsoku/>
        <w:wordWrap/>
        <w:overflowPunct/>
        <w:topLinePunct w:val="0"/>
        <w:autoSpaceDE/>
        <w:autoSpaceDN/>
        <w:bidi w:val="0"/>
        <w:adjustRightInd w:val="0"/>
        <w:snapToGrid/>
        <w:spacing w:line="440" w:lineRule="exact"/>
        <w:ind w:right="0" w:rightChars="0" w:firstLine="452" w:firstLineChars="200"/>
        <w:contextualSpacing/>
        <w:textAlignment w:val="auto"/>
        <w:outlineLvl w:val="9"/>
        <w:rPr>
          <w:rFonts w:hint="eastAsia" w:ascii="宋体" w:hAnsi="宋体" w:eastAsia="宋体" w:cs="宋体"/>
          <w:color w:val="auto"/>
          <w:spacing w:val="8"/>
          <w:kern w:val="0"/>
          <w:sz w:val="21"/>
          <w:szCs w:val="21"/>
          <w:highlight w:val="none"/>
        </w:rPr>
      </w:pPr>
      <w:r>
        <w:rPr>
          <w:rFonts w:hint="eastAsia" w:ascii="宋体" w:hAnsi="宋体" w:eastAsia="宋体" w:cs="宋体"/>
          <w:color w:val="auto"/>
          <w:spacing w:val="8"/>
          <w:kern w:val="0"/>
          <w:sz w:val="21"/>
          <w:szCs w:val="21"/>
          <w:highlight w:val="none"/>
        </w:rPr>
        <w:t>1.大型、中型和小型企业须同时满足所列指标的下限，否则下划一档；微型企业只须满足所列指标中的一项即可。</w:t>
      </w:r>
    </w:p>
    <w:p w14:paraId="6C99D613">
      <w:pPr>
        <w:pStyle w:val="14"/>
        <w:keepNext w:val="0"/>
        <w:keepLines w:val="0"/>
        <w:pageBreakBefore w:val="0"/>
        <w:kinsoku/>
        <w:wordWrap/>
        <w:overflowPunct/>
        <w:topLinePunct w:val="0"/>
        <w:autoSpaceDE/>
        <w:autoSpaceDN/>
        <w:bidi w:val="0"/>
        <w:adjustRightInd w:val="0"/>
        <w:snapToGrid/>
        <w:spacing w:line="440" w:lineRule="exact"/>
        <w:ind w:right="0" w:rightChars="0" w:firstLine="452" w:firstLineChars="200"/>
        <w:contextualSpacing/>
        <w:textAlignment w:val="auto"/>
        <w:outlineLvl w:val="9"/>
        <w:rPr>
          <w:rFonts w:hint="eastAsia" w:ascii="宋体" w:hAnsi="宋体" w:eastAsia="宋体" w:cs="宋体"/>
          <w:color w:val="auto"/>
          <w:spacing w:val="8"/>
          <w:kern w:val="0"/>
          <w:sz w:val="21"/>
          <w:szCs w:val="21"/>
          <w:highlight w:val="none"/>
        </w:rPr>
      </w:pPr>
      <w:r>
        <w:rPr>
          <w:rFonts w:hint="eastAsia" w:ascii="宋体" w:hAnsi="宋体" w:eastAsia="宋体" w:cs="宋体"/>
          <w:color w:val="auto"/>
          <w:spacing w:val="8"/>
          <w:kern w:val="0"/>
          <w:sz w:val="21"/>
          <w:szCs w:val="21"/>
          <w:highlight w:val="none"/>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34808051">
      <w:pPr>
        <w:pStyle w:val="14"/>
        <w:keepNext w:val="0"/>
        <w:keepLines w:val="0"/>
        <w:pageBreakBefore w:val="0"/>
        <w:kinsoku/>
        <w:wordWrap/>
        <w:overflowPunct/>
        <w:topLinePunct w:val="0"/>
        <w:autoSpaceDE/>
        <w:autoSpaceDN/>
        <w:bidi w:val="0"/>
        <w:snapToGrid/>
        <w:spacing w:line="440" w:lineRule="exact"/>
        <w:ind w:right="0" w:rightChars="0" w:firstLine="452" w:firstLineChars="200"/>
        <w:textAlignment w:val="auto"/>
        <w:outlineLvl w:val="9"/>
        <w:rPr>
          <w:rFonts w:hint="eastAsia" w:ascii="宋体" w:hAnsi="宋体" w:eastAsia="宋体" w:cs="宋体"/>
          <w:color w:val="auto"/>
          <w:spacing w:val="8"/>
          <w:kern w:val="0"/>
          <w:sz w:val="21"/>
          <w:szCs w:val="21"/>
          <w:highlight w:val="none"/>
        </w:rPr>
      </w:pPr>
      <w:r>
        <w:rPr>
          <w:rFonts w:hint="eastAsia" w:ascii="宋体" w:hAnsi="宋体" w:eastAsia="宋体" w:cs="宋体"/>
          <w:color w:val="auto"/>
          <w:spacing w:val="8"/>
          <w:kern w:val="0"/>
          <w:sz w:val="21"/>
          <w:szCs w:val="21"/>
          <w:highlight w:val="none"/>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bookmarkStart w:id="138" w:name="_Toc4774"/>
      <w:bookmarkStart w:id="139" w:name="_Toc8466"/>
    </w:p>
    <w:p w14:paraId="6E73617F">
      <w:pPr>
        <w:pStyle w:val="9"/>
        <w:rPr>
          <w:rFonts w:hint="eastAsia" w:ascii="宋体" w:hAnsi="宋体" w:eastAsia="宋体" w:cs="宋体"/>
          <w:color w:val="auto"/>
          <w:spacing w:val="8"/>
          <w:kern w:val="0"/>
          <w:sz w:val="24"/>
          <w:szCs w:val="24"/>
          <w:highlight w:val="none"/>
        </w:rPr>
      </w:pPr>
    </w:p>
    <w:p w14:paraId="6559F5C6">
      <w:pPr>
        <w:rPr>
          <w:rFonts w:hint="eastAsia" w:ascii="宋体" w:hAnsi="宋体" w:eastAsia="宋体" w:cs="宋体"/>
          <w:color w:val="auto"/>
          <w:spacing w:val="8"/>
          <w:kern w:val="0"/>
          <w:sz w:val="24"/>
          <w:szCs w:val="24"/>
          <w:highlight w:val="none"/>
        </w:rPr>
      </w:pPr>
    </w:p>
    <w:p w14:paraId="7A01DF01">
      <w:pPr>
        <w:pStyle w:val="32"/>
        <w:rPr>
          <w:rFonts w:hint="eastAsia" w:ascii="宋体" w:hAnsi="宋体" w:eastAsia="宋体" w:cs="宋体"/>
          <w:color w:val="auto"/>
          <w:highlight w:val="none"/>
        </w:rPr>
      </w:pPr>
    </w:p>
    <w:p w14:paraId="4C901BE6">
      <w:pPr>
        <w:pStyle w:val="32"/>
        <w:rPr>
          <w:rFonts w:hint="eastAsia" w:ascii="宋体" w:hAnsi="宋体" w:eastAsia="宋体" w:cs="宋体"/>
          <w:color w:val="auto"/>
          <w:highlight w:val="none"/>
        </w:rPr>
      </w:pPr>
    </w:p>
    <w:p w14:paraId="1A9227AD">
      <w:pPr>
        <w:pStyle w:val="32"/>
        <w:rPr>
          <w:rFonts w:hint="eastAsia" w:ascii="宋体" w:hAnsi="宋体" w:eastAsia="宋体" w:cs="宋体"/>
          <w:color w:val="auto"/>
          <w:highlight w:val="none"/>
        </w:rPr>
      </w:pPr>
    </w:p>
    <w:p w14:paraId="63BFCD7A">
      <w:pPr>
        <w:pStyle w:val="32"/>
        <w:rPr>
          <w:rFonts w:hint="eastAsia" w:ascii="宋体" w:hAnsi="宋体" w:eastAsia="宋体" w:cs="宋体"/>
          <w:color w:val="auto"/>
          <w:highlight w:val="none"/>
        </w:rPr>
      </w:pPr>
    </w:p>
    <w:p w14:paraId="10654DF0">
      <w:pPr>
        <w:pStyle w:val="32"/>
        <w:rPr>
          <w:rFonts w:hint="eastAsia" w:ascii="宋体" w:hAnsi="宋体" w:eastAsia="宋体" w:cs="宋体"/>
          <w:color w:val="auto"/>
          <w:highlight w:val="none"/>
        </w:rPr>
      </w:pPr>
    </w:p>
    <w:p w14:paraId="2E87B404">
      <w:pPr>
        <w:pStyle w:val="32"/>
        <w:rPr>
          <w:rFonts w:hint="eastAsia" w:ascii="宋体" w:hAnsi="宋体" w:eastAsia="宋体" w:cs="宋体"/>
          <w:color w:val="auto"/>
          <w:highlight w:val="none"/>
        </w:rPr>
      </w:pPr>
    </w:p>
    <w:p w14:paraId="68147456">
      <w:pPr>
        <w:pStyle w:val="32"/>
        <w:rPr>
          <w:rFonts w:hint="eastAsia" w:ascii="宋体" w:hAnsi="宋体" w:eastAsia="宋体" w:cs="宋体"/>
          <w:color w:val="auto"/>
          <w:highlight w:val="none"/>
        </w:rPr>
      </w:pPr>
    </w:p>
    <w:p w14:paraId="615016EA">
      <w:pPr>
        <w:pStyle w:val="32"/>
        <w:rPr>
          <w:rFonts w:hint="eastAsia" w:ascii="宋体" w:hAnsi="宋体" w:eastAsia="宋体" w:cs="宋体"/>
          <w:color w:val="auto"/>
          <w:highlight w:val="none"/>
        </w:rPr>
      </w:pPr>
    </w:p>
    <w:p w14:paraId="3A38E2BC">
      <w:pPr>
        <w:pStyle w:val="32"/>
        <w:rPr>
          <w:rFonts w:hint="eastAsia" w:ascii="宋体" w:hAnsi="宋体" w:eastAsia="宋体" w:cs="宋体"/>
          <w:color w:val="auto"/>
          <w:highlight w:val="none"/>
        </w:rPr>
      </w:pPr>
    </w:p>
    <w:p w14:paraId="618D6803">
      <w:pPr>
        <w:pStyle w:val="32"/>
        <w:rPr>
          <w:rFonts w:hint="eastAsia" w:ascii="宋体" w:hAnsi="宋体" w:eastAsia="宋体" w:cs="宋体"/>
          <w:color w:val="auto"/>
          <w:highlight w:val="none"/>
        </w:rPr>
      </w:pPr>
    </w:p>
    <w:p w14:paraId="621ED453">
      <w:pPr>
        <w:pStyle w:val="32"/>
        <w:rPr>
          <w:rFonts w:hint="eastAsia" w:ascii="宋体" w:hAnsi="宋体" w:eastAsia="宋体" w:cs="宋体"/>
          <w:color w:val="auto"/>
          <w:highlight w:val="none"/>
        </w:rPr>
      </w:pPr>
    </w:p>
    <w:p w14:paraId="017FC19B">
      <w:pPr>
        <w:pStyle w:val="32"/>
        <w:rPr>
          <w:rFonts w:hint="eastAsia" w:ascii="宋体" w:hAnsi="宋体" w:eastAsia="宋体" w:cs="宋体"/>
          <w:color w:val="auto"/>
          <w:highlight w:val="none"/>
        </w:rPr>
      </w:pPr>
    </w:p>
    <w:p w14:paraId="60B012DF">
      <w:pPr>
        <w:rPr>
          <w:rFonts w:hint="eastAsia" w:ascii="宋体" w:hAnsi="宋体" w:eastAsia="宋体" w:cs="宋体"/>
          <w:color w:val="auto"/>
          <w:highlight w:val="none"/>
        </w:rPr>
      </w:pPr>
    </w:p>
    <w:p w14:paraId="23EC76FC">
      <w:pPr>
        <w:pStyle w:val="4"/>
        <w:numPr>
          <w:ilvl w:val="0"/>
          <w:numId w:val="0"/>
        </w:numPr>
        <w:tabs>
          <w:tab w:val="left" w:pos="0"/>
        </w:tabs>
        <w:autoSpaceDE w:val="0"/>
        <w:autoSpaceDN w:val="0"/>
        <w:adjustRightInd w:val="0"/>
        <w:spacing w:before="0" w:after="0" w:line="360" w:lineRule="auto"/>
        <w:jc w:val="center"/>
        <w:rPr>
          <w:rFonts w:hint="eastAsia" w:ascii="宋体" w:hAnsi="宋体" w:eastAsia="宋体" w:cs="宋体"/>
          <w:color w:val="auto"/>
          <w:sz w:val="32"/>
          <w:szCs w:val="32"/>
          <w:highlight w:val="none"/>
        </w:rPr>
      </w:pPr>
      <w:bookmarkStart w:id="140" w:name="_Toc7776"/>
      <w:bookmarkStart w:id="141" w:name="_Toc25717"/>
      <w:r>
        <w:rPr>
          <w:rFonts w:hint="eastAsia" w:ascii="宋体" w:hAnsi="宋体" w:eastAsia="宋体" w:cs="宋体"/>
          <w:color w:val="auto"/>
          <w:sz w:val="32"/>
          <w:szCs w:val="32"/>
          <w:highlight w:val="none"/>
          <w:lang w:eastAsia="zh-CN"/>
        </w:rPr>
        <w:t>第五章</w:t>
      </w:r>
      <w:r>
        <w:rPr>
          <w:rFonts w:hint="eastAsia" w:ascii="宋体" w:hAnsi="宋体" w:eastAsia="宋体" w:cs="宋体"/>
          <w:color w:val="auto"/>
          <w:sz w:val="32"/>
          <w:szCs w:val="32"/>
          <w:highlight w:val="none"/>
          <w:lang w:val="en-US" w:eastAsia="zh-CN"/>
        </w:rPr>
        <w:t xml:space="preserve"> </w:t>
      </w:r>
      <w:r>
        <w:rPr>
          <w:rFonts w:hint="eastAsia" w:ascii="宋体" w:hAnsi="宋体" w:eastAsia="宋体" w:cs="宋体"/>
          <w:color w:val="auto"/>
          <w:sz w:val="32"/>
          <w:szCs w:val="32"/>
          <w:highlight w:val="none"/>
        </w:rPr>
        <w:t>采购合同（合同主要条款及格式）</w:t>
      </w:r>
      <w:bookmarkEnd w:id="138"/>
      <w:bookmarkEnd w:id="139"/>
      <w:bookmarkEnd w:id="140"/>
      <w:bookmarkEnd w:id="141"/>
    </w:p>
    <w:p w14:paraId="3D74F8FF">
      <w:pPr>
        <w:pStyle w:val="38"/>
        <w:numPr>
          <w:ilvl w:val="0"/>
          <w:numId w:val="7"/>
        </w:numPr>
        <w:spacing w:line="340" w:lineRule="exact"/>
        <w:jc w:val="center"/>
        <w:rPr>
          <w:rFonts w:ascii="宋体"/>
          <w:color w:val="auto"/>
          <w:sz w:val="32"/>
          <w:highlight w:val="none"/>
        </w:rPr>
      </w:pPr>
      <w:bookmarkStart w:id="142" w:name="_Toc256000031"/>
      <w:bookmarkStart w:id="143" w:name="_Toc522201558"/>
      <w:bookmarkStart w:id="144" w:name="_Toc13895"/>
      <w:bookmarkStart w:id="145" w:name="_Toc10014"/>
      <w:bookmarkStart w:id="146" w:name="_Toc24269"/>
      <w:r>
        <w:rPr>
          <w:rFonts w:ascii="宋体"/>
          <w:color w:val="auto"/>
          <w:sz w:val="32"/>
          <w:highlight w:val="none"/>
        </w:rPr>
        <w:t>合同协议书</w:t>
      </w:r>
      <w:bookmarkEnd w:id="142"/>
      <w:bookmarkEnd w:id="143"/>
      <w:bookmarkEnd w:id="144"/>
    </w:p>
    <w:p w14:paraId="40CFEB07">
      <w:pPr>
        <w:pStyle w:val="38"/>
        <w:numPr>
          <w:ilvl w:val="0"/>
          <w:numId w:val="0"/>
        </w:numPr>
        <w:spacing w:line="340" w:lineRule="exact"/>
        <w:jc w:val="both"/>
        <w:rPr>
          <w:rFonts w:ascii="宋体"/>
          <w:color w:val="auto"/>
          <w:sz w:val="32"/>
          <w:highlight w:val="none"/>
        </w:rPr>
      </w:pPr>
    </w:p>
    <w:p w14:paraId="6E7C5B3D">
      <w:pPr>
        <w:pStyle w:val="40"/>
        <w:adjustRightInd w:val="0"/>
        <w:snapToGrid w:val="0"/>
        <w:spacing w:line="40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发包人（全称）：</w:t>
      </w:r>
      <w:r>
        <w:rPr>
          <w:rFonts w:hint="eastAsia" w:ascii="宋体" w:hAnsi="宋体" w:cs="宋体"/>
          <w:color w:val="auto"/>
          <w:szCs w:val="21"/>
          <w:highlight w:val="none"/>
          <w:lang w:val="en-US" w:eastAsia="zh-CN"/>
        </w:rPr>
        <w:t xml:space="preserve"> </w:t>
      </w:r>
    </w:p>
    <w:p w14:paraId="519CBA06">
      <w:pPr>
        <w:pStyle w:val="40"/>
        <w:adjustRightInd w:val="0"/>
        <w:snapToGrid w:val="0"/>
        <w:spacing w:line="400" w:lineRule="exact"/>
        <w:rPr>
          <w:rFonts w:ascii="宋体" w:hAnsi="宋体" w:cs="宋体"/>
          <w:color w:val="auto"/>
          <w:szCs w:val="21"/>
          <w:highlight w:val="none"/>
          <w:u w:val="single"/>
        </w:rPr>
      </w:pPr>
      <w:r>
        <w:rPr>
          <w:rFonts w:hint="eastAsia" w:ascii="宋体" w:hAnsi="宋体" w:cs="宋体"/>
          <w:color w:val="auto"/>
          <w:szCs w:val="21"/>
          <w:highlight w:val="none"/>
        </w:rPr>
        <w:t>承包人（全称）：</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w:t>
      </w:r>
    </w:p>
    <w:p w14:paraId="6D98DE8F">
      <w:pPr>
        <w:pStyle w:val="40"/>
        <w:adjustRightInd w:val="0"/>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根据《中华人民共和国</w:t>
      </w:r>
      <w:r>
        <w:rPr>
          <w:rFonts w:hint="eastAsia" w:ascii="宋体" w:hAnsi="宋体" w:cs="宋体"/>
          <w:color w:val="auto"/>
          <w:szCs w:val="21"/>
          <w:highlight w:val="none"/>
          <w:lang w:eastAsia="zh-CN"/>
        </w:rPr>
        <w:t>民法典</w:t>
      </w:r>
      <w:r>
        <w:rPr>
          <w:rFonts w:hint="eastAsia" w:ascii="宋体" w:hAnsi="宋体" w:cs="宋体"/>
          <w:color w:val="auto"/>
          <w:szCs w:val="21"/>
          <w:highlight w:val="none"/>
        </w:rPr>
        <w:t>》、《中华人民共和国建筑法》及有关法律规定，遵循平等、自愿、公平和诚实信用的原则，双方就</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工程施工及有关事项协商一致，共同达成如下协议：</w:t>
      </w:r>
      <w:bookmarkStart w:id="147" w:name="_Toc351203481"/>
    </w:p>
    <w:p w14:paraId="6F905619">
      <w:pPr>
        <w:pStyle w:val="41"/>
        <w:adjustRightInd w:val="0"/>
        <w:snapToGrid w:val="0"/>
        <w:spacing w:line="400" w:lineRule="exact"/>
        <w:ind w:firstLine="422"/>
        <w:outlineLvl w:val="0"/>
        <w:rPr>
          <w:rFonts w:ascii="宋体" w:hAnsi="宋体" w:cs="宋体"/>
          <w:b/>
          <w:color w:val="auto"/>
          <w:highlight w:val="none"/>
        </w:rPr>
      </w:pPr>
      <w:bookmarkStart w:id="148" w:name="_Toc522201559"/>
      <w:bookmarkStart w:id="149" w:name="_Toc15791"/>
      <w:bookmarkStart w:id="150" w:name="_Toc406419153"/>
      <w:bookmarkStart w:id="151" w:name="_Toc20764"/>
      <w:bookmarkStart w:id="152" w:name="_Toc406522028"/>
      <w:r>
        <w:rPr>
          <w:rFonts w:hint="eastAsia" w:ascii="宋体" w:hAnsi="宋体" w:cs="宋体"/>
          <w:b/>
          <w:color w:val="auto"/>
          <w:highlight w:val="none"/>
        </w:rPr>
        <w:t>一、工程概况</w:t>
      </w:r>
      <w:bookmarkEnd w:id="147"/>
      <w:bookmarkEnd w:id="148"/>
      <w:bookmarkEnd w:id="149"/>
      <w:bookmarkEnd w:id="150"/>
      <w:bookmarkEnd w:id="151"/>
      <w:bookmarkEnd w:id="152"/>
    </w:p>
    <w:p w14:paraId="01089029">
      <w:pPr>
        <w:pStyle w:val="40"/>
        <w:adjustRightInd w:val="0"/>
        <w:snapToGrid w:val="0"/>
        <w:spacing w:line="400" w:lineRule="exact"/>
        <w:ind w:firstLine="459"/>
        <w:rPr>
          <w:rFonts w:ascii="宋体" w:hAnsi="宋体" w:cs="宋体"/>
          <w:color w:val="auto"/>
          <w:szCs w:val="21"/>
          <w:highlight w:val="none"/>
        </w:rPr>
      </w:pPr>
      <w:r>
        <w:rPr>
          <w:rFonts w:hint="eastAsia" w:ascii="宋体" w:hAnsi="宋体" w:cs="宋体"/>
          <w:color w:val="auto"/>
          <w:szCs w:val="21"/>
          <w:highlight w:val="none"/>
        </w:rPr>
        <w:t>1.工程名称：</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5E6CC892">
      <w:pPr>
        <w:pStyle w:val="40"/>
        <w:adjustRightInd w:val="0"/>
        <w:snapToGrid w:val="0"/>
        <w:spacing w:line="400" w:lineRule="exact"/>
        <w:ind w:firstLine="459"/>
        <w:rPr>
          <w:rFonts w:ascii="宋体" w:hAnsi="宋体" w:cs="宋体"/>
          <w:color w:val="auto"/>
          <w:szCs w:val="21"/>
          <w:highlight w:val="none"/>
        </w:rPr>
      </w:pPr>
      <w:r>
        <w:rPr>
          <w:rFonts w:hint="eastAsia" w:ascii="宋体" w:hAnsi="宋体" w:cs="宋体"/>
          <w:color w:val="auto"/>
          <w:szCs w:val="21"/>
          <w:highlight w:val="none"/>
        </w:rPr>
        <w:t>2.工程地点：</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21449334">
      <w:pPr>
        <w:pStyle w:val="40"/>
        <w:adjustRightInd w:val="0"/>
        <w:snapToGrid w:val="0"/>
        <w:spacing w:line="400" w:lineRule="exact"/>
        <w:ind w:firstLine="459"/>
        <w:rPr>
          <w:rFonts w:ascii="宋体" w:hAnsi="宋体" w:cs="宋体"/>
          <w:color w:val="auto"/>
          <w:szCs w:val="21"/>
          <w:highlight w:val="none"/>
        </w:rPr>
      </w:pPr>
      <w:r>
        <w:rPr>
          <w:rFonts w:hint="eastAsia" w:ascii="宋体" w:hAnsi="宋体" w:cs="宋体"/>
          <w:color w:val="auto"/>
          <w:szCs w:val="21"/>
          <w:highlight w:val="none"/>
        </w:rPr>
        <w:t>3.资金来源：</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09E09ECB">
      <w:pPr>
        <w:pStyle w:val="40"/>
        <w:adjustRightInd w:val="0"/>
        <w:snapToGrid w:val="0"/>
        <w:spacing w:line="400" w:lineRule="exact"/>
        <w:ind w:firstLine="459"/>
        <w:rPr>
          <w:rFonts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.工程内容：</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0470BCC4">
      <w:pPr>
        <w:pStyle w:val="40"/>
        <w:adjustRightInd w:val="0"/>
        <w:snapToGrid w:val="0"/>
        <w:spacing w:line="400" w:lineRule="exact"/>
        <w:ind w:firstLine="459"/>
        <w:rPr>
          <w:rFonts w:ascii="宋体" w:hAnsi="宋体" w:cs="宋体"/>
          <w:bCs/>
          <w:color w:val="auto"/>
          <w:szCs w:val="21"/>
          <w:highlight w:val="none"/>
        </w:rPr>
      </w:pP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.工程承包范围：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2243866F">
      <w:pPr>
        <w:pStyle w:val="41"/>
        <w:adjustRightInd w:val="0"/>
        <w:snapToGrid w:val="0"/>
        <w:spacing w:line="400" w:lineRule="exact"/>
        <w:ind w:firstLine="422"/>
        <w:outlineLvl w:val="0"/>
        <w:rPr>
          <w:rFonts w:ascii="宋体" w:hAnsi="宋体" w:cs="宋体"/>
          <w:b/>
          <w:color w:val="auto"/>
          <w:highlight w:val="none"/>
        </w:rPr>
      </w:pPr>
      <w:bookmarkStart w:id="153" w:name="_Toc406522029"/>
      <w:bookmarkStart w:id="154" w:name="_Toc351203482"/>
      <w:bookmarkStart w:id="155" w:name="_Toc406419154"/>
      <w:bookmarkStart w:id="156" w:name="_Toc349"/>
      <w:bookmarkStart w:id="157" w:name="_Toc3470"/>
      <w:bookmarkStart w:id="158" w:name="_Toc522201560"/>
      <w:r>
        <w:rPr>
          <w:rFonts w:hint="eastAsia" w:ascii="宋体" w:hAnsi="宋体" w:cs="宋体"/>
          <w:b/>
          <w:color w:val="auto"/>
          <w:highlight w:val="none"/>
        </w:rPr>
        <w:t>二、合同工期</w:t>
      </w:r>
      <w:bookmarkEnd w:id="153"/>
      <w:bookmarkEnd w:id="154"/>
      <w:bookmarkEnd w:id="155"/>
      <w:bookmarkEnd w:id="156"/>
      <w:bookmarkEnd w:id="157"/>
      <w:bookmarkEnd w:id="158"/>
    </w:p>
    <w:p w14:paraId="01A3F094">
      <w:pPr>
        <w:pStyle w:val="40"/>
        <w:adjustRightInd w:val="0"/>
        <w:snapToGrid w:val="0"/>
        <w:spacing w:line="400" w:lineRule="exact"/>
        <w:ind w:firstLine="459"/>
        <w:rPr>
          <w:rFonts w:ascii="宋体" w:hAnsi="宋体" w:cs="宋体"/>
          <w:color w:val="auto"/>
          <w:szCs w:val="21"/>
          <w:highlight w:val="none"/>
        </w:rPr>
      </w:pPr>
      <w:r>
        <w:rPr>
          <w:rFonts w:hint="eastAsia" w:ascii="宋体" w:hAnsi="宋体" w:cs="宋体"/>
          <w:color w:val="auto"/>
          <w:szCs w:val="21"/>
          <w:highlight w:val="none"/>
        </w:rPr>
        <w:t>计划开工日期：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日。（实际开工日期以开工令为准）</w:t>
      </w:r>
    </w:p>
    <w:p w14:paraId="1DCAE917">
      <w:pPr>
        <w:pStyle w:val="40"/>
        <w:adjustRightInd w:val="0"/>
        <w:snapToGrid w:val="0"/>
        <w:spacing w:line="400" w:lineRule="exact"/>
        <w:ind w:firstLine="459"/>
        <w:rPr>
          <w:rFonts w:ascii="宋体" w:hAnsi="宋体" w:cs="宋体"/>
          <w:color w:val="auto"/>
          <w:szCs w:val="21"/>
          <w:highlight w:val="none"/>
        </w:rPr>
      </w:pPr>
      <w:r>
        <w:rPr>
          <w:rFonts w:hint="eastAsia" w:ascii="宋体" w:hAnsi="宋体" w:cs="宋体"/>
          <w:color w:val="auto"/>
          <w:szCs w:val="21"/>
          <w:highlight w:val="none"/>
        </w:rPr>
        <w:t>计划竣工日期：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16E4A52E">
      <w:pPr>
        <w:pStyle w:val="40"/>
        <w:adjustRightInd w:val="0"/>
        <w:snapToGrid w:val="0"/>
        <w:spacing w:line="400" w:lineRule="exact"/>
        <w:ind w:firstLine="459"/>
        <w:rPr>
          <w:rFonts w:ascii="宋体" w:hAnsi="宋体" w:cs="宋体"/>
          <w:color w:val="auto"/>
          <w:szCs w:val="21"/>
          <w:highlight w:val="none"/>
        </w:rPr>
      </w:pPr>
      <w:r>
        <w:rPr>
          <w:rFonts w:hint="eastAsia" w:ascii="宋体" w:hAnsi="宋体" w:cs="宋体"/>
          <w:color w:val="auto"/>
          <w:szCs w:val="21"/>
          <w:highlight w:val="none"/>
        </w:rPr>
        <w:t>工期总日历天数：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天。工期总日历天数与根据前述计划开竣工日期计算的工期天数不一致的，以工期总日历天数为准。</w:t>
      </w:r>
    </w:p>
    <w:p w14:paraId="4D9C367F">
      <w:pPr>
        <w:pStyle w:val="41"/>
        <w:adjustRightInd w:val="0"/>
        <w:snapToGrid w:val="0"/>
        <w:spacing w:line="400" w:lineRule="exact"/>
        <w:ind w:firstLine="422"/>
        <w:outlineLvl w:val="0"/>
        <w:rPr>
          <w:rFonts w:ascii="宋体" w:hAnsi="宋体" w:cs="宋体"/>
          <w:b/>
          <w:color w:val="auto"/>
          <w:highlight w:val="none"/>
        </w:rPr>
      </w:pPr>
      <w:bookmarkStart w:id="159" w:name="_Toc12638"/>
      <w:bookmarkStart w:id="160" w:name="_Toc406522030"/>
      <w:bookmarkStart w:id="161" w:name="_Toc351203483"/>
      <w:bookmarkStart w:id="162" w:name="_Toc522201561"/>
      <w:bookmarkStart w:id="163" w:name="_Toc406419155"/>
      <w:bookmarkStart w:id="164" w:name="_Toc15140"/>
      <w:r>
        <w:rPr>
          <w:rFonts w:hint="eastAsia" w:ascii="宋体" w:hAnsi="宋体" w:cs="宋体"/>
          <w:b/>
          <w:color w:val="auto"/>
          <w:highlight w:val="none"/>
        </w:rPr>
        <w:t>三、质量标准</w:t>
      </w:r>
      <w:bookmarkEnd w:id="159"/>
      <w:bookmarkEnd w:id="160"/>
      <w:bookmarkEnd w:id="161"/>
      <w:bookmarkEnd w:id="162"/>
      <w:bookmarkEnd w:id="163"/>
      <w:bookmarkEnd w:id="164"/>
    </w:p>
    <w:p w14:paraId="50F75CA1">
      <w:pPr>
        <w:tabs>
          <w:tab w:val="left" w:pos="210"/>
        </w:tabs>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lang w:val="en-US" w:eastAsia="zh-CN"/>
        </w:rPr>
        <w:t>质量标准：合格</w:t>
      </w:r>
      <w:r>
        <w:rPr>
          <w:rFonts w:hint="eastAsia" w:ascii="宋体" w:hAnsi="宋体" w:cs="宋体"/>
          <w:color w:val="auto"/>
          <w:highlight w:val="none"/>
        </w:rPr>
        <w:t>。</w:t>
      </w:r>
    </w:p>
    <w:p w14:paraId="1A85EF30">
      <w:pPr>
        <w:pStyle w:val="41"/>
        <w:adjustRightInd w:val="0"/>
        <w:snapToGrid w:val="0"/>
        <w:spacing w:line="400" w:lineRule="exact"/>
        <w:ind w:firstLine="422"/>
        <w:outlineLvl w:val="0"/>
        <w:rPr>
          <w:rFonts w:ascii="宋体" w:hAnsi="宋体" w:cs="宋体"/>
          <w:b/>
          <w:color w:val="auto"/>
          <w:highlight w:val="none"/>
        </w:rPr>
      </w:pPr>
      <w:bookmarkStart w:id="165" w:name="_Toc8031"/>
      <w:bookmarkStart w:id="166" w:name="_Toc522201562"/>
      <w:bookmarkStart w:id="167" w:name="_Toc406419156"/>
      <w:bookmarkStart w:id="168" w:name="_Toc31378"/>
      <w:bookmarkStart w:id="169" w:name="_Toc406522031"/>
      <w:bookmarkStart w:id="170" w:name="_Toc351203484"/>
      <w:r>
        <w:rPr>
          <w:rFonts w:hint="eastAsia" w:ascii="宋体" w:hAnsi="宋体" w:cs="宋体"/>
          <w:b/>
          <w:color w:val="auto"/>
          <w:highlight w:val="none"/>
        </w:rPr>
        <w:t>四、签约合同价与合同价格形式</w:t>
      </w:r>
      <w:bookmarkEnd w:id="165"/>
      <w:bookmarkEnd w:id="166"/>
      <w:bookmarkEnd w:id="167"/>
      <w:bookmarkEnd w:id="168"/>
      <w:bookmarkEnd w:id="169"/>
      <w:bookmarkEnd w:id="170"/>
    </w:p>
    <w:p w14:paraId="2E43EF66">
      <w:pPr>
        <w:pStyle w:val="40"/>
        <w:adjustRightInd w:val="0"/>
        <w:snapToGrid w:val="0"/>
        <w:spacing w:line="400" w:lineRule="exact"/>
        <w:ind w:firstLine="459"/>
        <w:rPr>
          <w:rFonts w:ascii="宋体" w:hAnsi="宋体" w:cs="宋体"/>
          <w:color w:val="auto"/>
          <w:szCs w:val="21"/>
          <w:highlight w:val="none"/>
        </w:rPr>
      </w:pPr>
      <w:r>
        <w:rPr>
          <w:rFonts w:hint="eastAsia" w:ascii="宋体" w:hAnsi="宋体" w:cs="宋体"/>
          <w:color w:val="auto"/>
          <w:szCs w:val="21"/>
          <w:highlight w:val="none"/>
        </w:rPr>
        <w:t>1. 签约合同价为：</w:t>
      </w:r>
    </w:p>
    <w:p w14:paraId="36FF9DA6">
      <w:pPr>
        <w:pStyle w:val="40"/>
        <w:adjustRightInd w:val="0"/>
        <w:snapToGrid w:val="0"/>
        <w:spacing w:line="400" w:lineRule="exact"/>
        <w:ind w:firstLine="525" w:firstLineChars="250"/>
        <w:jc w:val="left"/>
        <w:rPr>
          <w:rFonts w:ascii="宋体" w:hAnsi="宋体" w:cs="宋体"/>
          <w:color w:val="auto"/>
          <w:szCs w:val="21"/>
          <w:highlight w:val="none"/>
        </w:rPr>
      </w:pPr>
      <w:r>
        <w:rPr>
          <w:rFonts w:hint="eastAsia" w:ascii="宋体" w:hAnsi="宋体" w:cs="宋体"/>
          <w:color w:val="auto"/>
          <w:szCs w:val="21"/>
          <w:highlight w:val="none"/>
        </w:rPr>
        <w:t>总价：人民币（大写）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w:t>
      </w:r>
    </w:p>
    <w:p w14:paraId="18063AD7">
      <w:pPr>
        <w:pStyle w:val="40"/>
        <w:adjustRightInd w:val="0"/>
        <w:snapToGrid w:val="0"/>
        <w:spacing w:line="400" w:lineRule="exact"/>
        <w:ind w:firstLine="525" w:firstLineChars="250"/>
        <w:rPr>
          <w:rFonts w:ascii="宋体" w:hAnsi="宋体" w:cs="宋体"/>
          <w:color w:val="auto"/>
          <w:szCs w:val="21"/>
          <w:highlight w:val="none"/>
        </w:rPr>
      </w:pPr>
      <w:r>
        <w:rPr>
          <w:rFonts w:hint="eastAsia" w:ascii="宋体" w:hAnsi="宋体" w:cs="宋体"/>
          <w:color w:val="auto"/>
          <w:szCs w:val="21"/>
          <w:highlight w:val="none"/>
        </w:rPr>
        <w:t>其中：</w:t>
      </w:r>
    </w:p>
    <w:p w14:paraId="5D4ADC93">
      <w:pPr>
        <w:pStyle w:val="40"/>
        <w:adjustRightInd w:val="0"/>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（1）投标报价：</w:t>
      </w:r>
    </w:p>
    <w:p w14:paraId="2A1BA64D">
      <w:pPr>
        <w:pStyle w:val="40"/>
        <w:adjustRightInd w:val="0"/>
        <w:snapToGrid w:val="0"/>
        <w:spacing w:line="400" w:lineRule="exact"/>
        <w:ind w:firstLine="978" w:firstLineChars="466"/>
        <w:rPr>
          <w:rFonts w:ascii="宋体" w:hAnsi="宋体" w:cs="宋体"/>
          <w:color w:val="auto"/>
          <w:szCs w:val="21"/>
          <w:highlight w:val="none"/>
        </w:rPr>
      </w:pPr>
      <w:r>
        <w:rPr>
          <w:rFonts w:hint="eastAsia" w:ascii="宋体" w:hAnsi="宋体" w:cs="宋体"/>
          <w:color w:val="auto"/>
          <w:szCs w:val="21"/>
          <w:highlight w:val="none"/>
        </w:rPr>
        <w:t>人民币（大写）</w:t>
      </w:r>
      <w:r>
        <w:rPr>
          <w:rFonts w:hint="eastAsia" w:ascii="宋体" w:hAnsi="宋体"/>
          <w:color w:val="auto"/>
          <w:szCs w:val="21"/>
          <w:highlight w:val="none"/>
          <w:u w:val="single"/>
          <w:lang w:val="en-US" w:eastAsia="zh-CN"/>
        </w:rPr>
        <w:t xml:space="preserve">  </w:t>
      </w:r>
      <w:r>
        <w:rPr>
          <w:rFonts w:hint="eastAsia" w:ascii="宋体" w:hAnsi="宋体" w:cs="宋体"/>
          <w:color w:val="auto"/>
          <w:szCs w:val="21"/>
          <w:highlight w:val="none"/>
        </w:rPr>
        <w:t xml:space="preserve"> （¥</w:t>
      </w:r>
      <w:r>
        <w:rPr>
          <w:rFonts w:hint="eastAsia" w:ascii="宋体" w:hAnsi="宋体"/>
          <w:color w:val="auto"/>
          <w:szCs w:val="21"/>
          <w:highlight w:val="none"/>
          <w:u w:val="single"/>
          <w:lang w:val="en-US" w:eastAsia="zh-CN"/>
        </w:rPr>
        <w:t xml:space="preserve">  </w:t>
      </w:r>
      <w:r>
        <w:rPr>
          <w:rFonts w:hint="eastAsia" w:ascii="宋体" w:hAnsi="宋体" w:cs="宋体"/>
          <w:color w:val="auto"/>
          <w:szCs w:val="21"/>
          <w:highlight w:val="none"/>
        </w:rPr>
        <w:t>元）；</w:t>
      </w:r>
    </w:p>
    <w:p w14:paraId="38C464DC">
      <w:pPr>
        <w:pStyle w:val="40"/>
        <w:adjustRightInd w:val="0"/>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（2）安全文明施工费：</w:t>
      </w:r>
    </w:p>
    <w:p w14:paraId="699763E7">
      <w:pPr>
        <w:pStyle w:val="40"/>
        <w:adjustRightInd w:val="0"/>
        <w:snapToGrid w:val="0"/>
        <w:spacing w:line="400" w:lineRule="exact"/>
        <w:ind w:firstLine="978" w:firstLineChars="466"/>
        <w:rPr>
          <w:rFonts w:ascii="宋体" w:hAnsi="宋体" w:cs="宋体"/>
          <w:color w:val="auto"/>
          <w:szCs w:val="21"/>
          <w:highlight w:val="none"/>
        </w:rPr>
      </w:pPr>
      <w:r>
        <w:rPr>
          <w:rFonts w:hint="eastAsia" w:ascii="宋体" w:hAnsi="宋体" w:cs="宋体"/>
          <w:color w:val="auto"/>
          <w:szCs w:val="21"/>
          <w:highlight w:val="none"/>
        </w:rPr>
        <w:t>人民币（大写）</w:t>
      </w:r>
      <w:r>
        <w:rPr>
          <w:rFonts w:hint="eastAsia" w:ascii="宋体" w:hAnsi="宋体"/>
          <w:color w:val="auto"/>
          <w:szCs w:val="21"/>
          <w:highlight w:val="none"/>
          <w:u w:val="single"/>
          <w:lang w:val="en-US" w:eastAsia="zh-CN"/>
        </w:rPr>
        <w:t xml:space="preserve">  </w:t>
      </w:r>
      <w:r>
        <w:rPr>
          <w:rFonts w:hint="eastAsia" w:ascii="宋体" w:hAnsi="宋体" w:cs="宋体"/>
          <w:color w:val="auto"/>
          <w:szCs w:val="21"/>
          <w:highlight w:val="none"/>
        </w:rPr>
        <w:t xml:space="preserve"> （¥</w:t>
      </w:r>
      <w:r>
        <w:rPr>
          <w:rFonts w:hint="eastAsia" w:ascii="宋体" w:hAnsi="宋体"/>
          <w:color w:val="auto"/>
          <w:szCs w:val="21"/>
          <w:highlight w:val="none"/>
          <w:u w:val="single"/>
          <w:lang w:val="en-US" w:eastAsia="zh-CN"/>
        </w:rPr>
        <w:t xml:space="preserve">  </w:t>
      </w:r>
      <w:r>
        <w:rPr>
          <w:rFonts w:hint="eastAsia" w:ascii="宋体" w:hAnsi="宋体" w:cs="宋体"/>
          <w:color w:val="auto"/>
          <w:szCs w:val="21"/>
          <w:highlight w:val="none"/>
        </w:rPr>
        <w:t>元）；</w:t>
      </w:r>
    </w:p>
    <w:p w14:paraId="4184C36F">
      <w:pPr>
        <w:pStyle w:val="40"/>
        <w:adjustRightInd w:val="0"/>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（3）规费：人民币（大写）</w:t>
      </w:r>
      <w:r>
        <w:rPr>
          <w:rFonts w:hint="eastAsia" w:ascii="宋体" w:hAnsi="宋体"/>
          <w:color w:val="auto"/>
          <w:szCs w:val="21"/>
          <w:highlight w:val="none"/>
          <w:u w:val="single"/>
          <w:lang w:val="en-US" w:eastAsia="zh-CN"/>
        </w:rPr>
        <w:t xml:space="preserve">  </w:t>
      </w:r>
      <w:r>
        <w:rPr>
          <w:rFonts w:hint="eastAsia" w:ascii="宋体" w:hAnsi="宋体" w:cs="宋体"/>
          <w:color w:val="auto"/>
          <w:szCs w:val="21"/>
          <w:highlight w:val="none"/>
        </w:rPr>
        <w:t xml:space="preserve"> （¥</w:t>
      </w:r>
      <w:r>
        <w:rPr>
          <w:rFonts w:hint="eastAsia" w:ascii="宋体" w:hAnsi="宋体"/>
          <w:color w:val="auto"/>
          <w:szCs w:val="21"/>
          <w:highlight w:val="none"/>
          <w:u w:val="single"/>
          <w:lang w:val="en-US" w:eastAsia="zh-CN"/>
        </w:rPr>
        <w:t xml:space="preserve">  </w:t>
      </w:r>
      <w:r>
        <w:rPr>
          <w:rFonts w:hint="eastAsia" w:ascii="宋体" w:hAnsi="宋体" w:cs="宋体"/>
          <w:color w:val="auto"/>
          <w:szCs w:val="21"/>
          <w:highlight w:val="none"/>
        </w:rPr>
        <w:t>元）；</w:t>
      </w:r>
    </w:p>
    <w:p w14:paraId="0253F5F8">
      <w:pPr>
        <w:pStyle w:val="40"/>
        <w:adjustRightInd w:val="0"/>
        <w:snapToGrid w:val="0"/>
        <w:spacing w:line="400" w:lineRule="exact"/>
        <w:ind w:firstLine="1050" w:firstLineChars="500"/>
        <w:rPr>
          <w:rFonts w:ascii="宋体" w:hAnsi="宋体" w:cs="宋体"/>
          <w:color w:val="auto"/>
          <w:szCs w:val="21"/>
          <w:highlight w:val="none"/>
        </w:rPr>
      </w:pPr>
      <w:r>
        <w:rPr>
          <w:rFonts w:hint="eastAsia" w:ascii="宋体" w:hAnsi="宋体" w:cs="宋体"/>
          <w:color w:val="auto"/>
          <w:szCs w:val="21"/>
          <w:highlight w:val="none"/>
        </w:rPr>
        <w:t>其中社会保险费：</w:t>
      </w:r>
    </w:p>
    <w:p w14:paraId="4D95EB87">
      <w:pPr>
        <w:pStyle w:val="40"/>
        <w:adjustRightInd w:val="0"/>
        <w:snapToGrid w:val="0"/>
        <w:spacing w:line="400" w:lineRule="exact"/>
        <w:ind w:left="420" w:leftChars="200" w:firstLine="638" w:firstLineChars="304"/>
        <w:rPr>
          <w:rFonts w:hint="eastAsia" w:ascii="宋体" w:hAnsi="宋体" w:cs="宋体"/>
          <w:color w:val="auto"/>
          <w:szCs w:val="21"/>
          <w:highlight w:val="none"/>
        </w:rPr>
      </w:pPr>
      <w:r>
        <w:rPr>
          <w:rFonts w:hint="eastAsia" w:ascii="宋体" w:hAnsi="宋体" w:cs="宋体"/>
          <w:color w:val="auto"/>
          <w:szCs w:val="21"/>
          <w:highlight w:val="none"/>
        </w:rPr>
        <w:t>人民币（大写）</w:t>
      </w:r>
      <w:r>
        <w:rPr>
          <w:rFonts w:hint="eastAsia" w:ascii="宋体" w:hAnsi="宋体"/>
          <w:color w:val="auto"/>
          <w:szCs w:val="21"/>
          <w:highlight w:val="none"/>
          <w:u w:val="single"/>
          <w:lang w:val="en-US" w:eastAsia="zh-CN"/>
        </w:rPr>
        <w:t xml:space="preserve">  </w:t>
      </w:r>
      <w:r>
        <w:rPr>
          <w:rFonts w:hint="eastAsia" w:ascii="宋体" w:hAnsi="宋体" w:cs="宋体"/>
          <w:color w:val="auto"/>
          <w:szCs w:val="21"/>
          <w:highlight w:val="none"/>
        </w:rPr>
        <w:t xml:space="preserve"> （¥</w:t>
      </w:r>
      <w:r>
        <w:rPr>
          <w:rFonts w:hint="eastAsia" w:ascii="宋体" w:hAnsi="宋体"/>
          <w:color w:val="auto"/>
          <w:szCs w:val="21"/>
          <w:highlight w:val="none"/>
          <w:u w:val="single"/>
          <w:lang w:val="en-US" w:eastAsia="zh-CN"/>
        </w:rPr>
        <w:t xml:space="preserve">  </w:t>
      </w:r>
      <w:r>
        <w:rPr>
          <w:rFonts w:hint="eastAsia" w:ascii="宋体" w:hAnsi="宋体" w:cs="宋体"/>
          <w:color w:val="auto"/>
          <w:szCs w:val="21"/>
          <w:highlight w:val="none"/>
        </w:rPr>
        <w:t>元）；</w:t>
      </w:r>
    </w:p>
    <w:p w14:paraId="6CB6ABD1">
      <w:pPr>
        <w:pStyle w:val="40"/>
        <w:adjustRightInd w:val="0"/>
        <w:snapToGrid w:val="0"/>
        <w:spacing w:line="400" w:lineRule="exact"/>
        <w:ind w:firstLine="945" w:firstLineChars="450"/>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其他：</w:t>
      </w:r>
      <w:r>
        <w:rPr>
          <w:rFonts w:hint="eastAsia" w:ascii="宋体" w:hAnsi="宋体" w:cs="宋体"/>
          <w:color w:val="auto"/>
          <w:szCs w:val="21"/>
          <w:highlight w:val="none"/>
        </w:rPr>
        <w:t>人民币（大写）</w:t>
      </w:r>
      <w:r>
        <w:rPr>
          <w:rFonts w:hint="eastAsia" w:ascii="宋体" w:hAnsi="宋体"/>
          <w:color w:val="auto"/>
          <w:szCs w:val="21"/>
          <w:highlight w:val="none"/>
          <w:u w:val="single"/>
          <w:lang w:val="en-US" w:eastAsia="zh-CN"/>
        </w:rPr>
        <w:t xml:space="preserve">  </w:t>
      </w:r>
      <w:r>
        <w:rPr>
          <w:rFonts w:hint="eastAsia" w:ascii="宋体" w:hAnsi="宋体" w:cs="宋体"/>
          <w:color w:val="auto"/>
          <w:szCs w:val="21"/>
          <w:highlight w:val="none"/>
        </w:rPr>
        <w:t xml:space="preserve"> （¥</w:t>
      </w:r>
      <w:r>
        <w:rPr>
          <w:rFonts w:hint="eastAsia" w:ascii="宋体" w:hAnsi="宋体"/>
          <w:color w:val="auto"/>
          <w:szCs w:val="21"/>
          <w:highlight w:val="none"/>
          <w:u w:val="single"/>
          <w:lang w:val="en-US" w:eastAsia="zh-CN"/>
        </w:rPr>
        <w:t xml:space="preserve">  </w:t>
      </w:r>
      <w:r>
        <w:rPr>
          <w:rFonts w:hint="eastAsia" w:ascii="宋体" w:hAnsi="宋体" w:cs="宋体"/>
          <w:color w:val="auto"/>
          <w:szCs w:val="21"/>
          <w:highlight w:val="none"/>
        </w:rPr>
        <w:t>元）；</w:t>
      </w:r>
    </w:p>
    <w:p w14:paraId="7488138C">
      <w:pPr>
        <w:pStyle w:val="40"/>
        <w:numPr>
          <w:ilvl w:val="0"/>
          <w:numId w:val="8"/>
        </w:numPr>
        <w:adjustRightInd w:val="0"/>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增值税：</w:t>
      </w:r>
    </w:p>
    <w:p w14:paraId="42475674">
      <w:pPr>
        <w:pStyle w:val="40"/>
        <w:adjustRightInd w:val="0"/>
        <w:snapToGrid w:val="0"/>
        <w:spacing w:line="400" w:lineRule="exact"/>
        <w:ind w:left="420" w:leftChars="200" w:firstLine="420" w:firstLineChars="200"/>
        <w:rPr>
          <w:rFonts w:ascii="宋体" w:hAnsi="宋体" w:cs="宋体"/>
          <w:color w:val="auto"/>
          <w:szCs w:val="21"/>
          <w:highlight w:val="none"/>
        </w:rPr>
      </w:pPr>
      <w:r>
        <w:rPr>
          <w:rFonts w:hint="eastAsia" w:ascii="宋体" w:hAnsi="宋体" w:cs="宋体"/>
          <w:color w:val="auto"/>
          <w:szCs w:val="21"/>
          <w:highlight w:val="none"/>
        </w:rPr>
        <w:t>人民币（大写）</w:t>
      </w:r>
      <w:r>
        <w:rPr>
          <w:rFonts w:hint="eastAsia" w:ascii="宋体" w:hAnsi="宋体"/>
          <w:color w:val="auto"/>
          <w:szCs w:val="21"/>
          <w:highlight w:val="none"/>
          <w:u w:val="single"/>
          <w:lang w:val="en-US" w:eastAsia="zh-CN"/>
        </w:rPr>
        <w:t xml:space="preserve">  </w:t>
      </w:r>
      <w:r>
        <w:rPr>
          <w:rFonts w:hint="eastAsia" w:ascii="宋体" w:hAnsi="宋体" w:cs="宋体"/>
          <w:color w:val="auto"/>
          <w:szCs w:val="21"/>
          <w:highlight w:val="none"/>
        </w:rPr>
        <w:t xml:space="preserve"> （¥</w:t>
      </w:r>
      <w:r>
        <w:rPr>
          <w:rFonts w:hint="eastAsia" w:ascii="宋体" w:hAnsi="宋体"/>
          <w:color w:val="auto"/>
          <w:szCs w:val="21"/>
          <w:highlight w:val="none"/>
          <w:u w:val="single"/>
          <w:lang w:val="en-US" w:eastAsia="zh-CN"/>
        </w:rPr>
        <w:t xml:space="preserve">  </w:t>
      </w:r>
      <w:r>
        <w:rPr>
          <w:rFonts w:hint="eastAsia" w:ascii="宋体" w:hAnsi="宋体" w:cs="宋体"/>
          <w:color w:val="auto"/>
          <w:szCs w:val="21"/>
          <w:highlight w:val="none"/>
        </w:rPr>
        <w:t>元）；</w:t>
      </w:r>
    </w:p>
    <w:p w14:paraId="48970A57">
      <w:pPr>
        <w:pStyle w:val="40"/>
        <w:adjustRightInd w:val="0"/>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（5）材料和工程设备暂估价金额：</w:t>
      </w:r>
    </w:p>
    <w:p w14:paraId="01729DD2">
      <w:pPr>
        <w:pStyle w:val="40"/>
        <w:adjustRightInd w:val="0"/>
        <w:snapToGrid w:val="0"/>
        <w:spacing w:line="400" w:lineRule="exact"/>
        <w:ind w:firstLine="945" w:firstLineChars="450"/>
        <w:rPr>
          <w:rFonts w:ascii="宋体" w:hAnsi="宋体" w:cs="宋体"/>
          <w:color w:val="auto"/>
          <w:szCs w:val="21"/>
          <w:highlight w:val="none"/>
        </w:rPr>
      </w:pPr>
      <w:r>
        <w:rPr>
          <w:rFonts w:hint="eastAsia" w:ascii="宋体" w:hAnsi="宋体" w:cs="宋体"/>
          <w:color w:val="auto"/>
          <w:szCs w:val="21"/>
          <w:highlight w:val="none"/>
        </w:rPr>
        <w:t>人民币（大写）</w:t>
      </w:r>
      <w:r>
        <w:rPr>
          <w:rFonts w:hint="eastAsia" w:ascii="宋体" w:hAnsi="宋体"/>
          <w:color w:val="auto"/>
          <w:szCs w:val="21"/>
          <w:highlight w:val="none"/>
          <w:u w:val="single"/>
          <w:lang w:val="en-US" w:eastAsia="zh-CN"/>
        </w:rPr>
        <w:t xml:space="preserve">  </w:t>
      </w:r>
      <w:r>
        <w:rPr>
          <w:rFonts w:hint="eastAsia" w:ascii="宋体" w:hAnsi="宋体" w:cs="宋体"/>
          <w:color w:val="auto"/>
          <w:szCs w:val="21"/>
          <w:highlight w:val="none"/>
        </w:rPr>
        <w:t xml:space="preserve"> （¥</w:t>
      </w:r>
      <w:r>
        <w:rPr>
          <w:rFonts w:hint="eastAsia" w:ascii="宋体" w:hAnsi="宋体"/>
          <w:color w:val="auto"/>
          <w:szCs w:val="21"/>
          <w:highlight w:val="none"/>
          <w:u w:val="single"/>
          <w:lang w:val="en-US" w:eastAsia="zh-CN"/>
        </w:rPr>
        <w:t xml:space="preserve">  </w:t>
      </w:r>
      <w:r>
        <w:rPr>
          <w:rFonts w:hint="eastAsia" w:ascii="宋体" w:hAnsi="宋体" w:cs="宋体"/>
          <w:color w:val="auto"/>
          <w:szCs w:val="21"/>
          <w:highlight w:val="none"/>
        </w:rPr>
        <w:t>元）；</w:t>
      </w:r>
    </w:p>
    <w:p w14:paraId="4C13402E">
      <w:pPr>
        <w:pStyle w:val="40"/>
        <w:adjustRightInd w:val="0"/>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（6）专业工程暂估价金额：</w:t>
      </w:r>
    </w:p>
    <w:p w14:paraId="30C91415">
      <w:pPr>
        <w:pStyle w:val="40"/>
        <w:adjustRightInd w:val="0"/>
        <w:snapToGrid w:val="0"/>
        <w:spacing w:line="400" w:lineRule="exact"/>
        <w:ind w:firstLine="945" w:firstLineChars="450"/>
        <w:rPr>
          <w:rFonts w:ascii="宋体" w:hAnsi="宋体" w:cs="宋体"/>
          <w:color w:val="auto"/>
          <w:szCs w:val="21"/>
          <w:highlight w:val="none"/>
        </w:rPr>
      </w:pPr>
      <w:r>
        <w:rPr>
          <w:rFonts w:hint="eastAsia" w:ascii="宋体" w:hAnsi="宋体" w:cs="宋体"/>
          <w:color w:val="auto"/>
          <w:szCs w:val="21"/>
          <w:highlight w:val="none"/>
        </w:rPr>
        <w:t>人民币（大写）</w:t>
      </w:r>
      <w:r>
        <w:rPr>
          <w:rFonts w:hint="eastAsia" w:ascii="宋体" w:hAnsi="宋体"/>
          <w:color w:val="auto"/>
          <w:szCs w:val="21"/>
          <w:highlight w:val="none"/>
          <w:u w:val="single"/>
          <w:lang w:val="en-US" w:eastAsia="zh-CN"/>
        </w:rPr>
        <w:t xml:space="preserve">  </w:t>
      </w:r>
      <w:r>
        <w:rPr>
          <w:rFonts w:hint="eastAsia" w:ascii="宋体" w:hAnsi="宋体" w:cs="宋体"/>
          <w:color w:val="auto"/>
          <w:szCs w:val="21"/>
          <w:highlight w:val="none"/>
        </w:rPr>
        <w:t xml:space="preserve"> （¥</w:t>
      </w:r>
      <w:r>
        <w:rPr>
          <w:rFonts w:hint="eastAsia" w:ascii="宋体" w:hAnsi="宋体"/>
          <w:color w:val="auto"/>
          <w:szCs w:val="21"/>
          <w:highlight w:val="none"/>
          <w:u w:val="single"/>
          <w:lang w:val="en-US" w:eastAsia="zh-CN"/>
        </w:rPr>
        <w:t xml:space="preserve">  </w:t>
      </w:r>
      <w:r>
        <w:rPr>
          <w:rFonts w:hint="eastAsia" w:ascii="宋体" w:hAnsi="宋体" w:cs="宋体"/>
          <w:color w:val="auto"/>
          <w:szCs w:val="21"/>
          <w:highlight w:val="none"/>
        </w:rPr>
        <w:t>元）；</w:t>
      </w:r>
    </w:p>
    <w:p w14:paraId="30F66D12">
      <w:pPr>
        <w:pStyle w:val="40"/>
        <w:adjustRightInd w:val="0"/>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（7）暂列金额：</w:t>
      </w:r>
    </w:p>
    <w:p w14:paraId="38C9A524">
      <w:pPr>
        <w:pStyle w:val="40"/>
        <w:adjustRightInd w:val="0"/>
        <w:snapToGrid w:val="0"/>
        <w:spacing w:line="400" w:lineRule="exact"/>
        <w:ind w:firstLine="945" w:firstLineChars="450"/>
        <w:rPr>
          <w:rFonts w:ascii="宋体" w:hAnsi="宋体" w:cs="宋体"/>
          <w:color w:val="auto"/>
          <w:szCs w:val="21"/>
          <w:highlight w:val="none"/>
        </w:rPr>
      </w:pPr>
      <w:r>
        <w:rPr>
          <w:rFonts w:hint="eastAsia" w:ascii="宋体" w:hAnsi="宋体" w:cs="宋体"/>
          <w:color w:val="auto"/>
          <w:szCs w:val="21"/>
          <w:highlight w:val="none"/>
        </w:rPr>
        <w:t>人民币（大写）</w:t>
      </w:r>
      <w:r>
        <w:rPr>
          <w:rFonts w:hint="eastAsia" w:ascii="宋体" w:hAnsi="宋体"/>
          <w:color w:val="auto"/>
          <w:szCs w:val="21"/>
          <w:highlight w:val="none"/>
          <w:u w:val="single"/>
          <w:lang w:val="en-US" w:eastAsia="zh-CN"/>
        </w:rPr>
        <w:t xml:space="preserve">  </w:t>
      </w:r>
      <w:r>
        <w:rPr>
          <w:rFonts w:hint="eastAsia" w:ascii="宋体" w:hAnsi="宋体" w:cs="宋体"/>
          <w:color w:val="auto"/>
          <w:szCs w:val="21"/>
          <w:highlight w:val="none"/>
        </w:rPr>
        <w:t xml:space="preserve"> （¥</w:t>
      </w:r>
      <w:r>
        <w:rPr>
          <w:rFonts w:hint="eastAsia" w:ascii="宋体" w:hAnsi="宋体"/>
          <w:color w:val="auto"/>
          <w:szCs w:val="21"/>
          <w:highlight w:val="none"/>
          <w:u w:val="single"/>
          <w:lang w:val="en-US" w:eastAsia="zh-CN"/>
        </w:rPr>
        <w:t xml:space="preserve">  </w:t>
      </w:r>
      <w:r>
        <w:rPr>
          <w:rFonts w:hint="eastAsia" w:ascii="宋体" w:hAnsi="宋体" w:cs="宋体"/>
          <w:color w:val="auto"/>
          <w:szCs w:val="21"/>
          <w:highlight w:val="none"/>
        </w:rPr>
        <w:t>元）。</w:t>
      </w:r>
    </w:p>
    <w:p w14:paraId="25E08B03">
      <w:pPr>
        <w:pStyle w:val="40"/>
        <w:adjustRightInd w:val="0"/>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2. </w:t>
      </w:r>
      <w:r>
        <w:rPr>
          <w:rFonts w:hint="eastAsia" w:ascii="宋体" w:hAnsi="宋体" w:cs="宋体"/>
          <w:color w:val="auto"/>
          <w:szCs w:val="21"/>
          <w:highlight w:val="none"/>
          <w:lang w:val="en-US" w:eastAsia="zh-CN"/>
        </w:rPr>
        <w:t>根</w:t>
      </w:r>
      <w:r>
        <w:rPr>
          <w:rFonts w:hint="eastAsia" w:ascii="宋体" w:hAnsi="宋体" w:cs="宋体"/>
          <w:color w:val="auto"/>
          <w:szCs w:val="21"/>
          <w:highlight w:val="none"/>
        </w:rPr>
        <w:t>据市住建〔2016〕34号文《关于市建成区、临桂新区、灵川县范围内建筑工程新增扬尘防治费用的通知》</w:t>
      </w:r>
      <w:r>
        <w:rPr>
          <w:rFonts w:hint="eastAsia" w:ascii="宋体" w:hAnsi="宋体" w:cs="宋体"/>
          <w:color w:val="auto"/>
          <w:szCs w:val="21"/>
          <w:highlight w:val="none"/>
          <w:lang w:val="en-US" w:eastAsia="zh-CN"/>
        </w:rPr>
        <w:t>和市住建（2018）32号文</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桂林十县范围内建筑工程新增扬尘防治费用的</w:t>
      </w:r>
      <w:r>
        <w:rPr>
          <w:rFonts w:hint="eastAsia" w:ascii="宋体" w:hAnsi="宋体" w:cs="宋体"/>
          <w:color w:val="auto"/>
          <w:szCs w:val="21"/>
          <w:highlight w:val="none"/>
        </w:rPr>
        <w:t>通知》，另计扬尘防治费，本项目扬尘防治费</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元。</w:t>
      </w:r>
    </w:p>
    <w:p w14:paraId="3B3CD90A">
      <w:pPr>
        <w:pStyle w:val="40"/>
        <w:adjustRightInd w:val="0"/>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 合同价格形式：</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w:t>
      </w:r>
    </w:p>
    <w:p w14:paraId="02F08E20">
      <w:pPr>
        <w:pStyle w:val="41"/>
        <w:adjustRightInd w:val="0"/>
        <w:snapToGrid w:val="0"/>
        <w:spacing w:line="400" w:lineRule="exact"/>
        <w:ind w:firstLine="422"/>
        <w:outlineLvl w:val="0"/>
        <w:rPr>
          <w:rFonts w:ascii="宋体" w:hAnsi="宋体" w:cs="宋体"/>
          <w:b/>
          <w:color w:val="auto"/>
          <w:highlight w:val="none"/>
        </w:rPr>
      </w:pPr>
      <w:bookmarkStart w:id="171" w:name="_Toc351203485"/>
      <w:bookmarkStart w:id="172" w:name="_Toc10860"/>
      <w:bookmarkStart w:id="173" w:name="_Toc406522032"/>
      <w:bookmarkStart w:id="174" w:name="_Toc406419157"/>
      <w:bookmarkStart w:id="175" w:name="_Toc522201563"/>
      <w:bookmarkStart w:id="176" w:name="_Toc29758"/>
      <w:r>
        <w:rPr>
          <w:rFonts w:hint="eastAsia" w:ascii="宋体" w:hAnsi="宋体" w:cs="宋体"/>
          <w:b/>
          <w:color w:val="auto"/>
          <w:highlight w:val="none"/>
        </w:rPr>
        <w:t>五、</w:t>
      </w:r>
      <w:bookmarkEnd w:id="171"/>
      <w:r>
        <w:rPr>
          <w:rFonts w:hint="eastAsia" w:ascii="宋体" w:hAnsi="宋体" w:cs="宋体"/>
          <w:b/>
          <w:color w:val="auto"/>
          <w:highlight w:val="none"/>
        </w:rPr>
        <w:t>项目经理</w:t>
      </w:r>
      <w:bookmarkEnd w:id="172"/>
      <w:bookmarkEnd w:id="173"/>
      <w:bookmarkEnd w:id="174"/>
      <w:bookmarkEnd w:id="175"/>
      <w:bookmarkEnd w:id="176"/>
    </w:p>
    <w:p w14:paraId="193024FC">
      <w:pPr>
        <w:pStyle w:val="40"/>
        <w:adjustRightInd w:val="0"/>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承包人项目经理：</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none"/>
          <w:lang w:eastAsia="zh-CN"/>
        </w:rPr>
        <w:t>；</w:t>
      </w:r>
      <w:r>
        <w:rPr>
          <w:rFonts w:hint="eastAsia" w:ascii="宋体" w:hAnsi="宋体" w:cs="宋体"/>
          <w:color w:val="auto"/>
          <w:szCs w:val="21"/>
          <w:highlight w:val="none"/>
          <w:u w:val="none"/>
          <w:lang w:val="en-US" w:eastAsia="zh-CN"/>
        </w:rPr>
        <w:t>联系方式：</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w:t>
      </w:r>
    </w:p>
    <w:p w14:paraId="24223019">
      <w:pPr>
        <w:pStyle w:val="41"/>
        <w:adjustRightInd w:val="0"/>
        <w:snapToGrid w:val="0"/>
        <w:spacing w:line="400" w:lineRule="exact"/>
        <w:ind w:firstLine="422"/>
        <w:outlineLvl w:val="0"/>
        <w:rPr>
          <w:rFonts w:ascii="宋体" w:hAnsi="宋体" w:cs="宋体"/>
          <w:b/>
          <w:color w:val="auto"/>
          <w:highlight w:val="none"/>
        </w:rPr>
      </w:pPr>
      <w:bookmarkStart w:id="177" w:name="_Toc406419158"/>
      <w:bookmarkStart w:id="178" w:name="_Toc23735"/>
      <w:bookmarkStart w:id="179" w:name="_Toc406522033"/>
      <w:bookmarkStart w:id="180" w:name="_Toc28117"/>
      <w:bookmarkStart w:id="181" w:name="_Toc522201564"/>
      <w:bookmarkStart w:id="182" w:name="_Toc351203486"/>
      <w:r>
        <w:rPr>
          <w:rFonts w:hint="eastAsia" w:ascii="宋体" w:hAnsi="宋体" w:cs="宋体"/>
          <w:b/>
          <w:color w:val="auto"/>
          <w:highlight w:val="none"/>
        </w:rPr>
        <w:t>六、合同文件构成</w:t>
      </w:r>
      <w:bookmarkEnd w:id="177"/>
      <w:bookmarkEnd w:id="178"/>
      <w:bookmarkEnd w:id="179"/>
      <w:bookmarkEnd w:id="180"/>
      <w:bookmarkEnd w:id="181"/>
      <w:bookmarkEnd w:id="182"/>
    </w:p>
    <w:p w14:paraId="77025C9E">
      <w:pPr>
        <w:pStyle w:val="40"/>
        <w:adjustRightInd w:val="0"/>
        <w:snapToGrid w:val="0"/>
        <w:spacing w:line="400" w:lineRule="exact"/>
        <w:ind w:firstLine="420" w:firstLineChars="200"/>
        <w:rPr>
          <w:rFonts w:ascii="宋体" w:hAnsi="宋体" w:cs="宋体"/>
          <w:color w:val="auto"/>
          <w:szCs w:val="21"/>
          <w:highlight w:val="none"/>
        </w:rPr>
      </w:pPr>
      <w:bookmarkStart w:id="183" w:name="_Toc406419159"/>
      <w:bookmarkStart w:id="184" w:name="_Toc7021"/>
      <w:bookmarkStart w:id="185" w:name="_Toc406522034"/>
      <w:bookmarkStart w:id="186" w:name="_Toc351203487"/>
      <w:r>
        <w:rPr>
          <w:rFonts w:hint="eastAsia" w:ascii="宋体" w:hAnsi="宋体" w:cs="宋体"/>
          <w:color w:val="auto"/>
          <w:szCs w:val="21"/>
          <w:highlight w:val="none"/>
        </w:rPr>
        <w:t>本协议书与下列文件一起构成合同文件：</w:t>
      </w:r>
    </w:p>
    <w:p w14:paraId="45A61353">
      <w:pPr>
        <w:pStyle w:val="40"/>
        <w:adjustRightInd w:val="0"/>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（1）中标通知书（如果有）；</w:t>
      </w:r>
    </w:p>
    <w:p w14:paraId="739E08DA">
      <w:pPr>
        <w:pStyle w:val="40"/>
        <w:adjustRightInd w:val="0"/>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（2）投标函及其附录（如果有）； </w:t>
      </w:r>
    </w:p>
    <w:p w14:paraId="0B521EDC">
      <w:pPr>
        <w:pStyle w:val="40"/>
        <w:adjustRightInd w:val="0"/>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（3）专用合同条款及其附件；</w:t>
      </w:r>
    </w:p>
    <w:p w14:paraId="540F74C2">
      <w:pPr>
        <w:pStyle w:val="40"/>
        <w:adjustRightInd w:val="0"/>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（4）通用合同条款；</w:t>
      </w:r>
    </w:p>
    <w:p w14:paraId="1A817B79">
      <w:pPr>
        <w:pStyle w:val="40"/>
        <w:adjustRightInd w:val="0"/>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（5）技术标准和要求；</w:t>
      </w:r>
    </w:p>
    <w:p w14:paraId="19EE5748">
      <w:pPr>
        <w:pStyle w:val="40"/>
        <w:adjustRightInd w:val="0"/>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（6）图纸；</w:t>
      </w:r>
    </w:p>
    <w:p w14:paraId="5689908C">
      <w:pPr>
        <w:pStyle w:val="40"/>
        <w:adjustRightInd w:val="0"/>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（7）已标价工程量清单或预算书；</w:t>
      </w:r>
    </w:p>
    <w:p w14:paraId="458015D7">
      <w:pPr>
        <w:pStyle w:val="40"/>
        <w:adjustRightInd w:val="0"/>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（8）其他合同文件。</w:t>
      </w:r>
    </w:p>
    <w:p w14:paraId="1BD585F7">
      <w:pPr>
        <w:pStyle w:val="40"/>
        <w:adjustRightInd w:val="0"/>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在合同订立及履行过程中形成的与合同有关的文件均构成合同文件组成部分。</w:t>
      </w:r>
    </w:p>
    <w:p w14:paraId="44B16A31">
      <w:pPr>
        <w:pStyle w:val="40"/>
        <w:adjustRightInd w:val="0"/>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上述各项合同文件包括合同当事人就该项合同文件所作出的补充和修改，属于同一类内容的文件，应以最新签署的为准。专用合同条款及其附件须经合同当事人签字或盖章。</w:t>
      </w:r>
    </w:p>
    <w:p w14:paraId="03BD8A13">
      <w:pPr>
        <w:pStyle w:val="41"/>
        <w:adjustRightInd w:val="0"/>
        <w:snapToGrid w:val="0"/>
        <w:spacing w:line="400" w:lineRule="exact"/>
        <w:ind w:firstLine="422"/>
        <w:outlineLvl w:val="0"/>
        <w:rPr>
          <w:rFonts w:ascii="宋体" w:hAnsi="宋体" w:cs="宋体"/>
          <w:b/>
          <w:color w:val="auto"/>
          <w:highlight w:val="none"/>
        </w:rPr>
      </w:pPr>
      <w:bookmarkStart w:id="187" w:name="_Toc23022"/>
      <w:bookmarkStart w:id="188" w:name="_Toc522201565"/>
      <w:r>
        <w:rPr>
          <w:rFonts w:hint="eastAsia" w:ascii="宋体" w:hAnsi="宋体" w:cs="宋体"/>
          <w:b/>
          <w:color w:val="auto"/>
          <w:highlight w:val="none"/>
        </w:rPr>
        <w:t>七、承诺</w:t>
      </w:r>
      <w:bookmarkEnd w:id="183"/>
      <w:bookmarkEnd w:id="184"/>
      <w:bookmarkEnd w:id="185"/>
      <w:bookmarkEnd w:id="186"/>
      <w:bookmarkEnd w:id="187"/>
      <w:bookmarkEnd w:id="188"/>
    </w:p>
    <w:p w14:paraId="3800E430">
      <w:pPr>
        <w:pStyle w:val="40"/>
        <w:adjustRightInd w:val="0"/>
        <w:snapToGrid w:val="0"/>
        <w:spacing w:line="400" w:lineRule="exact"/>
        <w:ind w:firstLine="420" w:firstLineChars="200"/>
        <w:rPr>
          <w:rFonts w:ascii="宋体" w:hAnsi="宋体" w:cs="宋体"/>
          <w:color w:val="auto"/>
          <w:szCs w:val="21"/>
          <w:highlight w:val="none"/>
        </w:rPr>
      </w:pPr>
      <w:bookmarkStart w:id="189" w:name="_Toc406419160"/>
      <w:bookmarkStart w:id="190" w:name="_Toc351203488"/>
      <w:bookmarkStart w:id="191" w:name="_Toc406522035"/>
      <w:bookmarkStart w:id="192" w:name="_Toc11962"/>
      <w:r>
        <w:rPr>
          <w:rFonts w:hint="eastAsia" w:ascii="宋体" w:hAnsi="宋体" w:cs="宋体"/>
          <w:color w:val="auto"/>
          <w:szCs w:val="21"/>
          <w:highlight w:val="none"/>
        </w:rPr>
        <w:t>1.发包人承诺按照法律规定履行项目审批手续、筹集工程建设资金并按照合同约定的期限和方式支付合同价款。</w:t>
      </w:r>
    </w:p>
    <w:p w14:paraId="7ECA3A37">
      <w:pPr>
        <w:pStyle w:val="40"/>
        <w:adjustRightInd w:val="0"/>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2.承包人承诺按照法律规定及合同约定组织完成工程施工，确保工程质量和安全，不进行转包及违法分包，并在缺陷责任期及保修期内承担相应的工程维修责任。</w:t>
      </w:r>
    </w:p>
    <w:p w14:paraId="55AB9CA7">
      <w:pPr>
        <w:pStyle w:val="40"/>
        <w:adjustRightInd w:val="0"/>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3.发包人和承包人通过招投标形式签订合同的，双方理解并承诺不再就同一工程另行签订与合同实质性内容相背离的协议。</w:t>
      </w:r>
    </w:p>
    <w:p w14:paraId="2DECC9AA">
      <w:pPr>
        <w:pStyle w:val="41"/>
        <w:adjustRightInd w:val="0"/>
        <w:snapToGrid w:val="0"/>
        <w:spacing w:line="400" w:lineRule="exact"/>
        <w:ind w:firstLine="422"/>
        <w:outlineLvl w:val="0"/>
        <w:rPr>
          <w:rFonts w:ascii="宋体" w:hAnsi="宋体" w:cs="宋体"/>
          <w:b/>
          <w:color w:val="auto"/>
          <w:highlight w:val="none"/>
        </w:rPr>
      </w:pPr>
      <w:bookmarkStart w:id="193" w:name="_Toc9465"/>
      <w:bookmarkStart w:id="194" w:name="_Toc522201566"/>
      <w:r>
        <w:rPr>
          <w:rFonts w:hint="eastAsia" w:ascii="宋体" w:hAnsi="宋体" w:cs="宋体"/>
          <w:b/>
          <w:color w:val="auto"/>
          <w:highlight w:val="none"/>
        </w:rPr>
        <w:t>八、词语含义</w:t>
      </w:r>
      <w:bookmarkEnd w:id="189"/>
      <w:bookmarkEnd w:id="190"/>
      <w:bookmarkEnd w:id="191"/>
      <w:bookmarkEnd w:id="192"/>
      <w:bookmarkEnd w:id="193"/>
      <w:bookmarkEnd w:id="194"/>
    </w:p>
    <w:p w14:paraId="19FD1F8F">
      <w:pPr>
        <w:pStyle w:val="40"/>
        <w:adjustRightInd w:val="0"/>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本协议书中词语含义与第二部分通用合同条款中赋予的含义相同。</w:t>
      </w:r>
    </w:p>
    <w:p w14:paraId="55325A86">
      <w:pPr>
        <w:pStyle w:val="41"/>
        <w:adjustRightInd w:val="0"/>
        <w:snapToGrid w:val="0"/>
        <w:spacing w:line="400" w:lineRule="exact"/>
        <w:ind w:firstLine="422"/>
        <w:outlineLvl w:val="0"/>
        <w:rPr>
          <w:rFonts w:ascii="宋体" w:hAnsi="宋体" w:cs="宋体"/>
          <w:b/>
          <w:color w:val="auto"/>
          <w:highlight w:val="none"/>
        </w:rPr>
      </w:pPr>
      <w:bookmarkStart w:id="195" w:name="_Toc2053"/>
      <w:bookmarkStart w:id="196" w:name="_Toc406522036"/>
      <w:bookmarkStart w:id="197" w:name="_Toc22011"/>
      <w:bookmarkStart w:id="198" w:name="_Toc406419161"/>
      <w:bookmarkStart w:id="199" w:name="_Toc522201567"/>
      <w:bookmarkStart w:id="200" w:name="_Toc351203489"/>
      <w:r>
        <w:rPr>
          <w:rFonts w:hint="eastAsia" w:ascii="宋体" w:hAnsi="宋体" w:cs="宋体"/>
          <w:b/>
          <w:color w:val="auto"/>
          <w:highlight w:val="none"/>
        </w:rPr>
        <w:t>九、签订时间</w:t>
      </w:r>
      <w:bookmarkEnd w:id="195"/>
      <w:bookmarkEnd w:id="196"/>
      <w:bookmarkEnd w:id="197"/>
      <w:bookmarkEnd w:id="198"/>
      <w:bookmarkEnd w:id="199"/>
      <w:bookmarkEnd w:id="200"/>
    </w:p>
    <w:p w14:paraId="48C6994B">
      <w:pPr>
        <w:pStyle w:val="40"/>
        <w:adjustRightInd w:val="0"/>
        <w:snapToGrid w:val="0"/>
        <w:spacing w:line="40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本合同于</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年</w:t>
      </w:r>
      <w:r>
        <w:rPr>
          <w:rFonts w:hint="eastAsia" w:ascii="宋体" w:hAnsi="宋体" w:cs="宋体"/>
          <w:bCs/>
          <w:color w:val="auto"/>
          <w:szCs w:val="21"/>
          <w:highlight w:val="none"/>
          <w:u w:val="single"/>
          <w:lang w:val="en-US" w:eastAsia="zh-CN"/>
        </w:rPr>
        <w:t xml:space="preserve"> </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月</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日签订。</w:t>
      </w:r>
    </w:p>
    <w:p w14:paraId="75DAC55B">
      <w:pPr>
        <w:pStyle w:val="41"/>
        <w:adjustRightInd w:val="0"/>
        <w:snapToGrid w:val="0"/>
        <w:spacing w:line="400" w:lineRule="exact"/>
        <w:ind w:firstLine="422"/>
        <w:outlineLvl w:val="0"/>
        <w:rPr>
          <w:rFonts w:ascii="宋体" w:hAnsi="宋体" w:cs="宋体"/>
          <w:b/>
          <w:color w:val="auto"/>
          <w:highlight w:val="none"/>
        </w:rPr>
      </w:pPr>
      <w:bookmarkStart w:id="201" w:name="_Toc31694"/>
      <w:bookmarkStart w:id="202" w:name="_Toc406522037"/>
      <w:bookmarkStart w:id="203" w:name="_Toc3692"/>
      <w:bookmarkStart w:id="204" w:name="_Toc351203490"/>
      <w:bookmarkStart w:id="205" w:name="_Toc406419162"/>
      <w:bookmarkStart w:id="206" w:name="_Toc522201568"/>
      <w:r>
        <w:rPr>
          <w:rFonts w:hint="eastAsia" w:ascii="宋体" w:hAnsi="宋体" w:cs="宋体"/>
          <w:b/>
          <w:color w:val="auto"/>
          <w:highlight w:val="none"/>
        </w:rPr>
        <w:t>十、签订地点</w:t>
      </w:r>
      <w:bookmarkEnd w:id="201"/>
      <w:bookmarkEnd w:id="202"/>
      <w:bookmarkEnd w:id="203"/>
      <w:bookmarkEnd w:id="204"/>
      <w:bookmarkEnd w:id="205"/>
      <w:bookmarkEnd w:id="206"/>
    </w:p>
    <w:p w14:paraId="1A26CC0F">
      <w:pPr>
        <w:pStyle w:val="40"/>
        <w:adjustRightInd w:val="0"/>
        <w:snapToGrid w:val="0"/>
        <w:spacing w:line="40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本合同在</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u w:val="single"/>
          <w:lang w:val="en-US" w:eastAsia="zh-CN"/>
        </w:rPr>
        <w:t xml:space="preserve">    </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签订。</w:t>
      </w:r>
    </w:p>
    <w:p w14:paraId="3FFC6327">
      <w:pPr>
        <w:pStyle w:val="41"/>
        <w:adjustRightInd w:val="0"/>
        <w:snapToGrid w:val="0"/>
        <w:spacing w:line="400" w:lineRule="exact"/>
        <w:ind w:firstLine="422"/>
        <w:outlineLvl w:val="0"/>
        <w:rPr>
          <w:rFonts w:ascii="宋体" w:hAnsi="宋体" w:cs="宋体"/>
          <w:b/>
          <w:color w:val="auto"/>
          <w:highlight w:val="none"/>
        </w:rPr>
      </w:pPr>
      <w:bookmarkStart w:id="207" w:name="_Toc9576"/>
      <w:bookmarkStart w:id="208" w:name="_Toc406419163"/>
      <w:bookmarkStart w:id="209" w:name="_Toc351203491"/>
      <w:bookmarkStart w:id="210" w:name="_Toc19804"/>
      <w:bookmarkStart w:id="211" w:name="_Toc522201569"/>
      <w:bookmarkStart w:id="212" w:name="_Toc406522038"/>
      <w:r>
        <w:rPr>
          <w:rFonts w:hint="eastAsia" w:ascii="宋体" w:hAnsi="宋体" w:cs="宋体"/>
          <w:b/>
          <w:color w:val="auto"/>
          <w:highlight w:val="none"/>
        </w:rPr>
        <w:t>十一、补充协议</w:t>
      </w:r>
      <w:bookmarkEnd w:id="207"/>
      <w:bookmarkEnd w:id="208"/>
      <w:bookmarkEnd w:id="209"/>
      <w:bookmarkEnd w:id="210"/>
      <w:bookmarkEnd w:id="211"/>
      <w:bookmarkEnd w:id="212"/>
    </w:p>
    <w:p w14:paraId="3A362678">
      <w:pPr>
        <w:pStyle w:val="40"/>
        <w:adjustRightInd w:val="0"/>
        <w:snapToGrid w:val="0"/>
        <w:spacing w:line="40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合同未尽事宜，合同当事人另行签订补充协议，补充协议是合同的组成部分。</w:t>
      </w:r>
    </w:p>
    <w:p w14:paraId="4C151DA8">
      <w:pPr>
        <w:pStyle w:val="41"/>
        <w:adjustRightInd w:val="0"/>
        <w:snapToGrid w:val="0"/>
        <w:spacing w:line="400" w:lineRule="exact"/>
        <w:ind w:firstLine="422"/>
        <w:outlineLvl w:val="0"/>
        <w:rPr>
          <w:rFonts w:ascii="宋体" w:hAnsi="宋体" w:cs="宋体"/>
          <w:b/>
          <w:color w:val="auto"/>
          <w:highlight w:val="none"/>
        </w:rPr>
      </w:pPr>
      <w:bookmarkStart w:id="213" w:name="_Toc351203492"/>
      <w:bookmarkStart w:id="214" w:name="_Toc406522039"/>
      <w:bookmarkStart w:id="215" w:name="_Toc522201570"/>
      <w:bookmarkStart w:id="216" w:name="_Toc32443"/>
      <w:bookmarkStart w:id="217" w:name="_Toc406419164"/>
      <w:bookmarkStart w:id="218" w:name="_Toc1768"/>
      <w:r>
        <w:rPr>
          <w:rFonts w:hint="eastAsia" w:ascii="宋体" w:hAnsi="宋体" w:cs="宋体"/>
          <w:b/>
          <w:color w:val="auto"/>
          <w:highlight w:val="none"/>
        </w:rPr>
        <w:t>十二、合同生效</w:t>
      </w:r>
      <w:bookmarkEnd w:id="213"/>
      <w:bookmarkEnd w:id="214"/>
      <w:bookmarkEnd w:id="215"/>
      <w:bookmarkEnd w:id="216"/>
      <w:bookmarkEnd w:id="217"/>
      <w:bookmarkEnd w:id="218"/>
    </w:p>
    <w:p w14:paraId="5F95AAEE">
      <w:pPr>
        <w:pStyle w:val="40"/>
        <w:adjustRightInd w:val="0"/>
        <w:snapToGrid w:val="0"/>
        <w:spacing w:line="40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本合同自</w:t>
      </w:r>
      <w:r>
        <w:rPr>
          <w:rFonts w:hint="eastAsia" w:ascii="宋体" w:hAnsi="宋体" w:cs="宋体"/>
          <w:bCs/>
          <w:color w:val="auto"/>
          <w:szCs w:val="21"/>
          <w:highlight w:val="none"/>
          <w:u w:val="single"/>
        </w:rPr>
        <w:t xml:space="preserve">  </w:t>
      </w:r>
      <w:r>
        <w:rPr>
          <w:rFonts w:hint="eastAsia" w:ascii="宋体" w:hAnsi="宋体" w:cs="宋体"/>
          <w:color w:val="auto"/>
          <w:szCs w:val="21"/>
          <w:highlight w:val="none"/>
          <w:u w:val="single"/>
        </w:rPr>
        <w:t>双方法定代表人或其委托代理人签字或盖章并加盖单位</w:t>
      </w:r>
      <w:r>
        <w:rPr>
          <w:rFonts w:hint="eastAsia" w:ascii="宋体" w:hAnsi="宋体" w:cs="宋体"/>
          <w:color w:val="auto"/>
          <w:szCs w:val="21"/>
          <w:highlight w:val="none"/>
          <w:u w:val="single"/>
          <w:lang w:eastAsia="zh-CN"/>
        </w:rPr>
        <w:t>公</w:t>
      </w:r>
      <w:r>
        <w:rPr>
          <w:rFonts w:hint="eastAsia" w:ascii="宋体" w:hAnsi="宋体" w:cs="宋体"/>
          <w:color w:val="auto"/>
          <w:szCs w:val="21"/>
          <w:highlight w:val="none"/>
          <w:u w:val="single"/>
        </w:rPr>
        <w:t>章后</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生效。</w:t>
      </w:r>
    </w:p>
    <w:p w14:paraId="58F50B81">
      <w:pPr>
        <w:pStyle w:val="41"/>
        <w:adjustRightInd w:val="0"/>
        <w:snapToGrid w:val="0"/>
        <w:spacing w:line="400" w:lineRule="exact"/>
        <w:ind w:firstLine="422"/>
        <w:outlineLvl w:val="0"/>
        <w:rPr>
          <w:rFonts w:ascii="宋体" w:hAnsi="宋体" w:cs="宋体"/>
          <w:b/>
          <w:color w:val="auto"/>
          <w:highlight w:val="none"/>
        </w:rPr>
      </w:pPr>
      <w:bookmarkStart w:id="219" w:name="_Toc28880"/>
      <w:bookmarkStart w:id="220" w:name="_Toc406522040"/>
      <w:bookmarkStart w:id="221" w:name="_Toc14945"/>
      <w:bookmarkStart w:id="222" w:name="_Toc351203493"/>
      <w:bookmarkStart w:id="223" w:name="_Toc522201571"/>
      <w:bookmarkStart w:id="224" w:name="_Toc406419165"/>
      <w:r>
        <w:rPr>
          <w:rFonts w:hint="eastAsia" w:ascii="宋体" w:hAnsi="宋体" w:cs="宋体"/>
          <w:b/>
          <w:color w:val="auto"/>
          <w:highlight w:val="none"/>
        </w:rPr>
        <w:t>十三、合同份数</w:t>
      </w:r>
      <w:bookmarkEnd w:id="219"/>
      <w:bookmarkEnd w:id="220"/>
      <w:bookmarkEnd w:id="221"/>
      <w:bookmarkEnd w:id="222"/>
      <w:bookmarkEnd w:id="223"/>
      <w:bookmarkEnd w:id="224"/>
    </w:p>
    <w:p w14:paraId="59845114">
      <w:pPr>
        <w:pStyle w:val="40"/>
        <w:adjustRightInd w:val="0"/>
        <w:snapToGrid w:val="0"/>
        <w:spacing w:line="40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本合同一式</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u w:val="single"/>
          <w:lang w:val="en-US" w:eastAsia="zh-CN"/>
        </w:rPr>
        <w:t xml:space="preserve"> </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份，均具有同等法律效力，发包人执</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u w:val="single"/>
          <w:lang w:val="en-US" w:eastAsia="zh-CN"/>
        </w:rPr>
        <w:t xml:space="preserve"> </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份，承包人执</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u w:val="single"/>
          <w:lang w:val="en-US" w:eastAsia="zh-CN"/>
        </w:rPr>
        <w:t xml:space="preserve"> </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份，招标代理机构执</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u w:val="single"/>
          <w:lang w:val="en-US" w:eastAsia="zh-CN"/>
        </w:rPr>
        <w:t xml:space="preserve"> </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份。</w:t>
      </w:r>
    </w:p>
    <w:p w14:paraId="71477137">
      <w:pPr>
        <w:pStyle w:val="40"/>
        <w:adjustRightInd w:val="0"/>
        <w:snapToGrid w:val="0"/>
        <w:spacing w:line="400" w:lineRule="exact"/>
        <w:ind w:firstLine="420" w:firstLineChars="200"/>
        <w:rPr>
          <w:rFonts w:ascii="宋体" w:hAnsi="宋体" w:cs="宋体"/>
          <w:bCs/>
          <w:color w:val="auto"/>
          <w:szCs w:val="21"/>
          <w:highlight w:val="none"/>
        </w:rPr>
      </w:pPr>
    </w:p>
    <w:tbl>
      <w:tblPr>
        <w:tblStyle w:val="30"/>
        <w:tblW w:w="8900" w:type="dxa"/>
        <w:tblInd w:w="46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303"/>
        <w:gridCol w:w="4597"/>
      </w:tblGrid>
      <w:tr w14:paraId="0528B7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303" w:type="dxa"/>
            <w:noWrap w:val="0"/>
            <w:vAlign w:val="top"/>
          </w:tcPr>
          <w:p w14:paraId="025DF965">
            <w:pPr>
              <w:spacing w:line="360" w:lineRule="auto"/>
              <w:rPr>
                <w:rFonts w:hint="eastAsia" w:ascii="宋体" w:hAnsi="宋体" w:eastAsia="宋体" w:cs="宋体"/>
                <w:color w:val="auto"/>
                <w:kern w:val="0"/>
                <w:sz w:val="21"/>
                <w:szCs w:val="21"/>
                <w:highlight w:val="none"/>
                <w:u w:val="none"/>
                <w:lang w:val="en-US" w:eastAsia="zh-CN"/>
              </w:rPr>
            </w:pPr>
            <w:r>
              <w:rPr>
                <w:rFonts w:hint="eastAsia" w:ascii="宋体" w:hAnsi="宋体" w:eastAsia="宋体" w:cs="宋体"/>
                <w:color w:val="auto"/>
                <w:kern w:val="0"/>
                <w:sz w:val="21"/>
                <w:szCs w:val="21"/>
                <w:highlight w:val="none"/>
                <w:u w:val="none"/>
                <w:lang w:val="en-US" w:eastAsia="zh-CN"/>
              </w:rPr>
              <w:t>发包人：（公章）</w:t>
            </w:r>
          </w:p>
          <w:p w14:paraId="3C8EA290">
            <w:pPr>
              <w:spacing w:line="360" w:lineRule="auto"/>
              <w:rPr>
                <w:rFonts w:hint="eastAsia" w:ascii="宋体" w:hAnsi="宋体" w:eastAsia="宋体" w:cs="宋体"/>
                <w:color w:val="auto"/>
                <w:kern w:val="0"/>
                <w:sz w:val="21"/>
                <w:szCs w:val="21"/>
                <w:highlight w:val="none"/>
                <w:u w:val="none"/>
                <w:lang w:val="en-US" w:eastAsia="zh-CN"/>
              </w:rPr>
            </w:pPr>
            <w:r>
              <w:rPr>
                <w:rFonts w:hint="eastAsia" w:ascii="宋体" w:hAnsi="宋体" w:eastAsia="宋体" w:cs="宋体"/>
                <w:color w:val="auto"/>
                <w:kern w:val="0"/>
                <w:sz w:val="21"/>
                <w:szCs w:val="21"/>
                <w:highlight w:val="none"/>
                <w:u w:val="none"/>
                <w:lang w:val="en-US" w:eastAsia="zh-CN"/>
              </w:rPr>
              <w:t xml:space="preserve"> </w:t>
            </w:r>
          </w:p>
        </w:tc>
        <w:tc>
          <w:tcPr>
            <w:tcW w:w="4597" w:type="dxa"/>
            <w:noWrap w:val="0"/>
            <w:vAlign w:val="top"/>
          </w:tcPr>
          <w:p w14:paraId="520D8B05">
            <w:pPr>
              <w:spacing w:line="360" w:lineRule="auto"/>
              <w:rPr>
                <w:rFonts w:hint="eastAsia"/>
                <w:color w:val="auto"/>
                <w:highlight w:val="none"/>
                <w:lang w:val="en-US" w:eastAsia="zh-CN"/>
              </w:rPr>
            </w:pPr>
            <w:r>
              <w:rPr>
                <w:rFonts w:hint="eastAsia"/>
                <w:color w:val="auto"/>
                <w:highlight w:val="none"/>
                <w:lang w:val="en-US" w:eastAsia="zh-CN"/>
              </w:rPr>
              <w:t>承包人：（公章）</w:t>
            </w:r>
          </w:p>
          <w:p w14:paraId="2C3DDFE5">
            <w:pPr>
              <w:pStyle w:val="11"/>
              <w:rPr>
                <w:rFonts w:hint="eastAsia"/>
                <w:color w:val="auto"/>
                <w:highlight w:val="none"/>
                <w:lang w:val="en-US" w:eastAsia="zh-CN"/>
              </w:rPr>
            </w:pPr>
          </w:p>
        </w:tc>
      </w:tr>
      <w:tr w14:paraId="7B48BF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303" w:type="dxa"/>
            <w:noWrap w:val="0"/>
            <w:vAlign w:val="top"/>
          </w:tcPr>
          <w:p w14:paraId="21CBF2F5">
            <w:pPr>
              <w:spacing w:line="360" w:lineRule="auto"/>
              <w:rPr>
                <w:rFonts w:hint="eastAsia" w:ascii="宋体" w:hAnsi="宋体" w:eastAsia="宋体" w:cs="宋体"/>
                <w:color w:val="auto"/>
                <w:kern w:val="0"/>
                <w:sz w:val="21"/>
                <w:szCs w:val="21"/>
                <w:highlight w:val="none"/>
                <w:u w:val="none"/>
                <w:lang w:val="en-US" w:eastAsia="zh-CN"/>
              </w:rPr>
            </w:pPr>
          </w:p>
        </w:tc>
        <w:tc>
          <w:tcPr>
            <w:tcW w:w="4597" w:type="dxa"/>
            <w:noWrap w:val="0"/>
            <w:vAlign w:val="top"/>
          </w:tcPr>
          <w:p w14:paraId="5F375385">
            <w:pPr>
              <w:spacing w:line="360" w:lineRule="auto"/>
              <w:rPr>
                <w:rFonts w:hint="eastAsia" w:ascii="宋体" w:hAnsi="宋体" w:eastAsia="宋体" w:cs="宋体"/>
                <w:color w:val="auto"/>
                <w:kern w:val="0"/>
                <w:sz w:val="21"/>
                <w:szCs w:val="21"/>
                <w:highlight w:val="none"/>
                <w:u w:val="none"/>
                <w:lang w:val="en-US" w:eastAsia="zh-CN"/>
              </w:rPr>
            </w:pPr>
            <w:r>
              <w:rPr>
                <w:rFonts w:hint="eastAsia" w:ascii="宋体" w:hAnsi="宋体" w:eastAsia="宋体" w:cs="宋体"/>
                <w:color w:val="auto"/>
                <w:kern w:val="0"/>
                <w:sz w:val="21"/>
                <w:szCs w:val="21"/>
                <w:highlight w:val="none"/>
                <w:u w:val="none"/>
                <w:lang w:val="en-US" w:eastAsia="zh-CN"/>
              </w:rPr>
              <w:t xml:space="preserve"> </w:t>
            </w:r>
          </w:p>
        </w:tc>
      </w:tr>
      <w:tr w14:paraId="779658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303" w:type="dxa"/>
            <w:noWrap w:val="0"/>
            <w:vAlign w:val="top"/>
          </w:tcPr>
          <w:p w14:paraId="5652BA0B">
            <w:pPr>
              <w:spacing w:line="360" w:lineRule="auto"/>
              <w:rPr>
                <w:rFonts w:hint="eastAsia" w:ascii="宋体" w:hAnsi="宋体" w:eastAsia="宋体" w:cs="宋体"/>
                <w:color w:val="auto"/>
                <w:kern w:val="0"/>
                <w:sz w:val="21"/>
                <w:szCs w:val="21"/>
                <w:highlight w:val="none"/>
                <w:u w:val="none"/>
                <w:lang w:val="en-US" w:eastAsia="zh-CN"/>
              </w:rPr>
            </w:pPr>
            <w:r>
              <w:rPr>
                <w:rFonts w:hint="eastAsia" w:ascii="宋体" w:hAnsi="宋体" w:eastAsia="宋体" w:cs="宋体"/>
                <w:color w:val="auto"/>
                <w:kern w:val="0"/>
                <w:sz w:val="21"/>
                <w:szCs w:val="21"/>
                <w:highlight w:val="none"/>
                <w:u w:val="none"/>
                <w:lang w:val="en-US" w:eastAsia="zh-CN"/>
              </w:rPr>
              <w:t>法定代表人</w:t>
            </w:r>
            <w:r>
              <w:rPr>
                <w:rFonts w:hint="eastAsia" w:hAnsi="宋体" w:cs="宋体"/>
                <w:color w:val="auto"/>
                <w:szCs w:val="21"/>
                <w:highlight w:val="none"/>
              </w:rPr>
              <w:t>或其委托代理人</w:t>
            </w:r>
            <w:r>
              <w:rPr>
                <w:rFonts w:hint="eastAsia" w:ascii="宋体" w:hAnsi="宋体" w:eastAsia="宋体" w:cs="宋体"/>
                <w:color w:val="auto"/>
                <w:kern w:val="0"/>
                <w:sz w:val="21"/>
                <w:szCs w:val="21"/>
                <w:highlight w:val="none"/>
                <w:u w:val="none"/>
                <w:lang w:val="en-US" w:eastAsia="zh-CN"/>
              </w:rPr>
              <w:t>：</w:t>
            </w:r>
          </w:p>
          <w:p w14:paraId="58828D47">
            <w:pPr>
              <w:spacing w:line="360" w:lineRule="auto"/>
              <w:rPr>
                <w:rFonts w:hint="eastAsia" w:ascii="宋体" w:hAnsi="宋体" w:eastAsia="宋体" w:cs="宋体"/>
                <w:color w:val="auto"/>
                <w:kern w:val="0"/>
                <w:sz w:val="21"/>
                <w:szCs w:val="21"/>
                <w:highlight w:val="none"/>
                <w:u w:val="none"/>
                <w:lang w:val="en-US" w:eastAsia="zh-CN"/>
              </w:rPr>
            </w:pPr>
            <w:r>
              <w:rPr>
                <w:rFonts w:hint="eastAsia" w:ascii="宋体" w:hAnsi="宋体" w:eastAsia="宋体" w:cs="宋体"/>
                <w:color w:val="auto"/>
                <w:kern w:val="0"/>
                <w:sz w:val="21"/>
                <w:szCs w:val="21"/>
                <w:highlight w:val="none"/>
                <w:u w:val="none"/>
                <w:lang w:val="en-US" w:eastAsia="zh-CN"/>
              </w:rPr>
              <w:t>（签字或盖章）</w:t>
            </w:r>
          </w:p>
        </w:tc>
        <w:tc>
          <w:tcPr>
            <w:tcW w:w="4597" w:type="dxa"/>
            <w:noWrap w:val="0"/>
            <w:vAlign w:val="top"/>
          </w:tcPr>
          <w:p w14:paraId="632CE8BD">
            <w:pPr>
              <w:spacing w:line="360" w:lineRule="auto"/>
              <w:rPr>
                <w:rFonts w:hint="eastAsia" w:ascii="宋体" w:hAnsi="宋体" w:eastAsia="宋体" w:cs="宋体"/>
                <w:color w:val="auto"/>
                <w:kern w:val="0"/>
                <w:sz w:val="21"/>
                <w:szCs w:val="21"/>
                <w:highlight w:val="none"/>
                <w:u w:val="none"/>
                <w:lang w:val="en-US" w:eastAsia="zh-CN"/>
              </w:rPr>
            </w:pPr>
            <w:r>
              <w:rPr>
                <w:rFonts w:hint="eastAsia" w:ascii="宋体" w:hAnsi="宋体" w:eastAsia="宋体" w:cs="宋体"/>
                <w:color w:val="auto"/>
                <w:kern w:val="0"/>
                <w:sz w:val="21"/>
                <w:szCs w:val="21"/>
                <w:highlight w:val="none"/>
                <w:u w:val="none"/>
                <w:lang w:val="en-US" w:eastAsia="zh-CN"/>
              </w:rPr>
              <w:t>法定代表人</w:t>
            </w:r>
            <w:r>
              <w:rPr>
                <w:rFonts w:hint="eastAsia" w:hAnsi="宋体" w:cs="宋体"/>
                <w:color w:val="auto"/>
                <w:szCs w:val="21"/>
                <w:highlight w:val="none"/>
              </w:rPr>
              <w:t>或其委托代理人</w:t>
            </w:r>
            <w:r>
              <w:rPr>
                <w:rFonts w:hint="eastAsia" w:ascii="宋体" w:hAnsi="宋体" w:eastAsia="宋体" w:cs="宋体"/>
                <w:color w:val="auto"/>
                <w:kern w:val="0"/>
                <w:sz w:val="21"/>
                <w:szCs w:val="21"/>
                <w:highlight w:val="none"/>
                <w:u w:val="none"/>
                <w:lang w:val="en-US" w:eastAsia="zh-CN"/>
              </w:rPr>
              <w:t>：</w:t>
            </w:r>
          </w:p>
          <w:p w14:paraId="6D47196A">
            <w:pPr>
              <w:spacing w:line="360" w:lineRule="auto"/>
              <w:rPr>
                <w:rFonts w:hint="eastAsia" w:ascii="宋体" w:hAnsi="宋体" w:eastAsia="宋体" w:cs="宋体"/>
                <w:color w:val="auto"/>
                <w:kern w:val="0"/>
                <w:sz w:val="21"/>
                <w:szCs w:val="21"/>
                <w:highlight w:val="none"/>
                <w:u w:val="none"/>
                <w:lang w:val="en-US" w:eastAsia="zh-CN"/>
              </w:rPr>
            </w:pPr>
            <w:r>
              <w:rPr>
                <w:rFonts w:hint="eastAsia" w:ascii="宋体" w:hAnsi="宋体" w:eastAsia="宋体" w:cs="宋体"/>
                <w:color w:val="auto"/>
                <w:kern w:val="0"/>
                <w:sz w:val="21"/>
                <w:szCs w:val="21"/>
                <w:highlight w:val="none"/>
                <w:u w:val="none"/>
                <w:lang w:val="en-US" w:eastAsia="zh-CN"/>
              </w:rPr>
              <w:t>（签字或盖章）</w:t>
            </w:r>
          </w:p>
        </w:tc>
      </w:tr>
      <w:tr w14:paraId="741EC6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4303" w:type="dxa"/>
            <w:noWrap w:val="0"/>
            <w:vAlign w:val="top"/>
          </w:tcPr>
          <w:p w14:paraId="4B5747D8">
            <w:pPr>
              <w:spacing w:line="360" w:lineRule="auto"/>
              <w:rPr>
                <w:rFonts w:hint="eastAsia" w:ascii="宋体" w:hAnsi="宋体" w:eastAsia="宋体" w:cs="宋体"/>
                <w:color w:val="auto"/>
                <w:kern w:val="0"/>
                <w:sz w:val="21"/>
                <w:szCs w:val="21"/>
                <w:highlight w:val="none"/>
                <w:u w:val="none"/>
                <w:lang w:val="en-US" w:eastAsia="zh-CN"/>
              </w:rPr>
            </w:pPr>
            <w:r>
              <w:rPr>
                <w:rFonts w:hint="eastAsia" w:ascii="宋体" w:hAnsi="宋体" w:eastAsia="宋体" w:cs="宋体"/>
                <w:color w:val="auto"/>
                <w:kern w:val="0"/>
                <w:sz w:val="21"/>
                <w:szCs w:val="21"/>
                <w:highlight w:val="none"/>
                <w:u w:val="none"/>
                <w:lang w:val="en-US" w:eastAsia="zh-CN"/>
              </w:rPr>
              <w:t>统一社会信用代码：</w:t>
            </w:r>
          </w:p>
        </w:tc>
        <w:tc>
          <w:tcPr>
            <w:tcW w:w="4597" w:type="dxa"/>
            <w:noWrap w:val="0"/>
            <w:vAlign w:val="top"/>
          </w:tcPr>
          <w:p w14:paraId="0A17C9E6">
            <w:pPr>
              <w:spacing w:line="360" w:lineRule="auto"/>
              <w:rPr>
                <w:rFonts w:hint="eastAsia" w:ascii="宋体" w:hAnsi="宋体" w:eastAsia="宋体" w:cs="宋体"/>
                <w:color w:val="auto"/>
                <w:kern w:val="0"/>
                <w:sz w:val="21"/>
                <w:szCs w:val="21"/>
                <w:highlight w:val="none"/>
                <w:u w:val="none"/>
                <w:lang w:val="en-US" w:eastAsia="zh-CN"/>
              </w:rPr>
            </w:pPr>
            <w:r>
              <w:rPr>
                <w:rFonts w:hint="eastAsia" w:ascii="宋体" w:hAnsi="宋体" w:eastAsia="宋体" w:cs="宋体"/>
                <w:color w:val="auto"/>
                <w:kern w:val="0"/>
                <w:sz w:val="21"/>
                <w:szCs w:val="21"/>
                <w:highlight w:val="none"/>
                <w:u w:val="none"/>
                <w:lang w:val="en-US" w:eastAsia="zh-CN"/>
              </w:rPr>
              <w:t xml:space="preserve">统一社会信用代码： </w:t>
            </w:r>
          </w:p>
        </w:tc>
      </w:tr>
      <w:tr w14:paraId="209BB9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303" w:type="dxa"/>
            <w:noWrap w:val="0"/>
            <w:vAlign w:val="top"/>
          </w:tcPr>
          <w:p w14:paraId="713B9CB1">
            <w:pPr>
              <w:spacing w:line="360" w:lineRule="auto"/>
              <w:rPr>
                <w:rFonts w:hint="eastAsia" w:ascii="宋体" w:hAnsi="宋体" w:eastAsia="宋体" w:cs="宋体"/>
                <w:color w:val="auto"/>
                <w:kern w:val="0"/>
                <w:sz w:val="21"/>
                <w:szCs w:val="21"/>
                <w:highlight w:val="none"/>
                <w:u w:val="none"/>
                <w:lang w:val="en-US" w:eastAsia="zh-CN"/>
              </w:rPr>
            </w:pPr>
            <w:r>
              <w:rPr>
                <w:rFonts w:hint="eastAsia" w:ascii="宋体" w:hAnsi="宋体" w:eastAsia="宋体" w:cs="宋体"/>
                <w:color w:val="auto"/>
                <w:kern w:val="0"/>
                <w:sz w:val="21"/>
                <w:szCs w:val="21"/>
                <w:highlight w:val="none"/>
                <w:u w:val="none"/>
                <w:lang w:val="en-US" w:eastAsia="zh-CN"/>
              </w:rPr>
              <w:t>地址：</w:t>
            </w:r>
          </w:p>
        </w:tc>
        <w:tc>
          <w:tcPr>
            <w:tcW w:w="4597" w:type="dxa"/>
            <w:noWrap w:val="0"/>
            <w:vAlign w:val="top"/>
          </w:tcPr>
          <w:p w14:paraId="1B5A7041">
            <w:pPr>
              <w:spacing w:line="360" w:lineRule="auto"/>
              <w:rPr>
                <w:rFonts w:hint="eastAsia" w:ascii="宋体" w:hAnsi="宋体" w:eastAsia="宋体" w:cs="宋体"/>
                <w:color w:val="auto"/>
                <w:kern w:val="0"/>
                <w:sz w:val="21"/>
                <w:szCs w:val="21"/>
                <w:highlight w:val="none"/>
                <w:u w:val="none"/>
                <w:lang w:val="en-US" w:eastAsia="zh-CN"/>
              </w:rPr>
            </w:pPr>
            <w:r>
              <w:rPr>
                <w:rFonts w:hint="eastAsia" w:ascii="宋体" w:hAnsi="宋体" w:eastAsia="宋体" w:cs="宋体"/>
                <w:color w:val="auto"/>
                <w:kern w:val="0"/>
                <w:sz w:val="21"/>
                <w:szCs w:val="21"/>
                <w:highlight w:val="none"/>
                <w:u w:val="none"/>
                <w:lang w:val="en-US" w:eastAsia="zh-CN"/>
              </w:rPr>
              <w:t>地址：</w:t>
            </w:r>
            <w:r>
              <w:rPr>
                <w:rFonts w:hint="eastAsia" w:ascii="宋体" w:hAnsi="宋体" w:eastAsia="宋体" w:cs="宋体"/>
                <w:color w:val="auto"/>
                <w:sz w:val="21"/>
                <w:szCs w:val="21"/>
                <w:highlight w:val="none"/>
                <w:u w:val="none"/>
                <w:lang w:val="en-US" w:eastAsia="zh-CN"/>
              </w:rPr>
              <w:t xml:space="preserve"> </w:t>
            </w:r>
          </w:p>
        </w:tc>
      </w:tr>
      <w:tr w14:paraId="166B54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303" w:type="dxa"/>
            <w:noWrap w:val="0"/>
            <w:vAlign w:val="top"/>
          </w:tcPr>
          <w:p w14:paraId="18118454">
            <w:pPr>
              <w:spacing w:line="360" w:lineRule="auto"/>
              <w:rPr>
                <w:rFonts w:hint="eastAsia" w:ascii="宋体" w:hAnsi="宋体" w:eastAsia="宋体" w:cs="宋体"/>
                <w:color w:val="auto"/>
                <w:kern w:val="0"/>
                <w:sz w:val="21"/>
                <w:szCs w:val="21"/>
                <w:highlight w:val="none"/>
                <w:u w:val="none"/>
                <w:lang w:val="en-US" w:eastAsia="zh-CN"/>
              </w:rPr>
            </w:pPr>
            <w:r>
              <w:rPr>
                <w:rFonts w:hint="eastAsia" w:ascii="宋体" w:hAnsi="宋体" w:eastAsia="宋体" w:cs="宋体"/>
                <w:color w:val="auto"/>
                <w:kern w:val="0"/>
                <w:sz w:val="21"/>
                <w:szCs w:val="21"/>
                <w:highlight w:val="none"/>
                <w:u w:val="none"/>
                <w:lang w:val="en-US" w:eastAsia="zh-CN"/>
              </w:rPr>
              <w:t>邮政编码：</w:t>
            </w:r>
          </w:p>
        </w:tc>
        <w:tc>
          <w:tcPr>
            <w:tcW w:w="4597" w:type="dxa"/>
            <w:noWrap w:val="0"/>
            <w:vAlign w:val="top"/>
          </w:tcPr>
          <w:p w14:paraId="609BCE5F">
            <w:pPr>
              <w:spacing w:line="360" w:lineRule="auto"/>
              <w:rPr>
                <w:rFonts w:hint="eastAsia" w:ascii="宋体" w:hAnsi="宋体" w:eastAsia="宋体" w:cs="宋体"/>
                <w:color w:val="auto"/>
                <w:kern w:val="0"/>
                <w:sz w:val="21"/>
                <w:szCs w:val="21"/>
                <w:highlight w:val="none"/>
                <w:u w:val="none"/>
                <w:lang w:val="en-US" w:eastAsia="zh-CN"/>
              </w:rPr>
            </w:pPr>
            <w:r>
              <w:rPr>
                <w:rFonts w:hint="eastAsia" w:ascii="宋体" w:hAnsi="宋体" w:eastAsia="宋体" w:cs="宋体"/>
                <w:color w:val="auto"/>
                <w:kern w:val="0"/>
                <w:sz w:val="21"/>
                <w:szCs w:val="21"/>
                <w:highlight w:val="none"/>
                <w:u w:val="none"/>
                <w:lang w:val="en-US" w:eastAsia="zh-CN"/>
              </w:rPr>
              <w:t xml:space="preserve">邮政编码： </w:t>
            </w:r>
          </w:p>
        </w:tc>
      </w:tr>
      <w:tr w14:paraId="4AA561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303" w:type="dxa"/>
            <w:noWrap w:val="0"/>
            <w:vAlign w:val="top"/>
          </w:tcPr>
          <w:p w14:paraId="7DF8B0A7">
            <w:pPr>
              <w:spacing w:line="360" w:lineRule="auto"/>
              <w:rPr>
                <w:rFonts w:hint="eastAsia" w:ascii="宋体" w:hAnsi="宋体" w:eastAsia="宋体" w:cs="宋体"/>
                <w:color w:val="auto"/>
                <w:kern w:val="0"/>
                <w:sz w:val="21"/>
                <w:szCs w:val="21"/>
                <w:highlight w:val="none"/>
                <w:u w:val="none"/>
                <w:lang w:val="en-US" w:eastAsia="zh-CN"/>
              </w:rPr>
            </w:pPr>
            <w:r>
              <w:rPr>
                <w:rFonts w:hint="eastAsia" w:ascii="宋体" w:hAnsi="宋体" w:eastAsia="宋体" w:cs="宋体"/>
                <w:color w:val="auto"/>
                <w:kern w:val="0"/>
                <w:sz w:val="21"/>
                <w:szCs w:val="21"/>
                <w:highlight w:val="none"/>
                <w:u w:val="none"/>
                <w:lang w:val="en-US" w:eastAsia="zh-CN"/>
              </w:rPr>
              <w:t>联系人：</w:t>
            </w:r>
          </w:p>
        </w:tc>
        <w:tc>
          <w:tcPr>
            <w:tcW w:w="4597" w:type="dxa"/>
            <w:noWrap w:val="0"/>
            <w:vAlign w:val="top"/>
          </w:tcPr>
          <w:p w14:paraId="1C743B80">
            <w:pPr>
              <w:spacing w:line="360" w:lineRule="auto"/>
              <w:rPr>
                <w:rFonts w:hint="eastAsia" w:ascii="宋体" w:hAnsi="宋体" w:eastAsia="宋体" w:cs="宋体"/>
                <w:color w:val="auto"/>
                <w:kern w:val="0"/>
                <w:sz w:val="21"/>
                <w:szCs w:val="21"/>
                <w:highlight w:val="none"/>
                <w:u w:val="none"/>
                <w:lang w:val="en-US" w:eastAsia="zh-CN"/>
              </w:rPr>
            </w:pPr>
            <w:r>
              <w:rPr>
                <w:rFonts w:hint="eastAsia" w:ascii="宋体" w:hAnsi="宋体" w:eastAsia="宋体" w:cs="宋体"/>
                <w:color w:val="auto"/>
                <w:kern w:val="0"/>
                <w:sz w:val="21"/>
                <w:szCs w:val="21"/>
                <w:highlight w:val="none"/>
                <w:u w:val="none"/>
                <w:lang w:val="en-US" w:eastAsia="zh-CN"/>
              </w:rPr>
              <w:t>联系人：</w:t>
            </w:r>
          </w:p>
        </w:tc>
      </w:tr>
      <w:tr w14:paraId="32BCA4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303" w:type="dxa"/>
            <w:noWrap w:val="0"/>
            <w:vAlign w:val="top"/>
          </w:tcPr>
          <w:p w14:paraId="61222268">
            <w:pPr>
              <w:spacing w:line="360" w:lineRule="auto"/>
              <w:rPr>
                <w:rFonts w:hint="eastAsia" w:ascii="宋体" w:hAnsi="宋体" w:eastAsia="宋体" w:cs="宋体"/>
                <w:color w:val="auto"/>
                <w:kern w:val="0"/>
                <w:sz w:val="21"/>
                <w:szCs w:val="21"/>
                <w:highlight w:val="none"/>
                <w:u w:val="none"/>
                <w:lang w:val="en-US" w:eastAsia="zh-CN"/>
              </w:rPr>
            </w:pPr>
            <w:r>
              <w:rPr>
                <w:rFonts w:hint="eastAsia" w:ascii="宋体" w:hAnsi="宋体" w:eastAsia="宋体" w:cs="宋体"/>
                <w:color w:val="auto"/>
                <w:kern w:val="0"/>
                <w:sz w:val="21"/>
                <w:szCs w:val="21"/>
                <w:highlight w:val="none"/>
                <w:u w:val="none"/>
                <w:lang w:val="en-US" w:eastAsia="zh-CN"/>
              </w:rPr>
              <w:t>电话：</w:t>
            </w:r>
          </w:p>
        </w:tc>
        <w:tc>
          <w:tcPr>
            <w:tcW w:w="4597" w:type="dxa"/>
            <w:noWrap w:val="0"/>
            <w:vAlign w:val="top"/>
          </w:tcPr>
          <w:p w14:paraId="2B1D49AB">
            <w:pPr>
              <w:spacing w:line="360" w:lineRule="auto"/>
              <w:rPr>
                <w:rFonts w:hint="eastAsia" w:ascii="宋体" w:hAnsi="宋体" w:eastAsia="宋体" w:cs="宋体"/>
                <w:color w:val="auto"/>
                <w:kern w:val="0"/>
                <w:sz w:val="21"/>
                <w:szCs w:val="21"/>
                <w:highlight w:val="none"/>
                <w:u w:val="none"/>
                <w:lang w:val="en-US" w:eastAsia="zh-CN"/>
              </w:rPr>
            </w:pPr>
            <w:r>
              <w:rPr>
                <w:rFonts w:hint="eastAsia" w:ascii="宋体" w:hAnsi="宋体" w:eastAsia="宋体" w:cs="宋体"/>
                <w:color w:val="auto"/>
                <w:kern w:val="0"/>
                <w:sz w:val="21"/>
                <w:szCs w:val="21"/>
                <w:highlight w:val="none"/>
                <w:u w:val="none"/>
                <w:lang w:val="en-US" w:eastAsia="zh-CN"/>
              </w:rPr>
              <w:t xml:space="preserve">电话： </w:t>
            </w:r>
          </w:p>
        </w:tc>
      </w:tr>
      <w:tr w14:paraId="54EC14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303" w:type="dxa"/>
            <w:noWrap w:val="0"/>
            <w:vAlign w:val="top"/>
          </w:tcPr>
          <w:p w14:paraId="59A44BB8">
            <w:pPr>
              <w:spacing w:line="360" w:lineRule="auto"/>
              <w:rPr>
                <w:rFonts w:hint="eastAsia" w:ascii="宋体" w:hAnsi="宋体" w:eastAsia="宋体" w:cs="宋体"/>
                <w:color w:val="auto"/>
                <w:kern w:val="0"/>
                <w:sz w:val="21"/>
                <w:szCs w:val="21"/>
                <w:highlight w:val="none"/>
                <w:u w:val="none"/>
                <w:lang w:val="en-US" w:eastAsia="zh-CN"/>
              </w:rPr>
            </w:pPr>
            <w:r>
              <w:rPr>
                <w:rFonts w:hint="eastAsia" w:ascii="宋体" w:hAnsi="宋体" w:eastAsia="宋体" w:cs="宋体"/>
                <w:color w:val="auto"/>
                <w:kern w:val="0"/>
                <w:sz w:val="21"/>
                <w:szCs w:val="21"/>
                <w:highlight w:val="none"/>
                <w:u w:val="none"/>
                <w:lang w:val="en-US" w:eastAsia="zh-CN"/>
              </w:rPr>
              <w:t>传真：</w:t>
            </w:r>
          </w:p>
        </w:tc>
        <w:tc>
          <w:tcPr>
            <w:tcW w:w="4597" w:type="dxa"/>
            <w:noWrap w:val="0"/>
            <w:vAlign w:val="top"/>
          </w:tcPr>
          <w:p w14:paraId="2371402D">
            <w:pPr>
              <w:spacing w:line="360" w:lineRule="auto"/>
              <w:rPr>
                <w:rFonts w:hint="eastAsia" w:ascii="宋体" w:hAnsi="宋体" w:eastAsia="宋体" w:cs="宋体"/>
                <w:color w:val="auto"/>
                <w:kern w:val="0"/>
                <w:sz w:val="21"/>
                <w:szCs w:val="21"/>
                <w:highlight w:val="none"/>
                <w:u w:val="none"/>
                <w:lang w:val="en-US" w:eastAsia="zh-CN"/>
              </w:rPr>
            </w:pPr>
            <w:r>
              <w:rPr>
                <w:rFonts w:hint="eastAsia" w:ascii="宋体" w:hAnsi="宋体" w:eastAsia="宋体" w:cs="宋体"/>
                <w:color w:val="auto"/>
                <w:kern w:val="0"/>
                <w:sz w:val="21"/>
                <w:szCs w:val="21"/>
                <w:highlight w:val="none"/>
                <w:u w:val="none"/>
                <w:lang w:val="en-US" w:eastAsia="zh-CN"/>
              </w:rPr>
              <w:t xml:space="preserve">传真： </w:t>
            </w:r>
          </w:p>
        </w:tc>
      </w:tr>
      <w:tr w14:paraId="052BBC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303" w:type="dxa"/>
            <w:noWrap w:val="0"/>
            <w:vAlign w:val="top"/>
          </w:tcPr>
          <w:p w14:paraId="0AAB7DE4">
            <w:pPr>
              <w:spacing w:line="360" w:lineRule="auto"/>
              <w:rPr>
                <w:rFonts w:hint="eastAsia" w:ascii="宋体" w:hAnsi="宋体" w:eastAsia="宋体" w:cs="宋体"/>
                <w:color w:val="auto"/>
                <w:kern w:val="0"/>
                <w:sz w:val="21"/>
                <w:szCs w:val="21"/>
                <w:highlight w:val="none"/>
                <w:u w:val="none"/>
                <w:lang w:val="en-US" w:eastAsia="zh-CN"/>
              </w:rPr>
            </w:pPr>
            <w:r>
              <w:rPr>
                <w:rFonts w:hint="eastAsia" w:ascii="宋体" w:hAnsi="宋体" w:eastAsia="宋体" w:cs="宋体"/>
                <w:color w:val="auto"/>
                <w:kern w:val="0"/>
                <w:sz w:val="21"/>
                <w:szCs w:val="21"/>
                <w:highlight w:val="none"/>
                <w:u w:val="none"/>
                <w:lang w:val="en-US" w:eastAsia="zh-CN"/>
              </w:rPr>
              <w:t>电子信箱：</w:t>
            </w:r>
          </w:p>
        </w:tc>
        <w:tc>
          <w:tcPr>
            <w:tcW w:w="4597" w:type="dxa"/>
            <w:noWrap w:val="0"/>
            <w:vAlign w:val="top"/>
          </w:tcPr>
          <w:p w14:paraId="77435788">
            <w:pPr>
              <w:spacing w:line="360" w:lineRule="auto"/>
              <w:rPr>
                <w:rFonts w:hint="eastAsia" w:ascii="宋体" w:hAnsi="宋体" w:eastAsia="宋体" w:cs="宋体"/>
                <w:color w:val="auto"/>
                <w:kern w:val="0"/>
                <w:sz w:val="21"/>
                <w:szCs w:val="21"/>
                <w:highlight w:val="none"/>
                <w:u w:val="none"/>
                <w:lang w:val="en-US" w:eastAsia="zh-CN"/>
              </w:rPr>
            </w:pPr>
            <w:r>
              <w:rPr>
                <w:rFonts w:hint="eastAsia" w:ascii="宋体" w:hAnsi="宋体" w:eastAsia="宋体" w:cs="宋体"/>
                <w:color w:val="auto"/>
                <w:kern w:val="0"/>
                <w:sz w:val="21"/>
                <w:szCs w:val="21"/>
                <w:highlight w:val="none"/>
                <w:u w:val="none"/>
                <w:lang w:val="en-US" w:eastAsia="zh-CN"/>
              </w:rPr>
              <w:t xml:space="preserve">电子信箱： </w:t>
            </w:r>
          </w:p>
        </w:tc>
      </w:tr>
      <w:tr w14:paraId="4DA8A9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303" w:type="dxa"/>
            <w:noWrap w:val="0"/>
            <w:vAlign w:val="top"/>
          </w:tcPr>
          <w:p w14:paraId="601E0A7B">
            <w:pPr>
              <w:spacing w:line="360" w:lineRule="auto"/>
              <w:rPr>
                <w:rFonts w:hint="eastAsia" w:ascii="宋体" w:hAnsi="宋体" w:eastAsia="宋体" w:cs="宋体"/>
                <w:color w:val="auto"/>
                <w:kern w:val="0"/>
                <w:sz w:val="21"/>
                <w:szCs w:val="21"/>
                <w:highlight w:val="none"/>
                <w:u w:val="none"/>
                <w:lang w:val="en-US" w:eastAsia="zh-CN"/>
              </w:rPr>
            </w:pPr>
            <w:r>
              <w:rPr>
                <w:rFonts w:hint="eastAsia" w:ascii="宋体" w:hAnsi="宋体" w:eastAsia="宋体" w:cs="宋体"/>
                <w:color w:val="auto"/>
                <w:kern w:val="0"/>
                <w:sz w:val="21"/>
                <w:szCs w:val="21"/>
                <w:highlight w:val="none"/>
                <w:u w:val="none"/>
                <w:lang w:val="en-US" w:eastAsia="zh-CN"/>
              </w:rPr>
              <w:t>开户银行：</w:t>
            </w:r>
          </w:p>
        </w:tc>
        <w:tc>
          <w:tcPr>
            <w:tcW w:w="4597" w:type="dxa"/>
            <w:noWrap w:val="0"/>
            <w:vAlign w:val="top"/>
          </w:tcPr>
          <w:p w14:paraId="11E67561">
            <w:pPr>
              <w:spacing w:line="360" w:lineRule="auto"/>
              <w:rPr>
                <w:rFonts w:hint="eastAsia" w:ascii="宋体" w:hAnsi="宋体" w:eastAsia="宋体" w:cs="宋体"/>
                <w:color w:val="auto"/>
                <w:kern w:val="0"/>
                <w:sz w:val="21"/>
                <w:szCs w:val="21"/>
                <w:highlight w:val="none"/>
                <w:u w:val="none"/>
                <w:lang w:val="en-US" w:eastAsia="zh-CN"/>
              </w:rPr>
            </w:pPr>
            <w:r>
              <w:rPr>
                <w:rFonts w:hint="eastAsia" w:ascii="宋体" w:hAnsi="宋体" w:eastAsia="宋体" w:cs="宋体"/>
                <w:color w:val="auto"/>
                <w:kern w:val="0"/>
                <w:sz w:val="21"/>
                <w:szCs w:val="21"/>
                <w:highlight w:val="none"/>
                <w:u w:val="none"/>
                <w:lang w:val="en-US" w:eastAsia="zh-CN"/>
              </w:rPr>
              <w:t xml:space="preserve">开户银行： </w:t>
            </w:r>
          </w:p>
        </w:tc>
      </w:tr>
      <w:tr w14:paraId="24A60A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303" w:type="dxa"/>
            <w:noWrap w:val="0"/>
            <w:vAlign w:val="top"/>
          </w:tcPr>
          <w:p w14:paraId="4B321BC3">
            <w:pPr>
              <w:spacing w:line="360" w:lineRule="auto"/>
              <w:rPr>
                <w:rFonts w:hint="default" w:ascii="宋体" w:hAnsi="宋体" w:eastAsia="宋体" w:cs="宋体"/>
                <w:color w:val="auto"/>
                <w:kern w:val="0"/>
                <w:sz w:val="21"/>
                <w:szCs w:val="21"/>
                <w:highlight w:val="none"/>
                <w:u w:val="none"/>
                <w:lang w:val="en-US" w:eastAsia="zh-CN"/>
              </w:rPr>
            </w:pPr>
            <w:r>
              <w:rPr>
                <w:rFonts w:hint="eastAsia" w:ascii="宋体" w:hAnsi="宋体" w:eastAsia="宋体" w:cs="宋体"/>
                <w:color w:val="auto"/>
                <w:kern w:val="0"/>
                <w:sz w:val="21"/>
                <w:szCs w:val="21"/>
                <w:highlight w:val="none"/>
                <w:u w:val="none"/>
                <w:lang w:val="en-US" w:eastAsia="zh-CN"/>
              </w:rPr>
              <w:t>开户名称：</w:t>
            </w:r>
          </w:p>
        </w:tc>
        <w:tc>
          <w:tcPr>
            <w:tcW w:w="4597" w:type="dxa"/>
            <w:noWrap w:val="0"/>
            <w:vAlign w:val="top"/>
          </w:tcPr>
          <w:p w14:paraId="6A9BB599">
            <w:pPr>
              <w:spacing w:line="360" w:lineRule="auto"/>
              <w:rPr>
                <w:rFonts w:hint="eastAsia" w:ascii="宋体" w:hAnsi="宋体" w:eastAsia="宋体" w:cs="宋体"/>
                <w:color w:val="auto"/>
                <w:kern w:val="0"/>
                <w:sz w:val="21"/>
                <w:szCs w:val="21"/>
                <w:highlight w:val="none"/>
                <w:u w:val="none"/>
                <w:lang w:val="en-US" w:eastAsia="zh-CN"/>
              </w:rPr>
            </w:pPr>
            <w:r>
              <w:rPr>
                <w:rFonts w:hint="eastAsia" w:ascii="宋体" w:hAnsi="宋体" w:eastAsia="宋体" w:cs="宋体"/>
                <w:color w:val="auto"/>
                <w:kern w:val="0"/>
                <w:sz w:val="21"/>
                <w:szCs w:val="21"/>
                <w:highlight w:val="none"/>
                <w:u w:val="none"/>
                <w:lang w:val="en-US" w:eastAsia="zh-CN"/>
              </w:rPr>
              <w:t>开户名称：</w:t>
            </w:r>
          </w:p>
        </w:tc>
      </w:tr>
      <w:tr w14:paraId="6D98C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303" w:type="dxa"/>
            <w:noWrap w:val="0"/>
            <w:vAlign w:val="top"/>
          </w:tcPr>
          <w:p w14:paraId="574D5661">
            <w:pPr>
              <w:spacing w:line="360" w:lineRule="auto"/>
              <w:rPr>
                <w:rFonts w:hint="eastAsia" w:ascii="宋体" w:hAnsi="宋体" w:eastAsia="宋体" w:cs="宋体"/>
                <w:color w:val="auto"/>
                <w:kern w:val="0"/>
                <w:sz w:val="21"/>
                <w:szCs w:val="21"/>
                <w:highlight w:val="none"/>
                <w:u w:val="none"/>
                <w:lang w:val="en-US" w:eastAsia="zh-CN" w:bidi="ar-SA"/>
              </w:rPr>
            </w:pPr>
            <w:r>
              <w:rPr>
                <w:rFonts w:hint="eastAsia" w:ascii="宋体" w:hAnsi="宋体" w:eastAsia="宋体" w:cs="宋体"/>
                <w:color w:val="auto"/>
                <w:kern w:val="0"/>
                <w:sz w:val="21"/>
                <w:szCs w:val="21"/>
                <w:highlight w:val="none"/>
                <w:u w:val="none"/>
                <w:lang w:val="en-US" w:eastAsia="zh-CN"/>
              </w:rPr>
              <w:t>账号：</w:t>
            </w:r>
          </w:p>
        </w:tc>
        <w:tc>
          <w:tcPr>
            <w:tcW w:w="4597" w:type="dxa"/>
            <w:noWrap w:val="0"/>
            <w:vAlign w:val="top"/>
          </w:tcPr>
          <w:p w14:paraId="3FA9E472">
            <w:pPr>
              <w:spacing w:line="360" w:lineRule="auto"/>
              <w:rPr>
                <w:rFonts w:hint="eastAsia" w:ascii="宋体" w:hAnsi="宋体" w:eastAsia="宋体" w:cs="宋体"/>
                <w:color w:val="auto"/>
                <w:kern w:val="0"/>
                <w:sz w:val="21"/>
                <w:szCs w:val="21"/>
                <w:highlight w:val="none"/>
                <w:u w:val="none"/>
                <w:lang w:val="en-US" w:eastAsia="zh-CN" w:bidi="ar-SA"/>
              </w:rPr>
            </w:pPr>
            <w:r>
              <w:rPr>
                <w:rFonts w:hint="eastAsia" w:ascii="宋体" w:hAnsi="宋体" w:eastAsia="宋体" w:cs="宋体"/>
                <w:color w:val="auto"/>
                <w:kern w:val="0"/>
                <w:sz w:val="21"/>
                <w:szCs w:val="21"/>
                <w:highlight w:val="none"/>
                <w:u w:val="none"/>
                <w:lang w:val="en-US" w:eastAsia="zh-CN"/>
              </w:rPr>
              <w:t xml:space="preserve">账号： </w:t>
            </w:r>
          </w:p>
        </w:tc>
      </w:tr>
    </w:tbl>
    <w:p w14:paraId="2AC45336">
      <w:pPr>
        <w:pStyle w:val="40"/>
        <w:adjustRightInd w:val="0"/>
        <w:snapToGrid w:val="0"/>
        <w:spacing w:line="400" w:lineRule="exact"/>
        <w:jc w:val="center"/>
        <w:rPr>
          <w:rFonts w:ascii="宋体" w:hAnsi="宋体" w:cs="宋体"/>
          <w:b/>
          <w:bCs/>
          <w:color w:val="auto"/>
          <w:szCs w:val="21"/>
          <w:highlight w:val="none"/>
        </w:rPr>
      </w:pPr>
    </w:p>
    <w:p w14:paraId="19125DC9">
      <w:pPr>
        <w:pStyle w:val="38"/>
        <w:jc w:val="center"/>
        <w:rPr>
          <w:rFonts w:eastAsia="黑体"/>
          <w:b w:val="0"/>
          <w:bCs w:val="0"/>
          <w:color w:val="auto"/>
          <w:sz w:val="32"/>
          <w:szCs w:val="32"/>
          <w:highlight w:val="none"/>
        </w:rPr>
      </w:pPr>
      <w:r>
        <w:rPr>
          <w:b w:val="0"/>
          <w:bCs w:val="0"/>
          <w:color w:val="auto"/>
          <w:highlight w:val="none"/>
        </w:rPr>
        <w:br w:type="page"/>
      </w:r>
      <w:bookmarkStart w:id="225" w:name="_Toc351203494"/>
      <w:bookmarkStart w:id="226" w:name="_Toc19427"/>
      <w:bookmarkStart w:id="227" w:name="_Toc522201572"/>
      <w:bookmarkStart w:id="228" w:name="_Toc2370"/>
      <w:bookmarkStart w:id="229" w:name="_Toc256000032"/>
      <w:r>
        <w:rPr>
          <w:rFonts w:ascii="宋体"/>
          <w:color w:val="auto"/>
          <w:sz w:val="32"/>
          <w:highlight w:val="none"/>
        </w:rPr>
        <w:t>第二部分 通用合同条款</w:t>
      </w:r>
      <w:bookmarkEnd w:id="225"/>
      <w:bookmarkEnd w:id="226"/>
      <w:bookmarkEnd w:id="227"/>
      <w:bookmarkEnd w:id="228"/>
      <w:bookmarkEnd w:id="229"/>
      <w:bookmarkStart w:id="230" w:name="_Toc337558727"/>
    </w:p>
    <w:bookmarkEnd w:id="230"/>
    <w:p w14:paraId="1697044B">
      <w:pPr>
        <w:pStyle w:val="6"/>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b w:val="0"/>
          <w:bCs w:val="0"/>
          <w:color w:val="auto"/>
          <w:sz w:val="28"/>
          <w:szCs w:val="28"/>
          <w:highlight w:val="none"/>
        </w:rPr>
      </w:pPr>
      <w:bookmarkStart w:id="231" w:name="_Toc16978"/>
    </w:p>
    <w:p w14:paraId="281F7E81">
      <w:pPr>
        <w:pStyle w:val="7"/>
        <w:pageBreakBefore w:val="0"/>
        <w:kinsoku/>
        <w:wordWrap/>
        <w:overflowPunct/>
        <w:topLinePunct w:val="0"/>
        <w:bidi w:val="0"/>
        <w:snapToGrid/>
        <w:spacing w:before="0" w:line="390" w:lineRule="exact"/>
        <w:ind w:left="0"/>
        <w:textAlignment w:val="auto"/>
        <w:rPr>
          <w:rFonts w:hint="eastAsia" w:ascii="宋体" w:hAnsi="宋体" w:eastAsia="宋体" w:cs="宋体"/>
          <w:b w:val="0"/>
          <w:color w:val="auto"/>
          <w:sz w:val="21"/>
          <w:szCs w:val="21"/>
          <w:highlight w:val="none"/>
        </w:rPr>
      </w:pPr>
      <w:bookmarkStart w:id="232" w:name="_Toc351203495"/>
      <w:r>
        <w:rPr>
          <w:rFonts w:hint="eastAsia" w:ascii="宋体" w:hAnsi="宋体" w:eastAsia="宋体" w:cs="宋体"/>
          <w:b w:val="0"/>
          <w:color w:val="auto"/>
          <w:sz w:val="21"/>
          <w:szCs w:val="21"/>
          <w:highlight w:val="none"/>
        </w:rPr>
        <w:t>1.</w:t>
      </w:r>
      <w:bookmarkStart w:id="233" w:name="_Toc303538973"/>
      <w:bookmarkEnd w:id="233"/>
      <w:bookmarkStart w:id="234" w:name="_Toc303538972"/>
      <w:bookmarkEnd w:id="234"/>
      <w:bookmarkStart w:id="235" w:name="_Toc303538974"/>
      <w:bookmarkEnd w:id="235"/>
      <w:bookmarkStart w:id="236" w:name="_Toc303538975"/>
      <w:bookmarkEnd w:id="236"/>
      <w:bookmarkStart w:id="237" w:name="_Toc303538976"/>
      <w:bookmarkEnd w:id="237"/>
      <w:bookmarkStart w:id="238" w:name="_Toc296503027"/>
      <w:bookmarkStart w:id="239" w:name="_Toc296346528"/>
      <w:r>
        <w:rPr>
          <w:rFonts w:hint="eastAsia" w:ascii="宋体" w:hAnsi="宋体" w:eastAsia="宋体" w:cs="宋体"/>
          <w:b w:val="0"/>
          <w:color w:val="auto"/>
          <w:sz w:val="21"/>
          <w:szCs w:val="21"/>
          <w:highlight w:val="none"/>
        </w:rPr>
        <w:t xml:space="preserve"> 一般约定</w:t>
      </w:r>
      <w:bookmarkEnd w:id="232"/>
      <w:bookmarkEnd w:id="238"/>
      <w:bookmarkEnd w:id="239"/>
    </w:p>
    <w:p w14:paraId="4B745309">
      <w:pPr>
        <w:pStyle w:val="8"/>
        <w:pageBreakBefore w:val="0"/>
        <w:kinsoku/>
        <w:wordWrap/>
        <w:overflowPunct/>
        <w:topLinePunct w:val="0"/>
        <w:bidi w:val="0"/>
        <w:snapToGrid/>
        <w:spacing w:before="0" w:after="0" w:line="390" w:lineRule="exact"/>
        <w:ind w:left="0" w:firstLine="420" w:firstLineChars="200"/>
        <w:textAlignment w:val="auto"/>
        <w:rPr>
          <w:rFonts w:hint="eastAsia" w:ascii="宋体" w:hAnsi="宋体" w:eastAsia="宋体" w:cs="宋体"/>
          <w:b w:val="0"/>
          <w:color w:val="auto"/>
          <w:sz w:val="21"/>
          <w:szCs w:val="21"/>
          <w:highlight w:val="none"/>
        </w:rPr>
      </w:pPr>
      <w:bookmarkStart w:id="240" w:name="_Toc337558728"/>
      <w:bookmarkStart w:id="241" w:name="_Toc296503028"/>
      <w:bookmarkStart w:id="242" w:name="_Toc296346529"/>
      <w:bookmarkStart w:id="243" w:name="_Toc351203496"/>
      <w:r>
        <w:rPr>
          <w:rFonts w:hint="eastAsia" w:ascii="宋体" w:hAnsi="宋体" w:eastAsia="宋体" w:cs="宋体"/>
          <w:b w:val="0"/>
          <w:color w:val="auto"/>
          <w:sz w:val="21"/>
          <w:szCs w:val="21"/>
          <w:highlight w:val="none"/>
        </w:rPr>
        <w:t>1.1词语定义</w:t>
      </w:r>
      <w:bookmarkEnd w:id="240"/>
      <w:bookmarkEnd w:id="241"/>
      <w:bookmarkEnd w:id="242"/>
      <w:r>
        <w:rPr>
          <w:rFonts w:hint="eastAsia" w:ascii="宋体" w:hAnsi="宋体" w:eastAsia="宋体" w:cs="宋体"/>
          <w:b w:val="0"/>
          <w:color w:val="auto"/>
          <w:sz w:val="21"/>
          <w:szCs w:val="21"/>
          <w:highlight w:val="none"/>
        </w:rPr>
        <w:t>与解释</w:t>
      </w:r>
      <w:bookmarkEnd w:id="243"/>
    </w:p>
    <w:p w14:paraId="28B454F4">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合同协议书、通用合同条款、专用合同条款中的下列词语具有本款所赋予的含义：</w:t>
      </w:r>
    </w:p>
    <w:p w14:paraId="5F3A2950">
      <w:pPr>
        <w:pageBreakBefore w:val="0"/>
        <w:kinsoku/>
        <w:wordWrap/>
        <w:overflowPunct/>
        <w:topLinePunct w:val="0"/>
        <w:autoSpaceDE w:val="0"/>
        <w:autoSpaceDN w:val="0"/>
        <w:bidi w:val="0"/>
        <w:adjustRightInd w:val="0"/>
        <w:snapToGrid/>
        <w:spacing w:line="390" w:lineRule="exact"/>
        <w:ind w:left="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1.1.1 合同</w:t>
      </w:r>
    </w:p>
    <w:p w14:paraId="04B544C1">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1.1.1.1 合同：是指根据法律规定和合同当事人约定具有约束力的文件，构成合同的文件包括合同协议书、中标通知书（如果有）、投标函及其附录（如果有）、专用合同条款</w:t>
      </w:r>
      <w:r>
        <w:rPr>
          <w:rFonts w:hint="eastAsia" w:ascii="宋体" w:hAnsi="宋体" w:eastAsia="宋体" w:cs="宋体"/>
          <w:color w:val="auto"/>
          <w:sz w:val="21"/>
          <w:szCs w:val="21"/>
          <w:highlight w:val="none"/>
        </w:rPr>
        <w:t>及其附件</w:t>
      </w:r>
      <w:r>
        <w:rPr>
          <w:rFonts w:hint="eastAsia" w:ascii="宋体" w:hAnsi="宋体" w:eastAsia="宋体" w:cs="宋体"/>
          <w:color w:val="auto"/>
          <w:kern w:val="0"/>
          <w:sz w:val="21"/>
          <w:szCs w:val="21"/>
          <w:highlight w:val="none"/>
        </w:rPr>
        <w:t>、通用合同条款、技术标准和要求、图纸、已标价工程量清单或预算书以及其他合同文件。</w:t>
      </w:r>
    </w:p>
    <w:p w14:paraId="010A8C18">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1.1.1.2 合同协议书：是指构成合同的由发包人和承包人共同签署的称为“合同协议书”的书面文件。</w:t>
      </w:r>
    </w:p>
    <w:p w14:paraId="51392B2B">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1.1.1.3 中标通知书：是指构成合同的由发包人通知承包人中标的书面文件。</w:t>
      </w:r>
    </w:p>
    <w:p w14:paraId="23B5C9CA">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1.1.1.4 投标函：是指构成合同的由承包人填写并签署的用于投标的称为“投标函”的文件。</w:t>
      </w:r>
    </w:p>
    <w:p w14:paraId="3B671ECE">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1.1.1.5 投标函附录：是指构成合同的附在投标函后的称为“投标函附录”的文件。</w:t>
      </w:r>
    </w:p>
    <w:p w14:paraId="35A2EFAC">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1.1.1.6 技术标准和要求：是指构成合同的施工应当遵守的或指导施工的国家、行业或地方的技术标准和要求，以及合同约定的技术标准和要求。</w:t>
      </w:r>
    </w:p>
    <w:p w14:paraId="1359310E">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1.1.1.7 图纸：是指构成合同的图纸，包括由发包人按照合同约定提供或经发包人批准的设计文件、施工图、鸟瞰图及模型等，以及在合同履行过程中形成的图纸文件。图纸应当按照法律规定审查合格。</w:t>
      </w:r>
    </w:p>
    <w:p w14:paraId="797313A4">
      <w:pPr>
        <w:pageBreakBefore w:val="0"/>
        <w:kinsoku/>
        <w:wordWrap/>
        <w:overflowPunct/>
        <w:topLinePunct w:val="0"/>
        <w:autoSpaceDE w:val="0"/>
        <w:autoSpaceDN w:val="0"/>
        <w:bidi w:val="0"/>
        <w:adjustRightInd w:val="0"/>
        <w:snapToGrid/>
        <w:spacing w:line="390" w:lineRule="exact"/>
        <w:ind w:left="0" w:firstLine="409" w:firstLineChars="195"/>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1.1.1.8 已标价工程量清单：是指构成合同的由承包人按照规定的格式和要求填写并标明价格的工程量清单，包括说明和表格。</w:t>
      </w:r>
    </w:p>
    <w:p w14:paraId="262079EB">
      <w:pPr>
        <w:pageBreakBefore w:val="0"/>
        <w:kinsoku/>
        <w:wordWrap/>
        <w:overflowPunct/>
        <w:topLinePunct w:val="0"/>
        <w:autoSpaceDE w:val="0"/>
        <w:autoSpaceDN w:val="0"/>
        <w:bidi w:val="0"/>
        <w:adjustRightInd w:val="0"/>
        <w:snapToGrid/>
        <w:spacing w:line="390" w:lineRule="exact"/>
        <w:ind w:left="0" w:firstLine="409" w:firstLineChars="195"/>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1.1.1.9 预算书：是指构成合同的由承包人按照发包人规定的格式和要求编制的工程预算文件。</w:t>
      </w:r>
    </w:p>
    <w:p w14:paraId="7AFB041F">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1.1.1.10 其他合同文件：是指经合同当事人约定的与工程施工有关的具有合同约束力的文件或书面协议。合同当事人可以在专用合同条款中进行约定。</w:t>
      </w:r>
    </w:p>
    <w:p w14:paraId="638BDB78">
      <w:pPr>
        <w:pageBreakBefore w:val="0"/>
        <w:kinsoku/>
        <w:wordWrap/>
        <w:overflowPunct/>
        <w:topLinePunct w:val="0"/>
        <w:autoSpaceDE w:val="0"/>
        <w:autoSpaceDN w:val="0"/>
        <w:bidi w:val="0"/>
        <w:adjustRightInd w:val="0"/>
        <w:snapToGrid/>
        <w:spacing w:line="390" w:lineRule="exact"/>
        <w:ind w:left="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1.1.2 合同当事人及其他相关方</w:t>
      </w:r>
    </w:p>
    <w:p w14:paraId="14202544">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1.1.2.1 合同当事人：是指发包人和（或）承包人。</w:t>
      </w:r>
    </w:p>
    <w:p w14:paraId="17C46D81">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1.1.2.2 发包人：是指与承包人签订合同协议书的当事人及取得该当事人资格的合法继承人。</w:t>
      </w:r>
    </w:p>
    <w:p w14:paraId="796A9FD9">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1.1.2.3 承包人：是指与发包人签订合同协议书的，具有相应工程施工承包资质的当事人及取得该当事人资格的合法继承人。</w:t>
      </w:r>
    </w:p>
    <w:p w14:paraId="4BE2C632">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1.1.2.4 监理人：是指在专用合同条款中指明的，受发包人委托按照法律规定进行工程监督管理的法人或其他组织。</w:t>
      </w:r>
    </w:p>
    <w:p w14:paraId="29443896">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1.1.2.5 设计人：是指在专用合同条款中指明的，受发包人委托负责工程设计并具备相应工程设计资质的法人或其他组织。</w:t>
      </w:r>
    </w:p>
    <w:p w14:paraId="22FB652A">
      <w:pPr>
        <w:pageBreakBefore w:val="0"/>
        <w:kinsoku/>
        <w:wordWrap/>
        <w:overflowPunct/>
        <w:topLinePunct w:val="0"/>
        <w:bidi w:val="0"/>
        <w:snapToGrid/>
        <w:spacing w:line="390" w:lineRule="exact"/>
        <w:ind w:left="0" w:firstLine="409" w:firstLineChars="195"/>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1.1.2.6 分包人：</w:t>
      </w:r>
      <w:bookmarkStart w:id="244" w:name="#go5"/>
      <w:bookmarkEnd w:id="244"/>
      <w:r>
        <w:rPr>
          <w:rFonts w:hint="eastAsia" w:ascii="宋体" w:hAnsi="宋体" w:eastAsia="宋体" w:cs="宋体"/>
          <w:color w:val="auto"/>
          <w:kern w:val="0"/>
          <w:sz w:val="21"/>
          <w:szCs w:val="21"/>
          <w:highlight w:val="none"/>
        </w:rPr>
        <w:t>是指按照法律规定和合同约定，分包部分工程或工作，并与承包人签订分包合同的具有相应资质的法人。</w:t>
      </w:r>
    </w:p>
    <w:p w14:paraId="20AB067B">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1.1.2.7 发包人代表：是指由发包人任命并派驻施工现场在发包人授权范围内行使发包人权利的人。</w:t>
      </w:r>
    </w:p>
    <w:p w14:paraId="2B622E4B">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1.1.2.8 项目经理：是指由承包人任命并派驻施工现场，在承包人授权范围内负责合同履行，且按照法律规定具有相应资格的项目负责人。</w:t>
      </w:r>
    </w:p>
    <w:p w14:paraId="41988DE0">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1.1.2.9 总监理工程师：是指由监理人任命并派驻施工现场进行工程监理的总负责人。</w:t>
      </w:r>
    </w:p>
    <w:p w14:paraId="5D0BBD96">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1.1.3 工程和设备</w:t>
      </w:r>
    </w:p>
    <w:p w14:paraId="7FD69662">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1.1.3.1 工程：是指与合同协议书中工程承包范围对应的永久工程和（或）临时工程。</w:t>
      </w:r>
    </w:p>
    <w:p w14:paraId="2E40A4B7">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1.1.3.2 永久工程：是指按合同约定建造并移交给发包人的工程，包括工程设备。</w:t>
      </w:r>
    </w:p>
    <w:p w14:paraId="46699082">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1.1.3.3 临时工程：是指为完成合同约定的永久工程所修建的各类临时性工程，不包括施工设备。</w:t>
      </w:r>
    </w:p>
    <w:p w14:paraId="11F7F7A2">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1.1.3.4 单位工程：是指在合同协议书中指明的，具备独立施工条件并能形成独立使用功能的永久工程。</w:t>
      </w:r>
    </w:p>
    <w:p w14:paraId="0205CAAC">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1.1.3.5 工程设备：是指构成永久工程的机电设备、金属结构设备、仪器及其他类似的设备和装置。</w:t>
      </w:r>
    </w:p>
    <w:p w14:paraId="4F5BF27C">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1.1.3.6 施工设备：是指为完成合同约定的各项工作所需的设备、器具和其他物品，但不包括工程设备、临时工程和材料。</w:t>
      </w:r>
    </w:p>
    <w:p w14:paraId="6CD06747">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1.1.3.7 施工现场：是指用于工程施工的场所，以及在专用合同条款中指明作为施工场所组成部分的其他场所，包括永久占地和临时占地。</w:t>
      </w:r>
    </w:p>
    <w:p w14:paraId="47938EAF">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1.1.3.8临时设施：是指为完成合同约定的各项工作所服务的临时性生产和生活设施。</w:t>
      </w:r>
    </w:p>
    <w:p w14:paraId="2DD35F3E">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1.1.3.9 永久占地：是指专用合同条款中指明为实施工程需永久占用的土地。</w:t>
      </w:r>
    </w:p>
    <w:p w14:paraId="60EB1379">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1.1.3.10 临时占地：是指专用合同条款中指明为实施工程需要临时占用的土地。</w:t>
      </w:r>
    </w:p>
    <w:p w14:paraId="130DCE4A">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1.1.4 日期和期限</w:t>
      </w:r>
    </w:p>
    <w:p w14:paraId="30C942D3">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1.1.4.1 开工日期：包括计划开工日期和实际开工日期。计划开工日期是指合同协议书约定的开工日期；实际开工日期是指监理人按照第7.3.2项〔开工通知〕约定发出的符合法律规定的开工通知中载明的开工日期。</w:t>
      </w:r>
    </w:p>
    <w:p w14:paraId="22829FAD">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1.1.4.2 竣工日期：包括计划竣工日期和实际竣工日期。计划竣工日期是指合同协议书约定的竣工日期；实际竣工日期按照第13.2.3项〔竣工日期〕的约定确定。 </w:t>
      </w:r>
    </w:p>
    <w:p w14:paraId="5DD0701D">
      <w:pPr>
        <w:pageBreakBefore w:val="0"/>
        <w:kinsoku/>
        <w:wordWrap/>
        <w:overflowPunct/>
        <w:topLinePunct w:val="0"/>
        <w:bidi w:val="0"/>
        <w:snapToGrid/>
        <w:spacing w:line="390" w:lineRule="exact"/>
        <w:ind w:left="0" w:firstLine="426" w:firstLineChars="203"/>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1.1.4.3 工期：是指在合同协议书约定的承包人完成工程所需的期限，包括按照合同约定所作的期限变更。</w:t>
      </w:r>
    </w:p>
    <w:p w14:paraId="4DB7FC97">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1.1.4.4 缺陷责任期：是指承包人按照合同约定承担缺陷修复义务，且发包人预留质量保证金（已缴纳履约保证金的除外）的期限，自工程实际竣工日期起计算。</w:t>
      </w:r>
    </w:p>
    <w:p w14:paraId="4F612D57">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1.1.4.5 保修期：是指承包人按照合同约定对工程承担保修责任的期限，从工程竣工验收合格之日起计算。</w:t>
      </w:r>
    </w:p>
    <w:p w14:paraId="60059503">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1.1.4.6 基准日期：招标发包的工程以投标截止日前28天的日期为基准日期，直接发包的工程以合同签订日前28天的日期为基准日期。</w:t>
      </w:r>
    </w:p>
    <w:p w14:paraId="22C5A682">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1.1.4.7 天：除特别指明外，均指日历天。合同中按天计算时间的，开始当天不计入，从次日开始计算，期限最后一天的截止时间为当天24:00时。</w:t>
      </w:r>
    </w:p>
    <w:p w14:paraId="7D3D08C0">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1.1.5 合同价格和费用</w:t>
      </w:r>
    </w:p>
    <w:p w14:paraId="5A0FF083">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1.1.5.1 签约合同价：是指</w:t>
      </w:r>
      <w:r>
        <w:rPr>
          <w:rFonts w:hint="eastAsia" w:ascii="宋体" w:hAnsi="宋体" w:eastAsia="宋体" w:cs="宋体"/>
          <w:color w:val="auto"/>
          <w:sz w:val="21"/>
          <w:szCs w:val="21"/>
          <w:highlight w:val="none"/>
        </w:rPr>
        <w:t>发包人和承包人在合同协议书中确定的总金额，包括安全文明施工费、暂估价及暂列金额等。</w:t>
      </w:r>
    </w:p>
    <w:p w14:paraId="09401B19">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1.1.5.2 合同价格：是指发包人用于支付承包人按照合同约定完成承包范围内全部工作的金额，包括合同履行过程中按合同约定发生的价格变化。</w:t>
      </w:r>
    </w:p>
    <w:p w14:paraId="1DEE1840">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1.1.5.3 费用：是指为履行合同所发生的或将要发生的所有必需的开支，包括管理费和应分摊的其他费用，但不包括利润。</w:t>
      </w:r>
    </w:p>
    <w:p w14:paraId="3EFB3B64">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1.1.5.4 暂估价：是指发包人在工程量清单或预算书中提供的用于支付必然发生但暂时不能确定价格的材料、工程设备的单价、专业工程以及服务工作的金额。</w:t>
      </w:r>
    </w:p>
    <w:p w14:paraId="2AAE46FD">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1.1.5.5 暂列金额：是指发包人在工程量清单或预算书中暂定并包括在合同价格中的一笔款项，用于工程合同签订时尚未确定或者不可预见的所需材料、工程设备、服务的采购，施工中可能发生的工程变更、合同约定调整因素出现时的合同价格调整以及发生的索赔、现场签证确认等的费用。</w:t>
      </w:r>
    </w:p>
    <w:p w14:paraId="299C0BF8">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1.1.5.6 计日工：是指合同履行过程中，承包人完成发包人提出的零星工作或需要采用计日工计价的变更工作时，按合同中约定的单价计价的一种方式。</w:t>
      </w:r>
    </w:p>
    <w:p w14:paraId="078043D6">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1.1.5.7 质量保证金</w:t>
      </w:r>
      <w:bookmarkStart w:id="245" w:name="#go2"/>
      <w:bookmarkEnd w:id="245"/>
      <w:r>
        <w:rPr>
          <w:rFonts w:hint="eastAsia" w:ascii="宋体" w:hAnsi="宋体" w:eastAsia="宋体" w:cs="宋体"/>
          <w:color w:val="auto"/>
          <w:kern w:val="0"/>
          <w:sz w:val="21"/>
          <w:szCs w:val="21"/>
          <w:highlight w:val="none"/>
        </w:rPr>
        <w:t>：是指按照第15.3款〔质量保证金〕约定承包人用于保证其在缺陷责任期内履行缺陷修补义务的担保</w:t>
      </w:r>
      <w:r>
        <w:rPr>
          <w:rFonts w:hint="eastAsia" w:ascii="宋体" w:hAnsi="宋体" w:eastAsia="宋体" w:cs="宋体"/>
          <w:color w:val="auto"/>
          <w:sz w:val="21"/>
          <w:szCs w:val="21"/>
          <w:highlight w:val="none"/>
        </w:rPr>
        <w:t>。</w:t>
      </w:r>
    </w:p>
    <w:p w14:paraId="46CA4BB7">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1.1.5.8 总价项目：是指在现行国家、行业以及地方的计量规则中无工程量计算规则，在已标价工程量清单或预算书中以总价或以费率形式计算的项目。</w:t>
      </w:r>
    </w:p>
    <w:p w14:paraId="4B4ABDD6">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1.1.6 其他</w:t>
      </w:r>
    </w:p>
    <w:p w14:paraId="048CE136">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1.1.6.1 书面形式：是指合同文件、信函、电报、传真等可以有形地表现所载内容的形式。</w:t>
      </w:r>
    </w:p>
    <w:p w14:paraId="79C28D8B">
      <w:pPr>
        <w:pStyle w:val="8"/>
        <w:pageBreakBefore w:val="0"/>
        <w:kinsoku/>
        <w:wordWrap/>
        <w:overflowPunct/>
        <w:topLinePunct w:val="0"/>
        <w:bidi w:val="0"/>
        <w:snapToGrid/>
        <w:spacing w:before="0" w:after="0" w:line="390" w:lineRule="exact"/>
        <w:ind w:left="0"/>
        <w:textAlignment w:val="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 xml:space="preserve">    </w:t>
      </w:r>
      <w:bookmarkStart w:id="246" w:name="_Toc337558729"/>
      <w:bookmarkStart w:id="247" w:name="_Toc296346530"/>
      <w:bookmarkStart w:id="248" w:name="_Toc296503029"/>
      <w:bookmarkStart w:id="249" w:name="_Toc351203497"/>
      <w:r>
        <w:rPr>
          <w:rFonts w:hint="eastAsia" w:ascii="宋体" w:hAnsi="宋体" w:eastAsia="宋体" w:cs="宋体"/>
          <w:b w:val="0"/>
          <w:color w:val="auto"/>
          <w:sz w:val="21"/>
          <w:szCs w:val="21"/>
          <w:highlight w:val="none"/>
        </w:rPr>
        <w:t>1.2语言文字</w:t>
      </w:r>
      <w:bookmarkEnd w:id="246"/>
      <w:bookmarkEnd w:id="247"/>
      <w:bookmarkEnd w:id="248"/>
      <w:bookmarkEnd w:id="249"/>
    </w:p>
    <w:p w14:paraId="6947C448">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合同以中国的汉语简体文字编写、解释和说明。合同当事人在专用合同条款中约定使用两种以上语言时，汉语为优先解释和说明合同的语言。</w:t>
      </w:r>
    </w:p>
    <w:p w14:paraId="15161797">
      <w:pPr>
        <w:pStyle w:val="8"/>
        <w:pageBreakBefore w:val="0"/>
        <w:kinsoku/>
        <w:wordWrap/>
        <w:overflowPunct/>
        <w:topLinePunct w:val="0"/>
        <w:bidi w:val="0"/>
        <w:snapToGrid/>
        <w:spacing w:before="0" w:after="0" w:line="390" w:lineRule="exact"/>
        <w:ind w:left="0" w:firstLine="420" w:firstLineChars="200"/>
        <w:textAlignment w:val="auto"/>
        <w:rPr>
          <w:rFonts w:hint="eastAsia" w:ascii="宋体" w:hAnsi="宋体" w:eastAsia="宋体" w:cs="宋体"/>
          <w:b w:val="0"/>
          <w:color w:val="auto"/>
          <w:sz w:val="21"/>
          <w:szCs w:val="21"/>
          <w:highlight w:val="none"/>
        </w:rPr>
      </w:pPr>
      <w:bookmarkStart w:id="250" w:name="_Toc337558730"/>
      <w:bookmarkStart w:id="251" w:name="_Toc296346531"/>
      <w:bookmarkStart w:id="252" w:name="_Toc296503030"/>
      <w:bookmarkStart w:id="253" w:name="_Toc351203498"/>
      <w:r>
        <w:rPr>
          <w:rFonts w:hint="eastAsia" w:ascii="宋体" w:hAnsi="宋体" w:eastAsia="宋体" w:cs="宋体"/>
          <w:b w:val="0"/>
          <w:color w:val="auto"/>
          <w:sz w:val="21"/>
          <w:szCs w:val="21"/>
          <w:highlight w:val="none"/>
        </w:rPr>
        <w:t>1.3法律</w:t>
      </w:r>
      <w:bookmarkEnd w:id="250"/>
      <w:bookmarkEnd w:id="251"/>
      <w:bookmarkEnd w:id="252"/>
      <w:bookmarkEnd w:id="253"/>
    </w:p>
    <w:p w14:paraId="28674600">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合同所称法律是指中华人民共和国法律、行政法规、部门规章，以及工程所在地的地方性法规、自治条例、单行条例和地方政府规章等。</w:t>
      </w:r>
    </w:p>
    <w:p w14:paraId="064B9FBC">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合同当事人可以在专用合同条款中约定合同适用的其他规范性文件。</w:t>
      </w:r>
    </w:p>
    <w:p w14:paraId="4445D825">
      <w:pPr>
        <w:pStyle w:val="8"/>
        <w:pageBreakBefore w:val="0"/>
        <w:kinsoku/>
        <w:wordWrap/>
        <w:overflowPunct/>
        <w:topLinePunct w:val="0"/>
        <w:bidi w:val="0"/>
        <w:snapToGrid/>
        <w:spacing w:before="0" w:after="0" w:line="390" w:lineRule="exact"/>
        <w:ind w:left="0" w:firstLine="420" w:firstLineChars="200"/>
        <w:textAlignment w:val="auto"/>
        <w:rPr>
          <w:rFonts w:hint="eastAsia" w:ascii="宋体" w:hAnsi="宋体" w:eastAsia="宋体" w:cs="宋体"/>
          <w:b w:val="0"/>
          <w:color w:val="auto"/>
          <w:sz w:val="21"/>
          <w:szCs w:val="21"/>
          <w:highlight w:val="none"/>
        </w:rPr>
      </w:pPr>
      <w:bookmarkStart w:id="254" w:name="_Toc351203499"/>
      <w:r>
        <w:rPr>
          <w:rFonts w:hint="eastAsia" w:ascii="宋体" w:hAnsi="宋体" w:eastAsia="宋体" w:cs="宋体"/>
          <w:b w:val="0"/>
          <w:color w:val="auto"/>
          <w:sz w:val="21"/>
          <w:szCs w:val="21"/>
          <w:highlight w:val="none"/>
        </w:rPr>
        <w:t>1.4 标准和规范</w:t>
      </w:r>
      <w:bookmarkEnd w:id="254"/>
    </w:p>
    <w:p w14:paraId="5229935F">
      <w:pPr>
        <w:pageBreakBefore w:val="0"/>
        <w:kinsoku/>
        <w:wordWrap/>
        <w:overflowPunct/>
        <w:topLinePunct w:val="0"/>
        <w:autoSpaceDE w:val="0"/>
        <w:autoSpaceDN w:val="0"/>
        <w:bidi w:val="0"/>
        <w:adjustRightInd w:val="0"/>
        <w:snapToGrid/>
        <w:spacing w:line="390" w:lineRule="exact"/>
        <w:ind w:left="0" w:firstLine="64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1.4.1 适用于工程的国家标准、行业标准、工程所在地的地方性标准，以及相应的规范、规程等，合同当事人有特别要求的，应在专用合同条款中约定。</w:t>
      </w:r>
    </w:p>
    <w:p w14:paraId="5C46DDFA">
      <w:pPr>
        <w:pageBreakBefore w:val="0"/>
        <w:kinsoku/>
        <w:wordWrap/>
        <w:overflowPunct/>
        <w:topLinePunct w:val="0"/>
        <w:autoSpaceDE w:val="0"/>
        <w:autoSpaceDN w:val="0"/>
        <w:bidi w:val="0"/>
        <w:adjustRightInd w:val="0"/>
        <w:snapToGrid/>
        <w:spacing w:line="390" w:lineRule="exact"/>
        <w:ind w:left="0" w:firstLine="64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1.4.2 发包人要求使用国外标准、规范的，发包人负责提供原文版本和中文译本，并在专用合同条款中约定提供标准规范的名称、份数和时间。</w:t>
      </w:r>
    </w:p>
    <w:p w14:paraId="4315D31B">
      <w:pPr>
        <w:pageBreakBefore w:val="0"/>
        <w:kinsoku/>
        <w:wordWrap/>
        <w:overflowPunct/>
        <w:topLinePunct w:val="0"/>
        <w:autoSpaceDE w:val="0"/>
        <w:autoSpaceDN w:val="0"/>
        <w:bidi w:val="0"/>
        <w:adjustRightInd w:val="0"/>
        <w:snapToGrid/>
        <w:spacing w:line="390" w:lineRule="exact"/>
        <w:ind w:left="0" w:firstLine="64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1.4.3 发包人对工程的技术标准、功能要求高于或严于现行国家、行业或地方标准的，应当在专用合同条款中予以明确。除专用合同条款另有约定外，应视为承包人在签订合同前已充分预见前述技术标准和功能要求的复杂程度，签约合同价中已包含由此产生的费用。</w:t>
      </w:r>
    </w:p>
    <w:p w14:paraId="4041EBE9">
      <w:pPr>
        <w:pStyle w:val="8"/>
        <w:pageBreakBefore w:val="0"/>
        <w:kinsoku/>
        <w:wordWrap/>
        <w:overflowPunct/>
        <w:topLinePunct w:val="0"/>
        <w:bidi w:val="0"/>
        <w:snapToGrid/>
        <w:spacing w:before="0" w:after="0" w:line="390" w:lineRule="exact"/>
        <w:ind w:left="0" w:firstLine="420" w:firstLineChars="200"/>
        <w:textAlignment w:val="auto"/>
        <w:rPr>
          <w:rFonts w:hint="eastAsia" w:ascii="宋体" w:hAnsi="宋体" w:eastAsia="宋体" w:cs="宋体"/>
          <w:b w:val="0"/>
          <w:color w:val="auto"/>
          <w:sz w:val="21"/>
          <w:szCs w:val="21"/>
          <w:highlight w:val="none"/>
        </w:rPr>
      </w:pPr>
      <w:bookmarkStart w:id="255" w:name="_Toc351203500"/>
      <w:r>
        <w:rPr>
          <w:rFonts w:hint="eastAsia" w:ascii="宋体" w:hAnsi="宋体" w:eastAsia="宋体" w:cs="宋体"/>
          <w:b w:val="0"/>
          <w:color w:val="auto"/>
          <w:sz w:val="21"/>
          <w:szCs w:val="21"/>
          <w:highlight w:val="none"/>
        </w:rPr>
        <w:t>1</w:t>
      </w:r>
      <w:bookmarkStart w:id="256" w:name="_Toc296346532"/>
      <w:bookmarkStart w:id="257" w:name="_Toc296503031"/>
      <w:bookmarkStart w:id="258" w:name="_Toc337558731"/>
      <w:r>
        <w:rPr>
          <w:rFonts w:hint="eastAsia" w:ascii="宋体" w:hAnsi="宋体" w:eastAsia="宋体" w:cs="宋体"/>
          <w:b w:val="0"/>
          <w:color w:val="auto"/>
          <w:sz w:val="21"/>
          <w:szCs w:val="21"/>
          <w:highlight w:val="none"/>
        </w:rPr>
        <w:t>.5 合同文件的优先顺序</w:t>
      </w:r>
      <w:bookmarkEnd w:id="255"/>
    </w:p>
    <w:bookmarkEnd w:id="256"/>
    <w:bookmarkEnd w:id="257"/>
    <w:bookmarkEnd w:id="258"/>
    <w:p w14:paraId="248B1B8B">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组成合同的各项文件应互相解释，互为说明。除专用合同条款另有约定外，解释合同文件的优先顺序如下：</w:t>
      </w:r>
    </w:p>
    <w:p w14:paraId="4DA35C44">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（1）合同协议书；</w:t>
      </w:r>
    </w:p>
    <w:p w14:paraId="62E790DD">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（2）中标通知书（如果有）；</w:t>
      </w:r>
    </w:p>
    <w:p w14:paraId="56CFB36E">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（3）投标函及其附录（如果有）；</w:t>
      </w:r>
    </w:p>
    <w:p w14:paraId="37878DB5">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（4）专用合同条款</w:t>
      </w:r>
      <w:r>
        <w:rPr>
          <w:rFonts w:hint="eastAsia" w:ascii="宋体" w:hAnsi="宋体" w:eastAsia="宋体" w:cs="宋体"/>
          <w:color w:val="auto"/>
          <w:sz w:val="21"/>
          <w:szCs w:val="21"/>
          <w:highlight w:val="none"/>
        </w:rPr>
        <w:t>及其附件</w:t>
      </w:r>
      <w:r>
        <w:rPr>
          <w:rFonts w:hint="eastAsia" w:ascii="宋体" w:hAnsi="宋体" w:eastAsia="宋体" w:cs="宋体"/>
          <w:color w:val="auto"/>
          <w:kern w:val="0"/>
          <w:sz w:val="21"/>
          <w:szCs w:val="21"/>
          <w:highlight w:val="none"/>
        </w:rPr>
        <w:t>；</w:t>
      </w:r>
    </w:p>
    <w:p w14:paraId="5919604C">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（5）通用合同条款；</w:t>
      </w:r>
    </w:p>
    <w:p w14:paraId="09B82C15">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（6）技术标准和要求；</w:t>
      </w:r>
    </w:p>
    <w:p w14:paraId="08808DDF">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（7）图纸；</w:t>
      </w:r>
    </w:p>
    <w:p w14:paraId="7EB6A217">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（8）已标价工程量清单或预算书；</w:t>
      </w:r>
    </w:p>
    <w:p w14:paraId="011EDA97">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（9）其他合同文件。</w:t>
      </w:r>
    </w:p>
    <w:p w14:paraId="6943DE80">
      <w:pPr>
        <w:pageBreakBefore w:val="0"/>
        <w:kinsoku/>
        <w:wordWrap/>
        <w:overflowPunct/>
        <w:topLinePunct w:val="0"/>
        <w:bidi w:val="0"/>
        <w:snapToGrid/>
        <w:spacing w:line="390" w:lineRule="exact"/>
        <w:ind w:left="0" w:firstLine="447" w:firstLineChars="213"/>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上述各项合同文件包括合同当事人就该项合同文件所作出的补充和修改，属于同一类内容的文件，应以最新签署的为准。</w:t>
      </w:r>
    </w:p>
    <w:p w14:paraId="2088E129">
      <w:pPr>
        <w:pageBreakBefore w:val="0"/>
        <w:kinsoku/>
        <w:wordWrap/>
        <w:overflowPunct/>
        <w:topLinePunct w:val="0"/>
        <w:bidi w:val="0"/>
        <w:snapToGrid/>
        <w:spacing w:line="390" w:lineRule="exact"/>
        <w:ind w:left="0" w:firstLine="447" w:firstLineChars="213"/>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在合同订立及履行过程中形成的与合同有关的文件均构成合同文件组成部分，并根据其性质确定优先解释顺序。</w:t>
      </w:r>
    </w:p>
    <w:p w14:paraId="530AE301">
      <w:pPr>
        <w:pStyle w:val="8"/>
        <w:pageBreakBefore w:val="0"/>
        <w:kinsoku/>
        <w:wordWrap/>
        <w:overflowPunct/>
        <w:topLinePunct w:val="0"/>
        <w:bidi w:val="0"/>
        <w:snapToGrid/>
        <w:spacing w:before="0" w:after="0" w:line="390" w:lineRule="exact"/>
        <w:ind w:left="0" w:firstLine="420" w:firstLineChars="200"/>
        <w:textAlignment w:val="auto"/>
        <w:rPr>
          <w:rFonts w:hint="eastAsia" w:ascii="宋体" w:hAnsi="宋体" w:eastAsia="宋体" w:cs="宋体"/>
          <w:b w:val="0"/>
          <w:color w:val="auto"/>
          <w:sz w:val="21"/>
          <w:szCs w:val="21"/>
          <w:highlight w:val="none"/>
        </w:rPr>
      </w:pPr>
      <w:bookmarkStart w:id="259" w:name="_Toc351203501"/>
      <w:r>
        <w:rPr>
          <w:rFonts w:hint="eastAsia" w:ascii="宋体" w:hAnsi="宋体" w:eastAsia="宋体" w:cs="宋体"/>
          <w:b w:val="0"/>
          <w:color w:val="auto"/>
          <w:sz w:val="21"/>
          <w:szCs w:val="21"/>
          <w:highlight w:val="none"/>
        </w:rPr>
        <w:t>1</w:t>
      </w:r>
      <w:bookmarkStart w:id="260" w:name="_Toc296346533"/>
      <w:bookmarkStart w:id="261" w:name="_Toc296503032"/>
      <w:bookmarkStart w:id="262" w:name="_Toc337558732"/>
      <w:r>
        <w:rPr>
          <w:rFonts w:hint="eastAsia" w:ascii="宋体" w:hAnsi="宋体" w:eastAsia="宋体" w:cs="宋体"/>
          <w:b w:val="0"/>
          <w:color w:val="auto"/>
          <w:sz w:val="21"/>
          <w:szCs w:val="21"/>
          <w:highlight w:val="none"/>
        </w:rPr>
        <w:t>.6图纸和承包人文件</w:t>
      </w:r>
      <w:bookmarkEnd w:id="259"/>
    </w:p>
    <w:bookmarkEnd w:id="260"/>
    <w:bookmarkEnd w:id="261"/>
    <w:bookmarkEnd w:id="262"/>
    <w:p w14:paraId="567C5897">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1.6.1 图纸的提供和交底</w:t>
      </w:r>
    </w:p>
    <w:p w14:paraId="4FEEDF28">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应按照专用合同条款约定的期限、数量和内容向承包人免费提供图纸，并组织承包人、监理人和设计人进行图纸会审和设计交底。发包人至迟不得晚于第7.3.2项〔开工通知〕载明的开工日期前14天向承包人提供图纸。</w:t>
      </w:r>
    </w:p>
    <w:p w14:paraId="5CA4CB76">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因发包人未按合同约定提供图纸导致承包人费用增加和（或）工期延误的，按照第7.5.1项〔因发包人原因导致工期延误〕约定办理。</w:t>
      </w:r>
    </w:p>
    <w:p w14:paraId="744ED862">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1.6.2 图纸的错误</w:t>
      </w:r>
    </w:p>
    <w:p w14:paraId="69CD430B">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在收到发包人提供的图纸后，发现图纸存在差错、遗漏或缺陷的，应及时通知监理人。监理人接到该通知后，应附具相关意见并立即报送发包人，发包人应在收到监理人报送的通知后的合理时间内作出决定。合理时间是指发包人在收到监理人的报送通知后，尽其努力且不懈怠地完成图纸修改补充所需的时间。</w:t>
      </w:r>
    </w:p>
    <w:p w14:paraId="053D189E">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1.6.3 图纸的修改和补充</w:t>
      </w:r>
    </w:p>
    <w:p w14:paraId="2425736B">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图纸需要修改和补充的，应经图纸原设计人及审批部门同意，并由监理人在工程或工程相应部位施工前将修改后的图纸或补充图纸提交给承包人，承包人应按修改或补充后的图纸施工。</w:t>
      </w:r>
    </w:p>
    <w:p w14:paraId="5DDF44FF">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1.6.4 承包人文件</w:t>
      </w:r>
    </w:p>
    <w:p w14:paraId="435BC3CC">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承包人应按照专用合同条款的约定提供应当由其编制的与工程施工有关的文件，并按照专用合同条款约定的期限、数量和形式提交监理人，并由监理人报送发包人。</w:t>
      </w:r>
    </w:p>
    <w:p w14:paraId="525FA792">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除专用合同条款另有约定外，监理人应在收到承包人文件后7天内审查完毕，监理人对承包人文件有异议的，承包人应予以修改，并重新报送监理人。监理人的审查并不减轻或免除承包人根据合同约定应当承担的责任。</w:t>
      </w:r>
    </w:p>
    <w:p w14:paraId="2E3992E1">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1.6.5 图纸和承包人文件的保管</w:t>
      </w:r>
    </w:p>
    <w:p w14:paraId="6D7C39FF">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除专用合同条款另有约定外，承包人应在施工现场另外保存一套完整的图纸和承包人文件，供发包人、监理人及有关人员进行工程检查时使用。</w:t>
      </w:r>
    </w:p>
    <w:p w14:paraId="3C43B981">
      <w:pPr>
        <w:pStyle w:val="8"/>
        <w:pageBreakBefore w:val="0"/>
        <w:kinsoku/>
        <w:wordWrap/>
        <w:overflowPunct/>
        <w:topLinePunct w:val="0"/>
        <w:bidi w:val="0"/>
        <w:snapToGrid/>
        <w:spacing w:before="0" w:after="0" w:line="390" w:lineRule="exact"/>
        <w:ind w:left="0" w:firstLine="420" w:firstLineChars="200"/>
        <w:textAlignment w:val="auto"/>
        <w:rPr>
          <w:rFonts w:hint="eastAsia" w:ascii="宋体" w:hAnsi="宋体" w:eastAsia="宋体" w:cs="宋体"/>
          <w:b w:val="0"/>
          <w:color w:val="auto"/>
          <w:sz w:val="21"/>
          <w:szCs w:val="21"/>
          <w:highlight w:val="none"/>
        </w:rPr>
      </w:pPr>
      <w:bookmarkStart w:id="263" w:name="_Toc351203502"/>
      <w:r>
        <w:rPr>
          <w:rFonts w:hint="eastAsia" w:ascii="宋体" w:hAnsi="宋体" w:eastAsia="宋体" w:cs="宋体"/>
          <w:b w:val="0"/>
          <w:color w:val="auto"/>
          <w:sz w:val="21"/>
          <w:szCs w:val="21"/>
          <w:highlight w:val="none"/>
        </w:rPr>
        <w:t>1</w:t>
      </w:r>
      <w:bookmarkStart w:id="264" w:name="_Toc296346534"/>
      <w:bookmarkStart w:id="265" w:name="_Toc296503033"/>
      <w:bookmarkStart w:id="266" w:name="_Toc337558733"/>
      <w:r>
        <w:rPr>
          <w:rFonts w:hint="eastAsia" w:ascii="宋体" w:hAnsi="宋体" w:eastAsia="宋体" w:cs="宋体"/>
          <w:b w:val="0"/>
          <w:color w:val="auto"/>
          <w:sz w:val="21"/>
          <w:szCs w:val="21"/>
          <w:highlight w:val="none"/>
        </w:rPr>
        <w:t>.7联络</w:t>
      </w:r>
      <w:bookmarkEnd w:id="263"/>
    </w:p>
    <w:bookmarkEnd w:id="264"/>
    <w:bookmarkEnd w:id="265"/>
    <w:bookmarkEnd w:id="266"/>
    <w:p w14:paraId="608A57BE">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1.7.1 与合同有关的通知、批准、证明、证书、指示、指令、要求、请求、同意、意见、确定和决定等，均应采用书面形式，并应在合同约定的期限内送达接收人和送达地点。</w:t>
      </w:r>
    </w:p>
    <w:p w14:paraId="2DCC1BAA">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1.7.2 发包人和承包人应在专用合同条款中约定各自的送达接收人和送达地点。任何一方合同当事人指定的接收人或送达地点发生变动的，应提前3天以书面形式通知对方。</w:t>
      </w:r>
    </w:p>
    <w:p w14:paraId="7A25B80B">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1.7.3 发包人和承包人应当及时签收另一方送达至送达地点和指定接收人的来往信函。拒不签收的，由此增加的费用和（或）延误的工期由拒绝接收一方承担。</w:t>
      </w:r>
    </w:p>
    <w:p w14:paraId="2EBC4838">
      <w:pPr>
        <w:pStyle w:val="8"/>
        <w:pageBreakBefore w:val="0"/>
        <w:kinsoku/>
        <w:wordWrap/>
        <w:overflowPunct/>
        <w:topLinePunct w:val="0"/>
        <w:bidi w:val="0"/>
        <w:snapToGrid/>
        <w:spacing w:before="0" w:after="0" w:line="390" w:lineRule="exact"/>
        <w:ind w:left="0" w:firstLine="420" w:firstLineChars="200"/>
        <w:textAlignment w:val="auto"/>
        <w:rPr>
          <w:rFonts w:hint="eastAsia" w:ascii="宋体" w:hAnsi="宋体" w:eastAsia="宋体" w:cs="宋体"/>
          <w:b w:val="0"/>
          <w:color w:val="auto"/>
          <w:sz w:val="21"/>
          <w:szCs w:val="21"/>
          <w:highlight w:val="none"/>
        </w:rPr>
      </w:pPr>
      <w:bookmarkStart w:id="267" w:name="_Toc351203503"/>
      <w:r>
        <w:rPr>
          <w:rFonts w:hint="eastAsia" w:ascii="宋体" w:hAnsi="宋体" w:eastAsia="宋体" w:cs="宋体"/>
          <w:b w:val="0"/>
          <w:color w:val="auto"/>
          <w:sz w:val="21"/>
          <w:szCs w:val="21"/>
          <w:highlight w:val="none"/>
        </w:rPr>
        <w:t>1</w:t>
      </w:r>
      <w:bookmarkStart w:id="268" w:name="_Toc296503035"/>
      <w:bookmarkStart w:id="269" w:name="_Toc296346536"/>
      <w:bookmarkStart w:id="270" w:name="_Toc337558734"/>
      <w:r>
        <w:rPr>
          <w:rFonts w:hint="eastAsia" w:ascii="宋体" w:hAnsi="宋体" w:eastAsia="宋体" w:cs="宋体"/>
          <w:b w:val="0"/>
          <w:color w:val="auto"/>
          <w:sz w:val="21"/>
          <w:szCs w:val="21"/>
          <w:highlight w:val="none"/>
        </w:rPr>
        <w:t>.8严禁贿赂</w:t>
      </w:r>
      <w:bookmarkEnd w:id="267"/>
    </w:p>
    <w:bookmarkEnd w:id="268"/>
    <w:bookmarkEnd w:id="269"/>
    <w:bookmarkEnd w:id="270"/>
    <w:p w14:paraId="4E4DD704">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合同当事人不得以贿赂或变相贿赂的方式，谋取非法利益或损害对方权益。因一方合同当事人的贿赂造成对方损失的，应赔偿损失，并承担相应的法律责任。</w:t>
      </w:r>
    </w:p>
    <w:p w14:paraId="2FFFCA76">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承包人不得与监理人或发包人聘请的第三方串通损害发包人利益。未经发包人书面同意，承包人不得为监理人提供合同约定以外的通讯设备、交通工具及其他任何形式的利益，不得向监理人支付报酬。</w:t>
      </w:r>
    </w:p>
    <w:p w14:paraId="67708268">
      <w:pPr>
        <w:pStyle w:val="8"/>
        <w:pageBreakBefore w:val="0"/>
        <w:kinsoku/>
        <w:wordWrap/>
        <w:overflowPunct/>
        <w:topLinePunct w:val="0"/>
        <w:bidi w:val="0"/>
        <w:snapToGrid/>
        <w:spacing w:before="0" w:after="0" w:line="390" w:lineRule="exact"/>
        <w:ind w:left="0" w:firstLine="420" w:firstLineChars="200"/>
        <w:textAlignment w:val="auto"/>
        <w:rPr>
          <w:rFonts w:hint="eastAsia" w:ascii="宋体" w:hAnsi="宋体" w:eastAsia="宋体" w:cs="宋体"/>
          <w:b w:val="0"/>
          <w:color w:val="auto"/>
          <w:sz w:val="21"/>
          <w:szCs w:val="21"/>
          <w:highlight w:val="none"/>
        </w:rPr>
      </w:pPr>
      <w:bookmarkStart w:id="271" w:name="_Toc351203504"/>
      <w:r>
        <w:rPr>
          <w:rFonts w:hint="eastAsia" w:ascii="宋体" w:hAnsi="宋体" w:eastAsia="宋体" w:cs="宋体"/>
          <w:b w:val="0"/>
          <w:color w:val="auto"/>
          <w:sz w:val="21"/>
          <w:szCs w:val="21"/>
          <w:highlight w:val="none"/>
        </w:rPr>
        <w:t>1</w:t>
      </w:r>
      <w:bookmarkStart w:id="272" w:name="_Toc337558735"/>
      <w:bookmarkStart w:id="273" w:name="_Toc296503036"/>
      <w:bookmarkStart w:id="274" w:name="_Toc296346537"/>
      <w:r>
        <w:rPr>
          <w:rFonts w:hint="eastAsia" w:ascii="宋体" w:hAnsi="宋体" w:eastAsia="宋体" w:cs="宋体"/>
          <w:b w:val="0"/>
          <w:color w:val="auto"/>
          <w:sz w:val="21"/>
          <w:szCs w:val="21"/>
          <w:highlight w:val="none"/>
        </w:rPr>
        <w:t>.9化石、文物</w:t>
      </w:r>
      <w:bookmarkEnd w:id="271"/>
    </w:p>
    <w:bookmarkEnd w:id="272"/>
    <w:bookmarkEnd w:id="273"/>
    <w:bookmarkEnd w:id="274"/>
    <w:p w14:paraId="10BDAF74">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在施工现场发掘的所有文物、古迹以及具有地质研究或考古价值的其他遗迹、化石、钱币或物品属于国家所有。一旦发现上述文物，承包人应采取合理有效的保护措施，防止任何人员移动或损坏上述物品，并立即报告有关政府行政管理部门，同时通知监理人。</w:t>
      </w:r>
    </w:p>
    <w:p w14:paraId="783B179F">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发包人、监理人和承包人应按有关政府行政管理部门要求采取妥善的保护措施，由此增加的费用和（或）延误的工期由发包人承担。</w:t>
      </w:r>
    </w:p>
    <w:p w14:paraId="0B3C64DE">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承包人发现文物后不及时报告或隐瞒不报，致使文物丢失或损坏的，应赔偿损失，并承担相应的法律责任。</w:t>
      </w:r>
    </w:p>
    <w:p w14:paraId="680BCCFF">
      <w:pPr>
        <w:pStyle w:val="8"/>
        <w:pageBreakBefore w:val="0"/>
        <w:kinsoku/>
        <w:wordWrap/>
        <w:overflowPunct/>
        <w:topLinePunct w:val="0"/>
        <w:bidi w:val="0"/>
        <w:snapToGrid/>
        <w:spacing w:before="0" w:after="0" w:line="390" w:lineRule="exact"/>
        <w:ind w:left="0" w:firstLine="420" w:firstLineChars="200"/>
        <w:textAlignment w:val="auto"/>
        <w:rPr>
          <w:rFonts w:hint="eastAsia" w:ascii="宋体" w:hAnsi="宋体" w:eastAsia="宋体" w:cs="宋体"/>
          <w:b w:val="0"/>
          <w:color w:val="auto"/>
          <w:sz w:val="21"/>
          <w:szCs w:val="21"/>
          <w:highlight w:val="none"/>
        </w:rPr>
      </w:pPr>
      <w:bookmarkStart w:id="275" w:name="_Toc351203505"/>
      <w:r>
        <w:rPr>
          <w:rFonts w:hint="eastAsia" w:ascii="宋体" w:hAnsi="宋体" w:eastAsia="宋体" w:cs="宋体"/>
          <w:b w:val="0"/>
          <w:color w:val="auto"/>
          <w:sz w:val="21"/>
          <w:szCs w:val="21"/>
          <w:highlight w:val="none"/>
        </w:rPr>
        <w:t>1</w:t>
      </w:r>
      <w:bookmarkStart w:id="276" w:name="_Toc337558736"/>
      <w:r>
        <w:rPr>
          <w:rFonts w:hint="eastAsia" w:ascii="宋体" w:hAnsi="宋体" w:eastAsia="宋体" w:cs="宋体"/>
          <w:b w:val="0"/>
          <w:color w:val="auto"/>
          <w:sz w:val="21"/>
          <w:szCs w:val="21"/>
          <w:highlight w:val="none"/>
        </w:rPr>
        <w:t>.10交通运输</w:t>
      </w:r>
      <w:bookmarkEnd w:id="275"/>
    </w:p>
    <w:bookmarkEnd w:id="276"/>
    <w:p w14:paraId="11332E22">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1.10.1 出入现场的权利</w:t>
      </w:r>
    </w:p>
    <w:p w14:paraId="0EE56A81">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除专用合同条款另有约定外，发包人应根据施工需要，负责取得出入施工现场所需的批准手续和全部权利，以及取得因施工所需修建道路、桥梁以及其他基础设施的权利，并承担相关手续费用和建设费用。承包人应协助发包人办理修建场内外道路、桥梁以及其他基础设施的手续。</w:t>
      </w:r>
    </w:p>
    <w:p w14:paraId="4AFB6D34">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承包人应在订立合同前查勘施工现场，并根据工程规模及技术参数合理预见工程施工所需的进出施工现场的方式、手段、路径等。因承包人未合理预见所增加的费用和（或）延误的工期由承包人承担。</w:t>
      </w:r>
    </w:p>
    <w:p w14:paraId="1D6F8A0B">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1.10.2 场外交通</w:t>
      </w:r>
    </w:p>
    <w:p w14:paraId="6403ABCC">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应提供场外交通设施的技术参数和具体条件，承包人应遵守有关交通法规，严格按照道路和桥梁的限制荷载行驶，执行有关道路限速、限行、禁止超载的规定，并配合交通管理部门的监督和检查。场外交通设施无法满足工程施工需要的，由发包人负责完善并承担相关费用。</w:t>
      </w:r>
    </w:p>
    <w:p w14:paraId="7514C19B">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1.10.3场内交通</w:t>
      </w:r>
    </w:p>
    <w:p w14:paraId="701399AA">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应提供场内交通设施的技术参数和具体条件，并应按照专用合同条款的约定向承包人免费提供满足工程施工所需的场内道路和交通设施。因承包人原因造成上述道路或交通设施损坏的，承包人负责修复并承担由此增加的费用。</w:t>
      </w:r>
    </w:p>
    <w:p w14:paraId="5319F55B">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除发包人按照合同约定提供的场内道路和交通设施外，承包人负责修建、维修、养护和管理施工所需的其他场内临时道路和交通设施。发包人和监理人可以为实现合同目的使用承包人修建的场内临时道路和交通设施。</w:t>
      </w:r>
    </w:p>
    <w:p w14:paraId="4F5EEAE0">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场外交通和场内交通的边界由合同当事人在专用合同条款中约定。</w:t>
      </w:r>
    </w:p>
    <w:p w14:paraId="043DD8D9">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1.10.4 超大件和超重件的运输</w:t>
      </w:r>
    </w:p>
    <w:p w14:paraId="58A87605">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14:paraId="1E949AD9">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1.10.5 道路和桥梁的损坏责任</w:t>
      </w:r>
    </w:p>
    <w:p w14:paraId="249EBC6C">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因承包人运输造成施工场地内外公共道路和桥梁损坏的，由承包人承担修复损坏的全部费用和可能引起的赔偿。</w:t>
      </w:r>
    </w:p>
    <w:p w14:paraId="64B3D959">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1.10.6 水路和航空运输</w:t>
      </w:r>
    </w:p>
    <w:p w14:paraId="201311BE">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本款前述各项的内容适用于水路运输和航空运输，其中“道路”一词的涵义包括河道、航线、船闸、机场、码头、堤防以及水路或航空运输中其他相似结构物；“车辆”一词的涵义包括船舶和飞机等。</w:t>
      </w:r>
    </w:p>
    <w:p w14:paraId="3E3D715B">
      <w:pPr>
        <w:pStyle w:val="8"/>
        <w:pageBreakBefore w:val="0"/>
        <w:kinsoku/>
        <w:wordWrap/>
        <w:overflowPunct/>
        <w:topLinePunct w:val="0"/>
        <w:bidi w:val="0"/>
        <w:snapToGrid/>
        <w:spacing w:before="0" w:after="0" w:line="390" w:lineRule="exact"/>
        <w:ind w:left="0" w:firstLine="420" w:firstLineChars="200"/>
        <w:textAlignment w:val="auto"/>
        <w:rPr>
          <w:rFonts w:hint="eastAsia" w:ascii="宋体" w:hAnsi="宋体" w:eastAsia="宋体" w:cs="宋体"/>
          <w:b w:val="0"/>
          <w:color w:val="auto"/>
          <w:sz w:val="21"/>
          <w:szCs w:val="21"/>
          <w:highlight w:val="none"/>
        </w:rPr>
      </w:pPr>
      <w:bookmarkStart w:id="277" w:name="_Toc351203506"/>
      <w:r>
        <w:rPr>
          <w:rFonts w:hint="eastAsia" w:ascii="宋体" w:hAnsi="宋体" w:eastAsia="宋体" w:cs="宋体"/>
          <w:b w:val="0"/>
          <w:color w:val="auto"/>
          <w:sz w:val="21"/>
          <w:szCs w:val="21"/>
          <w:highlight w:val="none"/>
        </w:rPr>
        <w:t>1</w:t>
      </w:r>
      <w:bookmarkStart w:id="278" w:name="_Toc337558737"/>
      <w:bookmarkStart w:id="279" w:name="_Toc296503037"/>
      <w:bookmarkStart w:id="280" w:name="_Toc296346538"/>
      <w:r>
        <w:rPr>
          <w:rFonts w:hint="eastAsia" w:ascii="宋体" w:hAnsi="宋体" w:eastAsia="宋体" w:cs="宋体"/>
          <w:b w:val="0"/>
          <w:color w:val="auto"/>
          <w:sz w:val="21"/>
          <w:szCs w:val="21"/>
          <w:highlight w:val="none"/>
        </w:rPr>
        <w:t>.11知识产权</w:t>
      </w:r>
      <w:bookmarkEnd w:id="277"/>
      <w:r>
        <w:rPr>
          <w:rFonts w:hint="eastAsia" w:ascii="宋体" w:hAnsi="宋体" w:eastAsia="宋体" w:cs="宋体"/>
          <w:b w:val="0"/>
          <w:color w:val="auto"/>
          <w:sz w:val="21"/>
          <w:szCs w:val="21"/>
          <w:highlight w:val="none"/>
        </w:rPr>
        <w:t xml:space="preserve"> </w:t>
      </w:r>
      <w:bookmarkEnd w:id="278"/>
    </w:p>
    <w:bookmarkEnd w:id="279"/>
    <w:bookmarkEnd w:id="280"/>
    <w:p w14:paraId="13972435">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1.11.1 除专用合同条款另有约定外，发包人提供给承包人的图纸、发包人为实施工程自行编制或委托编制的技术规范以及反映发包人要求的或其他类似性质的文件的著作权属于发包人，承包人可以为实现合同目的而复制、使用此类文件，但不能用于与合同无关的其他事项。未经发包人书面同意，承包人不得为了合同以外的目的而复制、使用上述文件或将之提供给任何第三方。</w:t>
      </w:r>
    </w:p>
    <w:p w14:paraId="66603A6E">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1.11.2 除专用合同条款另有约定外，承包人为实施工程所编制的文件，除署名权以外的著作权属于发包人，承包人可因实施工程的运行、调试、维修、改造等目的而复制、使用此类文件，但不能用于与合同无关的其他事项。未经发包人书面同意，承包人不得为了合同以外的目的而复制、使用上述文件或将之提供给任何第三方。</w:t>
      </w:r>
    </w:p>
    <w:p w14:paraId="1CBCFC7F">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1.11.3 合同当事人保证在履行合同过程中不侵犯对方及第三方的知识产权。承包人在使用材料、施工设备、工程设备或采用施工工艺时，因侵犯他人的专利权或其他知识产权所引起的责任，由承包人承担；因发包人提供的材料、施工设备、工程设备或施工工艺导致侵权的，由发包人承担责任。</w:t>
      </w:r>
    </w:p>
    <w:p w14:paraId="0122D5BA">
      <w:pPr>
        <w:pageBreakBefore w:val="0"/>
        <w:kinsoku/>
        <w:wordWrap/>
        <w:overflowPunct/>
        <w:topLinePunct w:val="0"/>
        <w:bidi w:val="0"/>
        <w:snapToGrid/>
        <w:spacing w:line="390" w:lineRule="exact"/>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sz w:val="21"/>
          <w:szCs w:val="21"/>
          <w:highlight w:val="none"/>
        </w:rPr>
        <w:t>1.11.4 除专用合同条款另有约定外，承包人在合同签订前和签订时已确定采用的专利、专有技术、技术秘密的使用费已包含在签约合同价中。</w:t>
      </w:r>
    </w:p>
    <w:p w14:paraId="61B19D8A">
      <w:pPr>
        <w:pStyle w:val="8"/>
        <w:pageBreakBefore w:val="0"/>
        <w:kinsoku/>
        <w:wordWrap/>
        <w:overflowPunct/>
        <w:topLinePunct w:val="0"/>
        <w:bidi w:val="0"/>
        <w:snapToGrid/>
        <w:spacing w:before="0" w:after="0" w:line="390" w:lineRule="exact"/>
        <w:ind w:left="0" w:firstLine="420" w:firstLineChars="200"/>
        <w:textAlignment w:val="auto"/>
        <w:rPr>
          <w:rFonts w:hint="eastAsia" w:ascii="宋体" w:hAnsi="宋体" w:eastAsia="宋体" w:cs="宋体"/>
          <w:b w:val="0"/>
          <w:color w:val="auto"/>
          <w:sz w:val="21"/>
          <w:szCs w:val="21"/>
          <w:highlight w:val="none"/>
        </w:rPr>
      </w:pPr>
      <w:bookmarkStart w:id="281" w:name="_Toc351203507"/>
      <w:r>
        <w:rPr>
          <w:rFonts w:hint="eastAsia" w:ascii="宋体" w:hAnsi="宋体" w:eastAsia="宋体" w:cs="宋体"/>
          <w:b w:val="0"/>
          <w:color w:val="auto"/>
          <w:sz w:val="21"/>
          <w:szCs w:val="21"/>
          <w:highlight w:val="none"/>
        </w:rPr>
        <w:t>1</w:t>
      </w:r>
      <w:bookmarkStart w:id="282" w:name="_Toc337558738"/>
      <w:r>
        <w:rPr>
          <w:rFonts w:hint="eastAsia" w:ascii="宋体" w:hAnsi="宋体" w:eastAsia="宋体" w:cs="宋体"/>
          <w:b w:val="0"/>
          <w:color w:val="auto"/>
          <w:sz w:val="21"/>
          <w:szCs w:val="21"/>
          <w:highlight w:val="none"/>
        </w:rPr>
        <w:t>.12保密</w:t>
      </w:r>
      <w:bookmarkEnd w:id="281"/>
    </w:p>
    <w:bookmarkEnd w:id="282"/>
    <w:p w14:paraId="6AB7C4C5">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除法律规定或合同另有约定外，未经发包人同意，承包人不得将发包人提供的图纸、文件以及声明需要保密的资料信息等商业秘密泄露给第三方。</w:t>
      </w:r>
    </w:p>
    <w:p w14:paraId="564B7373">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除法律规定或合同另有约定外，未经承包人同意，发包人不得将承包人提供的技术秘密及声明需要保密的资料信息等商业秘密泄露给第三方。</w:t>
      </w:r>
    </w:p>
    <w:p w14:paraId="7F7A20DD">
      <w:pPr>
        <w:pStyle w:val="8"/>
        <w:pageBreakBefore w:val="0"/>
        <w:kinsoku/>
        <w:wordWrap/>
        <w:overflowPunct/>
        <w:topLinePunct w:val="0"/>
        <w:bidi w:val="0"/>
        <w:snapToGrid/>
        <w:spacing w:before="0" w:after="0" w:line="390" w:lineRule="exact"/>
        <w:ind w:left="0" w:firstLine="420" w:firstLineChars="200"/>
        <w:textAlignment w:val="auto"/>
        <w:rPr>
          <w:rFonts w:hint="eastAsia" w:ascii="宋体" w:hAnsi="宋体" w:eastAsia="宋体" w:cs="宋体"/>
          <w:b w:val="0"/>
          <w:color w:val="auto"/>
          <w:sz w:val="21"/>
          <w:szCs w:val="21"/>
          <w:highlight w:val="none"/>
        </w:rPr>
      </w:pPr>
      <w:bookmarkStart w:id="283" w:name="_Toc351203508"/>
      <w:r>
        <w:rPr>
          <w:rFonts w:hint="eastAsia" w:ascii="宋体" w:hAnsi="宋体" w:eastAsia="宋体" w:cs="宋体"/>
          <w:b w:val="0"/>
          <w:color w:val="auto"/>
          <w:sz w:val="21"/>
          <w:szCs w:val="21"/>
          <w:highlight w:val="none"/>
        </w:rPr>
        <w:t>1.13工程量清单错误的修正</w:t>
      </w:r>
      <w:bookmarkEnd w:id="283"/>
    </w:p>
    <w:p w14:paraId="0986D5C3">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除专用合同条款另有约定外，发包人提供的工程量清单，应被认为是准确的和完整的。出现下列情形之一时，发包人应予以修正，并相应调整合同价格：</w:t>
      </w:r>
    </w:p>
    <w:p w14:paraId="4EA4CE0E">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（1）工程量清单存在缺项、漏项的；</w:t>
      </w:r>
    </w:p>
    <w:p w14:paraId="4C472F5A">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（2）工程量清单偏差超出专用合同条款约定的工程量偏差范围的；</w:t>
      </w:r>
    </w:p>
    <w:p w14:paraId="41994F37">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（3）未按照国家现行计量规范强制性规定计量的。</w:t>
      </w:r>
    </w:p>
    <w:p w14:paraId="433E14E8">
      <w:pPr>
        <w:pStyle w:val="7"/>
        <w:pageBreakBefore w:val="0"/>
        <w:kinsoku/>
        <w:wordWrap/>
        <w:overflowPunct/>
        <w:topLinePunct w:val="0"/>
        <w:bidi w:val="0"/>
        <w:snapToGrid/>
        <w:spacing w:before="0" w:line="390" w:lineRule="exact"/>
        <w:ind w:left="0"/>
        <w:textAlignment w:val="auto"/>
        <w:rPr>
          <w:rFonts w:hint="eastAsia" w:ascii="宋体" w:hAnsi="宋体" w:eastAsia="宋体" w:cs="宋体"/>
          <w:b w:val="0"/>
          <w:color w:val="auto"/>
          <w:sz w:val="21"/>
          <w:szCs w:val="21"/>
          <w:highlight w:val="none"/>
        </w:rPr>
      </w:pPr>
      <w:bookmarkStart w:id="284" w:name="_Toc351203509"/>
      <w:r>
        <w:rPr>
          <w:rFonts w:hint="eastAsia" w:ascii="宋体" w:hAnsi="宋体" w:eastAsia="宋体" w:cs="宋体"/>
          <w:b w:val="0"/>
          <w:color w:val="auto"/>
          <w:sz w:val="21"/>
          <w:szCs w:val="21"/>
          <w:highlight w:val="none"/>
        </w:rPr>
        <w:t>2</w:t>
      </w:r>
      <w:bookmarkStart w:id="285" w:name="_Toc296503038"/>
      <w:bookmarkStart w:id="286" w:name="_Toc337558739"/>
      <w:bookmarkStart w:id="287" w:name="_Toc296346539"/>
      <w:bookmarkStart w:id="288" w:name="OLE_LINK2"/>
      <w:r>
        <w:rPr>
          <w:rFonts w:hint="eastAsia" w:ascii="宋体" w:hAnsi="宋体" w:eastAsia="宋体" w:cs="宋体"/>
          <w:b w:val="0"/>
          <w:color w:val="auto"/>
          <w:sz w:val="21"/>
          <w:szCs w:val="21"/>
          <w:highlight w:val="none"/>
        </w:rPr>
        <w:t>. 发包人</w:t>
      </w:r>
      <w:bookmarkEnd w:id="284"/>
    </w:p>
    <w:bookmarkEnd w:id="285"/>
    <w:bookmarkEnd w:id="286"/>
    <w:bookmarkEnd w:id="287"/>
    <w:p w14:paraId="72866885">
      <w:pPr>
        <w:pStyle w:val="8"/>
        <w:pageBreakBefore w:val="0"/>
        <w:kinsoku/>
        <w:wordWrap/>
        <w:overflowPunct/>
        <w:topLinePunct w:val="0"/>
        <w:bidi w:val="0"/>
        <w:snapToGrid/>
        <w:spacing w:before="0" w:after="0" w:line="390" w:lineRule="exact"/>
        <w:ind w:left="0" w:firstLine="420" w:firstLineChars="200"/>
        <w:textAlignment w:val="auto"/>
        <w:rPr>
          <w:rFonts w:hint="eastAsia" w:ascii="宋体" w:hAnsi="宋体" w:eastAsia="宋体" w:cs="宋体"/>
          <w:b w:val="0"/>
          <w:color w:val="auto"/>
          <w:sz w:val="21"/>
          <w:szCs w:val="21"/>
          <w:highlight w:val="none"/>
        </w:rPr>
      </w:pPr>
      <w:bookmarkStart w:id="289" w:name="_Toc351203510"/>
      <w:r>
        <w:rPr>
          <w:rFonts w:hint="eastAsia" w:ascii="宋体" w:hAnsi="宋体" w:eastAsia="宋体" w:cs="宋体"/>
          <w:b w:val="0"/>
          <w:color w:val="auto"/>
          <w:sz w:val="21"/>
          <w:szCs w:val="21"/>
          <w:highlight w:val="none"/>
        </w:rPr>
        <w:t>2</w:t>
      </w:r>
      <w:bookmarkStart w:id="290" w:name="_Toc296503039"/>
      <w:bookmarkStart w:id="291" w:name="_Toc296346540"/>
      <w:bookmarkStart w:id="292" w:name="_Toc337558740"/>
      <w:r>
        <w:rPr>
          <w:rFonts w:hint="eastAsia" w:ascii="宋体" w:hAnsi="宋体" w:eastAsia="宋体" w:cs="宋体"/>
          <w:b w:val="0"/>
          <w:color w:val="auto"/>
          <w:sz w:val="21"/>
          <w:szCs w:val="21"/>
          <w:highlight w:val="none"/>
        </w:rPr>
        <w:t>.1 许可或批准</w:t>
      </w:r>
      <w:bookmarkEnd w:id="289"/>
    </w:p>
    <w:p w14:paraId="635D546F">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应遵守法律，并办理法律规定由其办理的许可、批准或备案，包括但不限于建设用地规划许可证、建设工程规划许可证、建设工程施工许可证、施工所需临时用水、临时用电、中断道路交通、临时占用土地等许可和批准。发包人应协助承包人办理法律规定的有关施工证件和批件。</w:t>
      </w:r>
    </w:p>
    <w:p w14:paraId="032CB7B4">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因发包人原因未能及时办理完毕前述许可、批准或备案，由发包人承担由此增加的费用和（或）延误的工期，并支付承包人合理的利润。</w:t>
      </w:r>
    </w:p>
    <w:p w14:paraId="66400437">
      <w:pPr>
        <w:pStyle w:val="8"/>
        <w:pageBreakBefore w:val="0"/>
        <w:kinsoku/>
        <w:wordWrap/>
        <w:overflowPunct/>
        <w:topLinePunct w:val="0"/>
        <w:bidi w:val="0"/>
        <w:snapToGrid/>
        <w:spacing w:before="0" w:after="0" w:line="390" w:lineRule="exact"/>
        <w:ind w:left="0" w:firstLine="420" w:firstLineChars="200"/>
        <w:textAlignment w:val="auto"/>
        <w:rPr>
          <w:rFonts w:hint="eastAsia" w:ascii="宋体" w:hAnsi="宋体" w:eastAsia="宋体" w:cs="宋体"/>
          <w:b w:val="0"/>
          <w:color w:val="auto"/>
          <w:sz w:val="21"/>
          <w:szCs w:val="21"/>
          <w:highlight w:val="none"/>
        </w:rPr>
      </w:pPr>
      <w:bookmarkStart w:id="293" w:name="_Toc351203511"/>
      <w:r>
        <w:rPr>
          <w:rFonts w:hint="eastAsia" w:ascii="宋体" w:hAnsi="宋体" w:eastAsia="宋体" w:cs="宋体"/>
          <w:b w:val="0"/>
          <w:color w:val="auto"/>
          <w:sz w:val="21"/>
          <w:szCs w:val="21"/>
          <w:highlight w:val="none"/>
        </w:rPr>
        <w:t>2.2 发包人代表</w:t>
      </w:r>
      <w:bookmarkEnd w:id="293"/>
    </w:p>
    <w:p w14:paraId="7FBB072E">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应在专用合同条款中明确其派驻施工现场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提前7天书面通知承包人。</w:t>
      </w:r>
    </w:p>
    <w:p w14:paraId="0EE69192">
      <w:pPr>
        <w:pageBreakBefore w:val="0"/>
        <w:kinsoku/>
        <w:wordWrap/>
        <w:overflowPunct/>
        <w:topLinePunct w:val="0"/>
        <w:bidi w:val="0"/>
        <w:snapToGrid/>
        <w:spacing w:line="390" w:lineRule="exact"/>
        <w:ind w:left="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发包人代表不能按照合同约定履行其职责及义务，并导致合同无法继续正常履行的，承包人可以要求发包人撤换发包人代表。</w:t>
      </w:r>
    </w:p>
    <w:p w14:paraId="0942D954">
      <w:pPr>
        <w:pageBreakBefore w:val="0"/>
        <w:kinsoku/>
        <w:wordWrap/>
        <w:overflowPunct/>
        <w:topLinePunct w:val="0"/>
        <w:bidi w:val="0"/>
        <w:snapToGrid/>
        <w:spacing w:line="39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不属于法定必须监理的工程，监理人的职权可以由发包人代表或发包人指定的其他人员行使。</w:t>
      </w:r>
    </w:p>
    <w:p w14:paraId="34CDFC01">
      <w:pPr>
        <w:pStyle w:val="8"/>
        <w:pageBreakBefore w:val="0"/>
        <w:kinsoku/>
        <w:wordWrap/>
        <w:overflowPunct/>
        <w:topLinePunct w:val="0"/>
        <w:bidi w:val="0"/>
        <w:snapToGrid/>
        <w:spacing w:before="0" w:after="0" w:line="390" w:lineRule="exact"/>
        <w:ind w:left="0" w:firstLine="420" w:firstLineChars="200"/>
        <w:textAlignment w:val="auto"/>
        <w:rPr>
          <w:rFonts w:hint="eastAsia" w:ascii="宋体" w:hAnsi="宋体" w:eastAsia="宋体" w:cs="宋体"/>
          <w:b w:val="0"/>
          <w:color w:val="auto"/>
          <w:sz w:val="21"/>
          <w:szCs w:val="21"/>
          <w:highlight w:val="none"/>
        </w:rPr>
      </w:pPr>
      <w:bookmarkStart w:id="294" w:name="_Toc351203512"/>
      <w:r>
        <w:rPr>
          <w:rFonts w:hint="eastAsia" w:ascii="宋体" w:hAnsi="宋体" w:eastAsia="宋体" w:cs="宋体"/>
          <w:b w:val="0"/>
          <w:color w:val="auto"/>
          <w:sz w:val="21"/>
          <w:szCs w:val="21"/>
          <w:highlight w:val="none"/>
        </w:rPr>
        <w:t>2.3 发包人人员</w:t>
      </w:r>
      <w:bookmarkEnd w:id="294"/>
    </w:p>
    <w:p w14:paraId="1B308199">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发包人应要求在施工现场的发包人人员遵守法律及有关安全、质量、环境保护、文明施工等规定，并保障承包人免于承受因发包人人员未遵守上述要求给承包人造成的损失和责任。</w:t>
      </w:r>
    </w:p>
    <w:p w14:paraId="755CA979">
      <w:pPr>
        <w:pageBreakBefore w:val="0"/>
        <w:kinsoku/>
        <w:wordWrap/>
        <w:overflowPunct/>
        <w:topLinePunct w:val="0"/>
        <w:bidi w:val="0"/>
        <w:snapToGrid/>
        <w:spacing w:line="390" w:lineRule="exact"/>
        <w:ind w:left="0" w:firstLine="64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发包人人员包括发包人代表及其他由发包人派驻施工现场的人员。</w:t>
      </w:r>
      <w:bookmarkEnd w:id="290"/>
      <w:bookmarkEnd w:id="291"/>
      <w:bookmarkEnd w:id="292"/>
    </w:p>
    <w:p w14:paraId="6E3E69EF">
      <w:pPr>
        <w:pStyle w:val="8"/>
        <w:pageBreakBefore w:val="0"/>
        <w:kinsoku/>
        <w:wordWrap/>
        <w:overflowPunct/>
        <w:topLinePunct w:val="0"/>
        <w:bidi w:val="0"/>
        <w:snapToGrid/>
        <w:spacing w:before="0" w:after="0" w:line="390" w:lineRule="exact"/>
        <w:ind w:left="0" w:firstLine="420" w:firstLineChars="200"/>
        <w:textAlignment w:val="auto"/>
        <w:rPr>
          <w:rFonts w:hint="eastAsia" w:ascii="宋体" w:hAnsi="宋体" w:eastAsia="宋体" w:cs="宋体"/>
          <w:b w:val="0"/>
          <w:color w:val="auto"/>
          <w:sz w:val="21"/>
          <w:szCs w:val="21"/>
          <w:highlight w:val="none"/>
        </w:rPr>
      </w:pPr>
      <w:bookmarkStart w:id="295" w:name="_Toc351203513"/>
      <w:r>
        <w:rPr>
          <w:rFonts w:hint="eastAsia" w:ascii="宋体" w:hAnsi="宋体" w:eastAsia="宋体" w:cs="宋体"/>
          <w:b w:val="0"/>
          <w:color w:val="auto"/>
          <w:sz w:val="21"/>
          <w:szCs w:val="21"/>
          <w:highlight w:val="none"/>
        </w:rPr>
        <w:t>2</w:t>
      </w:r>
      <w:bookmarkStart w:id="296" w:name="_Toc337558741"/>
      <w:bookmarkStart w:id="297" w:name="_Toc296503040"/>
      <w:bookmarkStart w:id="298" w:name="_Toc296346541"/>
      <w:r>
        <w:rPr>
          <w:rFonts w:hint="eastAsia" w:ascii="宋体" w:hAnsi="宋体" w:eastAsia="宋体" w:cs="宋体"/>
          <w:b w:val="0"/>
          <w:color w:val="auto"/>
          <w:sz w:val="21"/>
          <w:szCs w:val="21"/>
          <w:highlight w:val="none"/>
        </w:rPr>
        <w:t>.4 施工现场、施工条件和基础资料的提供</w:t>
      </w:r>
      <w:bookmarkEnd w:id="295"/>
      <w:r>
        <w:rPr>
          <w:rFonts w:hint="eastAsia" w:ascii="宋体" w:hAnsi="宋体" w:eastAsia="宋体" w:cs="宋体"/>
          <w:b w:val="0"/>
          <w:color w:val="auto"/>
          <w:sz w:val="21"/>
          <w:szCs w:val="21"/>
          <w:highlight w:val="none"/>
        </w:rPr>
        <w:t xml:space="preserve"> </w:t>
      </w:r>
      <w:bookmarkEnd w:id="296"/>
      <w:bookmarkEnd w:id="297"/>
      <w:bookmarkEnd w:id="298"/>
      <w:r>
        <w:rPr>
          <w:rFonts w:hint="eastAsia" w:ascii="宋体" w:hAnsi="宋体" w:eastAsia="宋体" w:cs="宋体"/>
          <w:b w:val="0"/>
          <w:color w:val="auto"/>
          <w:sz w:val="21"/>
          <w:szCs w:val="21"/>
          <w:highlight w:val="none"/>
        </w:rPr>
        <w:t xml:space="preserve"> </w:t>
      </w:r>
    </w:p>
    <w:p w14:paraId="1A2C89CC">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2.4.1 提供施工现场</w:t>
      </w:r>
    </w:p>
    <w:p w14:paraId="4484A8EE">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除</w:t>
      </w:r>
      <w:bookmarkEnd w:id="288"/>
      <w:r>
        <w:rPr>
          <w:rFonts w:hint="eastAsia" w:ascii="宋体" w:hAnsi="宋体" w:eastAsia="宋体" w:cs="宋体"/>
          <w:color w:val="auto"/>
          <w:kern w:val="0"/>
          <w:sz w:val="21"/>
          <w:szCs w:val="21"/>
          <w:highlight w:val="none"/>
        </w:rPr>
        <w:t>专用合同条款另有约定外，发包人应最迟于开工日期7天前向承包人移交施工现场。</w:t>
      </w:r>
    </w:p>
    <w:p w14:paraId="7E3A80F6">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2.4.2 提供施工条件</w:t>
      </w:r>
    </w:p>
    <w:p w14:paraId="5849DD03">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除专用合同条款另有约定外，发包人应负责提供施工所需要的条件，包括：</w:t>
      </w:r>
    </w:p>
    <w:p w14:paraId="6E332892">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（1）将施工用水、电力、通讯线路等施工所必需的条件接至施工现场内；</w:t>
      </w:r>
    </w:p>
    <w:p w14:paraId="1AB55954">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（2）保证向承包人提供正常施工所需要的进入施工现场的交通条件；</w:t>
      </w:r>
    </w:p>
    <w:p w14:paraId="7140B84E">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（3）协调处理施工现场周围地下管线和邻近建筑物、构筑物、古树名木的保护工作，并承担相关费用；</w:t>
      </w:r>
    </w:p>
    <w:p w14:paraId="1D519373">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（4）按照专用合同条款约定应提供的其他设施和条件。</w:t>
      </w:r>
    </w:p>
    <w:p w14:paraId="7A0ACBB8">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2.4.3 提供基础资料</w:t>
      </w:r>
    </w:p>
    <w:p w14:paraId="532B74FA">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应当在移交施工现场前向承包人提供施工现场及工程施工所必需的毗邻区域内供水、排水、供电、供气、供热、通信、广播电视等地下管线资料，气象和水文观测资料，地质勘察资料，相邻建筑物、构筑物和地下工程等有关基础资料，并对所提供资料的真实性、准确性和完整性负责。</w:t>
      </w:r>
    </w:p>
    <w:p w14:paraId="6E7271D4">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按照法律规定确需在开工后方能提供的基础资料，发包人应尽其努力及时地在相应工程施工前的合理期限内提供，合理期限应以不影响承包人的正常施工为限。</w:t>
      </w:r>
    </w:p>
    <w:p w14:paraId="5390D1DD">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2.4.4 逾期提供的责任</w:t>
      </w:r>
    </w:p>
    <w:p w14:paraId="2277AA69">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因发包人原因未能按合同约定及时向承包人提供施工现场、施工条件、基础资料的，由发包人承担由此增加的费用和（或）延误的工期。</w:t>
      </w:r>
    </w:p>
    <w:p w14:paraId="167C7461">
      <w:pPr>
        <w:pStyle w:val="8"/>
        <w:pageBreakBefore w:val="0"/>
        <w:kinsoku/>
        <w:wordWrap/>
        <w:overflowPunct/>
        <w:topLinePunct w:val="0"/>
        <w:bidi w:val="0"/>
        <w:snapToGrid/>
        <w:spacing w:before="0" w:after="0" w:line="390" w:lineRule="exact"/>
        <w:ind w:left="0" w:firstLine="420" w:firstLineChars="200"/>
        <w:textAlignment w:val="auto"/>
        <w:rPr>
          <w:rFonts w:hint="eastAsia" w:ascii="宋体" w:hAnsi="宋体" w:eastAsia="宋体" w:cs="宋体"/>
          <w:b w:val="0"/>
          <w:color w:val="auto"/>
          <w:sz w:val="21"/>
          <w:szCs w:val="21"/>
          <w:highlight w:val="none"/>
        </w:rPr>
      </w:pPr>
      <w:bookmarkStart w:id="299" w:name="_Toc351203514"/>
      <w:r>
        <w:rPr>
          <w:rFonts w:hint="eastAsia" w:ascii="宋体" w:hAnsi="宋体" w:eastAsia="宋体" w:cs="宋体"/>
          <w:b w:val="0"/>
          <w:color w:val="auto"/>
          <w:sz w:val="21"/>
          <w:szCs w:val="21"/>
          <w:highlight w:val="none"/>
        </w:rPr>
        <w:t>2</w:t>
      </w:r>
      <w:bookmarkStart w:id="300" w:name="_Toc337558745"/>
      <w:bookmarkStart w:id="301" w:name="_Toc296346543"/>
      <w:bookmarkStart w:id="302" w:name="_Toc296503042"/>
      <w:r>
        <w:rPr>
          <w:rFonts w:hint="eastAsia" w:ascii="宋体" w:hAnsi="宋体" w:eastAsia="宋体" w:cs="宋体"/>
          <w:b w:val="0"/>
          <w:color w:val="auto"/>
          <w:sz w:val="21"/>
          <w:szCs w:val="21"/>
          <w:highlight w:val="none"/>
        </w:rPr>
        <w:t>.5 资</w:t>
      </w:r>
      <w:bookmarkEnd w:id="300"/>
      <w:bookmarkEnd w:id="301"/>
      <w:bookmarkEnd w:id="302"/>
      <w:r>
        <w:rPr>
          <w:rFonts w:hint="eastAsia" w:ascii="宋体" w:hAnsi="宋体" w:eastAsia="宋体" w:cs="宋体"/>
          <w:b w:val="0"/>
          <w:color w:val="auto"/>
          <w:sz w:val="21"/>
          <w:szCs w:val="21"/>
          <w:highlight w:val="none"/>
        </w:rPr>
        <w:t>金来源证明及支付担保</w:t>
      </w:r>
      <w:bookmarkEnd w:id="299"/>
    </w:p>
    <w:p w14:paraId="71A439E9">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除专用合同条款另有约定外，发包人应在收到承包人要求提供资金来源证明的书面通知后28天内，向承包人提供能够按照合同约定支付合同价款的相应资金来源证明。</w:t>
      </w:r>
    </w:p>
    <w:p w14:paraId="0A202376">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除专用合同条款另有约定外，发包人要求承包人提供履约担保的，发包人应当向承包人提供支付担保。支付担保可以采用银行保函或担保公司担保等形式，具体由合同当事人在专用合同条款中约定。</w:t>
      </w:r>
    </w:p>
    <w:p w14:paraId="71171D85">
      <w:pPr>
        <w:pStyle w:val="8"/>
        <w:pageBreakBefore w:val="0"/>
        <w:kinsoku/>
        <w:wordWrap/>
        <w:overflowPunct/>
        <w:topLinePunct w:val="0"/>
        <w:bidi w:val="0"/>
        <w:snapToGrid/>
        <w:spacing w:before="0" w:after="0" w:line="390" w:lineRule="exact"/>
        <w:ind w:left="0" w:firstLine="420" w:firstLineChars="200"/>
        <w:textAlignment w:val="auto"/>
        <w:rPr>
          <w:rFonts w:hint="eastAsia" w:ascii="宋体" w:hAnsi="宋体" w:eastAsia="宋体" w:cs="宋体"/>
          <w:b w:val="0"/>
          <w:color w:val="auto"/>
          <w:sz w:val="21"/>
          <w:szCs w:val="21"/>
          <w:highlight w:val="none"/>
        </w:rPr>
      </w:pPr>
      <w:bookmarkStart w:id="303" w:name="_Toc351203515"/>
      <w:r>
        <w:rPr>
          <w:rFonts w:hint="eastAsia" w:ascii="宋体" w:hAnsi="宋体" w:eastAsia="宋体" w:cs="宋体"/>
          <w:b w:val="0"/>
          <w:color w:val="auto"/>
          <w:sz w:val="21"/>
          <w:szCs w:val="21"/>
          <w:highlight w:val="none"/>
        </w:rPr>
        <w:t>2.6 支付合同价款</w:t>
      </w:r>
      <w:bookmarkEnd w:id="303"/>
    </w:p>
    <w:p w14:paraId="0BDB1467">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发包人应按合同约定向承包人及时支付合同价款。</w:t>
      </w:r>
    </w:p>
    <w:p w14:paraId="6D9ECF94">
      <w:pPr>
        <w:pStyle w:val="8"/>
        <w:pageBreakBefore w:val="0"/>
        <w:kinsoku/>
        <w:wordWrap/>
        <w:overflowPunct/>
        <w:topLinePunct w:val="0"/>
        <w:bidi w:val="0"/>
        <w:snapToGrid/>
        <w:spacing w:before="0" w:after="0" w:line="390" w:lineRule="exact"/>
        <w:ind w:left="0" w:firstLine="420" w:firstLineChars="200"/>
        <w:textAlignment w:val="auto"/>
        <w:rPr>
          <w:rFonts w:hint="eastAsia" w:ascii="宋体" w:hAnsi="宋体" w:eastAsia="宋体" w:cs="宋体"/>
          <w:b w:val="0"/>
          <w:color w:val="auto"/>
          <w:sz w:val="21"/>
          <w:szCs w:val="21"/>
          <w:highlight w:val="none"/>
        </w:rPr>
      </w:pPr>
      <w:bookmarkStart w:id="304" w:name="_Toc351203516"/>
      <w:r>
        <w:rPr>
          <w:rFonts w:hint="eastAsia" w:ascii="宋体" w:hAnsi="宋体" w:eastAsia="宋体" w:cs="宋体"/>
          <w:b w:val="0"/>
          <w:color w:val="auto"/>
          <w:sz w:val="21"/>
          <w:szCs w:val="21"/>
          <w:highlight w:val="none"/>
        </w:rPr>
        <w:t>2.7 组织竣工验收</w:t>
      </w:r>
      <w:bookmarkEnd w:id="304"/>
    </w:p>
    <w:p w14:paraId="205FE74F">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发包人应按合同约定及时组织竣工验收。</w:t>
      </w:r>
    </w:p>
    <w:p w14:paraId="0FEA7871">
      <w:pPr>
        <w:pStyle w:val="8"/>
        <w:pageBreakBefore w:val="0"/>
        <w:kinsoku/>
        <w:wordWrap/>
        <w:overflowPunct/>
        <w:topLinePunct w:val="0"/>
        <w:bidi w:val="0"/>
        <w:snapToGrid/>
        <w:spacing w:before="0" w:after="0" w:line="390" w:lineRule="exact"/>
        <w:ind w:left="0" w:firstLine="420" w:firstLineChars="200"/>
        <w:textAlignment w:val="auto"/>
        <w:rPr>
          <w:rFonts w:hint="eastAsia" w:ascii="宋体" w:hAnsi="宋体" w:eastAsia="宋体" w:cs="宋体"/>
          <w:b w:val="0"/>
          <w:color w:val="auto"/>
          <w:sz w:val="21"/>
          <w:szCs w:val="21"/>
          <w:highlight w:val="none"/>
        </w:rPr>
      </w:pPr>
      <w:bookmarkStart w:id="305" w:name="_Toc351203517"/>
      <w:r>
        <w:rPr>
          <w:rFonts w:hint="eastAsia" w:ascii="宋体" w:hAnsi="宋体" w:eastAsia="宋体" w:cs="宋体"/>
          <w:b w:val="0"/>
          <w:color w:val="auto"/>
          <w:sz w:val="21"/>
          <w:szCs w:val="21"/>
          <w:highlight w:val="none"/>
        </w:rPr>
        <w:t>2.8 现场统一管理协议</w:t>
      </w:r>
      <w:bookmarkEnd w:id="305"/>
    </w:p>
    <w:p w14:paraId="21328B56">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发包人应与承包人、由发包人直接发包的专业工程的承包人签订施工现场统一管理协议，明确各方的权利义务。施工现场统一管理协议作为专用合同条款的附件。</w:t>
      </w:r>
    </w:p>
    <w:p w14:paraId="7C04635F">
      <w:pPr>
        <w:pStyle w:val="7"/>
        <w:pageBreakBefore w:val="0"/>
        <w:kinsoku/>
        <w:wordWrap/>
        <w:overflowPunct/>
        <w:topLinePunct w:val="0"/>
        <w:bidi w:val="0"/>
        <w:snapToGrid/>
        <w:spacing w:before="0" w:line="390" w:lineRule="exact"/>
        <w:ind w:left="0"/>
        <w:textAlignment w:val="auto"/>
        <w:rPr>
          <w:rFonts w:hint="eastAsia" w:ascii="宋体" w:hAnsi="宋体" w:eastAsia="宋体" w:cs="宋体"/>
          <w:b w:val="0"/>
          <w:color w:val="auto"/>
          <w:sz w:val="21"/>
          <w:szCs w:val="21"/>
          <w:highlight w:val="none"/>
        </w:rPr>
      </w:pPr>
      <w:bookmarkStart w:id="306" w:name="_Toc351203518"/>
      <w:r>
        <w:rPr>
          <w:rFonts w:hint="eastAsia" w:ascii="宋体" w:hAnsi="宋体" w:eastAsia="宋体" w:cs="宋体"/>
          <w:b w:val="0"/>
          <w:color w:val="auto"/>
          <w:sz w:val="21"/>
          <w:szCs w:val="21"/>
          <w:highlight w:val="none"/>
        </w:rPr>
        <w:t>3</w:t>
      </w:r>
      <w:bookmarkStart w:id="307" w:name="_Toc296346546"/>
      <w:bookmarkStart w:id="308" w:name="_Toc296503045"/>
      <w:bookmarkStart w:id="309" w:name="_Toc337558746"/>
      <w:r>
        <w:rPr>
          <w:rFonts w:hint="eastAsia" w:ascii="宋体" w:hAnsi="宋体" w:eastAsia="宋体" w:cs="宋体"/>
          <w:b w:val="0"/>
          <w:color w:val="auto"/>
          <w:sz w:val="21"/>
          <w:szCs w:val="21"/>
          <w:highlight w:val="none"/>
        </w:rPr>
        <w:t>. 承包人</w:t>
      </w:r>
      <w:bookmarkEnd w:id="306"/>
    </w:p>
    <w:bookmarkEnd w:id="307"/>
    <w:bookmarkEnd w:id="308"/>
    <w:bookmarkEnd w:id="309"/>
    <w:p w14:paraId="463FAC9E">
      <w:pPr>
        <w:pStyle w:val="8"/>
        <w:pageBreakBefore w:val="0"/>
        <w:kinsoku/>
        <w:wordWrap/>
        <w:overflowPunct/>
        <w:topLinePunct w:val="0"/>
        <w:bidi w:val="0"/>
        <w:snapToGrid/>
        <w:spacing w:before="0" w:after="0" w:line="390" w:lineRule="exact"/>
        <w:ind w:left="0" w:firstLine="420" w:firstLineChars="200"/>
        <w:textAlignment w:val="auto"/>
        <w:rPr>
          <w:rFonts w:hint="eastAsia" w:ascii="宋体" w:hAnsi="宋体" w:eastAsia="宋体" w:cs="宋体"/>
          <w:b w:val="0"/>
          <w:color w:val="auto"/>
          <w:sz w:val="21"/>
          <w:szCs w:val="21"/>
          <w:highlight w:val="none"/>
        </w:rPr>
      </w:pPr>
      <w:bookmarkStart w:id="310" w:name="_Toc351203519"/>
      <w:r>
        <w:rPr>
          <w:rFonts w:hint="eastAsia" w:ascii="宋体" w:hAnsi="宋体" w:eastAsia="宋体" w:cs="宋体"/>
          <w:b w:val="0"/>
          <w:color w:val="auto"/>
          <w:sz w:val="21"/>
          <w:szCs w:val="21"/>
          <w:highlight w:val="none"/>
        </w:rPr>
        <w:t>3</w:t>
      </w:r>
      <w:bookmarkStart w:id="311" w:name="_Toc296503046"/>
      <w:bookmarkStart w:id="312" w:name="_Toc337558747"/>
      <w:bookmarkStart w:id="313" w:name="_Toc296346547"/>
      <w:r>
        <w:rPr>
          <w:rFonts w:hint="eastAsia" w:ascii="宋体" w:hAnsi="宋体" w:eastAsia="宋体" w:cs="宋体"/>
          <w:b w:val="0"/>
          <w:color w:val="auto"/>
          <w:sz w:val="21"/>
          <w:szCs w:val="21"/>
          <w:highlight w:val="none"/>
        </w:rPr>
        <w:t>.1 承包人的一般义务</w:t>
      </w:r>
      <w:bookmarkEnd w:id="310"/>
    </w:p>
    <w:bookmarkEnd w:id="311"/>
    <w:bookmarkEnd w:id="312"/>
    <w:bookmarkEnd w:id="313"/>
    <w:p w14:paraId="23615408">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承包人在履行合同过程中应遵守法律和工程建设标准规范，并履行以下义务：</w:t>
      </w:r>
    </w:p>
    <w:p w14:paraId="35C77C52">
      <w:pPr>
        <w:pageBreakBefore w:val="0"/>
        <w:numPr>
          <w:ilvl w:val="0"/>
          <w:numId w:val="9"/>
        </w:numPr>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办理法律规定应由承包人办理的许可和批准，并将办理结果书面报送发包人留存；</w:t>
      </w:r>
    </w:p>
    <w:p w14:paraId="34BDD133">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（2）按法律规定和合同约定完成工程，并在保修期内承担保修义务；</w:t>
      </w:r>
    </w:p>
    <w:p w14:paraId="40CB65BE">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（3）按法律规定和合同约定采取施工安全和环境保护措施，办理工伤保险，确保工程及人员、材料、设备和设施的安全；</w:t>
      </w:r>
    </w:p>
    <w:p w14:paraId="57C5B912">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（4）按合同约定的工作内容和施工进度要求，编制施工组织设计和施工措施计划，并对所有施工作业和施工方法的完备性和安全可靠性负责；</w:t>
      </w:r>
    </w:p>
    <w:p w14:paraId="6BEF49D6">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14:paraId="397FA1AD">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（6）按照第6.3款〔环境保护〕约定负责施工场地及其周边环境与生态的保护工作；</w:t>
      </w:r>
    </w:p>
    <w:p w14:paraId="46BEFE39">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（7）按第6.1款〔安全文明施工〕约定采取施工安全措施，确保工程及其人员、材料、设备和设施的安全，防止因工程施工造成的人身伤害和财产损失；</w:t>
      </w:r>
    </w:p>
    <w:p w14:paraId="729932C6">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（8）将发包人按合同约定支付的各项价款专用于合同工程，且应及时支付其雇用人员工资，并及时向分包人支付合同价款；</w:t>
      </w:r>
    </w:p>
    <w:p w14:paraId="615861F0">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（9）按照法律规定和合同约定编制竣工资料，完成竣工资料立卷及归档，并按专用合同条款约定的竣工资料的套数、内容、时间等要求移交发包人；</w:t>
      </w:r>
    </w:p>
    <w:p w14:paraId="3F80DE30">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（10）应履行的其他义务。</w:t>
      </w:r>
    </w:p>
    <w:p w14:paraId="72119FCF">
      <w:pPr>
        <w:pStyle w:val="8"/>
        <w:pageBreakBefore w:val="0"/>
        <w:kinsoku/>
        <w:wordWrap/>
        <w:overflowPunct/>
        <w:topLinePunct w:val="0"/>
        <w:bidi w:val="0"/>
        <w:snapToGrid/>
        <w:spacing w:before="0" w:after="0" w:line="390" w:lineRule="exact"/>
        <w:ind w:left="0" w:firstLine="420" w:firstLineChars="200"/>
        <w:textAlignment w:val="auto"/>
        <w:rPr>
          <w:rFonts w:hint="eastAsia" w:ascii="宋体" w:hAnsi="宋体" w:eastAsia="宋体" w:cs="宋体"/>
          <w:b w:val="0"/>
          <w:color w:val="auto"/>
          <w:sz w:val="21"/>
          <w:szCs w:val="21"/>
          <w:highlight w:val="none"/>
        </w:rPr>
      </w:pPr>
      <w:bookmarkStart w:id="314" w:name="_Toc351203520"/>
      <w:r>
        <w:rPr>
          <w:rFonts w:hint="eastAsia" w:ascii="宋体" w:hAnsi="宋体" w:eastAsia="宋体" w:cs="宋体"/>
          <w:b w:val="0"/>
          <w:color w:val="auto"/>
          <w:sz w:val="21"/>
          <w:szCs w:val="21"/>
          <w:highlight w:val="none"/>
        </w:rPr>
        <w:t>3</w:t>
      </w:r>
      <w:bookmarkStart w:id="315" w:name="_Toc296503047"/>
      <w:bookmarkStart w:id="316" w:name="_Toc296346548"/>
      <w:bookmarkStart w:id="317" w:name="_Toc337558748"/>
      <w:r>
        <w:rPr>
          <w:rFonts w:hint="eastAsia" w:ascii="宋体" w:hAnsi="宋体" w:eastAsia="宋体" w:cs="宋体"/>
          <w:b w:val="0"/>
          <w:color w:val="auto"/>
          <w:sz w:val="21"/>
          <w:szCs w:val="21"/>
          <w:highlight w:val="none"/>
        </w:rPr>
        <w:t xml:space="preserve">.2 </w:t>
      </w:r>
      <w:bookmarkEnd w:id="314"/>
      <w:r>
        <w:rPr>
          <w:rFonts w:hint="eastAsia" w:ascii="宋体" w:hAnsi="宋体" w:eastAsia="宋体" w:cs="宋体"/>
          <w:b w:val="0"/>
          <w:color w:val="auto"/>
          <w:sz w:val="21"/>
          <w:szCs w:val="21"/>
          <w:highlight w:val="none"/>
        </w:rPr>
        <w:t>项目经理</w:t>
      </w:r>
    </w:p>
    <w:bookmarkEnd w:id="315"/>
    <w:bookmarkEnd w:id="316"/>
    <w:bookmarkEnd w:id="317"/>
    <w:p w14:paraId="11DDC3DE">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3.2.1 项目经理应为合同当事人所确认的人选，并在专用合同条款中明确项目经理的姓名、职称、注册执业证书编号、联系方式及授权范围等事项，项目经理经承包人授权后代表承包人负责履行合同。项目经理应是承包人正式聘用的员工，承包人应向发包人提交项目经理与承包人之间的劳动合同，以及承包人为项目经理缴纳社会保险的有效证明。承包人不提交上述文件的，项目经理无权履行职责，发包人有权要求更换项目经理，由此增加的费用和（或）延误的工期由承包人承担。</w:t>
      </w:r>
    </w:p>
    <w:p w14:paraId="3799A620">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项目经理应常驻施工现场，且每月在施工现场时间不得少于专用合同条款约定的天数。项目经理不得同时担任其他项目的项目经理。项目经理确需离开施工现场时，应事先通知监理人，并取得发包人的书面同意。项目经理的通知中应当载明临时代行其职责的人员的注册执业资格、管理经验等资料，该人员应具备履行相应职责的能力。</w:t>
      </w:r>
    </w:p>
    <w:p w14:paraId="1A69DDB6">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承包人违反上述约定的，应按照专用合同条款的约定，承担违约责任。</w:t>
      </w:r>
    </w:p>
    <w:p w14:paraId="7D81FBCE">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3.2.2 项目经理按合同约定组织工程实施。在紧急情况下为确保施工安全和人员安全，在无法与发包人代表和总监理工程师及时取得联系时，项目经理有权采取必要的措施保证与工程有关的人身、财产和工程的安全，但应在48小时内向发包人代表和总监理工程师提交书面报告。</w:t>
      </w:r>
    </w:p>
    <w:p w14:paraId="1333F845">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3.2.3 承包人需要更换项目经理的，应提前14天书面通知发包人和监理人，并征得发包人书面同意。通知中应当载明继任项目经理的注册执业资格、管理经验等资料，继任项目经理继续履行第3.2.1项约定的职责。未经发包人书面同意，承包人不得擅自更换项目经理。承包人擅自更换项目经理的，应按照专用合同条款的约定承担违约责任。</w:t>
      </w:r>
    </w:p>
    <w:p w14:paraId="51DE908C">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3.2.4 发包人有权书面通知承包人更换其认为不称职的项目经理，通知中应当载明要求更换的理由。承包人应在接到更换通知后14天内向发包人提出书面的改进报告。发包人收到改进报告后仍要求更换的，承包人应在接到第二次更换通知的28天内进行更换，并将新任命的项目经理的注册执业资格、管理经验等资料书面通知发包人。继任项目经理继续履行第3.2.1项约定的职责。承包人无正当理由拒绝更换项目经理的，应按照专用合同条款的约定承担违约责任。</w:t>
      </w:r>
    </w:p>
    <w:p w14:paraId="519D3E96">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3.2.5 项目经理因特殊情况授权其下属人员履行其某项工作职责的，该下属人员应具备履行相应职责的能力，并应提前7天将上述人员的姓名和授权范围书面通知监理人，并征得发包人书面同意。</w:t>
      </w:r>
    </w:p>
    <w:p w14:paraId="6667F058">
      <w:pPr>
        <w:pStyle w:val="8"/>
        <w:pageBreakBefore w:val="0"/>
        <w:kinsoku/>
        <w:wordWrap/>
        <w:overflowPunct/>
        <w:topLinePunct w:val="0"/>
        <w:bidi w:val="0"/>
        <w:snapToGrid/>
        <w:spacing w:before="0" w:after="0" w:line="390" w:lineRule="exact"/>
        <w:ind w:left="0" w:firstLine="420" w:firstLineChars="200"/>
        <w:textAlignment w:val="auto"/>
        <w:rPr>
          <w:rFonts w:hint="eastAsia" w:ascii="宋体" w:hAnsi="宋体" w:eastAsia="宋体" w:cs="宋体"/>
          <w:b w:val="0"/>
          <w:color w:val="auto"/>
          <w:sz w:val="21"/>
          <w:szCs w:val="21"/>
          <w:highlight w:val="none"/>
        </w:rPr>
      </w:pPr>
      <w:bookmarkStart w:id="318" w:name="_Toc351203521"/>
      <w:r>
        <w:rPr>
          <w:rFonts w:hint="eastAsia" w:ascii="宋体" w:hAnsi="宋体" w:eastAsia="宋体" w:cs="宋体"/>
          <w:b w:val="0"/>
          <w:color w:val="auto"/>
          <w:sz w:val="21"/>
          <w:szCs w:val="21"/>
          <w:highlight w:val="none"/>
        </w:rPr>
        <w:t>3</w:t>
      </w:r>
      <w:bookmarkStart w:id="319" w:name="_Toc296346549"/>
      <w:bookmarkStart w:id="320" w:name="_Toc296503048"/>
      <w:bookmarkStart w:id="321" w:name="_Toc337558749"/>
      <w:r>
        <w:rPr>
          <w:rFonts w:hint="eastAsia" w:ascii="宋体" w:hAnsi="宋体" w:eastAsia="宋体" w:cs="宋体"/>
          <w:b w:val="0"/>
          <w:color w:val="auto"/>
          <w:sz w:val="21"/>
          <w:szCs w:val="21"/>
          <w:highlight w:val="none"/>
        </w:rPr>
        <w:t xml:space="preserve">.3 </w:t>
      </w:r>
      <w:bookmarkEnd w:id="319"/>
      <w:bookmarkEnd w:id="320"/>
      <w:r>
        <w:rPr>
          <w:rFonts w:hint="eastAsia" w:ascii="宋体" w:hAnsi="宋体" w:eastAsia="宋体" w:cs="宋体"/>
          <w:b w:val="0"/>
          <w:color w:val="auto"/>
          <w:sz w:val="21"/>
          <w:szCs w:val="21"/>
          <w:highlight w:val="none"/>
        </w:rPr>
        <w:t>承包人人员</w:t>
      </w:r>
      <w:bookmarkEnd w:id="318"/>
    </w:p>
    <w:bookmarkEnd w:id="321"/>
    <w:p w14:paraId="2E24B3A2">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3.3.1 除专用合同条款另有约定外，承包人应在接到开工通知后7天内，向监理人提交承包人项目管理机构及施工现场人员安排的报告，其内容应包括合同管理、施工、技术、材料、质量、安全、财务等主要施工管理人员名单及其岗位、注册执业资格等，以及各工种技术工人的安排情况，并同时提交主要施工管理人员与承包人之间的劳动关系证明和缴纳社会保险的有效证明。</w:t>
      </w:r>
    </w:p>
    <w:p w14:paraId="35403E95">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3.3.2 承包人派驻到施工现场的主要施工管理人员应相对稳定。施工过程中如有变动，承包人应及时向监理人提交施工现场人员变动情况的报告。承包人更换主要施工管理人员时，应提前7天书面通知监理人，并征得发包人书面同意。通知中应当载明继任人员的注册执业资格、管理经验等资料。</w:t>
      </w:r>
    </w:p>
    <w:p w14:paraId="1463C917">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特殊工种作业人员均应持有相应的资格证明，监理人可以随时检查。</w:t>
      </w:r>
    </w:p>
    <w:p w14:paraId="7B6DFB78">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3.3.3 发包人对于承包人主要施工管理人员的资格或能力有异议的，承包人应提供资料证明被质疑人员有能力完成其岗位工作或不存在发包人所质疑的情形。发包人要求撤换不能按照合同约定履行职责及义务的主要施工管理人员的，承包人应当撤换。承包人无正当理由拒绝撤换的，应按照专用合同条款的约定承担违约责任。</w:t>
      </w:r>
    </w:p>
    <w:p w14:paraId="489C379F">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3.3.4 除专用合同条款另有约定外，承包人的主要施工管理人员离开施工现场每月累计不超过5天的，应报监理人同意；离开施工现场每月累计超过5天的，应通知监理人，并征得发包人书面同意。主要施工管理人员离开施工现场前应指定一名有经验的人员临时代行其职责，该人员应具备履行相应职责的资格和能力，且应征得监理人或发包人的同意。</w:t>
      </w:r>
    </w:p>
    <w:p w14:paraId="72B1835B">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3.3.5 承包人擅自更换主要施工管理人员，或前述人员未经监理人或发包人同意擅自离开施工现场的，应按照专用合同条款约定承担违约责任。</w:t>
      </w:r>
    </w:p>
    <w:p w14:paraId="1EEF801F">
      <w:pPr>
        <w:pStyle w:val="8"/>
        <w:pageBreakBefore w:val="0"/>
        <w:kinsoku/>
        <w:wordWrap/>
        <w:overflowPunct/>
        <w:topLinePunct w:val="0"/>
        <w:bidi w:val="0"/>
        <w:snapToGrid/>
        <w:spacing w:before="0" w:after="0" w:line="390" w:lineRule="exact"/>
        <w:ind w:left="0" w:firstLine="420" w:firstLineChars="200"/>
        <w:textAlignment w:val="auto"/>
        <w:rPr>
          <w:rFonts w:hint="eastAsia" w:ascii="宋体" w:hAnsi="宋体" w:eastAsia="宋体" w:cs="宋体"/>
          <w:b w:val="0"/>
          <w:color w:val="auto"/>
          <w:sz w:val="21"/>
          <w:szCs w:val="21"/>
          <w:highlight w:val="none"/>
        </w:rPr>
      </w:pPr>
      <w:bookmarkStart w:id="322" w:name="_Toc351203522"/>
      <w:r>
        <w:rPr>
          <w:rFonts w:hint="eastAsia" w:ascii="宋体" w:hAnsi="宋体" w:eastAsia="宋体" w:cs="宋体"/>
          <w:b w:val="0"/>
          <w:color w:val="auto"/>
          <w:sz w:val="21"/>
          <w:szCs w:val="21"/>
          <w:highlight w:val="none"/>
        </w:rPr>
        <w:t>3</w:t>
      </w:r>
      <w:bookmarkStart w:id="323" w:name="_Toc296346551"/>
      <w:bookmarkStart w:id="324" w:name="_Toc337558750"/>
      <w:bookmarkStart w:id="325" w:name="_Toc296503050"/>
      <w:r>
        <w:rPr>
          <w:rFonts w:hint="eastAsia" w:ascii="宋体" w:hAnsi="宋体" w:eastAsia="宋体" w:cs="宋体"/>
          <w:b w:val="0"/>
          <w:color w:val="auto"/>
          <w:sz w:val="21"/>
          <w:szCs w:val="21"/>
          <w:highlight w:val="none"/>
        </w:rPr>
        <w:t>.4 承包人现场查勘</w:t>
      </w:r>
      <w:bookmarkEnd w:id="322"/>
    </w:p>
    <w:bookmarkEnd w:id="323"/>
    <w:bookmarkEnd w:id="324"/>
    <w:bookmarkEnd w:id="325"/>
    <w:p w14:paraId="37C6C580">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承包人应对基于发包人按照第2.4.3项〔提供基础资料〕提交的基础资料所做出的解释和推断负责，但因基础资料存在错误、遗漏导致承包人解释或推断失实的，由发包人承担责任。</w:t>
      </w:r>
    </w:p>
    <w:p w14:paraId="02470C9A">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应对施工现场和施工条件进行查勘，并充分了解工程所在地的气象条件、交通条件、风俗习惯以及其他与完成合同工作有关的其他资料。因承包人未能充分查勘、了解前述情况或未能充分估计前述情况所可能产生后果的，承包人承担由此增加的费用和（或）延误的工期。</w:t>
      </w:r>
    </w:p>
    <w:p w14:paraId="5BB14102">
      <w:pPr>
        <w:pStyle w:val="8"/>
        <w:pageBreakBefore w:val="0"/>
        <w:kinsoku/>
        <w:wordWrap/>
        <w:overflowPunct/>
        <w:topLinePunct w:val="0"/>
        <w:bidi w:val="0"/>
        <w:snapToGrid/>
        <w:spacing w:before="0" w:after="0" w:line="390" w:lineRule="exact"/>
        <w:ind w:left="0" w:firstLine="420" w:firstLineChars="200"/>
        <w:textAlignment w:val="auto"/>
        <w:rPr>
          <w:rFonts w:hint="eastAsia" w:ascii="宋体" w:hAnsi="宋体" w:eastAsia="宋体" w:cs="宋体"/>
          <w:b w:val="0"/>
          <w:color w:val="auto"/>
          <w:sz w:val="21"/>
          <w:szCs w:val="21"/>
          <w:highlight w:val="none"/>
        </w:rPr>
      </w:pPr>
      <w:bookmarkStart w:id="326" w:name="_Toc351203523"/>
      <w:r>
        <w:rPr>
          <w:rFonts w:hint="eastAsia" w:ascii="宋体" w:hAnsi="宋体" w:eastAsia="宋体" w:cs="宋体"/>
          <w:b w:val="0"/>
          <w:color w:val="auto"/>
          <w:sz w:val="21"/>
          <w:szCs w:val="21"/>
          <w:highlight w:val="none"/>
        </w:rPr>
        <w:t>3</w:t>
      </w:r>
      <w:bookmarkStart w:id="327" w:name="_Toc337558751"/>
      <w:bookmarkStart w:id="328" w:name="_Toc296346552"/>
      <w:bookmarkStart w:id="329" w:name="_Toc296503051"/>
      <w:r>
        <w:rPr>
          <w:rFonts w:hint="eastAsia" w:ascii="宋体" w:hAnsi="宋体" w:eastAsia="宋体" w:cs="宋体"/>
          <w:b w:val="0"/>
          <w:color w:val="auto"/>
          <w:sz w:val="21"/>
          <w:szCs w:val="21"/>
          <w:highlight w:val="none"/>
        </w:rPr>
        <w:t>.5 分包</w:t>
      </w:r>
      <w:bookmarkEnd w:id="326"/>
    </w:p>
    <w:bookmarkEnd w:id="327"/>
    <w:bookmarkEnd w:id="328"/>
    <w:bookmarkEnd w:id="329"/>
    <w:p w14:paraId="00703854">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3.5.1 分包的一般约定</w:t>
      </w:r>
    </w:p>
    <w:p w14:paraId="693050F5">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不得将其承包的全部工程转包给第三人，或将其承包的全部工程肢解后以分包的名义转包给第三人。承包人不得将工程主体结构、关键性工作及专用合同条款中禁止分包的专业工程分包给第三人，主体结构、关键性工作的范围由合同当事人按照法律规定在专用合同条款中予以明确。</w:t>
      </w:r>
    </w:p>
    <w:p w14:paraId="741905A1">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承包人不得以劳务分包的名义转包或违法分包工程。</w:t>
      </w:r>
    </w:p>
    <w:p w14:paraId="2DFD7EF5">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3.5.2 分包的确定</w:t>
      </w:r>
    </w:p>
    <w:p w14:paraId="1519C66A">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应按专用合同条款的约定进行分包，确定分包人。已标价工程量清单或预算书中给定暂估价的专业工程，按照第10.7款〔暂估价〕确定分包人。按照合同约定进行分包的，承包人应确保分包人具有相应的资质和能力。工程分包不减轻或免除承包人的责任和义务，承包人和分包人就分包工程向发包人承担连带责任。除合同另有约定外，承包人应在分包合同签订后7天内向发包人和监理人提交分包合同副本。</w:t>
      </w:r>
    </w:p>
    <w:p w14:paraId="574D62DC">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3.5.3 分包管理</w:t>
      </w:r>
    </w:p>
    <w:p w14:paraId="4605F436">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承包人应向监理人提交分包人的主要施工管理人员表，并对分包人的施工人员进行实名制管理，包括但不限于进出场管理、登记造册以及各种证照的办理。</w:t>
      </w:r>
    </w:p>
    <w:p w14:paraId="6DC792C1">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3.5.4 分包合同价款</w:t>
      </w:r>
    </w:p>
    <w:p w14:paraId="211B2DDA">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（1）除本项第（2）目约定的情况或专用合同条款另有约定外，分包合同价款由承包人与分包人结算，未经承包人同意，发包人不得向分包人支付分包工程价款；</w:t>
      </w:r>
    </w:p>
    <w:p w14:paraId="4D3A6923">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（2）生效法律文书要求发包人向分包人支付分包合同价款的，发包人有权从应付承包人工程款中扣除该部分款项。</w:t>
      </w:r>
    </w:p>
    <w:p w14:paraId="71162F0E">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3.5.5 分包合同权益的转让</w:t>
      </w:r>
    </w:p>
    <w:p w14:paraId="4E5D9D04">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分包人在分包合同项下的义务持续到缺陷责任期届满以后的，发包人有权在缺陷责任期届满前，要求承包人将其在分包合同项下的权益转让给发包人，承包人应当转让。除转让合同另有约定外，转让合同生效后，由分包人向发包人履行义务。</w:t>
      </w:r>
      <w:bookmarkStart w:id="330" w:name="_Toc351203524"/>
    </w:p>
    <w:p w14:paraId="2D491E9C">
      <w:pPr>
        <w:pStyle w:val="8"/>
        <w:pageBreakBefore w:val="0"/>
        <w:kinsoku/>
        <w:wordWrap/>
        <w:overflowPunct/>
        <w:topLinePunct w:val="0"/>
        <w:bidi w:val="0"/>
        <w:snapToGrid/>
        <w:spacing w:before="0" w:after="0" w:line="390" w:lineRule="exact"/>
        <w:ind w:left="0" w:firstLine="420" w:firstLineChars="200"/>
        <w:textAlignment w:val="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3.6 工程照管与成品、半成品保护</w:t>
      </w:r>
      <w:bookmarkEnd w:id="330"/>
    </w:p>
    <w:p w14:paraId="42E18912">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（1）除专用合同条款另有约定外，自发包人向承包人移交施工现场之日起，承包人应负责照管工程及工程相关的材料、工程设备，直到颁发工程接收证书之日止。</w:t>
      </w:r>
    </w:p>
    <w:p w14:paraId="000112DA">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（2）在承包人负责照管期间，因承包人原因造成工程、材料、工程设备损坏的，由承包人负责修复或更换，并承担由此增加的费用和（或）延误的工期。</w:t>
      </w:r>
    </w:p>
    <w:p w14:paraId="02F56A81">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（3）对合同内分期完成的成品和半成品，在工程接收证书颁发前，由承包人承担保护责任。因承包人原因造成成品或半成品损坏的，由承包人负责修复或更换，并承担由此增加的费用和（或）延误的工期。</w:t>
      </w:r>
    </w:p>
    <w:p w14:paraId="7A6DA1A3">
      <w:pPr>
        <w:pStyle w:val="8"/>
        <w:pageBreakBefore w:val="0"/>
        <w:kinsoku/>
        <w:wordWrap/>
        <w:overflowPunct/>
        <w:topLinePunct w:val="0"/>
        <w:bidi w:val="0"/>
        <w:snapToGrid/>
        <w:spacing w:before="0" w:after="0" w:line="390" w:lineRule="exact"/>
        <w:ind w:left="0" w:firstLine="420" w:firstLineChars="200"/>
        <w:textAlignment w:val="auto"/>
        <w:rPr>
          <w:rFonts w:hint="eastAsia" w:ascii="宋体" w:hAnsi="宋体" w:eastAsia="宋体" w:cs="宋体"/>
          <w:b w:val="0"/>
          <w:color w:val="auto"/>
          <w:sz w:val="21"/>
          <w:szCs w:val="21"/>
          <w:highlight w:val="none"/>
        </w:rPr>
      </w:pPr>
      <w:bookmarkStart w:id="331" w:name="_Toc351203525"/>
      <w:r>
        <w:rPr>
          <w:rFonts w:hint="eastAsia" w:ascii="宋体" w:hAnsi="宋体" w:eastAsia="宋体" w:cs="宋体"/>
          <w:b w:val="0"/>
          <w:color w:val="auto"/>
          <w:sz w:val="21"/>
          <w:szCs w:val="21"/>
          <w:highlight w:val="none"/>
        </w:rPr>
        <w:t>3</w:t>
      </w:r>
      <w:bookmarkStart w:id="332" w:name="_Toc337558752"/>
      <w:bookmarkStart w:id="333" w:name="_Toc296346553"/>
      <w:bookmarkStart w:id="334" w:name="_Toc296503052"/>
      <w:r>
        <w:rPr>
          <w:rFonts w:hint="eastAsia" w:ascii="宋体" w:hAnsi="宋体" w:eastAsia="宋体" w:cs="宋体"/>
          <w:b w:val="0"/>
          <w:color w:val="auto"/>
          <w:sz w:val="21"/>
          <w:szCs w:val="21"/>
          <w:highlight w:val="none"/>
        </w:rPr>
        <w:t>.7 履约担保</w:t>
      </w:r>
      <w:bookmarkEnd w:id="331"/>
    </w:p>
    <w:bookmarkEnd w:id="332"/>
    <w:bookmarkEnd w:id="333"/>
    <w:bookmarkEnd w:id="334"/>
    <w:p w14:paraId="224AA9CE">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发包人需要承包人提供履约担保的，由合同当事人在专用合同条款中约定履约担保的方式、金额及期限等。履约担保可以采用银行保函或担保公司担保等形式，具体由合同当事人在专用合同条款中约定。</w:t>
      </w:r>
    </w:p>
    <w:p w14:paraId="0FBA23EA">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因承包人原因导致工期延长的，继续提供履约担保所增加的费用由承包人承担；非因承包人原因导致工期延长的，继续提供履约担保所增加的费用由发包人承担。</w:t>
      </w:r>
    </w:p>
    <w:p w14:paraId="5542F5D5">
      <w:pPr>
        <w:pStyle w:val="8"/>
        <w:pageBreakBefore w:val="0"/>
        <w:kinsoku/>
        <w:wordWrap/>
        <w:overflowPunct/>
        <w:topLinePunct w:val="0"/>
        <w:bidi w:val="0"/>
        <w:snapToGrid/>
        <w:spacing w:before="0" w:after="0" w:line="390" w:lineRule="exact"/>
        <w:ind w:left="0" w:firstLine="420" w:firstLineChars="200"/>
        <w:textAlignment w:val="auto"/>
        <w:rPr>
          <w:rFonts w:hint="eastAsia" w:ascii="宋体" w:hAnsi="宋体" w:eastAsia="宋体" w:cs="宋体"/>
          <w:b w:val="0"/>
          <w:color w:val="auto"/>
          <w:sz w:val="21"/>
          <w:szCs w:val="21"/>
          <w:highlight w:val="none"/>
        </w:rPr>
      </w:pPr>
      <w:bookmarkStart w:id="335" w:name="_Toc351203526"/>
      <w:r>
        <w:rPr>
          <w:rFonts w:hint="eastAsia" w:ascii="宋体" w:hAnsi="宋体" w:eastAsia="宋体" w:cs="宋体"/>
          <w:b w:val="0"/>
          <w:color w:val="auto"/>
          <w:sz w:val="21"/>
          <w:szCs w:val="21"/>
          <w:highlight w:val="none"/>
        </w:rPr>
        <w:t>3.8 联合体</w:t>
      </w:r>
      <w:bookmarkEnd w:id="335"/>
    </w:p>
    <w:p w14:paraId="07C88EBB">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3.8.1 联合体各方应共同与发包人签订合同协议书。联合体各方应为履行合同向发包人承担连带责任。</w:t>
      </w:r>
    </w:p>
    <w:p w14:paraId="6BC7E346">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3.8.2 联合体协议经发包人确认后作为合同附件。在履行合同过程中，未经发包人同意，不得修改联合体协议。</w:t>
      </w:r>
    </w:p>
    <w:p w14:paraId="1E7D36EF">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3.8.3 联合体牵头人负责与发包人和监理人联系，并接受指示，负责组织联合体各成员全面履行合同。</w:t>
      </w:r>
    </w:p>
    <w:p w14:paraId="69277A0B">
      <w:pPr>
        <w:pStyle w:val="7"/>
        <w:pageBreakBefore w:val="0"/>
        <w:kinsoku/>
        <w:wordWrap/>
        <w:overflowPunct/>
        <w:topLinePunct w:val="0"/>
        <w:bidi w:val="0"/>
        <w:snapToGrid/>
        <w:spacing w:before="0" w:line="390" w:lineRule="exact"/>
        <w:ind w:left="0"/>
        <w:textAlignment w:val="auto"/>
        <w:rPr>
          <w:rFonts w:hint="eastAsia" w:ascii="宋体" w:hAnsi="宋体" w:eastAsia="宋体" w:cs="宋体"/>
          <w:b w:val="0"/>
          <w:color w:val="auto"/>
          <w:sz w:val="21"/>
          <w:szCs w:val="21"/>
          <w:highlight w:val="none"/>
        </w:rPr>
      </w:pPr>
      <w:bookmarkStart w:id="336" w:name="_Toc351203527"/>
      <w:r>
        <w:rPr>
          <w:rFonts w:hint="eastAsia" w:ascii="宋体" w:hAnsi="宋体" w:eastAsia="宋体" w:cs="宋体"/>
          <w:b w:val="0"/>
          <w:color w:val="auto"/>
          <w:sz w:val="21"/>
          <w:szCs w:val="21"/>
          <w:highlight w:val="none"/>
        </w:rPr>
        <w:t>4</w:t>
      </w:r>
      <w:bookmarkStart w:id="337" w:name="_Toc296503053"/>
      <w:bookmarkStart w:id="338" w:name="_Toc296346554"/>
      <w:bookmarkStart w:id="339" w:name="_Toc337558753"/>
      <w:r>
        <w:rPr>
          <w:rFonts w:hint="eastAsia" w:ascii="宋体" w:hAnsi="宋体" w:eastAsia="宋体" w:cs="宋体"/>
          <w:b w:val="0"/>
          <w:color w:val="auto"/>
          <w:sz w:val="21"/>
          <w:szCs w:val="21"/>
          <w:highlight w:val="none"/>
        </w:rPr>
        <w:t>. 监</w:t>
      </w:r>
      <w:bookmarkEnd w:id="337"/>
      <w:bookmarkEnd w:id="338"/>
      <w:r>
        <w:rPr>
          <w:rFonts w:hint="eastAsia" w:ascii="宋体" w:hAnsi="宋体" w:eastAsia="宋体" w:cs="宋体"/>
          <w:b w:val="0"/>
          <w:color w:val="auto"/>
          <w:sz w:val="21"/>
          <w:szCs w:val="21"/>
          <w:highlight w:val="none"/>
        </w:rPr>
        <w:t>理人</w:t>
      </w:r>
      <w:bookmarkEnd w:id="336"/>
    </w:p>
    <w:bookmarkEnd w:id="339"/>
    <w:p w14:paraId="389FC5E1">
      <w:pPr>
        <w:pStyle w:val="8"/>
        <w:pageBreakBefore w:val="0"/>
        <w:kinsoku/>
        <w:wordWrap/>
        <w:overflowPunct/>
        <w:topLinePunct w:val="0"/>
        <w:bidi w:val="0"/>
        <w:snapToGrid/>
        <w:spacing w:before="0" w:after="0" w:line="390" w:lineRule="exact"/>
        <w:ind w:left="0" w:firstLine="420" w:firstLineChars="200"/>
        <w:textAlignment w:val="auto"/>
        <w:rPr>
          <w:rFonts w:hint="eastAsia" w:ascii="宋体" w:hAnsi="宋体" w:eastAsia="宋体" w:cs="宋体"/>
          <w:b w:val="0"/>
          <w:color w:val="auto"/>
          <w:sz w:val="21"/>
          <w:szCs w:val="21"/>
          <w:highlight w:val="none"/>
        </w:rPr>
      </w:pPr>
      <w:bookmarkStart w:id="340" w:name="_Toc351203528"/>
      <w:r>
        <w:rPr>
          <w:rFonts w:hint="eastAsia" w:ascii="宋体" w:hAnsi="宋体" w:eastAsia="宋体" w:cs="宋体"/>
          <w:b w:val="0"/>
          <w:color w:val="auto"/>
          <w:sz w:val="21"/>
          <w:szCs w:val="21"/>
          <w:highlight w:val="none"/>
        </w:rPr>
        <w:t>4</w:t>
      </w:r>
      <w:bookmarkStart w:id="341" w:name="_Toc296346555"/>
      <w:bookmarkStart w:id="342" w:name="_Toc337558754"/>
      <w:bookmarkStart w:id="343" w:name="_Toc296503054"/>
      <w:r>
        <w:rPr>
          <w:rFonts w:hint="eastAsia" w:ascii="宋体" w:hAnsi="宋体" w:eastAsia="宋体" w:cs="宋体"/>
          <w:b w:val="0"/>
          <w:color w:val="auto"/>
          <w:sz w:val="21"/>
          <w:szCs w:val="21"/>
          <w:highlight w:val="none"/>
        </w:rPr>
        <w:t>.1监理人的一般规定</w:t>
      </w:r>
      <w:bookmarkEnd w:id="340"/>
    </w:p>
    <w:bookmarkEnd w:id="341"/>
    <w:bookmarkEnd w:id="342"/>
    <w:bookmarkEnd w:id="343"/>
    <w:p w14:paraId="2B29C0D0">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工程实行监理的，发包人和承包人应在专用合同条款中明确监理人的监理内容及监理权限等事项。监理人应当根据发包人授权及法律规定，代表发包人对工程施工相关事项进行检查、查验、审核、验收，并签发相关指示，但监理人无权修改合同，且无权减轻或免除合同约定的承包人的任何责任与义务。</w:t>
      </w:r>
    </w:p>
    <w:p w14:paraId="22A77CE2">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除专用合同条款另有约定外，监理人在施工现场的办公场所、生活场所由承包人提供，所发生的费用由发包人承担。</w:t>
      </w:r>
    </w:p>
    <w:p w14:paraId="6F4FE03A">
      <w:pPr>
        <w:pStyle w:val="8"/>
        <w:pageBreakBefore w:val="0"/>
        <w:kinsoku/>
        <w:wordWrap/>
        <w:overflowPunct/>
        <w:topLinePunct w:val="0"/>
        <w:bidi w:val="0"/>
        <w:snapToGrid/>
        <w:spacing w:before="0" w:after="0" w:line="390" w:lineRule="exact"/>
        <w:ind w:left="0" w:firstLine="420" w:firstLineChars="200"/>
        <w:textAlignment w:val="auto"/>
        <w:rPr>
          <w:rFonts w:hint="eastAsia" w:ascii="宋体" w:hAnsi="宋体" w:eastAsia="宋体" w:cs="宋体"/>
          <w:b w:val="0"/>
          <w:color w:val="auto"/>
          <w:sz w:val="21"/>
          <w:szCs w:val="21"/>
          <w:highlight w:val="none"/>
        </w:rPr>
      </w:pPr>
      <w:bookmarkStart w:id="344" w:name="_Toc351203529"/>
      <w:r>
        <w:rPr>
          <w:rFonts w:hint="eastAsia" w:ascii="宋体" w:hAnsi="宋体" w:eastAsia="宋体" w:cs="宋体"/>
          <w:b w:val="0"/>
          <w:color w:val="auto"/>
          <w:sz w:val="21"/>
          <w:szCs w:val="21"/>
          <w:highlight w:val="none"/>
        </w:rPr>
        <w:t>4</w:t>
      </w:r>
      <w:bookmarkStart w:id="345" w:name="_Toc337558755"/>
      <w:r>
        <w:rPr>
          <w:rFonts w:hint="eastAsia" w:ascii="宋体" w:hAnsi="宋体" w:eastAsia="宋体" w:cs="宋体"/>
          <w:b w:val="0"/>
          <w:color w:val="auto"/>
          <w:sz w:val="21"/>
          <w:szCs w:val="21"/>
          <w:highlight w:val="none"/>
        </w:rPr>
        <w:t>.2监理人员</w:t>
      </w:r>
      <w:bookmarkEnd w:id="344"/>
    </w:p>
    <w:bookmarkEnd w:id="345"/>
    <w:p w14:paraId="0F32100B">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授予监理人对工程实施监理的权利由监理人派驻施工现场的监理人员行使，监理人员包括总监理工程师及监理工程师。监理人应将授权的总监理工程师和监理工程师的姓名及授权范围以书面形式提前通知承包人。更换总监理工程师的，监理人应提前7天书面通知承包人；更换其他监理人员，监理人应提前48小时书面通知承包人。</w:t>
      </w:r>
    </w:p>
    <w:p w14:paraId="2B605B44">
      <w:pPr>
        <w:pStyle w:val="8"/>
        <w:pageBreakBefore w:val="0"/>
        <w:kinsoku/>
        <w:wordWrap/>
        <w:overflowPunct/>
        <w:topLinePunct w:val="0"/>
        <w:bidi w:val="0"/>
        <w:snapToGrid/>
        <w:spacing w:before="0" w:after="0" w:line="390" w:lineRule="exact"/>
        <w:ind w:left="0" w:firstLine="420" w:firstLineChars="200"/>
        <w:textAlignment w:val="auto"/>
        <w:rPr>
          <w:rFonts w:hint="eastAsia" w:ascii="宋体" w:hAnsi="宋体" w:eastAsia="宋体" w:cs="宋体"/>
          <w:b w:val="0"/>
          <w:color w:val="auto"/>
          <w:sz w:val="21"/>
          <w:szCs w:val="21"/>
          <w:highlight w:val="none"/>
        </w:rPr>
      </w:pPr>
      <w:bookmarkStart w:id="346" w:name="_Toc351203530"/>
      <w:r>
        <w:rPr>
          <w:rFonts w:hint="eastAsia" w:ascii="宋体" w:hAnsi="宋体" w:eastAsia="宋体" w:cs="宋体"/>
          <w:b w:val="0"/>
          <w:color w:val="auto"/>
          <w:sz w:val="21"/>
          <w:szCs w:val="21"/>
          <w:highlight w:val="none"/>
        </w:rPr>
        <w:t>4</w:t>
      </w:r>
      <w:bookmarkStart w:id="347" w:name="_Toc296346556"/>
      <w:bookmarkStart w:id="348" w:name="_Toc296503055"/>
      <w:bookmarkStart w:id="349" w:name="_Toc337558756"/>
      <w:r>
        <w:rPr>
          <w:rFonts w:hint="eastAsia" w:ascii="宋体" w:hAnsi="宋体" w:eastAsia="宋体" w:cs="宋体"/>
          <w:b w:val="0"/>
          <w:color w:val="auto"/>
          <w:sz w:val="21"/>
          <w:szCs w:val="21"/>
          <w:highlight w:val="none"/>
        </w:rPr>
        <w:t>.3</w:t>
      </w:r>
      <w:bookmarkEnd w:id="347"/>
      <w:bookmarkEnd w:id="348"/>
      <w:r>
        <w:rPr>
          <w:rFonts w:hint="eastAsia" w:ascii="宋体" w:hAnsi="宋体" w:eastAsia="宋体" w:cs="宋体"/>
          <w:b w:val="0"/>
          <w:color w:val="auto"/>
          <w:sz w:val="21"/>
          <w:szCs w:val="21"/>
          <w:highlight w:val="none"/>
        </w:rPr>
        <w:t>监理人的指</w:t>
      </w:r>
      <w:bookmarkEnd w:id="349"/>
      <w:r>
        <w:rPr>
          <w:rFonts w:hint="eastAsia" w:ascii="宋体" w:hAnsi="宋体" w:eastAsia="宋体" w:cs="宋体"/>
          <w:b w:val="0"/>
          <w:color w:val="auto"/>
          <w:sz w:val="21"/>
          <w:szCs w:val="21"/>
          <w:highlight w:val="none"/>
        </w:rPr>
        <w:t>示</w:t>
      </w:r>
      <w:bookmarkEnd w:id="346"/>
    </w:p>
    <w:p w14:paraId="024AC228">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监理人应按照发包人的授权发出监理指示。监理人的指示应采用书面形式，并经其授权的监理人员签字。紧急情况下，为了保证施工人员的安全或避免工程受损，监理人员可以口头形式发出指示，该指示与书面形式的指示具有同等法律效力，但必须在发出口头指示后24小时内补发书面监理指示，补发的书面监理指示应与口头指示一致。</w:t>
      </w:r>
    </w:p>
    <w:p w14:paraId="2DD83FA9">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监理人发出的指示应送达承包人项目经理或经项目经理授权接收的人员。因监理人未能按合同约定发出指示、指示延误或发出了错误指示而导致承包人费用增加和（或）工期延误的，由发包人承担相应责任。除专用合同条款另有约定外，总监理工程师不应将第4.4款〔商定或确定〕约定应由总监理工程师作出确定的权力授权或委托给其他监理人员。</w:t>
      </w:r>
    </w:p>
    <w:p w14:paraId="18B40D6B">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承包人对监理人发出的指示有疑问的，应向监理人提出书面异议，监理人应在48小时内对该指示予以确认、更改或撤销，监理人逾期未回复的，承包人有权拒绝执行上述指示。</w:t>
      </w:r>
    </w:p>
    <w:p w14:paraId="1E3EB8CA">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监理人对承包人的任何工作、工程或其采用的材料和工程设备未在约定的或合理期限内提出意见的，视为批准，但不免除或减轻承包人对该工作、工程、材料、工程设备等应承担的责任和义务。</w:t>
      </w:r>
    </w:p>
    <w:p w14:paraId="6467D21F">
      <w:pPr>
        <w:pStyle w:val="7"/>
        <w:pageBreakBefore w:val="0"/>
        <w:kinsoku/>
        <w:wordWrap/>
        <w:overflowPunct/>
        <w:topLinePunct w:val="0"/>
        <w:bidi w:val="0"/>
        <w:snapToGrid/>
        <w:spacing w:before="0" w:line="390" w:lineRule="exact"/>
        <w:ind w:left="0" w:firstLine="420" w:firstLineChars="200"/>
        <w:textAlignment w:val="auto"/>
        <w:rPr>
          <w:rFonts w:hint="eastAsia" w:ascii="宋体" w:hAnsi="宋体" w:eastAsia="宋体" w:cs="宋体"/>
          <w:b w:val="0"/>
          <w:color w:val="auto"/>
          <w:sz w:val="21"/>
          <w:szCs w:val="21"/>
          <w:highlight w:val="none"/>
        </w:rPr>
      </w:pPr>
      <w:bookmarkStart w:id="350" w:name="_Toc351203531"/>
      <w:r>
        <w:rPr>
          <w:rFonts w:hint="eastAsia" w:ascii="宋体" w:hAnsi="宋体" w:eastAsia="宋体" w:cs="宋体"/>
          <w:b w:val="0"/>
          <w:color w:val="auto"/>
          <w:sz w:val="21"/>
          <w:szCs w:val="21"/>
          <w:highlight w:val="none"/>
        </w:rPr>
        <w:t>4</w:t>
      </w:r>
      <w:bookmarkStart w:id="351" w:name="_Toc296503057"/>
      <w:bookmarkStart w:id="352" w:name="_Toc337558757"/>
      <w:bookmarkStart w:id="353" w:name="_Toc296346558"/>
      <w:r>
        <w:rPr>
          <w:rFonts w:hint="eastAsia" w:ascii="宋体" w:hAnsi="宋体" w:eastAsia="宋体" w:cs="宋体"/>
          <w:b w:val="0"/>
          <w:color w:val="auto"/>
          <w:sz w:val="21"/>
          <w:szCs w:val="21"/>
          <w:highlight w:val="none"/>
        </w:rPr>
        <w:t>.4 商定或确定</w:t>
      </w:r>
      <w:bookmarkEnd w:id="350"/>
    </w:p>
    <w:bookmarkEnd w:id="351"/>
    <w:bookmarkEnd w:id="352"/>
    <w:bookmarkEnd w:id="353"/>
    <w:p w14:paraId="5A2D62A2">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合同当事人进行商定或确定时，总监理工程师应当会同合同当事人尽量通过协商达成一致，不能达成一致的，由总监理工程师按照合同约定审慎做出公正的确定。</w:t>
      </w:r>
    </w:p>
    <w:p w14:paraId="6AF3874D">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总监理工程师应将确定以书面形式通知发包人和承包人，并附详细依据。合同当事人对总监理工程师的确定没有异议的，按照总监理工程师的确定执行。任何一方合同当事人有异议，按照第20条〔争议解决〕约定处理。争议解决前，合同当事人暂按总监理工程师的确定执行；争议解决后，争议解决的结果与总监理工程师的确定不一致的，按照争议解决的结果执行，由此造成的损失由责任人承担。</w:t>
      </w:r>
    </w:p>
    <w:p w14:paraId="54F17579">
      <w:pPr>
        <w:pStyle w:val="7"/>
        <w:pageBreakBefore w:val="0"/>
        <w:kinsoku/>
        <w:wordWrap/>
        <w:overflowPunct/>
        <w:topLinePunct w:val="0"/>
        <w:bidi w:val="0"/>
        <w:snapToGrid/>
        <w:spacing w:before="0" w:line="390" w:lineRule="exact"/>
        <w:ind w:left="0"/>
        <w:textAlignment w:val="auto"/>
        <w:rPr>
          <w:rFonts w:hint="eastAsia" w:ascii="宋体" w:hAnsi="宋体" w:eastAsia="宋体" w:cs="宋体"/>
          <w:b w:val="0"/>
          <w:color w:val="auto"/>
          <w:sz w:val="21"/>
          <w:szCs w:val="21"/>
          <w:highlight w:val="none"/>
        </w:rPr>
      </w:pPr>
      <w:bookmarkStart w:id="354" w:name="_Toc351203532"/>
      <w:r>
        <w:rPr>
          <w:rFonts w:hint="eastAsia" w:ascii="宋体" w:hAnsi="宋体" w:eastAsia="宋体" w:cs="宋体"/>
          <w:b w:val="0"/>
          <w:color w:val="auto"/>
          <w:sz w:val="21"/>
          <w:szCs w:val="21"/>
          <w:highlight w:val="none"/>
        </w:rPr>
        <w:t>5</w:t>
      </w:r>
      <w:bookmarkStart w:id="355" w:name="_Toc337558758"/>
      <w:r>
        <w:rPr>
          <w:rFonts w:hint="eastAsia" w:ascii="宋体" w:hAnsi="宋体" w:eastAsia="宋体" w:cs="宋体"/>
          <w:b w:val="0"/>
          <w:color w:val="auto"/>
          <w:sz w:val="21"/>
          <w:szCs w:val="21"/>
          <w:highlight w:val="none"/>
        </w:rPr>
        <w:t>. 工程质量</w:t>
      </w:r>
      <w:bookmarkEnd w:id="354"/>
    </w:p>
    <w:bookmarkEnd w:id="355"/>
    <w:p w14:paraId="1159B2AF">
      <w:pPr>
        <w:pStyle w:val="8"/>
        <w:pageBreakBefore w:val="0"/>
        <w:kinsoku/>
        <w:wordWrap/>
        <w:overflowPunct/>
        <w:topLinePunct w:val="0"/>
        <w:bidi w:val="0"/>
        <w:snapToGrid/>
        <w:spacing w:before="0" w:after="0" w:line="390" w:lineRule="exact"/>
        <w:ind w:left="0" w:firstLine="420" w:firstLineChars="200"/>
        <w:textAlignment w:val="auto"/>
        <w:rPr>
          <w:rFonts w:hint="eastAsia" w:ascii="宋体" w:hAnsi="宋体" w:eastAsia="宋体" w:cs="宋体"/>
          <w:b w:val="0"/>
          <w:color w:val="auto"/>
          <w:sz w:val="21"/>
          <w:szCs w:val="21"/>
          <w:highlight w:val="none"/>
        </w:rPr>
      </w:pPr>
      <w:bookmarkStart w:id="356" w:name="_Toc351203533"/>
      <w:r>
        <w:rPr>
          <w:rFonts w:hint="eastAsia" w:ascii="宋体" w:hAnsi="宋体" w:eastAsia="宋体" w:cs="宋体"/>
          <w:b w:val="0"/>
          <w:color w:val="auto"/>
          <w:sz w:val="21"/>
          <w:szCs w:val="21"/>
          <w:highlight w:val="none"/>
        </w:rPr>
        <w:t>5</w:t>
      </w:r>
      <w:bookmarkStart w:id="357" w:name="_Toc337558759"/>
      <w:r>
        <w:rPr>
          <w:rFonts w:hint="eastAsia" w:ascii="宋体" w:hAnsi="宋体" w:eastAsia="宋体" w:cs="宋体"/>
          <w:b w:val="0"/>
          <w:color w:val="auto"/>
          <w:sz w:val="21"/>
          <w:szCs w:val="21"/>
          <w:highlight w:val="none"/>
        </w:rPr>
        <w:t>.1质量要求</w:t>
      </w:r>
      <w:bookmarkEnd w:id="356"/>
    </w:p>
    <w:bookmarkEnd w:id="357"/>
    <w:p w14:paraId="3AFB23B9">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5.1.1 工程质量标准必须符合现行国家有关工程施工质量验收规范和标准的要求。有关工程质量的特殊标准或要求由合同当事人在专用合同条款中约定。</w:t>
      </w:r>
    </w:p>
    <w:p w14:paraId="524EB8BC">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5.1.2 因发包人原因造成工程质量未达到合同约定标准的，由发包人承担由此增加的费用和（或）延误的工期，并支付承包人合理的利润。</w:t>
      </w:r>
    </w:p>
    <w:p w14:paraId="5FE1E3C4">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5.1.3 因承包人原因造成工程质量未达到合同约定标准的，发包人有权要求承包人返工直至工程质量达到合同约定的标准为止，并由承包人承担由此增加的费用和（或）延误的工期。</w:t>
      </w:r>
    </w:p>
    <w:p w14:paraId="7B88A60B">
      <w:pPr>
        <w:pStyle w:val="8"/>
        <w:pageBreakBefore w:val="0"/>
        <w:kinsoku/>
        <w:wordWrap/>
        <w:overflowPunct/>
        <w:topLinePunct w:val="0"/>
        <w:bidi w:val="0"/>
        <w:snapToGrid/>
        <w:spacing w:before="0" w:after="0" w:line="390" w:lineRule="exact"/>
        <w:ind w:left="0" w:firstLine="420" w:firstLineChars="200"/>
        <w:textAlignment w:val="auto"/>
        <w:rPr>
          <w:rFonts w:hint="eastAsia" w:ascii="宋体" w:hAnsi="宋体" w:eastAsia="宋体" w:cs="宋体"/>
          <w:b w:val="0"/>
          <w:color w:val="auto"/>
          <w:sz w:val="21"/>
          <w:szCs w:val="21"/>
          <w:highlight w:val="none"/>
        </w:rPr>
      </w:pPr>
      <w:bookmarkStart w:id="358" w:name="_Toc351203534"/>
      <w:r>
        <w:rPr>
          <w:rFonts w:hint="eastAsia" w:ascii="宋体" w:hAnsi="宋体" w:eastAsia="宋体" w:cs="宋体"/>
          <w:b w:val="0"/>
          <w:color w:val="auto"/>
          <w:sz w:val="21"/>
          <w:szCs w:val="21"/>
          <w:highlight w:val="none"/>
        </w:rPr>
        <w:t>5</w:t>
      </w:r>
      <w:bookmarkStart w:id="359" w:name="_Toc337558760"/>
      <w:r>
        <w:rPr>
          <w:rFonts w:hint="eastAsia" w:ascii="宋体" w:hAnsi="宋体" w:eastAsia="宋体" w:cs="宋体"/>
          <w:b w:val="0"/>
          <w:color w:val="auto"/>
          <w:sz w:val="21"/>
          <w:szCs w:val="21"/>
          <w:highlight w:val="none"/>
        </w:rPr>
        <w:t>.2质量保证措施</w:t>
      </w:r>
      <w:bookmarkEnd w:id="358"/>
    </w:p>
    <w:bookmarkEnd w:id="359"/>
    <w:p w14:paraId="4CAC5DF4">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outlineLvl w:val="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5.2.1 发包人的质量管理</w:t>
      </w:r>
    </w:p>
    <w:p w14:paraId="47317793">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发包人应按照法律规定及合同约定完成与工程质量有关的各项工作。</w:t>
      </w:r>
    </w:p>
    <w:p w14:paraId="58AF38D2">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5.2.2 承包人的质量管理</w:t>
      </w:r>
    </w:p>
    <w:p w14:paraId="36DB5750">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按照第7.1款〔施工组织设计〕约定向发包人和监理人提交工程质量保证体系及措施文件，建立完善的质量检查制度，并提交相应的工程质量文件。对于发包人和监理人违反法律规定和合同约定的错误指示，承包人有权拒绝实施。</w:t>
      </w:r>
    </w:p>
    <w:p w14:paraId="1C41B8E8">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承包人应对施工人员进行质量教育和技术培训，定期考核施工人员的劳动技能，严格执行施工规范和操作规程。</w:t>
      </w:r>
    </w:p>
    <w:p w14:paraId="6BAA0AE5">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应按照法律规定和发包人的要求，对材料、工程设备以及工程的所有部位及其施工工艺进行全过程的质量检查和检验，并作详细记录，编制工程质量报表，报送监理人审查。此外，承包人还应按照法律规定和发包人的要求，进行施工现场取样试验、工程复核测量和设备性能检测，提供试验样品、提交试验报告和测量成果以及其他工作。</w:t>
      </w:r>
    </w:p>
    <w:p w14:paraId="242BD4D9">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outlineLvl w:val="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5.2.3 监理人的质量检查和检验</w:t>
      </w:r>
    </w:p>
    <w:p w14:paraId="1346912B">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监理人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监理人为此进行的检查和检验，不免除或减轻承包人按照合同约定应当承担的责任。</w:t>
      </w:r>
    </w:p>
    <w:p w14:paraId="1D49C9C5">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监理人的检查和检验不应影响施工正常进行。监理人的检查和检验影响施工正常进行的，且经检查检验不合格的，影响正常施工的费用由承包人承担，工期不予顺延；经检查检验合格的，由此增加的费用和（或）延误的工期由发包人承担。</w:t>
      </w:r>
    </w:p>
    <w:p w14:paraId="55655BE4">
      <w:pPr>
        <w:pStyle w:val="8"/>
        <w:pageBreakBefore w:val="0"/>
        <w:kinsoku/>
        <w:wordWrap/>
        <w:overflowPunct/>
        <w:topLinePunct w:val="0"/>
        <w:bidi w:val="0"/>
        <w:snapToGrid/>
        <w:spacing w:before="0" w:after="0" w:line="390" w:lineRule="exact"/>
        <w:ind w:left="0" w:firstLine="420" w:firstLineChars="200"/>
        <w:textAlignment w:val="auto"/>
        <w:rPr>
          <w:rFonts w:hint="eastAsia" w:ascii="宋体" w:hAnsi="宋体" w:eastAsia="宋体" w:cs="宋体"/>
          <w:b w:val="0"/>
          <w:color w:val="auto"/>
          <w:sz w:val="21"/>
          <w:szCs w:val="21"/>
          <w:highlight w:val="none"/>
        </w:rPr>
      </w:pPr>
      <w:bookmarkStart w:id="360" w:name="_Toc351203535"/>
      <w:r>
        <w:rPr>
          <w:rFonts w:hint="eastAsia" w:ascii="宋体" w:hAnsi="宋体" w:eastAsia="宋体" w:cs="宋体"/>
          <w:b w:val="0"/>
          <w:color w:val="auto"/>
          <w:sz w:val="21"/>
          <w:szCs w:val="21"/>
          <w:highlight w:val="none"/>
        </w:rPr>
        <w:t>5</w:t>
      </w:r>
      <w:bookmarkStart w:id="361" w:name="_Toc337558761"/>
      <w:r>
        <w:rPr>
          <w:rFonts w:hint="eastAsia" w:ascii="宋体" w:hAnsi="宋体" w:eastAsia="宋体" w:cs="宋体"/>
          <w:b w:val="0"/>
          <w:color w:val="auto"/>
          <w:sz w:val="21"/>
          <w:szCs w:val="21"/>
          <w:highlight w:val="none"/>
        </w:rPr>
        <w:t>.3 隐蔽工程检查</w:t>
      </w:r>
      <w:bookmarkEnd w:id="360"/>
    </w:p>
    <w:bookmarkEnd w:id="361"/>
    <w:p w14:paraId="1557B5ED">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5.3.1承包人自检</w:t>
      </w:r>
    </w:p>
    <w:p w14:paraId="7CA809AD">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承包人应当对工程隐蔽部位进行自检，并经自检确认是否具备覆盖条件。</w:t>
      </w:r>
    </w:p>
    <w:p w14:paraId="5FE49180">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5.3.2检查程序</w:t>
      </w:r>
    </w:p>
    <w:p w14:paraId="7D99F152">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除专用合同条款另有约定外，工程隐蔽部位经承包人自检确认具备覆盖条件的，承包人应在共同检查前48小时书面通知监理人检查，通知中应载明隐蔽检查的内容、时间和地点，并应附有自检记录和必要的检查资料。</w:t>
      </w:r>
    </w:p>
    <w:p w14:paraId="246835CD">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监理人应按时到场并对隐蔽工程及其施工工艺、材料和工程设备进行检查。经监理人检查确认质量符合隐蔽要求，并在验收记录上签字后，承包人才能进行覆盖。经监理人检查质量不合格的，承包人应在监理人指示的时间内完成修复，并由监理人重新检查，由此增加的费用和（或）延误的工期由承包人承担。</w:t>
      </w:r>
    </w:p>
    <w:p w14:paraId="1D4A19B7">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除专用合同条款另有约定外，监理人不能按时进行检查的，应在检查前24小时向承包人提交书面延期要求，但延期不能超过48小时，由此导致工期延误的，工期应予以顺延。监理人未按时进行检查，也未提出延期要求的，视为隐蔽工程检查合格，承包人可自行完成覆盖工作，并作相应记录报送监理人，监理人应签字确认。监理人事后对检查记录有疑问的，可按第5.3.3项〔重新检查〕的约定重新检查。</w:t>
      </w:r>
    </w:p>
    <w:p w14:paraId="25CDCF2F">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5.3.3 重新检查</w:t>
      </w:r>
    </w:p>
    <w:p w14:paraId="4A324B20">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覆盖工程隐蔽部位后，发包人或监理人对质量有疑问的，可要求承包人对已覆盖的部位进行钻孔探测或揭开重新检查，承包人应遵照执行，并在检查后重新覆盖恢复原状。经检查证明工程质量符合合同要求的，由发包人承担由此增加的费用和（或）延误的工期，并支付承包人合理的利润；经检查证明工程质量不符合合同要求的，由此增加的费用和（或）延误的工期由承包人承担。</w:t>
      </w:r>
    </w:p>
    <w:p w14:paraId="5F4ADB1C">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5.3.4 承包人私自覆盖</w:t>
      </w:r>
    </w:p>
    <w:p w14:paraId="254EDFAD">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承包人未通知监理人到场检查，私自将工程隐蔽部位覆盖的，监理人有权指示承包人钻孔探测或揭开检查，无论工程隐蔽部位质量是否合格，由此增加的费用和（或）延误的工期均由承包人承担。</w:t>
      </w:r>
    </w:p>
    <w:p w14:paraId="3D463547">
      <w:pPr>
        <w:pStyle w:val="8"/>
        <w:pageBreakBefore w:val="0"/>
        <w:kinsoku/>
        <w:wordWrap/>
        <w:overflowPunct/>
        <w:topLinePunct w:val="0"/>
        <w:bidi w:val="0"/>
        <w:snapToGrid/>
        <w:spacing w:before="0" w:after="0" w:line="390" w:lineRule="exact"/>
        <w:ind w:left="0" w:firstLine="420" w:firstLineChars="200"/>
        <w:textAlignment w:val="auto"/>
        <w:rPr>
          <w:rFonts w:hint="eastAsia" w:ascii="宋体" w:hAnsi="宋体" w:eastAsia="宋体" w:cs="宋体"/>
          <w:b w:val="0"/>
          <w:color w:val="auto"/>
          <w:sz w:val="21"/>
          <w:szCs w:val="21"/>
          <w:highlight w:val="none"/>
        </w:rPr>
      </w:pPr>
      <w:bookmarkStart w:id="362" w:name="_Toc351203536"/>
      <w:r>
        <w:rPr>
          <w:rFonts w:hint="eastAsia" w:ascii="宋体" w:hAnsi="宋体" w:eastAsia="宋体" w:cs="宋体"/>
          <w:b w:val="0"/>
          <w:color w:val="auto"/>
          <w:sz w:val="21"/>
          <w:szCs w:val="21"/>
          <w:highlight w:val="none"/>
        </w:rPr>
        <w:t>5</w:t>
      </w:r>
      <w:bookmarkStart w:id="363" w:name="_Toc337558762"/>
      <w:r>
        <w:rPr>
          <w:rFonts w:hint="eastAsia" w:ascii="宋体" w:hAnsi="宋体" w:eastAsia="宋体" w:cs="宋体"/>
          <w:b w:val="0"/>
          <w:color w:val="auto"/>
          <w:sz w:val="21"/>
          <w:szCs w:val="21"/>
          <w:highlight w:val="none"/>
        </w:rPr>
        <w:t>.4不合格工程的处理</w:t>
      </w:r>
      <w:bookmarkEnd w:id="362"/>
    </w:p>
    <w:bookmarkEnd w:id="363"/>
    <w:p w14:paraId="70CC91F5">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5.4.1 因承包人原因造成工程不合格的，发包人有权随时要求承包人采取补救措施，直至达到合同要求的质量标准，由此增加的费用和（或）延误的工期由承包人承担。无法补救的，按照第13.2.4项〔拒绝接收全部或部分工程〕约定执行。 </w:t>
      </w:r>
    </w:p>
    <w:p w14:paraId="550593FE">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5.4.2 因发包人原因造成工程不合格的，由此增加的费用和（或）延误的工期由发包人承担，并支付承包人合理的利润。</w:t>
      </w:r>
    </w:p>
    <w:p w14:paraId="4B2B71B7">
      <w:pPr>
        <w:pStyle w:val="8"/>
        <w:pageBreakBefore w:val="0"/>
        <w:kinsoku/>
        <w:wordWrap/>
        <w:overflowPunct/>
        <w:topLinePunct w:val="0"/>
        <w:bidi w:val="0"/>
        <w:snapToGrid/>
        <w:spacing w:before="0" w:after="0" w:line="390" w:lineRule="exact"/>
        <w:ind w:left="0" w:firstLine="420" w:firstLineChars="200"/>
        <w:textAlignment w:val="auto"/>
        <w:rPr>
          <w:rFonts w:hint="eastAsia" w:ascii="宋体" w:hAnsi="宋体" w:eastAsia="宋体" w:cs="宋体"/>
          <w:b w:val="0"/>
          <w:color w:val="auto"/>
          <w:sz w:val="21"/>
          <w:szCs w:val="21"/>
          <w:highlight w:val="none"/>
        </w:rPr>
      </w:pPr>
      <w:bookmarkStart w:id="364" w:name="_Toc351203537"/>
      <w:r>
        <w:rPr>
          <w:rFonts w:hint="eastAsia" w:ascii="宋体" w:hAnsi="宋体" w:eastAsia="宋体" w:cs="宋体"/>
          <w:b w:val="0"/>
          <w:color w:val="auto"/>
          <w:sz w:val="21"/>
          <w:szCs w:val="21"/>
          <w:highlight w:val="none"/>
        </w:rPr>
        <w:t>5.5 质量争议检测</w:t>
      </w:r>
      <w:bookmarkEnd w:id="364"/>
    </w:p>
    <w:p w14:paraId="5618519A">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合同当事人对工程质量有争议的，由双方协商确定的工程质量检测机构鉴定，由此产生的费用及因此造成的损失，由责任方承担。</w:t>
      </w:r>
    </w:p>
    <w:p w14:paraId="12D4FCCE">
      <w:pPr>
        <w:pageBreakBefore w:val="0"/>
        <w:kinsoku/>
        <w:wordWrap/>
        <w:overflowPunct/>
        <w:topLinePunct w:val="0"/>
        <w:autoSpaceDE w:val="0"/>
        <w:autoSpaceDN w:val="0"/>
        <w:bidi w:val="0"/>
        <w:adjustRightInd w:val="0"/>
        <w:snapToGrid/>
        <w:spacing w:line="390" w:lineRule="exact"/>
        <w:ind w:left="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合同当事人均有责任的，由双方根据其责任分别承担。合同当事人无法达成一致的，按照第4.4款〔商定或确定〕执行。</w:t>
      </w:r>
    </w:p>
    <w:p w14:paraId="7C37CFCB">
      <w:pPr>
        <w:pStyle w:val="7"/>
        <w:pageBreakBefore w:val="0"/>
        <w:kinsoku/>
        <w:wordWrap/>
        <w:overflowPunct/>
        <w:topLinePunct w:val="0"/>
        <w:bidi w:val="0"/>
        <w:snapToGrid/>
        <w:spacing w:before="0" w:line="390" w:lineRule="exact"/>
        <w:ind w:left="0"/>
        <w:textAlignment w:val="auto"/>
        <w:rPr>
          <w:rFonts w:hint="eastAsia" w:ascii="宋体" w:hAnsi="宋体" w:eastAsia="宋体" w:cs="宋体"/>
          <w:b w:val="0"/>
          <w:color w:val="auto"/>
          <w:sz w:val="21"/>
          <w:szCs w:val="21"/>
          <w:highlight w:val="none"/>
        </w:rPr>
      </w:pPr>
      <w:bookmarkStart w:id="365" w:name="_Toc351203538"/>
      <w:r>
        <w:rPr>
          <w:rFonts w:hint="eastAsia" w:ascii="宋体" w:hAnsi="宋体" w:eastAsia="宋体" w:cs="宋体"/>
          <w:b w:val="0"/>
          <w:color w:val="auto"/>
          <w:sz w:val="21"/>
          <w:szCs w:val="21"/>
          <w:highlight w:val="none"/>
        </w:rPr>
        <w:t>6</w:t>
      </w:r>
      <w:bookmarkStart w:id="366" w:name="_Toc337558763"/>
      <w:r>
        <w:rPr>
          <w:rFonts w:hint="eastAsia" w:ascii="宋体" w:hAnsi="宋体" w:eastAsia="宋体" w:cs="宋体"/>
          <w:b w:val="0"/>
          <w:color w:val="auto"/>
          <w:sz w:val="21"/>
          <w:szCs w:val="21"/>
          <w:highlight w:val="none"/>
        </w:rPr>
        <w:t>. 安全文明施工与环境保护</w:t>
      </w:r>
      <w:bookmarkEnd w:id="365"/>
    </w:p>
    <w:bookmarkEnd w:id="366"/>
    <w:p w14:paraId="6FA02A4A">
      <w:pPr>
        <w:pStyle w:val="8"/>
        <w:pageBreakBefore w:val="0"/>
        <w:kinsoku/>
        <w:wordWrap/>
        <w:overflowPunct/>
        <w:topLinePunct w:val="0"/>
        <w:bidi w:val="0"/>
        <w:snapToGrid/>
        <w:spacing w:before="0" w:after="0" w:line="390" w:lineRule="exact"/>
        <w:ind w:left="0" w:firstLine="420" w:firstLineChars="200"/>
        <w:textAlignment w:val="auto"/>
        <w:rPr>
          <w:rFonts w:hint="eastAsia" w:ascii="宋体" w:hAnsi="宋体" w:eastAsia="宋体" w:cs="宋体"/>
          <w:b w:val="0"/>
          <w:color w:val="auto"/>
          <w:sz w:val="21"/>
          <w:szCs w:val="21"/>
          <w:highlight w:val="none"/>
        </w:rPr>
      </w:pPr>
      <w:bookmarkStart w:id="367" w:name="_Toc351203539"/>
      <w:r>
        <w:rPr>
          <w:rFonts w:hint="eastAsia" w:ascii="宋体" w:hAnsi="宋体" w:eastAsia="宋体" w:cs="宋体"/>
          <w:b w:val="0"/>
          <w:color w:val="auto"/>
          <w:sz w:val="21"/>
          <w:szCs w:val="21"/>
          <w:highlight w:val="none"/>
        </w:rPr>
        <w:t>6</w:t>
      </w:r>
      <w:bookmarkStart w:id="368" w:name="_Toc337558764"/>
      <w:r>
        <w:rPr>
          <w:rFonts w:hint="eastAsia" w:ascii="宋体" w:hAnsi="宋体" w:eastAsia="宋体" w:cs="宋体"/>
          <w:b w:val="0"/>
          <w:color w:val="auto"/>
          <w:sz w:val="21"/>
          <w:szCs w:val="21"/>
          <w:highlight w:val="none"/>
        </w:rPr>
        <w:t>.1安全文明施工</w:t>
      </w:r>
      <w:bookmarkEnd w:id="367"/>
    </w:p>
    <w:bookmarkEnd w:id="368"/>
    <w:p w14:paraId="38A716B3">
      <w:pPr>
        <w:pageBreakBefore w:val="0"/>
        <w:kinsoku/>
        <w:wordWrap/>
        <w:overflowPunct/>
        <w:topLinePunct w:val="0"/>
        <w:bidi w:val="0"/>
        <w:snapToGrid/>
        <w:spacing w:line="39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6.1.1安全生产要求</w:t>
      </w:r>
    </w:p>
    <w:p w14:paraId="21CA5C76">
      <w:pPr>
        <w:pageBreakBefore w:val="0"/>
        <w:kinsoku/>
        <w:wordWrap/>
        <w:overflowPunct/>
        <w:topLinePunct w:val="0"/>
        <w:bidi w:val="0"/>
        <w:snapToGrid/>
        <w:spacing w:line="39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履行期间，合同当事人均应当遵守国家和工程所在地有关安全生产的要求，合同当事人有特别要求的，应在专用合同条款中明确施工项目安全生产标准化达标目标及相应事项。承包人有权拒绝发包人及监理人强令承包人违章作业、冒险施工的任何指示。</w:t>
      </w:r>
    </w:p>
    <w:p w14:paraId="7E829C6F">
      <w:pPr>
        <w:pageBreakBefore w:val="0"/>
        <w:kinsoku/>
        <w:wordWrap/>
        <w:overflowPunct/>
        <w:topLinePunct w:val="0"/>
        <w:bidi w:val="0"/>
        <w:snapToGrid/>
        <w:spacing w:line="39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在施工过程中，如遇到突发的地质变动、事先未知的地下施工障碍等影响施工安全的紧急情况，承包人应及时报告监理人和发包人，发包人应当及时下令停工并报</w:t>
      </w:r>
      <w:r>
        <w:rPr>
          <w:rFonts w:hint="eastAsia" w:ascii="宋体" w:hAnsi="宋体" w:eastAsia="宋体" w:cs="宋体"/>
          <w:color w:val="auto"/>
          <w:kern w:val="0"/>
          <w:sz w:val="21"/>
          <w:szCs w:val="21"/>
          <w:highlight w:val="none"/>
        </w:rPr>
        <w:t>政府有关行政管理部门</w:t>
      </w:r>
      <w:r>
        <w:rPr>
          <w:rFonts w:hint="eastAsia" w:ascii="宋体" w:hAnsi="宋体" w:eastAsia="宋体" w:cs="宋体"/>
          <w:color w:val="auto"/>
          <w:sz w:val="21"/>
          <w:szCs w:val="21"/>
          <w:highlight w:val="none"/>
        </w:rPr>
        <w:t>采取应急措施。</w:t>
      </w:r>
    </w:p>
    <w:p w14:paraId="39709EFD">
      <w:pPr>
        <w:pageBreakBefore w:val="0"/>
        <w:kinsoku/>
        <w:wordWrap/>
        <w:overflowPunct/>
        <w:topLinePunct w:val="0"/>
        <w:bidi w:val="0"/>
        <w:snapToGrid/>
        <w:spacing w:line="39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因安全生产需要暂停施工的，按照第7.8款〔暂停施工〕的约定执行。</w:t>
      </w:r>
    </w:p>
    <w:p w14:paraId="1D52CA8B">
      <w:pPr>
        <w:pageBreakBefore w:val="0"/>
        <w:kinsoku/>
        <w:wordWrap/>
        <w:overflowPunct/>
        <w:topLinePunct w:val="0"/>
        <w:bidi w:val="0"/>
        <w:snapToGrid/>
        <w:spacing w:line="39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6.1.2 安全生产保证措施</w:t>
      </w:r>
    </w:p>
    <w:p w14:paraId="4ED9B103">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承包人应当按照有关</w:t>
      </w:r>
      <w:r>
        <w:rPr>
          <w:rFonts w:hint="eastAsia" w:ascii="宋体" w:hAnsi="宋体" w:eastAsia="宋体" w:cs="宋体"/>
          <w:color w:val="auto"/>
          <w:kern w:val="0"/>
          <w:sz w:val="21"/>
          <w:szCs w:val="21"/>
          <w:highlight w:val="none"/>
        </w:rPr>
        <w:t>规定编制安全技术措施或者专项施工方案，</w:t>
      </w:r>
      <w:r>
        <w:rPr>
          <w:rFonts w:hint="eastAsia" w:ascii="宋体" w:hAnsi="宋体" w:eastAsia="宋体" w:cs="宋体"/>
          <w:color w:val="auto"/>
          <w:sz w:val="21"/>
          <w:szCs w:val="21"/>
          <w:highlight w:val="none"/>
        </w:rPr>
        <w:t>建立安全生产责任制度、治安保卫制度及安全生产教育培训制度，并</w:t>
      </w:r>
      <w:r>
        <w:rPr>
          <w:rFonts w:hint="eastAsia" w:ascii="宋体" w:hAnsi="宋体" w:eastAsia="宋体" w:cs="宋体"/>
          <w:color w:val="auto"/>
          <w:kern w:val="0"/>
          <w:sz w:val="21"/>
          <w:szCs w:val="21"/>
          <w:highlight w:val="none"/>
        </w:rPr>
        <w:t>按安全生产法律规定及合同约定履行安全职责，如实</w:t>
      </w:r>
      <w:r>
        <w:rPr>
          <w:rFonts w:hint="eastAsia" w:ascii="宋体" w:hAnsi="宋体" w:eastAsia="宋体" w:cs="宋体"/>
          <w:color w:val="auto"/>
          <w:sz w:val="21"/>
          <w:szCs w:val="21"/>
          <w:highlight w:val="none"/>
        </w:rPr>
        <w:t>编制工程安全生产的有关记录，</w:t>
      </w:r>
      <w:r>
        <w:rPr>
          <w:rFonts w:hint="eastAsia" w:ascii="宋体" w:hAnsi="宋体" w:eastAsia="宋体" w:cs="宋体"/>
          <w:color w:val="auto"/>
          <w:kern w:val="0"/>
          <w:sz w:val="21"/>
          <w:szCs w:val="21"/>
          <w:highlight w:val="none"/>
        </w:rPr>
        <w:t>接受发包人、监理人及政府安全监督部门的检查与监督。</w:t>
      </w:r>
    </w:p>
    <w:p w14:paraId="75796A44">
      <w:pPr>
        <w:pageBreakBefore w:val="0"/>
        <w:kinsoku/>
        <w:wordWrap/>
        <w:overflowPunct/>
        <w:topLinePunct w:val="0"/>
        <w:bidi w:val="0"/>
        <w:snapToGrid/>
        <w:spacing w:line="39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6.1.3特别安全生产事项</w:t>
      </w:r>
    </w:p>
    <w:p w14:paraId="0A6A1FE3">
      <w:pPr>
        <w:pageBreakBefore w:val="0"/>
        <w:kinsoku/>
        <w:wordWrap/>
        <w:overflowPunct/>
        <w:topLinePunct w:val="0"/>
        <w:bidi w:val="0"/>
        <w:snapToGrid/>
        <w:spacing w:line="39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承包人应按照法律规定进行施工，开工前做好安全技术交底工作，施工过程中做好各项安全防护措施。承包人为实施合同而雇用的特殊工种的人员应受过专门的培训并已取得政府有关管理机构颁发的上岗证书。</w:t>
      </w:r>
    </w:p>
    <w:p w14:paraId="6BBDA0CA">
      <w:pPr>
        <w:pageBreakBefore w:val="0"/>
        <w:kinsoku/>
        <w:wordWrap/>
        <w:overflowPunct/>
        <w:topLinePunct w:val="0"/>
        <w:bidi w:val="0"/>
        <w:snapToGrid/>
        <w:spacing w:line="39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承包人在动力设备、输电线路、地下管道、密封防震车间、易燃易爆地段以及临街交通要道附近施工时，施工开始前应向发包人和监理人提出安全防护措施，经发包人认可后实施。 </w:t>
      </w:r>
    </w:p>
    <w:p w14:paraId="03A476CA">
      <w:pPr>
        <w:pageBreakBefore w:val="0"/>
        <w:kinsoku/>
        <w:wordWrap/>
        <w:overflowPunct/>
        <w:topLinePunct w:val="0"/>
        <w:bidi w:val="0"/>
        <w:snapToGrid/>
        <w:spacing w:line="39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实施爆破作业，在放射、毒害性环境中施工（含储存、运输、使用）及使用毒害性、腐蚀性物品施工时，承包人应在施工前7天以书面通知发包人和监理人，并报送相应的安全防护措施，经发包人认可后实施。</w:t>
      </w:r>
    </w:p>
    <w:p w14:paraId="4A35DCC7">
      <w:pPr>
        <w:pageBreakBefore w:val="0"/>
        <w:kinsoku/>
        <w:wordWrap/>
        <w:overflowPunct/>
        <w:topLinePunct w:val="0"/>
        <w:bidi w:val="0"/>
        <w:snapToGrid/>
        <w:spacing w:line="39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需单独编制危险性较大分部分项专项工程施工方案的，及要求进行专家论证的超过一定规模的危险性较大的分部分项工程，承包人应及时编制和组织论证。</w:t>
      </w:r>
    </w:p>
    <w:p w14:paraId="49947E36">
      <w:pPr>
        <w:pageBreakBefore w:val="0"/>
        <w:kinsoku/>
        <w:wordWrap/>
        <w:overflowPunct/>
        <w:topLinePunct w:val="0"/>
        <w:bidi w:val="0"/>
        <w:snapToGrid/>
        <w:spacing w:line="39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6.1.4 治安保卫</w:t>
      </w:r>
    </w:p>
    <w:p w14:paraId="011E6E52">
      <w:pPr>
        <w:pageBreakBefore w:val="0"/>
        <w:kinsoku/>
        <w:wordWrap/>
        <w:overflowPunct/>
        <w:topLinePunct w:val="0"/>
        <w:bidi w:val="0"/>
        <w:snapToGrid/>
        <w:spacing w:line="39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除专用合同条款另有约定外，发包人应与当地公安部门协商，在现场建立治安管理机构或联防组织，统一管理施工场地的治安保卫事项，履行合同工程的治安保卫职责。</w:t>
      </w:r>
    </w:p>
    <w:p w14:paraId="7F363B36">
      <w:pPr>
        <w:pageBreakBefore w:val="0"/>
        <w:kinsoku/>
        <w:wordWrap/>
        <w:overflowPunct/>
        <w:topLinePunct w:val="0"/>
        <w:bidi w:val="0"/>
        <w:snapToGrid/>
        <w:spacing w:line="39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发包人和承包人除应协助现场治安管理机构或联防组织维护施工场地的社会治安外，还应做好包括生活区在内的各自管辖区的治安保卫工作。</w:t>
      </w:r>
    </w:p>
    <w:p w14:paraId="315341E7">
      <w:pPr>
        <w:pageBreakBefore w:val="0"/>
        <w:kinsoku/>
        <w:wordWrap/>
        <w:overflowPunct/>
        <w:topLinePunct w:val="0"/>
        <w:bidi w:val="0"/>
        <w:snapToGrid/>
        <w:spacing w:line="39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除专用合同条款另有约定外，发包人和承包人应在工程开工后7天内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和财产损失。</w:t>
      </w:r>
    </w:p>
    <w:p w14:paraId="779A72AE">
      <w:pPr>
        <w:pageBreakBefore w:val="0"/>
        <w:kinsoku/>
        <w:wordWrap/>
        <w:overflowPunct/>
        <w:topLinePunct w:val="0"/>
        <w:bidi w:val="0"/>
        <w:snapToGrid/>
        <w:spacing w:line="390" w:lineRule="exact"/>
        <w:ind w:left="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6.1.5 文明施工</w:t>
      </w:r>
    </w:p>
    <w:p w14:paraId="2AF46042">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承包人在工程施工期间，应当采取措施保持施工现场平整，物料堆放整齐。工程所在地有关政府行政管理部门有特殊要求的，按照其要求执行。合同当事人对文明施工有其他要求的，可以在专用合同条款中明确。</w:t>
      </w:r>
    </w:p>
    <w:p w14:paraId="466ED171">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14:paraId="045474C3">
      <w:pPr>
        <w:pageBreakBefore w:val="0"/>
        <w:kinsoku/>
        <w:wordWrap/>
        <w:overflowPunct/>
        <w:topLinePunct w:val="0"/>
        <w:bidi w:val="0"/>
        <w:snapToGrid/>
        <w:spacing w:line="39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6.1.6 安全文明施工费</w:t>
      </w:r>
    </w:p>
    <w:p w14:paraId="391CB95F">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安全文明施工费由发包人承担，发包人不得以任何形式扣减该部分费用。因基准日期后合同所适用的法律或政府有关规定发生变化，增加的安全文明施工费由发包人承担。</w:t>
      </w:r>
    </w:p>
    <w:p w14:paraId="5E04FED6">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经发包人同意采取合同约定以外的安全措施所产生的费用，由发包人承担。未经发包人同意的，如果该措施避免了发包人的损失，则发包人在避免损失的额度内承担该措施费。如果该措施避免了承包人的损失，由承包人承担该措施费。</w:t>
      </w:r>
    </w:p>
    <w:p w14:paraId="26A806B8">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除专用合同条款另有约定外，发包人应在开工后28天内预付安全文明施工费总额的50%，其余部分与进度款同期支付。发包人逾期支付安全文明施工费超过7天的，承包人有权向发包人发出要求预付的催告通知，发包人收到通知后7天内仍未支付的，承包人有权暂停施工，并按第16.1.1项〔发包人违约的情形〕执行。</w:t>
      </w:r>
    </w:p>
    <w:p w14:paraId="606A3F8D">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对安全文明施工费应专款专用，承包人应在财务账目中单独列项备查，不得挪作他用，否则发包人有权责令其限期改正；逾期未改正的，可以责令其暂停施工，由此增加的费用和（或）延误的工期由承包人承担。</w:t>
      </w:r>
    </w:p>
    <w:p w14:paraId="1BC8BDAD">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6.1.7 紧急情况处理</w:t>
      </w:r>
    </w:p>
    <w:p w14:paraId="0C961F04">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在工程实施期间或缺陷责任期内发生危及工程安全的事件，监理人通知承包人进行抢救，承包人声明无能力或不愿立即执行的，发包人有权雇佣其他人员进行抢救。此类抢救按合同约定属于承包人义务的，由此增加的费用和（或）延误的工期由承包人承担。</w:t>
      </w:r>
    </w:p>
    <w:p w14:paraId="6258BAE8">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6.1.8 事故处理</w:t>
      </w:r>
    </w:p>
    <w:p w14:paraId="73E659CE">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14:paraId="042CDE17">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6.1.9 安全生产责任</w:t>
      </w:r>
    </w:p>
    <w:p w14:paraId="43D0B1D7">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6.1.9.1 发包人的安全责任</w:t>
      </w:r>
    </w:p>
    <w:p w14:paraId="128D1635">
      <w:pPr>
        <w:pageBreakBefore w:val="0"/>
        <w:kinsoku/>
        <w:wordWrap/>
        <w:overflowPunct/>
        <w:topLinePunct w:val="0"/>
        <w:bidi w:val="0"/>
        <w:snapToGrid/>
        <w:spacing w:line="39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发包人应负责赔偿以下各种情况造成的损失：</w:t>
      </w:r>
    </w:p>
    <w:p w14:paraId="0AB327BA">
      <w:pPr>
        <w:pageBreakBefore w:val="0"/>
        <w:kinsoku/>
        <w:wordWrap/>
        <w:overflowPunct/>
        <w:topLinePunct w:val="0"/>
        <w:bidi w:val="0"/>
        <w:snapToGrid/>
        <w:spacing w:line="39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（1）工程或工程的任何部分对土地的占用所造成的第三者财产损失；</w:t>
      </w:r>
    </w:p>
    <w:p w14:paraId="3DD682CE">
      <w:pPr>
        <w:pageBreakBefore w:val="0"/>
        <w:kinsoku/>
        <w:wordWrap/>
        <w:overflowPunct/>
        <w:topLinePunct w:val="0"/>
        <w:bidi w:val="0"/>
        <w:snapToGrid/>
        <w:spacing w:line="39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（2）由于发包人原因在施工场地及其毗邻地带造成的第三者人身伤亡和财产损失；</w:t>
      </w:r>
    </w:p>
    <w:p w14:paraId="6822A974">
      <w:pPr>
        <w:pageBreakBefore w:val="0"/>
        <w:kinsoku/>
        <w:wordWrap/>
        <w:overflowPunct/>
        <w:topLinePunct w:val="0"/>
        <w:bidi w:val="0"/>
        <w:snapToGrid/>
        <w:spacing w:line="39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（3）由于发包人原因对承包人、监理人造成的人员人身伤亡和财产损失；</w:t>
      </w:r>
    </w:p>
    <w:p w14:paraId="3A169038">
      <w:pPr>
        <w:pageBreakBefore w:val="0"/>
        <w:kinsoku/>
        <w:wordWrap/>
        <w:overflowPunct/>
        <w:topLinePunct w:val="0"/>
        <w:bidi w:val="0"/>
        <w:snapToGrid/>
        <w:spacing w:line="39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（4）由于发包人原因造成的发包人自身人员的人身伤害以及财产损失。</w:t>
      </w:r>
    </w:p>
    <w:p w14:paraId="2D4610A5">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6.1.9.2 承包人的安全责任</w:t>
      </w:r>
    </w:p>
    <w:p w14:paraId="17594F2C">
      <w:pPr>
        <w:pageBreakBefore w:val="0"/>
        <w:kinsoku/>
        <w:wordWrap/>
        <w:overflowPunct/>
        <w:topLinePunct w:val="0"/>
        <w:bidi w:val="0"/>
        <w:snapToGrid/>
        <w:spacing w:line="390" w:lineRule="exact"/>
        <w:ind w:left="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由于承包人原因在施工场地内及其毗邻地带造成的发包人、监理人以及第三者人员伤亡和财产损失，由承包人负责赔偿。</w:t>
      </w:r>
    </w:p>
    <w:p w14:paraId="50D5F4C0">
      <w:pPr>
        <w:pStyle w:val="8"/>
        <w:pageBreakBefore w:val="0"/>
        <w:kinsoku/>
        <w:wordWrap/>
        <w:overflowPunct/>
        <w:topLinePunct w:val="0"/>
        <w:bidi w:val="0"/>
        <w:snapToGrid/>
        <w:spacing w:before="0" w:after="0" w:line="390" w:lineRule="exact"/>
        <w:ind w:left="0" w:firstLine="420" w:firstLineChars="200"/>
        <w:textAlignment w:val="auto"/>
        <w:rPr>
          <w:rFonts w:hint="eastAsia" w:ascii="宋体" w:hAnsi="宋体" w:eastAsia="宋体" w:cs="宋体"/>
          <w:b w:val="0"/>
          <w:color w:val="auto"/>
          <w:sz w:val="21"/>
          <w:szCs w:val="21"/>
          <w:highlight w:val="none"/>
        </w:rPr>
      </w:pPr>
      <w:bookmarkStart w:id="369" w:name="_Toc351203540"/>
      <w:r>
        <w:rPr>
          <w:rFonts w:hint="eastAsia" w:ascii="宋体" w:hAnsi="宋体" w:eastAsia="宋体" w:cs="宋体"/>
          <w:b w:val="0"/>
          <w:color w:val="auto"/>
          <w:sz w:val="21"/>
          <w:szCs w:val="21"/>
          <w:highlight w:val="none"/>
        </w:rPr>
        <w:t>6</w:t>
      </w:r>
      <w:bookmarkStart w:id="370" w:name="_Toc337558765"/>
      <w:r>
        <w:rPr>
          <w:rFonts w:hint="eastAsia" w:ascii="宋体" w:hAnsi="宋体" w:eastAsia="宋体" w:cs="宋体"/>
          <w:b w:val="0"/>
          <w:color w:val="auto"/>
          <w:sz w:val="21"/>
          <w:szCs w:val="21"/>
          <w:highlight w:val="none"/>
        </w:rPr>
        <w:t>.2 职业健康</w:t>
      </w:r>
      <w:bookmarkEnd w:id="369"/>
    </w:p>
    <w:bookmarkEnd w:id="370"/>
    <w:p w14:paraId="45C6BC5D">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6.2.1 劳动保护</w:t>
      </w:r>
    </w:p>
    <w:p w14:paraId="6A59C558">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应按照法律规定安排现场施工人员的劳动和休息时间，保障劳动者的休息时间，并支付合理的报酬和费用。承包人应依法为其履行合同所雇用的人员办理必要的证件、许可、保险和注册等，承包人应督促其分包人为分包人所雇用的人员办理必要的证件、许可、保险和注册等。</w:t>
      </w:r>
    </w:p>
    <w:p w14:paraId="6E1DE680">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应按照法律规定保障现场施工人员的劳动安全，并提供劳动保护,并应按国家有关劳动保护的规定，采取有效的防止粉尘、降低噪声、控制有害气体和保障高温、高寒、高空作业安全等劳动保护措施。承包人雇佣人员在施工中受到伤害的，承包人应立即采取有效措施进行抢救和治疗。</w:t>
      </w:r>
    </w:p>
    <w:p w14:paraId="76D4B7C0">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承包人应按法律规定安排工作时间，保证其雇佣人员享有休息和休假的权利。因工程施工的特殊需要占用休假日或延长工作时间的，应不超过法律规定的限度，并按法律规定给予补休或付酬。</w:t>
      </w:r>
    </w:p>
    <w:p w14:paraId="388C35C0">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6.2.2 生活条件</w:t>
      </w:r>
    </w:p>
    <w:p w14:paraId="001EAD5D">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承包人应为其履行合同所雇用的人员提供必要的膳宿条件和生活环境；承包人应采取有效措施预防传染病，保证施工人员的健康，并定期对施工现场、施工人员生活基地和工程进行防疫和卫生的专业检查和处理, 在远离城镇的施工场地，还应配备必要的伤病防治和急救的医务人员与医疗设施。</w:t>
      </w:r>
    </w:p>
    <w:p w14:paraId="1C3C0551">
      <w:pPr>
        <w:pStyle w:val="8"/>
        <w:pageBreakBefore w:val="0"/>
        <w:kinsoku/>
        <w:wordWrap/>
        <w:overflowPunct/>
        <w:topLinePunct w:val="0"/>
        <w:bidi w:val="0"/>
        <w:snapToGrid/>
        <w:spacing w:before="0" w:after="0" w:line="390" w:lineRule="exact"/>
        <w:ind w:left="0" w:firstLine="420" w:firstLineChars="200"/>
        <w:textAlignment w:val="auto"/>
        <w:rPr>
          <w:rFonts w:hint="eastAsia" w:ascii="宋体" w:hAnsi="宋体" w:eastAsia="宋体" w:cs="宋体"/>
          <w:b w:val="0"/>
          <w:color w:val="auto"/>
          <w:sz w:val="21"/>
          <w:szCs w:val="21"/>
          <w:highlight w:val="none"/>
        </w:rPr>
      </w:pPr>
      <w:bookmarkStart w:id="371" w:name="_Toc351203541"/>
      <w:r>
        <w:rPr>
          <w:rFonts w:hint="eastAsia" w:ascii="宋体" w:hAnsi="宋体" w:eastAsia="宋体" w:cs="宋体"/>
          <w:b w:val="0"/>
          <w:color w:val="auto"/>
          <w:sz w:val="21"/>
          <w:szCs w:val="21"/>
          <w:highlight w:val="none"/>
        </w:rPr>
        <w:t>6</w:t>
      </w:r>
      <w:bookmarkStart w:id="372" w:name="_Toc337558766"/>
      <w:r>
        <w:rPr>
          <w:rFonts w:hint="eastAsia" w:ascii="宋体" w:hAnsi="宋体" w:eastAsia="宋体" w:cs="宋体"/>
          <w:b w:val="0"/>
          <w:color w:val="auto"/>
          <w:sz w:val="21"/>
          <w:szCs w:val="21"/>
          <w:highlight w:val="none"/>
        </w:rPr>
        <w:t>.3 环境保护</w:t>
      </w:r>
      <w:bookmarkEnd w:id="371"/>
    </w:p>
    <w:bookmarkEnd w:id="372"/>
    <w:p w14:paraId="5AC11ED4">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承包人应在施工组织设计中列明环境保护的具体措施。在合同履行期间，承包人应采取合理措施保护施工现场环境。对施工作业过程中可能引起的大气、水、噪音以及固体废物污染采取具体可行的防范措施。</w:t>
      </w:r>
    </w:p>
    <w:p w14:paraId="3D8B4889">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承包人应当承担因其原因引起的环境污染侵权损害赔偿责任，因上述环境污染引起纠纷而导致暂停施工的，由此增加的费用和（或）延误的工期由承包人承担。</w:t>
      </w:r>
    </w:p>
    <w:p w14:paraId="5CE463C6">
      <w:pPr>
        <w:pStyle w:val="7"/>
        <w:pageBreakBefore w:val="0"/>
        <w:kinsoku/>
        <w:wordWrap/>
        <w:overflowPunct/>
        <w:topLinePunct w:val="0"/>
        <w:bidi w:val="0"/>
        <w:snapToGrid/>
        <w:spacing w:before="0" w:line="390" w:lineRule="exact"/>
        <w:ind w:left="0"/>
        <w:textAlignment w:val="auto"/>
        <w:rPr>
          <w:rFonts w:hint="eastAsia" w:ascii="宋体" w:hAnsi="宋体" w:eastAsia="宋体" w:cs="宋体"/>
          <w:b w:val="0"/>
          <w:color w:val="auto"/>
          <w:sz w:val="21"/>
          <w:szCs w:val="21"/>
          <w:highlight w:val="none"/>
        </w:rPr>
      </w:pPr>
      <w:bookmarkStart w:id="373" w:name="_Toc351203542"/>
      <w:r>
        <w:rPr>
          <w:rFonts w:hint="eastAsia" w:ascii="宋体" w:hAnsi="宋体" w:eastAsia="宋体" w:cs="宋体"/>
          <w:b w:val="0"/>
          <w:color w:val="auto"/>
          <w:sz w:val="21"/>
          <w:szCs w:val="21"/>
          <w:highlight w:val="none"/>
        </w:rPr>
        <w:t>7</w:t>
      </w:r>
      <w:bookmarkStart w:id="374" w:name="_Toc337558767"/>
      <w:r>
        <w:rPr>
          <w:rFonts w:hint="eastAsia" w:ascii="宋体" w:hAnsi="宋体" w:eastAsia="宋体" w:cs="宋体"/>
          <w:b w:val="0"/>
          <w:color w:val="auto"/>
          <w:sz w:val="21"/>
          <w:szCs w:val="21"/>
          <w:highlight w:val="none"/>
        </w:rPr>
        <w:t>. 工期和进度</w:t>
      </w:r>
      <w:bookmarkEnd w:id="373"/>
    </w:p>
    <w:bookmarkEnd w:id="374"/>
    <w:p w14:paraId="5AB91583">
      <w:pPr>
        <w:pStyle w:val="8"/>
        <w:pageBreakBefore w:val="0"/>
        <w:kinsoku/>
        <w:wordWrap/>
        <w:overflowPunct/>
        <w:topLinePunct w:val="0"/>
        <w:bidi w:val="0"/>
        <w:snapToGrid/>
        <w:spacing w:before="0" w:after="0" w:line="390" w:lineRule="exact"/>
        <w:ind w:left="0" w:firstLine="420" w:firstLineChars="200"/>
        <w:textAlignment w:val="auto"/>
        <w:rPr>
          <w:rFonts w:hint="eastAsia" w:ascii="宋体" w:hAnsi="宋体" w:eastAsia="宋体" w:cs="宋体"/>
          <w:b w:val="0"/>
          <w:color w:val="auto"/>
          <w:sz w:val="21"/>
          <w:szCs w:val="21"/>
          <w:highlight w:val="none"/>
        </w:rPr>
      </w:pPr>
      <w:bookmarkStart w:id="375" w:name="_Toc351203543"/>
      <w:r>
        <w:rPr>
          <w:rFonts w:hint="eastAsia" w:ascii="宋体" w:hAnsi="宋体" w:eastAsia="宋体" w:cs="宋体"/>
          <w:b w:val="0"/>
          <w:color w:val="auto"/>
          <w:sz w:val="21"/>
          <w:szCs w:val="21"/>
          <w:highlight w:val="none"/>
        </w:rPr>
        <w:t>7</w:t>
      </w:r>
      <w:bookmarkStart w:id="376" w:name="_Toc337558768"/>
      <w:bookmarkStart w:id="377" w:name="_Toc296503066"/>
      <w:bookmarkStart w:id="378" w:name="_Toc296346567"/>
      <w:r>
        <w:rPr>
          <w:rFonts w:hint="eastAsia" w:ascii="宋体" w:hAnsi="宋体" w:eastAsia="宋体" w:cs="宋体"/>
          <w:b w:val="0"/>
          <w:color w:val="auto"/>
          <w:sz w:val="21"/>
          <w:szCs w:val="21"/>
          <w:highlight w:val="none"/>
        </w:rPr>
        <w:t>.1施工组织设计</w:t>
      </w:r>
      <w:bookmarkEnd w:id="375"/>
    </w:p>
    <w:bookmarkEnd w:id="376"/>
    <w:p w14:paraId="7E210619">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 xml:space="preserve">7.1.1 </w:t>
      </w:r>
      <w:r>
        <w:rPr>
          <w:rFonts w:hint="eastAsia" w:ascii="宋体" w:hAnsi="宋体" w:eastAsia="宋体" w:cs="宋体"/>
          <w:color w:val="auto"/>
          <w:kern w:val="0"/>
          <w:sz w:val="21"/>
          <w:szCs w:val="21"/>
          <w:highlight w:val="none"/>
        </w:rPr>
        <w:t>施工组织设计的内容</w:t>
      </w:r>
    </w:p>
    <w:p w14:paraId="5B218B38">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施工组织设计应包含以下内容：</w:t>
      </w:r>
    </w:p>
    <w:p w14:paraId="78B1EF73">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（1）施工方案； </w:t>
      </w:r>
    </w:p>
    <w:p w14:paraId="5A6F0481">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（2）施工现场平面布置图；</w:t>
      </w:r>
    </w:p>
    <w:p w14:paraId="0EF568DB">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（3）施工进度计划和保证措施； </w:t>
      </w:r>
    </w:p>
    <w:p w14:paraId="309784B5">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（4）劳动力及材料供应计划；</w:t>
      </w:r>
    </w:p>
    <w:p w14:paraId="0FE9D212">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（5）施工机械设备的选用；</w:t>
      </w:r>
    </w:p>
    <w:p w14:paraId="62F336FA">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（6）质量保证体系及措施；</w:t>
      </w:r>
    </w:p>
    <w:p w14:paraId="4726EA2F">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（7）安全生产、文明施工措施；</w:t>
      </w:r>
    </w:p>
    <w:p w14:paraId="56395D4F">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（8）环境保护、成本控制措施；</w:t>
      </w:r>
    </w:p>
    <w:p w14:paraId="165087A7">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（9）合同当事人约定的其他内容。</w:t>
      </w:r>
    </w:p>
    <w:p w14:paraId="7613117F">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 xml:space="preserve">7.1.2 </w:t>
      </w:r>
      <w:r>
        <w:rPr>
          <w:rFonts w:hint="eastAsia" w:ascii="宋体" w:hAnsi="宋体" w:eastAsia="宋体" w:cs="宋体"/>
          <w:color w:val="auto"/>
          <w:kern w:val="0"/>
          <w:sz w:val="21"/>
          <w:szCs w:val="21"/>
          <w:highlight w:val="none"/>
        </w:rPr>
        <w:t>施工组织设计的提交和修改</w:t>
      </w:r>
    </w:p>
    <w:p w14:paraId="0DC2ED52">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除专用合同条款另有约定外，承包人应在合同签订后14天内，但至迟不得晚于第7.3.2项〔开工通知〕载明的开工日期前7天，向监理人提交详细的施工组织设计，并由监理人报送发包人。除专用合同条款另有约定外，发包人和监理人应在监理人收到施工组织设计后7天内确认或提出修改意见。对发包人和监理人提出的合理意见和要求，承包人应自费修改完善。根据工程实际情况需要修改施工组织设计的，承包人应向发包人和监理人提交修改后的施工组织设计。</w:t>
      </w:r>
    </w:p>
    <w:p w14:paraId="0814E3BF">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施工进度计划的编制和修改按照第7.2款〔施工进度计划〕执行。</w:t>
      </w:r>
    </w:p>
    <w:p w14:paraId="5D9F46E4">
      <w:pPr>
        <w:pStyle w:val="8"/>
        <w:pageBreakBefore w:val="0"/>
        <w:kinsoku/>
        <w:wordWrap/>
        <w:overflowPunct/>
        <w:topLinePunct w:val="0"/>
        <w:bidi w:val="0"/>
        <w:snapToGrid/>
        <w:spacing w:before="0" w:after="0" w:line="390" w:lineRule="exact"/>
        <w:ind w:left="0" w:firstLine="420" w:firstLineChars="200"/>
        <w:textAlignment w:val="auto"/>
        <w:rPr>
          <w:rFonts w:hint="eastAsia" w:ascii="宋体" w:hAnsi="宋体" w:eastAsia="宋体" w:cs="宋体"/>
          <w:b w:val="0"/>
          <w:color w:val="auto"/>
          <w:sz w:val="21"/>
          <w:szCs w:val="21"/>
          <w:highlight w:val="none"/>
        </w:rPr>
      </w:pPr>
      <w:bookmarkStart w:id="379" w:name="_Toc351203544"/>
      <w:r>
        <w:rPr>
          <w:rFonts w:hint="eastAsia" w:ascii="宋体" w:hAnsi="宋体" w:eastAsia="宋体" w:cs="宋体"/>
          <w:b w:val="0"/>
          <w:color w:val="auto"/>
          <w:sz w:val="21"/>
          <w:szCs w:val="21"/>
          <w:highlight w:val="none"/>
        </w:rPr>
        <w:t>7</w:t>
      </w:r>
      <w:bookmarkStart w:id="380" w:name="_Toc337558769"/>
      <w:r>
        <w:rPr>
          <w:rFonts w:hint="eastAsia" w:ascii="宋体" w:hAnsi="宋体" w:eastAsia="宋体" w:cs="宋体"/>
          <w:b w:val="0"/>
          <w:color w:val="auto"/>
          <w:sz w:val="21"/>
          <w:szCs w:val="21"/>
          <w:highlight w:val="none"/>
        </w:rPr>
        <w:t>.2 施工进度计划</w:t>
      </w:r>
      <w:bookmarkEnd w:id="379"/>
    </w:p>
    <w:bookmarkEnd w:id="380"/>
    <w:p w14:paraId="16A5901F">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7.2.1 施工进度计划的编制</w:t>
      </w:r>
    </w:p>
    <w:p w14:paraId="76E70F21">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应按照第7.1款〔施工组织设计〕约定提交详细的施工进度计划，施工进度计划的编制应当符合国家法律规定和一般工程实践惯例，施工进度计划经发包人批准后实施。施工进度计划是控制工程进度的依据，发包人和监理人有权按照施工进度计划检查工程进度情况。</w:t>
      </w:r>
    </w:p>
    <w:p w14:paraId="5ED6E2C3">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7.2.2 施工进度计划的修订</w:t>
      </w:r>
    </w:p>
    <w:p w14:paraId="5B1F5A76">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施工进度计划不符合合同要求或与工程的实际进度不一致的，承包人应向监理人提交修订的施工进度计划，并附具有关措施和相关资料，由监理人报送发包人。除专用合同条款另有约定外，发包人和监理人应在收到修订的施工进度计划后7天内完成审核和批准或提出修改意见。发包人和监理人对承包人提交的施工进度计划的确认，不能减轻或免除承包人根据法律规定和合同约定应承担的任何责任或义务。</w:t>
      </w:r>
    </w:p>
    <w:p w14:paraId="640F5BEA">
      <w:pPr>
        <w:pStyle w:val="8"/>
        <w:pageBreakBefore w:val="0"/>
        <w:kinsoku/>
        <w:wordWrap/>
        <w:overflowPunct/>
        <w:topLinePunct w:val="0"/>
        <w:bidi w:val="0"/>
        <w:snapToGrid/>
        <w:spacing w:before="0" w:after="0" w:line="390" w:lineRule="exact"/>
        <w:ind w:left="0" w:firstLine="420" w:firstLineChars="200"/>
        <w:textAlignment w:val="auto"/>
        <w:rPr>
          <w:rFonts w:hint="eastAsia" w:ascii="宋体" w:hAnsi="宋体" w:eastAsia="宋体" w:cs="宋体"/>
          <w:b w:val="0"/>
          <w:color w:val="auto"/>
          <w:sz w:val="21"/>
          <w:szCs w:val="21"/>
          <w:highlight w:val="none"/>
        </w:rPr>
      </w:pPr>
      <w:bookmarkStart w:id="381" w:name="_Toc351203545"/>
      <w:r>
        <w:rPr>
          <w:rFonts w:hint="eastAsia" w:ascii="宋体" w:hAnsi="宋体" w:eastAsia="宋体" w:cs="宋体"/>
          <w:b w:val="0"/>
          <w:color w:val="auto"/>
          <w:sz w:val="21"/>
          <w:szCs w:val="21"/>
          <w:highlight w:val="none"/>
        </w:rPr>
        <w:t>7</w:t>
      </w:r>
      <w:bookmarkStart w:id="382" w:name="_Toc337558770"/>
      <w:r>
        <w:rPr>
          <w:rFonts w:hint="eastAsia" w:ascii="宋体" w:hAnsi="宋体" w:eastAsia="宋体" w:cs="宋体"/>
          <w:b w:val="0"/>
          <w:color w:val="auto"/>
          <w:sz w:val="21"/>
          <w:szCs w:val="21"/>
          <w:highlight w:val="none"/>
        </w:rPr>
        <w:t>.3 开工</w:t>
      </w:r>
      <w:bookmarkEnd w:id="381"/>
    </w:p>
    <w:p w14:paraId="24DAD806">
      <w:pPr>
        <w:pageBreakBefore w:val="0"/>
        <w:kinsoku/>
        <w:wordWrap/>
        <w:overflowPunct/>
        <w:topLinePunct w:val="0"/>
        <w:bidi w:val="0"/>
        <w:snapToGrid/>
        <w:spacing w:line="39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7.3.1 开工准备</w:t>
      </w:r>
    </w:p>
    <w:p w14:paraId="297FE834">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除专用合同条款另有约定外，承包人应按照第7.1款〔施工组织设计〕约定的期限，向监理人提交工程开工报审表，经监理人报发包人批准后执行。开工报审表应详细说明按施工进度计划正常施工所需的施工道路、临时设施、材料、工程设备、施工设备、施工人员等落实情况以及工程的进度安排。</w:t>
      </w:r>
    </w:p>
    <w:p w14:paraId="4F6D3A99">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除专用合同条款另有约定外，合同当事人应按约定完成开工准备工作。</w:t>
      </w:r>
    </w:p>
    <w:p w14:paraId="2C734E6D">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7.3.2 开工通知</w:t>
      </w:r>
    </w:p>
    <w:bookmarkEnd w:id="382"/>
    <w:p w14:paraId="4912597F">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发包人应按照法律规定获得工程施工所需的许可。经发包人同意后，监理人发出的开工通知应符合法律规定。监理人应在计划开工日期7天前向承包人发出开工通知，工期自开工通知中载明的开工日期起算。</w:t>
      </w:r>
    </w:p>
    <w:p w14:paraId="501D3298">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除专用合同条款另有约定外，因发包人原因造成监理人未能在计划开工日期之日起90天内发出开工通知的，承包人有权提出价格调整要求，或者解除合同。发包人应当承担由此增加的费用和（或）延误的工期，并向承包人支付合理利润。</w:t>
      </w:r>
    </w:p>
    <w:p w14:paraId="5E25037E">
      <w:pPr>
        <w:pStyle w:val="8"/>
        <w:pageBreakBefore w:val="0"/>
        <w:kinsoku/>
        <w:wordWrap/>
        <w:overflowPunct/>
        <w:topLinePunct w:val="0"/>
        <w:bidi w:val="0"/>
        <w:snapToGrid/>
        <w:spacing w:before="0" w:after="0" w:line="390" w:lineRule="exact"/>
        <w:ind w:left="0" w:firstLine="420" w:firstLineChars="200"/>
        <w:textAlignment w:val="auto"/>
        <w:rPr>
          <w:rFonts w:hint="eastAsia" w:ascii="宋体" w:hAnsi="宋体" w:eastAsia="宋体" w:cs="宋体"/>
          <w:b w:val="0"/>
          <w:color w:val="auto"/>
          <w:sz w:val="21"/>
          <w:szCs w:val="21"/>
          <w:highlight w:val="none"/>
        </w:rPr>
      </w:pPr>
      <w:bookmarkStart w:id="383" w:name="_Toc351203546"/>
      <w:r>
        <w:rPr>
          <w:rFonts w:hint="eastAsia" w:ascii="宋体" w:hAnsi="宋体" w:eastAsia="宋体" w:cs="宋体"/>
          <w:b w:val="0"/>
          <w:color w:val="auto"/>
          <w:sz w:val="21"/>
          <w:szCs w:val="21"/>
          <w:highlight w:val="none"/>
        </w:rPr>
        <w:t>7.4测量放线</w:t>
      </w:r>
      <w:bookmarkEnd w:id="383"/>
    </w:p>
    <w:p w14:paraId="47381AE0">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7.4.1 除专用合同条款另有约定外，发包人应在至迟不得晚于第7.3.2项〔开工通知〕载明的开工日期前7天通过监理人向承包人提供测量基准点、基准线和水准点及其书面资料。发包人应对其提供的测量基准点、基准线和水准点及其书面资料的真实性、准确性和完整性负责。</w:t>
      </w:r>
    </w:p>
    <w:p w14:paraId="2B72E790">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发现发包人提供的测量基准点、基准线和水准点及其书面资料存在错误或疏漏的，应及时通知监理人。监理人应及时报告发包人，并会同发包人和承包人予以核实。发包人应就如何处理和是否继续施工作出决定，并通知监理人和承包人。</w:t>
      </w:r>
    </w:p>
    <w:p w14:paraId="03E48372">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7.4.2 承包人负责施工过程中的全部施工测量放线工作，并配置具有相应资质的人员、合格的仪器、设备和其他物品。承包人应矫正工程的位置、标高、尺寸或准线中出现的任何差错，并对工程各部分的定位负责。</w:t>
      </w:r>
    </w:p>
    <w:p w14:paraId="083779C6">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施工过程中对施工现场内水准点等测量标志物的保护工作由承包人负责。</w:t>
      </w:r>
      <w:bookmarkStart w:id="384" w:name="_Toc351203547"/>
    </w:p>
    <w:p w14:paraId="3F53E68C">
      <w:pPr>
        <w:pStyle w:val="8"/>
        <w:pageBreakBefore w:val="0"/>
        <w:kinsoku/>
        <w:wordWrap/>
        <w:overflowPunct/>
        <w:topLinePunct w:val="0"/>
        <w:bidi w:val="0"/>
        <w:snapToGrid/>
        <w:spacing w:before="0" w:after="0" w:line="390" w:lineRule="exact"/>
        <w:ind w:left="0" w:firstLine="420" w:firstLineChars="200"/>
        <w:textAlignment w:val="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7</w:t>
      </w:r>
      <w:bookmarkEnd w:id="377"/>
      <w:bookmarkEnd w:id="378"/>
      <w:bookmarkStart w:id="385" w:name="_Toc296503073"/>
      <w:bookmarkStart w:id="386" w:name="_Toc296346574"/>
      <w:bookmarkStart w:id="387" w:name="_Toc337558772"/>
      <w:r>
        <w:rPr>
          <w:rFonts w:hint="eastAsia" w:ascii="宋体" w:hAnsi="宋体" w:eastAsia="宋体" w:cs="宋体"/>
          <w:b w:val="0"/>
          <w:color w:val="auto"/>
          <w:sz w:val="21"/>
          <w:szCs w:val="21"/>
          <w:highlight w:val="none"/>
        </w:rPr>
        <w:t>.5 工期延误</w:t>
      </w:r>
      <w:bookmarkEnd w:id="384"/>
    </w:p>
    <w:bookmarkEnd w:id="385"/>
    <w:bookmarkEnd w:id="386"/>
    <w:bookmarkEnd w:id="387"/>
    <w:p w14:paraId="3F9EC948">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7.5.1 因发包人原因导致工期延误</w:t>
      </w:r>
    </w:p>
    <w:p w14:paraId="1A762004">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在合同履行过程中，因下列情况导致工期延误和（或）费用增加的，由发包人承担由此延误的工期和（或）增加的费用，且发包人应支付承包人合理的利润： </w:t>
      </w:r>
    </w:p>
    <w:p w14:paraId="45831862">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（1）发包人未能按合同约定提供图纸或所提供图纸不符合合同约定的；</w:t>
      </w:r>
    </w:p>
    <w:p w14:paraId="2C9C9912">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（2）发包人未能按合同约定提供施工现场、施工条件、基础资料、许可、批准等开工条件的；</w:t>
      </w:r>
    </w:p>
    <w:p w14:paraId="0BBE07DE">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（3）发包人提供的测量基准点、基准线和水准点及其书面资料存在错误或疏漏的；</w:t>
      </w:r>
    </w:p>
    <w:p w14:paraId="1BE5176A">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（4）发包人未能在计划开工日期之日起7天内同意下达开工通知的；</w:t>
      </w:r>
    </w:p>
    <w:p w14:paraId="6CB894A3">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（5）发包人未能按合同约定日期支付工程预付款、进度款或竣工结算款的；</w:t>
      </w:r>
    </w:p>
    <w:p w14:paraId="39D22DE2">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（6）监理人未按合同约定发出指示、批准等文件的；</w:t>
      </w:r>
    </w:p>
    <w:p w14:paraId="00E2C073">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（7）专用合同条款中约定的其他情形。</w:t>
      </w:r>
    </w:p>
    <w:p w14:paraId="00A63650">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因发包人原因未按计划开工日期开工的，发包人应按实际开工日期顺延竣工日期，确保实际工期不低于合同约定的工期总日历天数。因发包人原因导致工期延误需要修订施工进度计划的，按照第7.2.2项〔施工进度计划的修订〕执行。</w:t>
      </w:r>
    </w:p>
    <w:p w14:paraId="0DFE5F39">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7.5.2 因承包人原因导致工期延误</w:t>
      </w:r>
    </w:p>
    <w:p w14:paraId="66EF9D25">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bookmarkStart w:id="388" w:name="_Toc296346577"/>
      <w:bookmarkStart w:id="389" w:name="_Toc296503076"/>
      <w:r>
        <w:rPr>
          <w:rFonts w:hint="eastAsia" w:ascii="宋体" w:hAnsi="宋体" w:eastAsia="宋体" w:cs="宋体"/>
          <w:color w:val="auto"/>
          <w:kern w:val="0"/>
          <w:sz w:val="21"/>
          <w:szCs w:val="21"/>
          <w:highlight w:val="none"/>
        </w:rPr>
        <w:t>因</w:t>
      </w:r>
      <w:bookmarkEnd w:id="388"/>
      <w:bookmarkEnd w:id="389"/>
      <w:r>
        <w:rPr>
          <w:rFonts w:hint="eastAsia" w:ascii="宋体" w:hAnsi="宋体" w:eastAsia="宋体" w:cs="宋体"/>
          <w:color w:val="auto"/>
          <w:kern w:val="0"/>
          <w:sz w:val="21"/>
          <w:szCs w:val="21"/>
          <w:highlight w:val="none"/>
        </w:rPr>
        <w:t>承包人原因造成工期延误的，可以在专用合同条款中约定逾期竣工违约金的计算方法和逾期竣工违约金的上限。承包人支付逾期竣工违约金后，不免除承包人继续完成工程及修补缺陷的义务。</w:t>
      </w:r>
    </w:p>
    <w:p w14:paraId="5B4CAEB7">
      <w:pPr>
        <w:pStyle w:val="8"/>
        <w:pageBreakBefore w:val="0"/>
        <w:kinsoku/>
        <w:wordWrap/>
        <w:overflowPunct/>
        <w:topLinePunct w:val="0"/>
        <w:bidi w:val="0"/>
        <w:snapToGrid/>
        <w:spacing w:before="0" w:after="0" w:line="390" w:lineRule="exact"/>
        <w:ind w:left="0" w:firstLine="420" w:firstLineChars="200"/>
        <w:textAlignment w:val="auto"/>
        <w:rPr>
          <w:rFonts w:hint="eastAsia" w:ascii="宋体" w:hAnsi="宋体" w:eastAsia="宋体" w:cs="宋体"/>
          <w:b w:val="0"/>
          <w:color w:val="auto"/>
          <w:sz w:val="21"/>
          <w:szCs w:val="21"/>
          <w:highlight w:val="none"/>
        </w:rPr>
      </w:pPr>
      <w:bookmarkStart w:id="390" w:name="_Toc351203548"/>
      <w:r>
        <w:rPr>
          <w:rFonts w:hint="eastAsia" w:ascii="宋体" w:hAnsi="宋体" w:eastAsia="宋体" w:cs="宋体"/>
          <w:b w:val="0"/>
          <w:color w:val="auto"/>
          <w:sz w:val="21"/>
          <w:szCs w:val="21"/>
          <w:highlight w:val="none"/>
        </w:rPr>
        <w:t>7</w:t>
      </w:r>
      <w:bookmarkStart w:id="391" w:name="_Toc337558773"/>
      <w:bookmarkStart w:id="392" w:name="_Toc296503074"/>
      <w:bookmarkStart w:id="393" w:name="_Toc296346575"/>
      <w:bookmarkStart w:id="394" w:name="_Toc296346578"/>
      <w:bookmarkStart w:id="395" w:name="_Toc296503077"/>
      <w:r>
        <w:rPr>
          <w:rFonts w:hint="eastAsia" w:ascii="宋体" w:hAnsi="宋体" w:eastAsia="宋体" w:cs="宋体"/>
          <w:b w:val="0"/>
          <w:color w:val="auto"/>
          <w:sz w:val="21"/>
          <w:szCs w:val="21"/>
          <w:highlight w:val="none"/>
        </w:rPr>
        <w:t>.6 不利物质条件</w:t>
      </w:r>
      <w:bookmarkEnd w:id="390"/>
    </w:p>
    <w:bookmarkEnd w:id="391"/>
    <w:bookmarkEnd w:id="392"/>
    <w:bookmarkEnd w:id="393"/>
    <w:p w14:paraId="14DAC75E">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不利物质条件是指有经验的承包人在施工现场遇到的不可预见的自然物质条件、非自然的物质障碍和污染物，包括地表以下物质条件和水文条件以及专用合同条款约定的其他情形，但不包括气候条件。</w:t>
      </w:r>
    </w:p>
    <w:p w14:paraId="11C2A5A8">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遇到不利物质条件时，应采取克服不利物质条件的合理措施继续施工，并及时通知发包人和监理人。通知应载明不利物质条件的内容以及承包人认为不可预见的理由。监理人经发包人同意后应当及时发出指示，指示构成变更的，按第10条〔变更〕约定执行。承包人因采取合理措施而增加的费用和（或）延误的工期由发包人承担。</w:t>
      </w:r>
    </w:p>
    <w:p w14:paraId="03010536">
      <w:pPr>
        <w:pStyle w:val="8"/>
        <w:pageBreakBefore w:val="0"/>
        <w:kinsoku/>
        <w:wordWrap/>
        <w:overflowPunct/>
        <w:topLinePunct w:val="0"/>
        <w:bidi w:val="0"/>
        <w:snapToGrid/>
        <w:spacing w:before="0" w:after="0" w:line="390" w:lineRule="exact"/>
        <w:ind w:left="0" w:firstLine="420" w:firstLineChars="200"/>
        <w:textAlignment w:val="auto"/>
        <w:rPr>
          <w:rFonts w:hint="eastAsia" w:ascii="宋体" w:hAnsi="宋体" w:eastAsia="宋体" w:cs="宋体"/>
          <w:b w:val="0"/>
          <w:color w:val="auto"/>
          <w:sz w:val="21"/>
          <w:szCs w:val="21"/>
          <w:highlight w:val="none"/>
        </w:rPr>
      </w:pPr>
      <w:bookmarkStart w:id="396" w:name="_Toc351203549"/>
      <w:r>
        <w:rPr>
          <w:rFonts w:hint="eastAsia" w:ascii="宋体" w:hAnsi="宋体" w:eastAsia="宋体" w:cs="宋体"/>
          <w:b w:val="0"/>
          <w:color w:val="auto"/>
          <w:sz w:val="21"/>
          <w:szCs w:val="21"/>
          <w:highlight w:val="none"/>
        </w:rPr>
        <w:t>7</w:t>
      </w:r>
      <w:bookmarkStart w:id="397" w:name="_Toc337558774"/>
      <w:bookmarkStart w:id="398" w:name="_Toc296346576"/>
      <w:bookmarkStart w:id="399" w:name="_Toc296503075"/>
      <w:r>
        <w:rPr>
          <w:rFonts w:hint="eastAsia" w:ascii="宋体" w:hAnsi="宋体" w:eastAsia="宋体" w:cs="宋体"/>
          <w:b w:val="0"/>
          <w:color w:val="auto"/>
          <w:sz w:val="21"/>
          <w:szCs w:val="21"/>
          <w:highlight w:val="none"/>
        </w:rPr>
        <w:t>.7 异常恶劣的气候条件</w:t>
      </w:r>
      <w:bookmarkEnd w:id="396"/>
    </w:p>
    <w:bookmarkEnd w:id="397"/>
    <w:bookmarkEnd w:id="398"/>
    <w:bookmarkEnd w:id="399"/>
    <w:p w14:paraId="2C03E8F8">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异常恶劣的气候条件是指在施工过程中遇到的，有经验的承包人在签订合同时不可预见的，对合同履行造成实质性影响的，但尚未构成不可抗力事件的恶劣气候条件。合同当事人可以在专用合同条款中约定异常恶劣的气候条件的具体情形。</w:t>
      </w:r>
    </w:p>
    <w:p w14:paraId="3FDC760F">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应采取克服异常恶劣的气候条件的合理措施继续施工，并及时通知发包人和监理人。监理人经发包人同意后应当及时发出指示，指示构成变更的，按第10条〔变更〕约定办理。承包人因采取合理措施而增加的费用和（或）延误的工期由发包人承担。</w:t>
      </w:r>
      <w:bookmarkStart w:id="400" w:name="_Toc351203550"/>
    </w:p>
    <w:p w14:paraId="4A23D4B3">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outlineLvl w:val="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7</w:t>
      </w:r>
      <w:bookmarkStart w:id="401" w:name="_Toc337558775"/>
      <w:r>
        <w:rPr>
          <w:rFonts w:hint="eastAsia" w:ascii="宋体" w:hAnsi="宋体" w:eastAsia="宋体" w:cs="宋体"/>
          <w:bCs/>
          <w:color w:val="auto"/>
          <w:sz w:val="21"/>
          <w:szCs w:val="21"/>
          <w:highlight w:val="none"/>
        </w:rPr>
        <w:t>.8 暂停施工</w:t>
      </w:r>
      <w:bookmarkEnd w:id="400"/>
    </w:p>
    <w:bookmarkEnd w:id="394"/>
    <w:bookmarkEnd w:id="395"/>
    <w:bookmarkEnd w:id="401"/>
    <w:p w14:paraId="6176FB79">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7.8.1发包人原因引起的暂停施工</w:t>
      </w:r>
    </w:p>
    <w:p w14:paraId="3C81ECBD">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因发包人原因引起暂停施工的，监理人经发包人同意后，应及时下达暂停施工指示。情况紧急且监理人未及时下达暂停施工指示的，按照第7.8.4项〔紧急情况下的暂停施工〕执行。</w:t>
      </w:r>
    </w:p>
    <w:p w14:paraId="4CDB6176">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因发包人原因引起的暂停施工，发包人应承担由此增加的费用和（或）延误的工期，并支付承包人合理的利润。</w:t>
      </w:r>
    </w:p>
    <w:p w14:paraId="120B0049">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7.8.2 承包人原因引起的暂停施工</w:t>
      </w:r>
    </w:p>
    <w:p w14:paraId="48B4CD9F">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因承包人原因引起的暂停施工，承包人应承担由此增加的费用和（或）延误的工期，且承包人在收到监理人复工指示后84天内仍未复工的，视为第16.2.1项〔承包人违约的情形〕第（7）目约定的承包人无法继续履行合同的情形。</w:t>
      </w:r>
    </w:p>
    <w:p w14:paraId="3A2A03BA">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7.8.3 指示暂停施工</w:t>
      </w:r>
    </w:p>
    <w:p w14:paraId="6DF85137">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监理人认为有必要时，并经发包人批准后，可向承包人作出暂停施工的指示，承包人应按监理人指示暂停施工。</w:t>
      </w:r>
    </w:p>
    <w:p w14:paraId="3526E5DA">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7.8.4 紧急情况下的暂停施工</w:t>
      </w:r>
    </w:p>
    <w:p w14:paraId="5C705EFB">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因紧急情况需暂停施工，且监理人未及时下达暂停施工指示的，承包人可先暂停施工，并及时通知监理人。监理人应在接到通知后24小时内发出指示，逾期未发出指示，视为同意承包人暂停施工。监理人不同意承包人暂停施工的，应说明理由，承包人对监理人的答复有异议，按照第20条〔争议解决〕约定处理。</w:t>
      </w:r>
    </w:p>
    <w:p w14:paraId="6547C08F">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7.8.5 暂停施工后的复工</w:t>
      </w:r>
    </w:p>
    <w:p w14:paraId="47B67CB6">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暂停施工后，发包人和承包人应采取有效措施积极消除暂停施工的影响。在工程复工前，监理人会同发包人和承包人确定因暂停施工造成的损失，并确定工程复工条件。当工程具备复工条件时，监理人应经发包人批准后向承包人发出复工通知，承包人应按照复工通知要求复工。</w:t>
      </w:r>
    </w:p>
    <w:p w14:paraId="06D1E7B6">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承包人无故拖延和拒绝复工的，承包人承担由此增加的费用和（或）延误的工期；因发包人原因无法按时复工的，按照第7.5.1项〔因发包人原因导致工期延误〕约定办理。</w:t>
      </w:r>
    </w:p>
    <w:p w14:paraId="0328120E">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7.8.6 暂停施工持续56天以上</w:t>
      </w:r>
    </w:p>
    <w:p w14:paraId="335914F1">
      <w:pPr>
        <w:pageBreakBefore w:val="0"/>
        <w:kinsoku/>
        <w:wordWrap/>
        <w:overflowPunct/>
        <w:topLinePunct w:val="0"/>
        <w:bidi w:val="0"/>
        <w:snapToGrid/>
        <w:spacing w:line="390" w:lineRule="exact"/>
        <w:ind w:left="0" w:firstLine="409" w:firstLineChars="195"/>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监理人发出暂停施工指示后56天内未向承包人发出复工通知，除该项停工属于第7.8.2项〔承包人原因引起的暂停施工〕及第17条〔不可抗力〕约定的情形外，承包人可向发包人提交书面通知，要求发包人在收到书面通知后28天内准许已暂停施工的部分或全部工程继续施工。发包人逾期不予批准的，则承包人可以通知发包人，将工程受影响的部分视为按第10.1款〔变更的范围〕第（2）项的可取消工作。</w:t>
      </w:r>
    </w:p>
    <w:p w14:paraId="7AEB121C">
      <w:pPr>
        <w:pageBreakBefore w:val="0"/>
        <w:kinsoku/>
        <w:wordWrap/>
        <w:overflowPunct/>
        <w:topLinePunct w:val="0"/>
        <w:bidi w:val="0"/>
        <w:snapToGrid/>
        <w:spacing w:line="390" w:lineRule="exact"/>
        <w:ind w:left="0" w:firstLine="409" w:firstLineChars="195"/>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暂停施工持续84天以上不复工的，且不属于第7.8.2项〔承包人原因引起的暂停施工〕及第17条〔不可抗力〕约定的情形，并影响到整个工程以及合同目的实现的，承包人有权提出价格调整要求，或者解除合同。解除合同的，按照第16.1.3项〔因发包人违约解除合同〕执行。</w:t>
      </w:r>
    </w:p>
    <w:p w14:paraId="7176B13B">
      <w:pPr>
        <w:pageBreakBefore w:val="0"/>
        <w:kinsoku/>
        <w:wordWrap/>
        <w:overflowPunct/>
        <w:topLinePunct w:val="0"/>
        <w:bidi w:val="0"/>
        <w:snapToGrid/>
        <w:spacing w:line="390" w:lineRule="exact"/>
        <w:ind w:left="0" w:firstLine="409" w:firstLineChars="195"/>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7.8.7 暂停施工期间的工程照管</w:t>
      </w:r>
    </w:p>
    <w:p w14:paraId="2B2874DD">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暂停施工期间，承包人应负责妥善照管工程并提供安全保障，由此增加的费用由责任方承担。</w:t>
      </w:r>
    </w:p>
    <w:p w14:paraId="34C386AA">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7.8.8 暂停施工的措施</w:t>
      </w:r>
    </w:p>
    <w:p w14:paraId="1E452C6C">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暂停施工期间，发包人和承包人均应采取必要的措施确保工程质量及安全，防止因暂停施工扩大损失。</w:t>
      </w:r>
    </w:p>
    <w:p w14:paraId="124F7A98">
      <w:pPr>
        <w:pStyle w:val="8"/>
        <w:pageBreakBefore w:val="0"/>
        <w:kinsoku/>
        <w:wordWrap/>
        <w:overflowPunct/>
        <w:topLinePunct w:val="0"/>
        <w:bidi w:val="0"/>
        <w:snapToGrid/>
        <w:spacing w:before="0" w:after="0" w:line="390" w:lineRule="exact"/>
        <w:ind w:left="0" w:firstLine="420" w:firstLineChars="200"/>
        <w:textAlignment w:val="auto"/>
        <w:rPr>
          <w:rFonts w:hint="eastAsia" w:ascii="宋体" w:hAnsi="宋体" w:eastAsia="宋体" w:cs="宋体"/>
          <w:b w:val="0"/>
          <w:color w:val="auto"/>
          <w:sz w:val="21"/>
          <w:szCs w:val="21"/>
          <w:highlight w:val="none"/>
        </w:rPr>
      </w:pPr>
      <w:bookmarkStart w:id="402" w:name="_Toc351203551"/>
      <w:r>
        <w:rPr>
          <w:rFonts w:hint="eastAsia" w:ascii="宋体" w:hAnsi="宋体" w:eastAsia="宋体" w:cs="宋体"/>
          <w:b w:val="0"/>
          <w:color w:val="auto"/>
          <w:sz w:val="21"/>
          <w:szCs w:val="21"/>
          <w:highlight w:val="none"/>
        </w:rPr>
        <w:t>7.9提前竣工</w:t>
      </w:r>
      <w:bookmarkEnd w:id="402"/>
    </w:p>
    <w:p w14:paraId="6FEB857B">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7.9.1 发包人要求承包人提前竣工的，发包人应通过监理人向承包人下达提前竣工指示，承包人应向发包人和监理人提交提前竣工建议书，提前竣工建议书应包括实施的方案、缩短的时间、增加的合同价格等内容。发包人接受该提前竣工建议书的，监理人应与发包人和承包人协商采取加快工程进度的措施，并修订施工进度计划，由此增加的费用由发包人承担。承包人认为提前竣工指示无法执行的，应向监理人和发包人提出书面异议，发包人和监理人应在收到异议后7天内予以答复。任何情况下，发包人不得压缩合理工期。</w:t>
      </w:r>
    </w:p>
    <w:p w14:paraId="4B55F454">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7.9.2 发包人要求承包人提前竣工，或承包人提出提前竣工的建议能够给发包人带来效益的，合同当事人可以在专用合同条款中约定提前竣工的奖励。</w:t>
      </w:r>
    </w:p>
    <w:p w14:paraId="3855C64A">
      <w:pPr>
        <w:pStyle w:val="7"/>
        <w:pageBreakBefore w:val="0"/>
        <w:kinsoku/>
        <w:wordWrap/>
        <w:overflowPunct/>
        <w:topLinePunct w:val="0"/>
        <w:bidi w:val="0"/>
        <w:snapToGrid/>
        <w:spacing w:before="0" w:line="390" w:lineRule="exact"/>
        <w:ind w:left="0"/>
        <w:textAlignment w:val="auto"/>
        <w:rPr>
          <w:rFonts w:hint="eastAsia" w:ascii="宋体" w:hAnsi="宋体" w:eastAsia="宋体" w:cs="宋体"/>
          <w:b w:val="0"/>
          <w:color w:val="auto"/>
          <w:sz w:val="21"/>
          <w:szCs w:val="21"/>
          <w:highlight w:val="none"/>
        </w:rPr>
      </w:pPr>
      <w:bookmarkStart w:id="403" w:name="_Toc351203552"/>
      <w:r>
        <w:rPr>
          <w:rFonts w:hint="eastAsia" w:ascii="宋体" w:hAnsi="宋体" w:eastAsia="宋体" w:cs="宋体"/>
          <w:b w:val="0"/>
          <w:color w:val="auto"/>
          <w:sz w:val="21"/>
          <w:szCs w:val="21"/>
          <w:highlight w:val="none"/>
        </w:rPr>
        <w:t>8</w:t>
      </w:r>
      <w:bookmarkStart w:id="404" w:name="_Toc296503058"/>
      <w:bookmarkStart w:id="405" w:name="_Toc337558776"/>
      <w:bookmarkStart w:id="406" w:name="_Toc296346559"/>
      <w:r>
        <w:rPr>
          <w:rFonts w:hint="eastAsia" w:ascii="宋体" w:hAnsi="宋体" w:eastAsia="宋体" w:cs="宋体"/>
          <w:b w:val="0"/>
          <w:color w:val="auto"/>
          <w:sz w:val="21"/>
          <w:szCs w:val="21"/>
          <w:highlight w:val="none"/>
        </w:rPr>
        <w:t>. 材料与设备</w:t>
      </w:r>
      <w:bookmarkEnd w:id="403"/>
    </w:p>
    <w:bookmarkEnd w:id="404"/>
    <w:bookmarkEnd w:id="405"/>
    <w:bookmarkEnd w:id="406"/>
    <w:p w14:paraId="02DB5C1D">
      <w:pPr>
        <w:pStyle w:val="8"/>
        <w:pageBreakBefore w:val="0"/>
        <w:kinsoku/>
        <w:wordWrap/>
        <w:overflowPunct/>
        <w:topLinePunct w:val="0"/>
        <w:bidi w:val="0"/>
        <w:snapToGrid/>
        <w:spacing w:before="0" w:after="0" w:line="390" w:lineRule="exact"/>
        <w:ind w:left="0" w:firstLine="420" w:firstLineChars="200"/>
        <w:textAlignment w:val="auto"/>
        <w:rPr>
          <w:rFonts w:hint="eastAsia" w:ascii="宋体" w:hAnsi="宋体" w:eastAsia="宋体" w:cs="宋体"/>
          <w:b w:val="0"/>
          <w:color w:val="auto"/>
          <w:sz w:val="21"/>
          <w:szCs w:val="21"/>
          <w:highlight w:val="none"/>
        </w:rPr>
      </w:pPr>
      <w:bookmarkStart w:id="407" w:name="_Toc351203553"/>
      <w:r>
        <w:rPr>
          <w:rFonts w:hint="eastAsia" w:ascii="宋体" w:hAnsi="宋体" w:eastAsia="宋体" w:cs="宋体"/>
          <w:b w:val="0"/>
          <w:color w:val="auto"/>
          <w:sz w:val="21"/>
          <w:szCs w:val="21"/>
          <w:highlight w:val="none"/>
        </w:rPr>
        <w:t>8</w:t>
      </w:r>
      <w:bookmarkStart w:id="408" w:name="_Toc296346560"/>
      <w:bookmarkStart w:id="409" w:name="_Toc296503059"/>
      <w:bookmarkStart w:id="410" w:name="_Toc337558777"/>
      <w:bookmarkStart w:id="411" w:name="_Toc468936960"/>
      <w:r>
        <w:rPr>
          <w:rFonts w:hint="eastAsia" w:ascii="宋体" w:hAnsi="宋体" w:eastAsia="宋体" w:cs="宋体"/>
          <w:b w:val="0"/>
          <w:color w:val="auto"/>
          <w:sz w:val="21"/>
          <w:szCs w:val="21"/>
          <w:highlight w:val="none"/>
        </w:rPr>
        <w:t>.1发包人供应材料与工程设备</w:t>
      </w:r>
      <w:bookmarkEnd w:id="407"/>
    </w:p>
    <w:bookmarkEnd w:id="408"/>
    <w:bookmarkEnd w:id="409"/>
    <w:bookmarkEnd w:id="410"/>
    <w:p w14:paraId="3D6D3DDC">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发包人自行供应材料、工程设备的，应在签订合同时在专用合同条款的附件《发包人供应材料设备一览表》中明确材料、工程设备的品种、规格、型号、数量、单价、质量等级和送达地点。</w:t>
      </w:r>
    </w:p>
    <w:p w14:paraId="1351CED3">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应提前30天通过监理人以书面形式通知发包人供应材料与工程设备进场。承包人按照第7.2.2项〔施工进度计划的修订〕约定修订施工进度计划时，需同时提交经修订后的发包人供应材料与工程设备的进场计划。</w:t>
      </w:r>
    </w:p>
    <w:p w14:paraId="36F8B778">
      <w:pPr>
        <w:pStyle w:val="8"/>
        <w:pageBreakBefore w:val="0"/>
        <w:kinsoku/>
        <w:wordWrap/>
        <w:overflowPunct/>
        <w:topLinePunct w:val="0"/>
        <w:bidi w:val="0"/>
        <w:snapToGrid/>
        <w:spacing w:before="0" w:after="0" w:line="390" w:lineRule="exact"/>
        <w:ind w:left="0" w:firstLine="420" w:firstLineChars="200"/>
        <w:textAlignment w:val="auto"/>
        <w:rPr>
          <w:rFonts w:hint="eastAsia" w:ascii="宋体" w:hAnsi="宋体" w:eastAsia="宋体" w:cs="宋体"/>
          <w:color w:val="auto"/>
          <w:sz w:val="21"/>
          <w:szCs w:val="21"/>
          <w:highlight w:val="none"/>
        </w:rPr>
      </w:pPr>
      <w:bookmarkStart w:id="412" w:name="_Toc351203554"/>
      <w:r>
        <w:rPr>
          <w:rFonts w:hint="eastAsia" w:ascii="宋体" w:hAnsi="宋体" w:eastAsia="宋体" w:cs="宋体"/>
          <w:b w:val="0"/>
          <w:color w:val="auto"/>
          <w:sz w:val="21"/>
          <w:szCs w:val="21"/>
          <w:highlight w:val="none"/>
        </w:rPr>
        <w:t>8</w:t>
      </w:r>
      <w:bookmarkStart w:id="413" w:name="_Toc337558778"/>
      <w:bookmarkStart w:id="414" w:name="_Toc296346561"/>
      <w:bookmarkStart w:id="415" w:name="_Toc296503060"/>
      <w:r>
        <w:rPr>
          <w:rFonts w:hint="eastAsia" w:ascii="宋体" w:hAnsi="宋体" w:eastAsia="宋体" w:cs="宋体"/>
          <w:b w:val="0"/>
          <w:color w:val="auto"/>
          <w:sz w:val="21"/>
          <w:szCs w:val="21"/>
          <w:highlight w:val="none"/>
        </w:rPr>
        <w:t>.2承包人采购材料与工程设备</w:t>
      </w:r>
      <w:bookmarkEnd w:id="412"/>
    </w:p>
    <w:bookmarkEnd w:id="413"/>
    <w:bookmarkEnd w:id="414"/>
    <w:bookmarkEnd w:id="415"/>
    <w:p w14:paraId="7188C335">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负责采购材料、工程设备的，应按照设计和有关标准要求采购，并提供产品合格证明及出厂证明，对材料、工程设备质量负责。合同约定由承包人采购的材料、工程设备，发包人不得指定生产厂家或供应商，发包人违反本款约定指定生产厂家或供应商的，承包人有权拒绝，并由发包人承担相应责任。</w:t>
      </w:r>
    </w:p>
    <w:p w14:paraId="45F60E73">
      <w:pPr>
        <w:pStyle w:val="8"/>
        <w:pageBreakBefore w:val="0"/>
        <w:kinsoku/>
        <w:wordWrap/>
        <w:overflowPunct/>
        <w:topLinePunct w:val="0"/>
        <w:bidi w:val="0"/>
        <w:snapToGrid/>
        <w:spacing w:before="0" w:after="0" w:line="390" w:lineRule="exact"/>
        <w:ind w:left="0" w:firstLine="420" w:firstLineChars="200"/>
        <w:textAlignment w:val="auto"/>
        <w:rPr>
          <w:rFonts w:hint="eastAsia" w:ascii="宋体" w:hAnsi="宋体" w:eastAsia="宋体" w:cs="宋体"/>
          <w:b w:val="0"/>
          <w:color w:val="auto"/>
          <w:sz w:val="21"/>
          <w:szCs w:val="21"/>
          <w:highlight w:val="none"/>
        </w:rPr>
      </w:pPr>
      <w:bookmarkStart w:id="416" w:name="_Toc351203555"/>
      <w:r>
        <w:rPr>
          <w:rFonts w:hint="eastAsia" w:ascii="宋体" w:hAnsi="宋体" w:eastAsia="宋体" w:cs="宋体"/>
          <w:b w:val="0"/>
          <w:color w:val="auto"/>
          <w:sz w:val="21"/>
          <w:szCs w:val="21"/>
          <w:highlight w:val="none"/>
        </w:rPr>
        <w:t>8</w:t>
      </w:r>
      <w:bookmarkStart w:id="417" w:name="_Toc296346562"/>
      <w:bookmarkStart w:id="418" w:name="_Toc337558779"/>
      <w:bookmarkStart w:id="419" w:name="_Toc296503061"/>
      <w:r>
        <w:rPr>
          <w:rFonts w:hint="eastAsia" w:ascii="宋体" w:hAnsi="宋体" w:eastAsia="宋体" w:cs="宋体"/>
          <w:b w:val="0"/>
          <w:color w:val="auto"/>
          <w:sz w:val="21"/>
          <w:szCs w:val="21"/>
          <w:highlight w:val="none"/>
        </w:rPr>
        <w:t>.3材料与工程设备的接收与拒收</w:t>
      </w:r>
      <w:bookmarkEnd w:id="416"/>
    </w:p>
    <w:bookmarkEnd w:id="417"/>
    <w:bookmarkEnd w:id="418"/>
    <w:bookmarkEnd w:id="419"/>
    <w:p w14:paraId="2E4729F4">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8.3.1 发包人应按《发包人供应材料设备一览表》约定的内容提供材料和工程设备，并向承包人提供产品合格证明及出厂证明，对其质量负责。发包人应提前24小时以书面形式通知承包人、监理人材料和工程设备到货时间，承包人负责材料和工程设备的清点、检验和接收。</w:t>
      </w:r>
    </w:p>
    <w:p w14:paraId="467FB653">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发包人提供的材料和工程设备的规格、数量或质量不符合合同约定的，或因发包人原因导致交货日期延误或交货地点变更等情况的，按照第16.1款〔发包人违约〕约定办理。</w:t>
      </w:r>
    </w:p>
    <w:p w14:paraId="4768DE8F">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8.3.2 承包人采购的材料和工程设备，应保证产品质量合格，承包人应在材料和工程设备到货前24小时通知监理人检验。承</w:t>
      </w:r>
      <w:bookmarkStart w:id="420" w:name="_Toc250655469"/>
      <w:r>
        <w:rPr>
          <w:rFonts w:hint="eastAsia" w:ascii="宋体" w:hAnsi="宋体" w:eastAsia="宋体" w:cs="宋体"/>
          <w:color w:val="auto"/>
          <w:kern w:val="0"/>
          <w:sz w:val="21"/>
          <w:szCs w:val="21"/>
          <w:highlight w:val="none"/>
        </w:rPr>
        <w:t>包人进行永久设备、材料的制造和生产的，应符合相关质量标准，并向监理人提交材料的样本以及有关资料，并应在使用该材料或工程设备之前获得监理人同意。</w:t>
      </w:r>
    </w:p>
    <w:bookmarkEnd w:id="420"/>
    <w:p w14:paraId="36310DA2">
      <w:pPr>
        <w:pageBreakBefore w:val="0"/>
        <w:kinsoku/>
        <w:wordWrap/>
        <w:overflowPunct/>
        <w:topLinePunct w:val="0"/>
        <w:autoSpaceDE w:val="0"/>
        <w:autoSpaceDN w:val="0"/>
        <w:bidi w:val="0"/>
        <w:adjustRightInd w:val="0"/>
        <w:snapToGrid/>
        <w:spacing w:line="390" w:lineRule="exact"/>
        <w:ind w:left="0" w:firstLine="315" w:firstLineChars="15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14:paraId="2245F58D">
      <w:pPr>
        <w:pStyle w:val="8"/>
        <w:pageBreakBefore w:val="0"/>
        <w:kinsoku/>
        <w:wordWrap/>
        <w:overflowPunct/>
        <w:topLinePunct w:val="0"/>
        <w:bidi w:val="0"/>
        <w:snapToGrid/>
        <w:spacing w:before="0" w:after="0" w:line="390" w:lineRule="exact"/>
        <w:ind w:left="0" w:firstLine="420" w:firstLineChars="200"/>
        <w:textAlignment w:val="auto"/>
        <w:rPr>
          <w:rFonts w:hint="eastAsia" w:ascii="宋体" w:hAnsi="宋体" w:eastAsia="宋体" w:cs="宋体"/>
          <w:b w:val="0"/>
          <w:color w:val="auto"/>
          <w:sz w:val="21"/>
          <w:szCs w:val="21"/>
          <w:highlight w:val="none"/>
        </w:rPr>
      </w:pPr>
      <w:bookmarkStart w:id="421" w:name="_Toc351203556"/>
      <w:r>
        <w:rPr>
          <w:rFonts w:hint="eastAsia" w:ascii="宋体" w:hAnsi="宋体" w:eastAsia="宋体" w:cs="宋体"/>
          <w:b w:val="0"/>
          <w:color w:val="auto"/>
          <w:sz w:val="21"/>
          <w:szCs w:val="21"/>
          <w:highlight w:val="none"/>
        </w:rPr>
        <w:t>8</w:t>
      </w:r>
      <w:bookmarkStart w:id="422" w:name="_Toc296346563"/>
      <w:bookmarkStart w:id="423" w:name="_Toc296503062"/>
      <w:bookmarkStart w:id="424" w:name="_Toc337558780"/>
      <w:r>
        <w:rPr>
          <w:rFonts w:hint="eastAsia" w:ascii="宋体" w:hAnsi="宋体" w:eastAsia="宋体" w:cs="宋体"/>
          <w:b w:val="0"/>
          <w:color w:val="auto"/>
          <w:sz w:val="21"/>
          <w:szCs w:val="21"/>
          <w:highlight w:val="none"/>
        </w:rPr>
        <w:t>.4材料与工程设备的保管与使用</w:t>
      </w:r>
      <w:bookmarkEnd w:id="421"/>
    </w:p>
    <w:bookmarkEnd w:id="422"/>
    <w:bookmarkEnd w:id="423"/>
    <w:bookmarkEnd w:id="424"/>
    <w:p w14:paraId="638BBF37">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8.4.1 发包人供应</w:t>
      </w:r>
      <w:r>
        <w:rPr>
          <w:rFonts w:hint="eastAsia" w:ascii="宋体" w:hAnsi="宋体" w:eastAsia="宋体" w:cs="宋体"/>
          <w:color w:val="auto"/>
          <w:sz w:val="21"/>
          <w:szCs w:val="21"/>
          <w:highlight w:val="none"/>
        </w:rPr>
        <w:t>材料与</w:t>
      </w:r>
      <w:r>
        <w:rPr>
          <w:rFonts w:hint="eastAsia" w:ascii="宋体" w:hAnsi="宋体" w:eastAsia="宋体" w:cs="宋体"/>
          <w:color w:val="auto"/>
          <w:kern w:val="0"/>
          <w:sz w:val="21"/>
          <w:szCs w:val="21"/>
          <w:highlight w:val="none"/>
        </w:rPr>
        <w:t>工程</w:t>
      </w:r>
      <w:r>
        <w:rPr>
          <w:rFonts w:hint="eastAsia" w:ascii="宋体" w:hAnsi="宋体" w:eastAsia="宋体" w:cs="宋体"/>
          <w:color w:val="auto"/>
          <w:sz w:val="21"/>
          <w:szCs w:val="21"/>
          <w:highlight w:val="none"/>
        </w:rPr>
        <w:t>设备的保管与使用</w:t>
      </w:r>
    </w:p>
    <w:p w14:paraId="1D67D344">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供应的材料和工程设备，承包人清点后由承包人妥善保管，保管费用由发包人承担，但已标价工程量清单或预算书已经列支或专用合同条款另有约定除外。因承包人原因发生丢失毁损的，由承包人负责赔偿；监理人未通知承包人清点的，承包人不负责材料和工程设备的保管，由此导致丢失毁损的由发包人负责。</w:t>
      </w:r>
    </w:p>
    <w:p w14:paraId="6CA5E669">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发包人供应的材料和工程设备使用前，由承包人负责检验，检验费用由发包人承担，不合格的不得使用。</w:t>
      </w:r>
    </w:p>
    <w:p w14:paraId="209F1283">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8.4.2 承包人采购</w:t>
      </w:r>
      <w:r>
        <w:rPr>
          <w:rFonts w:hint="eastAsia" w:ascii="宋体" w:hAnsi="宋体" w:eastAsia="宋体" w:cs="宋体"/>
          <w:color w:val="auto"/>
          <w:sz w:val="21"/>
          <w:szCs w:val="21"/>
          <w:highlight w:val="none"/>
        </w:rPr>
        <w:t>材料与</w:t>
      </w:r>
      <w:r>
        <w:rPr>
          <w:rFonts w:hint="eastAsia" w:ascii="宋体" w:hAnsi="宋体" w:eastAsia="宋体" w:cs="宋体"/>
          <w:color w:val="auto"/>
          <w:kern w:val="0"/>
          <w:sz w:val="21"/>
          <w:szCs w:val="21"/>
          <w:highlight w:val="none"/>
        </w:rPr>
        <w:t>工程</w:t>
      </w:r>
      <w:r>
        <w:rPr>
          <w:rFonts w:hint="eastAsia" w:ascii="宋体" w:hAnsi="宋体" w:eastAsia="宋体" w:cs="宋体"/>
          <w:color w:val="auto"/>
          <w:sz w:val="21"/>
          <w:szCs w:val="21"/>
          <w:highlight w:val="none"/>
        </w:rPr>
        <w:t>设备的保管与使用</w:t>
      </w:r>
    </w:p>
    <w:p w14:paraId="2552A323">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采购的材料和工程设备由承包人妥善保管，保管费用由承包人承担。法律规定材料和工程设备使用前必须进行检验或试验的，承包人应按监理人的要求进行检验或试验，检验或试验费用由承包人承担，不合格的不得使用。</w:t>
      </w:r>
    </w:p>
    <w:p w14:paraId="7B2C6A41">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发包人或监理人发现承包人使用不符合设计或有关标准要求的材料和工程设备时，有权要求承包人进行修复、拆除或重新采购，由此增加的费用和（或）延误的工期，由承包人承担。</w:t>
      </w:r>
    </w:p>
    <w:p w14:paraId="2E6E07BC">
      <w:pPr>
        <w:pStyle w:val="8"/>
        <w:pageBreakBefore w:val="0"/>
        <w:kinsoku/>
        <w:wordWrap/>
        <w:overflowPunct/>
        <w:topLinePunct w:val="0"/>
        <w:bidi w:val="0"/>
        <w:snapToGrid/>
        <w:spacing w:before="0" w:after="0" w:line="390" w:lineRule="exact"/>
        <w:ind w:left="0" w:firstLine="420" w:firstLineChars="200"/>
        <w:textAlignment w:val="auto"/>
        <w:rPr>
          <w:rFonts w:hint="eastAsia" w:ascii="宋体" w:hAnsi="宋体" w:eastAsia="宋体" w:cs="宋体"/>
          <w:b w:val="0"/>
          <w:color w:val="auto"/>
          <w:sz w:val="21"/>
          <w:szCs w:val="21"/>
          <w:highlight w:val="none"/>
        </w:rPr>
      </w:pPr>
      <w:bookmarkStart w:id="425" w:name="_Toc351203557"/>
      <w:r>
        <w:rPr>
          <w:rFonts w:hint="eastAsia" w:ascii="宋体" w:hAnsi="宋体" w:eastAsia="宋体" w:cs="宋体"/>
          <w:b w:val="0"/>
          <w:color w:val="auto"/>
          <w:sz w:val="21"/>
          <w:szCs w:val="21"/>
          <w:highlight w:val="none"/>
        </w:rPr>
        <w:t>8.5禁止使用不合格的材料和工程设备</w:t>
      </w:r>
      <w:bookmarkEnd w:id="425"/>
    </w:p>
    <w:p w14:paraId="7D4A95A0">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8.5.1 监理人有权拒绝承包人提供的不合格材料或工程设备，并要求承包人立即进行更换。监理人应在更换后再次进行检查和检验，由此增加的费用和（或）延误的工期由承包人承担。</w:t>
      </w:r>
    </w:p>
    <w:p w14:paraId="0EB8ABA6">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8.5.2 监理人发现承包人使用了不合格的材料和工程设备，承包人应按照监理人的指示立即改正，并禁止在工程中继续使用不合格的材料和工程设备。</w:t>
      </w:r>
    </w:p>
    <w:p w14:paraId="668AF766">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8.5.3 发包人提供的材料或工程设备不符合合同要求的，承包人有权拒绝，并可要求发包人更换，由此增加的费用和（或）延误的工期由发包人承担，并支付承包人合理的利润。</w:t>
      </w:r>
    </w:p>
    <w:p w14:paraId="509CC51F">
      <w:pPr>
        <w:pStyle w:val="8"/>
        <w:pageBreakBefore w:val="0"/>
        <w:kinsoku/>
        <w:wordWrap/>
        <w:overflowPunct/>
        <w:topLinePunct w:val="0"/>
        <w:bidi w:val="0"/>
        <w:snapToGrid/>
        <w:spacing w:before="0" w:after="0" w:line="390" w:lineRule="exact"/>
        <w:ind w:left="0" w:firstLine="420" w:firstLineChars="200"/>
        <w:textAlignment w:val="auto"/>
        <w:rPr>
          <w:rFonts w:hint="eastAsia" w:ascii="宋体" w:hAnsi="宋体" w:eastAsia="宋体" w:cs="宋体"/>
          <w:b w:val="0"/>
          <w:color w:val="auto"/>
          <w:sz w:val="21"/>
          <w:szCs w:val="21"/>
          <w:highlight w:val="none"/>
        </w:rPr>
      </w:pPr>
      <w:bookmarkStart w:id="426" w:name="_Toc351203558"/>
      <w:r>
        <w:rPr>
          <w:rFonts w:hint="eastAsia" w:ascii="宋体" w:hAnsi="宋体" w:eastAsia="宋体" w:cs="宋体"/>
          <w:b w:val="0"/>
          <w:color w:val="auto"/>
          <w:sz w:val="21"/>
          <w:szCs w:val="21"/>
          <w:highlight w:val="none"/>
        </w:rPr>
        <w:t>8.6 样品</w:t>
      </w:r>
      <w:bookmarkEnd w:id="426"/>
    </w:p>
    <w:p w14:paraId="3EB6F7AF">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8.6.1</w:t>
      </w:r>
      <w:r>
        <w:rPr>
          <w:rFonts w:hint="eastAsia" w:ascii="宋体" w:hAnsi="宋体" w:eastAsia="宋体" w:cs="宋体"/>
          <w:color w:val="auto"/>
          <w:kern w:val="0"/>
          <w:sz w:val="21"/>
          <w:szCs w:val="21"/>
          <w:highlight w:val="none"/>
        </w:rPr>
        <w:tab/>
      </w:r>
      <w:r>
        <w:rPr>
          <w:rFonts w:hint="eastAsia" w:ascii="宋体" w:hAnsi="宋体" w:eastAsia="宋体" w:cs="宋体"/>
          <w:color w:val="auto"/>
          <w:kern w:val="0"/>
          <w:sz w:val="21"/>
          <w:szCs w:val="21"/>
          <w:highlight w:val="none"/>
        </w:rPr>
        <w:t>样品的报送与封存</w:t>
      </w:r>
    </w:p>
    <w:p w14:paraId="292D427C">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需要承包人报送样品的材料或工程设备，样品的种类、名称、规格、数量等要求均应在专用合同条款中约定。样品的报送程序如下：</w:t>
      </w:r>
    </w:p>
    <w:p w14:paraId="04F5612B">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承包人应在计划采购前28天向监理人报送样品。承包人报送的样品均应来自供应材料的实际生产地，且提供的样品的规格、数量足以表明材料或工程设备的质量、型号、颜色、表面处理、质地、误差和其他要求的特征。</w:t>
      </w:r>
    </w:p>
    <w:p w14:paraId="65DB5139">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承包人每次报送样品时应随附申报单，申报单应载明报送样品的相关数据和资料，并标明每件样品对应的图纸号，预留监理人批复意见栏。监理人应在收到承包人报送的样品后7天向承包人回复经发包人签认的样品审批意见。</w:t>
      </w:r>
    </w:p>
    <w:p w14:paraId="7A2CF637">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（3）经发包人和监理人审批确认的样品应按约定的方法封样，封存的样品作为检验工程相关部分的标准之一。承包人在施工过程中不得使用与样品不符的材料或工程设备。</w:t>
      </w:r>
    </w:p>
    <w:p w14:paraId="3B75D303">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发包人和监理人对样品的审批确认仅为确认相关材料或工程设备的特征或用途，不得被理解为对合同的修改或改变，也并不减轻或免除承包人任何的责任和义务。如果封存的样品修改或改变了合同约定，合同当事人应当以书面协议予以确认。</w:t>
      </w:r>
    </w:p>
    <w:p w14:paraId="6DF4D10E">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8.6.2 样品的保管</w:t>
      </w:r>
    </w:p>
    <w:p w14:paraId="3D5D6115">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经批准的样品应由监理人负责封存于现场，承包人应在现场为保存样品提供适当和固定的场所并保持适当和良好的存储环境条件。</w:t>
      </w:r>
    </w:p>
    <w:p w14:paraId="26245448">
      <w:pPr>
        <w:pStyle w:val="8"/>
        <w:pageBreakBefore w:val="0"/>
        <w:kinsoku/>
        <w:wordWrap/>
        <w:overflowPunct/>
        <w:topLinePunct w:val="0"/>
        <w:bidi w:val="0"/>
        <w:snapToGrid/>
        <w:spacing w:before="0" w:after="0" w:line="390" w:lineRule="exact"/>
        <w:ind w:left="0" w:firstLine="420" w:firstLineChars="200"/>
        <w:textAlignment w:val="auto"/>
        <w:rPr>
          <w:rFonts w:hint="eastAsia" w:ascii="宋体" w:hAnsi="宋体" w:eastAsia="宋体" w:cs="宋体"/>
          <w:b w:val="0"/>
          <w:color w:val="auto"/>
          <w:sz w:val="21"/>
          <w:szCs w:val="21"/>
          <w:highlight w:val="none"/>
        </w:rPr>
      </w:pPr>
      <w:bookmarkStart w:id="427" w:name="_Toc351203559"/>
      <w:r>
        <w:rPr>
          <w:rFonts w:hint="eastAsia" w:ascii="宋体" w:hAnsi="宋体" w:eastAsia="宋体" w:cs="宋体"/>
          <w:b w:val="0"/>
          <w:color w:val="auto"/>
          <w:sz w:val="21"/>
          <w:szCs w:val="21"/>
          <w:highlight w:val="none"/>
        </w:rPr>
        <w:t>8.7材料与工程设备的替代</w:t>
      </w:r>
      <w:bookmarkEnd w:id="427"/>
    </w:p>
    <w:p w14:paraId="5A44A532">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8.7.1 出现下列情况需要使用替代材料和工程设备的，承包人应按照第8.7.2项约定的程序执行：</w:t>
      </w:r>
    </w:p>
    <w:p w14:paraId="1FCF1CB6">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（1）基准日期后生效的法律规定禁止使用的；</w:t>
      </w:r>
    </w:p>
    <w:p w14:paraId="75B0DD73">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（2）发包人要求使用替代品的；</w:t>
      </w:r>
    </w:p>
    <w:p w14:paraId="529AB028">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（3）因其他原因必须使用替代品的。</w:t>
      </w:r>
    </w:p>
    <w:p w14:paraId="69FC54E7">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8.7.2 承包人应在使用替代材料和工程设备28天前书面通知监理人，并附下列文件：</w:t>
      </w:r>
    </w:p>
    <w:p w14:paraId="74611A4B">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（1）被替代的材料和工程设备的名称、数量、规格、型号、品牌、性能、价格及其他相关资料；</w:t>
      </w:r>
    </w:p>
    <w:p w14:paraId="21ACD377">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（2）替代品的名称、数量、规格、型号、品牌、性能、价格及其他相关资料；</w:t>
      </w:r>
    </w:p>
    <w:p w14:paraId="5799EEEC">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（3）替代品与被替代产品之间的差异以及使用替代品可能对工程产生的影响；</w:t>
      </w:r>
    </w:p>
    <w:p w14:paraId="2F19AE10">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（4）替代品与被替代产品的价格差异；</w:t>
      </w:r>
    </w:p>
    <w:p w14:paraId="43D45301">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（5）使用替代品的理由和原因说明；</w:t>
      </w:r>
    </w:p>
    <w:p w14:paraId="07270861">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（6）监理人要求的其他文件。</w:t>
      </w:r>
    </w:p>
    <w:p w14:paraId="2C8E371D">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监理人应在收到通知后14天内向承包人发出经发包人签认的书面指示；监理人逾期发出书面指示的，视为发包人和监理人同意使用替代品。</w:t>
      </w:r>
    </w:p>
    <w:p w14:paraId="47AC46DA">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8.7.3 发包人认可使用替代材料和工程设备的，替代材料和工程设备的价格，按照已标价工程量清单或预算书相同项目的价格认定；无相同项目的，参考相似项目价格认定；既无相同项目也无相似项目的，按照合理的成本与利润构成的原则，由合同当事人按照第4.4款〔商定或确定〕确定价格。</w:t>
      </w:r>
    </w:p>
    <w:p w14:paraId="7A345D11">
      <w:pPr>
        <w:pStyle w:val="8"/>
        <w:pageBreakBefore w:val="0"/>
        <w:kinsoku/>
        <w:wordWrap/>
        <w:overflowPunct/>
        <w:topLinePunct w:val="0"/>
        <w:bidi w:val="0"/>
        <w:snapToGrid/>
        <w:spacing w:before="0" w:after="0" w:line="390" w:lineRule="exact"/>
        <w:ind w:left="0" w:firstLine="420" w:firstLineChars="200"/>
        <w:textAlignment w:val="auto"/>
        <w:rPr>
          <w:rFonts w:hint="eastAsia" w:ascii="宋体" w:hAnsi="宋体" w:eastAsia="宋体" w:cs="宋体"/>
          <w:b w:val="0"/>
          <w:color w:val="auto"/>
          <w:sz w:val="21"/>
          <w:szCs w:val="21"/>
          <w:highlight w:val="none"/>
        </w:rPr>
      </w:pPr>
      <w:bookmarkStart w:id="428" w:name="_Toc351203560"/>
      <w:r>
        <w:rPr>
          <w:rFonts w:hint="eastAsia" w:ascii="宋体" w:hAnsi="宋体" w:eastAsia="宋体" w:cs="宋体"/>
          <w:b w:val="0"/>
          <w:color w:val="auto"/>
          <w:sz w:val="21"/>
          <w:szCs w:val="21"/>
          <w:highlight w:val="none"/>
        </w:rPr>
        <w:t>8.8施工设备和临时设施</w:t>
      </w:r>
      <w:bookmarkEnd w:id="428"/>
    </w:p>
    <w:p w14:paraId="42FE572F">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8.8.1 承包人提供的施工设备和临时设施</w:t>
      </w:r>
    </w:p>
    <w:p w14:paraId="02BDEF80">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承包人应按合同进度计划的要求，及时配置施工设备和修建临时设施。进入施工场地的承包人设备需经监理人核查后才能投入使用。承包人更换合同约定的承包人设备的，应报监理人批准。</w:t>
      </w:r>
    </w:p>
    <w:p w14:paraId="7DEEB657">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除专用合同条款另有约定外，承包人应自行承担修建临时设施的费用，需要临时占地的，应由发包人办理申请手续并承担相应费用。</w:t>
      </w:r>
    </w:p>
    <w:p w14:paraId="732398A5">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8.8.2发包人提供的施工设备和临时设施</w:t>
      </w:r>
    </w:p>
    <w:p w14:paraId="2895A837">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发包人提供的施工设备或临时设施在专用合同条款中约定。</w:t>
      </w:r>
    </w:p>
    <w:p w14:paraId="5E1F9264">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8.8.3要求承包人增加或更换施工设备</w:t>
      </w:r>
    </w:p>
    <w:p w14:paraId="77A43018">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承包人使用的施工设备不能满足合同进度计划和（或）质量要求时，监理人有权要求承包人增加或更换施工设备，承包人应及时增加或更换，由此增加的费用和（或）延误的工期由承包人承担。</w:t>
      </w:r>
    </w:p>
    <w:p w14:paraId="5EF69665">
      <w:pPr>
        <w:pStyle w:val="8"/>
        <w:pageBreakBefore w:val="0"/>
        <w:kinsoku/>
        <w:wordWrap/>
        <w:overflowPunct/>
        <w:topLinePunct w:val="0"/>
        <w:bidi w:val="0"/>
        <w:snapToGrid/>
        <w:spacing w:before="0" w:after="0" w:line="390" w:lineRule="exact"/>
        <w:ind w:left="0" w:firstLine="420" w:firstLineChars="200"/>
        <w:textAlignment w:val="auto"/>
        <w:rPr>
          <w:rFonts w:hint="eastAsia" w:ascii="宋体" w:hAnsi="宋体" w:eastAsia="宋体" w:cs="宋体"/>
          <w:b w:val="0"/>
          <w:color w:val="auto"/>
          <w:sz w:val="21"/>
          <w:szCs w:val="21"/>
          <w:highlight w:val="none"/>
        </w:rPr>
      </w:pPr>
      <w:bookmarkStart w:id="429" w:name="_Toc351203561"/>
      <w:r>
        <w:rPr>
          <w:rFonts w:hint="eastAsia" w:ascii="宋体" w:hAnsi="宋体" w:eastAsia="宋体" w:cs="宋体"/>
          <w:b w:val="0"/>
          <w:color w:val="auto"/>
          <w:sz w:val="21"/>
          <w:szCs w:val="21"/>
          <w:highlight w:val="none"/>
        </w:rPr>
        <w:t>8</w:t>
      </w:r>
      <w:bookmarkStart w:id="430" w:name="_Toc296503063"/>
      <w:bookmarkStart w:id="431" w:name="_Toc296346564"/>
      <w:bookmarkStart w:id="432" w:name="_Toc337558781"/>
      <w:r>
        <w:rPr>
          <w:rFonts w:hint="eastAsia" w:ascii="宋体" w:hAnsi="宋体" w:eastAsia="宋体" w:cs="宋体"/>
          <w:b w:val="0"/>
          <w:color w:val="auto"/>
          <w:sz w:val="21"/>
          <w:szCs w:val="21"/>
          <w:highlight w:val="none"/>
        </w:rPr>
        <w:t>.9材料与设备专用</w:t>
      </w:r>
      <w:bookmarkEnd w:id="429"/>
      <w:r>
        <w:rPr>
          <w:rFonts w:hint="eastAsia" w:ascii="宋体" w:hAnsi="宋体" w:eastAsia="宋体" w:cs="宋体"/>
          <w:b w:val="0"/>
          <w:color w:val="auto"/>
          <w:sz w:val="21"/>
          <w:szCs w:val="21"/>
          <w:highlight w:val="none"/>
        </w:rPr>
        <w:t>要求</w:t>
      </w:r>
    </w:p>
    <w:bookmarkEnd w:id="430"/>
    <w:bookmarkEnd w:id="431"/>
    <w:bookmarkEnd w:id="432"/>
    <w:p w14:paraId="228EF832">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承包人运入施工现场的材料、工程设备、施工设备以及在施工场地建设的临时设施，包括备品备件、安装工具与资料，必须专用于工程。未经发包人批准，承包人不得运出施工现场或挪作他用；</w:t>
      </w:r>
      <w:bookmarkEnd w:id="411"/>
      <w:r>
        <w:rPr>
          <w:rFonts w:hint="eastAsia" w:ascii="宋体" w:hAnsi="宋体" w:eastAsia="宋体" w:cs="宋体"/>
          <w:color w:val="auto"/>
          <w:kern w:val="0"/>
          <w:sz w:val="21"/>
          <w:szCs w:val="21"/>
          <w:highlight w:val="none"/>
        </w:rPr>
        <w:t>经发包人批准，承包人可以根据施工进度计划撤走闲置的施工设备和其他物品。</w:t>
      </w:r>
    </w:p>
    <w:p w14:paraId="6F261B35">
      <w:pPr>
        <w:pStyle w:val="7"/>
        <w:pageBreakBefore w:val="0"/>
        <w:kinsoku/>
        <w:wordWrap/>
        <w:overflowPunct/>
        <w:topLinePunct w:val="0"/>
        <w:bidi w:val="0"/>
        <w:snapToGrid/>
        <w:spacing w:before="0" w:line="390" w:lineRule="exact"/>
        <w:ind w:left="0"/>
        <w:textAlignment w:val="auto"/>
        <w:rPr>
          <w:rFonts w:hint="eastAsia" w:ascii="宋体" w:hAnsi="宋体" w:eastAsia="宋体" w:cs="宋体"/>
          <w:b w:val="0"/>
          <w:color w:val="auto"/>
          <w:sz w:val="21"/>
          <w:szCs w:val="21"/>
          <w:highlight w:val="none"/>
        </w:rPr>
      </w:pPr>
      <w:bookmarkStart w:id="433" w:name="_Toc351203562"/>
      <w:r>
        <w:rPr>
          <w:rFonts w:hint="eastAsia" w:ascii="宋体" w:hAnsi="宋体" w:eastAsia="宋体" w:cs="宋体"/>
          <w:b w:val="0"/>
          <w:color w:val="auto"/>
          <w:sz w:val="21"/>
          <w:szCs w:val="21"/>
          <w:highlight w:val="none"/>
        </w:rPr>
        <w:t>9</w:t>
      </w:r>
      <w:bookmarkStart w:id="434" w:name="_Toc337558782"/>
      <w:bookmarkStart w:id="435" w:name="_Toc296503083"/>
      <w:bookmarkStart w:id="436" w:name="_Toc296346584"/>
      <w:r>
        <w:rPr>
          <w:rFonts w:hint="eastAsia" w:ascii="宋体" w:hAnsi="宋体" w:eastAsia="宋体" w:cs="宋体"/>
          <w:b w:val="0"/>
          <w:color w:val="auto"/>
          <w:sz w:val="21"/>
          <w:szCs w:val="21"/>
          <w:highlight w:val="none"/>
        </w:rPr>
        <w:t>. 试验与检验</w:t>
      </w:r>
      <w:bookmarkEnd w:id="433"/>
    </w:p>
    <w:bookmarkEnd w:id="434"/>
    <w:p w14:paraId="468CEDE2">
      <w:pPr>
        <w:pStyle w:val="8"/>
        <w:pageBreakBefore w:val="0"/>
        <w:kinsoku/>
        <w:wordWrap/>
        <w:overflowPunct/>
        <w:topLinePunct w:val="0"/>
        <w:bidi w:val="0"/>
        <w:snapToGrid/>
        <w:spacing w:before="0" w:after="0" w:line="390" w:lineRule="exact"/>
        <w:ind w:left="0" w:firstLine="420" w:firstLineChars="200"/>
        <w:textAlignment w:val="auto"/>
        <w:rPr>
          <w:rFonts w:hint="eastAsia" w:ascii="宋体" w:hAnsi="宋体" w:eastAsia="宋体" w:cs="宋体"/>
          <w:b w:val="0"/>
          <w:color w:val="auto"/>
          <w:sz w:val="21"/>
          <w:szCs w:val="21"/>
          <w:highlight w:val="none"/>
        </w:rPr>
      </w:pPr>
      <w:bookmarkStart w:id="437" w:name="_Toc351203563"/>
      <w:r>
        <w:rPr>
          <w:rFonts w:hint="eastAsia" w:ascii="宋体" w:hAnsi="宋体" w:eastAsia="宋体" w:cs="宋体"/>
          <w:b w:val="0"/>
          <w:color w:val="auto"/>
          <w:sz w:val="21"/>
          <w:szCs w:val="21"/>
          <w:highlight w:val="none"/>
        </w:rPr>
        <w:t>9</w:t>
      </w:r>
      <w:bookmarkStart w:id="438" w:name="_Toc337558783"/>
      <w:r>
        <w:rPr>
          <w:rFonts w:hint="eastAsia" w:ascii="宋体" w:hAnsi="宋体" w:eastAsia="宋体" w:cs="宋体"/>
          <w:b w:val="0"/>
          <w:color w:val="auto"/>
          <w:sz w:val="21"/>
          <w:szCs w:val="21"/>
          <w:highlight w:val="none"/>
        </w:rPr>
        <w:t>.1试验设备与试验人员</w:t>
      </w:r>
      <w:bookmarkEnd w:id="437"/>
    </w:p>
    <w:bookmarkEnd w:id="438"/>
    <w:p w14:paraId="5CBA1A47">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9.1.1 承包人根据合同约定或监理人指示进行的现场材料试验，应由承包人提供试验场所、试验人员、试验设备以及其他必要的试验条件。监理人在必要时可以使用承包人提供的试验场所、试验设备以及其他试验条件，进行以工程质量检查为目的的材料复核试验，承包人应予以协助。</w:t>
      </w:r>
    </w:p>
    <w:p w14:paraId="1A1D5D13">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9.1.2 承包人应按专用合同条款的约定提供试验设备、取样装置、试验场所和试验条件，并向监理人提交相应进场计划表。</w:t>
      </w:r>
    </w:p>
    <w:p w14:paraId="7A20709B">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承包人配置的试验设备要符合相应试验规程的要求并经过具有资质的检测单位检测，且在正式使用该试验设备前，需要经过监理人与承包人共同校定。</w:t>
      </w:r>
    </w:p>
    <w:p w14:paraId="5D1029DF">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9.1.3 承包人应向监理人提交试验人员的名单及其岗位、资格等证明资料，试验人员必须能够熟练进行相应的检测试验，承包人对试验人员的试验程序和试验结果的正确性负责。</w:t>
      </w:r>
    </w:p>
    <w:p w14:paraId="5ADB6A05">
      <w:pPr>
        <w:pStyle w:val="8"/>
        <w:pageBreakBefore w:val="0"/>
        <w:kinsoku/>
        <w:wordWrap/>
        <w:overflowPunct/>
        <w:topLinePunct w:val="0"/>
        <w:bidi w:val="0"/>
        <w:snapToGrid/>
        <w:spacing w:before="0" w:after="0" w:line="390" w:lineRule="exact"/>
        <w:ind w:left="0" w:firstLine="420" w:firstLineChars="200"/>
        <w:textAlignment w:val="auto"/>
        <w:rPr>
          <w:rFonts w:hint="eastAsia" w:ascii="宋体" w:hAnsi="宋体" w:eastAsia="宋体" w:cs="宋体"/>
          <w:b w:val="0"/>
          <w:color w:val="auto"/>
          <w:sz w:val="21"/>
          <w:szCs w:val="21"/>
          <w:highlight w:val="none"/>
        </w:rPr>
      </w:pPr>
      <w:bookmarkStart w:id="439" w:name="_Toc351203564"/>
      <w:r>
        <w:rPr>
          <w:rFonts w:hint="eastAsia" w:ascii="宋体" w:hAnsi="宋体" w:eastAsia="宋体" w:cs="宋体"/>
          <w:b w:val="0"/>
          <w:color w:val="auto"/>
          <w:sz w:val="21"/>
          <w:szCs w:val="21"/>
          <w:highlight w:val="none"/>
        </w:rPr>
        <w:t>9</w:t>
      </w:r>
      <w:bookmarkStart w:id="440" w:name="_Toc337558784"/>
      <w:r>
        <w:rPr>
          <w:rFonts w:hint="eastAsia" w:ascii="宋体" w:hAnsi="宋体" w:eastAsia="宋体" w:cs="宋体"/>
          <w:b w:val="0"/>
          <w:color w:val="auto"/>
          <w:sz w:val="21"/>
          <w:szCs w:val="21"/>
          <w:highlight w:val="none"/>
        </w:rPr>
        <w:t>.2取样</w:t>
      </w:r>
      <w:bookmarkEnd w:id="439"/>
    </w:p>
    <w:bookmarkEnd w:id="440"/>
    <w:p w14:paraId="1C408BD1">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试验属于自检性质的，承包人可以单独取样。试验属于监理人抽检性质的，可由监理人取样，也可由承包人的试验人员在监理人的监督下取样。</w:t>
      </w:r>
    </w:p>
    <w:p w14:paraId="65D36355">
      <w:pPr>
        <w:pStyle w:val="8"/>
        <w:pageBreakBefore w:val="0"/>
        <w:kinsoku/>
        <w:wordWrap/>
        <w:overflowPunct/>
        <w:topLinePunct w:val="0"/>
        <w:bidi w:val="0"/>
        <w:snapToGrid/>
        <w:spacing w:before="0" w:after="0" w:line="390" w:lineRule="exact"/>
        <w:ind w:left="0" w:firstLine="420" w:firstLineChars="200"/>
        <w:textAlignment w:val="auto"/>
        <w:rPr>
          <w:rFonts w:hint="eastAsia" w:ascii="宋体" w:hAnsi="宋体" w:eastAsia="宋体" w:cs="宋体"/>
          <w:b w:val="0"/>
          <w:color w:val="auto"/>
          <w:sz w:val="21"/>
          <w:szCs w:val="21"/>
          <w:highlight w:val="none"/>
        </w:rPr>
      </w:pPr>
      <w:bookmarkStart w:id="441" w:name="_Toc351203565"/>
      <w:r>
        <w:rPr>
          <w:rFonts w:hint="eastAsia" w:ascii="宋体" w:hAnsi="宋体" w:eastAsia="宋体" w:cs="宋体"/>
          <w:b w:val="0"/>
          <w:color w:val="auto"/>
          <w:sz w:val="21"/>
          <w:szCs w:val="21"/>
          <w:highlight w:val="none"/>
        </w:rPr>
        <w:t>9</w:t>
      </w:r>
      <w:bookmarkStart w:id="442" w:name="_Toc337558785"/>
      <w:r>
        <w:rPr>
          <w:rFonts w:hint="eastAsia" w:ascii="宋体" w:hAnsi="宋体" w:eastAsia="宋体" w:cs="宋体"/>
          <w:b w:val="0"/>
          <w:color w:val="auto"/>
          <w:sz w:val="21"/>
          <w:szCs w:val="21"/>
          <w:highlight w:val="none"/>
        </w:rPr>
        <w:t>.3材料、工程设备和工程的试验和检验</w:t>
      </w:r>
      <w:bookmarkEnd w:id="441"/>
    </w:p>
    <w:bookmarkEnd w:id="442"/>
    <w:p w14:paraId="28729B86">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9.3.1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14:paraId="341D4897">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9.3.2试验属于自检性质的，承包人可以单独进行试验。试验属于监理人抽检性质的，监理人可以单独进行试验，也可由承包人与监理人共同进行。承包人对由监理人单独进行的试验结果有异议的，可以申请重新共同进行试验。约定共同进行试验的，监理人未按照约定参加试验的，承包人可自行试验，并将试验结果报送监理人，监理人应承认该试验结果。</w:t>
      </w:r>
    </w:p>
    <w:p w14:paraId="310DBBB7">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9.3.3监理人对承包人的试验和检验结果有异议的，或为查清承包人试验和检验成果的可靠性要求承包人重新试验和检验的，可由监理人与承包人共同进行。重新试验和检验的结果证明该项材料、工程设备或工程的质量不符合合同要求的，由此增加的费用和（或）延误的工期由承包人承担；重新试验和检验结果证明该项材料、工程设备和工程符合合同要求的，由此增加的费用和（或）延误的工期由发包人承担。</w:t>
      </w:r>
    </w:p>
    <w:p w14:paraId="6C2355CE">
      <w:pPr>
        <w:pStyle w:val="8"/>
        <w:pageBreakBefore w:val="0"/>
        <w:kinsoku/>
        <w:wordWrap/>
        <w:overflowPunct/>
        <w:topLinePunct w:val="0"/>
        <w:bidi w:val="0"/>
        <w:snapToGrid/>
        <w:spacing w:before="0" w:after="0" w:line="390" w:lineRule="exact"/>
        <w:ind w:left="0" w:firstLine="420" w:firstLineChars="200"/>
        <w:textAlignment w:val="auto"/>
        <w:rPr>
          <w:rFonts w:hint="eastAsia" w:ascii="宋体" w:hAnsi="宋体" w:eastAsia="宋体" w:cs="宋体"/>
          <w:b w:val="0"/>
          <w:color w:val="auto"/>
          <w:sz w:val="21"/>
          <w:szCs w:val="21"/>
          <w:highlight w:val="none"/>
        </w:rPr>
      </w:pPr>
      <w:bookmarkStart w:id="443" w:name="_Toc351203566"/>
      <w:r>
        <w:rPr>
          <w:rFonts w:hint="eastAsia" w:ascii="宋体" w:hAnsi="宋体" w:eastAsia="宋体" w:cs="宋体"/>
          <w:b w:val="0"/>
          <w:color w:val="auto"/>
          <w:sz w:val="21"/>
          <w:szCs w:val="21"/>
          <w:highlight w:val="none"/>
        </w:rPr>
        <w:t>9</w:t>
      </w:r>
      <w:bookmarkStart w:id="444" w:name="_Toc337558786"/>
      <w:r>
        <w:rPr>
          <w:rFonts w:hint="eastAsia" w:ascii="宋体" w:hAnsi="宋体" w:eastAsia="宋体" w:cs="宋体"/>
          <w:b w:val="0"/>
          <w:color w:val="auto"/>
          <w:sz w:val="21"/>
          <w:szCs w:val="21"/>
          <w:highlight w:val="none"/>
        </w:rPr>
        <w:t>.4现场工艺试验</w:t>
      </w:r>
      <w:bookmarkEnd w:id="443"/>
    </w:p>
    <w:bookmarkEnd w:id="444"/>
    <w:p w14:paraId="38BEA651">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承包人应按合同约定或监理人指示进行现场工艺试验。对大型的现场工艺试验，监理人认为必要时，承包人应根据监理人提出的工艺试验要求，编制工艺试验措施计划，报送监理人审查。</w:t>
      </w:r>
    </w:p>
    <w:p w14:paraId="28669B7F">
      <w:pPr>
        <w:pStyle w:val="7"/>
        <w:pageBreakBefore w:val="0"/>
        <w:kinsoku/>
        <w:wordWrap/>
        <w:overflowPunct/>
        <w:topLinePunct w:val="0"/>
        <w:bidi w:val="0"/>
        <w:snapToGrid/>
        <w:spacing w:before="0" w:line="390" w:lineRule="exact"/>
        <w:ind w:left="0"/>
        <w:textAlignment w:val="auto"/>
        <w:rPr>
          <w:rFonts w:hint="eastAsia" w:ascii="宋体" w:hAnsi="宋体" w:eastAsia="宋体" w:cs="宋体"/>
          <w:b w:val="0"/>
          <w:color w:val="auto"/>
          <w:sz w:val="21"/>
          <w:szCs w:val="21"/>
          <w:highlight w:val="none"/>
        </w:rPr>
      </w:pPr>
      <w:bookmarkStart w:id="445" w:name="_Toc351203567"/>
      <w:r>
        <w:rPr>
          <w:rFonts w:hint="eastAsia" w:ascii="宋体" w:hAnsi="宋体" w:eastAsia="宋体" w:cs="宋体"/>
          <w:b w:val="0"/>
          <w:color w:val="auto"/>
          <w:sz w:val="21"/>
          <w:szCs w:val="21"/>
          <w:highlight w:val="none"/>
        </w:rPr>
        <w:t>1</w:t>
      </w:r>
      <w:bookmarkStart w:id="446" w:name="_Toc337558787"/>
      <w:r>
        <w:rPr>
          <w:rFonts w:hint="eastAsia" w:ascii="宋体" w:hAnsi="宋体" w:eastAsia="宋体" w:cs="宋体"/>
          <w:b w:val="0"/>
          <w:color w:val="auto"/>
          <w:sz w:val="21"/>
          <w:szCs w:val="21"/>
          <w:highlight w:val="none"/>
        </w:rPr>
        <w:t>0. 变更</w:t>
      </w:r>
      <w:bookmarkEnd w:id="435"/>
      <w:bookmarkEnd w:id="436"/>
      <w:bookmarkEnd w:id="445"/>
    </w:p>
    <w:bookmarkEnd w:id="446"/>
    <w:p w14:paraId="496AF037">
      <w:pPr>
        <w:pStyle w:val="8"/>
        <w:pageBreakBefore w:val="0"/>
        <w:kinsoku/>
        <w:wordWrap/>
        <w:overflowPunct/>
        <w:topLinePunct w:val="0"/>
        <w:bidi w:val="0"/>
        <w:snapToGrid/>
        <w:spacing w:before="0" w:after="0" w:line="390" w:lineRule="exact"/>
        <w:ind w:left="0" w:firstLine="420" w:firstLineChars="200"/>
        <w:textAlignment w:val="auto"/>
        <w:rPr>
          <w:rFonts w:hint="eastAsia" w:ascii="宋体" w:hAnsi="宋体" w:eastAsia="宋体" w:cs="宋体"/>
          <w:b w:val="0"/>
          <w:color w:val="auto"/>
          <w:sz w:val="21"/>
          <w:szCs w:val="21"/>
          <w:highlight w:val="none"/>
        </w:rPr>
      </w:pPr>
      <w:bookmarkStart w:id="447" w:name="_Toc351203568"/>
      <w:r>
        <w:rPr>
          <w:rFonts w:hint="eastAsia" w:ascii="宋体" w:hAnsi="宋体" w:eastAsia="宋体" w:cs="宋体"/>
          <w:b w:val="0"/>
          <w:color w:val="auto"/>
          <w:sz w:val="21"/>
          <w:szCs w:val="21"/>
          <w:highlight w:val="none"/>
        </w:rPr>
        <w:t>1</w:t>
      </w:r>
      <w:bookmarkStart w:id="448" w:name="_Toc337558788"/>
      <w:bookmarkStart w:id="449" w:name="_Toc296346585"/>
      <w:bookmarkStart w:id="450" w:name="_Toc296503084"/>
      <w:r>
        <w:rPr>
          <w:rFonts w:hint="eastAsia" w:ascii="宋体" w:hAnsi="宋体" w:eastAsia="宋体" w:cs="宋体"/>
          <w:b w:val="0"/>
          <w:color w:val="auto"/>
          <w:sz w:val="21"/>
          <w:szCs w:val="21"/>
          <w:highlight w:val="none"/>
        </w:rPr>
        <w:t>0.1变更的范围</w:t>
      </w:r>
      <w:bookmarkEnd w:id="447"/>
    </w:p>
    <w:bookmarkEnd w:id="448"/>
    <w:bookmarkEnd w:id="449"/>
    <w:bookmarkEnd w:id="450"/>
    <w:p w14:paraId="3CC18155">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除专用合同条款另有约定外，合同履行过程中发生以下情形的，应按照本条约定进行变更：</w:t>
      </w:r>
    </w:p>
    <w:p w14:paraId="0516607D">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（1）增加或减少合同中任何工作，或追加额外的工作；</w:t>
      </w:r>
    </w:p>
    <w:p w14:paraId="00F016D5">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（2）取消合同中任何工作，但转由他人实施的工作除外；</w:t>
      </w:r>
    </w:p>
    <w:p w14:paraId="41C42EC7">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（3）改变合同中任何工作的质量标准或其他特性；</w:t>
      </w:r>
    </w:p>
    <w:p w14:paraId="2E557154">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（4）改变工程的基线、标高、位置和尺寸；</w:t>
      </w:r>
    </w:p>
    <w:p w14:paraId="24432C71">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（5）改变工程的时间安排或实施顺序。</w:t>
      </w:r>
    </w:p>
    <w:p w14:paraId="1DD646FD">
      <w:pPr>
        <w:pStyle w:val="8"/>
        <w:pageBreakBefore w:val="0"/>
        <w:kinsoku/>
        <w:wordWrap/>
        <w:overflowPunct/>
        <w:topLinePunct w:val="0"/>
        <w:bidi w:val="0"/>
        <w:snapToGrid/>
        <w:spacing w:before="0" w:after="0" w:line="390" w:lineRule="exact"/>
        <w:ind w:left="0" w:firstLine="420" w:firstLineChars="200"/>
        <w:textAlignment w:val="auto"/>
        <w:rPr>
          <w:rFonts w:hint="eastAsia" w:ascii="宋体" w:hAnsi="宋体" w:eastAsia="宋体" w:cs="宋体"/>
          <w:b w:val="0"/>
          <w:color w:val="auto"/>
          <w:sz w:val="21"/>
          <w:szCs w:val="21"/>
          <w:highlight w:val="none"/>
        </w:rPr>
      </w:pPr>
      <w:bookmarkStart w:id="451" w:name="_Toc351203569"/>
      <w:r>
        <w:rPr>
          <w:rFonts w:hint="eastAsia" w:ascii="宋体" w:hAnsi="宋体" w:eastAsia="宋体" w:cs="宋体"/>
          <w:b w:val="0"/>
          <w:color w:val="auto"/>
          <w:sz w:val="21"/>
          <w:szCs w:val="21"/>
          <w:highlight w:val="none"/>
        </w:rPr>
        <w:t>1</w:t>
      </w:r>
      <w:bookmarkStart w:id="452" w:name="_Toc337558789"/>
      <w:bookmarkStart w:id="453" w:name="_Toc296503085"/>
      <w:bookmarkStart w:id="454" w:name="_Toc296346586"/>
      <w:r>
        <w:rPr>
          <w:rFonts w:hint="eastAsia" w:ascii="宋体" w:hAnsi="宋体" w:eastAsia="宋体" w:cs="宋体"/>
          <w:b w:val="0"/>
          <w:color w:val="auto"/>
          <w:sz w:val="21"/>
          <w:szCs w:val="21"/>
          <w:highlight w:val="none"/>
        </w:rPr>
        <w:t>0.2变更权</w:t>
      </w:r>
      <w:bookmarkEnd w:id="451"/>
    </w:p>
    <w:bookmarkEnd w:id="452"/>
    <w:bookmarkEnd w:id="453"/>
    <w:bookmarkEnd w:id="454"/>
    <w:p w14:paraId="0DA458C8">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和监理人均可以提出变更。变更指示均通过监理人发出，监理人发出变更指示前应征得发包人同意。承包人收到经发包人签认的变更指示后，方可实施变更。未经许可，承包人不得擅自对工程的任何部分进行变更。</w:t>
      </w:r>
    </w:p>
    <w:p w14:paraId="0E2DA099">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涉及设计变更的，应由设计人提供变更后的图纸和说明。如变更超过原设计标准或批准的建设规模时，发包人应及时办理规划、设计变更等审批手续。</w:t>
      </w:r>
    </w:p>
    <w:p w14:paraId="063C3CE8">
      <w:pPr>
        <w:pStyle w:val="8"/>
        <w:pageBreakBefore w:val="0"/>
        <w:kinsoku/>
        <w:wordWrap/>
        <w:overflowPunct/>
        <w:topLinePunct w:val="0"/>
        <w:bidi w:val="0"/>
        <w:snapToGrid/>
        <w:spacing w:before="0" w:after="0" w:line="390" w:lineRule="exact"/>
        <w:ind w:left="0" w:firstLine="420" w:firstLineChars="200"/>
        <w:textAlignment w:val="auto"/>
        <w:rPr>
          <w:rFonts w:hint="eastAsia" w:ascii="宋体" w:hAnsi="宋体" w:eastAsia="宋体" w:cs="宋体"/>
          <w:b w:val="0"/>
          <w:color w:val="auto"/>
          <w:sz w:val="21"/>
          <w:szCs w:val="21"/>
          <w:highlight w:val="none"/>
        </w:rPr>
      </w:pPr>
      <w:bookmarkStart w:id="455" w:name="_Toc351203570"/>
      <w:r>
        <w:rPr>
          <w:rFonts w:hint="eastAsia" w:ascii="宋体" w:hAnsi="宋体" w:eastAsia="宋体" w:cs="宋体"/>
          <w:b w:val="0"/>
          <w:color w:val="auto"/>
          <w:sz w:val="21"/>
          <w:szCs w:val="21"/>
          <w:highlight w:val="none"/>
        </w:rPr>
        <w:t>1</w:t>
      </w:r>
      <w:bookmarkStart w:id="456" w:name="_Toc296503086"/>
      <w:bookmarkStart w:id="457" w:name="_Toc337558790"/>
      <w:bookmarkStart w:id="458" w:name="_Toc296346587"/>
      <w:r>
        <w:rPr>
          <w:rFonts w:hint="eastAsia" w:ascii="宋体" w:hAnsi="宋体" w:eastAsia="宋体" w:cs="宋体"/>
          <w:b w:val="0"/>
          <w:color w:val="auto"/>
          <w:sz w:val="21"/>
          <w:szCs w:val="21"/>
          <w:highlight w:val="none"/>
        </w:rPr>
        <w:t>0.3变更程序</w:t>
      </w:r>
      <w:bookmarkEnd w:id="455"/>
    </w:p>
    <w:bookmarkEnd w:id="456"/>
    <w:bookmarkEnd w:id="457"/>
    <w:bookmarkEnd w:id="458"/>
    <w:p w14:paraId="52AB2137">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10</w:t>
      </w:r>
      <w:r>
        <w:rPr>
          <w:rFonts w:hint="eastAsia" w:ascii="宋体" w:hAnsi="宋体" w:eastAsia="宋体" w:cs="宋体"/>
          <w:color w:val="auto"/>
          <w:kern w:val="0"/>
          <w:sz w:val="21"/>
          <w:szCs w:val="21"/>
          <w:highlight w:val="none"/>
        </w:rPr>
        <w:t>.3.1 发包人提出变更</w:t>
      </w:r>
    </w:p>
    <w:p w14:paraId="108C892A">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发包人提出变更的，应通过监理人向承包人发出变更指示，变更指示应说明计划变更的工程范围和变更的内容。</w:t>
      </w:r>
    </w:p>
    <w:p w14:paraId="52DF5A9E">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10</w:t>
      </w:r>
      <w:r>
        <w:rPr>
          <w:rFonts w:hint="eastAsia" w:ascii="宋体" w:hAnsi="宋体" w:eastAsia="宋体" w:cs="宋体"/>
          <w:color w:val="auto"/>
          <w:kern w:val="0"/>
          <w:sz w:val="21"/>
          <w:szCs w:val="21"/>
          <w:highlight w:val="none"/>
        </w:rPr>
        <w:t>.3.2 监理人提出变更建议</w:t>
      </w:r>
    </w:p>
    <w:p w14:paraId="2FA7E81E">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监理人提出变更建议的，需要向发包人以书面形式提出变更计划，说明计划变更工程范围和变更的内容、理由，以及实施该变更对合同价格和工期的影响。发包人同意变更的，由监理人向承包人发出变更指示。发包人不同意变更的，监理人无权擅自发出变更指示。</w:t>
      </w:r>
    </w:p>
    <w:p w14:paraId="793478C6">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10.3.3 变更执行</w:t>
      </w:r>
    </w:p>
    <w:p w14:paraId="41CB9F2C">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收到监理人下达的变更指示后，认为不能执行，应立即提出不能执行该变更指示的理由。承包人认为可以执行变更的，应当书面说明实施该变更指示对合同价格和工期的影响，且合同当事人应当按照第10.4款〔变更估价〕约定确定变更估价。</w:t>
      </w:r>
    </w:p>
    <w:p w14:paraId="47621E84">
      <w:pPr>
        <w:pStyle w:val="8"/>
        <w:pageBreakBefore w:val="0"/>
        <w:kinsoku/>
        <w:wordWrap/>
        <w:overflowPunct/>
        <w:topLinePunct w:val="0"/>
        <w:bidi w:val="0"/>
        <w:snapToGrid/>
        <w:spacing w:before="0" w:after="0" w:line="390" w:lineRule="exact"/>
        <w:ind w:left="0" w:firstLine="420" w:firstLineChars="200"/>
        <w:textAlignment w:val="auto"/>
        <w:rPr>
          <w:rFonts w:hint="eastAsia" w:ascii="宋体" w:hAnsi="宋体" w:eastAsia="宋体" w:cs="宋体"/>
          <w:b w:val="0"/>
          <w:color w:val="auto"/>
          <w:sz w:val="21"/>
          <w:szCs w:val="21"/>
          <w:highlight w:val="none"/>
        </w:rPr>
      </w:pPr>
      <w:bookmarkStart w:id="459" w:name="_Toc351203571"/>
      <w:r>
        <w:rPr>
          <w:rFonts w:hint="eastAsia" w:ascii="宋体" w:hAnsi="宋体" w:eastAsia="宋体" w:cs="宋体"/>
          <w:b w:val="0"/>
          <w:color w:val="auto"/>
          <w:sz w:val="21"/>
          <w:szCs w:val="21"/>
          <w:highlight w:val="none"/>
        </w:rPr>
        <w:t>1</w:t>
      </w:r>
      <w:bookmarkStart w:id="460" w:name="_Toc296503087"/>
      <w:bookmarkStart w:id="461" w:name="_Toc296346588"/>
      <w:bookmarkStart w:id="462" w:name="_Toc337558791"/>
      <w:r>
        <w:rPr>
          <w:rFonts w:hint="eastAsia" w:ascii="宋体" w:hAnsi="宋体" w:eastAsia="宋体" w:cs="宋体"/>
          <w:b w:val="0"/>
          <w:color w:val="auto"/>
          <w:sz w:val="21"/>
          <w:szCs w:val="21"/>
          <w:highlight w:val="none"/>
        </w:rPr>
        <w:t>0.4变更估价</w:t>
      </w:r>
      <w:bookmarkEnd w:id="459"/>
    </w:p>
    <w:bookmarkEnd w:id="460"/>
    <w:bookmarkEnd w:id="461"/>
    <w:bookmarkEnd w:id="462"/>
    <w:p w14:paraId="6330DDF4">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10.4.1 变更估价原则</w:t>
      </w:r>
    </w:p>
    <w:p w14:paraId="5C5C302F">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除专用合同条款另有约定外，变更估价按照本款约定处理：</w:t>
      </w:r>
    </w:p>
    <w:p w14:paraId="1F4B587A">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（1）已标价工程量清单或预算书有相同项目的，按照相同项目单价认定；</w:t>
      </w:r>
    </w:p>
    <w:p w14:paraId="1E42479A">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（2）已标价工程量清单或预算书中无相同项目，但有类似项目的，参照类似项目的单价认定；</w:t>
      </w:r>
    </w:p>
    <w:p w14:paraId="5FC67066">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变更导致实际完成的变更工程量与已标价工程量清单或预算书中列明的该项目工程量的变化幅度超过15%的，或已标价工程量清单或预算书中无相同项目及类似项目单价的，按照合理的成本与利润构成的原则，由合同当事人按照第4.4款〔商定或确定〕确定变更工作的单价。</w:t>
      </w:r>
    </w:p>
    <w:p w14:paraId="6D21FC0E">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10.4.2 变更估价程序</w:t>
      </w:r>
    </w:p>
    <w:p w14:paraId="42ECF241">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应在收到变更指示后14天内，向监理人提交变更估价申请。监理人应在收到承包人提交的变更估价申请后7天内审查完毕并报送发包人，监理人对变更估价申请有异议，通知承包人修改后重新提交。发包人应在承包人提交变更估价申请后14天内审批完毕。发包人逾期未完成审批或未提出异议的，视为认可承包人提交的变更估价申请。</w:t>
      </w:r>
    </w:p>
    <w:p w14:paraId="79557004">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因变更引起的价格调整应计入最近一期的进度款中支付。</w:t>
      </w:r>
    </w:p>
    <w:p w14:paraId="7C1D7D74">
      <w:pPr>
        <w:pStyle w:val="8"/>
        <w:pageBreakBefore w:val="0"/>
        <w:kinsoku/>
        <w:wordWrap/>
        <w:overflowPunct/>
        <w:topLinePunct w:val="0"/>
        <w:bidi w:val="0"/>
        <w:snapToGrid/>
        <w:spacing w:before="0" w:after="0" w:line="390" w:lineRule="exact"/>
        <w:ind w:left="0" w:firstLine="420" w:firstLineChars="200"/>
        <w:textAlignment w:val="auto"/>
        <w:rPr>
          <w:rFonts w:hint="eastAsia" w:ascii="宋体" w:hAnsi="宋体" w:eastAsia="宋体" w:cs="宋体"/>
          <w:b w:val="0"/>
          <w:color w:val="auto"/>
          <w:sz w:val="21"/>
          <w:szCs w:val="21"/>
          <w:highlight w:val="none"/>
        </w:rPr>
      </w:pPr>
      <w:bookmarkStart w:id="463" w:name="_Toc351203572"/>
      <w:r>
        <w:rPr>
          <w:rFonts w:hint="eastAsia" w:ascii="宋体" w:hAnsi="宋体" w:eastAsia="宋体" w:cs="宋体"/>
          <w:b w:val="0"/>
          <w:color w:val="auto"/>
          <w:sz w:val="21"/>
          <w:szCs w:val="21"/>
          <w:highlight w:val="none"/>
        </w:rPr>
        <w:t>1</w:t>
      </w:r>
      <w:bookmarkStart w:id="464" w:name="_Toc337558792"/>
      <w:bookmarkStart w:id="465" w:name="_Toc296503094"/>
      <w:bookmarkStart w:id="466" w:name="_Toc296346595"/>
      <w:r>
        <w:rPr>
          <w:rFonts w:hint="eastAsia" w:ascii="宋体" w:hAnsi="宋体" w:eastAsia="宋体" w:cs="宋体"/>
          <w:b w:val="0"/>
          <w:color w:val="auto"/>
          <w:sz w:val="21"/>
          <w:szCs w:val="21"/>
          <w:highlight w:val="none"/>
        </w:rPr>
        <w:t>0.5承包人的合理化建议</w:t>
      </w:r>
      <w:bookmarkEnd w:id="463"/>
    </w:p>
    <w:bookmarkEnd w:id="464"/>
    <w:bookmarkEnd w:id="465"/>
    <w:bookmarkEnd w:id="466"/>
    <w:p w14:paraId="3F86C481">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承包人提出合理化建议的，应向监理人提交合理化建议说明，说明建议的内容和理由，以及实施该建议对合同价格和工期的影响。</w:t>
      </w:r>
    </w:p>
    <w:p w14:paraId="7E22313D">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除专用合同条款另有约定外，监理人应在收到承包人提交的合理化建议后7天内审查完毕并报送发包人，发现其中存在技术上的缺陷，应通知承包人修改。发包人应在收到监理人报送的合理化建议后7天内审批完毕。合理化建议经发包人批准的，监理人应及时发出变更指示，由此引起的合同价格调整按照第10.4款〔变更估价〕约定执行。发包人不同意变更的，监理人应书面通知承包人。</w:t>
      </w:r>
    </w:p>
    <w:p w14:paraId="09E7B6BB">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合理化建议降低了合同价格或者提高了工程经济效益的，发包人可对承包人给予奖励，奖励的方法和金额在专用合同条款中约定。</w:t>
      </w:r>
    </w:p>
    <w:p w14:paraId="281FAA82">
      <w:pPr>
        <w:pStyle w:val="8"/>
        <w:pageBreakBefore w:val="0"/>
        <w:kinsoku/>
        <w:wordWrap/>
        <w:overflowPunct/>
        <w:topLinePunct w:val="0"/>
        <w:bidi w:val="0"/>
        <w:snapToGrid/>
        <w:spacing w:before="0" w:after="0" w:line="390" w:lineRule="exact"/>
        <w:ind w:left="0" w:firstLine="420" w:firstLineChars="200"/>
        <w:textAlignment w:val="auto"/>
        <w:rPr>
          <w:rFonts w:hint="eastAsia" w:ascii="宋体" w:hAnsi="宋体" w:eastAsia="宋体" w:cs="宋体"/>
          <w:color w:val="auto"/>
          <w:sz w:val="21"/>
          <w:szCs w:val="21"/>
          <w:highlight w:val="none"/>
        </w:rPr>
      </w:pPr>
      <w:bookmarkStart w:id="467" w:name="_Toc351203573"/>
      <w:r>
        <w:rPr>
          <w:rFonts w:hint="eastAsia" w:ascii="宋体" w:hAnsi="宋体" w:eastAsia="宋体" w:cs="宋体"/>
          <w:b w:val="0"/>
          <w:color w:val="auto"/>
          <w:sz w:val="21"/>
          <w:szCs w:val="21"/>
          <w:highlight w:val="none"/>
        </w:rPr>
        <w:t>1</w:t>
      </w:r>
      <w:bookmarkStart w:id="468" w:name="_Toc337558793"/>
      <w:r>
        <w:rPr>
          <w:rFonts w:hint="eastAsia" w:ascii="宋体" w:hAnsi="宋体" w:eastAsia="宋体" w:cs="宋体"/>
          <w:b w:val="0"/>
          <w:color w:val="auto"/>
          <w:sz w:val="21"/>
          <w:szCs w:val="21"/>
          <w:highlight w:val="none"/>
        </w:rPr>
        <w:t>0.6变更引起的工期调整</w:t>
      </w:r>
      <w:bookmarkEnd w:id="467"/>
      <w:r>
        <w:rPr>
          <w:rFonts w:hint="eastAsia" w:ascii="宋体" w:hAnsi="宋体" w:eastAsia="宋体" w:cs="宋体"/>
          <w:b w:val="0"/>
          <w:color w:val="auto"/>
          <w:sz w:val="21"/>
          <w:szCs w:val="21"/>
          <w:highlight w:val="none"/>
        </w:rPr>
        <w:t xml:space="preserve"> </w:t>
      </w:r>
      <w:bookmarkEnd w:id="468"/>
      <w:r>
        <w:rPr>
          <w:rFonts w:hint="eastAsia" w:ascii="宋体" w:hAnsi="宋体" w:eastAsia="宋体" w:cs="宋体"/>
          <w:b w:val="0"/>
          <w:color w:val="auto"/>
          <w:sz w:val="21"/>
          <w:szCs w:val="21"/>
          <w:highlight w:val="none"/>
        </w:rPr>
        <w:t xml:space="preserve"> </w:t>
      </w:r>
      <w:r>
        <w:rPr>
          <w:rFonts w:hint="eastAsia" w:ascii="宋体" w:hAnsi="宋体" w:eastAsia="宋体" w:cs="宋体"/>
          <w:color w:val="auto"/>
          <w:sz w:val="21"/>
          <w:szCs w:val="21"/>
          <w:highlight w:val="none"/>
        </w:rPr>
        <w:t xml:space="preserve"> </w:t>
      </w:r>
    </w:p>
    <w:p w14:paraId="5A37FFF9">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因变更引起工期变化的，合同当事人均可要求调整合同工期，由合同当事人按照第4.4款〔商定或确定〕并参考工程所在地的工期定额标准确定增减工期天数。</w:t>
      </w:r>
    </w:p>
    <w:p w14:paraId="2B168B23">
      <w:pPr>
        <w:pStyle w:val="8"/>
        <w:pageBreakBefore w:val="0"/>
        <w:kinsoku/>
        <w:wordWrap/>
        <w:overflowPunct/>
        <w:topLinePunct w:val="0"/>
        <w:bidi w:val="0"/>
        <w:snapToGrid/>
        <w:spacing w:before="0" w:after="0" w:line="390" w:lineRule="exact"/>
        <w:ind w:left="0" w:firstLine="420" w:firstLineChars="200"/>
        <w:textAlignment w:val="auto"/>
        <w:rPr>
          <w:rFonts w:hint="eastAsia" w:ascii="宋体" w:hAnsi="宋体" w:eastAsia="宋体" w:cs="宋体"/>
          <w:b w:val="0"/>
          <w:color w:val="auto"/>
          <w:sz w:val="21"/>
          <w:szCs w:val="21"/>
          <w:highlight w:val="none"/>
        </w:rPr>
      </w:pPr>
      <w:bookmarkStart w:id="469" w:name="_Toc351203574"/>
      <w:r>
        <w:rPr>
          <w:rFonts w:hint="eastAsia" w:ascii="宋体" w:hAnsi="宋体" w:eastAsia="宋体" w:cs="宋体"/>
          <w:b w:val="0"/>
          <w:color w:val="auto"/>
          <w:sz w:val="21"/>
          <w:szCs w:val="21"/>
          <w:highlight w:val="none"/>
        </w:rPr>
        <w:t>10.7暂估价</w:t>
      </w:r>
      <w:bookmarkEnd w:id="469"/>
    </w:p>
    <w:p w14:paraId="14A5D18B">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暂估价专业分包工程、服务、材料和工程设备的明细由合同当事人在专用合同条款中约定。</w:t>
      </w:r>
    </w:p>
    <w:p w14:paraId="3DB9945D">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10.7.1</w:t>
      </w:r>
      <w:r>
        <w:rPr>
          <w:rFonts w:hint="eastAsia" w:ascii="宋体" w:hAnsi="宋体" w:eastAsia="宋体" w:cs="宋体"/>
          <w:color w:val="auto"/>
          <w:kern w:val="0"/>
          <w:sz w:val="21"/>
          <w:szCs w:val="21"/>
          <w:highlight w:val="none"/>
        </w:rPr>
        <w:t xml:space="preserve"> 依法必须招标的暂估价项目</w:t>
      </w:r>
    </w:p>
    <w:p w14:paraId="0979053D">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对于依法必须招标的暂估价项目，采取以下第1种方式确定。合同当事人也可以在专用合同条款中选择其他招标方式。</w:t>
      </w:r>
    </w:p>
    <w:p w14:paraId="1DEDF39C">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第1种方式：对于依法必须招标的暂估价项目，由承包人招标，对该暂估价项目的确认和批准按照以下约定执行：</w:t>
      </w:r>
    </w:p>
    <w:p w14:paraId="62EF8644">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承包人应当根据施工进度计划，在招标工作启动前14天将招标方案通过监理人报送发包人审查，发包人应当在收到承包人报送的招标方案后7天内批准或提出修改意见。承包人应当按照经过发包人批准的招标方案开展招标工作；</w:t>
      </w:r>
    </w:p>
    <w:p w14:paraId="06A5F86B">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承包人应当根据施工进度计划，提前14天将招标文件通过监理人报送发包人审批，发包人应当在收到承包人报送的相关文件后7天内完成审批或提出修改意见；发包人有权确定招标控制价并按照法律规定参加评标；</w:t>
      </w:r>
    </w:p>
    <w:p w14:paraId="4BF203C3">
      <w:pPr>
        <w:pageBreakBefore w:val="0"/>
        <w:kinsoku/>
        <w:wordWrap/>
        <w:overflowPunct/>
        <w:topLinePunct w:val="0"/>
        <w:bidi w:val="0"/>
        <w:snapToGrid/>
        <w:spacing w:line="390" w:lineRule="exact"/>
        <w:ind w:left="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3）承包人与供应商、分包人在签订暂估价合同前，应当提前7天将确定的中标候选供应商或中标候选分包人的资料报送发包人，发包人应在收到资料后3天内与承包人共同确定中标人；承包人应当在签订合同后7天内，将暂估价合同副本报送发包人留存。</w:t>
      </w:r>
    </w:p>
    <w:p w14:paraId="6FFE3C5C">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第2种方式：对于依法必须招标的暂估价项目，由发包人和承包人共同招标确定暂估价供应商或分包人的，承包人应按照施工进度计划，在招标工作启动前14天通知发包人，并提交暂估价招标方案和工作分工。发包人应在收到后7天内确认。确定中标人后，由发包人、承包人与中标人共同签订暂估价合同。</w:t>
      </w:r>
    </w:p>
    <w:p w14:paraId="4E8720CB">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10.7.2</w:t>
      </w:r>
      <w:r>
        <w:rPr>
          <w:rFonts w:hint="eastAsia" w:ascii="宋体" w:hAnsi="宋体" w:eastAsia="宋体" w:cs="宋体"/>
          <w:color w:val="auto"/>
          <w:kern w:val="0"/>
          <w:sz w:val="21"/>
          <w:szCs w:val="21"/>
          <w:highlight w:val="none"/>
        </w:rPr>
        <w:t>不属于依法必须招标的暂估价项目</w:t>
      </w:r>
    </w:p>
    <w:p w14:paraId="4A838A88">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除专用合同条款另有约定外，对于不属于依法必须招标的暂估价项目，采取以下第1种方式确定： </w:t>
      </w:r>
    </w:p>
    <w:p w14:paraId="25F87BFE">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第1种方式：对于不属于依法必须招标的暂估价项目，按本项约定确认和批准：</w:t>
      </w:r>
    </w:p>
    <w:p w14:paraId="7384DD8B">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承包人应根据施工进度计划，在签订暂估价项目的采购合同、分包合同前28天向监理人提出书面申请。监理人应当在收到申请后3天内报送发包人，发包人应当在收到申请后14天内给予批准或提出修改意见，发包人逾期未予批准或提出修改意见的，视为该书面申请已获得同意；</w:t>
      </w:r>
    </w:p>
    <w:p w14:paraId="7C97095E">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（2）发包人认为承包人确定的供应商、分包人无法满足工程质量或合同要求的，发包人可以要求承包人重新确定暂估价项目的供应商、分包人;</w:t>
      </w:r>
    </w:p>
    <w:p w14:paraId="5B466ED0">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（3）承包人应当在签订暂估价合同后7天内，将暂估价合同副本报送发包人留存。</w:t>
      </w:r>
    </w:p>
    <w:p w14:paraId="6B77B92F">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第2种方式：承包人按照第10.7.1项〔依法必须招标的暂估价项目〕约定的第1种方式确定暂估价项目。</w:t>
      </w:r>
    </w:p>
    <w:p w14:paraId="07C6400D">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第3种方式：</w:t>
      </w:r>
      <w:r>
        <w:rPr>
          <w:rFonts w:hint="eastAsia" w:ascii="宋体" w:hAnsi="宋体" w:eastAsia="宋体" w:cs="宋体"/>
          <w:color w:val="auto"/>
          <w:kern w:val="0"/>
          <w:sz w:val="21"/>
          <w:szCs w:val="21"/>
          <w:highlight w:val="none"/>
        </w:rPr>
        <w:t>承包人直接实施的暂估价项目</w:t>
      </w:r>
    </w:p>
    <w:p w14:paraId="1EC81113">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承包人具备实施暂估价项目的资格和条件的，经发包人和承包人协商一致后，可由承包人自行实施暂估价项目，合同当事人可以在专用合同条款约定具体事项。</w:t>
      </w:r>
    </w:p>
    <w:p w14:paraId="2DA1088D">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10.7.3 因发包人原因导致暂估价合同订立和履行迟延的，由此增加的费用和（或）延误的工期由发包人承担，并支付承包人合理的利润。因承包人原因导致暂估价合同订立和履行迟延的，由此增加的费用和（或）延误的工期由承包人承担。</w:t>
      </w:r>
    </w:p>
    <w:p w14:paraId="6BF17CEA">
      <w:pPr>
        <w:pStyle w:val="8"/>
        <w:pageBreakBefore w:val="0"/>
        <w:kinsoku/>
        <w:wordWrap/>
        <w:overflowPunct/>
        <w:topLinePunct w:val="0"/>
        <w:bidi w:val="0"/>
        <w:snapToGrid/>
        <w:spacing w:before="0" w:after="0" w:line="390" w:lineRule="exact"/>
        <w:ind w:left="0" w:firstLine="420" w:firstLineChars="200"/>
        <w:textAlignment w:val="auto"/>
        <w:rPr>
          <w:rFonts w:hint="eastAsia" w:ascii="宋体" w:hAnsi="宋体" w:eastAsia="宋体" w:cs="宋体"/>
          <w:b w:val="0"/>
          <w:color w:val="auto"/>
          <w:sz w:val="21"/>
          <w:szCs w:val="21"/>
          <w:highlight w:val="none"/>
        </w:rPr>
      </w:pPr>
      <w:bookmarkStart w:id="470" w:name="_Toc351203575"/>
      <w:r>
        <w:rPr>
          <w:rFonts w:hint="eastAsia" w:ascii="宋体" w:hAnsi="宋体" w:eastAsia="宋体" w:cs="宋体"/>
          <w:b w:val="0"/>
          <w:color w:val="auto"/>
          <w:sz w:val="21"/>
          <w:szCs w:val="21"/>
          <w:highlight w:val="none"/>
        </w:rPr>
        <w:t>1</w:t>
      </w:r>
      <w:bookmarkStart w:id="471" w:name="_Toc337558794"/>
      <w:bookmarkStart w:id="472" w:name="_Toc296346591"/>
      <w:bookmarkStart w:id="473" w:name="_Toc322522561"/>
      <w:bookmarkStart w:id="474" w:name="_Toc296503090"/>
      <w:r>
        <w:rPr>
          <w:rFonts w:hint="eastAsia" w:ascii="宋体" w:hAnsi="宋体" w:eastAsia="宋体" w:cs="宋体"/>
          <w:b w:val="0"/>
          <w:color w:val="auto"/>
          <w:sz w:val="21"/>
          <w:szCs w:val="21"/>
          <w:highlight w:val="none"/>
        </w:rPr>
        <w:t>0.8暂列金额</w:t>
      </w:r>
      <w:bookmarkEnd w:id="470"/>
    </w:p>
    <w:bookmarkEnd w:id="471"/>
    <w:p w14:paraId="49D73157">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暂列金额应按照发包人的要求使用，发包人的要求应通过监理人发出。合同当事人可以在专用合同条款中协商确定有关事项。</w:t>
      </w:r>
    </w:p>
    <w:bookmarkEnd w:id="472"/>
    <w:bookmarkEnd w:id="473"/>
    <w:bookmarkEnd w:id="474"/>
    <w:p w14:paraId="59FAD434">
      <w:pPr>
        <w:pStyle w:val="8"/>
        <w:pageBreakBefore w:val="0"/>
        <w:kinsoku/>
        <w:wordWrap/>
        <w:overflowPunct/>
        <w:topLinePunct w:val="0"/>
        <w:bidi w:val="0"/>
        <w:snapToGrid/>
        <w:spacing w:before="0" w:after="0" w:line="390" w:lineRule="exact"/>
        <w:ind w:left="0" w:firstLine="420" w:firstLineChars="200"/>
        <w:textAlignment w:val="auto"/>
        <w:rPr>
          <w:rFonts w:hint="eastAsia" w:ascii="宋体" w:hAnsi="宋体" w:eastAsia="宋体" w:cs="宋体"/>
          <w:b w:val="0"/>
          <w:color w:val="auto"/>
          <w:sz w:val="21"/>
          <w:szCs w:val="21"/>
          <w:highlight w:val="none"/>
        </w:rPr>
      </w:pPr>
      <w:bookmarkStart w:id="475" w:name="_Toc351203576"/>
      <w:r>
        <w:rPr>
          <w:rFonts w:hint="eastAsia" w:ascii="宋体" w:hAnsi="宋体" w:eastAsia="宋体" w:cs="宋体"/>
          <w:b w:val="0"/>
          <w:color w:val="auto"/>
          <w:sz w:val="21"/>
          <w:szCs w:val="21"/>
          <w:highlight w:val="none"/>
        </w:rPr>
        <w:t>1</w:t>
      </w:r>
      <w:bookmarkStart w:id="476" w:name="_Toc337558796"/>
      <w:bookmarkStart w:id="477" w:name="_Toc296503091"/>
      <w:bookmarkStart w:id="478" w:name="_Toc296346592"/>
      <w:r>
        <w:rPr>
          <w:rFonts w:hint="eastAsia" w:ascii="宋体" w:hAnsi="宋体" w:eastAsia="宋体" w:cs="宋体"/>
          <w:b w:val="0"/>
          <w:color w:val="auto"/>
          <w:sz w:val="21"/>
          <w:szCs w:val="21"/>
          <w:highlight w:val="none"/>
        </w:rPr>
        <w:t>0.9计日工</w:t>
      </w:r>
      <w:bookmarkEnd w:id="475"/>
      <w:r>
        <w:rPr>
          <w:rFonts w:hint="eastAsia" w:ascii="宋体" w:hAnsi="宋体" w:eastAsia="宋体" w:cs="宋体"/>
          <w:b w:val="0"/>
          <w:color w:val="auto"/>
          <w:sz w:val="21"/>
          <w:szCs w:val="21"/>
          <w:highlight w:val="none"/>
        </w:rPr>
        <w:t xml:space="preserve"> </w:t>
      </w:r>
      <w:bookmarkEnd w:id="476"/>
      <w:bookmarkEnd w:id="477"/>
      <w:bookmarkEnd w:id="478"/>
    </w:p>
    <w:p w14:paraId="41F3EB19">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需要采用计日工方式的，经发包人同意后，由监理人通知承包人以计日工计价方式实施相应的工作，其价款按列入已标价工程量清单或预算书中的计日工计价项目及其单价进行计算；已标价工程量清单或预算书中无相应的计日工单价的，按照合理的成本与利润构成的原则，由合同当事人按照第4.4款〔商定或确定〕确定计日工的单价。</w:t>
      </w:r>
    </w:p>
    <w:p w14:paraId="685A6FD0">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采用计日工计价的任何一项工作，承包人应在该项工作实施过程中，每天提交以下报表和有关凭证报送监理人审查：</w:t>
      </w:r>
    </w:p>
    <w:p w14:paraId="75942A89">
      <w:pPr>
        <w:pageBreakBefore w:val="0"/>
        <w:kinsoku/>
        <w:wordWrap/>
        <w:overflowPunct/>
        <w:topLinePunct w:val="0"/>
        <w:bidi w:val="0"/>
        <w:snapToGrid/>
        <w:spacing w:line="390" w:lineRule="exact"/>
        <w:ind w:left="0" w:firstLine="315" w:firstLineChars="15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（1）工作名称、内容和数量；</w:t>
      </w:r>
    </w:p>
    <w:p w14:paraId="4D1A6721">
      <w:pPr>
        <w:pageBreakBefore w:val="0"/>
        <w:kinsoku/>
        <w:wordWrap/>
        <w:overflowPunct/>
        <w:topLinePunct w:val="0"/>
        <w:bidi w:val="0"/>
        <w:snapToGrid/>
        <w:spacing w:line="390" w:lineRule="exact"/>
        <w:ind w:left="0" w:firstLine="315" w:firstLineChars="15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（2）投入该工作的所有人员的姓名、专业、工种、级别和耗用工时；</w:t>
      </w:r>
    </w:p>
    <w:p w14:paraId="0C6A5ACC">
      <w:pPr>
        <w:pageBreakBefore w:val="0"/>
        <w:kinsoku/>
        <w:wordWrap/>
        <w:overflowPunct/>
        <w:topLinePunct w:val="0"/>
        <w:bidi w:val="0"/>
        <w:snapToGrid/>
        <w:spacing w:line="390" w:lineRule="exact"/>
        <w:ind w:left="0" w:firstLine="315" w:firstLineChars="15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（3）投入该工作的材料类别和数量；</w:t>
      </w:r>
    </w:p>
    <w:p w14:paraId="44AFA2C6">
      <w:pPr>
        <w:pageBreakBefore w:val="0"/>
        <w:kinsoku/>
        <w:wordWrap/>
        <w:overflowPunct/>
        <w:topLinePunct w:val="0"/>
        <w:bidi w:val="0"/>
        <w:snapToGrid/>
        <w:spacing w:line="390" w:lineRule="exact"/>
        <w:ind w:left="0" w:firstLine="315" w:firstLineChars="15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（4）投入该工作的施工设备型号、台数和耗用台时；</w:t>
      </w:r>
    </w:p>
    <w:p w14:paraId="73ECADE8">
      <w:pPr>
        <w:pageBreakBefore w:val="0"/>
        <w:kinsoku/>
        <w:wordWrap/>
        <w:overflowPunct/>
        <w:topLinePunct w:val="0"/>
        <w:bidi w:val="0"/>
        <w:snapToGrid/>
        <w:spacing w:line="390" w:lineRule="exact"/>
        <w:ind w:left="0" w:firstLine="315" w:firstLineChars="15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（5）其他有关资料和凭证。</w:t>
      </w:r>
    </w:p>
    <w:p w14:paraId="76FF9BE0">
      <w:pPr>
        <w:pageBreakBefore w:val="0"/>
        <w:kinsoku/>
        <w:wordWrap/>
        <w:overflowPunct/>
        <w:topLinePunct w:val="0"/>
        <w:bidi w:val="0"/>
        <w:snapToGrid/>
        <w:spacing w:line="390" w:lineRule="exact"/>
        <w:ind w:left="0" w:firstLine="315" w:firstLineChars="15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计日工由承包人汇总后，列入最近一期进度付款申请单，由监理人审查并经发包人批准后列入进度付款。</w:t>
      </w:r>
    </w:p>
    <w:p w14:paraId="1533BA5F">
      <w:pPr>
        <w:pStyle w:val="7"/>
        <w:pageBreakBefore w:val="0"/>
        <w:kinsoku/>
        <w:wordWrap/>
        <w:overflowPunct/>
        <w:topLinePunct w:val="0"/>
        <w:bidi w:val="0"/>
        <w:snapToGrid/>
        <w:spacing w:before="0" w:line="390" w:lineRule="exact"/>
        <w:ind w:left="0"/>
        <w:textAlignment w:val="auto"/>
        <w:rPr>
          <w:rFonts w:hint="eastAsia" w:ascii="宋体" w:hAnsi="宋体" w:eastAsia="宋体" w:cs="宋体"/>
          <w:b w:val="0"/>
          <w:color w:val="auto"/>
          <w:sz w:val="21"/>
          <w:szCs w:val="21"/>
          <w:highlight w:val="none"/>
        </w:rPr>
      </w:pPr>
      <w:bookmarkStart w:id="479" w:name="_Toc351203577"/>
      <w:r>
        <w:rPr>
          <w:rFonts w:hint="eastAsia" w:ascii="宋体" w:hAnsi="宋体" w:eastAsia="宋体" w:cs="宋体"/>
          <w:b w:val="0"/>
          <w:color w:val="auto"/>
          <w:sz w:val="21"/>
          <w:szCs w:val="21"/>
          <w:highlight w:val="none"/>
        </w:rPr>
        <w:t>11. 价格调整</w:t>
      </w:r>
      <w:bookmarkEnd w:id="479"/>
    </w:p>
    <w:p w14:paraId="41F2AF9E">
      <w:pPr>
        <w:pStyle w:val="8"/>
        <w:pageBreakBefore w:val="0"/>
        <w:kinsoku/>
        <w:wordWrap/>
        <w:overflowPunct/>
        <w:topLinePunct w:val="0"/>
        <w:bidi w:val="0"/>
        <w:snapToGrid/>
        <w:spacing w:before="0" w:after="0" w:line="390" w:lineRule="exact"/>
        <w:ind w:left="0" w:firstLine="420" w:firstLineChars="200"/>
        <w:textAlignment w:val="auto"/>
        <w:rPr>
          <w:rFonts w:hint="eastAsia" w:ascii="宋体" w:hAnsi="宋体" w:eastAsia="宋体" w:cs="宋体"/>
          <w:b w:val="0"/>
          <w:color w:val="auto"/>
          <w:sz w:val="21"/>
          <w:szCs w:val="21"/>
          <w:highlight w:val="none"/>
        </w:rPr>
      </w:pPr>
      <w:bookmarkStart w:id="480" w:name="_Toc351203578"/>
      <w:bookmarkStart w:id="481" w:name="_Toc296503092"/>
      <w:bookmarkStart w:id="482" w:name="_Toc337558797"/>
      <w:bookmarkStart w:id="483" w:name="_Toc296346593"/>
      <w:r>
        <w:rPr>
          <w:rFonts w:hint="eastAsia" w:ascii="宋体" w:hAnsi="宋体" w:eastAsia="宋体" w:cs="宋体"/>
          <w:b w:val="0"/>
          <w:color w:val="auto"/>
          <w:sz w:val="21"/>
          <w:szCs w:val="21"/>
          <w:highlight w:val="none"/>
        </w:rPr>
        <w:t>11.1市场价格波动引起的调整</w:t>
      </w:r>
      <w:bookmarkEnd w:id="480"/>
    </w:p>
    <w:bookmarkEnd w:id="481"/>
    <w:bookmarkEnd w:id="482"/>
    <w:bookmarkEnd w:id="483"/>
    <w:p w14:paraId="16CF2CAB">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除专用合同条款另有约定外，市场价格波动超过合同当事人约定的范围，合同价格应当调整。合同当事人可以在专用合同条款中约定选择以下一种方式对合同价格进行调整：</w:t>
      </w:r>
    </w:p>
    <w:p w14:paraId="7EC0A817">
      <w:pPr>
        <w:pageBreakBefore w:val="0"/>
        <w:kinsoku/>
        <w:wordWrap/>
        <w:overflowPunct/>
        <w:topLinePunct w:val="0"/>
        <w:bidi w:val="0"/>
        <w:snapToGrid/>
        <w:spacing w:line="39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第1种方式：采用价格指数进行价格调整。</w:t>
      </w:r>
    </w:p>
    <w:p w14:paraId="1FF4768F">
      <w:pPr>
        <w:pageBreakBefore w:val="0"/>
        <w:tabs>
          <w:tab w:val="left" w:pos="0"/>
          <w:tab w:val="left" w:pos="360"/>
          <w:tab w:val="left" w:pos="540"/>
        </w:tabs>
        <w:kinsoku/>
        <w:wordWrap/>
        <w:overflowPunct/>
        <w:topLinePunct w:val="0"/>
        <w:bidi w:val="0"/>
        <w:snapToGrid/>
        <w:spacing w:line="39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（1）价格调整公式</w:t>
      </w:r>
    </w:p>
    <w:p w14:paraId="7AC898A4">
      <w:pPr>
        <w:pageBreakBefore w:val="0"/>
        <w:tabs>
          <w:tab w:val="left" w:pos="0"/>
          <w:tab w:val="left" w:pos="360"/>
          <w:tab w:val="left" w:pos="540"/>
        </w:tabs>
        <w:kinsoku/>
        <w:wordWrap/>
        <w:overflowPunct/>
        <w:topLinePunct w:val="0"/>
        <w:bidi w:val="0"/>
        <w:snapToGrid/>
        <w:spacing w:line="39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因人工、材料和设备等价格波动影响合同价格时，根据专用合同条款中约定的数据，按以下公式计算差额并调整合同价格：</w:t>
      </w:r>
    </w:p>
    <w:p w14:paraId="3E6AF955">
      <w:pPr>
        <w:pageBreakBefore w:val="0"/>
        <w:tabs>
          <w:tab w:val="left" w:pos="0"/>
          <w:tab w:val="left" w:pos="360"/>
          <w:tab w:val="left" w:pos="540"/>
        </w:tabs>
        <w:kinsoku/>
        <w:wordWrap/>
        <w:overflowPunct/>
        <w:topLinePunct w:val="0"/>
        <w:bidi w:val="0"/>
        <w:snapToGrid/>
        <w:spacing w:line="39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position w:val="-30"/>
          <w:sz w:val="21"/>
          <w:szCs w:val="21"/>
          <w:highlight w:val="none"/>
        </w:rPr>
        <w:object>
          <v:shape id="_x0000_i1025" o:spt="75" type="#_x0000_t75" style="height:43.9pt;width:359.85pt;" o:ole="t" filled="f" stroked="f" coordsize="21600,21600">
            <v:path/>
            <v:fill on="f" focussize="0,0"/>
            <v:stroke on="f"/>
            <v:imagedata r:id="rId12" o:title=""/>
            <o:lock v:ext="edit" grouping="f" rotation="f" text="f" aspectratio="t"/>
            <w10:wrap type="none"/>
            <w10:anchorlock/>
          </v:shape>
          <o:OLEObject Type="Embed" ProgID="Equation.KSEE3" ShapeID="_x0000_i1025" DrawAspect="Content" ObjectID="_1468075725" r:id="rId11">
            <o:LockedField>false</o:LockedField>
          </o:OLEObject>
        </w:object>
      </w:r>
    </w:p>
    <w:p w14:paraId="75DB3236">
      <w:pPr>
        <w:pageBreakBefore w:val="0"/>
        <w:tabs>
          <w:tab w:val="left" w:pos="0"/>
          <w:tab w:val="left" w:pos="360"/>
          <w:tab w:val="left" w:pos="540"/>
        </w:tabs>
        <w:kinsoku/>
        <w:wordWrap/>
        <w:overflowPunct/>
        <w:topLinePunct w:val="0"/>
        <w:bidi w:val="0"/>
        <w:snapToGrid/>
        <w:spacing w:line="390" w:lineRule="exact"/>
        <w:ind w:left="0" w:firstLine="6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公式中：ΔP——需调整的价格差额；</w:t>
      </w:r>
    </w:p>
    <w:p w14:paraId="6503DDA6">
      <w:pPr>
        <w:pageBreakBefore w:val="0"/>
        <w:tabs>
          <w:tab w:val="left" w:pos="0"/>
          <w:tab w:val="left" w:pos="360"/>
          <w:tab w:val="left" w:pos="540"/>
        </w:tabs>
        <w:kinsoku/>
        <w:wordWrap/>
        <w:overflowPunct/>
        <w:topLinePunct w:val="0"/>
        <w:bidi w:val="0"/>
        <w:snapToGrid/>
        <w:spacing w:line="390" w:lineRule="exact"/>
        <w:ind w:left="0" w:firstLine="1260" w:firstLineChars="600"/>
        <w:textAlignment w:val="auto"/>
        <w:rPr>
          <w:rFonts w:hint="eastAsia" w:ascii="宋体" w:hAnsi="宋体" w:eastAsia="宋体" w:cs="宋体"/>
          <w:color w:val="auto"/>
          <w:sz w:val="21"/>
          <w:szCs w:val="21"/>
          <w:highlight w:val="none"/>
        </w:rPr>
      </w:pPr>
      <w:r>
        <w:rPr>
          <w:rFonts w:hint="eastAsia" w:ascii="宋体" w:hAnsi="宋体" w:eastAsia="宋体" w:cs="宋体"/>
          <w:color w:val="auto"/>
          <w:position w:val="-6"/>
          <w:sz w:val="21"/>
          <w:szCs w:val="21"/>
          <w:highlight w:val="none"/>
        </w:rPr>
        <w:object>
          <v:shape id="_x0000_i1026" o:spt="75" type="#_x0000_t75" style="height:17.95pt;width:17.95pt;" o:ole="t" filled="f" stroked="f" coordsize="21600,21600">
            <v:path/>
            <v:fill on="f" focussize="0,0"/>
            <v:stroke on="f"/>
            <v:imagedata r:id="rId14" o:title=""/>
            <o:lock v:ext="edit" grouping="f" rotation="f" text="f" aspectratio="t"/>
            <w10:wrap type="none"/>
            <w10:anchorlock/>
          </v:shape>
          <o:OLEObject Type="Embed" ProgID="Equation.KSEE3" ShapeID="_x0000_i1026" DrawAspect="Content" ObjectID="_1468075726" r:id="rId13">
            <o:LockedField>false</o:LockedField>
          </o:OLEObject>
        </w:object>
      </w:r>
      <w:r>
        <w:rPr>
          <w:rFonts w:hint="eastAsia" w:ascii="宋体" w:hAnsi="宋体" w:eastAsia="宋体" w:cs="宋体"/>
          <w:color w:val="auto"/>
          <w:sz w:val="21"/>
          <w:szCs w:val="21"/>
          <w:highlight w:val="none"/>
        </w:rPr>
        <w:t>——约定的付款证书中承包人应得到的已完成工程量的金额。此项金额应不包括价格调整、不计质量保证金的扣留和支付、预付款的支付和扣回。约定的变更及其他金额已按现行价格计价的，也不计在内；</w:t>
      </w:r>
    </w:p>
    <w:p w14:paraId="5BA53881">
      <w:pPr>
        <w:pageBreakBefore w:val="0"/>
        <w:tabs>
          <w:tab w:val="left" w:pos="0"/>
          <w:tab w:val="left" w:pos="360"/>
          <w:tab w:val="left" w:pos="540"/>
        </w:tabs>
        <w:kinsoku/>
        <w:wordWrap/>
        <w:overflowPunct/>
        <w:topLinePunct w:val="0"/>
        <w:bidi w:val="0"/>
        <w:snapToGrid/>
        <w:spacing w:line="39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A——定值权重（即不调部分的权重）；</w:t>
      </w:r>
    </w:p>
    <w:p w14:paraId="7CE96F90">
      <w:pPr>
        <w:pageBreakBefore w:val="0"/>
        <w:tabs>
          <w:tab w:val="left" w:pos="0"/>
          <w:tab w:val="left" w:pos="360"/>
          <w:tab w:val="left" w:pos="540"/>
        </w:tabs>
        <w:kinsoku/>
        <w:wordWrap/>
        <w:overflowPunct/>
        <w:topLinePunct w:val="0"/>
        <w:bidi w:val="0"/>
        <w:snapToGrid/>
        <w:spacing w:line="39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position w:val="-10"/>
          <w:sz w:val="21"/>
          <w:szCs w:val="21"/>
          <w:highlight w:val="none"/>
        </w:rPr>
        <w:object>
          <v:shape id="_x0000_i1027" o:spt="75" type="#_x0000_t75" style="height:21.05pt;width:101pt;" o:ole="t" filled="f" stroked="f" coordsize="21600,21600">
            <v:path/>
            <v:fill on="f" focussize="0,0"/>
            <v:stroke on="f"/>
            <v:imagedata r:id="rId16" o:title=""/>
            <o:lock v:ext="edit" grouping="f" rotation="f" text="f" aspectratio="t"/>
            <w10:wrap type="none"/>
            <w10:anchorlock/>
          </v:shape>
          <o:OLEObject Type="Embed" ProgID="Equation.KSEE3" ShapeID="_x0000_i1027" DrawAspect="Content" ObjectID="_1468075727" r:id="rId15">
            <o:LockedField>false</o:LockedField>
          </o:OLEObject>
        </w:object>
      </w:r>
      <w:r>
        <w:rPr>
          <w:rFonts w:hint="eastAsia" w:ascii="宋体" w:hAnsi="宋体" w:eastAsia="宋体" w:cs="宋体"/>
          <w:color w:val="auto"/>
          <w:sz w:val="21"/>
          <w:szCs w:val="21"/>
          <w:highlight w:val="none"/>
        </w:rPr>
        <w:t>——各可调因子的变值权重（即可调部分的权重），为各可调因子在签约合同价中所占的比例；</w:t>
      </w:r>
    </w:p>
    <w:p w14:paraId="353BF9DD">
      <w:pPr>
        <w:pageBreakBefore w:val="0"/>
        <w:tabs>
          <w:tab w:val="left" w:pos="0"/>
          <w:tab w:val="left" w:pos="360"/>
          <w:tab w:val="left" w:pos="540"/>
        </w:tabs>
        <w:kinsoku/>
        <w:wordWrap/>
        <w:overflowPunct/>
        <w:topLinePunct w:val="0"/>
        <w:bidi w:val="0"/>
        <w:snapToGrid/>
        <w:spacing w:line="39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position w:val="-10"/>
          <w:sz w:val="21"/>
          <w:szCs w:val="21"/>
          <w:highlight w:val="none"/>
        </w:rPr>
        <w:object>
          <v:shape id="_x0000_i1028" o:spt="75" type="#_x0000_t75" style="height:20.6pt;width:102.05pt;" o:ole="t" filled="f" stroked="f" coordsize="21600,21600">
            <v:path/>
            <v:fill on="f" focussize="0,0"/>
            <v:stroke on="f"/>
            <v:imagedata r:id="rId18" o:title=""/>
            <o:lock v:ext="edit" grouping="f" rotation="f" text="f" aspectratio="t"/>
            <w10:wrap type="none"/>
            <w10:anchorlock/>
          </v:shape>
          <o:OLEObject Type="Embed" ProgID="Equation.KSEE3" ShapeID="_x0000_i1028" DrawAspect="Content" ObjectID="_1468075728" r:id="rId17">
            <o:LockedField>false</o:LockedField>
          </o:OLEObject>
        </w:object>
      </w:r>
      <w:r>
        <w:rPr>
          <w:rFonts w:hint="eastAsia" w:ascii="宋体" w:hAnsi="宋体" w:eastAsia="宋体" w:cs="宋体"/>
          <w:color w:val="auto"/>
          <w:sz w:val="21"/>
          <w:szCs w:val="21"/>
          <w:highlight w:val="none"/>
        </w:rPr>
        <w:t>——各可调因子的现行价格指数，指约定的付款证书相关周期最后一天的前42天的各可调因子的价格指数；</w:t>
      </w:r>
    </w:p>
    <w:p w14:paraId="41BE9E07">
      <w:pPr>
        <w:pageBreakBefore w:val="0"/>
        <w:tabs>
          <w:tab w:val="left" w:pos="0"/>
          <w:tab w:val="left" w:pos="360"/>
          <w:tab w:val="left" w:pos="540"/>
        </w:tabs>
        <w:kinsoku/>
        <w:wordWrap/>
        <w:overflowPunct/>
        <w:topLinePunct w:val="0"/>
        <w:bidi w:val="0"/>
        <w:snapToGrid/>
        <w:spacing w:line="39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position w:val="-10"/>
          <w:sz w:val="21"/>
          <w:szCs w:val="21"/>
          <w:highlight w:val="none"/>
        </w:rPr>
        <w:object>
          <v:shape id="_x0000_i1029" o:spt="75" type="#_x0000_t75" style="height:20.2pt;width:107.95pt;" o:ole="t" filled="f" stroked="f" coordsize="21600,21600">
            <v:path/>
            <v:fill on="f" focussize="0,0"/>
            <v:stroke on="f"/>
            <v:imagedata r:id="rId20" o:title=""/>
            <o:lock v:ext="edit" grouping="f" rotation="f" text="f" aspectratio="t"/>
            <w10:wrap type="none"/>
            <w10:anchorlock/>
          </v:shape>
          <o:OLEObject Type="Embed" ProgID="Equation.KSEE3" ShapeID="_x0000_i1029" DrawAspect="Content" ObjectID="_1468075729" r:id="rId19">
            <o:LockedField>false</o:LockedField>
          </o:OLEObject>
        </w:object>
      </w:r>
      <w:r>
        <w:rPr>
          <w:rFonts w:hint="eastAsia" w:ascii="宋体" w:hAnsi="宋体" w:eastAsia="宋体" w:cs="宋体"/>
          <w:color w:val="auto"/>
          <w:sz w:val="21"/>
          <w:szCs w:val="21"/>
          <w:highlight w:val="none"/>
        </w:rPr>
        <w:t>——各可调因子的基本价格指数，指基准日期的各可调因子的价格指数。</w:t>
      </w:r>
    </w:p>
    <w:p w14:paraId="0C96E1EC">
      <w:pPr>
        <w:pageBreakBefore w:val="0"/>
        <w:tabs>
          <w:tab w:val="left" w:pos="0"/>
          <w:tab w:val="left" w:pos="360"/>
          <w:tab w:val="left" w:pos="540"/>
        </w:tabs>
        <w:kinsoku/>
        <w:wordWrap/>
        <w:overflowPunct/>
        <w:topLinePunct w:val="0"/>
        <w:bidi w:val="0"/>
        <w:snapToGrid/>
        <w:spacing w:line="39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上价格调整公式中的各可调因子、定值和变值权重，以及基本价格指数及其来源在投标函附录价格指数和权重表中约定，非招标订立的合同，由合同当事人在专用合同条款中约定。价格指数应首先采用工程造价管理机构发布的价格指数，无前述价格指数时，可采用工程造价管理机构发布的价格代替。</w:t>
      </w:r>
    </w:p>
    <w:p w14:paraId="2B83672E">
      <w:pPr>
        <w:pageBreakBefore w:val="0"/>
        <w:tabs>
          <w:tab w:val="left" w:pos="0"/>
          <w:tab w:val="left" w:pos="360"/>
          <w:tab w:val="left" w:pos="540"/>
        </w:tabs>
        <w:kinsoku/>
        <w:wordWrap/>
        <w:overflowPunct/>
        <w:topLinePunct w:val="0"/>
        <w:bidi w:val="0"/>
        <w:snapToGrid/>
        <w:spacing w:line="39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（2）暂时确定调整差额</w:t>
      </w:r>
    </w:p>
    <w:p w14:paraId="001FF5DE">
      <w:pPr>
        <w:pageBreakBefore w:val="0"/>
        <w:tabs>
          <w:tab w:val="left" w:pos="0"/>
          <w:tab w:val="left" w:pos="360"/>
          <w:tab w:val="left" w:pos="540"/>
        </w:tabs>
        <w:kinsoku/>
        <w:wordWrap/>
        <w:overflowPunct/>
        <w:topLinePunct w:val="0"/>
        <w:bidi w:val="0"/>
        <w:snapToGrid/>
        <w:spacing w:line="39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在计算调整差额时无现行价格指数的，合同当事人同意暂用前次价格指数计算。实际价格指数有调整的，合同当事人进行相应调整。</w:t>
      </w:r>
    </w:p>
    <w:p w14:paraId="32147CBB">
      <w:pPr>
        <w:pageBreakBefore w:val="0"/>
        <w:tabs>
          <w:tab w:val="left" w:pos="0"/>
          <w:tab w:val="left" w:pos="360"/>
          <w:tab w:val="left" w:pos="540"/>
        </w:tabs>
        <w:kinsoku/>
        <w:wordWrap/>
        <w:overflowPunct/>
        <w:topLinePunct w:val="0"/>
        <w:bidi w:val="0"/>
        <w:snapToGrid/>
        <w:spacing w:line="39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（3）权重的调整</w:t>
      </w:r>
    </w:p>
    <w:p w14:paraId="5ADF3DF5">
      <w:pPr>
        <w:pageBreakBefore w:val="0"/>
        <w:tabs>
          <w:tab w:val="left" w:pos="0"/>
          <w:tab w:val="left" w:pos="360"/>
          <w:tab w:val="left" w:pos="540"/>
        </w:tabs>
        <w:kinsoku/>
        <w:wordWrap/>
        <w:overflowPunct/>
        <w:topLinePunct w:val="0"/>
        <w:bidi w:val="0"/>
        <w:snapToGrid/>
        <w:spacing w:line="39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因变更导致合同约定的权重不合理时，按照第4.4款〔商定或确定〕执行。</w:t>
      </w:r>
    </w:p>
    <w:p w14:paraId="1775AE86">
      <w:pPr>
        <w:pageBreakBefore w:val="0"/>
        <w:tabs>
          <w:tab w:val="left" w:pos="0"/>
          <w:tab w:val="left" w:pos="360"/>
          <w:tab w:val="left" w:pos="540"/>
        </w:tabs>
        <w:kinsoku/>
        <w:wordWrap/>
        <w:overflowPunct/>
        <w:topLinePunct w:val="0"/>
        <w:bidi w:val="0"/>
        <w:snapToGrid/>
        <w:spacing w:line="39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（4）因承包人原因工期延误后的价格调整</w:t>
      </w:r>
    </w:p>
    <w:p w14:paraId="1519F8B3">
      <w:pPr>
        <w:pageBreakBefore w:val="0"/>
        <w:tabs>
          <w:tab w:val="left" w:pos="0"/>
          <w:tab w:val="left" w:pos="360"/>
          <w:tab w:val="left" w:pos="540"/>
        </w:tabs>
        <w:kinsoku/>
        <w:wordWrap/>
        <w:overflowPunct/>
        <w:topLinePunct w:val="0"/>
        <w:bidi w:val="0"/>
        <w:snapToGrid/>
        <w:spacing w:line="39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因承包人原因未按期竣工的，对合同约定的竣工日期后继续施工的工程，在使用价格调整公式时，应采用计划竣工日期与实际竣工日期的两个价格指数中较低的一个作为现行价格指数。</w:t>
      </w:r>
    </w:p>
    <w:p w14:paraId="5B7AE6CE">
      <w:pPr>
        <w:pageBreakBefore w:val="0"/>
        <w:kinsoku/>
        <w:wordWrap/>
        <w:overflowPunct/>
        <w:topLinePunct w:val="0"/>
        <w:bidi w:val="0"/>
        <w:snapToGrid/>
        <w:spacing w:line="39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第2种方式：采用造价信息进行价格调整。</w:t>
      </w:r>
    </w:p>
    <w:p w14:paraId="3A531953">
      <w:pPr>
        <w:pageBreakBefore w:val="0"/>
        <w:kinsoku/>
        <w:wordWrap/>
        <w:overflowPunct/>
        <w:topLinePunct w:val="0"/>
        <w:bidi w:val="0"/>
        <w:snapToGrid/>
        <w:spacing w:line="39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履行期间，因人工、材料、工程设备和机械台班价格波动影响合同价格时，人工、机械使用费按照国家或省、自治区、直辖市建设行政管理部门、行业建设管理部门或其授权的工程造价管理机构发布的人工、机械使用费系数进行调整；需要进行价格调整的材料，其单价和采购数量应由发包人审批，发包人确认需调整的材料单价及数量，作为调整合同价格的依据。</w:t>
      </w:r>
    </w:p>
    <w:p w14:paraId="2D90EAA2">
      <w:pPr>
        <w:pageBreakBefore w:val="0"/>
        <w:kinsoku/>
        <w:wordWrap/>
        <w:overflowPunct/>
        <w:topLinePunct w:val="0"/>
        <w:bidi w:val="0"/>
        <w:snapToGrid/>
        <w:spacing w:line="39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w:t>
      </w:r>
    </w:p>
    <w:p w14:paraId="64F45D58">
      <w:pPr>
        <w:pageBreakBefore w:val="0"/>
        <w:kinsoku/>
        <w:wordWrap/>
        <w:overflowPunct/>
        <w:topLinePunct w:val="0"/>
        <w:bidi w:val="0"/>
        <w:snapToGrid/>
        <w:spacing w:line="39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（2）材料、工程设备价格变化的价款调整按照发包人提供的基准价格，按以下风险范围规定执行:</w:t>
      </w:r>
    </w:p>
    <w:p w14:paraId="58B963F1">
      <w:pPr>
        <w:pageBreakBefore w:val="0"/>
        <w:kinsoku/>
        <w:wordWrap/>
        <w:overflowPunct/>
        <w:topLinePunct w:val="0"/>
        <w:bidi w:val="0"/>
        <w:snapToGrid/>
        <w:spacing w:line="39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承包人在已标价工程量清单或预算书中载明材料单价低于基准价格的：除专用合同条款另有约定外，合同履行期间材料单价涨幅以基准价格为基础超过5%时，或材料单价跌幅以在已标价工程量清单或预算书中载明材料单价为基础超过5%时，其超过部分据实调整。</w:t>
      </w:r>
    </w:p>
    <w:p w14:paraId="1D4B34E9">
      <w:pPr>
        <w:pageBreakBefore w:val="0"/>
        <w:kinsoku/>
        <w:wordWrap/>
        <w:overflowPunct/>
        <w:topLinePunct w:val="0"/>
        <w:bidi w:val="0"/>
        <w:snapToGrid/>
        <w:spacing w:line="39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承包人在已标价工程量清单或预算书中载明材料单价高于基准价格的：除专用合同条款另有约定外，合同履行期间材料单价跌幅以基准价格为基础超过5%时，材料单价涨幅以在已标价工程量清单或预算书中载明材料单价为基础超过5%时，其超过部分据实调整。</w:t>
      </w:r>
    </w:p>
    <w:p w14:paraId="7E596AB2">
      <w:pPr>
        <w:pageBreakBefore w:val="0"/>
        <w:kinsoku/>
        <w:wordWrap/>
        <w:overflowPunct/>
        <w:topLinePunct w:val="0"/>
        <w:bidi w:val="0"/>
        <w:snapToGrid/>
        <w:spacing w:line="39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③承包人在已标价工程量清单或预算书中载明材料单价等于基准价格的：除专用合同条款另有约定外，合同履行期间材料单价涨跌幅以基准价格为基础超过±5%时，其超过部分据实调整。</w:t>
      </w:r>
    </w:p>
    <w:p w14:paraId="2A93BEE2">
      <w:pPr>
        <w:pageBreakBefore w:val="0"/>
        <w:kinsoku/>
        <w:wordWrap/>
        <w:overflowPunct/>
        <w:topLinePunct w:val="0"/>
        <w:bidi w:val="0"/>
        <w:snapToGrid/>
        <w:spacing w:line="39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④承包人应在采购材料前将采购数量和新的材料单价报发包人核对，发包人确认用于工程时，发包人应确认采购材料的数量和单价。发包人在收到承包人报送的确认资料后5天内不予答复的视为认可，作为调整合同价格的依据。未经发包人事先核对，承包人自行采购材料的，发包人有权不予调整合同价格。发包人同意的，可以调整合同价格。</w:t>
      </w:r>
    </w:p>
    <w:p w14:paraId="797C2260">
      <w:pPr>
        <w:pageBreakBefore w:val="0"/>
        <w:kinsoku/>
        <w:wordWrap/>
        <w:overflowPunct/>
        <w:topLinePunct w:val="0"/>
        <w:bidi w:val="0"/>
        <w:snapToGrid/>
        <w:spacing w:line="390" w:lineRule="exact"/>
        <w:ind w:left="0" w:firstLine="420" w:firstLineChars="200"/>
        <w:textAlignment w:val="auto"/>
        <w:rPr>
          <w:rFonts w:hint="eastAsia" w:ascii="宋体" w:hAnsi="宋体" w:eastAsia="宋体" w:cs="宋体"/>
          <w:color w:val="auto"/>
          <w:sz w:val="21"/>
          <w:szCs w:val="21"/>
          <w:highlight w:val="none"/>
        </w:rPr>
      </w:pPr>
      <w:bookmarkStart w:id="484" w:name="OLE_LINK3"/>
      <w:r>
        <w:rPr>
          <w:rFonts w:hint="eastAsia" w:ascii="宋体" w:hAnsi="宋体" w:eastAsia="宋体" w:cs="宋体"/>
          <w:color w:val="auto"/>
          <w:sz w:val="21"/>
          <w:szCs w:val="21"/>
          <w:highlight w:val="none"/>
        </w:rPr>
        <w:t>前述基准价格是指由发包人在招标文件或专用合同条款中给定的材料、工程设备的价格，该价格原则上应当按照省级或行业建设主管部门或其授权的工程造价管理机构发布的信息价编制。</w:t>
      </w:r>
    </w:p>
    <w:p w14:paraId="08B05A1F">
      <w:pPr>
        <w:pageBreakBefore w:val="0"/>
        <w:kinsoku/>
        <w:wordWrap/>
        <w:overflowPunct/>
        <w:topLinePunct w:val="0"/>
        <w:bidi w:val="0"/>
        <w:snapToGrid/>
        <w:spacing w:line="39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（3）施工机械台班单价或施工机械使用费发生变化超过省级或行业建设主管部门或其授权的工程造价管理机构规定的范围时，按规定调整合同价格。</w:t>
      </w:r>
    </w:p>
    <w:p w14:paraId="4C4CA112">
      <w:pPr>
        <w:pageBreakBefore w:val="0"/>
        <w:kinsoku/>
        <w:wordWrap/>
        <w:overflowPunct/>
        <w:topLinePunct w:val="0"/>
        <w:bidi w:val="0"/>
        <w:snapToGrid/>
        <w:spacing w:line="39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第3种方式：专用合同条款约定的其他方式。</w:t>
      </w:r>
    </w:p>
    <w:p w14:paraId="6224C829">
      <w:pPr>
        <w:pStyle w:val="8"/>
        <w:pageBreakBefore w:val="0"/>
        <w:kinsoku/>
        <w:wordWrap/>
        <w:overflowPunct/>
        <w:topLinePunct w:val="0"/>
        <w:bidi w:val="0"/>
        <w:snapToGrid/>
        <w:spacing w:before="0" w:after="0" w:line="390" w:lineRule="exact"/>
        <w:ind w:left="0" w:firstLine="420" w:firstLineChars="200"/>
        <w:textAlignment w:val="auto"/>
        <w:rPr>
          <w:rFonts w:hint="eastAsia" w:ascii="宋体" w:hAnsi="宋体" w:eastAsia="宋体" w:cs="宋体"/>
          <w:b w:val="0"/>
          <w:color w:val="auto"/>
          <w:sz w:val="21"/>
          <w:szCs w:val="21"/>
          <w:highlight w:val="none"/>
        </w:rPr>
      </w:pPr>
      <w:bookmarkStart w:id="485" w:name="_Toc351203579"/>
      <w:bookmarkStart w:id="486" w:name="_Toc337558798"/>
      <w:bookmarkStart w:id="487" w:name="_Toc296503093"/>
      <w:bookmarkStart w:id="488" w:name="_Toc296346594"/>
      <w:r>
        <w:rPr>
          <w:rFonts w:hint="eastAsia" w:ascii="宋体" w:hAnsi="宋体" w:eastAsia="宋体" w:cs="宋体"/>
          <w:b w:val="0"/>
          <w:color w:val="auto"/>
          <w:sz w:val="21"/>
          <w:szCs w:val="21"/>
          <w:highlight w:val="none"/>
        </w:rPr>
        <w:t>11.2法律变化引起的调整</w:t>
      </w:r>
      <w:bookmarkEnd w:id="485"/>
    </w:p>
    <w:bookmarkEnd w:id="486"/>
    <w:bookmarkEnd w:id="487"/>
    <w:bookmarkEnd w:id="488"/>
    <w:p w14:paraId="6741D727">
      <w:pPr>
        <w:pageBreakBefore w:val="0"/>
        <w:kinsoku/>
        <w:wordWrap/>
        <w:overflowPunct/>
        <w:topLinePunct w:val="0"/>
        <w:bidi w:val="0"/>
        <w:snapToGrid/>
        <w:spacing w:line="39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基准日期后，法律变化导致承包人在合同履行过程中所需要的费用发生除第11.1款〔市场价格波动引起的调整〕约定以外的增加时，由发包人承担由此增加的费用；减少时，应从合同价格中予以扣减。基准日期后，因法律变化造成工期延误时，工期应予以顺延。</w:t>
      </w:r>
    </w:p>
    <w:p w14:paraId="5751A651">
      <w:pPr>
        <w:pageBreakBefore w:val="0"/>
        <w:kinsoku/>
        <w:wordWrap/>
        <w:overflowPunct/>
        <w:topLinePunct w:val="0"/>
        <w:bidi w:val="0"/>
        <w:snapToGrid/>
        <w:spacing w:line="39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因法律变化引起的合同价格和工期调整，合同当事人无法达成一致的，由总监理工程师按第4.4款〔商定或确定〕的约定处理。</w:t>
      </w:r>
    </w:p>
    <w:p w14:paraId="48DEE191">
      <w:pPr>
        <w:pageBreakBefore w:val="0"/>
        <w:kinsoku/>
        <w:wordWrap/>
        <w:overflowPunct/>
        <w:topLinePunct w:val="0"/>
        <w:bidi w:val="0"/>
        <w:snapToGrid/>
        <w:spacing w:line="39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因承包人原因造成工期延误，在工期延误期间出现法律变化的，由此增加的费用和（或）延误的工期由承包人承担。</w:t>
      </w:r>
    </w:p>
    <w:p w14:paraId="40997179">
      <w:pPr>
        <w:pStyle w:val="7"/>
        <w:pageBreakBefore w:val="0"/>
        <w:kinsoku/>
        <w:wordWrap/>
        <w:overflowPunct/>
        <w:topLinePunct w:val="0"/>
        <w:bidi w:val="0"/>
        <w:snapToGrid/>
        <w:spacing w:before="0" w:line="390" w:lineRule="exact"/>
        <w:ind w:left="0"/>
        <w:textAlignment w:val="auto"/>
        <w:rPr>
          <w:rFonts w:hint="eastAsia" w:ascii="宋体" w:hAnsi="宋体" w:eastAsia="宋体" w:cs="宋体"/>
          <w:b w:val="0"/>
          <w:color w:val="auto"/>
          <w:sz w:val="21"/>
          <w:szCs w:val="21"/>
          <w:highlight w:val="none"/>
        </w:rPr>
      </w:pPr>
      <w:bookmarkStart w:id="489" w:name="_Toc351203580"/>
      <w:bookmarkStart w:id="490" w:name="_Toc337558799"/>
      <w:bookmarkStart w:id="491" w:name="_Toc296503096"/>
      <w:bookmarkStart w:id="492" w:name="_Toc296346597"/>
      <w:r>
        <w:rPr>
          <w:rFonts w:hint="eastAsia" w:ascii="宋体" w:hAnsi="宋体" w:eastAsia="宋体" w:cs="宋体"/>
          <w:b w:val="0"/>
          <w:color w:val="auto"/>
          <w:sz w:val="21"/>
          <w:szCs w:val="21"/>
          <w:highlight w:val="none"/>
        </w:rPr>
        <w:t>12. 合同价格、计量与支付</w:t>
      </w:r>
      <w:bookmarkEnd w:id="489"/>
    </w:p>
    <w:bookmarkEnd w:id="490"/>
    <w:p w14:paraId="5432D7D6">
      <w:pPr>
        <w:pStyle w:val="8"/>
        <w:pageBreakBefore w:val="0"/>
        <w:kinsoku/>
        <w:wordWrap/>
        <w:overflowPunct/>
        <w:topLinePunct w:val="0"/>
        <w:bidi w:val="0"/>
        <w:snapToGrid/>
        <w:spacing w:before="0" w:after="0" w:line="390" w:lineRule="exact"/>
        <w:ind w:left="0" w:firstLine="420" w:firstLineChars="200"/>
        <w:textAlignment w:val="auto"/>
        <w:rPr>
          <w:rFonts w:hint="eastAsia" w:ascii="宋体" w:hAnsi="宋体" w:eastAsia="宋体" w:cs="宋体"/>
          <w:b w:val="0"/>
          <w:color w:val="auto"/>
          <w:sz w:val="21"/>
          <w:szCs w:val="21"/>
          <w:highlight w:val="none"/>
        </w:rPr>
      </w:pPr>
      <w:bookmarkStart w:id="493" w:name="_Toc351203581"/>
      <w:bookmarkStart w:id="494" w:name="_Toc337558800"/>
      <w:r>
        <w:rPr>
          <w:rFonts w:hint="eastAsia" w:ascii="宋体" w:hAnsi="宋体" w:eastAsia="宋体" w:cs="宋体"/>
          <w:b w:val="0"/>
          <w:color w:val="auto"/>
          <w:sz w:val="21"/>
          <w:szCs w:val="21"/>
          <w:highlight w:val="none"/>
        </w:rPr>
        <w:t>12.1 合同价</w:t>
      </w:r>
      <w:bookmarkEnd w:id="491"/>
      <w:bookmarkEnd w:id="492"/>
      <w:r>
        <w:rPr>
          <w:rFonts w:hint="eastAsia" w:ascii="宋体" w:hAnsi="宋体" w:eastAsia="宋体" w:cs="宋体"/>
          <w:b w:val="0"/>
          <w:color w:val="auto"/>
          <w:sz w:val="21"/>
          <w:szCs w:val="21"/>
          <w:highlight w:val="none"/>
        </w:rPr>
        <w:t>格形式</w:t>
      </w:r>
      <w:bookmarkEnd w:id="493"/>
    </w:p>
    <w:bookmarkEnd w:id="494"/>
    <w:p w14:paraId="7CEFA61C">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发包人和承包人应在合同协议书中选择下列一种合同价格形式： </w:t>
      </w:r>
    </w:p>
    <w:p w14:paraId="7E51E9D9">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1.单价合同</w:t>
      </w:r>
    </w:p>
    <w:p w14:paraId="15CC870A">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单价合同是指合同当事人约定以工程量清单及其综合单价进行合同价格计算、调整和确认的建设工程施工合同，</w:t>
      </w:r>
      <w:r>
        <w:rPr>
          <w:rFonts w:hint="eastAsia" w:ascii="宋体" w:hAnsi="宋体" w:eastAsia="宋体" w:cs="宋体"/>
          <w:color w:val="auto"/>
          <w:sz w:val="21"/>
          <w:szCs w:val="21"/>
          <w:highlight w:val="none"/>
        </w:rPr>
        <w:t>在约定的范围内合同单价不作调整</w:t>
      </w:r>
      <w:r>
        <w:rPr>
          <w:rFonts w:hint="eastAsia" w:ascii="宋体" w:hAnsi="宋体" w:eastAsia="宋体" w:cs="宋体"/>
          <w:color w:val="auto"/>
          <w:kern w:val="0"/>
          <w:sz w:val="21"/>
          <w:szCs w:val="21"/>
          <w:highlight w:val="none"/>
        </w:rPr>
        <w:t>。合同当事人应在专用合同条款中约定综合单价包含的风险范围和风险费用的计算方法</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rPr>
        <w:t>并约定风险范围以外的合同价格的调整方法，其中因市场价格波动引起的调整按第11.1款〔市场价格波动引起的调整〕约定执行。</w:t>
      </w:r>
    </w:p>
    <w:p w14:paraId="62ADE486">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2.总价合同</w:t>
      </w:r>
    </w:p>
    <w:p w14:paraId="76858ED0">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总价合同是指合同当事人约定以施工图、已标价工程量清单或预算书及有关条件进行合同价格计算、调整和确认的建设工程施工合同，</w:t>
      </w:r>
      <w:r>
        <w:rPr>
          <w:rFonts w:hint="eastAsia" w:ascii="宋体" w:hAnsi="宋体" w:eastAsia="宋体" w:cs="宋体"/>
          <w:color w:val="auto"/>
          <w:sz w:val="21"/>
          <w:szCs w:val="21"/>
          <w:highlight w:val="none"/>
        </w:rPr>
        <w:t>在约定的范围内合同总价不作调整</w:t>
      </w:r>
      <w:r>
        <w:rPr>
          <w:rFonts w:hint="eastAsia" w:ascii="宋体" w:hAnsi="宋体" w:eastAsia="宋体" w:cs="宋体"/>
          <w:color w:val="auto"/>
          <w:kern w:val="0"/>
          <w:sz w:val="21"/>
          <w:szCs w:val="21"/>
          <w:highlight w:val="none"/>
        </w:rPr>
        <w:t>。合同当事人应在专用合同条款中约定总价包含的风险范围和风险费用的计算方法，并约定风险范围以外的合同价格的调整方法，其中因市场价格波动引起的调整按第11.1款〔市场价格波动引起的调整〕、因法律变化引起的调整按第11.2款〔法律变化引起的调整〕约定执行。</w:t>
      </w:r>
    </w:p>
    <w:p w14:paraId="1AEB3E08">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3.其它价格形式</w:t>
      </w:r>
    </w:p>
    <w:p w14:paraId="677C37DE">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合同当事人可在专用合同条款中约定其他合同价格形式。</w:t>
      </w:r>
    </w:p>
    <w:p w14:paraId="083BCEAF">
      <w:pPr>
        <w:pStyle w:val="8"/>
        <w:pageBreakBefore w:val="0"/>
        <w:kinsoku/>
        <w:wordWrap/>
        <w:overflowPunct/>
        <w:topLinePunct w:val="0"/>
        <w:bidi w:val="0"/>
        <w:snapToGrid/>
        <w:spacing w:before="0" w:after="0" w:line="390" w:lineRule="exact"/>
        <w:ind w:left="0" w:firstLine="420" w:firstLineChars="200"/>
        <w:textAlignment w:val="auto"/>
        <w:rPr>
          <w:rFonts w:hint="eastAsia" w:ascii="宋体" w:hAnsi="宋体" w:eastAsia="宋体" w:cs="宋体"/>
          <w:b w:val="0"/>
          <w:color w:val="auto"/>
          <w:sz w:val="21"/>
          <w:szCs w:val="21"/>
          <w:highlight w:val="none"/>
        </w:rPr>
      </w:pPr>
      <w:bookmarkStart w:id="495" w:name="_Toc296346598"/>
      <w:bookmarkStart w:id="496" w:name="_Toc296503097"/>
      <w:bookmarkStart w:id="497" w:name="_Toc351203582"/>
      <w:bookmarkStart w:id="498" w:name="_Toc337558801"/>
      <w:r>
        <w:rPr>
          <w:rFonts w:hint="eastAsia" w:ascii="宋体" w:hAnsi="宋体" w:eastAsia="宋体" w:cs="宋体"/>
          <w:b w:val="0"/>
          <w:color w:val="auto"/>
          <w:sz w:val="21"/>
          <w:szCs w:val="21"/>
          <w:highlight w:val="none"/>
        </w:rPr>
        <w:t>12.2预</w:t>
      </w:r>
      <w:bookmarkEnd w:id="495"/>
      <w:bookmarkEnd w:id="496"/>
      <w:bookmarkStart w:id="499" w:name="_Toc296503100"/>
      <w:bookmarkStart w:id="500" w:name="_Toc296346601"/>
      <w:r>
        <w:rPr>
          <w:rFonts w:hint="eastAsia" w:ascii="宋体" w:hAnsi="宋体" w:eastAsia="宋体" w:cs="宋体"/>
          <w:b w:val="0"/>
          <w:color w:val="auto"/>
          <w:sz w:val="21"/>
          <w:szCs w:val="21"/>
          <w:highlight w:val="none"/>
        </w:rPr>
        <w:t>付款</w:t>
      </w:r>
      <w:bookmarkEnd w:id="497"/>
    </w:p>
    <w:bookmarkEnd w:id="498"/>
    <w:bookmarkEnd w:id="499"/>
    <w:bookmarkEnd w:id="500"/>
    <w:p w14:paraId="6C604955">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12.2.</w:t>
      </w:r>
      <w:r>
        <w:rPr>
          <w:rFonts w:hint="eastAsia" w:ascii="宋体" w:hAnsi="宋体" w:eastAsia="宋体" w:cs="宋体"/>
          <w:color w:val="auto"/>
          <w:kern w:val="0"/>
          <w:sz w:val="21"/>
          <w:szCs w:val="21"/>
          <w:highlight w:val="none"/>
        </w:rPr>
        <w:t>1预付款的支付</w:t>
      </w:r>
    </w:p>
    <w:p w14:paraId="403BAC5D">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预付款的支付按照专用合同条款约定执行，但至迟应在开工通知载明的开工日期7天前支付。预付款应当用于材料、工程设备、施工设备的采购及修建临时工程、组织施工队伍进场等。</w:t>
      </w:r>
    </w:p>
    <w:p w14:paraId="43064317">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除专用合同条款另有约定外，预付款在进度付款中同比例扣回。</w:t>
      </w:r>
      <w:bookmarkEnd w:id="484"/>
      <w:r>
        <w:rPr>
          <w:rFonts w:hint="eastAsia" w:ascii="宋体" w:hAnsi="宋体" w:eastAsia="宋体" w:cs="宋体"/>
          <w:color w:val="auto"/>
          <w:kern w:val="0"/>
          <w:sz w:val="21"/>
          <w:szCs w:val="21"/>
          <w:highlight w:val="none"/>
        </w:rPr>
        <w:t>在颁发工程接收证书前，提前解除合同的，尚未扣完的预付款应与合同价款一并结算。</w:t>
      </w:r>
    </w:p>
    <w:p w14:paraId="53EE0CAC">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发包人逾期支付预付款超过7天的，承包人有权向发包人发出要求预付的催告通知，发包人收到通知后7天内仍未支付的，承包人有权暂停施工，并按第16.1.1项〔发包人违约的情形〕执行。</w:t>
      </w:r>
    </w:p>
    <w:p w14:paraId="106C5812">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12.2.2 预付款担保</w:t>
      </w:r>
    </w:p>
    <w:p w14:paraId="42ADD608">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要求承包人提供预付款担保的，承包人应在发包人支付预付款7天前提供预付款担保，专用合同条款另有约定除外。预付款担保可采用银行保函、担保公司担保等形式，具体由合同当事人在专用合同条款中约定。在预付款完全扣回之前，承包人应保证预付款担保持续有效。</w:t>
      </w:r>
    </w:p>
    <w:p w14:paraId="70DD3834">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发包人在工程款中逐期扣回预付款后，预付款担保额度应相应减少，但剩余的预付款担保金额不得低于未被扣回的预付款金额。</w:t>
      </w:r>
    </w:p>
    <w:p w14:paraId="45034745">
      <w:pPr>
        <w:pStyle w:val="8"/>
        <w:pageBreakBefore w:val="0"/>
        <w:kinsoku/>
        <w:wordWrap/>
        <w:overflowPunct/>
        <w:topLinePunct w:val="0"/>
        <w:bidi w:val="0"/>
        <w:snapToGrid/>
        <w:spacing w:before="0" w:after="0" w:line="390" w:lineRule="exact"/>
        <w:ind w:left="0" w:firstLine="420" w:firstLineChars="200"/>
        <w:textAlignment w:val="auto"/>
        <w:rPr>
          <w:rFonts w:hint="eastAsia" w:ascii="宋体" w:hAnsi="宋体" w:eastAsia="宋体" w:cs="宋体"/>
          <w:b w:val="0"/>
          <w:color w:val="auto"/>
          <w:sz w:val="21"/>
          <w:szCs w:val="21"/>
          <w:highlight w:val="none"/>
        </w:rPr>
      </w:pPr>
      <w:bookmarkStart w:id="501" w:name="_Toc351203583"/>
      <w:bookmarkStart w:id="502" w:name="_Toc337558802"/>
      <w:r>
        <w:rPr>
          <w:rFonts w:hint="eastAsia" w:ascii="宋体" w:hAnsi="宋体" w:eastAsia="宋体" w:cs="宋体"/>
          <w:b w:val="0"/>
          <w:color w:val="auto"/>
          <w:sz w:val="21"/>
          <w:szCs w:val="21"/>
          <w:highlight w:val="none"/>
        </w:rPr>
        <w:t>12.3计量</w:t>
      </w:r>
      <w:bookmarkEnd w:id="501"/>
    </w:p>
    <w:bookmarkEnd w:id="502"/>
    <w:p w14:paraId="31F64811">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12.3.1 计量原则</w:t>
      </w:r>
    </w:p>
    <w:p w14:paraId="576A0904">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工程量计量按照合同约定的工程量计算规则、图纸及变更指示等进行计量。工程量计算规则应以相关的国家标准、行业标准等为依据，由合同当事人在专用合同条款中约定。</w:t>
      </w:r>
    </w:p>
    <w:p w14:paraId="160FED6D">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12.3.2 计量周期</w:t>
      </w:r>
    </w:p>
    <w:p w14:paraId="1B96FD8C">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除专用合同条款另有约定外，工程量的计量按月进行。</w:t>
      </w:r>
    </w:p>
    <w:p w14:paraId="0971F29E">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12.3.3 单价合同的计量</w:t>
      </w:r>
    </w:p>
    <w:p w14:paraId="24C3EA0E">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除专用合同条款另有约定外，单价合同的计量按照本项约定执行：</w:t>
      </w:r>
    </w:p>
    <w:p w14:paraId="086F832E">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（1）承包人应于每月25日向监理人报送上月20日至当月19日已完成的工程量报告，并附具进度付款申请单、已完成工程量报表和有关资料。</w:t>
      </w:r>
    </w:p>
    <w:p w14:paraId="1832D94F">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复核或修正的工程量视为承包人实际完成的工程量。</w:t>
      </w:r>
    </w:p>
    <w:p w14:paraId="2241C927">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（3）监理人未在收到承包人提交的工程量报表后的7天内完成审核的，承包人报送的工程量报告中的工程量视为承包人实际完成的工程量，据此计算工程价款。</w:t>
      </w:r>
    </w:p>
    <w:p w14:paraId="37567B4D">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12.3.4 总价合同的计量</w:t>
      </w:r>
    </w:p>
    <w:p w14:paraId="71E54B0F">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除专用合同条款另有约定外，按月计量支付的总价合同，按照本项约定执行：</w:t>
      </w:r>
    </w:p>
    <w:p w14:paraId="0C4E97F3">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（1）承包人应于每月25日向监理人报送上月20日至当月19日已完成的工程量报告，并附具进度付款申请单、已完成工程量报表和有关资料。</w:t>
      </w:r>
    </w:p>
    <w:p w14:paraId="1CB91CA5">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审核或修正的工程量视为承包人实际完成的工程量。</w:t>
      </w:r>
    </w:p>
    <w:p w14:paraId="748954C4">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（3）监理人未在收到承包人提交的工程量报表后的7天内完成复核的，承包人提交的工程量报告中的工程量视为承包人实际完成的工程量。</w:t>
      </w:r>
    </w:p>
    <w:p w14:paraId="719507D7">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12.3.5 总价合同采用支付分解表计量支付的，可以按照第12.3.4项〔总价合同的计量〕约定进行计量，但合同价款按照支付分解表进行支付。</w:t>
      </w:r>
    </w:p>
    <w:p w14:paraId="4051E658">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12.3.6 其他价格形式合同的计量</w:t>
      </w:r>
    </w:p>
    <w:p w14:paraId="62124B85">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合同当事人可在专用合同条款中约定其他价格形式合同的计量方式和程序。</w:t>
      </w:r>
    </w:p>
    <w:p w14:paraId="1EED7D2A">
      <w:pPr>
        <w:pStyle w:val="8"/>
        <w:pageBreakBefore w:val="0"/>
        <w:kinsoku/>
        <w:wordWrap/>
        <w:overflowPunct/>
        <w:topLinePunct w:val="0"/>
        <w:bidi w:val="0"/>
        <w:snapToGrid/>
        <w:spacing w:before="0" w:after="0" w:line="390" w:lineRule="exact"/>
        <w:ind w:left="0" w:firstLine="420" w:firstLineChars="200"/>
        <w:textAlignment w:val="auto"/>
        <w:rPr>
          <w:rFonts w:hint="eastAsia" w:ascii="宋体" w:hAnsi="宋体" w:eastAsia="宋体" w:cs="宋体"/>
          <w:b w:val="0"/>
          <w:color w:val="auto"/>
          <w:sz w:val="21"/>
          <w:szCs w:val="21"/>
          <w:highlight w:val="none"/>
        </w:rPr>
      </w:pPr>
      <w:bookmarkStart w:id="503" w:name="_Toc296503101"/>
      <w:bookmarkStart w:id="504" w:name="_Toc296346602"/>
      <w:bookmarkStart w:id="505" w:name="_Toc351203584"/>
      <w:bookmarkStart w:id="506" w:name="_Toc337558803"/>
      <w:r>
        <w:rPr>
          <w:rFonts w:hint="eastAsia" w:ascii="宋体" w:hAnsi="宋体" w:eastAsia="宋体" w:cs="宋体"/>
          <w:b w:val="0"/>
          <w:color w:val="auto"/>
          <w:sz w:val="21"/>
          <w:szCs w:val="21"/>
          <w:highlight w:val="none"/>
        </w:rPr>
        <w:t>12.4工程进度款支</w:t>
      </w:r>
      <w:bookmarkEnd w:id="503"/>
      <w:bookmarkEnd w:id="504"/>
      <w:r>
        <w:rPr>
          <w:rFonts w:hint="eastAsia" w:ascii="宋体" w:hAnsi="宋体" w:eastAsia="宋体" w:cs="宋体"/>
          <w:b w:val="0"/>
          <w:color w:val="auto"/>
          <w:sz w:val="21"/>
          <w:szCs w:val="21"/>
          <w:highlight w:val="none"/>
        </w:rPr>
        <w:t>付</w:t>
      </w:r>
      <w:bookmarkEnd w:id="505"/>
    </w:p>
    <w:bookmarkEnd w:id="506"/>
    <w:p w14:paraId="767BB4B5">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outlineLvl w:val="0"/>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12.4</w:t>
      </w:r>
      <w:r>
        <w:rPr>
          <w:rFonts w:hint="eastAsia" w:ascii="宋体" w:hAnsi="宋体" w:eastAsia="宋体" w:cs="宋体"/>
          <w:color w:val="auto"/>
          <w:kern w:val="0"/>
          <w:sz w:val="21"/>
          <w:szCs w:val="21"/>
          <w:highlight w:val="none"/>
        </w:rPr>
        <w:t>.1 付款周期</w:t>
      </w:r>
    </w:p>
    <w:p w14:paraId="3F932227">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除专用合同条款另有约定外，付款周期应按照第12.3.2项〔计量周期〕的约定与计量周期保持一致。</w:t>
      </w:r>
    </w:p>
    <w:p w14:paraId="01D6B6E3">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12.4</w:t>
      </w:r>
      <w:r>
        <w:rPr>
          <w:rFonts w:hint="eastAsia" w:ascii="宋体" w:hAnsi="宋体" w:eastAsia="宋体" w:cs="宋体"/>
          <w:color w:val="auto"/>
          <w:kern w:val="0"/>
          <w:sz w:val="21"/>
          <w:szCs w:val="21"/>
          <w:highlight w:val="none"/>
        </w:rPr>
        <w:t>.2 进度付款申请单的编制</w:t>
      </w:r>
    </w:p>
    <w:p w14:paraId="7E96CDBB">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除专用合同条款另有约定外，进度付款申请单应包括下列内容：</w:t>
      </w:r>
    </w:p>
    <w:p w14:paraId="3C4F1B7C">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（1）截至本次付款周期已完成工作对应的金额；</w:t>
      </w:r>
    </w:p>
    <w:p w14:paraId="74A4DF78">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（2）根据第10条〔变更〕应增加和扣减的变更金额；</w:t>
      </w:r>
    </w:p>
    <w:p w14:paraId="47696E2B">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（3）根据第12.2款〔预付款〕约定应支付的预付款和扣减的返还预付款；</w:t>
      </w:r>
    </w:p>
    <w:p w14:paraId="14863B15">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（4）根据第15.3款〔质量保证金〕约定应扣减的质量保证金；</w:t>
      </w:r>
    </w:p>
    <w:p w14:paraId="480C844E">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（5）根据第19条〔索赔〕应增加和扣减的索赔金额；</w:t>
      </w:r>
    </w:p>
    <w:p w14:paraId="539EA1AB">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（6）对已签发的进度款支付证书中出现错误的修正，应在本次进度付款中支付或扣除的金额；</w:t>
      </w:r>
    </w:p>
    <w:p w14:paraId="28B7C349">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（7）根据合同约定应增加和扣减的其他金额。</w:t>
      </w:r>
    </w:p>
    <w:p w14:paraId="55F2656F">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outlineLvl w:val="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12.4.3 进度付款申请单的提交</w:t>
      </w:r>
    </w:p>
    <w:p w14:paraId="61FE6151">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（1）单价合同进度付款申请单的提交</w:t>
      </w:r>
    </w:p>
    <w:p w14:paraId="5682739B">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单价合同的进度付款申请单，按照第12.3.3项〔单价合同的计量〕约定的时间按月向监理人提交，并附上已完成工程量报表和有关资料。单价合同中的总价项目按月进行支付分解，并汇总列入当期进度付款申请单。</w:t>
      </w:r>
    </w:p>
    <w:p w14:paraId="212DCA91">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（2）总价合同进度付款申请单的提交</w:t>
      </w:r>
    </w:p>
    <w:p w14:paraId="378CDDA2">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总价合同按月计量支付的，承包人按照第12.3.4项〔总价合同的计量〕约定的时间按月向监理人提交进度付款申请单，并附上已完成工程量报表和有关资料。</w:t>
      </w:r>
    </w:p>
    <w:p w14:paraId="44FF00E8">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总价合同按支付分解表支付的，承包人应按照第12.4.6项〔支付分解表〕及第12.4.2项〔进度付款申请单的编制〕的约定向监理人提交进度付款申请单。</w:t>
      </w:r>
    </w:p>
    <w:p w14:paraId="0D68A645">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（3）其他价格形式合同的进度付款申请单的提交</w:t>
      </w:r>
    </w:p>
    <w:p w14:paraId="2502BCC3">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合同当事人可在专用合同条款中约定其他价格形式合同的进度付款申请单的编制和提交程序。</w:t>
      </w:r>
    </w:p>
    <w:p w14:paraId="3F53780E">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12.4</w:t>
      </w:r>
      <w:r>
        <w:rPr>
          <w:rFonts w:hint="eastAsia" w:ascii="宋体" w:hAnsi="宋体" w:eastAsia="宋体" w:cs="宋体"/>
          <w:color w:val="auto"/>
          <w:kern w:val="0"/>
          <w:sz w:val="21"/>
          <w:szCs w:val="21"/>
          <w:highlight w:val="none"/>
        </w:rPr>
        <w:t>.4 进度款审核和支付</w:t>
      </w:r>
    </w:p>
    <w:p w14:paraId="26625E48">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除专用合同条款另有约定外，监理人应在收到承包人进度付款申请单以及相关资料后7天内完成审查并报送发包人，发包人应在收到后7天内完成审批并签发进度款支付证书。发包人逾期未完成审批且未提出异议的，视为已签发进度款支付证书。</w:t>
      </w:r>
    </w:p>
    <w:p w14:paraId="3EB350CB">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和监理人对承包人的进度付款申请单有异议的，有权要求承包人修正和提供补充资料，承包人应提交修正后的进度付款申请单。监理人应在收到承包人修正后的进度付款申请单及相关资料后7天内完成审查并报送发包人，发包人应在收到监理人报送的进度付款申请单及相关资料后7天内，向承包人签发无异议部分的临时进度款支付证书。存在争议的部分，按照第20条〔争议解决〕的约定处理。</w:t>
      </w:r>
    </w:p>
    <w:p w14:paraId="3E9EDBFA">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（2）除专用合同条款另有约定外，发包人应在进度款支付证书或临时进度款支付证书签发后14天内完成支付，发包人逾期支付进度款的，应按照中国人民银行发布的同期同类贷款基准利率支付违约金。</w:t>
      </w:r>
    </w:p>
    <w:p w14:paraId="66F0050F">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（3）发包人签发进度款支付证书或临时进度款支付证书，不表明发包人已同意、批准或接受了承包人完成的相应部分的工作。</w:t>
      </w:r>
    </w:p>
    <w:p w14:paraId="5BDC3CDF">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12.4.5 进度付款的修正</w:t>
      </w:r>
    </w:p>
    <w:p w14:paraId="292D725F">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在对已签发的进度款支付证书进行阶段汇总和复核中发现错误、遗漏或重复的，发包人和承包人均有权提出修正申请。经发包人和承包人同意的修正，应在下期进度付款中支付或扣除。</w:t>
      </w:r>
    </w:p>
    <w:p w14:paraId="51A0DF64">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12.4.6 支付分解表</w:t>
      </w:r>
    </w:p>
    <w:p w14:paraId="4A359B1E">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1.支付分解表的编制要求</w:t>
      </w:r>
    </w:p>
    <w:p w14:paraId="26879954">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（1）支付分解表中所列的每期付款金额，应为第12.4.2项〔进度付款申请单的编制〕第（1）目的估算金额；</w:t>
      </w:r>
    </w:p>
    <w:p w14:paraId="215AE967">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（2）实际进度与施工进度计划不一致的，合同当事人可按照第4.4款〔商定或确定〕修改支付分解表；</w:t>
      </w:r>
    </w:p>
    <w:p w14:paraId="38A943C8">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（3）不采用支付分解表的，承包人应向发包人和监理人提交按季度编制的支付估算分解表，用于支付参考。</w:t>
      </w:r>
    </w:p>
    <w:p w14:paraId="4E9325B1">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2.总价合同支付分解表的编制与审批</w:t>
      </w:r>
    </w:p>
    <w:p w14:paraId="557A8973">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除专用合同条款另有约定外，承包人应根据第7.2款〔施工进度计划〕约定的施工进度计划、签约合同价和工程量等因素对总价合同按月进行分解，编制支付分解表。承包人应当在收到监理人和发包人批准的施工进度计划后7天内，将支付分解表及编制支付分解表的支持性资料报送监理人。</w:t>
      </w:r>
    </w:p>
    <w:p w14:paraId="3C5881E0">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（2）监理人应在收到支付分解表后7天内完成审核并报送发包人。发包人应在收到经监理人审核的支付分解表后7天内完成审批，经发包人批准的支付分解表为有约束力的支付分解表。</w:t>
      </w:r>
    </w:p>
    <w:p w14:paraId="1906C371">
      <w:pPr>
        <w:pageBreakBefore w:val="0"/>
        <w:kinsoku/>
        <w:wordWrap/>
        <w:overflowPunct/>
        <w:topLinePunct w:val="0"/>
        <w:bidi w:val="0"/>
        <w:snapToGrid/>
        <w:spacing w:line="390" w:lineRule="exact"/>
        <w:ind w:left="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（3）发包人逾期未完成支付分解表审批的，也未及时要求承包人进行修正和提供补充资料的，则承包人提交的支付分解表视为已经获得发包人批准。</w:t>
      </w:r>
    </w:p>
    <w:p w14:paraId="041FA7BF">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3.单价合同的总价项目支付分解表的编制与审批</w:t>
      </w:r>
    </w:p>
    <w:p w14:paraId="23C599EC">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除专用合同条款另有约定外，单价合同的总价项目，由承包人根据施工进度计划和总价项目的总价构成、费用性质、计划发生时间和相应工程量等因素按月进行分解，形成支付分解表，其编制与审批参照总价合同支付分解表的编制与审批执行。</w:t>
      </w:r>
    </w:p>
    <w:p w14:paraId="137F1D25">
      <w:pPr>
        <w:pStyle w:val="8"/>
        <w:pageBreakBefore w:val="0"/>
        <w:kinsoku/>
        <w:wordWrap/>
        <w:overflowPunct/>
        <w:topLinePunct w:val="0"/>
        <w:bidi w:val="0"/>
        <w:snapToGrid/>
        <w:spacing w:before="0" w:after="0" w:line="390" w:lineRule="exact"/>
        <w:ind w:left="0" w:firstLine="420" w:firstLineChars="200"/>
        <w:textAlignment w:val="auto"/>
        <w:rPr>
          <w:rFonts w:hint="eastAsia" w:ascii="宋体" w:hAnsi="宋体" w:eastAsia="宋体" w:cs="宋体"/>
          <w:b w:val="0"/>
          <w:color w:val="auto"/>
          <w:sz w:val="21"/>
          <w:szCs w:val="21"/>
          <w:highlight w:val="none"/>
        </w:rPr>
      </w:pPr>
      <w:bookmarkStart w:id="507" w:name="_Toc351203585"/>
      <w:r>
        <w:rPr>
          <w:rFonts w:hint="eastAsia" w:ascii="宋体" w:hAnsi="宋体" w:eastAsia="宋体" w:cs="宋体"/>
          <w:b w:val="0"/>
          <w:color w:val="auto"/>
          <w:sz w:val="21"/>
          <w:szCs w:val="21"/>
          <w:highlight w:val="none"/>
        </w:rPr>
        <w:t>12.5支付账户</w:t>
      </w:r>
      <w:bookmarkEnd w:id="507"/>
    </w:p>
    <w:p w14:paraId="504FA473">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发包人应将合同价款支付至合同协议书中约定的承包人账户。</w:t>
      </w:r>
    </w:p>
    <w:p w14:paraId="6CDB4259">
      <w:pPr>
        <w:pStyle w:val="7"/>
        <w:pageBreakBefore w:val="0"/>
        <w:kinsoku/>
        <w:wordWrap/>
        <w:overflowPunct/>
        <w:topLinePunct w:val="0"/>
        <w:bidi w:val="0"/>
        <w:snapToGrid/>
        <w:spacing w:before="0" w:line="390" w:lineRule="exact"/>
        <w:ind w:left="0"/>
        <w:textAlignment w:val="auto"/>
        <w:rPr>
          <w:rFonts w:hint="eastAsia" w:ascii="宋体" w:hAnsi="宋体" w:eastAsia="宋体" w:cs="宋体"/>
          <w:b w:val="0"/>
          <w:color w:val="auto"/>
          <w:sz w:val="21"/>
          <w:szCs w:val="21"/>
          <w:highlight w:val="none"/>
        </w:rPr>
      </w:pPr>
      <w:bookmarkStart w:id="508" w:name="_Toc351203586"/>
      <w:bookmarkStart w:id="509" w:name="_Toc322522574"/>
      <w:bookmarkStart w:id="510" w:name="_Toc296346607"/>
      <w:bookmarkStart w:id="511" w:name="_Toc296503106"/>
      <w:bookmarkStart w:id="512" w:name="_Toc337558804"/>
      <w:r>
        <w:rPr>
          <w:rFonts w:hint="eastAsia" w:ascii="宋体" w:hAnsi="宋体" w:eastAsia="宋体" w:cs="宋体"/>
          <w:b w:val="0"/>
          <w:color w:val="auto"/>
          <w:sz w:val="21"/>
          <w:szCs w:val="21"/>
          <w:highlight w:val="none"/>
        </w:rPr>
        <w:t>13. 验收和工程试车</w:t>
      </w:r>
      <w:bookmarkEnd w:id="508"/>
    </w:p>
    <w:bookmarkEnd w:id="509"/>
    <w:bookmarkEnd w:id="510"/>
    <w:bookmarkEnd w:id="511"/>
    <w:bookmarkEnd w:id="512"/>
    <w:p w14:paraId="1DE8ABC6">
      <w:pPr>
        <w:pStyle w:val="8"/>
        <w:pageBreakBefore w:val="0"/>
        <w:kinsoku/>
        <w:wordWrap/>
        <w:overflowPunct/>
        <w:topLinePunct w:val="0"/>
        <w:bidi w:val="0"/>
        <w:snapToGrid/>
        <w:spacing w:before="0" w:after="0" w:line="390" w:lineRule="exact"/>
        <w:ind w:left="0" w:firstLine="420" w:firstLineChars="200"/>
        <w:textAlignment w:val="auto"/>
        <w:rPr>
          <w:rFonts w:hint="eastAsia" w:ascii="宋体" w:hAnsi="宋体" w:eastAsia="宋体" w:cs="宋体"/>
          <w:b w:val="0"/>
          <w:color w:val="auto"/>
          <w:sz w:val="21"/>
          <w:szCs w:val="21"/>
          <w:highlight w:val="none"/>
        </w:rPr>
      </w:pPr>
      <w:bookmarkStart w:id="513" w:name="_Toc351203587"/>
      <w:bookmarkStart w:id="514" w:name="_Toc337558805"/>
      <w:bookmarkStart w:id="515" w:name="_Toc296503110"/>
      <w:bookmarkStart w:id="516" w:name="_Toc296346611"/>
      <w:r>
        <w:rPr>
          <w:rFonts w:hint="eastAsia" w:ascii="宋体" w:hAnsi="宋体" w:eastAsia="宋体" w:cs="宋体"/>
          <w:b w:val="0"/>
          <w:color w:val="auto"/>
          <w:sz w:val="21"/>
          <w:szCs w:val="21"/>
          <w:highlight w:val="none"/>
        </w:rPr>
        <w:t>13.1分部分项工程验收</w:t>
      </w:r>
      <w:bookmarkEnd w:id="513"/>
    </w:p>
    <w:bookmarkEnd w:id="514"/>
    <w:p w14:paraId="180C07C3">
      <w:pPr>
        <w:pageBreakBefore w:val="0"/>
        <w:kinsoku/>
        <w:wordWrap/>
        <w:overflowPunct/>
        <w:topLinePunct w:val="0"/>
        <w:bidi w:val="0"/>
        <w:snapToGrid/>
        <w:spacing w:line="39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13.1.1 分部分项工程质量应符合国家有关工程施工验收规范、标准及合同约定，承包人应按照施工组织设计的要求完成分部分项工程施工。</w:t>
      </w:r>
    </w:p>
    <w:p w14:paraId="119AA9A2">
      <w:pPr>
        <w:pageBreakBefore w:val="0"/>
        <w:kinsoku/>
        <w:wordWrap/>
        <w:overflowPunct/>
        <w:topLinePunct w:val="0"/>
        <w:bidi w:val="0"/>
        <w:snapToGrid/>
        <w:spacing w:line="39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13.1.2 除专用合同条款另有约定外，分部分项工程经承包人自检合格并具备验收条件的，承包人应提前48小时通知监理人进行验收。</w:t>
      </w:r>
      <w:r>
        <w:rPr>
          <w:rFonts w:hint="eastAsia" w:ascii="宋体" w:hAnsi="宋体" w:eastAsia="宋体" w:cs="宋体"/>
          <w:color w:val="auto"/>
          <w:kern w:val="0"/>
          <w:sz w:val="21"/>
          <w:szCs w:val="21"/>
          <w:highlight w:val="none"/>
        </w:rPr>
        <w:t>监理人不能按时进行验收的，应在验收前24小时向承包人提交书面延期要求，但延期不能超过48小时。监理人未按时进行验收，也未提出延期要求的，承包人有权自行验收，监理人应认可验收结果。</w:t>
      </w:r>
      <w:r>
        <w:rPr>
          <w:rFonts w:hint="eastAsia" w:ascii="宋体" w:hAnsi="宋体" w:eastAsia="宋体" w:cs="宋体"/>
          <w:color w:val="auto"/>
          <w:sz w:val="21"/>
          <w:szCs w:val="21"/>
          <w:highlight w:val="none"/>
        </w:rPr>
        <w:t>分部分项工程未经验收的，不得进入下一道工序施工。</w:t>
      </w:r>
    </w:p>
    <w:p w14:paraId="10189360">
      <w:pPr>
        <w:pageBreakBefore w:val="0"/>
        <w:kinsoku/>
        <w:wordWrap/>
        <w:overflowPunct/>
        <w:topLinePunct w:val="0"/>
        <w:bidi w:val="0"/>
        <w:snapToGrid/>
        <w:spacing w:line="39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分部分项工程的验收资料应当作为竣工资料的组成部分。</w:t>
      </w:r>
    </w:p>
    <w:p w14:paraId="1BEAB603">
      <w:pPr>
        <w:pStyle w:val="8"/>
        <w:pageBreakBefore w:val="0"/>
        <w:kinsoku/>
        <w:wordWrap/>
        <w:overflowPunct/>
        <w:topLinePunct w:val="0"/>
        <w:bidi w:val="0"/>
        <w:snapToGrid/>
        <w:spacing w:before="0" w:after="0" w:line="390" w:lineRule="exact"/>
        <w:ind w:left="0" w:firstLine="420" w:firstLineChars="200"/>
        <w:textAlignment w:val="auto"/>
        <w:rPr>
          <w:rFonts w:hint="eastAsia" w:ascii="宋体" w:hAnsi="宋体" w:eastAsia="宋体" w:cs="宋体"/>
          <w:b w:val="0"/>
          <w:color w:val="auto"/>
          <w:sz w:val="21"/>
          <w:szCs w:val="21"/>
          <w:highlight w:val="none"/>
        </w:rPr>
      </w:pPr>
      <w:bookmarkStart w:id="517" w:name="_Toc351203588"/>
      <w:bookmarkStart w:id="518" w:name="_Toc337558806"/>
      <w:r>
        <w:rPr>
          <w:rFonts w:hint="eastAsia" w:ascii="宋体" w:hAnsi="宋体" w:eastAsia="宋体" w:cs="宋体"/>
          <w:b w:val="0"/>
          <w:color w:val="auto"/>
          <w:sz w:val="21"/>
          <w:szCs w:val="21"/>
          <w:highlight w:val="none"/>
        </w:rPr>
        <w:t>13.2竣工验收</w:t>
      </w:r>
      <w:bookmarkEnd w:id="517"/>
    </w:p>
    <w:bookmarkEnd w:id="515"/>
    <w:bookmarkEnd w:id="516"/>
    <w:bookmarkEnd w:id="518"/>
    <w:p w14:paraId="0916FAFE">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13.2.1竣工验收条件</w:t>
      </w:r>
    </w:p>
    <w:p w14:paraId="18946913">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工程具备以下条件的，承包人可以申请竣工验收：</w:t>
      </w:r>
    </w:p>
    <w:p w14:paraId="2400B39D">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（1）除发包人同意的甩项工作和缺陷修补工作外，合同范围内的全部工程以及有关工作，包括合同要求的试验、试运行以及检验均已完成，并符合合同要求；</w:t>
      </w:r>
    </w:p>
    <w:p w14:paraId="6BED5083">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（2）已按合同约定编制了甩项工作和缺陷修补工作清单以及相应的施工计划；</w:t>
      </w:r>
    </w:p>
    <w:p w14:paraId="0FCEE3ED">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（3）已按合同约定的内容和份数备齐竣工资料。</w:t>
      </w:r>
    </w:p>
    <w:p w14:paraId="1BEBA2A6">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13.2.2竣工验收程序</w:t>
      </w:r>
    </w:p>
    <w:p w14:paraId="27ED3437">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除专用合同条款另有约定外，承包人申请竣工验收的，应当按照以下程序进行：</w:t>
      </w:r>
    </w:p>
    <w:p w14:paraId="4523E6C1">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承包人向监理人报送竣工验收申请报告，监理人应在收到竣工验收申请报告后14天内完成审查并报送发包人。监理人审查后认为尚不具备验收条件的，应通知承包人在竣工验收前承包人还需完成的工作内容，承包人应在完成监理人通知的全部工作内容后，再次提交竣工验收申请报告。</w:t>
      </w:r>
    </w:p>
    <w:p w14:paraId="6E9AF622">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（2）监理人审查后认为已具备竣工验收条件的，应将竣工验收申请报告提交发包人，发包人应在收到经监理人审核的竣工验收申请报告后28天内审批完毕并组织监理人、承包人、设计人等相关单位完成竣工验收。</w:t>
      </w:r>
    </w:p>
    <w:p w14:paraId="0AF0BCE1">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（3）竣工验收合格的，发包人应在验收合格后14天内向承包人签发工程接收证书。发包人无正当理由逾期不颁发工程接收证书的，自验收合格后第15天起视为已颁发工程接收证书。</w:t>
      </w:r>
    </w:p>
    <w:p w14:paraId="10D70678">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14:paraId="0E073294">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（5）工程未经验收或验收不合格，发包人擅自使用的，应在转移占有工程后7天内向承包人颁发工程接收证书；发包人无正当理由逾期不颁发工程接收证书的，自转移占有后第15天起视为已颁发工程接收证书。</w:t>
      </w:r>
    </w:p>
    <w:p w14:paraId="2AD4A91B">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除专用合同条款另有约定外，发包人不按照本项约定组织竣工验收、颁发工程接收证书的，每逾期一天，应以签约合同价为基数，按照中国人民银行发布的同期同类贷款基准利率支付违约金。</w:t>
      </w:r>
    </w:p>
    <w:p w14:paraId="18FD30EB">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13.2.3竣工日期</w:t>
      </w:r>
    </w:p>
    <w:p w14:paraId="0725176A">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w:t>
      </w:r>
      <w:bookmarkStart w:id="519" w:name="#go14"/>
      <w:bookmarkEnd w:id="519"/>
      <w:r>
        <w:rPr>
          <w:rFonts w:hint="eastAsia" w:ascii="宋体" w:hAnsi="宋体" w:eastAsia="宋体" w:cs="宋体"/>
          <w:color w:val="auto"/>
          <w:kern w:val="0"/>
          <w:sz w:val="21"/>
          <w:szCs w:val="21"/>
          <w:highlight w:val="none"/>
        </w:rPr>
        <w:t>收申请报告的日期为实际竣工日期；工程未经竣工验收，发包人擅自使用的，以转移占有工程之日为实际竣工日期。</w:t>
      </w:r>
    </w:p>
    <w:p w14:paraId="0F56358B">
      <w:pPr>
        <w:pageBreakBefore w:val="0"/>
        <w:kinsoku/>
        <w:wordWrap/>
        <w:overflowPunct/>
        <w:topLinePunct w:val="0"/>
        <w:bidi w:val="0"/>
        <w:snapToGrid/>
        <w:spacing w:line="390" w:lineRule="exact"/>
        <w:ind w:left="0" w:firstLine="420" w:firstLineChars="200"/>
        <w:jc w:val="left"/>
        <w:textAlignment w:val="auto"/>
        <w:outlineLvl w:val="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13.2.4 拒绝接收全部或部分工程</w:t>
      </w:r>
    </w:p>
    <w:p w14:paraId="7B20975A">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对于竣工验收不合格的工程，承包人完成整改后，应当重新进行竣工验收，经重新组织验收仍不合格的且无法采取措施补救的，则发包人可以拒绝接收不合格工程，因不合格工程导致其他工程不能正常使用的，承包人应采取措施确保相关工程的正常使用，由此增加的费用和（或）延误的工期由承包人承担。</w:t>
      </w:r>
    </w:p>
    <w:p w14:paraId="73FE41FB">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13.2.5 移交、接收全部与部分工程</w:t>
      </w:r>
    </w:p>
    <w:p w14:paraId="693CD863">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除专用合同条款另有约定外，合同当事人应当在颁发工程接收证书后7天内完成工程的移交。</w:t>
      </w:r>
    </w:p>
    <w:p w14:paraId="3D73FDF2">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发包人无正当理由不接收工程的，发包人自应当接收工程之日起，承担工程照管、成品保护、保管等与工程有关的各项费用，合同当事人可以在专用合同条款中另行约定发包人逾期接收工程的违约责任。</w:t>
      </w:r>
    </w:p>
    <w:p w14:paraId="38EAE038">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承包人无正当理由不移交工程的，承包人应承担工程照管、成品保护、保管等与工程有关的各项费用，合同当事人可以在专用合同条款中另行约定承包人无正当理由不移交工程的违约责任。</w:t>
      </w:r>
    </w:p>
    <w:p w14:paraId="747649C1">
      <w:pPr>
        <w:pStyle w:val="8"/>
        <w:pageBreakBefore w:val="0"/>
        <w:kinsoku/>
        <w:wordWrap/>
        <w:overflowPunct/>
        <w:topLinePunct w:val="0"/>
        <w:bidi w:val="0"/>
        <w:snapToGrid/>
        <w:spacing w:before="0" w:after="0" w:line="390" w:lineRule="exact"/>
        <w:ind w:left="0" w:firstLine="420" w:firstLineChars="200"/>
        <w:textAlignment w:val="auto"/>
        <w:rPr>
          <w:rFonts w:hint="eastAsia" w:ascii="宋体" w:hAnsi="宋体" w:eastAsia="宋体" w:cs="宋体"/>
          <w:b w:val="0"/>
          <w:color w:val="auto"/>
          <w:sz w:val="21"/>
          <w:szCs w:val="21"/>
          <w:highlight w:val="none"/>
        </w:rPr>
      </w:pPr>
      <w:bookmarkStart w:id="520" w:name="_Toc351203589"/>
      <w:bookmarkStart w:id="521" w:name="_Toc337558807"/>
      <w:bookmarkStart w:id="522" w:name="_Toc296503111"/>
      <w:bookmarkStart w:id="523" w:name="_Toc296346612"/>
      <w:r>
        <w:rPr>
          <w:rFonts w:hint="eastAsia" w:ascii="宋体" w:hAnsi="宋体" w:eastAsia="宋体" w:cs="宋体"/>
          <w:b w:val="0"/>
          <w:color w:val="auto"/>
          <w:sz w:val="21"/>
          <w:szCs w:val="21"/>
          <w:highlight w:val="none"/>
        </w:rPr>
        <w:t>13.3工程试车</w:t>
      </w:r>
      <w:bookmarkEnd w:id="520"/>
    </w:p>
    <w:bookmarkEnd w:id="521"/>
    <w:bookmarkEnd w:id="522"/>
    <w:bookmarkEnd w:id="523"/>
    <w:p w14:paraId="24E501C9">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13.3.1试车程序</w:t>
      </w:r>
    </w:p>
    <w:p w14:paraId="3FCEC0BC">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工程需要试车的，除专用合同条款另有约定外，试车内容应与承包人承包范围相一致，试车费用由承包人承担。工程试车应按如下程序进行：</w:t>
      </w:r>
    </w:p>
    <w:p w14:paraId="2088DDAA">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具备单机无负荷试车条件，承包人组织试车，并在试车前48小时书面通知监理人，通知中应载明试车内容、时间、地点。承包人准备试车记录，发包人根据承包人要求为试车提供必要条件。试车合格的，监理人在试车记录上签字。监理人在试车合格后不在试车记录上签字，自试车结束满24小时后视为监理人已经认可试车记录，承包人可继续施工或办理竣工验收手续。</w:t>
      </w:r>
    </w:p>
    <w:p w14:paraId="3739225C">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监理人不能按时参加试车，应在试车前24小时以书面形式向承包人提出延期要求，但延期不能超过48小时，由此导致工期延误的，工期应予以顺延。监理人未能在前述期限内提出延期要求，又不参加试车的，视为认可试车记录。</w:t>
      </w:r>
    </w:p>
    <w:p w14:paraId="396CF8E6">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具备无负荷联动试车条件，发包人组织试车，并在试车前48小时以书面形式通知承包人。通知中应载明试车内容、时间、地点和对承包人的要求，承包人按要求做好准备工作。试车合格，合同当事人在试车记录上签字。承包人无正当理由不参加试车的，视为认可试车记录。</w:t>
      </w:r>
    </w:p>
    <w:p w14:paraId="19CF011D">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13.3.2 试车中的责任</w:t>
      </w:r>
    </w:p>
    <w:p w14:paraId="3E4726C4">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因设计原因导致试车达不到验收要求，发包人应要求设计人修改设计，承包人按修改后的设计重新安装。发包人承担修改设计、拆除及重新安装的全部费用，工期相应顺延。因承包人原因导致试车达不到验收要求，承包人按监理人要求重新安装和试车，并承担重新安装和试车的费用，工期不予顺延。</w:t>
      </w:r>
    </w:p>
    <w:p w14:paraId="2425A22F">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因工程设备制造原因导致试车达不到验收要求的，由采购该工程设备的合同当事人负责重新购置或修理，承包人负责拆除和重新安装，由此增加的修理、重新购置、拆除及重新安装的费用及延误的工期由采购该工程设备的合同当事人承担。</w:t>
      </w:r>
    </w:p>
    <w:p w14:paraId="4851DCA6">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13.3.3 投料试车</w:t>
      </w:r>
    </w:p>
    <w:p w14:paraId="57F5194F">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如需进行投料试车的，发包人应在工程竣工验收后组织投料试车。发包人要求在工程竣工验收前进行或需要承包人配合时，应征得承包人同意，并在专用合同条款中约定有关事项。</w:t>
      </w:r>
    </w:p>
    <w:p w14:paraId="64921379">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料试车合格的，费用由发包人承担；因承包人原因造成投料试车不合格的，承包人应按照发包人要求进行整改，由此产生的整改费用由承包人承担；非因承包人原因导致投料试车不合格的，如发包人要求承包人进行整改的，由此产生的费用由发包人承担。</w:t>
      </w:r>
    </w:p>
    <w:p w14:paraId="6204A016">
      <w:pPr>
        <w:pStyle w:val="8"/>
        <w:pageBreakBefore w:val="0"/>
        <w:kinsoku/>
        <w:wordWrap/>
        <w:overflowPunct/>
        <w:topLinePunct w:val="0"/>
        <w:bidi w:val="0"/>
        <w:snapToGrid/>
        <w:spacing w:before="0" w:after="0" w:line="390" w:lineRule="exact"/>
        <w:ind w:left="0"/>
        <w:textAlignment w:val="auto"/>
        <w:rPr>
          <w:rFonts w:hint="eastAsia" w:ascii="宋体" w:hAnsi="宋体" w:eastAsia="宋体" w:cs="宋体"/>
          <w:b w:val="0"/>
          <w:color w:val="auto"/>
          <w:sz w:val="21"/>
          <w:szCs w:val="21"/>
          <w:highlight w:val="none"/>
        </w:rPr>
      </w:pPr>
      <w:bookmarkStart w:id="524" w:name="_Toc337558808"/>
      <w:r>
        <w:rPr>
          <w:rFonts w:hint="eastAsia" w:ascii="宋体" w:hAnsi="宋体" w:eastAsia="宋体" w:cs="宋体"/>
          <w:b w:val="0"/>
          <w:color w:val="auto"/>
          <w:sz w:val="21"/>
          <w:szCs w:val="21"/>
          <w:highlight w:val="none"/>
        </w:rPr>
        <w:t xml:space="preserve">    </w:t>
      </w:r>
      <w:bookmarkStart w:id="525" w:name="_Toc351203590"/>
      <w:r>
        <w:rPr>
          <w:rFonts w:hint="eastAsia" w:ascii="宋体" w:hAnsi="宋体" w:eastAsia="宋体" w:cs="宋体"/>
          <w:b w:val="0"/>
          <w:color w:val="auto"/>
          <w:sz w:val="21"/>
          <w:szCs w:val="21"/>
          <w:highlight w:val="none"/>
        </w:rPr>
        <w:t>13.4提前交付单位工程的验收</w:t>
      </w:r>
      <w:bookmarkEnd w:id="525"/>
    </w:p>
    <w:bookmarkEnd w:id="524"/>
    <w:p w14:paraId="77F062C4">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13.4.1 发包人需要在工程竣工前使用单位工程的，或承包人提出提前交付已经竣工的单位工程且经发包人同意的，可进行单位工程验收，验收的程序按照第13.2款〔竣工验收〕的约定进行。</w:t>
      </w:r>
    </w:p>
    <w:p w14:paraId="27F1B85C">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验收合格后，由监理人向承包人出具经发包人签认的单位工程接收证书。已签发单位工程接收证书的单位工程由发包人负责照管。单位工程的验收成果和结论作为整体工程竣工验收申请报告的附件。</w:t>
      </w:r>
    </w:p>
    <w:p w14:paraId="5661441F">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13.4.2 发包人要求在工程竣工前交付单位工程，由此导致承包人费用增加和（或）工期延误的，由发包人承担由此增加的费用和（或）延误的工期，并支付承包人合理的利润。</w:t>
      </w:r>
    </w:p>
    <w:p w14:paraId="3A0DDD3D">
      <w:pPr>
        <w:pStyle w:val="8"/>
        <w:pageBreakBefore w:val="0"/>
        <w:kinsoku/>
        <w:wordWrap/>
        <w:overflowPunct/>
        <w:topLinePunct w:val="0"/>
        <w:bidi w:val="0"/>
        <w:snapToGrid/>
        <w:spacing w:before="0" w:after="0" w:line="390" w:lineRule="exact"/>
        <w:ind w:left="0" w:firstLine="420" w:firstLineChars="200"/>
        <w:textAlignment w:val="auto"/>
        <w:rPr>
          <w:rFonts w:hint="eastAsia" w:ascii="宋体" w:hAnsi="宋体" w:eastAsia="宋体" w:cs="宋体"/>
          <w:b w:val="0"/>
          <w:color w:val="auto"/>
          <w:sz w:val="21"/>
          <w:szCs w:val="21"/>
          <w:highlight w:val="none"/>
        </w:rPr>
      </w:pPr>
      <w:bookmarkStart w:id="526" w:name="_Toc351203591"/>
      <w:r>
        <w:rPr>
          <w:rFonts w:hint="eastAsia" w:ascii="宋体" w:hAnsi="宋体" w:eastAsia="宋体" w:cs="宋体"/>
          <w:b w:val="0"/>
          <w:color w:val="auto"/>
          <w:sz w:val="21"/>
          <w:szCs w:val="21"/>
          <w:highlight w:val="none"/>
        </w:rPr>
        <w:t>13.5 施工期运行</w:t>
      </w:r>
      <w:bookmarkEnd w:id="526"/>
    </w:p>
    <w:p w14:paraId="429E611D">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13.5.1 施工期运行是指合同工程尚未全部竣工，其中某项或某几项单位工程或工程设备安装已竣工，根据专用合同条款约定，需要投入施工期运行的，经发包人按第13.4款〔提前交付单位工程的验收〕的约定验收合格，证明能确保安全后，才能在施工期投入运行。</w:t>
      </w:r>
    </w:p>
    <w:p w14:paraId="5B7D9786">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13.5.2 在施工期运行中发现工程或工程设备损坏或存在缺陷的，由承包人按第15.2款〔缺陷责任期〕约定进行修复。</w:t>
      </w:r>
    </w:p>
    <w:p w14:paraId="47787DF6">
      <w:pPr>
        <w:pStyle w:val="8"/>
        <w:pageBreakBefore w:val="0"/>
        <w:kinsoku/>
        <w:wordWrap/>
        <w:overflowPunct/>
        <w:topLinePunct w:val="0"/>
        <w:bidi w:val="0"/>
        <w:snapToGrid/>
        <w:spacing w:before="0" w:after="0" w:line="390" w:lineRule="exact"/>
        <w:ind w:left="0" w:firstLine="420" w:firstLineChars="200"/>
        <w:textAlignment w:val="auto"/>
        <w:rPr>
          <w:rFonts w:hint="eastAsia" w:ascii="宋体" w:hAnsi="宋体" w:eastAsia="宋体" w:cs="宋体"/>
          <w:b w:val="0"/>
          <w:color w:val="auto"/>
          <w:sz w:val="21"/>
          <w:szCs w:val="21"/>
          <w:highlight w:val="none"/>
        </w:rPr>
      </w:pPr>
      <w:bookmarkStart w:id="527" w:name="_Toc296346613"/>
      <w:bookmarkStart w:id="528" w:name="_Toc296503112"/>
      <w:bookmarkStart w:id="529" w:name="_Toc351203592"/>
      <w:bookmarkStart w:id="530" w:name="_Toc337558809"/>
      <w:r>
        <w:rPr>
          <w:rFonts w:hint="eastAsia" w:ascii="宋体" w:hAnsi="宋体" w:eastAsia="宋体" w:cs="宋体"/>
          <w:b w:val="0"/>
          <w:color w:val="auto"/>
          <w:sz w:val="21"/>
          <w:szCs w:val="21"/>
          <w:highlight w:val="none"/>
        </w:rPr>
        <w:t>13.6 竣工退</w:t>
      </w:r>
      <w:bookmarkEnd w:id="527"/>
      <w:bookmarkEnd w:id="528"/>
      <w:r>
        <w:rPr>
          <w:rFonts w:hint="eastAsia" w:ascii="宋体" w:hAnsi="宋体" w:eastAsia="宋体" w:cs="宋体"/>
          <w:b w:val="0"/>
          <w:color w:val="auto"/>
          <w:sz w:val="21"/>
          <w:szCs w:val="21"/>
          <w:highlight w:val="none"/>
        </w:rPr>
        <w:t>场</w:t>
      </w:r>
      <w:bookmarkEnd w:id="529"/>
    </w:p>
    <w:bookmarkEnd w:id="530"/>
    <w:p w14:paraId="26C2C7F2">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13.6.1 竣工退场</w:t>
      </w:r>
    </w:p>
    <w:p w14:paraId="02B7B0A4">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颁发工程接收证书后，承包人应按以下要求对施工现场进行清理：</w:t>
      </w:r>
    </w:p>
    <w:p w14:paraId="21010066">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（1）施工现场内残留的垃圾已全部清除出场；</w:t>
      </w:r>
    </w:p>
    <w:p w14:paraId="4B9E7971">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（2）临时工程已拆除，场地已进行清理、平整或复原；</w:t>
      </w:r>
    </w:p>
    <w:p w14:paraId="45F305EC">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（3）按合同约定应撤离的人员、承包人施工设备和剩余的材料，包括废弃的施工设备和材料，已按计划撤离施工现场；</w:t>
      </w:r>
    </w:p>
    <w:p w14:paraId="34FDE105">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（4）施工现场周边及其附近道路、河道的施工堆积物，已全部清理；</w:t>
      </w:r>
    </w:p>
    <w:p w14:paraId="61124FCC">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（5）施工现场其他场地清理工作已全部完成。</w:t>
      </w:r>
    </w:p>
    <w:p w14:paraId="2E62A7AC">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施工现场的竣工退场费用由承包人承担。承包人应在专用合同条款约定的期限内完成竣工退场，逾期未完成的，发包人有权出售或另行处理承包人遗留的物品，由此支出的费用由承包人承担，发包人出售承包人遗留物品所得款项在扣除必要费用后应返还承包人。</w:t>
      </w:r>
    </w:p>
    <w:p w14:paraId="0F2AA3D0">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13.6.2 地表还原</w:t>
      </w:r>
    </w:p>
    <w:p w14:paraId="69E4B4B0">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承包人应按发包人要求恢复临时占地及清理场地，承包人未按发包人的要求恢复临时占地，或者场地清理未达到合同约定要求的，发包人有权委托其他人恢复或清理，所发生的费用由承包人承担。</w:t>
      </w:r>
    </w:p>
    <w:p w14:paraId="1218B96F">
      <w:pPr>
        <w:pStyle w:val="7"/>
        <w:pageBreakBefore w:val="0"/>
        <w:kinsoku/>
        <w:wordWrap/>
        <w:overflowPunct/>
        <w:topLinePunct w:val="0"/>
        <w:bidi w:val="0"/>
        <w:snapToGrid/>
        <w:spacing w:before="0" w:line="390" w:lineRule="exact"/>
        <w:ind w:left="0"/>
        <w:textAlignment w:val="auto"/>
        <w:rPr>
          <w:rFonts w:hint="eastAsia" w:ascii="宋体" w:hAnsi="宋体" w:eastAsia="宋体" w:cs="宋体"/>
          <w:b w:val="0"/>
          <w:color w:val="auto"/>
          <w:sz w:val="21"/>
          <w:szCs w:val="21"/>
          <w:highlight w:val="none"/>
        </w:rPr>
      </w:pPr>
      <w:bookmarkStart w:id="531" w:name="_Toc351203593"/>
      <w:bookmarkStart w:id="532" w:name="_Toc337558810"/>
      <w:bookmarkStart w:id="533" w:name="_Toc296503113"/>
      <w:bookmarkStart w:id="534" w:name="_Toc296346614"/>
      <w:r>
        <w:rPr>
          <w:rFonts w:hint="eastAsia" w:ascii="宋体" w:hAnsi="宋体" w:eastAsia="宋体" w:cs="宋体"/>
          <w:b w:val="0"/>
          <w:color w:val="auto"/>
          <w:sz w:val="21"/>
          <w:szCs w:val="21"/>
          <w:highlight w:val="none"/>
        </w:rPr>
        <w:t>14. 竣工结算</w:t>
      </w:r>
      <w:bookmarkEnd w:id="531"/>
    </w:p>
    <w:bookmarkEnd w:id="532"/>
    <w:p w14:paraId="20F6E791">
      <w:pPr>
        <w:pStyle w:val="8"/>
        <w:pageBreakBefore w:val="0"/>
        <w:kinsoku/>
        <w:wordWrap/>
        <w:overflowPunct/>
        <w:topLinePunct w:val="0"/>
        <w:bidi w:val="0"/>
        <w:snapToGrid/>
        <w:spacing w:before="0" w:after="0" w:line="390" w:lineRule="exact"/>
        <w:ind w:left="0" w:firstLine="420" w:firstLineChars="200"/>
        <w:textAlignment w:val="auto"/>
        <w:rPr>
          <w:rFonts w:hint="eastAsia" w:ascii="宋体" w:hAnsi="宋体" w:eastAsia="宋体" w:cs="宋体"/>
          <w:b w:val="0"/>
          <w:color w:val="auto"/>
          <w:sz w:val="21"/>
          <w:szCs w:val="21"/>
          <w:highlight w:val="none"/>
        </w:rPr>
      </w:pPr>
      <w:bookmarkStart w:id="535" w:name="_Toc351203594"/>
      <w:bookmarkStart w:id="536" w:name="_Toc337558811"/>
      <w:r>
        <w:rPr>
          <w:rFonts w:hint="eastAsia" w:ascii="宋体" w:hAnsi="宋体" w:eastAsia="宋体" w:cs="宋体"/>
          <w:b w:val="0"/>
          <w:color w:val="auto"/>
          <w:sz w:val="21"/>
          <w:szCs w:val="21"/>
          <w:highlight w:val="none"/>
        </w:rPr>
        <w:t>14.1 竣工结算申请</w:t>
      </w:r>
      <w:bookmarkEnd w:id="535"/>
    </w:p>
    <w:bookmarkEnd w:id="536"/>
    <w:p w14:paraId="3F9E6F4C">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除专用合同条款另有约定外，</w:t>
      </w:r>
      <w:r>
        <w:rPr>
          <w:rFonts w:hint="eastAsia" w:ascii="宋体" w:hAnsi="宋体" w:eastAsia="宋体" w:cs="宋体"/>
          <w:color w:val="auto"/>
          <w:sz w:val="21"/>
          <w:szCs w:val="21"/>
          <w:highlight w:val="none"/>
        </w:rPr>
        <w:t>承包人应在工程竣工验收合格后28天内向发包人和监理人提交竣工结算申请单，并提交完整的结算资料，有关竣工结算申请单的资料清单和份数等要求由合同当事人在专用合同条款中约定。</w:t>
      </w:r>
    </w:p>
    <w:p w14:paraId="2EB6E222">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除专用合同条款另有约定外，竣工结算申请单应包括以下内容：</w:t>
      </w:r>
    </w:p>
    <w:p w14:paraId="554CC9EC">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（1）竣工结算合同价格；</w:t>
      </w:r>
    </w:p>
    <w:p w14:paraId="10B16999">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（2）发包人已支付承包人的款项；</w:t>
      </w:r>
    </w:p>
    <w:p w14:paraId="6270216E">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（3）应扣留的质量保证金。已缴纳履约保证金的或提供其他工程质量担保方式的除外； </w:t>
      </w:r>
    </w:p>
    <w:p w14:paraId="1A95A416">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（4）发包人应支付承包人的合同价款。</w:t>
      </w:r>
    </w:p>
    <w:p w14:paraId="3A701137">
      <w:pPr>
        <w:pStyle w:val="8"/>
        <w:pageBreakBefore w:val="0"/>
        <w:kinsoku/>
        <w:wordWrap/>
        <w:overflowPunct/>
        <w:topLinePunct w:val="0"/>
        <w:bidi w:val="0"/>
        <w:snapToGrid/>
        <w:spacing w:before="0" w:after="0" w:line="390" w:lineRule="exact"/>
        <w:ind w:left="0" w:firstLine="420" w:firstLineChars="200"/>
        <w:textAlignment w:val="auto"/>
        <w:rPr>
          <w:rFonts w:hint="eastAsia" w:ascii="宋体" w:hAnsi="宋体" w:eastAsia="宋体" w:cs="宋体"/>
          <w:b w:val="0"/>
          <w:color w:val="auto"/>
          <w:sz w:val="21"/>
          <w:szCs w:val="21"/>
          <w:highlight w:val="none"/>
        </w:rPr>
      </w:pPr>
      <w:bookmarkStart w:id="537" w:name="_Toc351203595"/>
      <w:bookmarkStart w:id="538" w:name="_Toc337558812"/>
      <w:r>
        <w:rPr>
          <w:rFonts w:hint="eastAsia" w:ascii="宋体" w:hAnsi="宋体" w:eastAsia="宋体" w:cs="宋体"/>
          <w:b w:val="0"/>
          <w:color w:val="auto"/>
          <w:sz w:val="21"/>
          <w:szCs w:val="21"/>
          <w:highlight w:val="none"/>
        </w:rPr>
        <w:t>14.2 竣工结算审核</w:t>
      </w:r>
      <w:bookmarkEnd w:id="537"/>
    </w:p>
    <w:bookmarkEnd w:id="538"/>
    <w:p w14:paraId="44158988">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除专用合同条款另有约定外，监理人应在收到竣工结算申请单后14天内完成核查并报送发包人。发包人应在收到监理人提交的经审核的竣工结算申请单后14天内完成审批，并由监理人向承包人签发经发包人签认的竣工付款证书。监理人或</w:t>
      </w:r>
      <w:r>
        <w:rPr>
          <w:rFonts w:hint="eastAsia" w:ascii="宋体" w:hAnsi="宋体" w:eastAsia="宋体" w:cs="宋体"/>
          <w:color w:val="auto"/>
          <w:sz w:val="21"/>
          <w:szCs w:val="21"/>
          <w:highlight w:val="none"/>
        </w:rPr>
        <w:t>发包人对竣工</w:t>
      </w:r>
      <w:r>
        <w:rPr>
          <w:rFonts w:hint="eastAsia" w:ascii="宋体" w:hAnsi="宋体" w:eastAsia="宋体" w:cs="宋体"/>
          <w:color w:val="auto"/>
          <w:kern w:val="0"/>
          <w:sz w:val="21"/>
          <w:szCs w:val="21"/>
          <w:highlight w:val="none"/>
        </w:rPr>
        <w:t>结算</w:t>
      </w:r>
      <w:r>
        <w:rPr>
          <w:rFonts w:hint="eastAsia" w:ascii="宋体" w:hAnsi="宋体" w:eastAsia="宋体" w:cs="宋体"/>
          <w:color w:val="auto"/>
          <w:sz w:val="21"/>
          <w:szCs w:val="21"/>
          <w:highlight w:val="none"/>
        </w:rPr>
        <w:t>申请单有异议的，有权要求承包人进行修正和提供补充资料，承包人应提交修正后的竣工</w:t>
      </w:r>
      <w:r>
        <w:rPr>
          <w:rFonts w:hint="eastAsia" w:ascii="宋体" w:hAnsi="宋体" w:eastAsia="宋体" w:cs="宋体"/>
          <w:color w:val="auto"/>
          <w:kern w:val="0"/>
          <w:sz w:val="21"/>
          <w:szCs w:val="21"/>
          <w:highlight w:val="none"/>
        </w:rPr>
        <w:t>结算</w:t>
      </w:r>
      <w:r>
        <w:rPr>
          <w:rFonts w:hint="eastAsia" w:ascii="宋体" w:hAnsi="宋体" w:eastAsia="宋体" w:cs="宋体"/>
          <w:color w:val="auto"/>
          <w:sz w:val="21"/>
          <w:szCs w:val="21"/>
          <w:highlight w:val="none"/>
        </w:rPr>
        <w:t>申请单。</w:t>
      </w:r>
    </w:p>
    <w:p w14:paraId="218C1464">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发包人在收到承包人提交竣工结算申请书后28天内未完成审批且未提出异议的，视为发包人认可承包人提交的竣工结算申请单，并自发包人收到承包人提交的竣工结算申请单后第29天起视为已签发竣工付款证书。</w:t>
      </w:r>
    </w:p>
    <w:p w14:paraId="27577EAD">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（2）除专用合同条款另有约定外，发包人应在签发竣工付款证书后的14 天内，完成对承包人的竣工付款。发包人逾期支付的，按照中国人民银行发布的同期同类贷款基准利率支付违约金；逾期支付超过56天的，按照中国人民银行发布的同期同类贷款基准利率的两倍支付违约金。</w:t>
      </w:r>
    </w:p>
    <w:p w14:paraId="78E8344C">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承包人对发包人签认的竣工付款证书有异议的，对于有异议部分应在收到发包人签认的竣工付款证书后7天内提出异议，并由合同当事人按照专用合同条款约定的方式和程序进行复核，或按照第20条〔争议解决〕约定处理。对于无异议部分，发包人应签发临时竣工付款证书，并按本款第（2）项完成付款。承包人逾期未提出异议的，视为认可发包人的审批结果。</w:t>
      </w:r>
    </w:p>
    <w:p w14:paraId="23F3B2E7">
      <w:pPr>
        <w:pStyle w:val="8"/>
        <w:pageBreakBefore w:val="0"/>
        <w:kinsoku/>
        <w:wordWrap/>
        <w:overflowPunct/>
        <w:topLinePunct w:val="0"/>
        <w:bidi w:val="0"/>
        <w:snapToGrid/>
        <w:spacing w:before="0" w:after="0" w:line="390" w:lineRule="exact"/>
        <w:ind w:left="0" w:firstLine="420" w:firstLineChars="200"/>
        <w:textAlignment w:val="auto"/>
        <w:rPr>
          <w:rFonts w:hint="eastAsia" w:ascii="宋体" w:hAnsi="宋体" w:eastAsia="宋体" w:cs="宋体"/>
          <w:b w:val="0"/>
          <w:color w:val="auto"/>
          <w:sz w:val="21"/>
          <w:szCs w:val="21"/>
          <w:highlight w:val="none"/>
        </w:rPr>
      </w:pPr>
      <w:bookmarkStart w:id="539" w:name="_Toc351203596"/>
      <w:bookmarkStart w:id="540" w:name="_Toc337558813"/>
      <w:r>
        <w:rPr>
          <w:rFonts w:hint="eastAsia" w:ascii="宋体" w:hAnsi="宋体" w:eastAsia="宋体" w:cs="宋体"/>
          <w:b w:val="0"/>
          <w:color w:val="auto"/>
          <w:sz w:val="21"/>
          <w:szCs w:val="21"/>
          <w:highlight w:val="none"/>
        </w:rPr>
        <w:t>14.3 甩项竣工协议</w:t>
      </w:r>
      <w:bookmarkEnd w:id="539"/>
    </w:p>
    <w:bookmarkEnd w:id="540"/>
    <w:p w14:paraId="448790F1">
      <w:pPr>
        <w:pageBreakBefore w:val="0"/>
        <w:kinsoku/>
        <w:wordWrap/>
        <w:overflowPunct/>
        <w:topLinePunct w:val="0"/>
        <w:autoSpaceDE w:val="0"/>
        <w:autoSpaceDN w:val="0"/>
        <w:bidi w:val="0"/>
        <w:adjustRightInd w:val="0"/>
        <w:snapToGrid/>
        <w:spacing w:line="390" w:lineRule="exact"/>
        <w:ind w:left="0" w:firstLine="411" w:firstLineChars="196"/>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发包人要求甩项竣工的，合同当事人应签订甩项竣工协议。在甩项竣工协议中应明确，合同当事人按照第14.1款〔竣工结算申请〕及14.2款〔竣工结算审核〕的约定，对已完合格工程进行结算，并支付相应合同价款。</w:t>
      </w:r>
    </w:p>
    <w:p w14:paraId="4F005381">
      <w:pPr>
        <w:pStyle w:val="8"/>
        <w:pageBreakBefore w:val="0"/>
        <w:kinsoku/>
        <w:wordWrap/>
        <w:overflowPunct/>
        <w:topLinePunct w:val="0"/>
        <w:bidi w:val="0"/>
        <w:snapToGrid/>
        <w:spacing w:before="0" w:after="0" w:line="390" w:lineRule="exact"/>
        <w:ind w:left="0" w:firstLine="420" w:firstLineChars="200"/>
        <w:textAlignment w:val="auto"/>
        <w:rPr>
          <w:rFonts w:hint="eastAsia" w:ascii="宋体" w:hAnsi="宋体" w:eastAsia="宋体" w:cs="宋体"/>
          <w:b w:val="0"/>
          <w:color w:val="auto"/>
          <w:sz w:val="21"/>
          <w:szCs w:val="21"/>
          <w:highlight w:val="none"/>
        </w:rPr>
      </w:pPr>
      <w:bookmarkStart w:id="541" w:name="_Toc351203597"/>
      <w:bookmarkStart w:id="542" w:name="_Toc337558814"/>
      <w:r>
        <w:rPr>
          <w:rFonts w:hint="eastAsia" w:ascii="宋体" w:hAnsi="宋体" w:eastAsia="宋体" w:cs="宋体"/>
          <w:b w:val="0"/>
          <w:color w:val="auto"/>
          <w:sz w:val="21"/>
          <w:szCs w:val="21"/>
          <w:highlight w:val="none"/>
        </w:rPr>
        <w:t>14.4 最终结清</w:t>
      </w:r>
      <w:bookmarkEnd w:id="541"/>
    </w:p>
    <w:bookmarkEnd w:id="542"/>
    <w:p w14:paraId="2C1DD872">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14.4.1 最终结清申请单</w:t>
      </w:r>
    </w:p>
    <w:p w14:paraId="448F2B90">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（1）除专用合同条款另有约定外，承包人应在缺陷责任期终止证书颁发后7天内，按专用合同条款约定的份数向发包人提交最终结清申请单，并提供相关证明材料。</w:t>
      </w:r>
    </w:p>
    <w:p w14:paraId="6935476E">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除专用合同条款另有约定外，</w:t>
      </w:r>
      <w:r>
        <w:rPr>
          <w:rFonts w:hint="eastAsia" w:ascii="宋体" w:hAnsi="宋体" w:eastAsia="宋体" w:cs="宋体"/>
          <w:color w:val="auto"/>
          <w:kern w:val="0"/>
          <w:sz w:val="21"/>
          <w:szCs w:val="21"/>
          <w:highlight w:val="none"/>
        </w:rPr>
        <w:t>最终结清申请单</w:t>
      </w:r>
      <w:r>
        <w:rPr>
          <w:rFonts w:hint="eastAsia" w:ascii="宋体" w:hAnsi="宋体" w:eastAsia="宋体" w:cs="宋体"/>
          <w:color w:val="auto"/>
          <w:sz w:val="21"/>
          <w:szCs w:val="21"/>
          <w:highlight w:val="none"/>
        </w:rPr>
        <w:t>应列明质量保证金、应扣除的质量保证金、缺陷责任期内发生的增减费用。</w:t>
      </w:r>
    </w:p>
    <w:p w14:paraId="5171A8D6">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（2）发包人对最终结清申请单内容有异议的，有权要求承包人进行修正和提供补充资料，承包人应向发包人提交修正后的最终结清申请单。</w:t>
      </w:r>
    </w:p>
    <w:p w14:paraId="299D1E1F">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14.4.2 最终结清证书和支付</w:t>
      </w:r>
    </w:p>
    <w:p w14:paraId="0AA9A029">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除专用合同条款另有约定外，发包人应在收到承包人提交的最终结清申请单后14天内完成审批并向承包人颁发最终结清证书。发包人逾期未完成审批，又未提出修改意见的，视为发包人同意承包人提交的最终结清申请单，且自发包人收到承包人提交的最终结清申请单后15天起视为已颁发最终结清证书。</w:t>
      </w:r>
    </w:p>
    <w:p w14:paraId="7F019F5E">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除专用合同条款另有约定外，发包人应在颁发最终结清证书后7天内完成支付。发包人逾期支付的，按照中国人民银行发布的同期同类贷款基准利率支付违约金；逾期支付超过56天的，按照中国人民银行发布的同期同类贷款基准利率的两倍支付违约金。</w:t>
      </w:r>
    </w:p>
    <w:p w14:paraId="769850F3">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（3）承包人对发包人颁发的最终结清证书有异议的，按第20条〔争议解决〕的约定办理。</w:t>
      </w:r>
    </w:p>
    <w:p w14:paraId="45B64EC3">
      <w:pPr>
        <w:pStyle w:val="7"/>
        <w:pageBreakBefore w:val="0"/>
        <w:kinsoku/>
        <w:wordWrap/>
        <w:overflowPunct/>
        <w:topLinePunct w:val="0"/>
        <w:bidi w:val="0"/>
        <w:snapToGrid/>
        <w:spacing w:before="0" w:line="390" w:lineRule="exact"/>
        <w:ind w:left="0"/>
        <w:textAlignment w:val="auto"/>
        <w:rPr>
          <w:rFonts w:hint="eastAsia" w:ascii="宋体" w:hAnsi="宋体" w:eastAsia="宋体" w:cs="宋体"/>
          <w:b w:val="0"/>
          <w:color w:val="auto"/>
          <w:sz w:val="21"/>
          <w:szCs w:val="21"/>
          <w:highlight w:val="none"/>
        </w:rPr>
      </w:pPr>
      <w:bookmarkStart w:id="543" w:name="_Toc351203598"/>
      <w:bookmarkStart w:id="544" w:name="_Toc337558815"/>
      <w:r>
        <w:rPr>
          <w:rFonts w:hint="eastAsia" w:ascii="宋体" w:hAnsi="宋体" w:eastAsia="宋体" w:cs="宋体"/>
          <w:b w:val="0"/>
          <w:color w:val="auto"/>
          <w:sz w:val="21"/>
          <w:szCs w:val="21"/>
          <w:highlight w:val="none"/>
        </w:rPr>
        <w:t>15. 缺陷责任与保修</w:t>
      </w:r>
      <w:bookmarkEnd w:id="543"/>
    </w:p>
    <w:bookmarkEnd w:id="533"/>
    <w:bookmarkEnd w:id="534"/>
    <w:bookmarkEnd w:id="544"/>
    <w:p w14:paraId="2BFD8795">
      <w:pPr>
        <w:pStyle w:val="8"/>
        <w:pageBreakBefore w:val="0"/>
        <w:kinsoku/>
        <w:wordWrap/>
        <w:overflowPunct/>
        <w:topLinePunct w:val="0"/>
        <w:bidi w:val="0"/>
        <w:snapToGrid/>
        <w:spacing w:before="0" w:after="0" w:line="390" w:lineRule="exact"/>
        <w:ind w:left="0" w:firstLine="420" w:firstLineChars="200"/>
        <w:textAlignment w:val="auto"/>
        <w:rPr>
          <w:rFonts w:hint="eastAsia" w:ascii="宋体" w:hAnsi="宋体" w:eastAsia="宋体" w:cs="宋体"/>
          <w:b w:val="0"/>
          <w:color w:val="auto"/>
          <w:sz w:val="21"/>
          <w:szCs w:val="21"/>
          <w:highlight w:val="none"/>
        </w:rPr>
      </w:pPr>
      <w:bookmarkStart w:id="545" w:name="_Toc351203599"/>
      <w:bookmarkStart w:id="546" w:name="_Toc337558816"/>
      <w:bookmarkStart w:id="547" w:name="_Toc296346615"/>
      <w:bookmarkStart w:id="548" w:name="_Toc296503114"/>
      <w:r>
        <w:rPr>
          <w:rFonts w:hint="eastAsia" w:ascii="宋体" w:hAnsi="宋体" w:eastAsia="宋体" w:cs="宋体"/>
          <w:b w:val="0"/>
          <w:color w:val="auto"/>
          <w:sz w:val="21"/>
          <w:szCs w:val="21"/>
          <w:highlight w:val="none"/>
        </w:rPr>
        <w:t>15.1 工程保修的原则</w:t>
      </w:r>
      <w:bookmarkEnd w:id="545"/>
    </w:p>
    <w:bookmarkEnd w:id="546"/>
    <w:p w14:paraId="2F0FCC41">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在工程移交发包人后，因承包人原因产生的质量缺陷，承包人应承担质量缺陷责任和保修义务。缺陷责任期届满，承包人仍应按合同约定的工程各部位保修年限承担保修义务。</w:t>
      </w:r>
    </w:p>
    <w:p w14:paraId="2B0D2DAC">
      <w:pPr>
        <w:pStyle w:val="8"/>
        <w:pageBreakBefore w:val="0"/>
        <w:kinsoku/>
        <w:wordWrap/>
        <w:overflowPunct/>
        <w:topLinePunct w:val="0"/>
        <w:bidi w:val="0"/>
        <w:snapToGrid/>
        <w:spacing w:before="0" w:after="0" w:line="390" w:lineRule="exact"/>
        <w:ind w:left="0" w:firstLine="420" w:firstLineChars="200"/>
        <w:textAlignment w:val="auto"/>
        <w:rPr>
          <w:rFonts w:hint="eastAsia" w:ascii="宋体" w:hAnsi="宋体" w:eastAsia="宋体" w:cs="宋体"/>
          <w:b w:val="0"/>
          <w:color w:val="auto"/>
          <w:sz w:val="21"/>
          <w:szCs w:val="21"/>
          <w:highlight w:val="none"/>
        </w:rPr>
      </w:pPr>
      <w:bookmarkStart w:id="549" w:name="_Toc351203600"/>
      <w:bookmarkStart w:id="550" w:name="_Toc337558817"/>
      <w:r>
        <w:rPr>
          <w:rFonts w:hint="eastAsia" w:ascii="宋体" w:hAnsi="宋体" w:eastAsia="宋体" w:cs="宋体"/>
          <w:b w:val="0"/>
          <w:color w:val="auto"/>
          <w:sz w:val="21"/>
          <w:szCs w:val="21"/>
          <w:highlight w:val="none"/>
        </w:rPr>
        <w:t>15.2 缺陷责任期</w:t>
      </w:r>
      <w:bookmarkEnd w:id="547"/>
      <w:bookmarkEnd w:id="548"/>
      <w:bookmarkEnd w:id="549"/>
    </w:p>
    <w:bookmarkEnd w:id="550"/>
    <w:p w14:paraId="251A8559">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15.2.1 缺陷责任期从工程通过竣工验收之日起计算，合同当事人应在专用合同条款约定缺陷责任期的具体期限，但该期限最长不超过24个月。</w:t>
      </w:r>
    </w:p>
    <w:p w14:paraId="7CC949A2">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单位工程先于全部工程进行验收，经验收合格并交付使用的，该单位工程缺陷责任期自单位工程验收合格之日起算。因承包人原因导致工程无法按合同约定期限进行竣工验收的，缺陷责任期从实际通过竣工验收之日起计算。因发包人原因导致工程无法按合同约定期限进行竣工验收的，在承包人提交竣工验收报告90天后，工程自动进入缺陷责任期；发包人未经竣工验收擅自使用工程的，缺陷责任期自工程转移占有之日起开始计算。</w:t>
      </w:r>
    </w:p>
    <w:p w14:paraId="69C09E37">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15.2.2缺陷责任期内，由承包人原因造成的缺陷，承包人应负责维修，并承担鉴定及维修费用。如承包人不维修也不承担费用，发包人可按合同约定从保证金或银行保函中扣除，费用超出保证金额的，发包人可按合同约定向承包人进行索赔。承包人维修并承担相应费用后，不免除对工程的损失赔偿责任。发包人有权要求承</w:t>
      </w:r>
      <w:r>
        <w:rPr>
          <w:rFonts w:hint="eastAsia" w:ascii="宋体" w:hAnsi="宋体" w:eastAsia="宋体" w:cs="宋体"/>
          <w:bCs/>
          <w:color w:val="auto"/>
          <w:sz w:val="21"/>
          <w:szCs w:val="21"/>
          <w:highlight w:val="none"/>
        </w:rPr>
        <w:t>包人延长缺陷责任期，</w:t>
      </w:r>
      <w:r>
        <w:rPr>
          <w:rFonts w:hint="eastAsia" w:ascii="宋体" w:hAnsi="宋体" w:eastAsia="宋体" w:cs="宋体"/>
          <w:color w:val="auto"/>
          <w:kern w:val="0"/>
          <w:sz w:val="21"/>
          <w:szCs w:val="21"/>
          <w:highlight w:val="none"/>
        </w:rPr>
        <w:t>并应在原缺陷责任期届满前发出延长通知。</w:t>
      </w:r>
      <w:r>
        <w:rPr>
          <w:rFonts w:hint="eastAsia" w:ascii="宋体" w:hAnsi="宋体" w:eastAsia="宋体" w:cs="宋体"/>
          <w:bCs/>
          <w:color w:val="auto"/>
          <w:sz w:val="21"/>
          <w:szCs w:val="21"/>
          <w:highlight w:val="none"/>
        </w:rPr>
        <w:t>但缺陷责任期（含延长部分）最长</w:t>
      </w:r>
      <w:r>
        <w:rPr>
          <w:rFonts w:hint="eastAsia" w:ascii="宋体" w:hAnsi="宋体" w:eastAsia="宋体" w:cs="宋体"/>
          <w:color w:val="auto"/>
          <w:kern w:val="0"/>
          <w:sz w:val="21"/>
          <w:szCs w:val="21"/>
          <w:highlight w:val="none"/>
        </w:rPr>
        <w:t>不能超过24个月。</w:t>
      </w:r>
    </w:p>
    <w:p w14:paraId="25BDC9A3">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由他人原因造成的缺陷，发包人负责组织维修，承包人不承担费用，且发包人不得从保证金中扣除费用。</w:t>
      </w:r>
    </w:p>
    <w:p w14:paraId="4AEA73E9">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15.2.3 任何一项缺陷或损坏修复后，经检查证明其影响了工程或工程设备的使用性能，承包人应重新进行合同约定的试验和试运行，试验和试运行的全部费用应由责任方承担。</w:t>
      </w:r>
    </w:p>
    <w:p w14:paraId="26D9D4F9">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15.2.4 除专用合同条款另有约定外，承包人应于缺陷责任期届满后7天内向发包人发出缺陷责任期届满通知，发包人应在收到缺陷责任期满通知后14天内核实承包人是否履行缺陷修复义务，承包人未能履行缺陷修复义务的，发包人有权扣除相应金额的维修费用。发包人应在收到缺陷责任期届满通知后14天内，向承包人颁发缺陷责任期终止证书。</w:t>
      </w:r>
    </w:p>
    <w:p w14:paraId="7652107F">
      <w:pPr>
        <w:pStyle w:val="8"/>
        <w:pageBreakBefore w:val="0"/>
        <w:kinsoku/>
        <w:wordWrap/>
        <w:overflowPunct/>
        <w:topLinePunct w:val="0"/>
        <w:bidi w:val="0"/>
        <w:snapToGrid/>
        <w:spacing w:before="0" w:after="0" w:line="390" w:lineRule="exact"/>
        <w:ind w:left="0" w:firstLine="420" w:firstLineChars="200"/>
        <w:textAlignment w:val="auto"/>
        <w:rPr>
          <w:rFonts w:hint="eastAsia" w:ascii="宋体" w:hAnsi="宋体" w:eastAsia="宋体" w:cs="宋体"/>
          <w:b w:val="0"/>
          <w:color w:val="auto"/>
          <w:sz w:val="21"/>
          <w:szCs w:val="21"/>
          <w:highlight w:val="none"/>
        </w:rPr>
      </w:pPr>
      <w:bookmarkStart w:id="551" w:name="_Toc351203601"/>
      <w:bookmarkStart w:id="552" w:name="_Toc337558818"/>
      <w:bookmarkStart w:id="553" w:name="_Toc296346616"/>
      <w:bookmarkStart w:id="554" w:name="_Toc296503115"/>
      <w:r>
        <w:rPr>
          <w:rFonts w:hint="eastAsia" w:ascii="宋体" w:hAnsi="宋体" w:eastAsia="宋体" w:cs="宋体"/>
          <w:b w:val="0"/>
          <w:color w:val="auto"/>
          <w:sz w:val="21"/>
          <w:szCs w:val="21"/>
          <w:highlight w:val="none"/>
        </w:rPr>
        <w:t>15.3 质量保证金</w:t>
      </w:r>
      <w:bookmarkEnd w:id="551"/>
    </w:p>
    <w:bookmarkEnd w:id="552"/>
    <w:p w14:paraId="7F02C7A8">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经合同当事人协商一致扣留质量保证金的，应在专用合同条款中予以明确。</w:t>
      </w:r>
    </w:p>
    <w:p w14:paraId="2E6F289A">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在工程项目竣工前，承包人已经提供履约担保的，发包人不得同时预留工程质量保证金。</w:t>
      </w:r>
    </w:p>
    <w:p w14:paraId="76A5F537">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p>
    <w:p w14:paraId="161709DE">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15.3.1 承包人提供质量保证金的方式</w:t>
      </w:r>
    </w:p>
    <w:p w14:paraId="1C9989EE">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承包人提供质量保证金有以下三种方式：</w:t>
      </w:r>
    </w:p>
    <w:p w14:paraId="53CCA0FA">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（1）质量保证金保函； </w:t>
      </w:r>
    </w:p>
    <w:p w14:paraId="596ACBC1">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（2）相应比例的工程款；</w:t>
      </w:r>
    </w:p>
    <w:p w14:paraId="5C8FA22E">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（3）双方约定的其他方式。</w:t>
      </w:r>
    </w:p>
    <w:p w14:paraId="4114CB77">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除专用合同条款另有约定外，质量保证金原则上采用上述第（1）种方式。</w:t>
      </w:r>
    </w:p>
    <w:p w14:paraId="686F7709">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15.3.2 质量保证金的扣留</w:t>
      </w:r>
    </w:p>
    <w:p w14:paraId="3CF7DA13">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质量保证金的扣留有以下三种方式：</w:t>
      </w:r>
    </w:p>
    <w:p w14:paraId="48436F72">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（1）在支付工程进度款时逐次扣留，在此情形下，质量保证金的计算基数不包括预付款的支付、扣回以及价格调整的金额；</w:t>
      </w:r>
    </w:p>
    <w:p w14:paraId="18CEA20B">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（2）工</w:t>
      </w:r>
      <w:bookmarkStart w:id="555" w:name="#go6"/>
      <w:bookmarkEnd w:id="555"/>
      <w:r>
        <w:rPr>
          <w:rFonts w:hint="eastAsia" w:ascii="宋体" w:hAnsi="宋体" w:eastAsia="宋体" w:cs="宋体"/>
          <w:color w:val="auto"/>
          <w:kern w:val="0"/>
          <w:sz w:val="21"/>
          <w:szCs w:val="21"/>
          <w:highlight w:val="none"/>
        </w:rPr>
        <w:t>程竣工结算时一次性扣留质量保证金；</w:t>
      </w:r>
    </w:p>
    <w:p w14:paraId="6F06F550">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（3）双方约定的其他扣留方式。</w:t>
      </w:r>
    </w:p>
    <w:p w14:paraId="66B8C39D">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除专用合同条款另有约定外，质量保证金的扣留原则上采用上述第（1）种方式。</w:t>
      </w:r>
    </w:p>
    <w:p w14:paraId="0DD58E94">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w:t>
      </w:r>
      <w:bookmarkStart w:id="556" w:name="#go4"/>
      <w:bookmarkEnd w:id="556"/>
      <w:r>
        <w:rPr>
          <w:rFonts w:hint="eastAsia" w:ascii="宋体" w:hAnsi="宋体" w:eastAsia="宋体" w:cs="宋体"/>
          <w:color w:val="auto"/>
          <w:kern w:val="0"/>
          <w:sz w:val="21"/>
          <w:szCs w:val="21"/>
          <w:highlight w:val="none"/>
        </w:rPr>
        <w:t>包人累计扣留的质量保证金不得超过工程价款结算总额的3%。如承包人在发包人签发竣工付款证书后28天内提交质量保证金保函，发包人应同时退还扣留的作为质量保证金的工程价款；保函金额不得超过工程价款结算总额的3%。</w:t>
      </w:r>
    </w:p>
    <w:p w14:paraId="2BBEE337">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发包人在退还质量保证金的同时按照中国人民银行发布的同期同类贷款基准利率支付利息。</w:t>
      </w:r>
    </w:p>
    <w:p w14:paraId="40AB16E0">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15.3.3 </w:t>
      </w:r>
      <w:r>
        <w:rPr>
          <w:rFonts w:hint="eastAsia" w:ascii="宋体" w:hAnsi="宋体" w:eastAsia="宋体" w:cs="宋体"/>
          <w:color w:val="auto"/>
          <w:sz w:val="21"/>
          <w:szCs w:val="21"/>
          <w:highlight w:val="none"/>
        </w:rPr>
        <w:t>质量保证金</w:t>
      </w:r>
      <w:r>
        <w:rPr>
          <w:rFonts w:hint="eastAsia" w:ascii="宋体" w:hAnsi="宋体" w:eastAsia="宋体" w:cs="宋体"/>
          <w:color w:val="auto"/>
          <w:kern w:val="0"/>
          <w:sz w:val="21"/>
          <w:szCs w:val="21"/>
          <w:highlight w:val="none"/>
        </w:rPr>
        <w:t>的退还</w:t>
      </w:r>
    </w:p>
    <w:p w14:paraId="125F96F2">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缺陷责任期内，承包人认真履行合同约定的责任，到期后，承包人可向发包人申请返还保证金。</w:t>
      </w:r>
    </w:p>
    <w:p w14:paraId="3EA99F40">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在接到承包人返还保证金申请后，应于14天内会同承包人按照合同约定的内容进行核实。如无异议，发包人应当按照约定将保证金返还给承包人。对返还期限没有约定或者约定不明确的，发包人应当在核实后14天内将保证金返还承包人，逾期未返还的，依法承担违约责任。发包人在接到承包人返还保证金申请后14天内不予答复，经催告后14天内仍不予答复，视同认可承包人的返还保证金申请。</w:t>
      </w:r>
    </w:p>
    <w:p w14:paraId="28E2F43F">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发包人和承包人对保证金预留、返还以及工程维修质量、费用有争议的，按本合同第20条约定的争议和纠纷解决程序处理。</w:t>
      </w:r>
    </w:p>
    <w:p w14:paraId="6AE94862">
      <w:pPr>
        <w:pStyle w:val="8"/>
        <w:pageBreakBefore w:val="0"/>
        <w:kinsoku/>
        <w:wordWrap/>
        <w:overflowPunct/>
        <w:topLinePunct w:val="0"/>
        <w:bidi w:val="0"/>
        <w:snapToGrid/>
        <w:spacing w:before="0" w:after="0" w:line="390" w:lineRule="exact"/>
        <w:ind w:left="0" w:firstLine="420" w:firstLineChars="200"/>
        <w:textAlignment w:val="auto"/>
        <w:rPr>
          <w:rFonts w:hint="eastAsia" w:ascii="宋体" w:hAnsi="宋体" w:eastAsia="宋体" w:cs="宋体"/>
          <w:b w:val="0"/>
          <w:color w:val="auto"/>
          <w:sz w:val="21"/>
          <w:szCs w:val="21"/>
          <w:highlight w:val="none"/>
        </w:rPr>
      </w:pPr>
      <w:bookmarkStart w:id="557" w:name="_Toc351203602"/>
      <w:bookmarkStart w:id="558" w:name="_Toc337558819"/>
      <w:r>
        <w:rPr>
          <w:rFonts w:hint="eastAsia" w:ascii="宋体" w:hAnsi="宋体" w:eastAsia="宋体" w:cs="宋体"/>
          <w:b w:val="0"/>
          <w:color w:val="auto"/>
          <w:sz w:val="21"/>
          <w:szCs w:val="21"/>
          <w:highlight w:val="none"/>
        </w:rPr>
        <w:t>15.4 保修</w:t>
      </w:r>
      <w:bookmarkEnd w:id="557"/>
    </w:p>
    <w:bookmarkEnd w:id="553"/>
    <w:bookmarkEnd w:id="554"/>
    <w:bookmarkEnd w:id="558"/>
    <w:p w14:paraId="1437C766">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15.4.1保修责任</w:t>
      </w:r>
    </w:p>
    <w:p w14:paraId="202B99EF">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14:paraId="41537A5F">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发包人未经竣工验收擅自使用工程的，保修期自</w:t>
      </w:r>
      <w:r>
        <w:rPr>
          <w:rFonts w:hint="eastAsia" w:ascii="宋体" w:hAnsi="宋体" w:eastAsia="宋体" w:cs="宋体"/>
          <w:color w:val="auto"/>
          <w:kern w:val="0"/>
          <w:sz w:val="21"/>
          <w:szCs w:val="21"/>
          <w:highlight w:val="none"/>
        </w:rPr>
        <w:t>转移占有之日起算</w:t>
      </w:r>
      <w:r>
        <w:rPr>
          <w:rFonts w:hint="eastAsia" w:ascii="宋体" w:hAnsi="宋体" w:eastAsia="宋体" w:cs="宋体"/>
          <w:color w:val="auto"/>
          <w:sz w:val="21"/>
          <w:szCs w:val="21"/>
          <w:highlight w:val="none"/>
        </w:rPr>
        <w:t>。</w:t>
      </w:r>
    </w:p>
    <w:p w14:paraId="7B65D4F3">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15.4.2 修复费用</w:t>
      </w:r>
    </w:p>
    <w:p w14:paraId="2471E4ED">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保修期内，修复的费用按照以下约定处理：</w:t>
      </w:r>
    </w:p>
    <w:p w14:paraId="427B0B87">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（1）保修期内，因承包人原因造成工程的缺陷、损坏，承包人应负责修复，并承担修复的费用以及因工程的缺陷、损坏造成的人身伤害和财产损失；</w:t>
      </w:r>
    </w:p>
    <w:p w14:paraId="40FBC420">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（2）保修期内，因发包人使用不当造成工程的缺陷、损坏，可以委托承包人修复，但发包人应承担修复的费用，并支付承包人合理利润；</w:t>
      </w:r>
    </w:p>
    <w:p w14:paraId="0EF77343">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（3）因其他原因造成工程的缺陷、损坏，可以委托承包人修复，发包人应承担修复的费用，并支付承包人合理的利润，因工程的缺陷、损坏造成的人身伤害和财产损失由责任方承担。</w:t>
      </w:r>
    </w:p>
    <w:p w14:paraId="690816A6">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15.4.3 修复通知</w:t>
      </w:r>
    </w:p>
    <w:p w14:paraId="54765EA1">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在保修期内，发包人在使用过程中，发现已接收的工程存在缺陷或损坏的，应书面通知承包人予以修复，但情况紧急必须立即修复缺陷或损坏的，发包人可以口头通知承包人并在口头通知后48小时内书面确认，承包人应在专用合同条款约定的合理期限内到达工程现场并修复缺陷或损坏。</w:t>
      </w:r>
    </w:p>
    <w:p w14:paraId="0808971F">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15.4.4 未能修复</w:t>
      </w:r>
    </w:p>
    <w:p w14:paraId="7F078986">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因承包人原因造成工程的缺陷或损坏，承包人拒绝维修或未能在合理期限内修复缺陷或损坏，且经发包人书面催告后仍未修复的，发包人有权自行修复或委托第三方修复，所需费用由承包人承担。但修复范围超出缺陷或损坏范围的，超出范围部分的修复费用由发包人承担。</w:t>
      </w:r>
    </w:p>
    <w:p w14:paraId="03D69380">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15.4.5 承包人出入权</w:t>
      </w:r>
    </w:p>
    <w:p w14:paraId="37DD98F5">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在保修期内，为了修复缺陷或损坏，承包人有权出入工程现场，除情况紧急必须立即修复缺陷或损坏外，承包人应提前24小时通知发包人进场修复的时间。承包人进入工程现场前应获得发包人同意，且不应影响发包人正常的生产经营，并应遵守发包人有关保安和保密等规定。</w:t>
      </w:r>
    </w:p>
    <w:p w14:paraId="4E0BA74E">
      <w:pPr>
        <w:pStyle w:val="7"/>
        <w:pageBreakBefore w:val="0"/>
        <w:kinsoku/>
        <w:wordWrap/>
        <w:overflowPunct/>
        <w:topLinePunct w:val="0"/>
        <w:bidi w:val="0"/>
        <w:snapToGrid/>
        <w:spacing w:before="0" w:line="390" w:lineRule="exact"/>
        <w:ind w:left="0"/>
        <w:textAlignment w:val="auto"/>
        <w:rPr>
          <w:rFonts w:hint="eastAsia" w:ascii="宋体" w:hAnsi="宋体" w:eastAsia="宋体" w:cs="宋体"/>
          <w:b w:val="0"/>
          <w:color w:val="auto"/>
          <w:sz w:val="21"/>
          <w:szCs w:val="21"/>
          <w:highlight w:val="none"/>
        </w:rPr>
      </w:pPr>
      <w:bookmarkStart w:id="559" w:name="_Toc351203603"/>
      <w:bookmarkStart w:id="560" w:name="_Toc337558820"/>
      <w:r>
        <w:rPr>
          <w:rFonts w:hint="eastAsia" w:ascii="宋体" w:hAnsi="宋体" w:eastAsia="宋体" w:cs="宋体"/>
          <w:b w:val="0"/>
          <w:color w:val="auto"/>
          <w:sz w:val="21"/>
          <w:szCs w:val="21"/>
          <w:highlight w:val="none"/>
        </w:rPr>
        <w:t>16. 违约</w:t>
      </w:r>
      <w:bookmarkEnd w:id="559"/>
    </w:p>
    <w:bookmarkEnd w:id="560"/>
    <w:p w14:paraId="426E4AF9">
      <w:pPr>
        <w:pStyle w:val="8"/>
        <w:pageBreakBefore w:val="0"/>
        <w:kinsoku/>
        <w:wordWrap/>
        <w:overflowPunct/>
        <w:topLinePunct w:val="0"/>
        <w:bidi w:val="0"/>
        <w:snapToGrid/>
        <w:spacing w:before="0" w:after="0" w:line="390" w:lineRule="exact"/>
        <w:ind w:left="0" w:firstLine="420" w:firstLineChars="200"/>
        <w:textAlignment w:val="auto"/>
        <w:rPr>
          <w:rFonts w:hint="eastAsia" w:ascii="宋体" w:hAnsi="宋体" w:eastAsia="宋体" w:cs="宋体"/>
          <w:b w:val="0"/>
          <w:color w:val="auto"/>
          <w:sz w:val="21"/>
          <w:szCs w:val="21"/>
          <w:highlight w:val="none"/>
        </w:rPr>
      </w:pPr>
      <w:bookmarkStart w:id="561" w:name="_Toc296503129"/>
      <w:bookmarkStart w:id="562" w:name="_Toc296346630"/>
      <w:bookmarkStart w:id="563" w:name="_Toc351203604"/>
      <w:bookmarkStart w:id="564" w:name="_Toc337558821"/>
      <w:r>
        <w:rPr>
          <w:rFonts w:hint="eastAsia" w:ascii="宋体" w:hAnsi="宋体" w:eastAsia="宋体" w:cs="宋体"/>
          <w:b w:val="0"/>
          <w:color w:val="auto"/>
          <w:sz w:val="21"/>
          <w:szCs w:val="21"/>
          <w:highlight w:val="none"/>
        </w:rPr>
        <w:t>16.1 发</w:t>
      </w:r>
      <w:bookmarkEnd w:id="561"/>
      <w:bookmarkEnd w:id="562"/>
      <w:r>
        <w:rPr>
          <w:rFonts w:hint="eastAsia" w:ascii="宋体" w:hAnsi="宋体" w:eastAsia="宋体" w:cs="宋体"/>
          <w:b w:val="0"/>
          <w:color w:val="auto"/>
          <w:sz w:val="21"/>
          <w:szCs w:val="21"/>
          <w:highlight w:val="none"/>
        </w:rPr>
        <w:t>包人违约</w:t>
      </w:r>
      <w:bookmarkEnd w:id="563"/>
    </w:p>
    <w:bookmarkEnd w:id="564"/>
    <w:p w14:paraId="3828917E">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16.1.1 发包人违约的情形</w:t>
      </w:r>
    </w:p>
    <w:p w14:paraId="554EF049">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在合同履行过程中发生的下列情形，属于发包人违约：</w:t>
      </w:r>
    </w:p>
    <w:p w14:paraId="251E1758">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（1）因发包人原因未能在计划开工日期前7天内下达开工通知的；</w:t>
      </w:r>
    </w:p>
    <w:p w14:paraId="0FE5B093">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（2）因发包人原因未能按合同约定支付合同价款的；</w:t>
      </w:r>
    </w:p>
    <w:p w14:paraId="2245F0F8">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（3）发包人违反第10.1款〔变更的范围〕第（2）项约定，自行实施被取消的工作或转由他人实施的；</w:t>
      </w:r>
    </w:p>
    <w:p w14:paraId="33A11244">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（4）发包人提供的材料、工程设备的规格、数量或质量不符合合同约定，或因发包人原因导致交货日期延误或交货地点变更等情况的；</w:t>
      </w:r>
    </w:p>
    <w:p w14:paraId="02AF9AFE">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（5）因发包人违反合同约定造成暂停施工的；</w:t>
      </w:r>
    </w:p>
    <w:p w14:paraId="19734830">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（6）发包人无正当理由没有在约定期限内发出复工指示，导致承包人无法复工的；</w:t>
      </w:r>
    </w:p>
    <w:p w14:paraId="31259A91">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（7）发包人明确表示或者以其行为表明不履行合同主要义务的；</w:t>
      </w:r>
    </w:p>
    <w:p w14:paraId="3F0B41E0">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（8）发包人未能按照合同约定履行其他义务的。</w:t>
      </w:r>
    </w:p>
    <w:p w14:paraId="55B9315C">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发生除本项第（7）目以外的违约情况时，承包人可向发包人发出通知，要求发包人采取有效措施纠正违约行为。发包人收到承包人通知后28天内仍不纠正违约行为的，承包人有权暂停相应部位工程施工，并通知监理人。</w:t>
      </w:r>
    </w:p>
    <w:p w14:paraId="628322B8">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16.1.2 发包人违约的责任</w:t>
      </w:r>
    </w:p>
    <w:p w14:paraId="32DBB953">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发包人应承担因其违约给承包人增加的费用和（或）延误的工期，并支付承包人合理的利润。此外，合同当事人可在专用合同条款中另行约定发包人违约责任的承担方式和计算方法。</w:t>
      </w:r>
    </w:p>
    <w:p w14:paraId="4C98307C">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16.1.3 因发包人违约解除合同</w:t>
      </w:r>
    </w:p>
    <w:p w14:paraId="3D2A6BE5">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除专用合同条款另有约定外，承包人按第16.1.1项〔发包人违约的情形〕约定暂停施工满28天后，发包人仍不纠正其违约行为并致使合同目的不能实现的，或出现第16.1.1项〔发包人违约的情形〕第（7）目约定的违约情况，承包人有权解除合同，发包人应承担由此增加的费用，并支付承包人合理的利润。</w:t>
      </w:r>
    </w:p>
    <w:p w14:paraId="2FF9E23A">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16.1.4 因发包人违约解除合同后的付款</w:t>
      </w:r>
    </w:p>
    <w:p w14:paraId="163CDD91">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承包人按照本款约定解除合同的，发包人应在解除合同后28天内支付下列款项，并解除履约担保：</w:t>
      </w:r>
    </w:p>
    <w:p w14:paraId="653B2508">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（1）合同解除前所完成工作的价款；</w:t>
      </w:r>
    </w:p>
    <w:p w14:paraId="351AD6A7">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（2）承包人为工程施工订购并已付款的材料、工程设备和其他物品的价款；</w:t>
      </w:r>
    </w:p>
    <w:p w14:paraId="0B3903EC">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（3）承包人撤离施工现场以及遣散承包人人员的款项；</w:t>
      </w:r>
    </w:p>
    <w:p w14:paraId="3D55708F">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（4）按照合同约定在合同解除前应支付的违约金；</w:t>
      </w:r>
    </w:p>
    <w:p w14:paraId="62C2CAEE">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（5）按照合同约定应当支付给承包人的其他款项；</w:t>
      </w:r>
    </w:p>
    <w:p w14:paraId="2E18E6AD">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（6）按照合同约定应退还的质量保证金；</w:t>
      </w:r>
    </w:p>
    <w:p w14:paraId="0C59DC81">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（7）因解除合同给承包人造成的损失。</w:t>
      </w:r>
    </w:p>
    <w:p w14:paraId="23601B05">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合同当事人未能就解除合同后的结清达成一致的，按照第20条〔争议解决〕的约定处理。</w:t>
      </w:r>
    </w:p>
    <w:p w14:paraId="1C951BFA">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承包人应妥善做好已完工程和与工程有关的已购材料、工程设备的保护和移交工作，并将施工设备和人员撤出施工现场，发包人应为承包人撤出提供必要条件。</w:t>
      </w:r>
    </w:p>
    <w:p w14:paraId="2D3E6E98">
      <w:pPr>
        <w:pStyle w:val="8"/>
        <w:pageBreakBefore w:val="0"/>
        <w:kinsoku/>
        <w:wordWrap/>
        <w:overflowPunct/>
        <w:topLinePunct w:val="0"/>
        <w:bidi w:val="0"/>
        <w:snapToGrid/>
        <w:spacing w:before="0" w:after="0" w:line="390" w:lineRule="exact"/>
        <w:ind w:left="0" w:firstLine="420" w:firstLineChars="200"/>
        <w:textAlignment w:val="auto"/>
        <w:rPr>
          <w:rFonts w:hint="eastAsia" w:ascii="宋体" w:hAnsi="宋体" w:eastAsia="宋体" w:cs="宋体"/>
          <w:b w:val="0"/>
          <w:color w:val="auto"/>
          <w:sz w:val="21"/>
          <w:szCs w:val="21"/>
          <w:highlight w:val="none"/>
        </w:rPr>
      </w:pPr>
      <w:bookmarkStart w:id="565" w:name="_Toc351203605"/>
      <w:bookmarkStart w:id="566" w:name="_Toc337558822"/>
      <w:bookmarkStart w:id="567" w:name="_Toc296503131"/>
      <w:bookmarkStart w:id="568" w:name="_Toc296346632"/>
      <w:r>
        <w:rPr>
          <w:rFonts w:hint="eastAsia" w:ascii="宋体" w:hAnsi="宋体" w:eastAsia="宋体" w:cs="宋体"/>
          <w:b w:val="0"/>
          <w:color w:val="auto"/>
          <w:sz w:val="21"/>
          <w:szCs w:val="21"/>
          <w:highlight w:val="none"/>
        </w:rPr>
        <w:t>16.2 承包人违约</w:t>
      </w:r>
      <w:bookmarkEnd w:id="565"/>
    </w:p>
    <w:bookmarkEnd w:id="566"/>
    <w:bookmarkEnd w:id="567"/>
    <w:bookmarkEnd w:id="568"/>
    <w:p w14:paraId="38C6AC1D">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16.2.1 承包人违约的情形</w:t>
      </w:r>
    </w:p>
    <w:p w14:paraId="136101A4">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在合同履行过程中发生的下列情形，属于承包人违约：</w:t>
      </w:r>
    </w:p>
    <w:p w14:paraId="12797B44">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（1）承包人违反合同约定进行转包或违法分包的；</w:t>
      </w:r>
    </w:p>
    <w:p w14:paraId="1996DFCB">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（2）承包人违反合同约定采购和使用不合格的材料和工程设备的；</w:t>
      </w:r>
    </w:p>
    <w:p w14:paraId="1D271DA0">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（3）因承包人原因导致工程质量不符合合同要求的； </w:t>
      </w:r>
    </w:p>
    <w:p w14:paraId="663F384B">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（4）承包人违反第8.9款〔材料与设备专用要求〕的约定，未经批准，私自将已按照合同约定进入施工现场的材料或设备撤离施工现场的；</w:t>
      </w:r>
    </w:p>
    <w:p w14:paraId="5C278B90">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（5）承包人未能按施工进度计划及时完成合同约定的工作，造成工期延误的；</w:t>
      </w:r>
    </w:p>
    <w:p w14:paraId="0E5D4009">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（6）承包人在缺陷责任期及保修期内，未能在合理期限对工程缺陷进行修复，或拒绝按发包人要求进行修复的；</w:t>
      </w:r>
    </w:p>
    <w:p w14:paraId="48E071D5">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（7）承包人明确表示或者以其行为表明不履行合同主要义务的；</w:t>
      </w:r>
    </w:p>
    <w:p w14:paraId="67AFD771">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（8）承包人未能按照合同约定履行其他义务的。</w:t>
      </w:r>
    </w:p>
    <w:p w14:paraId="0D401A9F">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承包人发生除本项第（7）目约定以外的其他违约情况时，监理人可向承包人发出整改通知，要求其在指定的期限内改正。</w:t>
      </w:r>
    </w:p>
    <w:p w14:paraId="644176E8">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16.2.2 承包人违约的责任</w:t>
      </w:r>
    </w:p>
    <w:p w14:paraId="0B33DE06">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承包人应承担因其违约行为而增加的费用和（或）延误的工期。此外，合同当事人可在专用合同条款中另行约定承包人违约责任的承担方式和计算方法。</w:t>
      </w:r>
    </w:p>
    <w:p w14:paraId="68E6A0B0">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16.2.3 因承包人违约解除合同</w:t>
      </w:r>
    </w:p>
    <w:p w14:paraId="0F3039FE">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除专用合同条款另有约定外，出现第16.2.1项〔承包人违约的情形〕第（7）目约定的违约情况时，或监理人发出整改通知后，承包人在指定的合理期限内仍不纠正违约行为并致使合同目的不能实现的，发包人有权解除合同。合同解除后，因继续完成工程的需要，发包人有权使用承包人在施工现场的材料、设备、临时工程、承包人文件和由承包人或以其名义编制的其他文件，合同当事人应在专用合同条款约定相应费用的承担方式。发包人继续使用的行为不免除或减轻承包人应承担的违约责任。</w:t>
      </w:r>
    </w:p>
    <w:p w14:paraId="0BE4E2E4">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16.2.4因承包人违约解除合同后的处理</w:t>
      </w:r>
    </w:p>
    <w:p w14:paraId="5CE2C2CA">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因承包人原因导致合同解除的，则合同当事人应在合同解除后28天内完成估价、付款和清算，并按以下约定执行：</w:t>
      </w:r>
    </w:p>
    <w:p w14:paraId="1D62F47F">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（1）合同解除后，按第4.4款〔商定或确定〕商定或确定承包人实际完成工作对应的合同价款，以及承包人已提供的材料、工程设备、施工设备和临时工程等的价值；</w:t>
      </w:r>
    </w:p>
    <w:p w14:paraId="526866A6">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（2）合同解除后，承包人应支付的违约金；</w:t>
      </w:r>
    </w:p>
    <w:p w14:paraId="292EF297">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（3）合同解除后，因解除合同给发包人造成的损失；</w:t>
      </w:r>
    </w:p>
    <w:p w14:paraId="3EAC85DC">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（4）合同解除后，承包人应按照发包人要求和监理人的指示完成现场的清理和撤离；</w:t>
      </w:r>
    </w:p>
    <w:p w14:paraId="6E34A209">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（5）发包人和承包人应在合同解除后进行清算，出具最终结清付款证书，结清全部款项。</w:t>
      </w:r>
    </w:p>
    <w:p w14:paraId="3D381685">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因承包人违约解除合同的，发包人有权暂停对承包人的付款，查清各项付款和已扣款项。发包人和承包人未能就合同解除后的清算和款项支付达成一致的，按照第20条〔争议解决〕的约定处理。</w:t>
      </w:r>
    </w:p>
    <w:p w14:paraId="1934812A">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16.2.5采购合同权益转让</w:t>
      </w:r>
    </w:p>
    <w:p w14:paraId="0AD3CFB2">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因承包人违约解除合同的，发包人有权要求承包人将其为实施合同而签订的材料和设备的采购合同的权益转让给发包人，承包人应在收到解除合同通知后14天内，协助发包人与采购合同的供应商达成相关的转让协议。</w:t>
      </w:r>
    </w:p>
    <w:p w14:paraId="2048BB74">
      <w:pPr>
        <w:pStyle w:val="8"/>
        <w:pageBreakBefore w:val="0"/>
        <w:kinsoku/>
        <w:wordWrap/>
        <w:overflowPunct/>
        <w:topLinePunct w:val="0"/>
        <w:bidi w:val="0"/>
        <w:snapToGrid/>
        <w:spacing w:before="0" w:after="0" w:line="390" w:lineRule="exact"/>
        <w:ind w:left="0" w:firstLine="420" w:firstLineChars="200"/>
        <w:textAlignment w:val="auto"/>
        <w:rPr>
          <w:rFonts w:hint="eastAsia" w:ascii="宋体" w:hAnsi="宋体" w:eastAsia="宋体" w:cs="宋体"/>
          <w:b w:val="0"/>
          <w:color w:val="auto"/>
          <w:sz w:val="21"/>
          <w:szCs w:val="21"/>
          <w:highlight w:val="none"/>
        </w:rPr>
      </w:pPr>
      <w:bookmarkStart w:id="569" w:name="_Toc351203606"/>
      <w:r>
        <w:rPr>
          <w:rFonts w:hint="eastAsia" w:ascii="宋体" w:hAnsi="宋体" w:eastAsia="宋体" w:cs="宋体"/>
          <w:b w:val="0"/>
          <w:color w:val="auto"/>
          <w:sz w:val="21"/>
          <w:szCs w:val="21"/>
          <w:highlight w:val="none"/>
        </w:rPr>
        <w:t>16.3 第三人造成的违约</w:t>
      </w:r>
      <w:bookmarkEnd w:id="569"/>
    </w:p>
    <w:p w14:paraId="4A480FED">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在履行合同过程中，一方当事人因第三人的原因造成违约的，应当向对方当事人承担违约责任。一方当事人和第三人之间的纠纷，依照法律规定或者按照约定解决。</w:t>
      </w:r>
    </w:p>
    <w:p w14:paraId="17CC0128">
      <w:pPr>
        <w:pStyle w:val="7"/>
        <w:pageBreakBefore w:val="0"/>
        <w:kinsoku/>
        <w:wordWrap/>
        <w:overflowPunct/>
        <w:topLinePunct w:val="0"/>
        <w:bidi w:val="0"/>
        <w:snapToGrid/>
        <w:spacing w:before="0" w:line="390" w:lineRule="exact"/>
        <w:ind w:left="0"/>
        <w:textAlignment w:val="auto"/>
        <w:rPr>
          <w:rFonts w:hint="eastAsia" w:ascii="宋体" w:hAnsi="宋体" w:eastAsia="宋体" w:cs="宋体"/>
          <w:b w:val="0"/>
          <w:color w:val="auto"/>
          <w:sz w:val="21"/>
          <w:szCs w:val="21"/>
          <w:highlight w:val="none"/>
        </w:rPr>
      </w:pPr>
      <w:bookmarkStart w:id="570" w:name="_Toc351203607"/>
      <w:bookmarkStart w:id="571" w:name="_Toc296503116"/>
      <w:bookmarkStart w:id="572" w:name="_Toc337558823"/>
      <w:bookmarkStart w:id="573" w:name="_Toc296346617"/>
      <w:r>
        <w:rPr>
          <w:rFonts w:hint="eastAsia" w:ascii="宋体" w:hAnsi="宋体" w:eastAsia="宋体" w:cs="宋体"/>
          <w:b w:val="0"/>
          <w:color w:val="auto"/>
          <w:sz w:val="21"/>
          <w:szCs w:val="21"/>
          <w:highlight w:val="none"/>
        </w:rPr>
        <w:t>17. 不可抗力</w:t>
      </w:r>
      <w:bookmarkEnd w:id="570"/>
      <w:r>
        <w:rPr>
          <w:rFonts w:hint="eastAsia" w:ascii="宋体" w:hAnsi="宋体" w:eastAsia="宋体" w:cs="宋体"/>
          <w:b w:val="0"/>
          <w:color w:val="auto"/>
          <w:sz w:val="21"/>
          <w:szCs w:val="21"/>
          <w:highlight w:val="none"/>
        </w:rPr>
        <w:t xml:space="preserve"> </w:t>
      </w:r>
      <w:bookmarkEnd w:id="571"/>
      <w:bookmarkEnd w:id="572"/>
      <w:bookmarkEnd w:id="573"/>
    </w:p>
    <w:p w14:paraId="4334A9D5">
      <w:pPr>
        <w:pStyle w:val="8"/>
        <w:pageBreakBefore w:val="0"/>
        <w:kinsoku/>
        <w:wordWrap/>
        <w:overflowPunct/>
        <w:topLinePunct w:val="0"/>
        <w:bidi w:val="0"/>
        <w:snapToGrid/>
        <w:spacing w:before="0" w:after="0" w:line="390" w:lineRule="exact"/>
        <w:ind w:left="0" w:firstLine="420" w:firstLineChars="200"/>
        <w:textAlignment w:val="auto"/>
        <w:rPr>
          <w:rFonts w:hint="eastAsia" w:ascii="宋体" w:hAnsi="宋体" w:eastAsia="宋体" w:cs="宋体"/>
          <w:b w:val="0"/>
          <w:color w:val="auto"/>
          <w:sz w:val="21"/>
          <w:szCs w:val="21"/>
          <w:highlight w:val="none"/>
        </w:rPr>
      </w:pPr>
      <w:bookmarkStart w:id="574" w:name="_Toc351203608"/>
      <w:bookmarkStart w:id="575" w:name="_Toc296346618"/>
      <w:bookmarkStart w:id="576" w:name="_Toc337558824"/>
      <w:bookmarkStart w:id="577" w:name="_Toc296503117"/>
      <w:r>
        <w:rPr>
          <w:rFonts w:hint="eastAsia" w:ascii="宋体" w:hAnsi="宋体" w:eastAsia="宋体" w:cs="宋体"/>
          <w:b w:val="0"/>
          <w:color w:val="auto"/>
          <w:sz w:val="21"/>
          <w:szCs w:val="21"/>
          <w:highlight w:val="none"/>
        </w:rPr>
        <w:t>17.1 不可抗力的确认</w:t>
      </w:r>
      <w:bookmarkEnd w:id="574"/>
    </w:p>
    <w:bookmarkEnd w:id="575"/>
    <w:bookmarkEnd w:id="576"/>
    <w:bookmarkEnd w:id="577"/>
    <w:p w14:paraId="2B497910">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不可抗力是指合同当事人在签订合同时不可预见，在合同履行过程中不可避免且不能克服的自然灾害和社会性突发事件，如地震、海啸、瘟疫、骚乱、戒严、暴动、战争和专用合同条款中约定的其他情形。</w:t>
      </w:r>
    </w:p>
    <w:p w14:paraId="56C2DF17">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不可抗力发生后，发包人和承包人应收集证明不可抗力发生及不可抗力造成损失的证据，并及时认真统计所造成的损失。合同当事人对是否属于不可抗力或其损失的意见不一致的，由监理人按第4.4款〔商定或确定〕的约定处理。发生争议时，按第20条〔争议解决〕的约定处理。</w:t>
      </w:r>
    </w:p>
    <w:p w14:paraId="01EBE68C">
      <w:pPr>
        <w:pStyle w:val="8"/>
        <w:pageBreakBefore w:val="0"/>
        <w:kinsoku/>
        <w:wordWrap/>
        <w:overflowPunct/>
        <w:topLinePunct w:val="0"/>
        <w:bidi w:val="0"/>
        <w:snapToGrid/>
        <w:spacing w:before="0" w:after="0" w:line="390" w:lineRule="exact"/>
        <w:ind w:left="0" w:firstLine="420" w:firstLineChars="200"/>
        <w:textAlignment w:val="auto"/>
        <w:rPr>
          <w:rFonts w:hint="eastAsia" w:ascii="宋体" w:hAnsi="宋体" w:eastAsia="宋体" w:cs="宋体"/>
          <w:b w:val="0"/>
          <w:color w:val="auto"/>
          <w:sz w:val="21"/>
          <w:szCs w:val="21"/>
          <w:highlight w:val="none"/>
        </w:rPr>
      </w:pPr>
      <w:bookmarkStart w:id="578" w:name="_Toc351203609"/>
      <w:bookmarkStart w:id="579" w:name="_Toc296503118"/>
      <w:bookmarkStart w:id="580" w:name="_Toc337558825"/>
      <w:bookmarkStart w:id="581" w:name="_Toc296346619"/>
      <w:r>
        <w:rPr>
          <w:rFonts w:hint="eastAsia" w:ascii="宋体" w:hAnsi="宋体" w:eastAsia="宋体" w:cs="宋体"/>
          <w:b w:val="0"/>
          <w:color w:val="auto"/>
          <w:sz w:val="21"/>
          <w:szCs w:val="21"/>
          <w:highlight w:val="none"/>
        </w:rPr>
        <w:t>17.2 不可抗力的通知</w:t>
      </w:r>
      <w:bookmarkEnd w:id="578"/>
    </w:p>
    <w:bookmarkEnd w:id="579"/>
    <w:bookmarkEnd w:id="580"/>
    <w:bookmarkEnd w:id="581"/>
    <w:p w14:paraId="02C43E26">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合同一方当事人遇到不可抗力事件，使其履行合同义务受到阻碍时，应立即通知合同另一方当事人和监理人，书面说明不可抗力和受阻碍的详细情况，并提供必要的证明。</w:t>
      </w:r>
    </w:p>
    <w:p w14:paraId="0877BCBD">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不可抗力持续发生的，合同一方当事人应及时向合同另一方当事人和监理人提交中间报告，说明不可抗力和履行合同受阻的情况，并于不可抗力事件结束后28天内提交最终报告及有关资料。</w:t>
      </w:r>
    </w:p>
    <w:p w14:paraId="23D30BFA">
      <w:pPr>
        <w:pStyle w:val="8"/>
        <w:pageBreakBefore w:val="0"/>
        <w:kinsoku/>
        <w:wordWrap/>
        <w:overflowPunct/>
        <w:topLinePunct w:val="0"/>
        <w:bidi w:val="0"/>
        <w:snapToGrid/>
        <w:spacing w:before="0" w:after="0" w:line="390" w:lineRule="exact"/>
        <w:ind w:left="0" w:firstLine="420" w:firstLineChars="200"/>
        <w:textAlignment w:val="auto"/>
        <w:rPr>
          <w:rFonts w:hint="eastAsia" w:ascii="宋体" w:hAnsi="宋体" w:eastAsia="宋体" w:cs="宋体"/>
          <w:b w:val="0"/>
          <w:color w:val="auto"/>
          <w:sz w:val="21"/>
          <w:szCs w:val="21"/>
          <w:highlight w:val="none"/>
        </w:rPr>
      </w:pPr>
      <w:bookmarkStart w:id="582" w:name="_Toc351203610"/>
      <w:bookmarkStart w:id="583" w:name="_Toc337558826"/>
      <w:bookmarkStart w:id="584" w:name="_Toc296346620"/>
      <w:bookmarkStart w:id="585" w:name="_Toc296503119"/>
      <w:r>
        <w:rPr>
          <w:rFonts w:hint="eastAsia" w:ascii="宋体" w:hAnsi="宋体" w:eastAsia="宋体" w:cs="宋体"/>
          <w:b w:val="0"/>
          <w:color w:val="auto"/>
          <w:sz w:val="21"/>
          <w:szCs w:val="21"/>
          <w:highlight w:val="none"/>
        </w:rPr>
        <w:t>17.3 不可抗力后果的承担</w:t>
      </w:r>
      <w:bookmarkEnd w:id="582"/>
    </w:p>
    <w:bookmarkEnd w:id="583"/>
    <w:bookmarkEnd w:id="584"/>
    <w:bookmarkEnd w:id="585"/>
    <w:p w14:paraId="6B714C27">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17.3.1 不可抗力引起的后果及造成的损失由合同当事人按照法律规定及合同约定各自承担。不可抗力发生前已完成的工程应当按照合同约定进行计量支付。</w:t>
      </w:r>
    </w:p>
    <w:p w14:paraId="31786C23">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17.3.2 不可抗力导致的人员伤亡、财产损失、费用增加和（或）工期延误等后果，由合同当事人按以下原则承担：</w:t>
      </w:r>
    </w:p>
    <w:p w14:paraId="1BF003B0">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（1）永久工程、已运至施工现场的材料和工程设备的损坏，以及因工程损坏造成的第三人人员伤亡和财产损失由发包人承担；</w:t>
      </w:r>
    </w:p>
    <w:p w14:paraId="3D169658">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（2）承包人施工设备的损坏由承包人承担；</w:t>
      </w:r>
    </w:p>
    <w:p w14:paraId="38F079EB">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（3）发包人和承包人承担各自人员伤亡和财产的损失；</w:t>
      </w:r>
    </w:p>
    <w:p w14:paraId="027C8D24">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（4）因不可抗力影响承包人履行合同约定的义务，已经引起或将引起工期延误的，应当顺延工期，由此导致承包人停工的费用损失由发包人和承包人合理分担，停工期间必须支付的工人工资由发包人承担；</w:t>
      </w:r>
    </w:p>
    <w:p w14:paraId="09802BD4">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（5）因不可抗力引起或将引起工期延误，发包人要求赶工的，由此增加的赶工费用由发包人承担；</w:t>
      </w:r>
    </w:p>
    <w:p w14:paraId="1ED0407F">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（6）承包人在停工期间按照发包人要求照管、清理和修复工程的费用由发包人承担。</w:t>
      </w:r>
    </w:p>
    <w:p w14:paraId="54F63A0A">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不可抗力发生后，合同当事人均应采取措施尽量避免和减少损失的扩大，任何一方当事人没有采取有效措施导致损失扩大的，应对扩大的损失承担责任。</w:t>
      </w:r>
    </w:p>
    <w:p w14:paraId="4C2B6476">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因合同一方迟延履行合同义务，在迟延履行期间遭遇不可抗力的，不免除其违约责任。</w:t>
      </w:r>
    </w:p>
    <w:p w14:paraId="5D9B79FA">
      <w:pPr>
        <w:pStyle w:val="8"/>
        <w:pageBreakBefore w:val="0"/>
        <w:kinsoku/>
        <w:wordWrap/>
        <w:overflowPunct/>
        <w:topLinePunct w:val="0"/>
        <w:bidi w:val="0"/>
        <w:snapToGrid/>
        <w:spacing w:before="0" w:after="0" w:line="390" w:lineRule="exact"/>
        <w:ind w:left="0" w:firstLine="420" w:firstLineChars="200"/>
        <w:textAlignment w:val="auto"/>
        <w:rPr>
          <w:rFonts w:hint="eastAsia" w:ascii="宋体" w:hAnsi="宋体" w:eastAsia="宋体" w:cs="宋体"/>
          <w:b w:val="0"/>
          <w:color w:val="auto"/>
          <w:sz w:val="21"/>
          <w:szCs w:val="21"/>
          <w:highlight w:val="none"/>
        </w:rPr>
      </w:pPr>
      <w:bookmarkStart w:id="586" w:name="_Toc351203611"/>
      <w:bookmarkStart w:id="587" w:name="_Toc337558827"/>
      <w:r>
        <w:rPr>
          <w:rFonts w:hint="eastAsia" w:ascii="宋体" w:hAnsi="宋体" w:eastAsia="宋体" w:cs="宋体"/>
          <w:b w:val="0"/>
          <w:color w:val="auto"/>
          <w:sz w:val="21"/>
          <w:szCs w:val="21"/>
          <w:highlight w:val="none"/>
        </w:rPr>
        <w:t>17.4 因不可抗力解除合同</w:t>
      </w:r>
      <w:bookmarkEnd w:id="586"/>
    </w:p>
    <w:bookmarkEnd w:id="587"/>
    <w:p w14:paraId="079E0146">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因不可抗力导致合同无法履行连续超过84天或累计超过140天的，发包人和承包人均有权解除合同。合同解除后，由双方当事人按照第4.4款〔商定或确定〕商定或确定发包人应支付的款项，该款项包括：</w:t>
      </w:r>
    </w:p>
    <w:p w14:paraId="69D377BC">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（1）合同解除前承包人已完成工作的价款；</w:t>
      </w:r>
    </w:p>
    <w:p w14:paraId="644990C3">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（2）承包人为工程订购的并已交付给承包人，或承包人有责任接受交付的材料、工程设备和其他物品的价款；</w:t>
      </w:r>
    </w:p>
    <w:p w14:paraId="694500A7">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（3）发包人要求承包人退货或解除订货合同而产生的费用，或因不能退货或解除合同而产生的损失；</w:t>
      </w:r>
    </w:p>
    <w:p w14:paraId="7106E09D">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（4）承包人撤离施工现场以及遣散承包人人员的费用；</w:t>
      </w:r>
    </w:p>
    <w:p w14:paraId="05CB8885">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（5）按照合同约定在合同解除前应支付给承包人的其他款项；</w:t>
      </w:r>
    </w:p>
    <w:p w14:paraId="708B62DB">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（6）扣减承包人按照合同约定应向发包人支付的款项；</w:t>
      </w:r>
    </w:p>
    <w:p w14:paraId="5C4036E8">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（7）双方商定或确定的其他款项。</w:t>
      </w:r>
    </w:p>
    <w:p w14:paraId="1EE28EC4">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除专用合同条款另有约定外，合同解除后，发包人应在商定或确定上述款项后28天内完成上述款项的支付。</w:t>
      </w:r>
    </w:p>
    <w:p w14:paraId="50E98027">
      <w:pPr>
        <w:pStyle w:val="7"/>
        <w:pageBreakBefore w:val="0"/>
        <w:kinsoku/>
        <w:wordWrap/>
        <w:overflowPunct/>
        <w:topLinePunct w:val="0"/>
        <w:bidi w:val="0"/>
        <w:snapToGrid/>
        <w:spacing w:before="0" w:line="390" w:lineRule="exact"/>
        <w:ind w:left="0"/>
        <w:textAlignment w:val="auto"/>
        <w:rPr>
          <w:rFonts w:hint="eastAsia" w:ascii="宋体" w:hAnsi="宋体" w:eastAsia="宋体" w:cs="宋体"/>
          <w:b w:val="0"/>
          <w:color w:val="auto"/>
          <w:sz w:val="21"/>
          <w:szCs w:val="21"/>
          <w:highlight w:val="none"/>
        </w:rPr>
      </w:pPr>
      <w:bookmarkStart w:id="588" w:name="_Toc351203612"/>
      <w:bookmarkStart w:id="589" w:name="_Toc296503120"/>
      <w:bookmarkStart w:id="590" w:name="_Toc296346621"/>
      <w:bookmarkStart w:id="591" w:name="_Toc337558828"/>
      <w:r>
        <w:rPr>
          <w:rFonts w:hint="eastAsia" w:ascii="宋体" w:hAnsi="宋体" w:eastAsia="宋体" w:cs="宋体"/>
          <w:b w:val="0"/>
          <w:color w:val="auto"/>
          <w:sz w:val="21"/>
          <w:szCs w:val="21"/>
          <w:highlight w:val="none"/>
        </w:rPr>
        <w:t>18. 保险</w:t>
      </w:r>
      <w:bookmarkEnd w:id="588"/>
    </w:p>
    <w:bookmarkEnd w:id="589"/>
    <w:bookmarkEnd w:id="590"/>
    <w:bookmarkEnd w:id="591"/>
    <w:p w14:paraId="4F902F67">
      <w:pPr>
        <w:pStyle w:val="8"/>
        <w:pageBreakBefore w:val="0"/>
        <w:kinsoku/>
        <w:wordWrap/>
        <w:overflowPunct/>
        <w:topLinePunct w:val="0"/>
        <w:bidi w:val="0"/>
        <w:snapToGrid/>
        <w:spacing w:before="0" w:after="0" w:line="390" w:lineRule="exact"/>
        <w:ind w:left="0" w:firstLine="420" w:firstLineChars="200"/>
        <w:textAlignment w:val="auto"/>
        <w:rPr>
          <w:rFonts w:hint="eastAsia" w:ascii="宋体" w:hAnsi="宋体" w:eastAsia="宋体" w:cs="宋体"/>
          <w:b w:val="0"/>
          <w:color w:val="auto"/>
          <w:sz w:val="21"/>
          <w:szCs w:val="21"/>
          <w:highlight w:val="none"/>
        </w:rPr>
      </w:pPr>
      <w:bookmarkStart w:id="592" w:name="_Toc351203613"/>
      <w:bookmarkStart w:id="593" w:name="_Toc296346622"/>
      <w:bookmarkStart w:id="594" w:name="_Toc337558829"/>
      <w:bookmarkStart w:id="595" w:name="_Toc296503121"/>
      <w:r>
        <w:rPr>
          <w:rFonts w:hint="eastAsia" w:ascii="宋体" w:hAnsi="宋体" w:eastAsia="宋体" w:cs="宋体"/>
          <w:b w:val="0"/>
          <w:color w:val="auto"/>
          <w:sz w:val="21"/>
          <w:szCs w:val="21"/>
          <w:highlight w:val="none"/>
        </w:rPr>
        <w:t>18.1 工程保险</w:t>
      </w:r>
      <w:bookmarkEnd w:id="592"/>
    </w:p>
    <w:bookmarkEnd w:id="593"/>
    <w:bookmarkEnd w:id="594"/>
    <w:bookmarkEnd w:id="595"/>
    <w:p w14:paraId="5F06C2F9">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除专用合同条款另有约定外，发包人应投保建筑工程一切险或安装工程一切险；发包人委托承包人投保的，因投保产生的保险费和其他相关费用由发包人承担。</w:t>
      </w:r>
    </w:p>
    <w:p w14:paraId="06069821">
      <w:pPr>
        <w:pStyle w:val="8"/>
        <w:pageBreakBefore w:val="0"/>
        <w:kinsoku/>
        <w:wordWrap/>
        <w:overflowPunct/>
        <w:topLinePunct w:val="0"/>
        <w:bidi w:val="0"/>
        <w:snapToGrid/>
        <w:spacing w:before="0" w:after="0" w:line="390" w:lineRule="exact"/>
        <w:ind w:left="0" w:firstLine="420" w:firstLineChars="200"/>
        <w:textAlignment w:val="auto"/>
        <w:rPr>
          <w:rFonts w:hint="eastAsia" w:ascii="宋体" w:hAnsi="宋体" w:eastAsia="宋体" w:cs="宋体"/>
          <w:b w:val="0"/>
          <w:color w:val="auto"/>
          <w:sz w:val="21"/>
          <w:szCs w:val="21"/>
          <w:highlight w:val="none"/>
        </w:rPr>
      </w:pPr>
      <w:bookmarkStart w:id="596" w:name="_Toc351203614"/>
      <w:bookmarkStart w:id="597" w:name="_Toc296503122"/>
      <w:bookmarkStart w:id="598" w:name="_Toc296346623"/>
      <w:bookmarkStart w:id="599" w:name="_Toc337558830"/>
      <w:r>
        <w:rPr>
          <w:rFonts w:hint="eastAsia" w:ascii="宋体" w:hAnsi="宋体" w:eastAsia="宋体" w:cs="宋体"/>
          <w:b w:val="0"/>
          <w:color w:val="auto"/>
          <w:sz w:val="21"/>
          <w:szCs w:val="21"/>
          <w:highlight w:val="none"/>
        </w:rPr>
        <w:t>18.2 工伤保险</w:t>
      </w:r>
      <w:bookmarkEnd w:id="596"/>
    </w:p>
    <w:bookmarkEnd w:id="597"/>
    <w:bookmarkEnd w:id="598"/>
    <w:bookmarkEnd w:id="599"/>
    <w:p w14:paraId="45EF58C5">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18.2.1 发包人应依照法律规定参加工伤保险，并为在施工现场的全部员工办理工伤保险，缴纳工伤保险费，并要求监理人及由发包人为履行合同聘请的第三方依法参加工伤保险。</w:t>
      </w:r>
    </w:p>
    <w:p w14:paraId="414042F4">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18.2.2 承包人应依照法律规定参加工伤保险，并为其履行合同的全部员工办理工伤保险，缴纳工伤保险费，并要求分包人及由承包人为履行合同聘请的第三方依法参加工伤保险。</w:t>
      </w:r>
    </w:p>
    <w:p w14:paraId="102BDB72">
      <w:pPr>
        <w:pStyle w:val="8"/>
        <w:pageBreakBefore w:val="0"/>
        <w:kinsoku/>
        <w:wordWrap/>
        <w:overflowPunct/>
        <w:topLinePunct w:val="0"/>
        <w:bidi w:val="0"/>
        <w:snapToGrid/>
        <w:spacing w:before="0" w:after="0" w:line="390" w:lineRule="exact"/>
        <w:ind w:left="0" w:firstLine="420" w:firstLineChars="200"/>
        <w:textAlignment w:val="auto"/>
        <w:rPr>
          <w:rFonts w:hint="eastAsia" w:ascii="宋体" w:hAnsi="宋体" w:eastAsia="宋体" w:cs="宋体"/>
          <w:b w:val="0"/>
          <w:color w:val="auto"/>
          <w:sz w:val="21"/>
          <w:szCs w:val="21"/>
          <w:highlight w:val="none"/>
        </w:rPr>
      </w:pPr>
      <w:bookmarkStart w:id="600" w:name="_Toc351203615"/>
      <w:bookmarkStart w:id="601" w:name="_Toc296346626"/>
      <w:bookmarkStart w:id="602" w:name="_Toc337558831"/>
      <w:bookmarkStart w:id="603" w:name="_Toc296503125"/>
      <w:r>
        <w:rPr>
          <w:rFonts w:hint="eastAsia" w:ascii="宋体" w:hAnsi="宋体" w:eastAsia="宋体" w:cs="宋体"/>
          <w:b w:val="0"/>
          <w:color w:val="auto"/>
          <w:sz w:val="21"/>
          <w:szCs w:val="21"/>
          <w:highlight w:val="none"/>
        </w:rPr>
        <w:t>18.3其他保险</w:t>
      </w:r>
      <w:bookmarkEnd w:id="600"/>
    </w:p>
    <w:bookmarkEnd w:id="601"/>
    <w:bookmarkEnd w:id="602"/>
    <w:bookmarkEnd w:id="603"/>
    <w:p w14:paraId="4BD93039">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发包人和承包人可以为其施工现场的全部人员办理意外伤害保险并支付保险费，包括其员工及为履行合同聘请的第三方的人员，具体事项由合同当事人在专用合同条款约定。</w:t>
      </w:r>
    </w:p>
    <w:p w14:paraId="161AEE30">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除专用合同条款另有约定外，承包人应为其施工设备等办理财产保险。</w:t>
      </w:r>
    </w:p>
    <w:p w14:paraId="61501B89">
      <w:pPr>
        <w:pStyle w:val="8"/>
        <w:pageBreakBefore w:val="0"/>
        <w:kinsoku/>
        <w:wordWrap/>
        <w:overflowPunct/>
        <w:topLinePunct w:val="0"/>
        <w:bidi w:val="0"/>
        <w:snapToGrid/>
        <w:spacing w:before="0" w:after="0" w:line="390" w:lineRule="exact"/>
        <w:ind w:left="0" w:firstLine="420" w:firstLineChars="200"/>
        <w:textAlignment w:val="auto"/>
        <w:rPr>
          <w:rFonts w:hint="eastAsia" w:ascii="宋体" w:hAnsi="宋体" w:eastAsia="宋体" w:cs="宋体"/>
          <w:b w:val="0"/>
          <w:color w:val="auto"/>
          <w:sz w:val="21"/>
          <w:szCs w:val="21"/>
          <w:highlight w:val="none"/>
        </w:rPr>
      </w:pPr>
      <w:bookmarkStart w:id="604" w:name="_Toc351203616"/>
      <w:r>
        <w:rPr>
          <w:rFonts w:hint="eastAsia" w:ascii="宋体" w:hAnsi="宋体" w:eastAsia="宋体" w:cs="宋体"/>
          <w:b w:val="0"/>
          <w:color w:val="auto"/>
          <w:sz w:val="21"/>
          <w:szCs w:val="21"/>
          <w:highlight w:val="none"/>
        </w:rPr>
        <w:t>18.4持续保险</w:t>
      </w:r>
      <w:bookmarkEnd w:id="604"/>
    </w:p>
    <w:p w14:paraId="41D14AF4">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合同当事人应与保险人保持联系，使保险人能够随时了解工程实施中的变动，并确保按保险合同条款要求持续保险。</w:t>
      </w:r>
    </w:p>
    <w:p w14:paraId="705400B4">
      <w:pPr>
        <w:pStyle w:val="8"/>
        <w:pageBreakBefore w:val="0"/>
        <w:kinsoku/>
        <w:wordWrap/>
        <w:overflowPunct/>
        <w:topLinePunct w:val="0"/>
        <w:bidi w:val="0"/>
        <w:snapToGrid/>
        <w:spacing w:before="0" w:after="0" w:line="390" w:lineRule="exact"/>
        <w:ind w:left="0" w:firstLine="420" w:firstLineChars="200"/>
        <w:textAlignment w:val="auto"/>
        <w:rPr>
          <w:rFonts w:hint="eastAsia" w:ascii="宋体" w:hAnsi="宋体" w:eastAsia="宋体" w:cs="宋体"/>
          <w:b w:val="0"/>
          <w:color w:val="auto"/>
          <w:sz w:val="21"/>
          <w:szCs w:val="21"/>
          <w:highlight w:val="none"/>
        </w:rPr>
      </w:pPr>
      <w:bookmarkStart w:id="605" w:name="_Toc351203617"/>
      <w:bookmarkStart w:id="606" w:name="_Toc296503126"/>
      <w:bookmarkStart w:id="607" w:name="_Toc337558832"/>
      <w:bookmarkStart w:id="608" w:name="_Toc296346627"/>
      <w:r>
        <w:rPr>
          <w:rFonts w:hint="eastAsia" w:ascii="宋体" w:hAnsi="宋体" w:eastAsia="宋体" w:cs="宋体"/>
          <w:b w:val="0"/>
          <w:color w:val="auto"/>
          <w:sz w:val="21"/>
          <w:szCs w:val="21"/>
          <w:highlight w:val="none"/>
        </w:rPr>
        <w:t>18.5 保险凭证</w:t>
      </w:r>
      <w:bookmarkEnd w:id="605"/>
    </w:p>
    <w:bookmarkEnd w:id="606"/>
    <w:bookmarkEnd w:id="607"/>
    <w:bookmarkEnd w:id="608"/>
    <w:p w14:paraId="42978EE8">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合同当事人应及时向另一方当事人提交其已投保的各项保险的凭证和保险单复印件。</w:t>
      </w:r>
    </w:p>
    <w:p w14:paraId="004B507F">
      <w:pPr>
        <w:pStyle w:val="8"/>
        <w:pageBreakBefore w:val="0"/>
        <w:kinsoku/>
        <w:wordWrap/>
        <w:overflowPunct/>
        <w:topLinePunct w:val="0"/>
        <w:bidi w:val="0"/>
        <w:snapToGrid/>
        <w:spacing w:before="0" w:after="0" w:line="390" w:lineRule="exact"/>
        <w:ind w:left="0" w:firstLine="420" w:firstLineChars="200"/>
        <w:textAlignment w:val="auto"/>
        <w:rPr>
          <w:rFonts w:hint="eastAsia" w:ascii="宋体" w:hAnsi="宋体" w:eastAsia="宋体" w:cs="宋体"/>
          <w:b w:val="0"/>
          <w:color w:val="auto"/>
          <w:sz w:val="21"/>
          <w:szCs w:val="21"/>
          <w:highlight w:val="none"/>
        </w:rPr>
      </w:pPr>
      <w:bookmarkStart w:id="609" w:name="_Toc351203618"/>
      <w:bookmarkStart w:id="610" w:name="_Toc296346628"/>
      <w:bookmarkStart w:id="611" w:name="_Toc337558833"/>
      <w:bookmarkStart w:id="612" w:name="_Toc296503127"/>
      <w:r>
        <w:rPr>
          <w:rFonts w:hint="eastAsia" w:ascii="宋体" w:hAnsi="宋体" w:eastAsia="宋体" w:cs="宋体"/>
          <w:b w:val="0"/>
          <w:color w:val="auto"/>
          <w:sz w:val="21"/>
          <w:szCs w:val="21"/>
          <w:highlight w:val="none"/>
        </w:rPr>
        <w:t>18.6 未按约定投保的补救</w:t>
      </w:r>
      <w:bookmarkEnd w:id="609"/>
    </w:p>
    <w:bookmarkEnd w:id="610"/>
    <w:bookmarkEnd w:id="611"/>
    <w:bookmarkEnd w:id="612"/>
    <w:p w14:paraId="359CA5C1">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18.6.1发包人未按合同约定办理保险，或未能使保险持续有效的，则承包人可代为办理，所需费用由发包人承担。发包人未按合同约定办理保险，导致未能得到足额赔偿的，由发包人负责补足。</w:t>
      </w:r>
    </w:p>
    <w:p w14:paraId="55208CA0">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18.6.2承包人未按合同约定办理保险，或未能使保险持续有效的，则发包人可代为办理，所需费用由承包人承担。承包人未按合同约定办理保险，导致未能得到足额赔偿的，由承包人负责补足。</w:t>
      </w:r>
    </w:p>
    <w:p w14:paraId="44399CF5">
      <w:pPr>
        <w:pStyle w:val="8"/>
        <w:pageBreakBefore w:val="0"/>
        <w:kinsoku/>
        <w:wordWrap/>
        <w:overflowPunct/>
        <w:topLinePunct w:val="0"/>
        <w:bidi w:val="0"/>
        <w:snapToGrid/>
        <w:spacing w:before="0" w:after="0" w:line="390" w:lineRule="exact"/>
        <w:ind w:left="0" w:firstLine="420" w:firstLineChars="200"/>
        <w:textAlignment w:val="auto"/>
        <w:rPr>
          <w:rFonts w:hint="eastAsia" w:ascii="宋体" w:hAnsi="宋体" w:eastAsia="宋体" w:cs="宋体"/>
          <w:b w:val="0"/>
          <w:color w:val="auto"/>
          <w:sz w:val="21"/>
          <w:szCs w:val="21"/>
          <w:highlight w:val="none"/>
        </w:rPr>
      </w:pPr>
      <w:bookmarkStart w:id="613" w:name="_Toc351203619"/>
      <w:bookmarkStart w:id="614" w:name="_Toc337558834"/>
      <w:r>
        <w:rPr>
          <w:rFonts w:hint="eastAsia" w:ascii="宋体" w:hAnsi="宋体" w:eastAsia="宋体" w:cs="宋体"/>
          <w:b w:val="0"/>
          <w:color w:val="auto"/>
          <w:sz w:val="21"/>
          <w:szCs w:val="21"/>
          <w:highlight w:val="none"/>
        </w:rPr>
        <w:t>18.7 通知义务</w:t>
      </w:r>
      <w:bookmarkEnd w:id="613"/>
    </w:p>
    <w:bookmarkEnd w:id="614"/>
    <w:p w14:paraId="03F55643">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除专用合同条款另有约定外，发包人变更除工伤保险之外的保险合同时，应事先征得承包人同意，并通知监理人；承包人变更除工伤保险之外的保险合同时，应事先征得发包人同意，并通知监理人。</w:t>
      </w:r>
    </w:p>
    <w:p w14:paraId="1DAA16F4">
      <w:pPr>
        <w:pageBreakBefore w:val="0"/>
        <w:kinsoku/>
        <w:wordWrap/>
        <w:overflowPunct/>
        <w:topLinePunct w:val="0"/>
        <w:bidi w:val="0"/>
        <w:snapToGrid/>
        <w:spacing w:line="390" w:lineRule="exact"/>
        <w:ind w:lef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保险事故发生时，投保人应按照保险合同规定的条件和期限及时向保险人报告。发包人和承包人应当在知道保险事故发生后及时通知对方。</w:t>
      </w:r>
    </w:p>
    <w:p w14:paraId="15293DBE">
      <w:pPr>
        <w:pStyle w:val="7"/>
        <w:pageBreakBefore w:val="0"/>
        <w:kinsoku/>
        <w:wordWrap/>
        <w:overflowPunct/>
        <w:topLinePunct w:val="0"/>
        <w:bidi w:val="0"/>
        <w:snapToGrid/>
        <w:spacing w:before="0" w:line="390" w:lineRule="exact"/>
        <w:ind w:left="0"/>
        <w:textAlignment w:val="auto"/>
        <w:rPr>
          <w:rFonts w:hint="eastAsia" w:ascii="宋体" w:hAnsi="宋体" w:eastAsia="宋体" w:cs="宋体"/>
          <w:b w:val="0"/>
          <w:color w:val="auto"/>
          <w:sz w:val="21"/>
          <w:szCs w:val="21"/>
          <w:highlight w:val="none"/>
        </w:rPr>
      </w:pPr>
      <w:bookmarkStart w:id="615" w:name="_Toc351203620"/>
      <w:bookmarkStart w:id="616" w:name="_Toc337558835"/>
      <w:bookmarkStart w:id="617" w:name="_Toc296346641"/>
      <w:bookmarkStart w:id="618" w:name="_Toc296503140"/>
      <w:r>
        <w:rPr>
          <w:rFonts w:hint="eastAsia" w:ascii="宋体" w:hAnsi="宋体" w:eastAsia="宋体" w:cs="宋体"/>
          <w:b w:val="0"/>
          <w:color w:val="auto"/>
          <w:sz w:val="21"/>
          <w:szCs w:val="21"/>
          <w:highlight w:val="none"/>
        </w:rPr>
        <w:t>19. 索赔</w:t>
      </w:r>
      <w:bookmarkEnd w:id="615"/>
    </w:p>
    <w:bookmarkEnd w:id="616"/>
    <w:bookmarkEnd w:id="617"/>
    <w:bookmarkEnd w:id="618"/>
    <w:p w14:paraId="43AC168C">
      <w:pPr>
        <w:pStyle w:val="8"/>
        <w:pageBreakBefore w:val="0"/>
        <w:kinsoku/>
        <w:wordWrap/>
        <w:overflowPunct/>
        <w:topLinePunct w:val="0"/>
        <w:bidi w:val="0"/>
        <w:snapToGrid/>
        <w:spacing w:before="0" w:after="0" w:line="390" w:lineRule="exact"/>
        <w:ind w:left="0" w:firstLine="420" w:firstLineChars="200"/>
        <w:textAlignment w:val="auto"/>
        <w:rPr>
          <w:rFonts w:hint="eastAsia" w:ascii="宋体" w:hAnsi="宋体" w:eastAsia="宋体" w:cs="宋体"/>
          <w:b w:val="0"/>
          <w:color w:val="auto"/>
          <w:sz w:val="21"/>
          <w:szCs w:val="21"/>
          <w:highlight w:val="none"/>
        </w:rPr>
      </w:pPr>
      <w:bookmarkStart w:id="619" w:name="_Toc351203621"/>
      <w:bookmarkStart w:id="620" w:name="_Toc296503141"/>
      <w:bookmarkStart w:id="621" w:name="_Toc337558836"/>
      <w:bookmarkStart w:id="622" w:name="_Toc296346642"/>
      <w:r>
        <w:rPr>
          <w:rFonts w:hint="eastAsia" w:ascii="宋体" w:hAnsi="宋体" w:eastAsia="宋体" w:cs="宋体"/>
          <w:b w:val="0"/>
          <w:color w:val="auto"/>
          <w:sz w:val="21"/>
          <w:szCs w:val="21"/>
          <w:highlight w:val="none"/>
        </w:rPr>
        <w:t>19.1承包人的索赔</w:t>
      </w:r>
      <w:bookmarkEnd w:id="619"/>
    </w:p>
    <w:bookmarkEnd w:id="620"/>
    <w:bookmarkEnd w:id="621"/>
    <w:bookmarkEnd w:id="622"/>
    <w:p w14:paraId="06C5333A">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根据合同约定，承包人认为有权得到追加付款和（或）延长工期的，应按以下程序向发包人提出索赔：</w:t>
      </w:r>
    </w:p>
    <w:p w14:paraId="52064071">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（1）承包人应在知道或应当知道索赔事件发生后28天内，向监理人递交索赔意向通知书，并说明发生索赔事件的事由；承包人未在前述28天内发出索赔意向通知书的，丧失要求追加付款和（或）延长工期的权利；</w:t>
      </w:r>
    </w:p>
    <w:p w14:paraId="28324733">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（2）承包人应在发出索赔意向通知书后28天内，向监理人正式递交索赔报告；索赔报告应详细说明索赔理由以及要求追加的付款金额和（或）延长的工期，并附必要的记录和证明材料；</w:t>
      </w:r>
    </w:p>
    <w:p w14:paraId="7E4B068A">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（3）索赔事件具有持续影响的，承包人应按合理时间间隔继续递交延续索赔通知，说明持续影响的实际情况和记录，列出累计的追加付款金额和（或）工期延长天数；</w:t>
      </w:r>
    </w:p>
    <w:p w14:paraId="1ACAF07F">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（4）在索赔事件影响结束后28天内，承包人应向监理人递交最终索赔报告，说明最终要求索赔的追加付款金额和（或）延长的工期，并附必要的记录和证明材料。</w:t>
      </w:r>
    </w:p>
    <w:p w14:paraId="0DD48E50">
      <w:pPr>
        <w:pStyle w:val="8"/>
        <w:pageBreakBefore w:val="0"/>
        <w:kinsoku/>
        <w:wordWrap/>
        <w:overflowPunct/>
        <w:topLinePunct w:val="0"/>
        <w:bidi w:val="0"/>
        <w:snapToGrid/>
        <w:spacing w:before="0" w:after="0" w:line="390" w:lineRule="exact"/>
        <w:ind w:left="0" w:firstLine="420" w:firstLineChars="200"/>
        <w:textAlignment w:val="auto"/>
        <w:rPr>
          <w:rFonts w:hint="eastAsia" w:ascii="宋体" w:hAnsi="宋体" w:eastAsia="宋体" w:cs="宋体"/>
          <w:b w:val="0"/>
          <w:color w:val="auto"/>
          <w:sz w:val="21"/>
          <w:szCs w:val="21"/>
          <w:highlight w:val="none"/>
        </w:rPr>
      </w:pPr>
      <w:bookmarkStart w:id="623" w:name="_Toc351203622"/>
      <w:bookmarkStart w:id="624" w:name="_Toc337558837"/>
      <w:bookmarkStart w:id="625" w:name="_Toc296503142"/>
      <w:bookmarkStart w:id="626" w:name="_Toc296346643"/>
      <w:r>
        <w:rPr>
          <w:rFonts w:hint="eastAsia" w:ascii="宋体" w:hAnsi="宋体" w:eastAsia="宋体" w:cs="宋体"/>
          <w:b w:val="0"/>
          <w:color w:val="auto"/>
          <w:sz w:val="21"/>
          <w:szCs w:val="21"/>
          <w:highlight w:val="none"/>
        </w:rPr>
        <w:t>19.2 对承包人索赔的处理</w:t>
      </w:r>
      <w:bookmarkEnd w:id="623"/>
    </w:p>
    <w:bookmarkEnd w:id="624"/>
    <w:bookmarkEnd w:id="625"/>
    <w:bookmarkEnd w:id="626"/>
    <w:p w14:paraId="05E19F42">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对承包人索赔的处理如下：</w:t>
      </w:r>
    </w:p>
    <w:p w14:paraId="2B0D60C5">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（1）监理人应在收到索赔报告后14天内完成审查并报送发包人。监理人对索赔报告存在异议的，有权要求承包人提交全部原始记录副本；</w:t>
      </w:r>
    </w:p>
    <w:p w14:paraId="26F6EE51">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（2）发包人应在监理人收到索赔报告或有关索赔的进一步证明材料后的28天内，由监理人向承包人出具经发包人签认的索赔处理结果。发包人逾期答复的，则视为认可承包人的索赔要求；</w:t>
      </w:r>
    </w:p>
    <w:p w14:paraId="3548CA85">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（3）承包人接受索赔处理结果的，索赔款项在当期进度款中进行支付；承包人不接受索赔处理结果的，按照第20条〔争议解决〕约定处理。</w:t>
      </w:r>
    </w:p>
    <w:p w14:paraId="19ECA313">
      <w:pPr>
        <w:pStyle w:val="8"/>
        <w:pageBreakBefore w:val="0"/>
        <w:kinsoku/>
        <w:wordWrap/>
        <w:overflowPunct/>
        <w:topLinePunct w:val="0"/>
        <w:bidi w:val="0"/>
        <w:snapToGrid/>
        <w:spacing w:before="0" w:after="0" w:line="390" w:lineRule="exact"/>
        <w:ind w:left="0" w:firstLine="420" w:firstLineChars="200"/>
        <w:textAlignment w:val="auto"/>
        <w:rPr>
          <w:rFonts w:hint="eastAsia" w:ascii="宋体" w:hAnsi="宋体" w:eastAsia="宋体" w:cs="宋体"/>
          <w:b w:val="0"/>
          <w:color w:val="auto"/>
          <w:sz w:val="21"/>
          <w:szCs w:val="21"/>
          <w:highlight w:val="none"/>
        </w:rPr>
      </w:pPr>
      <w:bookmarkStart w:id="627" w:name="_Toc351203623"/>
      <w:bookmarkStart w:id="628" w:name="_Toc296503143"/>
      <w:bookmarkStart w:id="629" w:name="_Toc337558838"/>
      <w:bookmarkStart w:id="630" w:name="_Toc296346644"/>
      <w:r>
        <w:rPr>
          <w:rFonts w:hint="eastAsia" w:ascii="宋体" w:hAnsi="宋体" w:eastAsia="宋体" w:cs="宋体"/>
          <w:b w:val="0"/>
          <w:color w:val="auto"/>
          <w:sz w:val="21"/>
          <w:szCs w:val="21"/>
          <w:highlight w:val="none"/>
        </w:rPr>
        <w:t>19.3发包人的索赔</w:t>
      </w:r>
      <w:bookmarkEnd w:id="627"/>
    </w:p>
    <w:bookmarkEnd w:id="628"/>
    <w:bookmarkEnd w:id="629"/>
    <w:bookmarkEnd w:id="630"/>
    <w:p w14:paraId="52131C29">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根据合同约定，发包人认为有权得到赔付金额和（或）延长缺陷责任期的，监理人应向承包人发出通知并附有详细的证明。</w:t>
      </w:r>
    </w:p>
    <w:p w14:paraId="7ED5DB2C">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应在知道或应当知道索赔事件发生后28天内通过监理人向承包人提出索赔意向通知书，发包人未在前述28天内发出索赔意向通知书的，丧失要求赔付金额和（或）延长缺陷责任期的权利。发包人应在发出索赔意向通知书后28天内，通过监理人向承包人正式递交索赔报告。</w:t>
      </w:r>
    </w:p>
    <w:p w14:paraId="0BF3FB9E">
      <w:pPr>
        <w:pStyle w:val="8"/>
        <w:pageBreakBefore w:val="0"/>
        <w:kinsoku/>
        <w:wordWrap/>
        <w:overflowPunct/>
        <w:topLinePunct w:val="0"/>
        <w:bidi w:val="0"/>
        <w:snapToGrid/>
        <w:spacing w:before="0" w:after="0" w:line="390" w:lineRule="exact"/>
        <w:ind w:left="0" w:firstLine="420" w:firstLineChars="200"/>
        <w:textAlignment w:val="auto"/>
        <w:rPr>
          <w:rFonts w:hint="eastAsia" w:ascii="宋体" w:hAnsi="宋体" w:eastAsia="宋体" w:cs="宋体"/>
          <w:b w:val="0"/>
          <w:color w:val="auto"/>
          <w:sz w:val="21"/>
          <w:szCs w:val="21"/>
          <w:highlight w:val="none"/>
        </w:rPr>
      </w:pPr>
      <w:bookmarkStart w:id="631" w:name="_Toc351203624"/>
      <w:bookmarkStart w:id="632" w:name="_Toc296503144"/>
      <w:bookmarkStart w:id="633" w:name="_Toc296346645"/>
      <w:bookmarkStart w:id="634" w:name="_Toc337558839"/>
      <w:r>
        <w:rPr>
          <w:rFonts w:hint="eastAsia" w:ascii="宋体" w:hAnsi="宋体" w:eastAsia="宋体" w:cs="宋体"/>
          <w:b w:val="0"/>
          <w:color w:val="auto"/>
          <w:sz w:val="21"/>
          <w:szCs w:val="21"/>
          <w:highlight w:val="none"/>
        </w:rPr>
        <w:t>19.4 对发包人索赔的处理</w:t>
      </w:r>
      <w:bookmarkEnd w:id="631"/>
    </w:p>
    <w:bookmarkEnd w:id="632"/>
    <w:bookmarkEnd w:id="633"/>
    <w:bookmarkEnd w:id="634"/>
    <w:p w14:paraId="64368009">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对发包人索赔的处理如下：</w:t>
      </w:r>
    </w:p>
    <w:p w14:paraId="2437957D">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（1）承包人收到发包人提交的索赔报告后，应及时审查索赔报告的内容、查验发包人证明材料；</w:t>
      </w:r>
    </w:p>
    <w:p w14:paraId="7F5B3120">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（2）承包人应在收到索赔报告或有关索赔的进一步证明材料后28天内，将索赔处理结果答复发包人。如果承包人未在上述期限内作出答复的，则视为对发包人索赔要求的认可；</w:t>
      </w:r>
    </w:p>
    <w:p w14:paraId="5D1973FB">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（3）承包人接受索赔处理结果的，发包人可从应支付给承包人的合同价款中扣除赔付的金额或延长缺陷责任期；发包人不接受索赔处理结果的，按第20条〔争议解决〕约定处理。</w:t>
      </w:r>
    </w:p>
    <w:p w14:paraId="461D1BEF">
      <w:pPr>
        <w:pStyle w:val="8"/>
        <w:pageBreakBefore w:val="0"/>
        <w:kinsoku/>
        <w:wordWrap/>
        <w:overflowPunct/>
        <w:topLinePunct w:val="0"/>
        <w:bidi w:val="0"/>
        <w:snapToGrid/>
        <w:spacing w:before="0" w:after="0" w:line="390" w:lineRule="exact"/>
        <w:ind w:left="0" w:firstLine="420" w:firstLineChars="200"/>
        <w:textAlignment w:val="auto"/>
        <w:rPr>
          <w:rFonts w:hint="eastAsia" w:ascii="宋体" w:hAnsi="宋体" w:eastAsia="宋体" w:cs="宋体"/>
          <w:b w:val="0"/>
          <w:color w:val="auto"/>
          <w:sz w:val="21"/>
          <w:szCs w:val="21"/>
          <w:highlight w:val="none"/>
        </w:rPr>
      </w:pPr>
      <w:bookmarkStart w:id="635" w:name="_Toc351203625"/>
      <w:r>
        <w:rPr>
          <w:rFonts w:hint="eastAsia" w:ascii="宋体" w:hAnsi="宋体" w:eastAsia="宋体" w:cs="宋体"/>
          <w:b w:val="0"/>
          <w:color w:val="auto"/>
          <w:sz w:val="21"/>
          <w:szCs w:val="21"/>
          <w:highlight w:val="none"/>
        </w:rPr>
        <w:t>19.5 提出索赔的期限</w:t>
      </w:r>
      <w:bookmarkEnd w:id="635"/>
    </w:p>
    <w:p w14:paraId="0E32C09A">
      <w:pPr>
        <w:pageBreakBefore w:val="0"/>
        <w:kinsoku/>
        <w:wordWrap/>
        <w:overflowPunct/>
        <w:topLinePunct w:val="0"/>
        <w:bidi w:val="0"/>
        <w:snapToGrid/>
        <w:spacing w:line="390" w:lineRule="exact"/>
        <w:ind w:left="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（1）承包人按第14.2款〔竣工结算审核〕约定接收竣工付款证书后，应被视为已无权再提出在工程接收证书颁发前所发生的任何索赔。</w:t>
      </w:r>
    </w:p>
    <w:p w14:paraId="118BE8BE">
      <w:pPr>
        <w:pageBreakBefore w:val="0"/>
        <w:kinsoku/>
        <w:wordWrap/>
        <w:overflowPunct/>
        <w:topLinePunct w:val="0"/>
        <w:bidi w:val="0"/>
        <w:snapToGrid/>
        <w:spacing w:line="390" w:lineRule="exact"/>
        <w:ind w:left="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（2）承包人按第14.4款〔最终结清〕提交的最终结清申请单中，只限于提出工程接收证书颁发后发生的索赔。提出索赔的期限自接受最终结清证书时终止。</w:t>
      </w:r>
    </w:p>
    <w:p w14:paraId="1B2022F3">
      <w:pPr>
        <w:pStyle w:val="7"/>
        <w:pageBreakBefore w:val="0"/>
        <w:kinsoku/>
        <w:wordWrap/>
        <w:overflowPunct/>
        <w:topLinePunct w:val="0"/>
        <w:bidi w:val="0"/>
        <w:snapToGrid/>
        <w:spacing w:before="0" w:line="390" w:lineRule="exact"/>
        <w:ind w:left="0"/>
        <w:textAlignment w:val="auto"/>
        <w:rPr>
          <w:rFonts w:hint="eastAsia" w:ascii="宋体" w:hAnsi="宋体" w:eastAsia="宋体" w:cs="宋体"/>
          <w:b w:val="0"/>
          <w:color w:val="auto"/>
          <w:sz w:val="21"/>
          <w:szCs w:val="21"/>
          <w:highlight w:val="none"/>
        </w:rPr>
      </w:pPr>
      <w:bookmarkStart w:id="636" w:name="_Toc351203626"/>
      <w:r>
        <w:rPr>
          <w:rFonts w:hint="eastAsia" w:ascii="宋体" w:hAnsi="宋体" w:eastAsia="宋体" w:cs="宋体"/>
          <w:b w:val="0"/>
          <w:color w:val="auto"/>
          <w:sz w:val="21"/>
          <w:szCs w:val="21"/>
          <w:highlight w:val="none"/>
        </w:rPr>
        <w:t>20</w:t>
      </w:r>
      <w:bookmarkStart w:id="637" w:name="_Toc296503146"/>
      <w:bookmarkStart w:id="638" w:name="_Toc296346647"/>
      <w:bookmarkStart w:id="639" w:name="_Toc337558840"/>
      <w:r>
        <w:rPr>
          <w:rFonts w:hint="eastAsia" w:ascii="宋体" w:hAnsi="宋体" w:eastAsia="宋体" w:cs="宋体"/>
          <w:b w:val="0"/>
          <w:color w:val="auto"/>
          <w:sz w:val="21"/>
          <w:szCs w:val="21"/>
          <w:highlight w:val="none"/>
        </w:rPr>
        <w:t>. 争议解决</w:t>
      </w:r>
      <w:bookmarkEnd w:id="636"/>
    </w:p>
    <w:bookmarkEnd w:id="637"/>
    <w:bookmarkEnd w:id="638"/>
    <w:bookmarkEnd w:id="639"/>
    <w:p w14:paraId="21A5ACDE">
      <w:pPr>
        <w:pStyle w:val="8"/>
        <w:pageBreakBefore w:val="0"/>
        <w:kinsoku/>
        <w:wordWrap/>
        <w:overflowPunct/>
        <w:topLinePunct w:val="0"/>
        <w:bidi w:val="0"/>
        <w:snapToGrid/>
        <w:spacing w:before="0" w:after="0" w:line="390" w:lineRule="exact"/>
        <w:ind w:left="0" w:firstLine="420" w:firstLineChars="200"/>
        <w:textAlignment w:val="auto"/>
        <w:rPr>
          <w:rFonts w:hint="eastAsia" w:ascii="宋体" w:hAnsi="宋体" w:eastAsia="宋体" w:cs="宋体"/>
          <w:b w:val="0"/>
          <w:color w:val="auto"/>
          <w:sz w:val="21"/>
          <w:szCs w:val="21"/>
          <w:highlight w:val="none"/>
        </w:rPr>
      </w:pPr>
      <w:bookmarkStart w:id="640" w:name="_Toc351203627"/>
      <w:bookmarkStart w:id="641" w:name="_Toc337558841"/>
      <w:bookmarkStart w:id="642" w:name="_Toc296346648"/>
      <w:bookmarkStart w:id="643" w:name="_Toc296503147"/>
      <w:r>
        <w:rPr>
          <w:rFonts w:hint="eastAsia" w:ascii="宋体" w:hAnsi="宋体" w:eastAsia="宋体" w:cs="宋体"/>
          <w:b w:val="0"/>
          <w:color w:val="auto"/>
          <w:sz w:val="21"/>
          <w:szCs w:val="21"/>
          <w:highlight w:val="none"/>
        </w:rPr>
        <w:t>20.1和解</w:t>
      </w:r>
      <w:bookmarkEnd w:id="640"/>
    </w:p>
    <w:bookmarkEnd w:id="641"/>
    <w:bookmarkEnd w:id="642"/>
    <w:bookmarkEnd w:id="643"/>
    <w:p w14:paraId="29FCBE38">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合同当事人可以就争议自行和解，自行和解达成协议的经双方签字并盖章后作为合同补充文件，双方均应遵照执行。</w:t>
      </w:r>
    </w:p>
    <w:p w14:paraId="1C0BA866">
      <w:pPr>
        <w:pStyle w:val="8"/>
        <w:pageBreakBefore w:val="0"/>
        <w:kinsoku/>
        <w:wordWrap/>
        <w:overflowPunct/>
        <w:topLinePunct w:val="0"/>
        <w:bidi w:val="0"/>
        <w:snapToGrid/>
        <w:spacing w:before="0" w:after="0" w:line="390" w:lineRule="exact"/>
        <w:ind w:left="0" w:firstLine="420" w:firstLineChars="200"/>
        <w:textAlignment w:val="auto"/>
        <w:rPr>
          <w:rFonts w:hint="eastAsia" w:ascii="宋体" w:hAnsi="宋体" w:eastAsia="宋体" w:cs="宋体"/>
          <w:b w:val="0"/>
          <w:color w:val="auto"/>
          <w:sz w:val="21"/>
          <w:szCs w:val="21"/>
          <w:highlight w:val="none"/>
        </w:rPr>
      </w:pPr>
      <w:bookmarkStart w:id="644" w:name="_Toc351203628"/>
      <w:r>
        <w:rPr>
          <w:rFonts w:hint="eastAsia" w:ascii="宋体" w:hAnsi="宋体" w:eastAsia="宋体" w:cs="宋体"/>
          <w:b w:val="0"/>
          <w:color w:val="auto"/>
          <w:sz w:val="21"/>
          <w:szCs w:val="21"/>
          <w:highlight w:val="none"/>
        </w:rPr>
        <w:t>20</w:t>
      </w:r>
      <w:bookmarkStart w:id="645" w:name="_Toc296503148"/>
      <w:bookmarkStart w:id="646" w:name="_Toc337558842"/>
      <w:bookmarkStart w:id="647" w:name="_Toc296346649"/>
      <w:r>
        <w:rPr>
          <w:rFonts w:hint="eastAsia" w:ascii="宋体" w:hAnsi="宋体" w:eastAsia="宋体" w:cs="宋体"/>
          <w:b w:val="0"/>
          <w:color w:val="auto"/>
          <w:sz w:val="21"/>
          <w:szCs w:val="21"/>
          <w:highlight w:val="none"/>
        </w:rPr>
        <w:t>.2调解</w:t>
      </w:r>
      <w:bookmarkEnd w:id="644"/>
    </w:p>
    <w:bookmarkEnd w:id="645"/>
    <w:bookmarkEnd w:id="646"/>
    <w:bookmarkEnd w:id="647"/>
    <w:p w14:paraId="16538657">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合同当事人可以就争议请求建设行政主管部门、行业协会或其他第三方进行调解，调解达成协议的，经双方签字并盖章后作为合同补充文件，双方均应遵照执行。</w:t>
      </w:r>
    </w:p>
    <w:p w14:paraId="6321BD74">
      <w:pPr>
        <w:pStyle w:val="8"/>
        <w:pageBreakBefore w:val="0"/>
        <w:kinsoku/>
        <w:wordWrap/>
        <w:overflowPunct/>
        <w:topLinePunct w:val="0"/>
        <w:bidi w:val="0"/>
        <w:snapToGrid/>
        <w:spacing w:before="0" w:after="0" w:line="390" w:lineRule="exact"/>
        <w:ind w:left="0" w:firstLine="420" w:firstLineChars="200"/>
        <w:textAlignment w:val="auto"/>
        <w:rPr>
          <w:rFonts w:hint="eastAsia" w:ascii="宋体" w:hAnsi="宋体" w:eastAsia="宋体" w:cs="宋体"/>
          <w:b w:val="0"/>
          <w:color w:val="auto"/>
          <w:sz w:val="21"/>
          <w:szCs w:val="21"/>
          <w:highlight w:val="none"/>
        </w:rPr>
      </w:pPr>
      <w:bookmarkStart w:id="648" w:name="_Toc351203629"/>
      <w:bookmarkStart w:id="649" w:name="_Toc337558843"/>
      <w:bookmarkStart w:id="650" w:name="_Toc296503149"/>
      <w:bookmarkStart w:id="651" w:name="_Toc296346650"/>
      <w:r>
        <w:rPr>
          <w:rFonts w:hint="eastAsia" w:ascii="宋体" w:hAnsi="宋体" w:eastAsia="宋体" w:cs="宋体"/>
          <w:b w:val="0"/>
          <w:color w:val="auto"/>
          <w:sz w:val="21"/>
          <w:szCs w:val="21"/>
          <w:highlight w:val="none"/>
        </w:rPr>
        <w:t>20.3争议评审</w:t>
      </w:r>
      <w:bookmarkEnd w:id="648"/>
    </w:p>
    <w:bookmarkEnd w:id="649"/>
    <w:bookmarkEnd w:id="650"/>
    <w:bookmarkEnd w:id="651"/>
    <w:p w14:paraId="56FF9EF9">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合同当事人在专用合同条款中约定采取争议评审方式解决争议以及评审规则，并按下列约定执行： </w:t>
      </w:r>
    </w:p>
    <w:p w14:paraId="3ABFDC47">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20.3.1 争议评审小组的确定</w:t>
      </w:r>
    </w:p>
    <w:p w14:paraId="5F6F2248">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合同当事人可以共同选择一名或三名争议评审员，组成争议评审小组。除专用合同条款另有约定外，合同当事人应当自合同签订后28天内，或者争议发生后14天内，选定争议评审员。</w:t>
      </w:r>
    </w:p>
    <w:p w14:paraId="00113EB2">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选择一名争议评审员的，由合同当事人共同确定；选择三名争议评审员的，各自选定一名，第三名成员为首席争议评审员，由合同当事人共同确定或由合同当事人委托已选定的争议评审员共同确定，或由专用合同条款约定的评审机构指定第三名首席争议评审员。 </w:t>
      </w:r>
    </w:p>
    <w:p w14:paraId="2570FD9E">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除专用合同条款另有约定外，评审员报酬由发包人和承包人各承担一半。</w:t>
      </w:r>
    </w:p>
    <w:p w14:paraId="7942926B">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20.3.2 争议评审小组的决定</w:t>
      </w:r>
    </w:p>
    <w:p w14:paraId="03C15EF3">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14天内作出书面决定，并说明理由。合同当事人可以在专用合同条款中对本项事项另行约定。</w:t>
      </w:r>
    </w:p>
    <w:p w14:paraId="6E38AE13">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20.3.3 争议评审小组决定的效力</w:t>
      </w:r>
    </w:p>
    <w:p w14:paraId="44F6C0D9">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争议评审小组作出的书面决定经合同当事人签字确认后，对双方具有约束力，双方应遵照执行。</w:t>
      </w:r>
    </w:p>
    <w:p w14:paraId="7C1916EA">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任何一方当事人不接受争议评审小组决定或不履行争议评审小组决定的，双方可选择采用其他争议解决方式。</w:t>
      </w:r>
    </w:p>
    <w:p w14:paraId="5577CC0A">
      <w:pPr>
        <w:pStyle w:val="8"/>
        <w:pageBreakBefore w:val="0"/>
        <w:kinsoku/>
        <w:wordWrap/>
        <w:overflowPunct/>
        <w:topLinePunct w:val="0"/>
        <w:bidi w:val="0"/>
        <w:snapToGrid/>
        <w:spacing w:before="0" w:after="0" w:line="390" w:lineRule="exact"/>
        <w:ind w:left="0" w:firstLine="420" w:firstLineChars="200"/>
        <w:textAlignment w:val="auto"/>
        <w:rPr>
          <w:rFonts w:hint="eastAsia" w:ascii="宋体" w:hAnsi="宋体" w:eastAsia="宋体" w:cs="宋体"/>
          <w:b w:val="0"/>
          <w:color w:val="auto"/>
          <w:sz w:val="21"/>
          <w:szCs w:val="21"/>
          <w:highlight w:val="none"/>
        </w:rPr>
      </w:pPr>
      <w:bookmarkStart w:id="652" w:name="_Toc351203630"/>
      <w:bookmarkStart w:id="653" w:name="_Toc296503150"/>
      <w:bookmarkStart w:id="654" w:name="_Toc337558844"/>
      <w:bookmarkStart w:id="655" w:name="_Toc296346651"/>
      <w:r>
        <w:rPr>
          <w:rFonts w:hint="eastAsia" w:ascii="宋体" w:hAnsi="宋体" w:eastAsia="宋体" w:cs="宋体"/>
          <w:b w:val="0"/>
          <w:color w:val="auto"/>
          <w:sz w:val="21"/>
          <w:szCs w:val="21"/>
          <w:highlight w:val="none"/>
        </w:rPr>
        <w:t>20.4仲裁或诉讼</w:t>
      </w:r>
      <w:bookmarkEnd w:id="652"/>
    </w:p>
    <w:bookmarkEnd w:id="653"/>
    <w:bookmarkEnd w:id="654"/>
    <w:bookmarkEnd w:id="655"/>
    <w:p w14:paraId="10F45FCC">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因合同及合同有关事项产生的争议，合同当事人可以在专用合同条款中约定以下一种方式解决争议：</w:t>
      </w:r>
    </w:p>
    <w:p w14:paraId="2A2576DA">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（1）向约定的仲裁委员会申请仲裁；</w:t>
      </w:r>
    </w:p>
    <w:p w14:paraId="344FD37C">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（2）向有管辖权的人民法院起诉。</w:t>
      </w:r>
    </w:p>
    <w:p w14:paraId="26AAB0D2">
      <w:pPr>
        <w:pStyle w:val="8"/>
        <w:pageBreakBefore w:val="0"/>
        <w:kinsoku/>
        <w:wordWrap/>
        <w:overflowPunct/>
        <w:topLinePunct w:val="0"/>
        <w:bidi w:val="0"/>
        <w:snapToGrid/>
        <w:spacing w:before="0" w:after="0" w:line="390" w:lineRule="exact"/>
        <w:ind w:left="0" w:firstLine="420" w:firstLineChars="200"/>
        <w:textAlignment w:val="auto"/>
        <w:rPr>
          <w:rFonts w:hint="eastAsia" w:ascii="宋体" w:hAnsi="宋体" w:eastAsia="宋体" w:cs="宋体"/>
          <w:b w:val="0"/>
          <w:color w:val="auto"/>
          <w:sz w:val="21"/>
          <w:szCs w:val="21"/>
          <w:highlight w:val="none"/>
        </w:rPr>
      </w:pPr>
      <w:bookmarkStart w:id="656" w:name="_Toc351203631"/>
      <w:bookmarkStart w:id="657" w:name="_Toc296346653"/>
      <w:bookmarkStart w:id="658" w:name="_Toc337558845"/>
      <w:bookmarkStart w:id="659" w:name="_Toc296503152"/>
      <w:r>
        <w:rPr>
          <w:rFonts w:hint="eastAsia" w:ascii="宋体" w:hAnsi="宋体" w:eastAsia="宋体" w:cs="宋体"/>
          <w:b w:val="0"/>
          <w:color w:val="auto"/>
          <w:sz w:val="21"/>
          <w:szCs w:val="21"/>
          <w:highlight w:val="none"/>
        </w:rPr>
        <w:t>20.5争议解决条款效力</w:t>
      </w:r>
      <w:bookmarkEnd w:id="656"/>
    </w:p>
    <w:bookmarkEnd w:id="657"/>
    <w:bookmarkEnd w:id="658"/>
    <w:bookmarkEnd w:id="659"/>
    <w:p w14:paraId="3ABF0E6E">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合同有关争议解决的条款独立存在，合同的变更、解除、终止、无效或者被撤销均不影响其效力。 </w:t>
      </w:r>
    </w:p>
    <w:p w14:paraId="57674221">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p>
    <w:p w14:paraId="5EDA2B5A">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p>
    <w:bookmarkEnd w:id="231"/>
    <w:p w14:paraId="4404A248">
      <w:pPr>
        <w:pStyle w:val="22"/>
        <w:ind w:left="63" w:right="63"/>
        <w:rPr>
          <w:color w:val="auto"/>
          <w:highlight w:val="none"/>
        </w:rPr>
        <w:sectPr>
          <w:footerReference r:id="rId7" w:type="default"/>
          <w:pgSz w:w="11906" w:h="16838"/>
          <w:pgMar w:top="1134" w:right="1134" w:bottom="1134" w:left="1418" w:header="851" w:footer="992" w:gutter="0"/>
          <w:pgNumType w:fmt="decimal"/>
          <w:cols w:space="720" w:num="1"/>
          <w:docGrid w:type="lines" w:linePitch="312" w:charSpace="0"/>
        </w:sectPr>
      </w:pPr>
    </w:p>
    <w:p w14:paraId="552152B2">
      <w:pPr>
        <w:pStyle w:val="38"/>
        <w:spacing w:line="400" w:lineRule="atLeast"/>
        <w:jc w:val="center"/>
        <w:rPr>
          <w:color w:val="auto"/>
          <w:highlight w:val="none"/>
        </w:rPr>
      </w:pPr>
      <w:bookmarkStart w:id="660" w:name="_Toc6905"/>
      <w:bookmarkStart w:id="661" w:name="_Toc256000171"/>
      <w:r>
        <w:rPr>
          <w:rFonts w:ascii="宋体"/>
          <w:color w:val="auto"/>
          <w:sz w:val="32"/>
          <w:highlight w:val="none"/>
        </w:rPr>
        <w:t>第</w:t>
      </w:r>
      <w:r>
        <w:rPr>
          <w:rFonts w:hint="eastAsia" w:ascii="宋体"/>
          <w:color w:val="auto"/>
          <w:sz w:val="32"/>
          <w:highlight w:val="none"/>
        </w:rPr>
        <w:t>三</w:t>
      </w:r>
      <w:r>
        <w:rPr>
          <w:rFonts w:ascii="宋体"/>
          <w:color w:val="auto"/>
          <w:sz w:val="32"/>
          <w:highlight w:val="none"/>
        </w:rPr>
        <w:t>部分 专用合同条款</w:t>
      </w:r>
      <w:bookmarkEnd w:id="660"/>
      <w:bookmarkEnd w:id="661"/>
    </w:p>
    <w:p w14:paraId="23E7EFC2">
      <w:pPr>
        <w:pStyle w:val="38"/>
        <w:spacing w:line="380" w:lineRule="exact"/>
        <w:rPr>
          <w:rFonts w:ascii="宋体" w:cs="宋体"/>
          <w:color w:val="auto"/>
          <w:highlight w:val="none"/>
        </w:rPr>
      </w:pPr>
      <w:bookmarkStart w:id="662" w:name="_Toc522201723"/>
      <w:bookmarkStart w:id="663" w:name="_Toc497747171"/>
      <w:bookmarkStart w:id="664" w:name="_Toc256000172"/>
      <w:bookmarkStart w:id="665" w:name="_Toc497746774"/>
      <w:bookmarkStart w:id="666" w:name="_Toc351203633"/>
      <w:bookmarkStart w:id="667" w:name="_Toc418751789"/>
      <w:bookmarkStart w:id="668" w:name="_Toc406522213"/>
      <w:bookmarkStart w:id="669" w:name="_Toc19640"/>
      <w:bookmarkStart w:id="670" w:name="_Toc418752235"/>
      <w:bookmarkStart w:id="671" w:name="_Toc484024116"/>
      <w:r>
        <w:rPr>
          <w:rFonts w:hint="eastAsia" w:ascii="宋体" w:cs="宋体"/>
          <w:color w:val="auto"/>
          <w:highlight w:val="none"/>
        </w:rPr>
        <w:t>1</w:t>
      </w:r>
      <w:bookmarkStart w:id="672" w:name="_Toc296346657"/>
      <w:bookmarkStart w:id="673" w:name="_Toc296891196"/>
      <w:bookmarkStart w:id="674" w:name="_Toc292559866"/>
      <w:bookmarkStart w:id="675" w:name="_Toc297048342"/>
      <w:bookmarkStart w:id="676" w:name="_Toc297120456"/>
      <w:bookmarkStart w:id="677" w:name="_Toc296347155"/>
      <w:bookmarkStart w:id="678" w:name="_Toc296890984"/>
      <w:bookmarkStart w:id="679" w:name="_Toc296944495"/>
      <w:bookmarkStart w:id="680" w:name="_Toc292559361"/>
      <w:bookmarkStart w:id="681" w:name="_Toc296503156"/>
      <w:r>
        <w:rPr>
          <w:rFonts w:hint="eastAsia" w:ascii="宋体" w:cs="宋体"/>
          <w:color w:val="auto"/>
          <w:highlight w:val="none"/>
        </w:rPr>
        <w:t>. 一般约定</w:t>
      </w:r>
      <w:bookmarkEnd w:id="662"/>
      <w:bookmarkEnd w:id="663"/>
      <w:bookmarkEnd w:id="664"/>
      <w:bookmarkEnd w:id="665"/>
      <w:bookmarkEnd w:id="666"/>
      <w:bookmarkEnd w:id="667"/>
      <w:bookmarkEnd w:id="668"/>
      <w:bookmarkEnd w:id="669"/>
      <w:bookmarkEnd w:id="670"/>
    </w:p>
    <w:bookmarkEnd w:id="672"/>
    <w:bookmarkEnd w:id="673"/>
    <w:bookmarkEnd w:id="674"/>
    <w:bookmarkEnd w:id="675"/>
    <w:bookmarkEnd w:id="676"/>
    <w:bookmarkEnd w:id="677"/>
    <w:bookmarkEnd w:id="678"/>
    <w:bookmarkEnd w:id="679"/>
    <w:bookmarkEnd w:id="680"/>
    <w:bookmarkEnd w:id="681"/>
    <w:p w14:paraId="48763F95">
      <w:pPr>
        <w:pStyle w:val="38"/>
        <w:spacing w:line="380" w:lineRule="exact"/>
        <w:ind w:firstLine="422" w:firstLineChars="200"/>
        <w:rPr>
          <w:rFonts w:ascii="宋体" w:cs="宋体"/>
          <w:color w:val="auto"/>
          <w:highlight w:val="none"/>
        </w:rPr>
      </w:pPr>
      <w:bookmarkStart w:id="682" w:name="_Toc418752236"/>
      <w:bookmarkStart w:id="683" w:name="_Toc522201724"/>
      <w:bookmarkStart w:id="684" w:name="_Toc256000173"/>
      <w:bookmarkStart w:id="685" w:name="_Toc497746775"/>
      <w:bookmarkStart w:id="686" w:name="_Toc497747172"/>
      <w:bookmarkStart w:id="687" w:name="_Toc406522214"/>
      <w:bookmarkStart w:id="688" w:name="_Toc418751790"/>
      <w:bookmarkStart w:id="689" w:name="_Toc23204"/>
      <w:r>
        <w:rPr>
          <w:rFonts w:hint="eastAsia" w:ascii="宋体" w:cs="宋体"/>
          <w:color w:val="auto"/>
          <w:highlight w:val="none"/>
        </w:rPr>
        <w:t>1.1 词语定义</w:t>
      </w:r>
      <w:bookmarkEnd w:id="682"/>
      <w:bookmarkEnd w:id="683"/>
      <w:bookmarkEnd w:id="684"/>
      <w:bookmarkEnd w:id="685"/>
      <w:bookmarkEnd w:id="686"/>
      <w:bookmarkEnd w:id="687"/>
      <w:bookmarkEnd w:id="688"/>
      <w:bookmarkEnd w:id="689"/>
    </w:p>
    <w:p w14:paraId="04640862">
      <w:pPr>
        <w:pStyle w:val="43"/>
        <w:spacing w:line="380" w:lineRule="exact"/>
        <w:rPr>
          <w:rFonts w:ascii="宋体" w:hAnsi="宋体" w:cs="宋体"/>
          <w:color w:val="auto"/>
          <w:highlight w:val="none"/>
        </w:rPr>
      </w:pPr>
      <w:r>
        <w:rPr>
          <w:rFonts w:hint="eastAsia" w:ascii="宋体" w:hAnsi="宋体" w:cs="宋体"/>
          <w:color w:val="auto"/>
          <w:highlight w:val="none"/>
        </w:rPr>
        <w:t>1.1.1合同</w:t>
      </w:r>
    </w:p>
    <w:p w14:paraId="25B23996">
      <w:pPr>
        <w:pStyle w:val="43"/>
        <w:spacing w:line="380" w:lineRule="exact"/>
        <w:rPr>
          <w:rFonts w:ascii="宋体" w:hAnsi="宋体" w:cs="宋体"/>
          <w:color w:val="auto"/>
          <w:highlight w:val="none"/>
          <w:u w:val="single"/>
        </w:rPr>
      </w:pPr>
      <w:r>
        <w:rPr>
          <w:rFonts w:hint="eastAsia" w:ascii="宋体" w:hAnsi="宋体" w:cs="宋体"/>
          <w:color w:val="auto"/>
          <w:highlight w:val="none"/>
        </w:rPr>
        <w:t>1.1.1.10其他合同文件包括：</w:t>
      </w:r>
      <w:r>
        <w:rPr>
          <w:rFonts w:hint="eastAsia" w:ascii="宋体" w:hAnsi="宋体" w:cs="宋体"/>
          <w:color w:val="auto"/>
          <w:highlight w:val="none"/>
          <w:u w:val="single"/>
        </w:rPr>
        <w:t>（1）本合同协议书；（2）中标通知书；（3）投标书及其附件；（4）本合同专用条款及补充条款；（5）本合同通用条款；（6）标准、规范及有关技术文件；（7）图纸（含图纸修改通知单及图纸设计变更文件）；（8）工程量清单；（9）本工程预算控制价造价成果文件及其他合同文件</w:t>
      </w:r>
      <w:r>
        <w:rPr>
          <w:rFonts w:hint="eastAsia" w:ascii="宋体" w:hAnsi="宋体" w:cs="宋体"/>
          <w:color w:val="auto"/>
          <w:highlight w:val="none"/>
        </w:rPr>
        <w:t>。</w:t>
      </w:r>
    </w:p>
    <w:p w14:paraId="525052E5">
      <w:pPr>
        <w:pStyle w:val="43"/>
        <w:spacing w:line="380" w:lineRule="exact"/>
        <w:rPr>
          <w:rFonts w:ascii="宋体" w:hAnsi="宋体" w:cs="宋体"/>
          <w:color w:val="auto"/>
          <w:highlight w:val="none"/>
        </w:rPr>
      </w:pPr>
      <w:r>
        <w:rPr>
          <w:rFonts w:hint="eastAsia" w:ascii="宋体" w:hAnsi="宋体" w:cs="宋体"/>
          <w:color w:val="auto"/>
          <w:highlight w:val="none"/>
        </w:rPr>
        <w:t>1.1.2 合同当事人及其他相关方</w:t>
      </w:r>
    </w:p>
    <w:p w14:paraId="6CA5BD61">
      <w:pPr>
        <w:pStyle w:val="43"/>
        <w:spacing w:line="380" w:lineRule="exact"/>
        <w:rPr>
          <w:rFonts w:ascii="宋体" w:hAnsi="宋体" w:cs="宋体"/>
          <w:color w:val="auto"/>
          <w:highlight w:val="none"/>
        </w:rPr>
      </w:pPr>
      <w:r>
        <w:rPr>
          <w:rFonts w:hint="eastAsia" w:ascii="宋体" w:hAnsi="宋体" w:cs="宋体"/>
          <w:color w:val="auto"/>
          <w:highlight w:val="none"/>
        </w:rPr>
        <w:t>1.1.2.4监理人：</w:t>
      </w:r>
    </w:p>
    <w:p w14:paraId="733FE897">
      <w:pPr>
        <w:pStyle w:val="43"/>
        <w:spacing w:line="380" w:lineRule="exact"/>
        <w:rPr>
          <w:rFonts w:ascii="宋体" w:hAnsi="宋体" w:cs="宋体"/>
          <w:color w:val="auto"/>
          <w:highlight w:val="none"/>
        </w:rPr>
      </w:pPr>
      <w:r>
        <w:rPr>
          <w:rFonts w:hint="eastAsia" w:ascii="宋体" w:hAnsi="宋体" w:cs="宋体"/>
          <w:color w:val="auto"/>
          <w:highlight w:val="none"/>
        </w:rPr>
        <w:t>名    称：</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71A0BD53">
      <w:pPr>
        <w:pStyle w:val="43"/>
        <w:spacing w:line="380" w:lineRule="exact"/>
        <w:rPr>
          <w:rFonts w:hint="eastAsia" w:ascii="宋体" w:hAnsi="宋体" w:cs="宋体"/>
          <w:color w:val="auto"/>
          <w:highlight w:val="none"/>
        </w:rPr>
      </w:pPr>
      <w:r>
        <w:rPr>
          <w:rFonts w:hint="eastAsia" w:ascii="宋体" w:hAnsi="宋体" w:cs="宋体"/>
          <w:color w:val="auto"/>
          <w:highlight w:val="none"/>
        </w:rPr>
        <w:t>资质类别和等级：</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17CA83AE">
      <w:pPr>
        <w:pStyle w:val="43"/>
        <w:spacing w:line="380" w:lineRule="exact"/>
        <w:rPr>
          <w:rFonts w:hint="eastAsia" w:ascii="宋体" w:hAnsi="宋体" w:cs="宋体"/>
          <w:color w:val="auto"/>
          <w:highlight w:val="none"/>
        </w:rPr>
      </w:pPr>
      <w:r>
        <w:rPr>
          <w:rFonts w:hint="eastAsia" w:ascii="宋体" w:hAnsi="宋体" w:cs="宋体"/>
          <w:color w:val="auto"/>
          <w:highlight w:val="none"/>
        </w:rPr>
        <w:t>联系电话：</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6F73BC92">
      <w:pPr>
        <w:pStyle w:val="43"/>
        <w:spacing w:line="380" w:lineRule="exact"/>
        <w:rPr>
          <w:rFonts w:hint="eastAsia" w:ascii="宋体" w:hAnsi="宋体" w:cs="宋体"/>
          <w:color w:val="auto"/>
          <w:highlight w:val="none"/>
        </w:rPr>
      </w:pPr>
      <w:r>
        <w:rPr>
          <w:rFonts w:hint="eastAsia" w:ascii="宋体" w:hAnsi="宋体" w:cs="宋体"/>
          <w:color w:val="auto"/>
          <w:highlight w:val="none"/>
        </w:rPr>
        <w:t>电子信箱：</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rPr>
        <w:t>；</w:t>
      </w:r>
    </w:p>
    <w:p w14:paraId="1C5A556F">
      <w:pPr>
        <w:pStyle w:val="43"/>
        <w:spacing w:line="380" w:lineRule="exact"/>
        <w:rPr>
          <w:rFonts w:hint="eastAsia" w:ascii="宋体" w:hAnsi="宋体" w:cs="宋体"/>
          <w:color w:val="auto"/>
          <w:highlight w:val="none"/>
        </w:rPr>
      </w:pPr>
      <w:r>
        <w:rPr>
          <w:rFonts w:hint="eastAsia" w:ascii="宋体" w:hAnsi="宋体" w:cs="宋体"/>
          <w:color w:val="auto"/>
          <w:highlight w:val="none"/>
        </w:rPr>
        <w:t>通信地址：</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rPr>
        <w:t>。</w:t>
      </w:r>
    </w:p>
    <w:p w14:paraId="54A4BB67">
      <w:pPr>
        <w:pStyle w:val="43"/>
        <w:spacing w:line="380" w:lineRule="exact"/>
        <w:rPr>
          <w:rFonts w:ascii="宋体" w:hAnsi="宋体" w:cs="宋体"/>
          <w:color w:val="auto"/>
          <w:highlight w:val="none"/>
        </w:rPr>
      </w:pPr>
      <w:r>
        <w:rPr>
          <w:rFonts w:hint="eastAsia" w:ascii="宋体" w:hAnsi="宋体" w:cs="宋体"/>
          <w:color w:val="auto"/>
          <w:highlight w:val="none"/>
        </w:rPr>
        <w:t>1.1.2.5 设计人：</w:t>
      </w:r>
    </w:p>
    <w:p w14:paraId="78BE96E9">
      <w:pPr>
        <w:pStyle w:val="43"/>
        <w:spacing w:line="380" w:lineRule="exact"/>
        <w:rPr>
          <w:rFonts w:ascii="宋体" w:hAnsi="宋体" w:cs="宋体"/>
          <w:color w:val="auto"/>
          <w:highlight w:val="none"/>
        </w:rPr>
      </w:pPr>
      <w:r>
        <w:rPr>
          <w:rFonts w:hint="eastAsia" w:ascii="宋体" w:hAnsi="宋体" w:cs="宋体"/>
          <w:color w:val="auto"/>
          <w:highlight w:val="none"/>
        </w:rPr>
        <w:t>名    称：</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35F7E1B4">
      <w:pPr>
        <w:pStyle w:val="43"/>
        <w:spacing w:line="380" w:lineRule="exact"/>
        <w:rPr>
          <w:rFonts w:ascii="宋体" w:hAnsi="宋体" w:cs="宋体"/>
          <w:color w:val="auto"/>
          <w:highlight w:val="none"/>
        </w:rPr>
      </w:pPr>
      <w:r>
        <w:rPr>
          <w:rFonts w:hint="eastAsia" w:ascii="宋体" w:hAnsi="宋体" w:cs="宋体"/>
          <w:color w:val="auto"/>
          <w:highlight w:val="none"/>
        </w:rPr>
        <w:t>资质类别和等级：</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0B5D0AD5">
      <w:pPr>
        <w:pStyle w:val="43"/>
        <w:spacing w:line="380" w:lineRule="exact"/>
        <w:rPr>
          <w:rFonts w:ascii="宋体" w:hAnsi="宋体" w:cs="宋体"/>
          <w:color w:val="auto"/>
          <w:highlight w:val="none"/>
        </w:rPr>
      </w:pPr>
      <w:r>
        <w:rPr>
          <w:rFonts w:hint="eastAsia" w:ascii="宋体" w:hAnsi="宋体" w:cs="宋体"/>
          <w:color w:val="auto"/>
          <w:highlight w:val="none"/>
        </w:rPr>
        <w:t>联系电话：</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7B9D6B25">
      <w:pPr>
        <w:pStyle w:val="43"/>
        <w:spacing w:line="380" w:lineRule="exact"/>
        <w:rPr>
          <w:rFonts w:ascii="宋体" w:hAnsi="宋体" w:cs="宋体"/>
          <w:color w:val="auto"/>
          <w:highlight w:val="none"/>
        </w:rPr>
      </w:pPr>
      <w:r>
        <w:rPr>
          <w:rFonts w:hint="eastAsia" w:ascii="宋体" w:hAnsi="宋体" w:cs="宋体"/>
          <w:color w:val="auto"/>
          <w:highlight w:val="none"/>
        </w:rPr>
        <w:t>电子信箱：</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302D0BAD">
      <w:pPr>
        <w:pStyle w:val="43"/>
        <w:spacing w:line="380" w:lineRule="exact"/>
        <w:rPr>
          <w:rFonts w:ascii="宋体" w:hAnsi="宋体" w:cs="宋体"/>
          <w:color w:val="auto"/>
          <w:highlight w:val="none"/>
        </w:rPr>
      </w:pPr>
      <w:r>
        <w:rPr>
          <w:rFonts w:hint="eastAsia" w:ascii="宋体" w:hAnsi="宋体" w:cs="宋体"/>
          <w:color w:val="auto"/>
          <w:highlight w:val="none"/>
        </w:rPr>
        <w:t>通信地址：</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24017639">
      <w:pPr>
        <w:pStyle w:val="43"/>
        <w:spacing w:line="380" w:lineRule="exact"/>
        <w:rPr>
          <w:rFonts w:ascii="宋体" w:hAnsi="宋体" w:cs="宋体"/>
          <w:color w:val="auto"/>
          <w:highlight w:val="none"/>
        </w:rPr>
      </w:pPr>
      <w:r>
        <w:rPr>
          <w:rFonts w:hint="eastAsia" w:ascii="宋体" w:hAnsi="宋体" w:cs="宋体"/>
          <w:color w:val="auto"/>
          <w:highlight w:val="none"/>
        </w:rPr>
        <w:t>1.1.3 工程和设备</w:t>
      </w:r>
    </w:p>
    <w:p w14:paraId="6EF7981A">
      <w:pPr>
        <w:pStyle w:val="43"/>
        <w:spacing w:line="380" w:lineRule="exact"/>
        <w:rPr>
          <w:rFonts w:ascii="宋体" w:hAnsi="宋体" w:cs="宋体"/>
          <w:color w:val="auto"/>
          <w:highlight w:val="none"/>
        </w:rPr>
      </w:pPr>
      <w:r>
        <w:rPr>
          <w:rFonts w:hint="eastAsia" w:ascii="宋体" w:hAnsi="宋体" w:cs="宋体"/>
          <w:color w:val="auto"/>
          <w:highlight w:val="none"/>
        </w:rPr>
        <w:t>1.1.3.7 作为施工现场组成部分的其他场所包括：</w:t>
      </w:r>
      <w:r>
        <w:rPr>
          <w:rFonts w:hint="eastAsia" w:ascii="宋体" w:hAnsi="宋体" w:cs="宋体"/>
          <w:color w:val="auto"/>
          <w:highlight w:val="none"/>
          <w:u w:val="single"/>
        </w:rPr>
        <w:t xml:space="preserve">  按通用条款执行</w:t>
      </w:r>
      <w:r>
        <w:rPr>
          <w:rFonts w:hint="eastAsia" w:ascii="宋体" w:hAnsi="宋体" w:cs="宋体"/>
          <w:color w:val="auto"/>
          <w:highlight w:val="none"/>
        </w:rPr>
        <w:t>。</w:t>
      </w:r>
    </w:p>
    <w:p w14:paraId="78E32626">
      <w:pPr>
        <w:pStyle w:val="43"/>
        <w:spacing w:line="380" w:lineRule="exact"/>
        <w:rPr>
          <w:rFonts w:ascii="宋体" w:hAnsi="宋体" w:cs="宋体"/>
          <w:color w:val="auto"/>
          <w:highlight w:val="none"/>
        </w:rPr>
      </w:pPr>
      <w:r>
        <w:rPr>
          <w:rFonts w:hint="eastAsia" w:ascii="宋体" w:hAnsi="宋体" w:cs="宋体"/>
          <w:color w:val="auto"/>
          <w:highlight w:val="none"/>
        </w:rPr>
        <w:t>1.1.3.9 永久占地包括：</w:t>
      </w:r>
      <w:r>
        <w:rPr>
          <w:rFonts w:hint="eastAsia" w:ascii="宋体" w:hAnsi="宋体" w:cs="宋体"/>
          <w:color w:val="auto"/>
          <w:highlight w:val="none"/>
          <w:u w:val="single"/>
        </w:rPr>
        <w:t xml:space="preserve">  为实施工程需永久占用的土地</w:t>
      </w:r>
      <w:r>
        <w:rPr>
          <w:rFonts w:ascii="宋体" w:hAnsi="宋体" w:cs="宋体"/>
          <w:color w:val="auto"/>
          <w:highlight w:val="none"/>
          <w:u w:val="single"/>
        </w:rPr>
        <w:t></w:t>
      </w:r>
      <w:r>
        <w:rPr>
          <w:rFonts w:hint="eastAsia" w:ascii="宋体" w:hAnsi="宋体" w:cs="宋体"/>
          <w:color w:val="auto"/>
          <w:highlight w:val="none"/>
        </w:rPr>
        <w:t>。</w:t>
      </w:r>
    </w:p>
    <w:p w14:paraId="37F43C83">
      <w:pPr>
        <w:pStyle w:val="43"/>
        <w:spacing w:line="380" w:lineRule="exact"/>
        <w:rPr>
          <w:rFonts w:ascii="宋体" w:hAnsi="宋体" w:cs="宋体"/>
          <w:color w:val="auto"/>
          <w:highlight w:val="none"/>
        </w:rPr>
      </w:pPr>
      <w:r>
        <w:rPr>
          <w:rFonts w:hint="eastAsia" w:ascii="宋体" w:hAnsi="宋体" w:cs="宋体"/>
          <w:color w:val="auto"/>
          <w:highlight w:val="none"/>
        </w:rPr>
        <w:t>1.1.3.10 临时占地包括：</w:t>
      </w:r>
      <w:r>
        <w:rPr>
          <w:rFonts w:hint="eastAsia" w:ascii="宋体" w:hAnsi="宋体" w:cs="宋体"/>
          <w:color w:val="auto"/>
          <w:highlight w:val="none"/>
          <w:u w:val="single"/>
        </w:rPr>
        <w:t xml:space="preserve"> 为实施工程需临时占用的土地 </w:t>
      </w:r>
      <w:r>
        <w:rPr>
          <w:rFonts w:hint="eastAsia" w:ascii="宋体" w:hAnsi="宋体" w:cs="宋体"/>
          <w:color w:val="auto"/>
          <w:highlight w:val="none"/>
        </w:rPr>
        <w:t>。</w:t>
      </w:r>
    </w:p>
    <w:p w14:paraId="55E23BCD">
      <w:pPr>
        <w:pStyle w:val="38"/>
        <w:spacing w:line="380" w:lineRule="exact"/>
        <w:ind w:firstLine="422" w:firstLineChars="200"/>
        <w:rPr>
          <w:rFonts w:ascii="宋体" w:cs="宋体"/>
          <w:color w:val="auto"/>
          <w:highlight w:val="none"/>
        </w:rPr>
      </w:pPr>
      <w:bookmarkStart w:id="690" w:name="_Toc406522215"/>
      <w:bookmarkStart w:id="691" w:name="_Toc418751791"/>
      <w:bookmarkStart w:id="692" w:name="_Toc522201725"/>
      <w:bookmarkStart w:id="693" w:name="_Toc418752237"/>
      <w:bookmarkStart w:id="694" w:name="_Toc256000174"/>
      <w:bookmarkStart w:id="695" w:name="_Toc497746776"/>
      <w:bookmarkStart w:id="696" w:name="_Toc497747173"/>
      <w:bookmarkStart w:id="697" w:name="_Toc1749"/>
      <w:r>
        <w:rPr>
          <w:rFonts w:hint="eastAsia" w:ascii="宋体" w:cs="宋体"/>
          <w:color w:val="auto"/>
          <w:highlight w:val="none"/>
        </w:rPr>
        <w:t>1.3法律</w:t>
      </w:r>
      <w:bookmarkEnd w:id="690"/>
      <w:bookmarkEnd w:id="691"/>
      <w:bookmarkEnd w:id="692"/>
      <w:bookmarkEnd w:id="693"/>
      <w:bookmarkEnd w:id="694"/>
      <w:bookmarkEnd w:id="695"/>
      <w:bookmarkEnd w:id="696"/>
      <w:bookmarkEnd w:id="697"/>
      <w:r>
        <w:rPr>
          <w:rFonts w:hint="eastAsia" w:ascii="宋体" w:cs="宋体"/>
          <w:color w:val="auto"/>
          <w:highlight w:val="none"/>
        </w:rPr>
        <w:t xml:space="preserve"> </w:t>
      </w:r>
    </w:p>
    <w:p w14:paraId="1269B6AE">
      <w:pPr>
        <w:pStyle w:val="43"/>
        <w:spacing w:line="380" w:lineRule="exact"/>
        <w:rPr>
          <w:rFonts w:ascii="宋体" w:hAnsi="宋体" w:cs="宋体"/>
          <w:color w:val="auto"/>
          <w:highlight w:val="none"/>
        </w:rPr>
      </w:pPr>
      <w:r>
        <w:rPr>
          <w:rFonts w:hint="eastAsia" w:ascii="宋体" w:hAnsi="宋体" w:cs="宋体"/>
          <w:color w:val="auto"/>
          <w:highlight w:val="none"/>
        </w:rPr>
        <w:t>适用于合同的其他规范性文件：</w:t>
      </w:r>
      <w:r>
        <w:rPr>
          <w:rFonts w:hint="eastAsia" w:ascii="宋体" w:hAnsi="宋体" w:cs="宋体"/>
          <w:color w:val="auto"/>
          <w:highlight w:val="none"/>
          <w:u w:val="single"/>
        </w:rPr>
        <w:t>同通用条款</w:t>
      </w:r>
      <w:r>
        <w:rPr>
          <w:rFonts w:hint="eastAsia" w:ascii="宋体" w:hAnsi="宋体" w:cs="宋体"/>
          <w:color w:val="auto"/>
          <w:highlight w:val="none"/>
        </w:rPr>
        <w:t>。</w:t>
      </w:r>
    </w:p>
    <w:p w14:paraId="5A183175">
      <w:pPr>
        <w:pStyle w:val="38"/>
        <w:spacing w:line="380" w:lineRule="exact"/>
        <w:ind w:firstLine="422" w:firstLineChars="200"/>
        <w:rPr>
          <w:rFonts w:ascii="宋体" w:cs="宋体"/>
          <w:color w:val="auto"/>
          <w:highlight w:val="none"/>
        </w:rPr>
      </w:pPr>
      <w:bookmarkStart w:id="698" w:name="_Toc497746777"/>
      <w:bookmarkStart w:id="699" w:name="_Toc418752238"/>
      <w:bookmarkStart w:id="700" w:name="_Toc406522216"/>
      <w:bookmarkStart w:id="701" w:name="_Toc531"/>
      <w:bookmarkStart w:id="702" w:name="_Toc497747174"/>
      <w:bookmarkStart w:id="703" w:name="_Toc418751792"/>
      <w:bookmarkStart w:id="704" w:name="_Toc522201726"/>
      <w:bookmarkStart w:id="705" w:name="_Toc256000175"/>
      <w:r>
        <w:rPr>
          <w:rFonts w:hint="eastAsia" w:ascii="宋体" w:cs="宋体"/>
          <w:color w:val="auto"/>
          <w:highlight w:val="none"/>
        </w:rPr>
        <w:t>1.4 标准和规范</w:t>
      </w:r>
      <w:bookmarkEnd w:id="698"/>
      <w:bookmarkEnd w:id="699"/>
      <w:bookmarkEnd w:id="700"/>
      <w:bookmarkEnd w:id="701"/>
      <w:bookmarkEnd w:id="702"/>
      <w:bookmarkEnd w:id="703"/>
      <w:bookmarkEnd w:id="704"/>
      <w:bookmarkEnd w:id="705"/>
    </w:p>
    <w:p w14:paraId="015CB733">
      <w:pPr>
        <w:pStyle w:val="43"/>
        <w:spacing w:line="380" w:lineRule="exact"/>
        <w:rPr>
          <w:rFonts w:ascii="宋体" w:hAnsi="宋体" w:cs="宋体"/>
          <w:color w:val="auto"/>
          <w:highlight w:val="none"/>
        </w:rPr>
      </w:pPr>
      <w:r>
        <w:rPr>
          <w:rFonts w:hint="eastAsia" w:ascii="宋体" w:hAnsi="宋体" w:cs="宋体"/>
          <w:color w:val="auto"/>
          <w:highlight w:val="none"/>
        </w:rPr>
        <w:t>1.4.1适用于工程的标准规范包括：</w:t>
      </w:r>
      <w:r>
        <w:rPr>
          <w:rFonts w:hint="eastAsia" w:ascii="宋体" w:hAnsi="宋体" w:cs="宋体"/>
          <w:color w:val="auto"/>
          <w:highlight w:val="none"/>
          <w:u w:val="single"/>
        </w:rPr>
        <w:t>现行国家、地方、部门有关标准规范</w:t>
      </w:r>
      <w:r>
        <w:rPr>
          <w:rFonts w:hint="eastAsia" w:ascii="宋体" w:hAnsi="宋体" w:cs="宋体"/>
          <w:color w:val="auto"/>
          <w:highlight w:val="none"/>
        </w:rPr>
        <w:t>。</w:t>
      </w:r>
    </w:p>
    <w:p w14:paraId="54E9E3AB">
      <w:pPr>
        <w:pStyle w:val="43"/>
        <w:spacing w:line="380" w:lineRule="exact"/>
        <w:rPr>
          <w:rFonts w:ascii="宋体" w:hAnsi="宋体" w:cs="宋体"/>
          <w:color w:val="auto"/>
          <w:highlight w:val="none"/>
        </w:rPr>
      </w:pPr>
      <w:r>
        <w:rPr>
          <w:rFonts w:hint="eastAsia" w:ascii="宋体" w:hAnsi="宋体" w:cs="宋体"/>
          <w:color w:val="auto"/>
          <w:highlight w:val="none"/>
        </w:rPr>
        <w:t>1.4.2 发包人提供国外标准、规范的名称：</w:t>
      </w:r>
      <w:r>
        <w:rPr>
          <w:rFonts w:hint="eastAsia" w:ascii="宋体" w:hAnsi="宋体" w:cs="宋体"/>
          <w:color w:val="auto"/>
          <w:highlight w:val="none"/>
          <w:u w:val="single"/>
        </w:rPr>
        <w:t xml:space="preserve"> 无 </w:t>
      </w:r>
      <w:r>
        <w:rPr>
          <w:rFonts w:hint="eastAsia" w:ascii="宋体" w:hAnsi="宋体" w:cs="宋体"/>
          <w:color w:val="auto"/>
          <w:highlight w:val="none"/>
        </w:rPr>
        <w:t>；</w:t>
      </w:r>
    </w:p>
    <w:p w14:paraId="15DCF54E">
      <w:pPr>
        <w:pStyle w:val="43"/>
        <w:spacing w:line="380" w:lineRule="exact"/>
        <w:rPr>
          <w:rFonts w:ascii="宋体" w:hAnsi="宋体" w:cs="宋体"/>
          <w:color w:val="auto"/>
          <w:highlight w:val="none"/>
        </w:rPr>
      </w:pPr>
      <w:r>
        <w:rPr>
          <w:rFonts w:hint="eastAsia" w:ascii="宋体" w:hAnsi="宋体" w:cs="宋体"/>
          <w:color w:val="auto"/>
          <w:highlight w:val="none"/>
        </w:rPr>
        <w:t>发包人提供国外标准、规范的份数：</w:t>
      </w:r>
      <w:r>
        <w:rPr>
          <w:rFonts w:hint="eastAsia" w:ascii="宋体" w:hAnsi="宋体" w:cs="宋体"/>
          <w:color w:val="auto"/>
          <w:highlight w:val="none"/>
          <w:u w:val="single"/>
        </w:rPr>
        <w:t xml:space="preserve">  无 </w:t>
      </w:r>
      <w:r>
        <w:rPr>
          <w:rFonts w:hint="eastAsia" w:ascii="宋体" w:hAnsi="宋体" w:cs="宋体"/>
          <w:color w:val="auto"/>
          <w:highlight w:val="none"/>
        </w:rPr>
        <w:t>；</w:t>
      </w:r>
    </w:p>
    <w:p w14:paraId="609619FC">
      <w:pPr>
        <w:pStyle w:val="43"/>
        <w:spacing w:line="380" w:lineRule="exact"/>
        <w:rPr>
          <w:rFonts w:ascii="宋体" w:hAnsi="宋体" w:cs="宋体"/>
          <w:color w:val="auto"/>
          <w:highlight w:val="none"/>
        </w:rPr>
      </w:pPr>
      <w:r>
        <w:rPr>
          <w:rFonts w:hint="eastAsia" w:ascii="宋体" w:hAnsi="宋体" w:cs="宋体"/>
          <w:color w:val="auto"/>
          <w:highlight w:val="none"/>
        </w:rPr>
        <w:t>发包人提供国外标准、规范的名称：</w:t>
      </w:r>
      <w:r>
        <w:rPr>
          <w:rFonts w:hint="eastAsia" w:ascii="宋体" w:hAnsi="宋体" w:cs="宋体"/>
          <w:color w:val="auto"/>
          <w:highlight w:val="none"/>
          <w:u w:val="single"/>
        </w:rPr>
        <w:t xml:space="preserve"> 无 </w:t>
      </w:r>
      <w:r>
        <w:rPr>
          <w:rFonts w:hint="eastAsia" w:ascii="宋体" w:hAnsi="宋体" w:cs="宋体"/>
          <w:color w:val="auto"/>
          <w:highlight w:val="none"/>
        </w:rPr>
        <w:t>。</w:t>
      </w:r>
    </w:p>
    <w:p w14:paraId="14CD9236">
      <w:pPr>
        <w:pStyle w:val="43"/>
        <w:spacing w:line="380" w:lineRule="exact"/>
        <w:rPr>
          <w:rFonts w:ascii="宋体" w:hAnsi="宋体" w:cs="宋体"/>
          <w:color w:val="auto"/>
          <w:highlight w:val="none"/>
        </w:rPr>
      </w:pPr>
      <w:r>
        <w:rPr>
          <w:rFonts w:hint="eastAsia" w:ascii="宋体" w:hAnsi="宋体" w:cs="宋体"/>
          <w:color w:val="auto"/>
          <w:highlight w:val="none"/>
        </w:rPr>
        <w:t>1.4.3发包人对工程的技术标准和功能要求的特殊要求：</w:t>
      </w:r>
      <w:r>
        <w:rPr>
          <w:rFonts w:hint="eastAsia" w:ascii="宋体" w:hAnsi="宋体" w:cs="宋体"/>
          <w:color w:val="auto"/>
          <w:highlight w:val="none"/>
          <w:u w:val="single"/>
        </w:rPr>
        <w:t xml:space="preserve">无 </w:t>
      </w:r>
      <w:r>
        <w:rPr>
          <w:rFonts w:hint="eastAsia" w:ascii="宋体" w:hAnsi="宋体" w:cs="宋体"/>
          <w:color w:val="auto"/>
          <w:highlight w:val="none"/>
        </w:rPr>
        <w:t>。</w:t>
      </w:r>
    </w:p>
    <w:p w14:paraId="2DA81401">
      <w:pPr>
        <w:pStyle w:val="38"/>
        <w:spacing w:line="380" w:lineRule="exact"/>
        <w:ind w:firstLine="422" w:firstLineChars="200"/>
        <w:rPr>
          <w:rFonts w:ascii="宋体" w:cs="宋体"/>
          <w:color w:val="auto"/>
          <w:highlight w:val="none"/>
        </w:rPr>
      </w:pPr>
      <w:bookmarkStart w:id="706" w:name="_Toc19412"/>
      <w:bookmarkStart w:id="707" w:name="_Toc406522217"/>
      <w:bookmarkStart w:id="708" w:name="_Toc497747175"/>
      <w:bookmarkStart w:id="709" w:name="_Toc497746778"/>
      <w:bookmarkStart w:id="710" w:name="_Toc256000176"/>
      <w:bookmarkStart w:id="711" w:name="_Toc418752239"/>
      <w:bookmarkStart w:id="712" w:name="_Toc522201727"/>
      <w:bookmarkStart w:id="713" w:name="_Toc418751793"/>
      <w:r>
        <w:rPr>
          <w:rFonts w:hint="eastAsia" w:ascii="宋体" w:cs="宋体"/>
          <w:color w:val="auto"/>
          <w:highlight w:val="none"/>
        </w:rPr>
        <w:t>1.5 合同文件的优先顺序</w:t>
      </w:r>
      <w:bookmarkEnd w:id="706"/>
      <w:bookmarkEnd w:id="707"/>
      <w:bookmarkEnd w:id="708"/>
      <w:bookmarkEnd w:id="709"/>
      <w:bookmarkEnd w:id="710"/>
      <w:bookmarkEnd w:id="711"/>
      <w:bookmarkEnd w:id="712"/>
      <w:bookmarkEnd w:id="713"/>
    </w:p>
    <w:p w14:paraId="1D281A29">
      <w:pPr>
        <w:pStyle w:val="23"/>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合同文件组成及优先顺序为：</w:t>
      </w:r>
    </w:p>
    <w:p w14:paraId="5BDA816A">
      <w:pPr>
        <w:pStyle w:val="23"/>
        <w:spacing w:line="38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（1）合同协议书；</w:t>
      </w:r>
    </w:p>
    <w:p w14:paraId="72DA883E">
      <w:pPr>
        <w:pStyle w:val="23"/>
        <w:spacing w:line="38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（2）中标通知书（如果有）；</w:t>
      </w:r>
    </w:p>
    <w:p w14:paraId="1E86C127">
      <w:pPr>
        <w:pStyle w:val="23"/>
        <w:spacing w:line="38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（3）投标函及其附录（如果有）；</w:t>
      </w:r>
    </w:p>
    <w:p w14:paraId="03A6305B">
      <w:pPr>
        <w:pStyle w:val="23"/>
        <w:spacing w:line="38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（4）专用合同条款及其附件；</w:t>
      </w:r>
    </w:p>
    <w:p w14:paraId="76C68079">
      <w:pPr>
        <w:pStyle w:val="23"/>
        <w:spacing w:line="38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（5）通用合同条款；</w:t>
      </w:r>
    </w:p>
    <w:p w14:paraId="27F1B664">
      <w:pPr>
        <w:pStyle w:val="23"/>
        <w:spacing w:line="38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（6）技术标准和要求 ；</w:t>
      </w:r>
    </w:p>
    <w:p w14:paraId="55954914">
      <w:pPr>
        <w:pStyle w:val="23"/>
        <w:spacing w:line="38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（7）图纸（含图纸修改通知单及图纸设计变更文件） ；</w:t>
      </w:r>
    </w:p>
    <w:p w14:paraId="401D671C">
      <w:pPr>
        <w:pStyle w:val="23"/>
        <w:spacing w:line="38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（8）已标价工程量清单 ；</w:t>
      </w:r>
    </w:p>
    <w:p w14:paraId="77956BED">
      <w:pPr>
        <w:pStyle w:val="23"/>
        <w:spacing w:line="38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（9）其他合同文件（包括本工程预算控制价造价成果文件、招标文件等文件）；</w:t>
      </w:r>
    </w:p>
    <w:p w14:paraId="2EF36D1E">
      <w:pPr>
        <w:pStyle w:val="23"/>
        <w:spacing w:line="38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10）《建设工程工程量清单计价规范（GB5050-2013）》及其广西实施细则及《关于建筑业实施营业税改征增值税后广西壮族自治区建设工程计价依据调整的通知》（桂建标〔2016〕17号）、《建设工程工程量清单计算规范（</w:t>
      </w:r>
      <w:r>
        <w:rPr>
          <w:rFonts w:hint="eastAsia" w:ascii="宋体" w:hAnsi="宋体" w:cs="宋体"/>
          <w:color w:val="auto"/>
          <w:kern w:val="0"/>
          <w:szCs w:val="21"/>
          <w:highlight w:val="none"/>
          <w:lang w:eastAsia="zh-CN"/>
        </w:rPr>
        <w:t>GB50854</w:t>
      </w:r>
      <w:r>
        <w:rPr>
          <w:rFonts w:hint="eastAsia" w:ascii="宋体" w:hAnsi="宋体" w:cs="宋体"/>
          <w:color w:val="auto"/>
          <w:kern w:val="0"/>
          <w:szCs w:val="21"/>
          <w:highlight w:val="none"/>
        </w:rPr>
        <w:t>～50862-2013）》及其广西实施细则（修订本）。</w:t>
      </w:r>
    </w:p>
    <w:p w14:paraId="4CC57F6E">
      <w:pPr>
        <w:pStyle w:val="38"/>
        <w:spacing w:line="380" w:lineRule="exact"/>
        <w:ind w:firstLine="422" w:firstLineChars="200"/>
        <w:rPr>
          <w:rFonts w:ascii="宋体" w:cs="宋体"/>
          <w:color w:val="auto"/>
          <w:kern w:val="0"/>
          <w:highlight w:val="none"/>
        </w:rPr>
      </w:pPr>
      <w:bookmarkStart w:id="714" w:name="_Toc19283"/>
      <w:bookmarkStart w:id="715" w:name="_Toc256000177"/>
      <w:bookmarkStart w:id="716" w:name="_Toc406522218"/>
      <w:bookmarkStart w:id="717" w:name="_Toc418752240"/>
      <w:bookmarkStart w:id="718" w:name="_Toc497746779"/>
      <w:bookmarkStart w:id="719" w:name="_Toc497747176"/>
      <w:bookmarkStart w:id="720" w:name="_Toc522201728"/>
      <w:bookmarkStart w:id="721" w:name="_Toc418751794"/>
      <w:r>
        <w:rPr>
          <w:rFonts w:hint="eastAsia" w:ascii="宋体" w:cs="宋体"/>
          <w:color w:val="auto"/>
          <w:kern w:val="0"/>
          <w:highlight w:val="none"/>
        </w:rPr>
        <w:t>说明：（6）、（7）、（8）、（9）填空内容分别限于技术标准和要求、图纸、已标价工程量清单或预算书、其他合同文件四者之一，其优先顺序可根据采取的不同合同方式由双方约定。</w:t>
      </w:r>
      <w:bookmarkEnd w:id="714"/>
      <w:bookmarkEnd w:id="715"/>
    </w:p>
    <w:p w14:paraId="6EE425B5">
      <w:pPr>
        <w:pStyle w:val="38"/>
        <w:spacing w:line="380" w:lineRule="exact"/>
        <w:ind w:firstLine="422" w:firstLineChars="200"/>
        <w:rPr>
          <w:rFonts w:ascii="宋体" w:cs="宋体"/>
          <w:color w:val="auto"/>
          <w:highlight w:val="none"/>
        </w:rPr>
      </w:pPr>
      <w:bookmarkStart w:id="722" w:name="_Toc18690"/>
      <w:bookmarkStart w:id="723" w:name="_Toc256000178"/>
      <w:r>
        <w:rPr>
          <w:rFonts w:hint="eastAsia" w:ascii="宋体" w:cs="宋体"/>
          <w:color w:val="auto"/>
          <w:highlight w:val="none"/>
        </w:rPr>
        <w:t>1.6 图纸和承包人文件</w:t>
      </w:r>
      <w:bookmarkEnd w:id="716"/>
      <w:bookmarkEnd w:id="717"/>
      <w:bookmarkEnd w:id="718"/>
      <w:bookmarkEnd w:id="719"/>
      <w:bookmarkEnd w:id="720"/>
      <w:bookmarkEnd w:id="721"/>
      <w:bookmarkEnd w:id="722"/>
      <w:bookmarkEnd w:id="723"/>
      <w:r>
        <w:rPr>
          <w:rFonts w:hint="eastAsia" w:ascii="宋体" w:cs="宋体"/>
          <w:color w:val="auto"/>
          <w:highlight w:val="none"/>
        </w:rPr>
        <w:tab/>
      </w:r>
    </w:p>
    <w:p w14:paraId="1E2D48C2">
      <w:pPr>
        <w:pStyle w:val="43"/>
        <w:spacing w:line="380" w:lineRule="exact"/>
        <w:rPr>
          <w:rFonts w:ascii="宋体" w:hAnsi="宋体" w:cs="宋体"/>
          <w:color w:val="auto"/>
          <w:highlight w:val="none"/>
        </w:rPr>
      </w:pPr>
      <w:r>
        <w:rPr>
          <w:rFonts w:hint="eastAsia" w:ascii="宋体" w:hAnsi="宋体" w:cs="宋体"/>
          <w:color w:val="auto"/>
          <w:highlight w:val="none"/>
        </w:rPr>
        <w:t>1.6.1 图纸的提供</w:t>
      </w:r>
    </w:p>
    <w:p w14:paraId="0F4ADBAF">
      <w:pPr>
        <w:pStyle w:val="23"/>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发包人向承包人提供图纸的期限：</w:t>
      </w:r>
      <w:r>
        <w:rPr>
          <w:rFonts w:hint="eastAsia" w:ascii="宋体" w:hAnsi="宋体" w:cs="宋体"/>
          <w:color w:val="auto"/>
          <w:szCs w:val="21"/>
          <w:highlight w:val="none"/>
          <w:u w:val="single"/>
        </w:rPr>
        <w:t>合同签订生效后7天内</w:t>
      </w:r>
      <w:r>
        <w:rPr>
          <w:rFonts w:hint="eastAsia" w:ascii="宋体" w:hAnsi="宋体" w:cs="宋体"/>
          <w:color w:val="auto"/>
          <w:szCs w:val="21"/>
          <w:highlight w:val="none"/>
        </w:rPr>
        <w:t>；</w:t>
      </w:r>
    </w:p>
    <w:p w14:paraId="2671DA11">
      <w:pPr>
        <w:pStyle w:val="23"/>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发包人向承包人提供图纸的数量：</w:t>
      </w:r>
      <w:r>
        <w:rPr>
          <w:rFonts w:hint="eastAsia" w:ascii="宋体" w:hAnsi="宋体" w:cs="宋体"/>
          <w:color w:val="auto"/>
          <w:szCs w:val="21"/>
          <w:highlight w:val="none"/>
          <w:u w:val="single"/>
        </w:rPr>
        <w:t>贰份，上述图纸及技术资料，未经监理工程师和发包人同意，承包人不得提供给与本工程无关的第三方。承包人需要增加图纸套数的，承包人自行复制，复制费用由承包人承担。</w:t>
      </w:r>
    </w:p>
    <w:p w14:paraId="5260F34C">
      <w:pPr>
        <w:pStyle w:val="23"/>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发包人向承包人提供图纸的内容：</w:t>
      </w:r>
      <w:r>
        <w:rPr>
          <w:rFonts w:hint="eastAsia" w:ascii="宋体" w:hAnsi="宋体" w:cs="宋体"/>
          <w:color w:val="auto"/>
          <w:kern w:val="0"/>
          <w:szCs w:val="21"/>
          <w:highlight w:val="none"/>
          <w:u w:val="single"/>
        </w:rPr>
        <w:t>经备案的全套施工图纸和其他技术资料</w:t>
      </w:r>
      <w:r>
        <w:rPr>
          <w:rFonts w:hint="eastAsia" w:ascii="宋体" w:hAnsi="宋体" w:cs="宋体"/>
          <w:color w:val="auto"/>
          <w:szCs w:val="21"/>
          <w:highlight w:val="none"/>
        </w:rPr>
        <w:t>。</w:t>
      </w:r>
    </w:p>
    <w:p w14:paraId="38766844">
      <w:pPr>
        <w:pStyle w:val="23"/>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1.6.4 承包人文件</w:t>
      </w:r>
    </w:p>
    <w:p w14:paraId="5474111E">
      <w:pPr>
        <w:pStyle w:val="23"/>
        <w:spacing w:line="3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需要由承包人提供的文件，包括：</w:t>
      </w:r>
      <w:r>
        <w:rPr>
          <w:rFonts w:hint="eastAsia" w:ascii="宋体" w:hAnsi="宋体" w:cs="宋体"/>
          <w:color w:val="auto"/>
          <w:szCs w:val="21"/>
          <w:highlight w:val="none"/>
          <w:u w:val="single"/>
        </w:rPr>
        <w:t>1、施工组织设计；2、工程进度计划；3、管理人员名单、职称、职务、上岗证等；4、安全文明施工措施；5、质量保证体系；6、每月25日前提供当月施工统计报表和下月进度计划各一份交监理工程师及发包人；7</w:t>
      </w:r>
      <w:r>
        <w:rPr>
          <w:rFonts w:hint="eastAsia" w:ascii="宋体" w:hAnsi="宋体" w:cs="宋体"/>
          <w:color w:val="auto"/>
          <w:szCs w:val="21"/>
          <w:highlight w:val="none"/>
          <w:u w:val="single"/>
          <w:lang w:val="zh-CN"/>
        </w:rPr>
        <w:t>、</w:t>
      </w:r>
      <w:r>
        <w:rPr>
          <w:rFonts w:hint="eastAsia" w:ascii="宋体" w:hAnsi="宋体" w:cs="宋体"/>
          <w:color w:val="auto"/>
          <w:szCs w:val="21"/>
          <w:highlight w:val="none"/>
          <w:u w:val="single"/>
        </w:rPr>
        <w:t>施工图以外的大样图、加工图、标准图、以及建筑装饰深化设计图纸设计优化建议等。但设计成果文件需经原设计单位审核及认可。最终设计成果归发包人所有。</w:t>
      </w:r>
    </w:p>
    <w:p w14:paraId="3AD622B4">
      <w:pPr>
        <w:pStyle w:val="23"/>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承包人提供的文件的期限为：</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u w:val="single"/>
        </w:rPr>
        <w:t xml:space="preserve">开始施工前7天内  </w:t>
      </w:r>
      <w:r>
        <w:rPr>
          <w:rFonts w:hint="eastAsia" w:ascii="宋体" w:hAnsi="宋体" w:cs="宋体"/>
          <w:color w:val="auto"/>
          <w:szCs w:val="21"/>
          <w:highlight w:val="none"/>
        </w:rPr>
        <w:t>；</w:t>
      </w:r>
    </w:p>
    <w:p w14:paraId="068594AC">
      <w:pPr>
        <w:pStyle w:val="23"/>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承包人提供的文件的数量为：</w:t>
      </w:r>
      <w:r>
        <w:rPr>
          <w:rFonts w:hint="eastAsia" w:ascii="宋体" w:hAnsi="宋体" w:cs="宋体"/>
          <w:color w:val="auto"/>
          <w:szCs w:val="21"/>
          <w:highlight w:val="none"/>
          <w:u w:val="single"/>
        </w:rPr>
        <w:t xml:space="preserve">  6</w:t>
      </w:r>
      <w:r>
        <w:rPr>
          <w:rFonts w:hint="eastAsia" w:ascii="宋体" w:hAnsi="宋体" w:cs="宋体"/>
          <w:color w:val="auto"/>
          <w:kern w:val="0"/>
          <w:szCs w:val="21"/>
          <w:highlight w:val="none"/>
          <w:u w:val="single"/>
        </w:rPr>
        <w:t>份</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2694A1F1">
      <w:pPr>
        <w:pStyle w:val="23"/>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承包人提供的文件的形式为：</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u w:val="single"/>
        </w:rPr>
        <w:t>纸质版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5BBB1072">
      <w:pPr>
        <w:pStyle w:val="43"/>
        <w:spacing w:line="380" w:lineRule="exact"/>
        <w:rPr>
          <w:rFonts w:ascii="宋体" w:hAnsi="宋体" w:cs="宋体"/>
          <w:color w:val="auto"/>
          <w:highlight w:val="none"/>
        </w:rPr>
      </w:pPr>
      <w:r>
        <w:rPr>
          <w:rFonts w:hint="eastAsia" w:ascii="宋体" w:hAnsi="宋体" w:cs="宋体"/>
          <w:color w:val="auto"/>
          <w:highlight w:val="none"/>
        </w:rPr>
        <w:t>发包人审批承包人文件的期限：</w:t>
      </w:r>
      <w:r>
        <w:rPr>
          <w:rFonts w:hint="eastAsia" w:ascii="宋体" w:hAnsi="宋体" w:cs="宋体"/>
          <w:color w:val="auto"/>
          <w:highlight w:val="none"/>
          <w:u w:val="single"/>
        </w:rPr>
        <w:t xml:space="preserve"> 收到承包人提供的文件后七天内 </w:t>
      </w:r>
      <w:r>
        <w:rPr>
          <w:rFonts w:hint="eastAsia" w:ascii="宋体" w:hAnsi="宋体" w:cs="宋体"/>
          <w:color w:val="auto"/>
          <w:highlight w:val="none"/>
        </w:rPr>
        <w:t>。</w:t>
      </w:r>
    </w:p>
    <w:p w14:paraId="44596D66">
      <w:pPr>
        <w:pStyle w:val="43"/>
        <w:spacing w:line="380" w:lineRule="exact"/>
        <w:rPr>
          <w:rFonts w:ascii="宋体" w:hAnsi="宋体" w:cs="宋体"/>
          <w:color w:val="auto"/>
          <w:highlight w:val="none"/>
        </w:rPr>
      </w:pPr>
      <w:r>
        <w:rPr>
          <w:rFonts w:hint="eastAsia" w:ascii="宋体" w:hAnsi="宋体" w:cs="宋体"/>
          <w:color w:val="auto"/>
          <w:highlight w:val="none"/>
        </w:rPr>
        <w:t>1.6.5 现场图纸准备</w:t>
      </w:r>
    </w:p>
    <w:p w14:paraId="1C9E8C99">
      <w:pPr>
        <w:pStyle w:val="43"/>
        <w:spacing w:line="380" w:lineRule="exact"/>
        <w:rPr>
          <w:rFonts w:ascii="宋体" w:hAnsi="宋体" w:cs="宋体"/>
          <w:color w:val="auto"/>
          <w:highlight w:val="none"/>
        </w:rPr>
      </w:pPr>
      <w:r>
        <w:rPr>
          <w:rFonts w:hint="eastAsia" w:ascii="宋体" w:hAnsi="宋体" w:cs="宋体"/>
          <w:color w:val="auto"/>
          <w:highlight w:val="none"/>
        </w:rPr>
        <w:t>关于现场图纸准备的约定：</w:t>
      </w:r>
      <w:r>
        <w:rPr>
          <w:rFonts w:hint="eastAsia" w:ascii="宋体" w:hAnsi="宋体" w:cs="宋体"/>
          <w:color w:val="auto"/>
          <w:highlight w:val="none"/>
          <w:u w:val="single"/>
        </w:rPr>
        <w:t xml:space="preserve">  按通用条款执行</w:t>
      </w:r>
      <w:r>
        <w:rPr>
          <w:rFonts w:hint="eastAsia" w:ascii="宋体" w:hAnsi="宋体" w:cs="宋体"/>
          <w:color w:val="auto"/>
          <w:highlight w:val="none"/>
        </w:rPr>
        <w:t>。</w:t>
      </w:r>
    </w:p>
    <w:p w14:paraId="31F2B211">
      <w:pPr>
        <w:pStyle w:val="38"/>
        <w:spacing w:line="380" w:lineRule="exact"/>
        <w:ind w:firstLine="422" w:firstLineChars="200"/>
        <w:rPr>
          <w:rFonts w:ascii="宋体" w:cs="宋体"/>
          <w:color w:val="auto"/>
          <w:highlight w:val="none"/>
        </w:rPr>
      </w:pPr>
      <w:bookmarkStart w:id="724" w:name="_Toc406522219"/>
      <w:bookmarkStart w:id="725" w:name="_Toc497747177"/>
      <w:bookmarkStart w:id="726" w:name="_Toc497746780"/>
      <w:bookmarkStart w:id="727" w:name="_Toc25636"/>
      <w:bookmarkStart w:id="728" w:name="_Toc256000179"/>
      <w:bookmarkStart w:id="729" w:name="_Toc418752241"/>
      <w:bookmarkStart w:id="730" w:name="_Toc418751795"/>
      <w:bookmarkStart w:id="731" w:name="_Toc522201729"/>
      <w:r>
        <w:rPr>
          <w:rFonts w:hint="eastAsia" w:ascii="宋体" w:cs="宋体"/>
          <w:color w:val="auto"/>
          <w:highlight w:val="none"/>
        </w:rPr>
        <w:t>1.7 联络</w:t>
      </w:r>
      <w:bookmarkEnd w:id="724"/>
      <w:bookmarkEnd w:id="725"/>
      <w:bookmarkEnd w:id="726"/>
      <w:bookmarkEnd w:id="727"/>
      <w:bookmarkEnd w:id="728"/>
      <w:bookmarkEnd w:id="729"/>
      <w:bookmarkEnd w:id="730"/>
      <w:bookmarkEnd w:id="731"/>
    </w:p>
    <w:p w14:paraId="621F71AE">
      <w:pPr>
        <w:pStyle w:val="43"/>
        <w:spacing w:line="380" w:lineRule="exact"/>
        <w:rPr>
          <w:rFonts w:ascii="宋体" w:hAnsi="宋体" w:cs="宋体"/>
          <w:color w:val="auto"/>
          <w:highlight w:val="none"/>
        </w:rPr>
      </w:pPr>
      <w:r>
        <w:rPr>
          <w:rFonts w:hint="eastAsia" w:ascii="宋体" w:hAnsi="宋体" w:cs="宋体"/>
          <w:color w:val="auto"/>
          <w:highlight w:val="none"/>
        </w:rPr>
        <w:t>1.7.1发包人和承包人应当在</w:t>
      </w:r>
      <w:r>
        <w:rPr>
          <w:rFonts w:hint="eastAsia" w:ascii="宋体" w:hAnsi="宋体" w:cs="宋体"/>
          <w:color w:val="auto"/>
          <w:highlight w:val="none"/>
          <w:u w:val="single"/>
        </w:rPr>
        <w:t xml:space="preserve">  7 </w:t>
      </w:r>
      <w:r>
        <w:rPr>
          <w:rFonts w:hint="eastAsia" w:ascii="宋体" w:hAnsi="宋体" w:cs="宋体"/>
          <w:color w:val="auto"/>
          <w:highlight w:val="none"/>
        </w:rPr>
        <w:t>天内将与合同有关的通知、批准、证明、证书、指示、指令、要求、请求、同意、意见、确定和决定等书面函件送达对方当事人。</w:t>
      </w:r>
    </w:p>
    <w:p w14:paraId="6AC5E1AE">
      <w:pPr>
        <w:pStyle w:val="23"/>
        <w:spacing w:line="38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1.7.2发包人接收文件的地点：</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rPr>
        <w:t>；</w:t>
      </w:r>
    </w:p>
    <w:p w14:paraId="1F110BEF">
      <w:pPr>
        <w:pStyle w:val="23"/>
        <w:spacing w:line="38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发包人指定的接收人为：</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p>
    <w:p w14:paraId="7E79972E">
      <w:pPr>
        <w:pStyle w:val="23"/>
        <w:spacing w:line="38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承包人接收文件的地点：</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u w:val="single"/>
        </w:rPr>
        <w:t>施工现场项目部</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rPr>
        <w:t>；</w:t>
      </w:r>
    </w:p>
    <w:p w14:paraId="2D8AF89F">
      <w:pPr>
        <w:pStyle w:val="23"/>
        <w:spacing w:line="38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承包人指定的接收人为：</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rPr>
        <w:t>。</w:t>
      </w:r>
    </w:p>
    <w:p w14:paraId="6949597C">
      <w:pPr>
        <w:pStyle w:val="23"/>
        <w:spacing w:line="38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监理人接收文件的地点：</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rPr>
        <w:t>；</w:t>
      </w:r>
    </w:p>
    <w:p w14:paraId="7D280F2F">
      <w:pPr>
        <w:pStyle w:val="43"/>
        <w:spacing w:line="380" w:lineRule="exact"/>
        <w:rPr>
          <w:rFonts w:ascii="宋体" w:hAnsi="宋体" w:cs="宋体"/>
          <w:color w:val="auto"/>
          <w:highlight w:val="none"/>
        </w:rPr>
      </w:pPr>
      <w:r>
        <w:rPr>
          <w:rFonts w:hint="eastAsia" w:ascii="宋体" w:hAnsi="宋体" w:cs="宋体"/>
          <w:color w:val="auto"/>
          <w:highlight w:val="none"/>
        </w:rPr>
        <w:t>监理人指定的接收人为：</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61478CA2">
      <w:pPr>
        <w:pStyle w:val="38"/>
        <w:spacing w:line="380" w:lineRule="exact"/>
        <w:ind w:firstLine="422" w:firstLineChars="200"/>
        <w:rPr>
          <w:rFonts w:ascii="宋体" w:cs="宋体"/>
          <w:color w:val="auto"/>
          <w:highlight w:val="none"/>
        </w:rPr>
      </w:pPr>
      <w:bookmarkStart w:id="732" w:name="_Toc418752242"/>
      <w:bookmarkStart w:id="733" w:name="_Toc418751796"/>
      <w:bookmarkStart w:id="734" w:name="_Toc31771"/>
      <w:bookmarkStart w:id="735" w:name="_Toc406522220"/>
      <w:bookmarkStart w:id="736" w:name="_Toc497747178"/>
      <w:bookmarkStart w:id="737" w:name="_Toc522201730"/>
      <w:bookmarkStart w:id="738" w:name="_Toc497746781"/>
      <w:bookmarkStart w:id="739" w:name="_Toc256000180"/>
      <w:r>
        <w:rPr>
          <w:rFonts w:hint="eastAsia" w:ascii="宋体" w:cs="宋体"/>
          <w:color w:val="auto"/>
          <w:highlight w:val="none"/>
        </w:rPr>
        <w:t>1.10 交通运输</w:t>
      </w:r>
      <w:bookmarkEnd w:id="732"/>
      <w:bookmarkEnd w:id="733"/>
      <w:bookmarkEnd w:id="734"/>
      <w:bookmarkEnd w:id="735"/>
      <w:bookmarkEnd w:id="736"/>
      <w:bookmarkEnd w:id="737"/>
      <w:bookmarkEnd w:id="738"/>
      <w:bookmarkEnd w:id="739"/>
    </w:p>
    <w:p w14:paraId="395B0D6D">
      <w:pPr>
        <w:pStyle w:val="43"/>
        <w:spacing w:line="380" w:lineRule="exact"/>
        <w:rPr>
          <w:rFonts w:ascii="宋体" w:hAnsi="宋体" w:cs="宋体"/>
          <w:color w:val="auto"/>
          <w:highlight w:val="none"/>
        </w:rPr>
      </w:pPr>
      <w:r>
        <w:rPr>
          <w:rFonts w:hint="eastAsia" w:ascii="宋体" w:hAnsi="宋体" w:cs="宋体"/>
          <w:color w:val="auto"/>
          <w:highlight w:val="none"/>
        </w:rPr>
        <w:t>1</w:t>
      </w:r>
      <w:bookmarkStart w:id="740" w:name="_Toc304295521"/>
      <w:bookmarkStart w:id="741" w:name="_Toc300934943"/>
      <w:bookmarkStart w:id="742" w:name="_Toc318581155"/>
      <w:bookmarkStart w:id="743" w:name="_Toc312677986"/>
      <w:bookmarkStart w:id="744" w:name="_Toc303539100"/>
      <w:r>
        <w:rPr>
          <w:rFonts w:hint="eastAsia" w:ascii="宋体" w:hAnsi="宋体" w:cs="宋体"/>
          <w:color w:val="auto"/>
          <w:highlight w:val="none"/>
        </w:rPr>
        <w:t>.10.1 出入现场的权利</w:t>
      </w:r>
    </w:p>
    <w:p w14:paraId="06AED35A">
      <w:pPr>
        <w:pStyle w:val="43"/>
        <w:spacing w:line="380" w:lineRule="exact"/>
        <w:rPr>
          <w:rFonts w:ascii="宋体" w:hAnsi="宋体" w:cs="宋体"/>
          <w:color w:val="auto"/>
          <w:highlight w:val="none"/>
        </w:rPr>
      </w:pPr>
      <w:r>
        <w:rPr>
          <w:rFonts w:hint="eastAsia" w:ascii="宋体" w:hAnsi="宋体" w:cs="宋体"/>
          <w:color w:val="auto"/>
          <w:highlight w:val="none"/>
        </w:rPr>
        <w:t>关于出入现场的权利的约定：</w:t>
      </w:r>
      <w:r>
        <w:rPr>
          <w:rFonts w:hint="eastAsia" w:ascii="宋体" w:hAnsi="宋体" w:cs="宋体"/>
          <w:color w:val="auto"/>
          <w:highlight w:val="none"/>
          <w:u w:val="single"/>
        </w:rPr>
        <w:t xml:space="preserve"> 除正常施工涉及的人员及车辆外，其他人员及车辆进出场内须经过发包人同意，且由承包人进行管理登记 </w:t>
      </w:r>
      <w:r>
        <w:rPr>
          <w:rFonts w:hint="eastAsia" w:ascii="宋体" w:hAnsi="宋体" w:cs="宋体"/>
          <w:color w:val="auto"/>
          <w:highlight w:val="none"/>
        </w:rPr>
        <w:t>。</w:t>
      </w:r>
    </w:p>
    <w:bookmarkEnd w:id="740"/>
    <w:bookmarkEnd w:id="741"/>
    <w:bookmarkEnd w:id="742"/>
    <w:bookmarkEnd w:id="743"/>
    <w:bookmarkEnd w:id="744"/>
    <w:p w14:paraId="6E3084DA">
      <w:pPr>
        <w:pStyle w:val="43"/>
        <w:spacing w:line="380" w:lineRule="exact"/>
        <w:rPr>
          <w:rFonts w:ascii="宋体" w:hAnsi="宋体" w:cs="宋体"/>
          <w:color w:val="auto"/>
          <w:highlight w:val="none"/>
        </w:rPr>
      </w:pPr>
      <w:r>
        <w:rPr>
          <w:rFonts w:hint="eastAsia" w:ascii="宋体" w:hAnsi="宋体" w:cs="宋体"/>
          <w:color w:val="auto"/>
          <w:highlight w:val="none"/>
        </w:rPr>
        <w:t>1</w:t>
      </w:r>
      <w:bookmarkStart w:id="745" w:name="_Toc312677987"/>
      <w:bookmarkStart w:id="746" w:name="_Toc318581156"/>
      <w:bookmarkStart w:id="747" w:name="_Toc303539101"/>
      <w:bookmarkStart w:id="748" w:name="_Toc300934944"/>
      <w:bookmarkStart w:id="749" w:name="_Toc304295522"/>
      <w:r>
        <w:rPr>
          <w:rFonts w:hint="eastAsia" w:ascii="宋体" w:hAnsi="宋体" w:cs="宋体"/>
          <w:color w:val="auto"/>
          <w:highlight w:val="none"/>
        </w:rPr>
        <w:t>.10.3 场内交通</w:t>
      </w:r>
    </w:p>
    <w:p w14:paraId="76038152">
      <w:pPr>
        <w:pStyle w:val="43"/>
        <w:spacing w:line="380" w:lineRule="exact"/>
        <w:rPr>
          <w:rFonts w:ascii="宋体" w:hAnsi="宋体" w:cs="宋体"/>
          <w:color w:val="auto"/>
          <w:highlight w:val="none"/>
        </w:rPr>
      </w:pPr>
      <w:r>
        <w:rPr>
          <w:rFonts w:hint="eastAsia" w:ascii="宋体" w:hAnsi="宋体" w:cs="宋体"/>
          <w:color w:val="auto"/>
          <w:highlight w:val="none"/>
        </w:rPr>
        <w:t>关于场外交通和场内交通的边界的约定：</w:t>
      </w:r>
      <w:r>
        <w:rPr>
          <w:rFonts w:hint="eastAsia" w:ascii="宋体" w:hAnsi="宋体" w:cs="宋体"/>
          <w:color w:val="auto"/>
          <w:highlight w:val="none"/>
          <w:u w:val="single"/>
        </w:rPr>
        <w:t xml:space="preserve">  规划批复总平用地红线  </w:t>
      </w:r>
      <w:r>
        <w:rPr>
          <w:rFonts w:hint="eastAsia" w:ascii="宋体" w:hAnsi="宋体" w:cs="宋体"/>
          <w:color w:val="auto"/>
          <w:highlight w:val="none"/>
        </w:rPr>
        <w:t>。</w:t>
      </w:r>
    </w:p>
    <w:p w14:paraId="0E3807C8">
      <w:pPr>
        <w:pStyle w:val="43"/>
        <w:spacing w:line="380" w:lineRule="exact"/>
        <w:rPr>
          <w:rFonts w:ascii="宋体" w:hAnsi="宋体" w:cs="宋体"/>
          <w:color w:val="auto"/>
          <w:highlight w:val="none"/>
        </w:rPr>
      </w:pPr>
      <w:r>
        <w:rPr>
          <w:rFonts w:hint="eastAsia" w:ascii="宋体" w:hAnsi="宋体" w:cs="宋体"/>
          <w:color w:val="auto"/>
          <w:highlight w:val="none"/>
        </w:rPr>
        <w:t>关于发包人向承包人免费提供满足工程施工需要的场内道路和交通设施的约定：</w:t>
      </w:r>
      <w:r>
        <w:rPr>
          <w:rFonts w:hint="eastAsia" w:ascii="宋体" w:hAnsi="宋体" w:cs="宋体"/>
          <w:color w:val="auto"/>
          <w:highlight w:val="none"/>
          <w:u w:val="single"/>
        </w:rPr>
        <w:t>承包人负责场内道路和交通设施的修建并承担相应费用</w:t>
      </w:r>
      <w:r>
        <w:rPr>
          <w:rFonts w:hint="eastAsia" w:ascii="宋体" w:hAnsi="宋体" w:cs="宋体"/>
          <w:color w:val="auto"/>
          <w:highlight w:val="none"/>
        </w:rPr>
        <w:t>。</w:t>
      </w:r>
      <w:bookmarkEnd w:id="745"/>
      <w:bookmarkEnd w:id="746"/>
      <w:bookmarkEnd w:id="747"/>
      <w:bookmarkEnd w:id="748"/>
      <w:bookmarkEnd w:id="749"/>
      <w:r>
        <w:rPr>
          <w:rFonts w:hint="eastAsia" w:ascii="宋体" w:hAnsi="宋体" w:cs="宋体"/>
          <w:color w:val="auto"/>
          <w:highlight w:val="none"/>
        </w:rPr>
        <w:t xml:space="preserve">  </w:t>
      </w:r>
      <w:bookmarkStart w:id="750" w:name="_Toc318581157"/>
    </w:p>
    <w:p w14:paraId="2EC5076B">
      <w:pPr>
        <w:pStyle w:val="43"/>
        <w:spacing w:line="380" w:lineRule="exact"/>
        <w:rPr>
          <w:rFonts w:ascii="宋体" w:hAnsi="宋体" w:cs="宋体"/>
          <w:color w:val="auto"/>
          <w:highlight w:val="none"/>
        </w:rPr>
      </w:pPr>
      <w:r>
        <w:rPr>
          <w:rFonts w:hint="eastAsia" w:ascii="宋体" w:hAnsi="宋体" w:cs="宋体"/>
          <w:color w:val="auto"/>
          <w:highlight w:val="none"/>
        </w:rPr>
        <w:t>1.10.4超大件和超重件的运输</w:t>
      </w:r>
    </w:p>
    <w:p w14:paraId="33D47E39">
      <w:pPr>
        <w:pStyle w:val="43"/>
        <w:spacing w:line="380" w:lineRule="exact"/>
        <w:rPr>
          <w:rFonts w:ascii="宋体" w:hAnsi="宋体" w:cs="宋体"/>
          <w:color w:val="auto"/>
          <w:highlight w:val="none"/>
        </w:rPr>
      </w:pPr>
      <w:r>
        <w:rPr>
          <w:rFonts w:hint="eastAsia" w:ascii="宋体" w:hAnsi="宋体" w:cs="宋体"/>
          <w:color w:val="auto"/>
          <w:highlight w:val="none"/>
        </w:rPr>
        <w:t>运输超大件或超重件所需的道路和桥梁临时加固改造费用和其他有关费用由</w:t>
      </w:r>
      <w:r>
        <w:rPr>
          <w:rFonts w:hint="eastAsia" w:ascii="宋体" w:hAnsi="宋体" w:cs="宋体"/>
          <w:color w:val="auto"/>
          <w:highlight w:val="none"/>
          <w:u w:val="single"/>
        </w:rPr>
        <w:t>承包人</w:t>
      </w:r>
      <w:r>
        <w:rPr>
          <w:rFonts w:hint="eastAsia" w:ascii="宋体" w:hAnsi="宋体" w:cs="宋体"/>
          <w:color w:val="auto"/>
          <w:highlight w:val="none"/>
        </w:rPr>
        <w:t>承担。</w:t>
      </w:r>
    </w:p>
    <w:bookmarkEnd w:id="750"/>
    <w:p w14:paraId="237A5BEC">
      <w:pPr>
        <w:pStyle w:val="38"/>
        <w:spacing w:line="380" w:lineRule="exact"/>
        <w:ind w:firstLine="422" w:firstLineChars="200"/>
        <w:rPr>
          <w:rFonts w:ascii="宋体" w:cs="宋体"/>
          <w:color w:val="auto"/>
          <w:highlight w:val="none"/>
        </w:rPr>
      </w:pPr>
      <w:bookmarkStart w:id="751" w:name="_Toc418752243"/>
      <w:bookmarkStart w:id="752" w:name="_Toc256000181"/>
      <w:bookmarkStart w:id="753" w:name="_Toc522201731"/>
      <w:bookmarkStart w:id="754" w:name="_Toc497747179"/>
      <w:bookmarkStart w:id="755" w:name="_Toc17997"/>
      <w:bookmarkStart w:id="756" w:name="_Toc406522221"/>
      <w:bookmarkStart w:id="757" w:name="_Toc497746782"/>
      <w:bookmarkStart w:id="758" w:name="_Toc418751797"/>
      <w:r>
        <w:rPr>
          <w:rFonts w:hint="eastAsia" w:ascii="宋体" w:cs="宋体"/>
          <w:color w:val="auto"/>
          <w:highlight w:val="none"/>
        </w:rPr>
        <w:t>1.11 知识产权</w:t>
      </w:r>
      <w:bookmarkEnd w:id="751"/>
      <w:bookmarkEnd w:id="752"/>
      <w:bookmarkEnd w:id="753"/>
      <w:bookmarkEnd w:id="754"/>
      <w:bookmarkEnd w:id="755"/>
      <w:bookmarkEnd w:id="756"/>
      <w:bookmarkEnd w:id="757"/>
      <w:bookmarkEnd w:id="758"/>
    </w:p>
    <w:p w14:paraId="25EE90C5">
      <w:pPr>
        <w:pStyle w:val="43"/>
        <w:spacing w:line="380" w:lineRule="exact"/>
        <w:rPr>
          <w:rFonts w:ascii="宋体" w:hAnsi="宋体" w:cs="宋体"/>
          <w:color w:val="auto"/>
          <w:highlight w:val="none"/>
        </w:rPr>
      </w:pPr>
      <w:r>
        <w:rPr>
          <w:rFonts w:hint="eastAsia" w:ascii="宋体" w:hAnsi="宋体" w:cs="宋体"/>
          <w:color w:val="auto"/>
          <w:highlight w:val="none"/>
        </w:rPr>
        <w:t>1.11.1关于发包人提供给承包人的图纸、发包人为实施工程自行编制或委托编制的技术规范以及反映发包人关于合同要求或其他类似性质的文件的著作权的归属：</w:t>
      </w:r>
      <w:r>
        <w:rPr>
          <w:rFonts w:hint="eastAsia" w:ascii="宋体" w:hAnsi="宋体" w:cs="宋体"/>
          <w:color w:val="auto"/>
          <w:highlight w:val="none"/>
          <w:u w:val="single"/>
        </w:rPr>
        <w:t>著作权属于发包人</w:t>
      </w:r>
      <w:r>
        <w:rPr>
          <w:rFonts w:hint="eastAsia" w:ascii="宋体" w:hAnsi="宋体" w:cs="宋体"/>
          <w:color w:val="auto"/>
          <w:highlight w:val="none"/>
        </w:rPr>
        <w:t>。</w:t>
      </w:r>
    </w:p>
    <w:p w14:paraId="184F8D81">
      <w:pPr>
        <w:pStyle w:val="43"/>
        <w:spacing w:line="380" w:lineRule="exact"/>
        <w:rPr>
          <w:rFonts w:ascii="宋体" w:hAnsi="宋体" w:cs="宋体"/>
          <w:color w:val="auto"/>
          <w:highlight w:val="none"/>
        </w:rPr>
      </w:pPr>
      <w:r>
        <w:rPr>
          <w:rFonts w:hint="eastAsia" w:ascii="宋体" w:hAnsi="宋体" w:cs="宋体"/>
          <w:color w:val="auto"/>
          <w:highlight w:val="none"/>
        </w:rPr>
        <w:t>关于发包人提供的上述文件的使用限制的要求：</w:t>
      </w:r>
      <w:r>
        <w:rPr>
          <w:rFonts w:hint="eastAsia" w:ascii="宋体" w:hAnsi="宋体" w:cs="宋体"/>
          <w:color w:val="auto"/>
          <w:highlight w:val="none"/>
          <w:u w:val="single"/>
        </w:rPr>
        <w:t>未经发包人同意，承包人不得为了合同以外的目的而复制、使用上述文件或将之提供给任何第三方</w:t>
      </w:r>
      <w:r>
        <w:rPr>
          <w:rFonts w:hint="eastAsia" w:ascii="宋体" w:hAnsi="宋体" w:cs="宋体"/>
          <w:color w:val="auto"/>
          <w:highlight w:val="none"/>
        </w:rPr>
        <w:t>。</w:t>
      </w:r>
    </w:p>
    <w:p w14:paraId="636A7A7E">
      <w:pPr>
        <w:pStyle w:val="43"/>
        <w:spacing w:line="380" w:lineRule="exact"/>
        <w:rPr>
          <w:rFonts w:ascii="宋体" w:hAnsi="宋体" w:cs="宋体"/>
          <w:color w:val="auto"/>
          <w:highlight w:val="none"/>
        </w:rPr>
      </w:pPr>
      <w:r>
        <w:rPr>
          <w:rFonts w:hint="eastAsia" w:ascii="宋体" w:hAnsi="宋体" w:cs="宋体"/>
          <w:color w:val="auto"/>
          <w:highlight w:val="none"/>
        </w:rPr>
        <w:t>1.11.2 关于承包人为实施工程所编制文件的著作权的归属：</w:t>
      </w:r>
      <w:r>
        <w:rPr>
          <w:rFonts w:hint="eastAsia" w:ascii="宋体" w:hAnsi="宋体" w:cs="宋体"/>
          <w:color w:val="auto"/>
          <w:highlight w:val="none"/>
          <w:u w:val="single"/>
        </w:rPr>
        <w:t>除署名以外著作权属于发包人</w:t>
      </w:r>
      <w:r>
        <w:rPr>
          <w:rFonts w:hint="eastAsia" w:ascii="宋体" w:hAnsi="宋体" w:cs="宋体"/>
          <w:color w:val="auto"/>
          <w:highlight w:val="none"/>
        </w:rPr>
        <w:t>。</w:t>
      </w:r>
    </w:p>
    <w:p w14:paraId="3CE553B3">
      <w:pPr>
        <w:pStyle w:val="43"/>
        <w:spacing w:line="380" w:lineRule="exact"/>
        <w:rPr>
          <w:rFonts w:ascii="宋体" w:hAnsi="宋体" w:cs="宋体"/>
          <w:color w:val="auto"/>
          <w:highlight w:val="none"/>
        </w:rPr>
      </w:pPr>
      <w:r>
        <w:rPr>
          <w:rFonts w:hint="eastAsia" w:ascii="宋体" w:hAnsi="宋体" w:cs="宋体"/>
          <w:color w:val="auto"/>
          <w:highlight w:val="none"/>
        </w:rPr>
        <w:t>关于承包人提供的上述文件的使用限制的要求：</w:t>
      </w:r>
      <w:r>
        <w:rPr>
          <w:rFonts w:hint="eastAsia" w:ascii="宋体" w:hAnsi="宋体" w:cs="宋体"/>
          <w:color w:val="auto"/>
          <w:highlight w:val="none"/>
          <w:u w:val="single"/>
        </w:rPr>
        <w:t>未经发包人同意，承包人不得为了合同以外的目的而复制、使用上述文件或将之提供给任何第三方</w:t>
      </w:r>
      <w:r>
        <w:rPr>
          <w:rFonts w:hint="eastAsia" w:ascii="宋体" w:hAnsi="宋体" w:cs="宋体"/>
          <w:color w:val="auto"/>
          <w:highlight w:val="none"/>
        </w:rPr>
        <w:t>。</w:t>
      </w:r>
    </w:p>
    <w:p w14:paraId="5809FAA9">
      <w:pPr>
        <w:pStyle w:val="43"/>
        <w:spacing w:line="380" w:lineRule="exact"/>
        <w:rPr>
          <w:rFonts w:ascii="宋体" w:hAnsi="宋体" w:cs="宋体"/>
          <w:color w:val="auto"/>
          <w:highlight w:val="none"/>
          <w:u w:val="single"/>
        </w:rPr>
      </w:pPr>
      <w:r>
        <w:rPr>
          <w:rFonts w:hint="eastAsia" w:ascii="宋体" w:hAnsi="宋体" w:cs="宋体"/>
          <w:color w:val="auto"/>
          <w:highlight w:val="none"/>
        </w:rPr>
        <w:t>1.11.4 承包人在施工过程中所采用的专利、专有技术、技术秘密的使用费的承担方式：</w:t>
      </w:r>
      <w:r>
        <w:rPr>
          <w:rFonts w:hint="eastAsia" w:ascii="宋体" w:hAnsi="宋体" w:cs="宋体"/>
          <w:color w:val="auto"/>
          <w:highlight w:val="none"/>
          <w:u w:val="single"/>
        </w:rPr>
        <w:t>由承包人承担</w:t>
      </w:r>
      <w:r>
        <w:rPr>
          <w:rFonts w:hint="eastAsia" w:ascii="宋体" w:hAnsi="宋体" w:cs="宋体"/>
          <w:color w:val="auto"/>
          <w:highlight w:val="none"/>
        </w:rPr>
        <w:t>。</w:t>
      </w:r>
    </w:p>
    <w:p w14:paraId="6D3785AD">
      <w:pPr>
        <w:pStyle w:val="43"/>
        <w:spacing w:line="380" w:lineRule="exact"/>
        <w:rPr>
          <w:rFonts w:ascii="宋体" w:hAnsi="宋体" w:cs="宋体"/>
          <w:color w:val="auto"/>
          <w:highlight w:val="none"/>
        </w:rPr>
      </w:pPr>
      <w:r>
        <w:rPr>
          <w:rFonts w:hint="eastAsia" w:ascii="宋体" w:hAnsi="宋体" w:cs="宋体"/>
          <w:color w:val="auto"/>
          <w:highlight w:val="none"/>
        </w:rPr>
        <w:t>1.13工程量清单错误的修正</w:t>
      </w:r>
    </w:p>
    <w:p w14:paraId="0D58E033">
      <w:pPr>
        <w:pStyle w:val="43"/>
        <w:spacing w:line="380" w:lineRule="exact"/>
        <w:rPr>
          <w:rFonts w:ascii="宋体" w:hAnsi="宋体" w:cs="宋体"/>
          <w:color w:val="auto"/>
          <w:highlight w:val="none"/>
          <w:u w:val="single"/>
        </w:rPr>
      </w:pPr>
      <w:r>
        <w:rPr>
          <w:rFonts w:hint="eastAsia" w:ascii="宋体" w:hAnsi="宋体" w:cs="宋体"/>
          <w:color w:val="auto"/>
          <w:highlight w:val="none"/>
        </w:rPr>
        <w:t>出现工程量清单错误时，是否调整合同价格：</w:t>
      </w:r>
      <w:r>
        <w:rPr>
          <w:rFonts w:hint="eastAsia" w:ascii="宋体" w:hAnsi="宋体" w:cs="宋体"/>
          <w:color w:val="auto"/>
          <w:highlight w:val="none"/>
          <w:u w:val="single"/>
        </w:rPr>
        <w:t>按《建设工程工程量清单计价规范（GB5050-2013）》及其广西实施细则、《建设工程工程量清单计算规范（</w:t>
      </w:r>
      <w:r>
        <w:rPr>
          <w:rFonts w:hint="eastAsia" w:ascii="宋体" w:hAnsi="宋体" w:cs="宋体"/>
          <w:color w:val="auto"/>
          <w:highlight w:val="none"/>
          <w:u w:val="single"/>
          <w:lang w:eastAsia="zh-CN"/>
        </w:rPr>
        <w:t>GB50854</w:t>
      </w:r>
      <w:r>
        <w:rPr>
          <w:rFonts w:hint="eastAsia" w:ascii="宋体" w:hAnsi="宋体" w:cs="宋体"/>
          <w:color w:val="auto"/>
          <w:highlight w:val="none"/>
          <w:u w:val="single"/>
        </w:rPr>
        <w:t>～50862-2013）》及其广西实施细则（修订本）等规定。</w:t>
      </w:r>
    </w:p>
    <w:p w14:paraId="2C3E6A2A">
      <w:pPr>
        <w:pStyle w:val="43"/>
        <w:spacing w:line="380" w:lineRule="exact"/>
        <w:rPr>
          <w:rFonts w:ascii="宋体" w:hAnsi="宋体" w:cs="宋体"/>
          <w:color w:val="auto"/>
          <w:highlight w:val="none"/>
        </w:rPr>
      </w:pPr>
      <w:r>
        <w:rPr>
          <w:rFonts w:hint="eastAsia" w:ascii="宋体" w:hAnsi="宋体" w:cs="宋体"/>
          <w:color w:val="auto"/>
          <w:highlight w:val="none"/>
        </w:rPr>
        <w:t xml:space="preserve">允许调整合同价格的工程量偏差范围： </w:t>
      </w:r>
      <w:r>
        <w:rPr>
          <w:rFonts w:hint="eastAsia" w:ascii="宋体" w:hAnsi="宋体" w:cs="宋体"/>
          <w:color w:val="auto"/>
          <w:highlight w:val="none"/>
          <w:u w:val="single"/>
        </w:rPr>
        <w:t>按《建设工程工程量清单计价规范（GB5050-2013）》及其广西实施细则、《建设工程工程量清单计算规范（</w:t>
      </w:r>
      <w:r>
        <w:rPr>
          <w:rFonts w:hint="eastAsia" w:ascii="宋体" w:hAnsi="宋体" w:cs="宋体"/>
          <w:color w:val="auto"/>
          <w:highlight w:val="none"/>
          <w:u w:val="single"/>
          <w:lang w:eastAsia="zh-CN"/>
        </w:rPr>
        <w:t>GB50854</w:t>
      </w:r>
      <w:r>
        <w:rPr>
          <w:rFonts w:hint="eastAsia" w:ascii="宋体" w:hAnsi="宋体" w:cs="宋体"/>
          <w:color w:val="auto"/>
          <w:highlight w:val="none"/>
          <w:u w:val="single"/>
        </w:rPr>
        <w:t>～50862-2013）》及其广西实施细则（修订本）等规定</w:t>
      </w:r>
      <w:r>
        <w:rPr>
          <w:rFonts w:hint="eastAsia" w:ascii="宋体" w:hAnsi="宋体" w:cs="宋体"/>
          <w:color w:val="auto"/>
          <w:highlight w:val="none"/>
        </w:rPr>
        <w:t>。</w:t>
      </w:r>
    </w:p>
    <w:p w14:paraId="48A39158">
      <w:pPr>
        <w:pStyle w:val="38"/>
        <w:spacing w:line="380" w:lineRule="exact"/>
        <w:rPr>
          <w:rFonts w:ascii="宋体" w:cs="宋体"/>
          <w:color w:val="auto"/>
          <w:highlight w:val="none"/>
        </w:rPr>
      </w:pPr>
      <w:bookmarkStart w:id="759" w:name="_Toc497746783"/>
      <w:bookmarkStart w:id="760" w:name="_Toc418752244"/>
      <w:bookmarkStart w:id="761" w:name="_Toc256000182"/>
      <w:bookmarkStart w:id="762" w:name="_Toc351203634"/>
      <w:bookmarkStart w:id="763" w:name="_Toc418751798"/>
      <w:bookmarkStart w:id="764" w:name="_Toc497747180"/>
      <w:bookmarkStart w:id="765" w:name="_Toc406522222"/>
      <w:bookmarkStart w:id="766" w:name="_Toc522201732"/>
      <w:bookmarkStart w:id="767" w:name="_Toc1764"/>
      <w:r>
        <w:rPr>
          <w:rFonts w:hint="eastAsia" w:ascii="宋体" w:cs="宋体"/>
          <w:color w:val="auto"/>
          <w:highlight w:val="none"/>
        </w:rPr>
        <w:t>2</w:t>
      </w:r>
      <w:bookmarkStart w:id="768" w:name="_Toc296944496"/>
      <w:bookmarkStart w:id="769" w:name="_Toc296346658"/>
      <w:bookmarkStart w:id="770" w:name="_Toc296503157"/>
      <w:bookmarkStart w:id="771" w:name="_Toc297120457"/>
      <w:bookmarkStart w:id="772" w:name="_Toc296890985"/>
      <w:bookmarkStart w:id="773" w:name="_Toc297048343"/>
      <w:bookmarkStart w:id="774" w:name="_Toc292559362"/>
      <w:bookmarkStart w:id="775" w:name="_Toc296347156"/>
      <w:bookmarkStart w:id="776" w:name="_Toc296891197"/>
      <w:bookmarkStart w:id="777" w:name="_Toc292559867"/>
      <w:r>
        <w:rPr>
          <w:rFonts w:hint="eastAsia" w:ascii="宋体" w:cs="宋体"/>
          <w:color w:val="auto"/>
          <w:highlight w:val="none"/>
        </w:rPr>
        <w:t>. 发包人</w:t>
      </w:r>
      <w:bookmarkEnd w:id="759"/>
      <w:bookmarkEnd w:id="760"/>
      <w:bookmarkEnd w:id="761"/>
      <w:bookmarkEnd w:id="762"/>
      <w:bookmarkEnd w:id="763"/>
      <w:bookmarkEnd w:id="764"/>
      <w:bookmarkEnd w:id="765"/>
      <w:bookmarkEnd w:id="766"/>
      <w:bookmarkEnd w:id="767"/>
    </w:p>
    <w:bookmarkEnd w:id="768"/>
    <w:bookmarkEnd w:id="769"/>
    <w:bookmarkEnd w:id="770"/>
    <w:bookmarkEnd w:id="771"/>
    <w:bookmarkEnd w:id="772"/>
    <w:bookmarkEnd w:id="773"/>
    <w:bookmarkEnd w:id="774"/>
    <w:bookmarkEnd w:id="775"/>
    <w:bookmarkEnd w:id="776"/>
    <w:bookmarkEnd w:id="777"/>
    <w:p w14:paraId="5CF41461">
      <w:pPr>
        <w:pStyle w:val="38"/>
        <w:spacing w:line="380" w:lineRule="exact"/>
        <w:ind w:firstLine="422" w:firstLineChars="200"/>
        <w:rPr>
          <w:rFonts w:ascii="宋体" w:cs="宋体"/>
          <w:color w:val="auto"/>
          <w:highlight w:val="none"/>
        </w:rPr>
      </w:pPr>
      <w:bookmarkStart w:id="778" w:name="_Toc418751799"/>
      <w:bookmarkStart w:id="779" w:name="_Toc256000183"/>
      <w:bookmarkStart w:id="780" w:name="_Toc10058"/>
      <w:bookmarkStart w:id="781" w:name="_Toc418752245"/>
      <w:bookmarkStart w:id="782" w:name="_Toc522201733"/>
      <w:bookmarkStart w:id="783" w:name="_Toc406522223"/>
      <w:bookmarkStart w:id="784" w:name="_Toc497747181"/>
      <w:bookmarkStart w:id="785" w:name="_Toc497746784"/>
      <w:r>
        <w:rPr>
          <w:rFonts w:hint="eastAsia" w:ascii="宋体" w:cs="宋体"/>
          <w:color w:val="auto"/>
          <w:highlight w:val="none"/>
        </w:rPr>
        <w:t>2.2 发包人代表</w:t>
      </w:r>
      <w:bookmarkEnd w:id="778"/>
      <w:bookmarkEnd w:id="779"/>
      <w:bookmarkEnd w:id="780"/>
      <w:bookmarkEnd w:id="781"/>
      <w:bookmarkEnd w:id="782"/>
      <w:bookmarkEnd w:id="783"/>
      <w:bookmarkEnd w:id="784"/>
      <w:bookmarkEnd w:id="785"/>
    </w:p>
    <w:p w14:paraId="7D20E928">
      <w:pPr>
        <w:pStyle w:val="43"/>
        <w:spacing w:line="380" w:lineRule="exact"/>
        <w:rPr>
          <w:rFonts w:ascii="宋体" w:hAnsi="宋体" w:cs="宋体"/>
          <w:color w:val="auto"/>
          <w:highlight w:val="none"/>
        </w:rPr>
      </w:pPr>
      <w:r>
        <w:rPr>
          <w:rFonts w:hint="eastAsia" w:ascii="宋体" w:hAnsi="宋体" w:cs="宋体"/>
          <w:color w:val="auto"/>
          <w:highlight w:val="none"/>
        </w:rPr>
        <w:t>发包人代表：</w:t>
      </w:r>
    </w:p>
    <w:p w14:paraId="0202F4BC">
      <w:pPr>
        <w:pStyle w:val="43"/>
        <w:spacing w:line="380" w:lineRule="exact"/>
        <w:rPr>
          <w:rFonts w:ascii="宋体" w:hAnsi="宋体" w:cs="宋体"/>
          <w:color w:val="auto"/>
          <w:highlight w:val="none"/>
        </w:rPr>
      </w:pPr>
      <w:r>
        <w:rPr>
          <w:rFonts w:hint="eastAsia" w:ascii="宋体" w:hAnsi="宋体" w:cs="宋体"/>
          <w:color w:val="auto"/>
          <w:highlight w:val="none"/>
        </w:rPr>
        <w:t>姓    名：</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3AB4B713">
      <w:pPr>
        <w:pStyle w:val="43"/>
        <w:spacing w:line="380" w:lineRule="exact"/>
        <w:rPr>
          <w:rFonts w:ascii="宋体" w:hAnsi="宋体" w:cs="宋体"/>
          <w:color w:val="auto"/>
          <w:highlight w:val="none"/>
        </w:rPr>
      </w:pPr>
      <w:r>
        <w:rPr>
          <w:rFonts w:hint="eastAsia" w:ascii="宋体" w:hAnsi="宋体" w:cs="宋体"/>
          <w:color w:val="auto"/>
          <w:highlight w:val="none"/>
        </w:rPr>
        <w:t>职    务：</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0D204F5C">
      <w:pPr>
        <w:pStyle w:val="43"/>
        <w:spacing w:line="380" w:lineRule="exact"/>
        <w:rPr>
          <w:rFonts w:ascii="宋体" w:hAnsi="宋体" w:cs="宋体"/>
          <w:color w:val="auto"/>
          <w:highlight w:val="none"/>
        </w:rPr>
      </w:pPr>
      <w:r>
        <w:rPr>
          <w:rFonts w:hint="eastAsia" w:ascii="宋体" w:hAnsi="宋体" w:cs="宋体"/>
          <w:color w:val="auto"/>
          <w:highlight w:val="none"/>
        </w:rPr>
        <w:t>联系电话：</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1EF6A18C">
      <w:pPr>
        <w:pStyle w:val="43"/>
        <w:spacing w:line="380" w:lineRule="exact"/>
        <w:rPr>
          <w:rFonts w:ascii="宋体" w:hAnsi="宋体" w:cs="宋体"/>
          <w:color w:val="auto"/>
          <w:highlight w:val="none"/>
        </w:rPr>
      </w:pPr>
      <w:r>
        <w:rPr>
          <w:rFonts w:hint="eastAsia" w:ascii="宋体" w:hAnsi="宋体" w:cs="宋体"/>
          <w:color w:val="auto"/>
          <w:highlight w:val="none"/>
        </w:rPr>
        <w:t>电子信箱：</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3B34722B">
      <w:pPr>
        <w:pStyle w:val="43"/>
        <w:spacing w:line="380" w:lineRule="exact"/>
        <w:rPr>
          <w:rFonts w:ascii="宋体" w:hAnsi="宋体" w:cs="宋体"/>
          <w:color w:val="auto"/>
          <w:highlight w:val="none"/>
        </w:rPr>
      </w:pPr>
      <w:r>
        <w:rPr>
          <w:rFonts w:hint="eastAsia" w:ascii="宋体" w:hAnsi="宋体" w:cs="宋体"/>
          <w:color w:val="auto"/>
          <w:highlight w:val="none"/>
        </w:rPr>
        <w:t>通信地址：</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rPr>
        <w:t>。</w:t>
      </w:r>
    </w:p>
    <w:p w14:paraId="0DBEE72B">
      <w:pPr>
        <w:pStyle w:val="43"/>
        <w:spacing w:line="380" w:lineRule="exact"/>
        <w:rPr>
          <w:rFonts w:ascii="宋体" w:hAnsi="宋体" w:cs="宋体"/>
          <w:b/>
          <w:color w:val="auto"/>
          <w:highlight w:val="none"/>
        </w:rPr>
      </w:pPr>
      <w:r>
        <w:rPr>
          <w:rFonts w:hint="eastAsia" w:ascii="宋体" w:hAnsi="宋体" w:cs="宋体"/>
          <w:color w:val="auto"/>
          <w:highlight w:val="none"/>
        </w:rPr>
        <w:t>发包人对发包人代表的授权范围如下：</w:t>
      </w:r>
      <w:r>
        <w:rPr>
          <w:rFonts w:hint="eastAsia" w:ascii="宋体" w:hAnsi="宋体" w:cs="宋体"/>
          <w:color w:val="auto"/>
          <w:highlight w:val="none"/>
          <w:u w:val="single"/>
        </w:rPr>
        <w:t>对工程进度、质量进行监督、办理中间交工工程验收手续，负责现场签证，解决由发包人授权处理的事宜</w:t>
      </w:r>
      <w:r>
        <w:rPr>
          <w:rFonts w:hint="eastAsia" w:ascii="宋体" w:hAnsi="宋体" w:cs="宋体"/>
          <w:color w:val="auto"/>
          <w:highlight w:val="none"/>
        </w:rPr>
        <w:t>。</w:t>
      </w:r>
    </w:p>
    <w:p w14:paraId="58184B25">
      <w:pPr>
        <w:pStyle w:val="38"/>
        <w:spacing w:line="380" w:lineRule="exact"/>
        <w:ind w:firstLine="422" w:firstLineChars="200"/>
        <w:rPr>
          <w:rFonts w:ascii="宋体" w:cs="宋体"/>
          <w:color w:val="auto"/>
          <w:highlight w:val="none"/>
        </w:rPr>
      </w:pPr>
      <w:bookmarkStart w:id="786" w:name="_Toc497747182"/>
      <w:bookmarkStart w:id="787" w:name="_Toc522201734"/>
      <w:bookmarkStart w:id="788" w:name="_Toc418751800"/>
      <w:bookmarkStart w:id="789" w:name="_Toc256000184"/>
      <w:bookmarkStart w:id="790" w:name="_Toc8326"/>
      <w:bookmarkStart w:id="791" w:name="_Toc497746785"/>
      <w:bookmarkStart w:id="792" w:name="_Toc406522224"/>
      <w:bookmarkStart w:id="793" w:name="_Toc418752246"/>
      <w:r>
        <w:rPr>
          <w:rFonts w:hint="eastAsia" w:ascii="宋体" w:cs="宋体"/>
          <w:color w:val="auto"/>
          <w:highlight w:val="none"/>
        </w:rPr>
        <w:t>2.4 施工现场、施工条件和基础资料的提供</w:t>
      </w:r>
      <w:bookmarkEnd w:id="786"/>
      <w:bookmarkEnd w:id="787"/>
      <w:bookmarkEnd w:id="788"/>
      <w:bookmarkEnd w:id="789"/>
      <w:bookmarkEnd w:id="790"/>
      <w:bookmarkEnd w:id="791"/>
      <w:bookmarkEnd w:id="792"/>
      <w:bookmarkEnd w:id="793"/>
    </w:p>
    <w:p w14:paraId="3BD6C42F">
      <w:pPr>
        <w:pStyle w:val="43"/>
        <w:spacing w:line="380" w:lineRule="exact"/>
        <w:rPr>
          <w:rFonts w:ascii="宋体" w:hAnsi="宋体" w:cs="宋体"/>
          <w:color w:val="auto"/>
          <w:highlight w:val="none"/>
        </w:rPr>
      </w:pPr>
      <w:r>
        <w:rPr>
          <w:rFonts w:hint="eastAsia" w:ascii="宋体" w:hAnsi="宋体" w:cs="宋体"/>
          <w:color w:val="auto"/>
          <w:highlight w:val="none"/>
        </w:rPr>
        <w:t>2.4.1 提供施工现场</w:t>
      </w:r>
    </w:p>
    <w:p w14:paraId="0B976DB9">
      <w:pPr>
        <w:pStyle w:val="43"/>
        <w:spacing w:line="380" w:lineRule="exact"/>
        <w:rPr>
          <w:rFonts w:ascii="宋体" w:hAnsi="宋体" w:cs="宋体"/>
          <w:color w:val="auto"/>
          <w:highlight w:val="none"/>
        </w:rPr>
      </w:pPr>
      <w:r>
        <w:rPr>
          <w:rFonts w:hint="eastAsia" w:ascii="宋体" w:hAnsi="宋体" w:cs="宋体"/>
          <w:color w:val="auto"/>
          <w:highlight w:val="none"/>
        </w:rPr>
        <w:t>关于发包人移交施工现场的期限要求：</w:t>
      </w:r>
      <w:r>
        <w:rPr>
          <w:rFonts w:hint="eastAsia" w:ascii="宋体" w:hAnsi="宋体" w:cs="宋体"/>
          <w:color w:val="auto"/>
          <w:highlight w:val="none"/>
          <w:u w:val="single"/>
        </w:rPr>
        <w:t xml:space="preserve"> 施工场地应当在监理人发出的开工通知中载明的开工日期前七天具备施工条件并移交给承包人，具体施工条件在施工合同中约定。发包人最迟应当在移交施工场地的同时向承包人提供施工场地内地下管线和地下设施等有关资料，并保证资料的真实、准确和完整</w:t>
      </w:r>
      <w:r>
        <w:rPr>
          <w:rFonts w:hint="eastAsia" w:ascii="宋体" w:hAnsi="宋体" w:cs="宋体"/>
          <w:color w:val="auto"/>
          <w:highlight w:val="none"/>
        </w:rPr>
        <w:t>。</w:t>
      </w:r>
    </w:p>
    <w:p w14:paraId="78C98EA4">
      <w:pPr>
        <w:pStyle w:val="43"/>
        <w:spacing w:line="380" w:lineRule="exact"/>
        <w:rPr>
          <w:rFonts w:ascii="宋体" w:hAnsi="宋体" w:cs="宋体"/>
          <w:color w:val="auto"/>
          <w:highlight w:val="none"/>
        </w:rPr>
      </w:pPr>
      <w:r>
        <w:rPr>
          <w:rFonts w:hint="eastAsia" w:ascii="宋体" w:hAnsi="宋体" w:cs="宋体"/>
          <w:color w:val="auto"/>
          <w:highlight w:val="none"/>
        </w:rPr>
        <w:t>2.4.2 提供施工条件</w:t>
      </w:r>
    </w:p>
    <w:p w14:paraId="1A120385">
      <w:pPr>
        <w:pStyle w:val="43"/>
        <w:spacing w:line="380" w:lineRule="exact"/>
        <w:rPr>
          <w:rFonts w:ascii="宋体" w:hAnsi="宋体" w:cs="宋体"/>
          <w:color w:val="auto"/>
          <w:highlight w:val="none"/>
          <w:u w:val="single"/>
        </w:rPr>
      </w:pPr>
      <w:r>
        <w:rPr>
          <w:rFonts w:hint="eastAsia" w:ascii="宋体" w:hAnsi="宋体" w:cs="宋体"/>
          <w:color w:val="auto"/>
          <w:highlight w:val="none"/>
        </w:rPr>
        <w:t>关于发包人应负责提供施工所需要的条件，包括：</w:t>
      </w:r>
      <w:r>
        <w:rPr>
          <w:rFonts w:hint="eastAsia" w:ascii="宋体" w:hAnsi="宋体" w:cs="宋体"/>
          <w:color w:val="auto"/>
          <w:highlight w:val="none"/>
          <w:u w:val="single"/>
        </w:rPr>
        <w:t>发包人可配合承包人办理开工所需手续及相关申请，费用由承包人自行解决，施工场地与公共道路的通道，由承包人负责实施，费用已包含在合同价中</w:t>
      </w:r>
      <w:r>
        <w:rPr>
          <w:rFonts w:hint="eastAsia" w:ascii="宋体" w:hAnsi="宋体" w:cs="宋体"/>
          <w:color w:val="auto"/>
          <w:highlight w:val="none"/>
        </w:rPr>
        <w:t>。</w:t>
      </w:r>
    </w:p>
    <w:p w14:paraId="1E55F96E">
      <w:pPr>
        <w:pStyle w:val="38"/>
        <w:spacing w:line="380" w:lineRule="exact"/>
        <w:ind w:firstLine="422" w:firstLineChars="200"/>
        <w:rPr>
          <w:rFonts w:ascii="宋体" w:cs="宋体"/>
          <w:color w:val="auto"/>
          <w:highlight w:val="none"/>
        </w:rPr>
      </w:pPr>
      <w:bookmarkStart w:id="794" w:name="_Toc25273"/>
      <w:bookmarkStart w:id="795" w:name="_Toc418751801"/>
      <w:bookmarkStart w:id="796" w:name="_Toc522201735"/>
      <w:bookmarkStart w:id="797" w:name="_Toc497747183"/>
      <w:bookmarkStart w:id="798" w:name="_Toc256000185"/>
      <w:bookmarkStart w:id="799" w:name="_Toc406522225"/>
      <w:bookmarkStart w:id="800" w:name="_Toc418752247"/>
      <w:bookmarkStart w:id="801" w:name="_Toc497746786"/>
      <w:r>
        <w:rPr>
          <w:rFonts w:hint="eastAsia" w:ascii="宋体" w:cs="宋体"/>
          <w:color w:val="auto"/>
          <w:highlight w:val="none"/>
        </w:rPr>
        <w:t>2.5 资金来源证明及支付担保</w:t>
      </w:r>
      <w:bookmarkEnd w:id="794"/>
      <w:bookmarkEnd w:id="795"/>
      <w:bookmarkEnd w:id="796"/>
      <w:bookmarkEnd w:id="797"/>
      <w:bookmarkEnd w:id="798"/>
      <w:bookmarkEnd w:id="799"/>
      <w:bookmarkEnd w:id="800"/>
      <w:bookmarkEnd w:id="801"/>
    </w:p>
    <w:p w14:paraId="4C9921CC">
      <w:pPr>
        <w:pStyle w:val="43"/>
        <w:spacing w:line="380" w:lineRule="exact"/>
        <w:rPr>
          <w:rFonts w:ascii="宋体" w:hAnsi="宋体" w:cs="宋体"/>
          <w:color w:val="auto"/>
          <w:highlight w:val="none"/>
        </w:rPr>
      </w:pPr>
      <w:r>
        <w:rPr>
          <w:rFonts w:hint="eastAsia" w:ascii="宋体" w:hAnsi="宋体" w:cs="宋体"/>
          <w:color w:val="auto"/>
          <w:highlight w:val="none"/>
        </w:rPr>
        <w:t>发包人提供资金来源证明的期限要求：</w:t>
      </w:r>
      <w:r>
        <w:rPr>
          <w:rFonts w:hint="eastAsia" w:ascii="宋体" w:hAnsi="宋体" w:cs="宋体"/>
          <w:color w:val="auto"/>
          <w:highlight w:val="none"/>
          <w:u w:val="single"/>
        </w:rPr>
        <w:t xml:space="preserve"> 无 </w:t>
      </w:r>
      <w:r>
        <w:rPr>
          <w:rFonts w:hint="eastAsia" w:ascii="宋体" w:hAnsi="宋体" w:cs="宋体"/>
          <w:color w:val="auto"/>
          <w:highlight w:val="none"/>
        </w:rPr>
        <w:t>。</w:t>
      </w:r>
    </w:p>
    <w:p w14:paraId="1EFBA119">
      <w:pPr>
        <w:pStyle w:val="43"/>
        <w:spacing w:line="380" w:lineRule="exact"/>
        <w:rPr>
          <w:rFonts w:ascii="宋体" w:hAnsi="宋体" w:cs="宋体"/>
          <w:color w:val="auto"/>
          <w:highlight w:val="none"/>
        </w:rPr>
      </w:pPr>
      <w:r>
        <w:rPr>
          <w:rFonts w:hint="eastAsia" w:ascii="宋体" w:hAnsi="宋体" w:cs="宋体"/>
          <w:color w:val="auto"/>
          <w:highlight w:val="none"/>
        </w:rPr>
        <w:t>发包人是否提供支付担保：</w:t>
      </w:r>
      <w:r>
        <w:rPr>
          <w:rFonts w:hint="eastAsia" w:ascii="宋体" w:hAnsi="宋体" w:cs="宋体"/>
          <w:color w:val="auto"/>
          <w:highlight w:val="none"/>
          <w:u w:val="single"/>
        </w:rPr>
        <w:t xml:space="preserve">    否　　　   </w:t>
      </w:r>
      <w:r>
        <w:rPr>
          <w:rFonts w:hint="eastAsia" w:ascii="宋体" w:hAnsi="宋体" w:cs="宋体"/>
          <w:color w:val="auto"/>
          <w:highlight w:val="none"/>
        </w:rPr>
        <w:t>。</w:t>
      </w:r>
    </w:p>
    <w:p w14:paraId="5F968051">
      <w:pPr>
        <w:pStyle w:val="43"/>
        <w:spacing w:line="380" w:lineRule="exact"/>
        <w:rPr>
          <w:rFonts w:ascii="宋体" w:hAnsi="宋体" w:cs="宋体"/>
          <w:color w:val="auto"/>
          <w:highlight w:val="none"/>
          <w:u w:val="single"/>
        </w:rPr>
      </w:pPr>
      <w:r>
        <w:rPr>
          <w:rFonts w:hint="eastAsia" w:ascii="宋体" w:hAnsi="宋体" w:cs="宋体"/>
          <w:color w:val="auto"/>
          <w:highlight w:val="none"/>
        </w:rPr>
        <w:t>发包人提供支付担保的形式：</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30E29C43">
      <w:pPr>
        <w:pStyle w:val="38"/>
        <w:spacing w:line="380" w:lineRule="exact"/>
        <w:rPr>
          <w:rFonts w:ascii="宋体" w:cs="宋体"/>
          <w:color w:val="auto"/>
          <w:highlight w:val="none"/>
        </w:rPr>
      </w:pPr>
      <w:bookmarkStart w:id="802" w:name="_Toc351203635"/>
      <w:bookmarkStart w:id="803" w:name="_Toc418751802"/>
      <w:bookmarkStart w:id="804" w:name="_Toc256000186"/>
      <w:bookmarkStart w:id="805" w:name="_Toc406522226"/>
      <w:bookmarkStart w:id="806" w:name="_Toc418752248"/>
      <w:bookmarkStart w:id="807" w:name="_Toc497746787"/>
      <w:bookmarkStart w:id="808" w:name="_Toc6875"/>
      <w:bookmarkStart w:id="809" w:name="_Toc522201736"/>
      <w:bookmarkStart w:id="810" w:name="_Toc497747184"/>
      <w:r>
        <w:rPr>
          <w:rFonts w:hint="eastAsia" w:ascii="宋体" w:cs="宋体"/>
          <w:color w:val="auto"/>
          <w:highlight w:val="none"/>
        </w:rPr>
        <w:t>3</w:t>
      </w:r>
      <w:bookmarkStart w:id="811" w:name="_Toc296891198"/>
      <w:bookmarkStart w:id="812" w:name="_Toc296944497"/>
      <w:bookmarkStart w:id="813" w:name="_Toc296347157"/>
      <w:bookmarkStart w:id="814" w:name="_Toc296890986"/>
      <w:bookmarkStart w:id="815" w:name="_Toc297048344"/>
      <w:bookmarkStart w:id="816" w:name="_Toc292559363"/>
      <w:bookmarkStart w:id="817" w:name="_Toc297120458"/>
      <w:bookmarkStart w:id="818" w:name="_Toc292559868"/>
      <w:bookmarkStart w:id="819" w:name="_Toc296346659"/>
      <w:bookmarkStart w:id="820" w:name="_Toc296503158"/>
      <w:r>
        <w:rPr>
          <w:rFonts w:hint="eastAsia" w:ascii="宋体" w:cs="宋体"/>
          <w:color w:val="auto"/>
          <w:highlight w:val="none"/>
        </w:rPr>
        <w:t>. 承包人</w:t>
      </w:r>
      <w:bookmarkEnd w:id="802"/>
      <w:bookmarkEnd w:id="803"/>
      <w:bookmarkEnd w:id="804"/>
      <w:bookmarkEnd w:id="805"/>
      <w:bookmarkEnd w:id="806"/>
      <w:bookmarkEnd w:id="807"/>
      <w:bookmarkEnd w:id="808"/>
      <w:bookmarkEnd w:id="809"/>
      <w:bookmarkEnd w:id="810"/>
    </w:p>
    <w:bookmarkEnd w:id="811"/>
    <w:bookmarkEnd w:id="812"/>
    <w:bookmarkEnd w:id="813"/>
    <w:bookmarkEnd w:id="814"/>
    <w:bookmarkEnd w:id="815"/>
    <w:bookmarkEnd w:id="816"/>
    <w:bookmarkEnd w:id="817"/>
    <w:bookmarkEnd w:id="818"/>
    <w:bookmarkEnd w:id="819"/>
    <w:bookmarkEnd w:id="820"/>
    <w:p w14:paraId="29ED592B">
      <w:pPr>
        <w:pStyle w:val="38"/>
        <w:spacing w:line="380" w:lineRule="exact"/>
        <w:ind w:firstLine="422" w:firstLineChars="200"/>
        <w:rPr>
          <w:rFonts w:ascii="宋体" w:cs="宋体"/>
          <w:color w:val="auto"/>
          <w:highlight w:val="none"/>
        </w:rPr>
      </w:pPr>
      <w:bookmarkStart w:id="821" w:name="_Toc7415"/>
      <w:bookmarkStart w:id="822" w:name="_Toc497747185"/>
      <w:bookmarkStart w:id="823" w:name="_Toc256000187"/>
      <w:bookmarkStart w:id="824" w:name="_Toc497746788"/>
      <w:bookmarkStart w:id="825" w:name="_Toc418751803"/>
      <w:bookmarkStart w:id="826" w:name="_Toc522201737"/>
      <w:bookmarkStart w:id="827" w:name="_Toc406522227"/>
      <w:bookmarkStart w:id="828" w:name="_Toc418752249"/>
      <w:r>
        <w:rPr>
          <w:rFonts w:hint="eastAsia" w:ascii="宋体" w:cs="宋体"/>
          <w:color w:val="auto"/>
          <w:highlight w:val="none"/>
        </w:rPr>
        <w:t>3.1 承包人的一般义务</w:t>
      </w:r>
      <w:bookmarkEnd w:id="821"/>
      <w:bookmarkEnd w:id="822"/>
      <w:bookmarkEnd w:id="823"/>
      <w:bookmarkEnd w:id="824"/>
      <w:bookmarkEnd w:id="825"/>
      <w:bookmarkEnd w:id="826"/>
      <w:bookmarkEnd w:id="827"/>
      <w:bookmarkEnd w:id="828"/>
    </w:p>
    <w:p w14:paraId="38C7DED1">
      <w:pPr>
        <w:pStyle w:val="23"/>
        <w:spacing w:line="380" w:lineRule="exact"/>
        <w:ind w:firstLine="420" w:firstLineChars="200"/>
        <w:jc w:val="left"/>
        <w:rPr>
          <w:rFonts w:ascii="宋体" w:hAnsi="宋体" w:cs="宋体"/>
          <w:color w:val="auto"/>
          <w:szCs w:val="21"/>
          <w:highlight w:val="none"/>
          <w:u w:val="single"/>
        </w:rPr>
      </w:pPr>
      <w:r>
        <w:rPr>
          <w:rFonts w:hint="eastAsia" w:ascii="宋体" w:hAnsi="宋体" w:cs="宋体"/>
          <w:color w:val="auto"/>
          <w:kern w:val="0"/>
          <w:szCs w:val="21"/>
          <w:highlight w:val="none"/>
        </w:rPr>
        <w:t>（9）</w:t>
      </w:r>
      <w:r>
        <w:rPr>
          <w:rFonts w:hint="eastAsia" w:ascii="宋体" w:hAnsi="宋体" w:cs="宋体"/>
          <w:color w:val="auto"/>
          <w:szCs w:val="21"/>
          <w:highlight w:val="none"/>
        </w:rPr>
        <w:t>承包人提交的竣工资料的内容：</w:t>
      </w:r>
      <w:r>
        <w:rPr>
          <w:rFonts w:hint="eastAsia" w:ascii="宋体" w:hAnsi="宋体" w:cs="宋体"/>
          <w:color w:val="auto"/>
          <w:szCs w:val="21"/>
          <w:highlight w:val="none"/>
          <w:u w:val="single"/>
        </w:rPr>
        <w:t>工程具备竣工验收条件，承包人按工程竣工验收有关规定，向发包人提交符合《建设工程文件归档整理规范》内容装订成册的完整竣工资料及竣工验收报告、工程竣工图</w:t>
      </w:r>
      <w:r>
        <w:rPr>
          <w:rFonts w:hint="eastAsia" w:ascii="宋体" w:hAnsi="宋体" w:cs="宋体"/>
          <w:color w:val="auto"/>
          <w:szCs w:val="21"/>
          <w:highlight w:val="none"/>
        </w:rPr>
        <w:t>。</w:t>
      </w:r>
    </w:p>
    <w:p w14:paraId="0868F951">
      <w:pPr>
        <w:pStyle w:val="23"/>
        <w:spacing w:line="380" w:lineRule="exact"/>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承包人需要提交的竣工资料套数：</w:t>
      </w:r>
      <w:r>
        <w:rPr>
          <w:rFonts w:hint="eastAsia" w:ascii="宋体" w:hAnsi="宋体" w:cs="宋体"/>
          <w:color w:val="auto"/>
          <w:szCs w:val="21"/>
          <w:highlight w:val="none"/>
          <w:u w:val="single"/>
        </w:rPr>
        <w:t xml:space="preserve">  承包人向发包人提交竣工档案份数为一式四份；备案资料一式两份；建设工程质量监督档案一式两份  </w:t>
      </w:r>
      <w:r>
        <w:rPr>
          <w:rFonts w:hint="eastAsia" w:ascii="宋体" w:hAnsi="宋体" w:cs="宋体"/>
          <w:color w:val="auto"/>
          <w:szCs w:val="21"/>
          <w:highlight w:val="none"/>
        </w:rPr>
        <w:t>。</w:t>
      </w:r>
    </w:p>
    <w:p w14:paraId="495F8CBD">
      <w:pPr>
        <w:pStyle w:val="23"/>
        <w:spacing w:line="380" w:lineRule="exact"/>
        <w:jc w:val="left"/>
        <w:rPr>
          <w:rFonts w:ascii="宋体" w:hAnsi="宋体" w:cs="宋体"/>
          <w:color w:val="auto"/>
          <w:szCs w:val="21"/>
          <w:highlight w:val="none"/>
        </w:rPr>
      </w:pPr>
      <w:r>
        <w:rPr>
          <w:rFonts w:hint="eastAsia" w:ascii="宋体" w:hAnsi="宋体" w:cs="宋体"/>
          <w:color w:val="auto"/>
          <w:szCs w:val="21"/>
          <w:highlight w:val="none"/>
        </w:rPr>
        <w:t xml:space="preserve">    承包人提交的竣工资料的费用承担：</w:t>
      </w:r>
      <w:r>
        <w:rPr>
          <w:rFonts w:hint="eastAsia" w:ascii="宋体" w:hAnsi="宋体" w:cs="宋体"/>
          <w:color w:val="auto"/>
          <w:szCs w:val="21"/>
          <w:highlight w:val="none"/>
          <w:u w:val="single"/>
        </w:rPr>
        <w:t xml:space="preserve">  由承包人承担相关费用 </w:t>
      </w:r>
      <w:r>
        <w:rPr>
          <w:rFonts w:hint="eastAsia" w:ascii="宋体" w:hAnsi="宋体" w:cs="宋体"/>
          <w:color w:val="auto"/>
          <w:szCs w:val="21"/>
          <w:highlight w:val="none"/>
        </w:rPr>
        <w:t>。</w:t>
      </w:r>
    </w:p>
    <w:p w14:paraId="135CE660">
      <w:pPr>
        <w:pStyle w:val="23"/>
        <w:spacing w:line="380" w:lineRule="exact"/>
        <w:jc w:val="left"/>
        <w:rPr>
          <w:rFonts w:ascii="宋体" w:hAnsi="宋体" w:cs="宋体"/>
          <w:color w:val="auto"/>
          <w:szCs w:val="21"/>
          <w:highlight w:val="none"/>
        </w:rPr>
      </w:pPr>
      <w:r>
        <w:rPr>
          <w:rFonts w:hint="eastAsia" w:ascii="宋体" w:hAnsi="宋体" w:cs="宋体"/>
          <w:color w:val="auto"/>
          <w:szCs w:val="21"/>
          <w:highlight w:val="none"/>
        </w:rPr>
        <w:t xml:space="preserve">    承包人提交的竣工资料移交时间：</w:t>
      </w:r>
      <w:r>
        <w:rPr>
          <w:rFonts w:hint="eastAsia" w:ascii="宋体" w:hAnsi="宋体" w:cs="宋体"/>
          <w:color w:val="auto"/>
          <w:szCs w:val="21"/>
          <w:highlight w:val="none"/>
          <w:u w:val="single"/>
        </w:rPr>
        <w:t xml:space="preserve">  工程竣工验收合格后30天内  </w:t>
      </w:r>
      <w:r>
        <w:rPr>
          <w:rFonts w:hint="eastAsia" w:ascii="宋体" w:hAnsi="宋体" w:cs="宋体"/>
          <w:color w:val="auto"/>
          <w:szCs w:val="21"/>
          <w:highlight w:val="none"/>
        </w:rPr>
        <w:t>。</w:t>
      </w:r>
    </w:p>
    <w:p w14:paraId="163AC573">
      <w:pPr>
        <w:pStyle w:val="23"/>
        <w:spacing w:line="380" w:lineRule="exact"/>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承包人提交的竣工资料形式要求：</w:t>
      </w:r>
      <w:r>
        <w:rPr>
          <w:rFonts w:hint="eastAsia" w:ascii="宋体" w:hAnsi="宋体" w:cs="宋体"/>
          <w:color w:val="auto"/>
          <w:szCs w:val="21"/>
          <w:highlight w:val="none"/>
          <w:u w:val="single"/>
        </w:rPr>
        <w:t>竣工档案（竣工档案的内容：施工单位竣工验收文件、施工文件、竣工图（按城市建设档案馆要求整理，相关费用由承包人承担）、备案资料（应由承包人提供的部分按住建局要求整理）、建设工程质量监督档案（应由承包人提供的部分按建设工程质量监督管理站要求整理）</w:t>
      </w:r>
      <w:r>
        <w:rPr>
          <w:rFonts w:hint="eastAsia" w:ascii="宋体" w:hAnsi="宋体" w:cs="宋体"/>
          <w:color w:val="auto"/>
          <w:szCs w:val="21"/>
          <w:highlight w:val="none"/>
        </w:rPr>
        <w:t>。</w:t>
      </w:r>
    </w:p>
    <w:p w14:paraId="40B47E28">
      <w:pPr>
        <w:pStyle w:val="23"/>
        <w:spacing w:line="380" w:lineRule="exact"/>
        <w:ind w:firstLine="420" w:firstLineChars="200"/>
        <w:rPr>
          <w:rFonts w:ascii="宋体" w:hAnsi="宋体" w:cs="宋体"/>
          <w:color w:val="auto"/>
          <w:szCs w:val="21"/>
          <w:highlight w:val="none"/>
          <w:u w:val="single"/>
        </w:rPr>
      </w:pPr>
      <w:r>
        <w:rPr>
          <w:rFonts w:hint="eastAsia" w:ascii="宋体" w:hAnsi="宋体" w:cs="宋体"/>
          <w:color w:val="auto"/>
          <w:kern w:val="0"/>
          <w:szCs w:val="21"/>
          <w:highlight w:val="none"/>
        </w:rPr>
        <w:t>（10）承包人应履行的其他义务：</w:t>
      </w:r>
      <w:r>
        <w:rPr>
          <w:rFonts w:hint="eastAsia" w:ascii="宋体" w:hAnsi="宋体" w:cs="宋体"/>
          <w:color w:val="auto"/>
          <w:szCs w:val="21"/>
          <w:highlight w:val="none"/>
          <w:u w:val="single"/>
        </w:rPr>
        <w:t>①施工用水、用电按表计量，费用由承包人承担，由承包人指派专人配合发包人的计量工作，水费及电费按发包人要求进行交付；单位工程内其他单位用水、用电由承包人与相关用水、用电单位协商解决。②本工程在施工过程中如存在多个施工单位同时作业时，承包人必须顾全大局、相互协作、密切配合，严格服从发包人和监理单位的协调指挥；承包人须积极协调解决施工过程中存在的各类问题，处理好与相邻施工单位的施工接口关系，否则，发包人有权要求承包人整改或另行指定其他单位来完成相关配合工作，其发生的费用从承包人的工程进度款中扣除，且并不需要承包人同意。承包人应始终采取各种合理的预防措施，对于存在的问题及时反映，对于需要发包人协调解决的问题，要提前提出，否则，由此所造成的损失由承包人承担 。③承包人负责办理施工有关的交通特别通告证、有害污水、环卫、环保和噪音等审批手续，并承担费用，如因承包人未交纳相关费用，发包人有权从工程款中扣除用于支付相关费用并计入结算。承包人负责对施工场地内的化石、文物具有保护责任，并承担相应费用。承包人负责满足施工期间政府职能部门对工地消防设施有关要求，并承担相关费用。④承包人应负责协调解决本项目当地居民对工程施工的人为干扰，施工机械进出、材料运输如需通过村道及村民土地；承包人应当协调与施工现场周边农村及村民的关系，并承担相关费用，确保项目施工顺利进行。⑤承包人应始终采取各种合理的预防措施，防止承包人员或其内部发生任何非法的、骚动的或无序的行为，以保持安定，保护现场及第三人的财产和人身安全。⑥为发包人依法发包的专业工程承包商提供总承包管理与协调服务，并为专业工程承包商提供一切施工方便。为发包人和监理人在施工现场提供必要的办公室和办公桌椅等设备。⑦按建设行政主管部门有关规定配合发包人其他工程的施工等。⑧施工期间和施工完毕后，均应及时对施工场地和为其施工提供的公共道路进行保洁、维护以及维修，产生的垃圾和被破坏的场地，必须遵照监理人和发包人的指示进行清理、修复，并根据实际情况将场地恢复到原有状态，费用自理。⑨由于本工程施工现场为居民区，承包人应合理安排施工时间，确保做到不影响周边居民的正常生活，对居民的合理意见应积极整改，确保工程顺利进行。⑩配合发包人做好安全文明工程、领导检查、宣传等工作。以上相关费用均由承包人承担，并在投标报价清单中综合考虑，不再另计。</w:t>
      </w:r>
      <w:r>
        <w:rPr>
          <w:rFonts w:ascii="Cambria Math" w:hAnsi="Cambria Math" w:cs="Cambria Math"/>
          <w:color w:val="auto"/>
          <w:szCs w:val="21"/>
          <w:highlight w:val="none"/>
          <w:u w:val="single"/>
        </w:rPr>
        <w:t>⑪</w:t>
      </w:r>
      <w:r>
        <w:rPr>
          <w:rFonts w:hint="eastAsia" w:ascii="宋体" w:hAnsi="宋体" w:cs="宋体"/>
          <w:color w:val="auto"/>
          <w:szCs w:val="21"/>
          <w:highlight w:val="none"/>
          <w:u w:val="single"/>
        </w:rPr>
        <w:t>承包人在工程施工期间由于承包人原因引起的责任事故，全部由承包人承担经济责任和法律责任。</w:t>
      </w:r>
      <w:r>
        <w:rPr>
          <w:rFonts w:ascii="Cambria Math" w:hAnsi="Cambria Math" w:cs="Cambria Math"/>
          <w:color w:val="auto"/>
          <w:szCs w:val="21"/>
          <w:highlight w:val="none"/>
          <w:u w:val="single"/>
        </w:rPr>
        <w:t>⑫</w:t>
      </w:r>
      <w:r>
        <w:rPr>
          <w:rFonts w:hint="eastAsia" w:ascii="宋体" w:hAnsi="宋体" w:cs="宋体"/>
          <w:color w:val="auto"/>
          <w:szCs w:val="21"/>
          <w:highlight w:val="none"/>
          <w:u w:val="single"/>
        </w:rPr>
        <w:t>满足国家、行业、控制标准和验收规范，在质量管理过程中达到或超过质量标准，杜绝重大设备一般及以上质量事故，确保工程无永久性缺陷。</w:t>
      </w:r>
    </w:p>
    <w:p w14:paraId="08F53259">
      <w:pPr>
        <w:pStyle w:val="38"/>
        <w:spacing w:line="380" w:lineRule="exact"/>
        <w:ind w:firstLine="422" w:firstLineChars="200"/>
        <w:rPr>
          <w:rFonts w:ascii="宋体" w:cs="宋体"/>
          <w:color w:val="auto"/>
          <w:highlight w:val="none"/>
        </w:rPr>
      </w:pPr>
      <w:bookmarkStart w:id="829" w:name="_Toc497747186"/>
      <w:bookmarkStart w:id="830" w:name="_Toc418518118"/>
      <w:bookmarkStart w:id="831" w:name="_Toc373227708"/>
      <w:bookmarkStart w:id="832" w:name="_Toc403578942"/>
      <w:bookmarkStart w:id="833" w:name="_Toc25355"/>
      <w:bookmarkStart w:id="834" w:name="_Toc389065274"/>
      <w:bookmarkStart w:id="835" w:name="_Toc256000188"/>
      <w:bookmarkStart w:id="836" w:name="_Toc418061319"/>
      <w:bookmarkStart w:id="837" w:name="_Toc373478355"/>
      <w:bookmarkStart w:id="838" w:name="_Toc418751804"/>
      <w:bookmarkStart w:id="839" w:name="_Toc497746789"/>
      <w:bookmarkStart w:id="840" w:name="_Toc522201738"/>
      <w:bookmarkStart w:id="841" w:name="_Toc418752250"/>
      <w:bookmarkStart w:id="842" w:name="_Toc418518354"/>
      <w:r>
        <w:rPr>
          <w:rFonts w:hint="eastAsia" w:ascii="宋体" w:cs="宋体"/>
          <w:color w:val="auto"/>
          <w:highlight w:val="none"/>
        </w:rPr>
        <w:t>3.2 项目经理</w:t>
      </w:r>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p>
    <w:p w14:paraId="07CFFE4A">
      <w:pPr>
        <w:pStyle w:val="23"/>
        <w:spacing w:line="380" w:lineRule="exact"/>
        <w:ind w:firstLine="420" w:firstLineChars="200"/>
        <w:rPr>
          <w:rFonts w:ascii="宋体" w:hAnsi="宋体" w:cs="宋体"/>
          <w:color w:val="auto"/>
          <w:szCs w:val="21"/>
          <w:highlight w:val="none"/>
        </w:rPr>
      </w:pPr>
      <w:r>
        <w:rPr>
          <w:rFonts w:hint="eastAsia" w:ascii="宋体" w:hAnsi="宋体" w:cs="宋体"/>
          <w:color w:val="auto"/>
          <w:kern w:val="0"/>
          <w:szCs w:val="21"/>
          <w:highlight w:val="none"/>
        </w:rPr>
        <w:t xml:space="preserve">3.2.1 </w:t>
      </w:r>
      <w:r>
        <w:rPr>
          <w:rFonts w:hint="eastAsia" w:ascii="宋体" w:hAnsi="宋体" w:cs="宋体"/>
          <w:color w:val="auto"/>
          <w:szCs w:val="21"/>
          <w:highlight w:val="none"/>
        </w:rPr>
        <w:t>项目经理：</w:t>
      </w:r>
    </w:p>
    <w:p w14:paraId="31B6CFD1">
      <w:pPr>
        <w:pStyle w:val="23"/>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姓    名：</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01FAA00A">
      <w:pPr>
        <w:pStyle w:val="23"/>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身份证号：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3B070555">
      <w:pPr>
        <w:pStyle w:val="23"/>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资格</w:t>
      </w:r>
      <w:r>
        <w:rPr>
          <w:rFonts w:hint="eastAsia" w:ascii="宋体" w:hAnsi="宋体" w:cs="宋体"/>
          <w:color w:val="auto"/>
          <w:szCs w:val="21"/>
          <w:highlight w:val="none"/>
          <w:lang w:val="en-US" w:eastAsia="zh-CN"/>
        </w:rPr>
        <w:t>证书名称</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33F22981">
      <w:pPr>
        <w:pStyle w:val="23"/>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资格</w:t>
      </w:r>
      <w:r>
        <w:rPr>
          <w:rFonts w:hint="eastAsia" w:ascii="宋体" w:hAnsi="宋体" w:cs="宋体"/>
          <w:color w:val="auto"/>
          <w:szCs w:val="21"/>
          <w:highlight w:val="none"/>
        </w:rPr>
        <w:t>证书</w:t>
      </w:r>
      <w:r>
        <w:rPr>
          <w:rFonts w:hint="eastAsia" w:ascii="宋体" w:hAnsi="宋体" w:cs="宋体"/>
          <w:color w:val="auto"/>
          <w:szCs w:val="21"/>
          <w:highlight w:val="none"/>
          <w:lang w:val="en-US" w:eastAsia="zh-CN"/>
        </w:rPr>
        <w:t>编</w:t>
      </w:r>
      <w:r>
        <w:rPr>
          <w:rFonts w:hint="eastAsia" w:ascii="宋体" w:hAnsi="宋体" w:cs="宋体"/>
          <w:color w:val="auto"/>
          <w:szCs w:val="21"/>
          <w:highlight w:val="none"/>
        </w:rPr>
        <w:t>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765D4E0B">
      <w:pPr>
        <w:pStyle w:val="23"/>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联系电话：</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05E03F66">
      <w:pPr>
        <w:pStyle w:val="23"/>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电子信箱：</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03DBE816">
      <w:pPr>
        <w:pStyle w:val="23"/>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通信地址：</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101D72CE">
      <w:pPr>
        <w:pStyle w:val="23"/>
        <w:spacing w:line="380" w:lineRule="exact"/>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 xml:space="preserve">承包人对项目经理的授权范围如下： </w:t>
      </w:r>
      <w:r>
        <w:rPr>
          <w:rFonts w:hint="eastAsia" w:ascii="宋体" w:hAnsi="宋体" w:cs="宋体"/>
          <w:color w:val="auto"/>
          <w:szCs w:val="21"/>
          <w:highlight w:val="none"/>
          <w:u w:val="single"/>
        </w:rPr>
        <w:t>（1）对本工程的建设进行全面管理，行使合同约定的权利，履行合同约定的义务；（2）负责本工程的施工组织方案制定和施工组织设计；（3）负责本工程的劳动力组织和机械设备组织；（4）经发包人同意分包的专业工程，项目经理参与选择并使用具有相应资质的分包人； （5）合同约定由承包人采购的材料、工程设备，项目经理参与选择物资供应单位；（6）在授权范围内协调与项目有关的内、外部关系；（7）负责与发包人、监理人办理设计变更、现场签证等手续，及时办理本工程相关索赔；（8）负责签收发包人、监理人往来函件，承包人的要求、通知均应以书面形式由承包人项目经理签字并加盖承包人公司公章后递交发包人；（9）代表承包人接受监理工程师或发包人现场代表发出的指示和指令。但未经承包人盖章同意不得以承包人名义向外融资、 采购材料设备、 租用建筑周转材料、 雇佣劳动力、签订分包合同等从事一切为承包人设立义务或责任的行为</w:t>
      </w:r>
      <w:r>
        <w:rPr>
          <w:rFonts w:hint="eastAsia" w:ascii="宋体" w:hAnsi="宋体" w:cs="宋体"/>
          <w:color w:val="auto"/>
          <w:szCs w:val="21"/>
          <w:highlight w:val="none"/>
        </w:rPr>
        <w:t>。</w:t>
      </w:r>
    </w:p>
    <w:p w14:paraId="0368C674">
      <w:pPr>
        <w:pStyle w:val="23"/>
        <w:spacing w:line="38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关于项目经理每月在施工现场的时间要求：</w:t>
      </w:r>
      <w:r>
        <w:rPr>
          <w:rFonts w:hint="eastAsia" w:ascii="宋体" w:hAnsi="宋体" w:cs="宋体"/>
          <w:color w:val="auto"/>
          <w:szCs w:val="21"/>
          <w:highlight w:val="none"/>
          <w:u w:val="single"/>
        </w:rPr>
        <w:t xml:space="preserve">  不少于22个工作日,若项目经理每月在岗时间少于22个工作日，发包人有权更换项目经理，由此造成的一切损失由承包人承担</w:t>
      </w:r>
      <w:r>
        <w:rPr>
          <w:rFonts w:hint="eastAsia" w:ascii="宋体" w:hAnsi="宋体" w:cs="宋体"/>
          <w:color w:val="auto"/>
          <w:szCs w:val="21"/>
          <w:highlight w:val="none"/>
        </w:rPr>
        <w:t>。</w:t>
      </w:r>
    </w:p>
    <w:p w14:paraId="54EAB754">
      <w:pPr>
        <w:pStyle w:val="23"/>
        <w:spacing w:line="380" w:lineRule="exact"/>
        <w:ind w:firstLine="420" w:firstLineChars="200"/>
        <w:rPr>
          <w:rFonts w:ascii="宋体" w:hAnsi="宋体" w:cs="宋体"/>
          <w:color w:val="auto"/>
          <w:szCs w:val="21"/>
          <w:highlight w:val="none"/>
          <w:u w:val="single"/>
        </w:rPr>
      </w:pPr>
      <w:r>
        <w:rPr>
          <w:rFonts w:hint="eastAsia" w:ascii="宋体" w:hAnsi="宋体" w:cs="宋体"/>
          <w:color w:val="auto"/>
          <w:kern w:val="0"/>
          <w:szCs w:val="21"/>
          <w:highlight w:val="none"/>
        </w:rPr>
        <w:t>承包人未提交劳动合同，以及没有为项目经理缴纳社会保险证明的违约责任：</w:t>
      </w:r>
      <w:r>
        <w:rPr>
          <w:rFonts w:hint="eastAsia" w:ascii="宋体" w:hAnsi="宋体" w:cs="宋体"/>
          <w:color w:val="auto"/>
          <w:szCs w:val="21"/>
          <w:highlight w:val="none"/>
          <w:u w:val="single"/>
        </w:rPr>
        <w:t>承包人不提交上述文件的，项目经理无权履行职责，发包人有权要求更换项目经理，由此增加的费用和延误的工期由承包人承担</w:t>
      </w:r>
      <w:r>
        <w:rPr>
          <w:rFonts w:hint="eastAsia" w:ascii="宋体" w:hAnsi="宋体" w:cs="宋体"/>
          <w:color w:val="auto"/>
          <w:szCs w:val="21"/>
          <w:highlight w:val="none"/>
        </w:rPr>
        <w:t>。</w:t>
      </w:r>
    </w:p>
    <w:p w14:paraId="19049636">
      <w:pPr>
        <w:pStyle w:val="23"/>
        <w:spacing w:line="380" w:lineRule="exact"/>
        <w:ind w:firstLine="420" w:firstLineChars="200"/>
        <w:rPr>
          <w:rFonts w:ascii="宋体" w:hAnsi="宋体" w:cs="宋体"/>
          <w:color w:val="auto"/>
          <w:szCs w:val="21"/>
          <w:highlight w:val="none"/>
          <w:u w:val="single"/>
        </w:rPr>
      </w:pPr>
      <w:r>
        <w:rPr>
          <w:rFonts w:hint="eastAsia" w:ascii="宋体" w:hAnsi="宋体" w:cs="宋体"/>
          <w:color w:val="auto"/>
          <w:kern w:val="0"/>
          <w:szCs w:val="21"/>
          <w:highlight w:val="none"/>
        </w:rPr>
        <w:t>项目经理未经批准，擅自离开施工现场的违约责任：</w:t>
      </w:r>
      <w:r>
        <w:rPr>
          <w:rFonts w:hint="eastAsia" w:ascii="宋体" w:hAnsi="宋体" w:cs="宋体"/>
          <w:color w:val="auto"/>
          <w:szCs w:val="21"/>
          <w:highlight w:val="none"/>
          <w:u w:val="single"/>
        </w:rPr>
        <w:t>项目经理每月在岗带班时间不得少于22天。未经发包人同意或正当理由，项目经理每月在岗带班时间少于22天的，少在岗带班一天，发包人有权处违约金 500元/日（人民币）</w:t>
      </w:r>
      <w:r>
        <w:rPr>
          <w:rFonts w:hint="eastAsia" w:ascii="宋体" w:hAnsi="宋体" w:cs="宋体"/>
          <w:color w:val="auto"/>
          <w:szCs w:val="21"/>
          <w:highlight w:val="none"/>
        </w:rPr>
        <w:t>。</w:t>
      </w:r>
    </w:p>
    <w:p w14:paraId="1A37294E">
      <w:pPr>
        <w:pStyle w:val="23"/>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3.2.3 承包人擅自更换项目经理的违约责任：</w:t>
      </w:r>
      <w:r>
        <w:rPr>
          <w:rFonts w:hint="eastAsia" w:ascii="宋体" w:hAnsi="宋体" w:cs="宋体"/>
          <w:color w:val="auto"/>
          <w:szCs w:val="21"/>
          <w:highlight w:val="none"/>
          <w:u w:val="single"/>
        </w:rPr>
        <w:t>承包人项目经理必须与承包人投标时所承诺的人员一致，并在（开工日期）前到任。在监理人向承包人颁发（竣工证明材料名称）前，项目经理不得同时兼任其他任何项目的项目经理（符合桂建管﹝2013﹞17号和桂建管﹝2014﹞25号文除外）。未经发包人书面同意，承包人擅自更换项目经理的视为违约，违约金处10000元/人•次（人民币）</w:t>
      </w:r>
      <w:r>
        <w:rPr>
          <w:rFonts w:hint="eastAsia" w:ascii="宋体" w:hAnsi="宋体" w:cs="宋体"/>
          <w:color w:val="auto"/>
          <w:szCs w:val="21"/>
          <w:highlight w:val="none"/>
        </w:rPr>
        <w:t>。</w:t>
      </w:r>
    </w:p>
    <w:p w14:paraId="7144A582">
      <w:pPr>
        <w:pStyle w:val="23"/>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3.2.4 承包人无正当理由拒绝更换项目经理的违约责任：</w:t>
      </w:r>
      <w:r>
        <w:rPr>
          <w:rFonts w:hint="eastAsia" w:ascii="宋体" w:hAnsi="宋体" w:cs="宋体"/>
          <w:color w:val="auto"/>
          <w:szCs w:val="21"/>
          <w:highlight w:val="none"/>
          <w:u w:val="single"/>
        </w:rPr>
        <w:t>因承包人项目经理不称职，发包人要求调换而未及时调换的，视为承包人违约，必须向发包人交纳处罚金5000元/人•次（人民币）</w:t>
      </w:r>
      <w:r>
        <w:rPr>
          <w:rFonts w:hint="eastAsia" w:ascii="宋体" w:hAnsi="宋体" w:cs="宋体"/>
          <w:color w:val="auto"/>
          <w:szCs w:val="21"/>
          <w:highlight w:val="none"/>
        </w:rPr>
        <w:t>。</w:t>
      </w:r>
    </w:p>
    <w:p w14:paraId="1D90203A">
      <w:pPr>
        <w:pStyle w:val="38"/>
        <w:spacing w:line="380" w:lineRule="exact"/>
        <w:ind w:firstLine="422" w:firstLineChars="200"/>
        <w:rPr>
          <w:rFonts w:ascii="宋体" w:cs="宋体"/>
          <w:color w:val="auto"/>
          <w:highlight w:val="none"/>
        </w:rPr>
      </w:pPr>
      <w:bookmarkStart w:id="843" w:name="_Toc373478356"/>
      <w:bookmarkStart w:id="844" w:name="_Toc418752251"/>
      <w:bookmarkStart w:id="845" w:name="_Toc418751805"/>
      <w:bookmarkStart w:id="846" w:name="_Toc389065275"/>
      <w:bookmarkStart w:id="847" w:name="_Toc522201739"/>
      <w:bookmarkStart w:id="848" w:name="_Toc403578943"/>
      <w:bookmarkStart w:id="849" w:name="_Toc1988"/>
      <w:bookmarkStart w:id="850" w:name="_Toc418518355"/>
      <w:bookmarkStart w:id="851" w:name="_Toc256000189"/>
      <w:bookmarkStart w:id="852" w:name="_Toc418061320"/>
      <w:bookmarkStart w:id="853" w:name="_Toc373227709"/>
      <w:bookmarkStart w:id="854" w:name="_Toc497746790"/>
      <w:bookmarkStart w:id="855" w:name="_Toc497747187"/>
      <w:bookmarkStart w:id="856" w:name="_Toc418518119"/>
      <w:r>
        <w:rPr>
          <w:rFonts w:hint="eastAsia" w:ascii="宋体" w:cs="宋体"/>
          <w:color w:val="auto"/>
          <w:highlight w:val="none"/>
        </w:rPr>
        <w:t>3.3 承包人人员</w:t>
      </w:r>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p>
    <w:p w14:paraId="3451423E">
      <w:pPr>
        <w:pStyle w:val="23"/>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3.3.1 承包人提交项目管理机构及施工现场管理人员安排报告（格式见合同附件6）的期限：</w:t>
      </w:r>
      <w:r>
        <w:rPr>
          <w:rFonts w:hint="eastAsia" w:ascii="宋体" w:hAnsi="宋体" w:cs="宋体"/>
          <w:color w:val="auto"/>
          <w:szCs w:val="21"/>
          <w:highlight w:val="none"/>
          <w:u w:val="single"/>
        </w:rPr>
        <w:t>开工前7日内</w:t>
      </w:r>
      <w:r>
        <w:rPr>
          <w:rFonts w:hint="eastAsia" w:ascii="宋体" w:hAnsi="宋体" w:cs="宋体"/>
          <w:color w:val="auto"/>
          <w:szCs w:val="21"/>
          <w:highlight w:val="none"/>
        </w:rPr>
        <w:t>。</w:t>
      </w:r>
    </w:p>
    <w:p w14:paraId="632B5CE9">
      <w:pPr>
        <w:pStyle w:val="23"/>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3.3.3 承包人无正当理由拒绝撤换主要施工管理人员的违约责任：</w:t>
      </w:r>
      <w:r>
        <w:rPr>
          <w:rFonts w:hint="eastAsia" w:ascii="宋体" w:hAnsi="宋体" w:cs="宋体"/>
          <w:color w:val="auto"/>
          <w:szCs w:val="21"/>
          <w:highlight w:val="none"/>
          <w:u w:val="single"/>
        </w:rPr>
        <w:t>因承包人主要施工管理人员不称职，发包人要求调换而无正当理由拒绝撤换或未及时调换的，视为承包人违约，必须向发包人交纳处罚金，处罚标准：技术负责人3000元/人•次（人民币）；专业工程师1000元/人•次（人民币）</w:t>
      </w:r>
      <w:r>
        <w:rPr>
          <w:rFonts w:hint="eastAsia" w:ascii="宋体" w:hAnsi="宋体" w:cs="宋体"/>
          <w:color w:val="auto"/>
          <w:szCs w:val="21"/>
          <w:highlight w:val="none"/>
        </w:rPr>
        <w:t>。</w:t>
      </w:r>
    </w:p>
    <w:p w14:paraId="4C4800DE">
      <w:pPr>
        <w:pStyle w:val="23"/>
        <w:spacing w:line="380" w:lineRule="exact"/>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3.3.4 承包人主要施工管理人员离开施工现场的批准要求：</w:t>
      </w:r>
      <w:r>
        <w:rPr>
          <w:rFonts w:hint="eastAsia" w:ascii="宋体" w:hAnsi="宋体" w:cs="宋体"/>
          <w:color w:val="auto"/>
          <w:szCs w:val="21"/>
          <w:highlight w:val="none"/>
          <w:u w:val="single"/>
        </w:rPr>
        <w:t>经建设单位及监理单位批准同意后</w:t>
      </w:r>
      <w:r>
        <w:rPr>
          <w:rFonts w:hint="eastAsia" w:ascii="宋体" w:hAnsi="宋体" w:cs="宋体"/>
          <w:color w:val="auto"/>
          <w:szCs w:val="21"/>
          <w:highlight w:val="none"/>
        </w:rPr>
        <w:t>。</w:t>
      </w:r>
    </w:p>
    <w:p w14:paraId="60B9F363">
      <w:pPr>
        <w:pStyle w:val="23"/>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3.3.5 承包人擅自更换主要施工管理人员的违约责任：</w:t>
      </w:r>
      <w:r>
        <w:rPr>
          <w:rFonts w:hint="eastAsia" w:ascii="宋体" w:hAnsi="宋体" w:cs="宋体"/>
          <w:color w:val="auto"/>
          <w:szCs w:val="21"/>
          <w:highlight w:val="none"/>
          <w:u w:val="single"/>
        </w:rPr>
        <w:t>项目技术负责人、专职安全员及其承诺的其它在场管理人员未经发包人书面同意不准擅自更换，擅自更换项目技术负责人处 3000元/人•次（人民币）违约金；擅自更换专职安全员处1000元/人•次（人民币）违约金；擅自更换其它在场管理人员处500元/人•次（人民币）违约金</w:t>
      </w:r>
      <w:r>
        <w:rPr>
          <w:rFonts w:hint="eastAsia" w:ascii="宋体" w:hAnsi="宋体" w:cs="宋体"/>
          <w:color w:val="auto"/>
          <w:szCs w:val="21"/>
          <w:highlight w:val="none"/>
        </w:rPr>
        <w:t>。</w:t>
      </w:r>
    </w:p>
    <w:p w14:paraId="31658315">
      <w:pPr>
        <w:pStyle w:val="23"/>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承包人主要施工管理人员擅自离开施工现场的违约责任：</w:t>
      </w:r>
      <w:r>
        <w:rPr>
          <w:rFonts w:hint="eastAsia" w:ascii="宋体" w:hAnsi="宋体" w:cs="宋体"/>
          <w:color w:val="auto"/>
          <w:szCs w:val="21"/>
          <w:highlight w:val="none"/>
          <w:u w:val="single"/>
        </w:rPr>
        <w:t>未经发包人同意，项目技术负责人擅自离岗的，视为承包人违约，发包人有权处违约金500元/人•次（人民币）；未经发包人同意，专职安全员擅自离岗的，视为承包人违约，发包人有权处违约金500元/人•次（人民币）；其它在场管理人员擅自离岗的，视为承包人违约，发包人有权处违约金300元/人•次（人民币）</w:t>
      </w:r>
      <w:r>
        <w:rPr>
          <w:rFonts w:hint="eastAsia" w:ascii="宋体" w:hAnsi="宋体" w:cs="宋体"/>
          <w:color w:val="auto"/>
          <w:szCs w:val="21"/>
          <w:highlight w:val="none"/>
        </w:rPr>
        <w:t>。</w:t>
      </w:r>
    </w:p>
    <w:p w14:paraId="0C9DB927">
      <w:pPr>
        <w:pStyle w:val="38"/>
        <w:spacing w:line="380" w:lineRule="exact"/>
        <w:ind w:firstLine="422" w:firstLineChars="200"/>
        <w:rPr>
          <w:rFonts w:ascii="宋体" w:cs="宋体"/>
          <w:color w:val="auto"/>
          <w:highlight w:val="none"/>
        </w:rPr>
      </w:pPr>
      <w:bookmarkStart w:id="857" w:name="_Toc497746791"/>
      <w:bookmarkStart w:id="858" w:name="_Toc418061321"/>
      <w:bookmarkStart w:id="859" w:name="_Toc256000190"/>
      <w:bookmarkStart w:id="860" w:name="_Toc389065276"/>
      <w:bookmarkStart w:id="861" w:name="_Toc24620"/>
      <w:bookmarkStart w:id="862" w:name="_Toc418518120"/>
      <w:bookmarkStart w:id="863" w:name="_Toc373227710"/>
      <w:bookmarkStart w:id="864" w:name="_Toc418518356"/>
      <w:bookmarkStart w:id="865" w:name="_Toc522201740"/>
      <w:bookmarkStart w:id="866" w:name="_Toc418752252"/>
      <w:bookmarkStart w:id="867" w:name="_Toc403578944"/>
      <w:bookmarkStart w:id="868" w:name="_Toc497747188"/>
      <w:bookmarkStart w:id="869" w:name="_Toc418751806"/>
      <w:bookmarkStart w:id="870" w:name="_Toc373478357"/>
      <w:r>
        <w:rPr>
          <w:rFonts w:hint="eastAsia" w:ascii="宋体" w:cs="宋体"/>
          <w:color w:val="auto"/>
          <w:highlight w:val="none"/>
        </w:rPr>
        <w:t>3</w:t>
      </w:r>
      <w:bookmarkStart w:id="871" w:name="_Toc304295523"/>
      <w:bookmarkStart w:id="872" w:name="_Toc292559364"/>
      <w:bookmarkStart w:id="873" w:name="_Toc296347158"/>
      <w:bookmarkStart w:id="874" w:name="_Toc296503159"/>
      <w:bookmarkStart w:id="875" w:name="_Toc297048345"/>
      <w:bookmarkStart w:id="876" w:name="_Toc296890987"/>
      <w:bookmarkStart w:id="877" w:name="_Toc297123492"/>
      <w:bookmarkStart w:id="878" w:name="_Toc292559869"/>
      <w:bookmarkStart w:id="879" w:name="_Toc297120459"/>
      <w:bookmarkStart w:id="880" w:name="_Toc296944498"/>
      <w:bookmarkStart w:id="881" w:name="_Toc296346660"/>
      <w:bookmarkStart w:id="882" w:name="_Toc300934945"/>
      <w:bookmarkStart w:id="883" w:name="_Toc297216151"/>
      <w:bookmarkStart w:id="884" w:name="_Toc296891199"/>
      <w:bookmarkStart w:id="885" w:name="_Toc312677988"/>
      <w:bookmarkStart w:id="886" w:name="_Toc303539102"/>
      <w:r>
        <w:rPr>
          <w:rFonts w:hint="eastAsia" w:ascii="宋体" w:cs="宋体"/>
          <w:color w:val="auto"/>
          <w:highlight w:val="none"/>
        </w:rPr>
        <w:t>.5 分包</w:t>
      </w:r>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p>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p w14:paraId="54F2505A">
      <w:pPr>
        <w:pStyle w:val="23"/>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w:t>
      </w:r>
      <w:bookmarkStart w:id="887" w:name="_Toc296891200"/>
      <w:bookmarkStart w:id="888" w:name="_Toc297120460"/>
      <w:bookmarkStart w:id="889" w:name="_Toc304295524"/>
      <w:bookmarkStart w:id="890" w:name="_Toc303539103"/>
      <w:bookmarkStart w:id="891" w:name="_Toc292559870"/>
      <w:bookmarkStart w:id="892" w:name="_Toc296944499"/>
      <w:bookmarkStart w:id="893" w:name="_Toc297123493"/>
      <w:bookmarkStart w:id="894" w:name="_Toc292559365"/>
      <w:bookmarkStart w:id="895" w:name="_Toc296503160"/>
      <w:bookmarkStart w:id="896" w:name="_Toc300934946"/>
      <w:bookmarkStart w:id="897" w:name="_Toc296346661"/>
      <w:bookmarkStart w:id="898" w:name="_Toc297048346"/>
      <w:bookmarkStart w:id="899" w:name="_Toc318581158"/>
      <w:bookmarkStart w:id="900" w:name="_Toc296890988"/>
      <w:bookmarkStart w:id="901" w:name="_Toc312677989"/>
      <w:bookmarkStart w:id="902" w:name="_Toc296347159"/>
      <w:bookmarkStart w:id="903" w:name="_Toc297216152"/>
      <w:r>
        <w:rPr>
          <w:rFonts w:hint="eastAsia" w:ascii="宋体" w:hAnsi="宋体" w:cs="宋体"/>
          <w:color w:val="auto"/>
          <w:szCs w:val="21"/>
          <w:highlight w:val="none"/>
        </w:rPr>
        <w:t>.5.1 分包的一般约定</w:t>
      </w:r>
    </w:p>
    <w:p w14:paraId="6CD7573F">
      <w:pPr>
        <w:pStyle w:val="23"/>
        <w:spacing w:line="3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禁止分包的工程包括：</w:t>
      </w:r>
      <w:r>
        <w:rPr>
          <w:rFonts w:ascii="宋体" w:hAnsi="宋体" w:cs="宋体"/>
          <w:color w:val="auto"/>
          <w:szCs w:val="21"/>
          <w:highlight w:val="none"/>
          <w:u w:val="single"/>
        </w:rPr>
        <w:t></w:t>
      </w:r>
      <w:r>
        <w:rPr>
          <w:rFonts w:hint="eastAsia" w:ascii="宋体" w:hAnsi="宋体" w:cs="宋体"/>
          <w:color w:val="auto"/>
          <w:szCs w:val="21"/>
          <w:highlight w:val="none"/>
          <w:u w:val="single"/>
        </w:rPr>
        <w:t xml:space="preserve">除劳务工程外 </w:t>
      </w:r>
      <w:r>
        <w:rPr>
          <w:rFonts w:hint="eastAsia" w:ascii="宋体" w:hAnsi="宋体" w:cs="宋体"/>
          <w:color w:val="auto"/>
          <w:szCs w:val="21"/>
          <w:highlight w:val="none"/>
        </w:rPr>
        <w:t>。</w:t>
      </w:r>
    </w:p>
    <w:p w14:paraId="1D31F014">
      <w:pPr>
        <w:pStyle w:val="23"/>
        <w:spacing w:line="3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主体结构、关键性工作的范围：</w:t>
      </w:r>
      <w:r>
        <w:rPr>
          <w:rFonts w:ascii="宋体" w:hAnsi="宋体" w:cs="宋体"/>
          <w:color w:val="auto"/>
          <w:szCs w:val="21"/>
          <w:highlight w:val="none"/>
          <w:u w:val="single"/>
        </w:rPr>
        <w:t></w:t>
      </w:r>
      <w:r>
        <w:rPr>
          <w:rFonts w:hint="eastAsia" w:ascii="宋体" w:hAnsi="宋体" w:cs="宋体"/>
          <w:color w:val="auto"/>
          <w:szCs w:val="21"/>
          <w:highlight w:val="none"/>
          <w:u w:val="single"/>
        </w:rPr>
        <w:t xml:space="preserve">禁止分包  </w:t>
      </w:r>
      <w:r>
        <w:rPr>
          <w:rFonts w:hint="eastAsia" w:ascii="宋体" w:hAnsi="宋体" w:cs="宋体"/>
          <w:color w:val="auto"/>
          <w:szCs w:val="21"/>
          <w:highlight w:val="none"/>
        </w:rPr>
        <w:t>。</w:t>
      </w:r>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p>
    <w:p w14:paraId="5A8C6409">
      <w:pPr>
        <w:pStyle w:val="23"/>
        <w:spacing w:line="3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w:t>
      </w:r>
      <w:bookmarkStart w:id="904" w:name="_Toc312677990"/>
      <w:bookmarkStart w:id="905" w:name="_Toc318581159"/>
      <w:r>
        <w:rPr>
          <w:rFonts w:hint="eastAsia" w:ascii="宋体" w:hAnsi="宋体" w:cs="宋体"/>
          <w:color w:val="auto"/>
          <w:szCs w:val="21"/>
          <w:highlight w:val="none"/>
        </w:rPr>
        <w:t>.5.2 分包的确定</w:t>
      </w:r>
    </w:p>
    <w:p w14:paraId="5122D879">
      <w:pPr>
        <w:pStyle w:val="23"/>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允许分包的专业工程包括：</w:t>
      </w:r>
      <w:r>
        <w:rPr>
          <w:rFonts w:hint="eastAsia" w:ascii="宋体" w:hAnsi="宋体" w:cs="宋体"/>
          <w:color w:val="auto"/>
          <w:szCs w:val="21"/>
          <w:highlight w:val="none"/>
          <w:u w:val="single"/>
        </w:rPr>
        <w:t xml:space="preserve">劳务工程  </w:t>
      </w:r>
      <w:r>
        <w:rPr>
          <w:rFonts w:hint="eastAsia" w:ascii="宋体" w:hAnsi="宋体" w:cs="宋体"/>
          <w:color w:val="auto"/>
          <w:szCs w:val="21"/>
          <w:highlight w:val="none"/>
        </w:rPr>
        <w:t>。</w:t>
      </w:r>
    </w:p>
    <w:p w14:paraId="12C9B269">
      <w:pPr>
        <w:pStyle w:val="23"/>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其他关于分包的约定：</w:t>
      </w:r>
    </w:p>
    <w:p w14:paraId="31D33FAD">
      <w:pPr>
        <w:pStyle w:val="23"/>
        <w:spacing w:line="380" w:lineRule="exact"/>
        <w:ind w:firstLine="420" w:firstLineChars="200"/>
        <w:rPr>
          <w:rFonts w:ascii="宋体" w:hAnsi="宋体" w:cs="宋体"/>
          <w:color w:val="auto"/>
          <w:szCs w:val="21"/>
          <w:highlight w:val="none"/>
          <w:u w:val="single"/>
        </w:rPr>
      </w:pPr>
      <w:r>
        <w:rPr>
          <w:rFonts w:hint="eastAsia" w:ascii="宋体" w:hAnsi="宋体" w:cs="宋体"/>
          <w:color w:val="auto"/>
          <w:szCs w:val="21"/>
          <w:highlight w:val="none"/>
          <w:u w:val="single"/>
        </w:rPr>
        <w:t>（1）除前款约定的分包内容外，经过发包人和监理人同意，承包人可以将其他非主体、非关键性工作分包给第三人，但分包人应当经过发包人和监理人审批。发包人和监理人有权拒绝承包人的分包请求和承包人选择的分包人。本项目分包人主要施工管理人员名单详见合同附件7。</w:t>
      </w:r>
    </w:p>
    <w:p w14:paraId="3A44E882">
      <w:pPr>
        <w:pStyle w:val="23"/>
        <w:spacing w:line="380" w:lineRule="exact"/>
        <w:ind w:firstLine="420" w:firstLineChars="200"/>
        <w:rPr>
          <w:rFonts w:ascii="宋体" w:hAnsi="宋体" w:cs="宋体"/>
          <w:color w:val="auto"/>
          <w:szCs w:val="21"/>
          <w:highlight w:val="none"/>
          <w:u w:val="single"/>
        </w:rPr>
      </w:pPr>
      <w:r>
        <w:rPr>
          <w:rFonts w:hint="eastAsia" w:ascii="宋体" w:hAnsi="宋体" w:cs="宋体"/>
          <w:color w:val="auto"/>
          <w:szCs w:val="21"/>
          <w:highlight w:val="none"/>
          <w:u w:val="single"/>
        </w:rPr>
        <w:t>（2）在相关分包合同签订并报送有关建设行政主管部门备案后7天内，承包人应当将一份副本提交给监理人，承包人应保障分包工作不得再次分包。</w:t>
      </w:r>
    </w:p>
    <w:p w14:paraId="468FD2D4">
      <w:pPr>
        <w:pStyle w:val="23"/>
        <w:spacing w:line="380" w:lineRule="exact"/>
        <w:ind w:firstLine="420" w:firstLineChars="200"/>
        <w:rPr>
          <w:rFonts w:ascii="宋体" w:hAnsi="宋体" w:cs="宋体"/>
          <w:color w:val="auto"/>
          <w:szCs w:val="21"/>
          <w:highlight w:val="none"/>
          <w:u w:val="single"/>
        </w:rPr>
      </w:pPr>
      <w:r>
        <w:rPr>
          <w:rFonts w:hint="eastAsia" w:ascii="宋体" w:hAnsi="宋体" w:cs="宋体"/>
          <w:color w:val="auto"/>
          <w:szCs w:val="21"/>
          <w:highlight w:val="none"/>
          <w:u w:val="single"/>
        </w:rPr>
        <w:t>（3）未经承包人和监理人审批同意的分包工程和分包人，承包人有权拒绝验收分包工程和支付相应款项，由此引起的发包人费用增加和(或)延误的工期由发包人承担。</w:t>
      </w:r>
    </w:p>
    <w:p w14:paraId="49F6ECEC">
      <w:pPr>
        <w:pStyle w:val="23"/>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3.5.4 分包合同价款 </w:t>
      </w:r>
    </w:p>
    <w:p w14:paraId="101E18E6">
      <w:pPr>
        <w:pStyle w:val="23"/>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关于分包合同价款支付的约定：</w:t>
      </w:r>
      <w:r>
        <w:rPr>
          <w:rFonts w:hint="eastAsia" w:ascii="宋体" w:hAnsi="宋体" w:cs="宋体"/>
          <w:color w:val="auto"/>
          <w:szCs w:val="21"/>
          <w:highlight w:val="none"/>
          <w:u w:val="single"/>
        </w:rPr>
        <w:t>分包工程价款由承包人与分包人（包括专业分包人）结算。发包人未经承包人同意不得以任何形式向分包人（包括专业分包人）支付相关分包合同项下的任何工程款项。因发包人未经承包人同意直接向分包人（包括专业分包人）支付相关分包合同项下的任何工程款项而影响承包人工作的，所造成的承包人费用增加和（或）延误的工期由发包人承担。</w:t>
      </w:r>
    </w:p>
    <w:bookmarkEnd w:id="904"/>
    <w:bookmarkEnd w:id="905"/>
    <w:p w14:paraId="6825D3E7">
      <w:pPr>
        <w:pStyle w:val="38"/>
        <w:spacing w:line="380" w:lineRule="exact"/>
        <w:ind w:firstLine="422" w:firstLineChars="200"/>
        <w:rPr>
          <w:rFonts w:ascii="宋体" w:cs="宋体"/>
          <w:color w:val="auto"/>
          <w:highlight w:val="none"/>
        </w:rPr>
      </w:pPr>
      <w:bookmarkStart w:id="906" w:name="_Toc373478358"/>
      <w:bookmarkStart w:id="907" w:name="_Toc418518121"/>
      <w:bookmarkStart w:id="908" w:name="_Toc418518357"/>
      <w:bookmarkStart w:id="909" w:name="_Toc16618"/>
      <w:bookmarkStart w:id="910" w:name="_Toc373227711"/>
      <w:bookmarkStart w:id="911" w:name="_Toc389065277"/>
      <w:bookmarkStart w:id="912" w:name="_Toc522201741"/>
      <w:bookmarkStart w:id="913" w:name="_Toc418752253"/>
      <w:bookmarkStart w:id="914" w:name="_Toc418061322"/>
      <w:bookmarkStart w:id="915" w:name="_Toc256000191"/>
      <w:bookmarkStart w:id="916" w:name="_Toc403578945"/>
      <w:bookmarkStart w:id="917" w:name="_Toc418751807"/>
      <w:bookmarkStart w:id="918" w:name="_Toc497746792"/>
      <w:bookmarkStart w:id="919" w:name="_Toc497747189"/>
      <w:r>
        <w:rPr>
          <w:rFonts w:hint="eastAsia" w:ascii="宋体" w:cs="宋体"/>
          <w:color w:val="auto"/>
          <w:highlight w:val="none"/>
        </w:rPr>
        <w:t>3.6 工程照管与成品、半成品保护</w:t>
      </w:r>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p>
    <w:p w14:paraId="267DC6E8">
      <w:pPr>
        <w:pStyle w:val="23"/>
        <w:spacing w:line="38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承包人负责照管工程及工程相关的材料、工程设备的起始时间：</w:t>
      </w:r>
      <w:r>
        <w:rPr>
          <w:rFonts w:hint="eastAsia" w:ascii="宋体" w:hAnsi="宋体" w:cs="宋体"/>
          <w:color w:val="auto"/>
          <w:szCs w:val="21"/>
          <w:highlight w:val="none"/>
          <w:u w:val="single"/>
        </w:rPr>
        <w:t>自发包人向承包人移交施工现场之日起，到颁发工程接收证书之日止</w:t>
      </w:r>
      <w:r>
        <w:rPr>
          <w:rFonts w:hint="eastAsia" w:ascii="宋体" w:hAnsi="宋体" w:cs="宋体"/>
          <w:color w:val="auto"/>
          <w:kern w:val="0"/>
          <w:szCs w:val="21"/>
          <w:highlight w:val="none"/>
        </w:rPr>
        <w:t>。</w:t>
      </w:r>
    </w:p>
    <w:p w14:paraId="58F8785A">
      <w:pPr>
        <w:pStyle w:val="43"/>
        <w:spacing w:line="380" w:lineRule="exact"/>
        <w:rPr>
          <w:rFonts w:ascii="宋体" w:hAnsi="宋体" w:cs="宋体"/>
          <w:color w:val="auto"/>
          <w:highlight w:val="none"/>
        </w:rPr>
      </w:pPr>
      <w:r>
        <w:rPr>
          <w:rFonts w:hint="eastAsia" w:ascii="宋体" w:hAnsi="宋体" w:cs="宋体"/>
          <w:color w:val="auto"/>
          <w:highlight w:val="none"/>
        </w:rPr>
        <w:t>承包人负责照管工程及工程相关的材料、工程设备的范围：</w:t>
      </w:r>
      <w:r>
        <w:rPr>
          <w:rFonts w:hint="eastAsia" w:ascii="宋体" w:hAnsi="宋体" w:cs="宋体"/>
          <w:color w:val="auto"/>
          <w:highlight w:val="none"/>
          <w:u w:val="single"/>
        </w:rPr>
        <w:t>除承包人自身承包范围内的材料、工程设备外，也有义务照管与本项目相关的由发包人另行发包的其他专业工程设备。并有义务避免因自身的原因造成对其他承包人的成品、半成品的损坏、污染</w:t>
      </w:r>
      <w:r>
        <w:rPr>
          <w:rFonts w:hint="eastAsia" w:ascii="宋体" w:hAnsi="宋体" w:cs="宋体"/>
          <w:color w:val="auto"/>
          <w:highlight w:val="none"/>
        </w:rPr>
        <w:t>。</w:t>
      </w:r>
    </w:p>
    <w:p w14:paraId="5544B5DB">
      <w:pPr>
        <w:pStyle w:val="38"/>
        <w:spacing w:line="380" w:lineRule="exact"/>
        <w:ind w:firstLine="422" w:firstLineChars="200"/>
        <w:rPr>
          <w:rFonts w:ascii="宋体" w:cs="宋体"/>
          <w:color w:val="auto"/>
          <w:highlight w:val="none"/>
        </w:rPr>
      </w:pPr>
      <w:bookmarkStart w:id="920" w:name="_Toc373227712"/>
      <w:bookmarkStart w:id="921" w:name="_Toc497746793"/>
      <w:bookmarkStart w:id="922" w:name="_Toc389065278"/>
      <w:bookmarkStart w:id="923" w:name="_Toc418061323"/>
      <w:bookmarkStart w:id="924" w:name="_Toc497747190"/>
      <w:bookmarkStart w:id="925" w:name="_Toc418518122"/>
      <w:bookmarkStart w:id="926" w:name="_Toc418751808"/>
      <w:bookmarkStart w:id="927" w:name="_Toc522201742"/>
      <w:bookmarkStart w:id="928" w:name="_Toc373478359"/>
      <w:bookmarkStart w:id="929" w:name="_Toc418518358"/>
      <w:bookmarkStart w:id="930" w:name="_Toc403578946"/>
      <w:bookmarkStart w:id="931" w:name="_Toc418752254"/>
      <w:bookmarkStart w:id="932" w:name="_Toc256000192"/>
      <w:bookmarkStart w:id="933" w:name="_Toc26561"/>
      <w:r>
        <w:rPr>
          <w:rFonts w:hint="eastAsia" w:ascii="宋体" w:cs="宋体"/>
          <w:color w:val="auto"/>
          <w:highlight w:val="none"/>
        </w:rPr>
        <w:t>3.7 履约</w:t>
      </w:r>
      <w:bookmarkEnd w:id="920"/>
      <w:bookmarkEnd w:id="921"/>
      <w:bookmarkEnd w:id="922"/>
      <w:bookmarkEnd w:id="923"/>
      <w:bookmarkEnd w:id="924"/>
      <w:bookmarkEnd w:id="925"/>
      <w:bookmarkEnd w:id="926"/>
      <w:bookmarkEnd w:id="927"/>
      <w:bookmarkEnd w:id="928"/>
      <w:bookmarkEnd w:id="929"/>
      <w:bookmarkEnd w:id="930"/>
      <w:bookmarkEnd w:id="931"/>
      <w:r>
        <w:rPr>
          <w:rFonts w:hint="eastAsia" w:ascii="宋体" w:cs="宋体"/>
          <w:color w:val="auto"/>
          <w:highlight w:val="none"/>
        </w:rPr>
        <w:t>担保</w:t>
      </w:r>
      <w:bookmarkEnd w:id="932"/>
      <w:bookmarkEnd w:id="933"/>
    </w:p>
    <w:p w14:paraId="7144C63E">
      <w:pPr>
        <w:pStyle w:val="43"/>
        <w:spacing w:line="380" w:lineRule="exact"/>
        <w:rPr>
          <w:rFonts w:ascii="宋体" w:hAnsi="宋体" w:cs="宋体"/>
          <w:color w:val="auto"/>
          <w:highlight w:val="none"/>
        </w:rPr>
      </w:pPr>
      <w:bookmarkStart w:id="934" w:name="_Toc389065279"/>
      <w:bookmarkStart w:id="935" w:name="_Toc418518359"/>
      <w:bookmarkStart w:id="936" w:name="_Toc373227713"/>
      <w:bookmarkStart w:id="937" w:name="_Toc418518123"/>
      <w:bookmarkStart w:id="938" w:name="_Toc418752255"/>
      <w:bookmarkStart w:id="939" w:name="_Toc403578947"/>
      <w:bookmarkStart w:id="940" w:name="_Toc373478360"/>
      <w:bookmarkStart w:id="941" w:name="_Toc418751809"/>
      <w:bookmarkStart w:id="942" w:name="_Toc418061324"/>
      <w:bookmarkStart w:id="943" w:name="_Toc351203636"/>
      <w:r>
        <w:rPr>
          <w:rFonts w:hint="eastAsia" w:ascii="宋体" w:hAnsi="宋体" w:cs="宋体"/>
          <w:color w:val="auto"/>
          <w:highlight w:val="none"/>
        </w:rPr>
        <w:t>承包人是否提供履约担保：</w:t>
      </w:r>
      <w:r>
        <w:rPr>
          <w:rFonts w:hint="eastAsia" w:ascii="宋体" w:hAnsi="宋体" w:cs="宋体"/>
          <w:color w:val="auto"/>
          <w:highlight w:val="none"/>
          <w:u w:val="single"/>
        </w:rPr>
        <w:t xml:space="preserve">     </w:t>
      </w:r>
      <w:r>
        <w:rPr>
          <w:rFonts w:hint="eastAsia" w:ascii="宋体" w:hAnsi="宋体" w:cs="宋体"/>
          <w:color w:val="auto"/>
          <w:highlight w:val="none"/>
          <w:u w:val="single"/>
          <w:lang w:eastAsia="zh-CN"/>
        </w:rPr>
        <w:t>否</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09111140">
      <w:pPr>
        <w:pStyle w:val="23"/>
        <w:spacing w:line="380" w:lineRule="exact"/>
        <w:ind w:firstLine="420" w:firstLineChars="200"/>
        <w:rPr>
          <w:rFonts w:ascii="宋体" w:hAnsi="宋体" w:cs="宋体"/>
          <w:color w:val="auto"/>
          <w:kern w:val="0"/>
          <w:szCs w:val="21"/>
          <w:highlight w:val="none"/>
          <w:u w:val="single"/>
        </w:rPr>
      </w:pPr>
      <w:r>
        <w:rPr>
          <w:rFonts w:hint="eastAsia" w:ascii="宋体" w:hAnsi="宋体" w:cs="宋体"/>
          <w:color w:val="auto"/>
          <w:kern w:val="0"/>
          <w:szCs w:val="21"/>
          <w:highlight w:val="none"/>
        </w:rPr>
        <w:t>承包人提供履约担保的形式、金额及期限的：</w:t>
      </w:r>
      <w:r>
        <w:rPr>
          <w:rFonts w:hint="eastAsia" w:ascii="宋体" w:hAnsi="宋体" w:cs="宋体"/>
          <w:color w:val="auto"/>
          <w:kern w:val="0"/>
          <w:szCs w:val="21"/>
          <w:highlight w:val="none"/>
          <w:lang w:val="en-US" w:eastAsia="zh-CN"/>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w:t>
      </w:r>
    </w:p>
    <w:p w14:paraId="0C2F8617">
      <w:pPr>
        <w:pStyle w:val="23"/>
        <w:spacing w:line="38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工程竣工验收合格并对验收发现的问题完成整改后的7个日历天内，</w:t>
      </w:r>
      <w:r>
        <w:rPr>
          <w:rFonts w:hint="eastAsia" w:ascii="宋体" w:hAnsi="宋体" w:cs="宋体"/>
          <w:color w:val="auto"/>
          <w:szCs w:val="21"/>
          <w:highlight w:val="none"/>
        </w:rPr>
        <w:t>承包人可向发包人申请退还履约保证金。发包人应在收到申请之日起28个日历天内</w:t>
      </w:r>
      <w:r>
        <w:rPr>
          <w:rFonts w:hint="eastAsia" w:ascii="宋体" w:hAnsi="宋体" w:cs="宋体"/>
          <w:color w:val="auto"/>
          <w:kern w:val="0"/>
          <w:szCs w:val="21"/>
          <w:highlight w:val="none"/>
        </w:rPr>
        <w:t>扣减承包人赔偿金和其他应从承包人扣回的款项后，</w:t>
      </w:r>
      <w:r>
        <w:rPr>
          <w:rFonts w:hint="eastAsia" w:ascii="宋体" w:hAnsi="宋体" w:cs="宋体"/>
          <w:color w:val="auto"/>
          <w:szCs w:val="21"/>
          <w:highlight w:val="none"/>
        </w:rPr>
        <w:t>将履约保证金退还给承包人（无息）。</w:t>
      </w:r>
    </w:p>
    <w:p w14:paraId="0E02133B">
      <w:pPr>
        <w:pStyle w:val="23"/>
        <w:spacing w:line="38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签订合同前承包人必须按市财建（2018）73号文规定将农民工工资保障金存入帐户。工程竣工验收结算经审定后，按照规定程序，将农民工工资保障金没有使用或剩余的金额退还给承包人。</w:t>
      </w:r>
    </w:p>
    <w:p w14:paraId="1C497BD4">
      <w:pPr>
        <w:pStyle w:val="38"/>
        <w:spacing w:line="380" w:lineRule="exact"/>
        <w:rPr>
          <w:rFonts w:ascii="宋体" w:cs="宋体"/>
          <w:color w:val="auto"/>
          <w:highlight w:val="none"/>
        </w:rPr>
      </w:pPr>
      <w:bookmarkStart w:id="944" w:name="_Toc256000193"/>
      <w:bookmarkStart w:id="945" w:name="_Toc17209"/>
      <w:bookmarkStart w:id="946" w:name="_Toc497747191"/>
      <w:bookmarkStart w:id="947" w:name="_Toc522201743"/>
      <w:bookmarkStart w:id="948" w:name="_Toc497746794"/>
      <w:r>
        <w:rPr>
          <w:rFonts w:hint="eastAsia" w:ascii="宋体" w:cs="宋体"/>
          <w:color w:val="auto"/>
          <w:highlight w:val="none"/>
        </w:rPr>
        <w:t>4</w:t>
      </w:r>
      <w:bookmarkStart w:id="949" w:name="_Toc296503162"/>
      <w:bookmarkStart w:id="950" w:name="_Toc296891202"/>
      <w:bookmarkStart w:id="951" w:name="_Toc296347161"/>
      <w:bookmarkStart w:id="952" w:name="_Toc296890990"/>
      <w:bookmarkStart w:id="953" w:name="_Toc297048348"/>
      <w:bookmarkStart w:id="954" w:name="_Toc296944501"/>
      <w:bookmarkStart w:id="955" w:name="_Toc292559871"/>
      <w:bookmarkStart w:id="956" w:name="_Toc267251413"/>
      <w:bookmarkStart w:id="957" w:name="_Toc292559366"/>
      <w:bookmarkStart w:id="958" w:name="_Toc296346663"/>
      <w:bookmarkStart w:id="959" w:name="_Toc297120462"/>
      <w:r>
        <w:rPr>
          <w:rFonts w:hint="eastAsia" w:ascii="宋体" w:cs="宋体"/>
          <w:color w:val="auto"/>
          <w:highlight w:val="none"/>
        </w:rPr>
        <w:t>. 监</w:t>
      </w:r>
      <w:bookmarkEnd w:id="949"/>
      <w:bookmarkEnd w:id="950"/>
      <w:bookmarkEnd w:id="951"/>
      <w:bookmarkEnd w:id="952"/>
      <w:bookmarkEnd w:id="953"/>
      <w:bookmarkEnd w:id="954"/>
      <w:bookmarkEnd w:id="955"/>
      <w:bookmarkEnd w:id="956"/>
      <w:bookmarkEnd w:id="957"/>
      <w:bookmarkEnd w:id="958"/>
      <w:bookmarkEnd w:id="959"/>
      <w:r>
        <w:rPr>
          <w:rFonts w:hint="eastAsia" w:ascii="宋体" w:cs="宋体"/>
          <w:color w:val="auto"/>
          <w:highlight w:val="none"/>
        </w:rPr>
        <w:t>理人</w:t>
      </w:r>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p>
    <w:p w14:paraId="4D28620D">
      <w:pPr>
        <w:pStyle w:val="38"/>
        <w:spacing w:line="380" w:lineRule="exact"/>
        <w:ind w:firstLine="422" w:firstLineChars="200"/>
        <w:rPr>
          <w:rFonts w:ascii="宋体" w:cs="宋体"/>
          <w:color w:val="auto"/>
          <w:highlight w:val="none"/>
        </w:rPr>
      </w:pPr>
      <w:bookmarkStart w:id="960" w:name="_Toc373227714"/>
      <w:bookmarkStart w:id="961" w:name="_Toc418518360"/>
      <w:bookmarkStart w:id="962" w:name="_Toc256000194"/>
      <w:bookmarkStart w:id="963" w:name="_Toc418518124"/>
      <w:bookmarkStart w:id="964" w:name="_Toc497747192"/>
      <w:bookmarkStart w:id="965" w:name="_Toc522201744"/>
      <w:bookmarkStart w:id="966" w:name="_Toc497746795"/>
      <w:bookmarkStart w:id="967" w:name="_Toc32585"/>
      <w:bookmarkStart w:id="968" w:name="_Toc373478361"/>
      <w:bookmarkStart w:id="969" w:name="_Toc418061325"/>
      <w:bookmarkStart w:id="970" w:name="_Toc418751810"/>
      <w:bookmarkStart w:id="971" w:name="_Toc418752256"/>
      <w:bookmarkStart w:id="972" w:name="_Toc403578948"/>
      <w:bookmarkStart w:id="973" w:name="_Toc389065280"/>
      <w:r>
        <w:rPr>
          <w:rFonts w:hint="eastAsia" w:ascii="宋体" w:cs="宋体"/>
          <w:color w:val="auto"/>
          <w:highlight w:val="none"/>
        </w:rPr>
        <w:t>4.1 监理人的一般规定</w:t>
      </w:r>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p>
    <w:p w14:paraId="6A8B276B">
      <w:pPr>
        <w:pStyle w:val="23"/>
        <w:spacing w:line="3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关于监理人的监理内容：</w:t>
      </w:r>
      <w:r>
        <w:rPr>
          <w:rFonts w:hint="eastAsia" w:ascii="宋体" w:hAnsi="宋体" w:cs="宋体"/>
          <w:color w:val="auto"/>
          <w:szCs w:val="21"/>
          <w:highlight w:val="none"/>
          <w:u w:val="single"/>
        </w:rPr>
        <w:t xml:space="preserve"> 检查施工承包人工程质量，安全生产管理制度及组织机构人员资格；审查施工承包人员提交的施工进度计划及工程施工范围内所有内容。</w:t>
      </w:r>
    </w:p>
    <w:p w14:paraId="17772AE0">
      <w:pPr>
        <w:pStyle w:val="23"/>
        <w:spacing w:line="3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关于监理人的监理权限：</w:t>
      </w:r>
      <w:r>
        <w:rPr>
          <w:rFonts w:hint="eastAsia" w:ascii="宋体" w:hAnsi="宋体" w:cs="宋体"/>
          <w:color w:val="auto"/>
          <w:szCs w:val="21"/>
          <w:highlight w:val="none"/>
          <w:u w:val="single"/>
        </w:rPr>
        <w:t>代表发包人对工程施工相关事项进行检查、查验、审核、验收，并签发相关指示，但监理人无权修改合同，且无权减轻或免除合同约定的承包人的任何责任与义务: 1、在发出施工进度计划和施工方案说明以及有关能引起工程费用实际增加（减少）或延长工期的指令前，应得到发包人的书面批准。2、监理工程师在向承包人发出有关技术规范的重大变更或有关变更合同条款的任何指令前均应获得发包人书面批准。3、工程实际竣工日期提前或超过工程承包合同规定的竣工期限的签证之前应得到发包人的书面批准。4、签证单监理只有证明权，无确认权。5、工程内容和材料变更确认应得到发包人的书面批准。不管通用合同条款如何约定，监理人履行须经发包人批准行使的权利时，应当向承包人出示其行使该权利已经取得发包人批准的文件或者其他合法有效的证明 。</w:t>
      </w:r>
      <w:r>
        <w:rPr>
          <w:rFonts w:hint="eastAsia" w:ascii="宋体" w:hAnsi="宋体" w:cs="宋体"/>
          <w:color w:val="auto"/>
          <w:szCs w:val="21"/>
          <w:highlight w:val="none"/>
        </w:rPr>
        <w:t xml:space="preserve">  </w:t>
      </w:r>
    </w:p>
    <w:p w14:paraId="2A84B6DD">
      <w:pPr>
        <w:pStyle w:val="23"/>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关于监理人在施工现场的办公场所、生活场所的提供和费用承担的约定：</w:t>
      </w:r>
      <w:r>
        <w:rPr>
          <w:rFonts w:hint="eastAsia" w:ascii="宋体" w:hAnsi="宋体" w:cs="宋体"/>
          <w:color w:val="auto"/>
          <w:szCs w:val="21"/>
          <w:highlight w:val="none"/>
          <w:u w:val="single"/>
        </w:rPr>
        <w:t>由承包人为发包人、监理单位免费提供三间办公室</w:t>
      </w:r>
      <w:r>
        <w:rPr>
          <w:rFonts w:hint="eastAsia" w:ascii="宋体" w:hAnsi="宋体"/>
          <w:color w:val="auto"/>
          <w:szCs w:val="21"/>
          <w:highlight w:val="none"/>
          <w:u w:val="single"/>
        </w:rPr>
        <w:t>并承担相关费用</w:t>
      </w:r>
      <w:r>
        <w:rPr>
          <w:rFonts w:hint="eastAsia" w:ascii="宋体" w:hAnsi="宋体" w:cs="宋体"/>
          <w:color w:val="auto"/>
          <w:szCs w:val="21"/>
          <w:highlight w:val="none"/>
        </w:rPr>
        <w:t>。</w:t>
      </w:r>
    </w:p>
    <w:p w14:paraId="03EF29E6">
      <w:pPr>
        <w:pStyle w:val="38"/>
        <w:spacing w:line="380" w:lineRule="exact"/>
        <w:ind w:firstLine="422" w:firstLineChars="200"/>
        <w:rPr>
          <w:rFonts w:ascii="宋体" w:cs="宋体"/>
          <w:color w:val="auto"/>
          <w:highlight w:val="none"/>
        </w:rPr>
      </w:pPr>
      <w:bookmarkStart w:id="974" w:name="_Toc373478362"/>
      <w:bookmarkStart w:id="975" w:name="_Toc418518125"/>
      <w:bookmarkStart w:id="976" w:name="_Toc418751811"/>
      <w:bookmarkStart w:id="977" w:name="_Toc418061326"/>
      <w:bookmarkStart w:id="978" w:name="_Toc522201745"/>
      <w:bookmarkStart w:id="979" w:name="_Toc403578949"/>
      <w:bookmarkStart w:id="980" w:name="_Toc25694"/>
      <w:bookmarkStart w:id="981" w:name="_Toc418518361"/>
      <w:bookmarkStart w:id="982" w:name="_Toc389065281"/>
      <w:bookmarkStart w:id="983" w:name="_Toc256000195"/>
      <w:bookmarkStart w:id="984" w:name="_Toc418752257"/>
      <w:bookmarkStart w:id="985" w:name="_Toc373227715"/>
      <w:bookmarkStart w:id="986" w:name="_Toc497746796"/>
      <w:bookmarkStart w:id="987" w:name="_Toc497747193"/>
      <w:r>
        <w:rPr>
          <w:rFonts w:hint="eastAsia" w:ascii="宋体" w:cs="宋体"/>
          <w:color w:val="auto"/>
          <w:highlight w:val="none"/>
        </w:rPr>
        <w:t>4.2 监理人员</w:t>
      </w:r>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p>
    <w:p w14:paraId="776007FF">
      <w:pPr>
        <w:pStyle w:val="23"/>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总监理工程师：</w:t>
      </w:r>
    </w:p>
    <w:p w14:paraId="22626330">
      <w:pPr>
        <w:pStyle w:val="23"/>
        <w:spacing w:line="3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姓    名：</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w:t>
      </w:r>
    </w:p>
    <w:p w14:paraId="0B06EE60">
      <w:pPr>
        <w:pStyle w:val="23"/>
        <w:spacing w:line="3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职    务：</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4319E858">
      <w:pPr>
        <w:pStyle w:val="23"/>
        <w:spacing w:line="3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监理工程师执业资格证书号：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4D6BF383">
      <w:pPr>
        <w:pStyle w:val="23"/>
        <w:spacing w:line="380" w:lineRule="exact"/>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联系电话：</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none"/>
        </w:rPr>
        <w:t>；</w:t>
      </w:r>
    </w:p>
    <w:p w14:paraId="4CCE069D">
      <w:pPr>
        <w:pStyle w:val="23"/>
        <w:spacing w:line="3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电子信箱：</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none"/>
        </w:rPr>
        <w:t>；</w:t>
      </w:r>
    </w:p>
    <w:p w14:paraId="2320134F">
      <w:pPr>
        <w:pStyle w:val="23"/>
        <w:spacing w:line="380" w:lineRule="exact"/>
        <w:ind w:firstLine="420" w:firstLineChars="200"/>
        <w:rPr>
          <w:rFonts w:hint="eastAsia" w:ascii="宋体" w:hAnsi="宋体" w:cs="宋体"/>
          <w:color w:val="auto"/>
          <w:szCs w:val="21"/>
          <w:highlight w:val="none"/>
          <w:u w:val="none"/>
        </w:rPr>
      </w:pPr>
      <w:r>
        <w:rPr>
          <w:rFonts w:hint="eastAsia" w:ascii="宋体" w:hAnsi="宋体" w:cs="宋体"/>
          <w:color w:val="auto"/>
          <w:szCs w:val="21"/>
          <w:highlight w:val="none"/>
        </w:rPr>
        <w:t>通信地址：</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none"/>
        </w:rPr>
        <w:t>；</w:t>
      </w:r>
    </w:p>
    <w:p w14:paraId="11D68AA9">
      <w:pPr>
        <w:pStyle w:val="23"/>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关于监理人的其他约定：</w:t>
      </w:r>
      <w:r>
        <w:rPr>
          <w:rFonts w:hint="eastAsia" w:ascii="宋体" w:hAnsi="宋体" w:cs="宋体"/>
          <w:color w:val="auto"/>
          <w:szCs w:val="21"/>
          <w:highlight w:val="none"/>
          <w:u w:val="single"/>
        </w:rPr>
        <w:t xml:space="preserve"> 见监理合同</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none"/>
        </w:rPr>
        <w:t>。</w:t>
      </w:r>
    </w:p>
    <w:p w14:paraId="364A520F">
      <w:pPr>
        <w:pStyle w:val="38"/>
        <w:spacing w:line="380" w:lineRule="exact"/>
        <w:ind w:firstLine="422" w:firstLineChars="200"/>
        <w:rPr>
          <w:rFonts w:ascii="宋体" w:cs="宋体"/>
          <w:color w:val="auto"/>
          <w:highlight w:val="none"/>
        </w:rPr>
      </w:pPr>
      <w:bookmarkStart w:id="988" w:name="_Toc418518126"/>
      <w:bookmarkStart w:id="989" w:name="_Toc6980"/>
      <w:bookmarkStart w:id="990" w:name="_Toc418061327"/>
      <w:bookmarkStart w:id="991" w:name="_Toc418751812"/>
      <w:bookmarkStart w:id="992" w:name="_Toc497746797"/>
      <w:bookmarkStart w:id="993" w:name="_Toc373478363"/>
      <w:bookmarkStart w:id="994" w:name="_Toc418752258"/>
      <w:bookmarkStart w:id="995" w:name="_Toc418518362"/>
      <w:bookmarkStart w:id="996" w:name="_Toc389065282"/>
      <w:bookmarkStart w:id="997" w:name="_Toc403578950"/>
      <w:bookmarkStart w:id="998" w:name="_Toc373227716"/>
      <w:bookmarkStart w:id="999" w:name="_Toc256000196"/>
      <w:bookmarkStart w:id="1000" w:name="_Toc522201746"/>
      <w:bookmarkStart w:id="1001" w:name="_Toc497747194"/>
      <w:r>
        <w:rPr>
          <w:rFonts w:hint="eastAsia" w:ascii="宋体" w:cs="宋体"/>
          <w:color w:val="auto"/>
          <w:highlight w:val="none"/>
        </w:rPr>
        <w:t>4.4 商定或确定</w:t>
      </w:r>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p>
    <w:p w14:paraId="287BE594">
      <w:pPr>
        <w:pStyle w:val="23"/>
        <w:spacing w:line="380" w:lineRule="exact"/>
        <w:ind w:firstLine="420" w:firstLineChars="200"/>
        <w:rPr>
          <w:rFonts w:ascii="宋体" w:hAnsi="宋体" w:cs="宋体"/>
          <w:color w:val="auto"/>
          <w:szCs w:val="21"/>
          <w:highlight w:val="none"/>
        </w:rPr>
      </w:pPr>
      <w:bookmarkStart w:id="1002" w:name="_Toc267251418"/>
      <w:r>
        <w:rPr>
          <w:rFonts w:hint="eastAsia" w:ascii="宋体" w:hAnsi="宋体" w:cs="宋体"/>
          <w:color w:val="auto"/>
          <w:szCs w:val="21"/>
          <w:highlight w:val="none"/>
        </w:rPr>
        <w:t>在发包人和承包人不能通过协商达成一致意见时，发包人授权监理人对以下事项进行确定：</w:t>
      </w:r>
      <w:r>
        <w:rPr>
          <w:rFonts w:hint="eastAsia" w:ascii="宋体" w:hAnsi="宋体" w:cs="宋体"/>
          <w:color w:val="auto"/>
          <w:kern w:val="0"/>
          <w:szCs w:val="21"/>
          <w:highlight w:val="none"/>
          <w:u w:val="single"/>
        </w:rPr>
        <w:t>无</w:t>
      </w:r>
      <w:r>
        <w:rPr>
          <w:rFonts w:hint="eastAsia" w:ascii="宋体" w:hAnsi="宋体" w:cs="宋体"/>
          <w:color w:val="auto"/>
          <w:szCs w:val="21"/>
          <w:highlight w:val="none"/>
        </w:rPr>
        <w:t>；</w:t>
      </w:r>
    </w:p>
    <w:p w14:paraId="1B0ABB39">
      <w:pPr>
        <w:pStyle w:val="38"/>
        <w:spacing w:line="380" w:lineRule="exact"/>
        <w:rPr>
          <w:rFonts w:ascii="宋体" w:cs="宋体"/>
          <w:color w:val="auto"/>
          <w:highlight w:val="none"/>
        </w:rPr>
      </w:pPr>
      <w:bookmarkStart w:id="1003" w:name="_Toc497746798"/>
      <w:bookmarkStart w:id="1004" w:name="_Toc373478364"/>
      <w:bookmarkStart w:id="1005" w:name="_Toc497747195"/>
      <w:bookmarkStart w:id="1006" w:name="_Toc403578951"/>
      <w:bookmarkStart w:id="1007" w:name="_Toc373227717"/>
      <w:bookmarkStart w:id="1008" w:name="_Toc418752259"/>
      <w:bookmarkStart w:id="1009" w:name="_Toc28243"/>
      <w:bookmarkStart w:id="1010" w:name="_Toc389065283"/>
      <w:bookmarkStart w:id="1011" w:name="_Toc351203637"/>
      <w:bookmarkStart w:id="1012" w:name="_Toc418061328"/>
      <w:bookmarkStart w:id="1013" w:name="_Toc418518127"/>
      <w:bookmarkStart w:id="1014" w:name="_Toc418518363"/>
      <w:bookmarkStart w:id="1015" w:name="_Toc522201747"/>
      <w:bookmarkStart w:id="1016" w:name="_Toc418751813"/>
      <w:bookmarkStart w:id="1017" w:name="_Toc256000197"/>
      <w:r>
        <w:rPr>
          <w:rFonts w:hint="eastAsia" w:ascii="宋体" w:cs="宋体"/>
          <w:color w:val="auto"/>
          <w:highlight w:val="none"/>
        </w:rPr>
        <w:t>5</w:t>
      </w:r>
      <w:bookmarkEnd w:id="1002"/>
      <w:bookmarkStart w:id="1018" w:name="_Toc297048349"/>
      <w:bookmarkStart w:id="1019" w:name="_Toc297120463"/>
      <w:bookmarkStart w:id="1020" w:name="_Toc296944502"/>
      <w:bookmarkStart w:id="1021" w:name="_Toc296890991"/>
      <w:bookmarkStart w:id="1022" w:name="_Toc292559367"/>
      <w:bookmarkStart w:id="1023" w:name="_Toc296891203"/>
      <w:bookmarkStart w:id="1024" w:name="_Toc296503163"/>
      <w:bookmarkStart w:id="1025" w:name="_Toc296347162"/>
      <w:bookmarkStart w:id="1026" w:name="_Toc296346664"/>
      <w:bookmarkStart w:id="1027" w:name="_Toc292559872"/>
      <w:r>
        <w:rPr>
          <w:rFonts w:hint="eastAsia" w:ascii="宋体" w:cs="宋体"/>
          <w:color w:val="auto"/>
          <w:highlight w:val="none"/>
        </w:rPr>
        <w:t>. 工程质量</w:t>
      </w:r>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p>
    <w:p w14:paraId="63035AEF">
      <w:pPr>
        <w:pStyle w:val="38"/>
        <w:spacing w:line="380" w:lineRule="exact"/>
        <w:ind w:firstLine="422" w:firstLineChars="200"/>
        <w:rPr>
          <w:rFonts w:ascii="宋体" w:cs="宋体"/>
          <w:color w:val="auto"/>
          <w:highlight w:val="none"/>
        </w:rPr>
      </w:pPr>
      <w:bookmarkStart w:id="1028" w:name="_Toc497747196"/>
      <w:bookmarkStart w:id="1029" w:name="_Toc20307"/>
      <w:bookmarkStart w:id="1030" w:name="_Toc418751814"/>
      <w:bookmarkStart w:id="1031" w:name="_Toc389065284"/>
      <w:bookmarkStart w:id="1032" w:name="_Toc522201748"/>
      <w:bookmarkStart w:id="1033" w:name="_Toc497746799"/>
      <w:bookmarkStart w:id="1034" w:name="_Toc373227718"/>
      <w:bookmarkStart w:id="1035" w:name="_Toc373478365"/>
      <w:bookmarkStart w:id="1036" w:name="_Toc418752260"/>
      <w:bookmarkStart w:id="1037" w:name="_Toc256000198"/>
      <w:bookmarkStart w:id="1038" w:name="_Toc418518364"/>
      <w:bookmarkStart w:id="1039" w:name="_Toc418518128"/>
      <w:bookmarkStart w:id="1040" w:name="_Toc418061329"/>
      <w:bookmarkStart w:id="1041" w:name="_Toc403578952"/>
      <w:r>
        <w:rPr>
          <w:rFonts w:hint="eastAsia" w:ascii="宋体" w:cs="宋体"/>
          <w:color w:val="auto"/>
          <w:highlight w:val="none"/>
        </w:rPr>
        <w:t>5.1 质量要求</w:t>
      </w:r>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p>
    <w:p w14:paraId="04EF447A">
      <w:pPr>
        <w:pStyle w:val="23"/>
        <w:spacing w:line="380" w:lineRule="exact"/>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5</w:t>
      </w:r>
      <w:bookmarkStart w:id="1042" w:name="_Toc318581164"/>
      <w:bookmarkStart w:id="1043" w:name="_Toc303539106"/>
      <w:bookmarkStart w:id="1044" w:name="_Toc300934949"/>
      <w:bookmarkStart w:id="1045" w:name="_Toc304295527"/>
      <w:bookmarkStart w:id="1046" w:name="_Toc297216155"/>
      <w:bookmarkStart w:id="1047" w:name="_Toc312677997"/>
      <w:bookmarkStart w:id="1048" w:name="_Toc297123496"/>
      <w:r>
        <w:rPr>
          <w:rFonts w:hint="eastAsia" w:ascii="宋体" w:hAnsi="宋体" w:cs="宋体"/>
          <w:color w:val="auto"/>
          <w:szCs w:val="21"/>
          <w:highlight w:val="none"/>
        </w:rPr>
        <w:t>.1.1 特殊质量标准和要求：</w:t>
      </w:r>
      <w:r>
        <w:rPr>
          <w:rFonts w:hint="eastAsia" w:ascii="宋体" w:hAnsi="宋体" w:cs="宋体"/>
          <w:color w:val="auto"/>
          <w:szCs w:val="21"/>
          <w:highlight w:val="none"/>
          <w:u w:val="single"/>
        </w:rPr>
        <w:t xml:space="preserve"> 工程质量达到国家验收合格标准 </w:t>
      </w:r>
      <w:r>
        <w:rPr>
          <w:rFonts w:hint="eastAsia" w:ascii="宋体" w:hAnsi="宋体" w:cs="宋体"/>
          <w:color w:val="auto"/>
          <w:szCs w:val="21"/>
          <w:highlight w:val="none"/>
        </w:rPr>
        <w:t>。</w:t>
      </w:r>
    </w:p>
    <w:p w14:paraId="0CCB4087">
      <w:pPr>
        <w:pStyle w:val="23"/>
        <w:spacing w:line="3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关于工程奖项的约定：</w:t>
      </w:r>
      <w:r>
        <w:rPr>
          <w:rFonts w:hint="eastAsia" w:ascii="宋体" w:hAnsi="宋体" w:cs="宋体"/>
          <w:color w:val="auto"/>
          <w:szCs w:val="21"/>
          <w:highlight w:val="none"/>
          <w:u w:val="single"/>
        </w:rPr>
        <w:t xml:space="preserve"> 无 </w:t>
      </w:r>
      <w:r>
        <w:rPr>
          <w:rFonts w:hint="eastAsia" w:ascii="宋体" w:hAnsi="宋体" w:cs="宋体"/>
          <w:color w:val="auto"/>
          <w:szCs w:val="21"/>
          <w:highlight w:val="none"/>
        </w:rPr>
        <w:t>。</w:t>
      </w:r>
    </w:p>
    <w:p w14:paraId="518CAB90">
      <w:pPr>
        <w:pStyle w:val="23"/>
        <w:spacing w:line="3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5.3 隐蔽工程检查</w:t>
      </w:r>
    </w:p>
    <w:p w14:paraId="0BD73B5D">
      <w:pPr>
        <w:pStyle w:val="23"/>
        <w:spacing w:line="380" w:lineRule="exact"/>
        <w:ind w:firstLine="420" w:firstLineChars="200"/>
        <w:jc w:val="left"/>
        <w:rPr>
          <w:rFonts w:ascii="宋体" w:hAnsi="宋体" w:cs="宋体"/>
          <w:color w:val="auto"/>
          <w:kern w:val="0"/>
          <w:szCs w:val="21"/>
          <w:highlight w:val="none"/>
          <w:u w:val="single"/>
        </w:rPr>
      </w:pPr>
      <w:r>
        <w:rPr>
          <w:rFonts w:hint="eastAsia" w:ascii="宋体" w:hAnsi="宋体" w:cs="宋体"/>
          <w:color w:val="auto"/>
          <w:szCs w:val="21"/>
          <w:highlight w:val="none"/>
        </w:rPr>
        <w:t>5.3.2承包人提前通知监理人隐蔽工程检查的期限的约定：</w:t>
      </w:r>
      <w:r>
        <w:rPr>
          <w:rFonts w:hint="eastAsia" w:ascii="宋体" w:hAnsi="宋体" w:cs="宋体"/>
          <w:color w:val="auto"/>
          <w:kern w:val="0"/>
          <w:szCs w:val="21"/>
          <w:highlight w:val="none"/>
          <w:u w:val="single"/>
        </w:rPr>
        <w:t>任何部位的隐蔽工程需要覆盖或隐蔽前，承包人均应提前 48 小时通知发包人、监理工程师和质量监督站进行中间验收并拍照，没有发包人、监理工程师和质量监督站的批准，均不得隐蔽或验收。对相关单位所提出涉及工程质量、安全管理等存在问题时，必须进行整改，承包人应在监理人及相关人员指示的时间内修正返工后，由监理人及相关人员重新检查。否则发包人按规定有权进行经济处罚</w:t>
      </w:r>
      <w:r>
        <w:rPr>
          <w:rFonts w:hint="eastAsia" w:ascii="宋体" w:hAnsi="宋体" w:cs="宋体"/>
          <w:bCs/>
          <w:color w:val="auto"/>
          <w:szCs w:val="21"/>
          <w:highlight w:val="none"/>
          <w:u w:val="single"/>
        </w:rPr>
        <w:t>。</w:t>
      </w:r>
    </w:p>
    <w:p w14:paraId="1338391A">
      <w:pPr>
        <w:pStyle w:val="23"/>
        <w:spacing w:line="3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监理人不能按时进行检查时，应提前</w:t>
      </w:r>
      <w:r>
        <w:rPr>
          <w:rFonts w:hint="eastAsia" w:ascii="宋体" w:hAnsi="宋体" w:cs="宋体"/>
          <w:color w:val="auto"/>
          <w:szCs w:val="21"/>
          <w:highlight w:val="none"/>
          <w:u w:val="single"/>
        </w:rPr>
        <w:t xml:space="preserve"> 24 </w:t>
      </w:r>
      <w:r>
        <w:rPr>
          <w:rFonts w:hint="eastAsia" w:ascii="宋体" w:hAnsi="宋体" w:cs="宋体"/>
          <w:color w:val="auto"/>
          <w:szCs w:val="21"/>
          <w:highlight w:val="none"/>
        </w:rPr>
        <w:t>小时提交书面延期要求。</w:t>
      </w:r>
    </w:p>
    <w:p w14:paraId="7835875E">
      <w:pPr>
        <w:pStyle w:val="23"/>
        <w:spacing w:line="3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关于延期最长不得超过：</w:t>
      </w:r>
      <w:r>
        <w:rPr>
          <w:rFonts w:hint="eastAsia" w:ascii="宋体" w:hAnsi="宋体" w:cs="宋体"/>
          <w:color w:val="auto"/>
          <w:szCs w:val="21"/>
          <w:highlight w:val="none"/>
          <w:u w:val="single"/>
        </w:rPr>
        <w:t xml:space="preserve"> 48 </w:t>
      </w:r>
      <w:r>
        <w:rPr>
          <w:rFonts w:hint="eastAsia" w:ascii="宋体" w:hAnsi="宋体" w:cs="宋体"/>
          <w:color w:val="auto"/>
          <w:szCs w:val="21"/>
          <w:highlight w:val="none"/>
        </w:rPr>
        <w:t>小时。</w:t>
      </w:r>
    </w:p>
    <w:p w14:paraId="3D05ECA8">
      <w:pPr>
        <w:pStyle w:val="38"/>
        <w:spacing w:line="380" w:lineRule="exact"/>
        <w:rPr>
          <w:rFonts w:ascii="宋体" w:cs="宋体"/>
          <w:color w:val="auto"/>
          <w:highlight w:val="none"/>
        </w:rPr>
      </w:pPr>
      <w:bookmarkStart w:id="1049" w:name="_Toc418518129"/>
      <w:bookmarkStart w:id="1050" w:name="_Toc497746800"/>
      <w:bookmarkStart w:id="1051" w:name="_Toc403578953"/>
      <w:bookmarkStart w:id="1052" w:name="_Toc389065285"/>
      <w:bookmarkStart w:id="1053" w:name="_Toc418061330"/>
      <w:bookmarkStart w:id="1054" w:name="_Toc351203638"/>
      <w:bookmarkStart w:id="1055" w:name="_Toc256000199"/>
      <w:bookmarkStart w:id="1056" w:name="_Toc418752261"/>
      <w:bookmarkStart w:id="1057" w:name="_Toc373227719"/>
      <w:bookmarkStart w:id="1058" w:name="_Toc418518365"/>
      <w:bookmarkStart w:id="1059" w:name="_Toc373478366"/>
      <w:bookmarkStart w:id="1060" w:name="_Toc6529"/>
      <w:bookmarkStart w:id="1061" w:name="_Toc418751815"/>
      <w:bookmarkStart w:id="1062" w:name="_Toc497747197"/>
      <w:bookmarkStart w:id="1063" w:name="_Toc522201749"/>
      <w:r>
        <w:rPr>
          <w:rFonts w:hint="eastAsia" w:ascii="宋体" w:cs="宋体"/>
          <w:color w:val="auto"/>
          <w:highlight w:val="none"/>
        </w:rPr>
        <w:t>6. 安全文明施工与环境保护</w:t>
      </w:r>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p>
    <w:p w14:paraId="06F69DA2">
      <w:pPr>
        <w:pStyle w:val="38"/>
        <w:spacing w:line="380" w:lineRule="exact"/>
        <w:ind w:firstLine="422" w:firstLineChars="200"/>
        <w:rPr>
          <w:rFonts w:ascii="宋体" w:cs="宋体"/>
          <w:color w:val="auto"/>
          <w:highlight w:val="none"/>
        </w:rPr>
      </w:pPr>
      <w:bookmarkStart w:id="1064" w:name="_Toc418518130"/>
      <w:bookmarkStart w:id="1065" w:name="_Toc256000200"/>
      <w:bookmarkStart w:id="1066" w:name="_Toc389065286"/>
      <w:bookmarkStart w:id="1067" w:name="_Toc497747198"/>
      <w:bookmarkStart w:id="1068" w:name="_Toc418752262"/>
      <w:bookmarkStart w:id="1069" w:name="_Toc418061331"/>
      <w:bookmarkStart w:id="1070" w:name="_Toc497746801"/>
      <w:bookmarkStart w:id="1071" w:name="_Toc373227720"/>
      <w:bookmarkStart w:id="1072" w:name="_Toc418518366"/>
      <w:bookmarkStart w:id="1073" w:name="_Toc403578954"/>
      <w:bookmarkStart w:id="1074" w:name="_Toc16475"/>
      <w:bookmarkStart w:id="1075" w:name="_Toc522201750"/>
      <w:bookmarkStart w:id="1076" w:name="_Toc418751816"/>
      <w:bookmarkStart w:id="1077" w:name="_Toc373478367"/>
      <w:r>
        <w:rPr>
          <w:rFonts w:hint="eastAsia" w:ascii="宋体" w:cs="宋体"/>
          <w:color w:val="auto"/>
          <w:highlight w:val="none"/>
        </w:rPr>
        <w:t>6.1 安全文明施工</w:t>
      </w:r>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p>
    <w:p w14:paraId="2F00AD00">
      <w:pPr>
        <w:pStyle w:val="23"/>
        <w:spacing w:line="3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6.1.1 项目安全生产的达标目标及相应事项的约定：</w:t>
      </w:r>
      <w:r>
        <w:rPr>
          <w:rFonts w:hint="eastAsia" w:ascii="宋体" w:hAnsi="宋体" w:cs="宋体"/>
          <w:color w:val="auto"/>
          <w:szCs w:val="21"/>
          <w:highlight w:val="none"/>
          <w:u w:val="single"/>
        </w:rPr>
        <w:t xml:space="preserve"> 按照国家及地方安全文明施工的有关规定执行 </w:t>
      </w:r>
      <w:r>
        <w:rPr>
          <w:rFonts w:hint="eastAsia" w:ascii="宋体" w:hAnsi="宋体" w:cs="宋体"/>
          <w:color w:val="auto"/>
          <w:szCs w:val="21"/>
          <w:highlight w:val="none"/>
        </w:rPr>
        <w:t>。</w:t>
      </w:r>
    </w:p>
    <w:p w14:paraId="01EB4C70">
      <w:pPr>
        <w:pStyle w:val="23"/>
        <w:spacing w:line="3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关于安全文明施工奖项的约定：</w:t>
      </w:r>
      <w:r>
        <w:rPr>
          <w:rFonts w:hint="eastAsia" w:ascii="宋体" w:hAnsi="宋体" w:cs="宋体"/>
          <w:color w:val="auto"/>
          <w:szCs w:val="21"/>
          <w:highlight w:val="none"/>
          <w:u w:val="single"/>
        </w:rPr>
        <w:t xml:space="preserve">  承包人应当负责统一管理施工场地的治安保卫事项，履行合同工程的治安保卫职责  </w:t>
      </w:r>
      <w:r>
        <w:rPr>
          <w:rFonts w:hint="eastAsia" w:ascii="宋体" w:hAnsi="宋体" w:cs="宋体"/>
          <w:color w:val="auto"/>
          <w:szCs w:val="21"/>
          <w:highlight w:val="none"/>
        </w:rPr>
        <w:t>。</w:t>
      </w:r>
    </w:p>
    <w:p w14:paraId="74A1E3AA">
      <w:pPr>
        <w:pStyle w:val="23"/>
        <w:spacing w:line="380" w:lineRule="exact"/>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6.1.4 关于治安保卫的特别约定：</w:t>
      </w:r>
      <w:r>
        <w:rPr>
          <w:rFonts w:hint="eastAsia" w:ascii="宋体" w:hAnsi="宋体" w:cs="宋体"/>
          <w:color w:val="auto"/>
          <w:szCs w:val="21"/>
          <w:highlight w:val="none"/>
          <w:u w:val="single"/>
        </w:rPr>
        <w:t>承包人应承担施工安全保卫工作及非夜间施工照明的责任，承包人应采取一切合理的预防措施，防止人员伤亡、财产损失事故，费用由承包人承担。承包人生活设施及施工场应自费配备消防设备，防止火灾发生</w:t>
      </w:r>
      <w:r>
        <w:rPr>
          <w:rFonts w:hint="eastAsia" w:ascii="宋体" w:hAnsi="宋体" w:cs="宋体"/>
          <w:color w:val="auto"/>
          <w:szCs w:val="21"/>
          <w:highlight w:val="none"/>
        </w:rPr>
        <w:t>。</w:t>
      </w:r>
    </w:p>
    <w:p w14:paraId="353BEB08">
      <w:pPr>
        <w:pStyle w:val="23"/>
        <w:spacing w:line="3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关于编制施工场地治安管理计划的约定：</w:t>
      </w:r>
      <w:r>
        <w:rPr>
          <w:rFonts w:hint="eastAsia" w:ascii="宋体" w:hAnsi="宋体" w:cs="宋体"/>
          <w:color w:val="auto"/>
          <w:szCs w:val="21"/>
          <w:highlight w:val="none"/>
          <w:u w:val="single"/>
        </w:rPr>
        <w:t xml:space="preserve">  开工前7天内承包人编制施工场地治安管理计划和突发治安事件紧急预案</w:t>
      </w:r>
      <w:r>
        <w:rPr>
          <w:rFonts w:hint="eastAsia" w:ascii="宋体" w:hAnsi="宋体" w:cs="宋体"/>
          <w:color w:val="auto"/>
          <w:szCs w:val="21"/>
          <w:highlight w:val="none"/>
        </w:rPr>
        <w:t>。</w:t>
      </w:r>
    </w:p>
    <w:p w14:paraId="55E43C5D">
      <w:pPr>
        <w:pStyle w:val="23"/>
        <w:spacing w:line="3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6.1.5 文明施工</w:t>
      </w:r>
    </w:p>
    <w:p w14:paraId="6A9DA634">
      <w:pPr>
        <w:pStyle w:val="23"/>
        <w:spacing w:line="3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合同当事人对文明施工的要求：</w:t>
      </w:r>
      <w:r>
        <w:rPr>
          <w:rFonts w:hint="eastAsia" w:ascii="宋体" w:hAnsi="宋体" w:cs="宋体"/>
          <w:color w:val="auto"/>
          <w:szCs w:val="21"/>
          <w:highlight w:val="none"/>
          <w:u w:val="single"/>
        </w:rPr>
        <w:t>按照国家及地方安全文明施工的有关规定执行</w:t>
      </w:r>
      <w:r>
        <w:rPr>
          <w:rFonts w:hint="eastAsia" w:ascii="宋体" w:hAnsi="宋体" w:cs="宋体"/>
          <w:color w:val="auto"/>
          <w:szCs w:val="21"/>
          <w:highlight w:val="none"/>
        </w:rPr>
        <w:t>。</w:t>
      </w:r>
    </w:p>
    <w:p w14:paraId="3C1D9316">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ascii="宋体" w:hAnsi="宋体" w:cs="宋体"/>
          <w:color w:val="auto"/>
          <w:kern w:val="0"/>
          <w:highlight w:val="none"/>
        </w:rPr>
      </w:pPr>
      <w:r>
        <w:rPr>
          <w:rFonts w:hint="eastAsia" w:ascii="宋体" w:hAnsi="宋体" w:cs="宋体"/>
          <w:color w:val="auto"/>
          <w:szCs w:val="21"/>
          <w:highlight w:val="none"/>
        </w:rPr>
        <w:t>6.1.6 关于安全文明施工费支付比例和支付期限的约定：</w:t>
      </w:r>
      <w:r>
        <w:rPr>
          <w:rFonts w:hint="eastAsia" w:ascii="宋体" w:hAnsi="宋体" w:cs="宋体"/>
          <w:color w:val="auto"/>
          <w:kern w:val="0"/>
          <w:highlight w:val="none"/>
          <w:u w:val="single"/>
        </w:rPr>
        <w:t>专款专用</w:t>
      </w:r>
      <w:r>
        <w:rPr>
          <w:rFonts w:hint="eastAsia" w:ascii="宋体" w:hAnsi="宋体" w:cs="宋体"/>
          <w:color w:val="auto"/>
          <w:kern w:val="0"/>
          <w:highlight w:val="none"/>
        </w:rPr>
        <w:t>。具体按《广西壮族自治区建筑工程安全防护、文明施工措施费及管理细则》（桂建质〔2006〕22号）和</w:t>
      </w:r>
      <w:r>
        <w:rPr>
          <w:rFonts w:hint="eastAsia" w:ascii="宋体" w:hAnsi="宋体" w:cs="宋体"/>
          <w:color w:val="auto"/>
          <w:szCs w:val="24"/>
          <w:highlight w:val="none"/>
          <w:u w:val="single"/>
        </w:rPr>
        <w:t>桂林市建规[2007]131号文及市建规[2008]224号文</w:t>
      </w:r>
      <w:r>
        <w:rPr>
          <w:rFonts w:hint="eastAsia" w:ascii="宋体" w:hAnsi="宋体" w:cs="宋体"/>
          <w:color w:val="auto"/>
          <w:kern w:val="0"/>
          <w:highlight w:val="none"/>
        </w:rPr>
        <w:t>相关规定执行。</w:t>
      </w:r>
    </w:p>
    <w:p w14:paraId="1CF76B08">
      <w:pPr>
        <w:pStyle w:val="23"/>
        <w:spacing w:line="380" w:lineRule="exact"/>
        <w:ind w:firstLine="420" w:firstLineChars="200"/>
        <w:jc w:val="left"/>
        <w:rPr>
          <w:rFonts w:ascii="宋体" w:hAnsi="宋体" w:cs="宋体"/>
          <w:color w:val="auto"/>
          <w:szCs w:val="21"/>
          <w:highlight w:val="none"/>
        </w:rPr>
      </w:pPr>
      <w:r>
        <w:rPr>
          <w:rFonts w:hint="eastAsia" w:ascii="宋体" w:hAnsi="宋体" w:cs="宋体"/>
          <w:color w:val="auto"/>
          <w:highlight w:val="none"/>
        </w:rPr>
        <w:t>（3）支付约定：</w:t>
      </w:r>
      <w:r>
        <w:rPr>
          <w:rFonts w:hint="eastAsia" w:ascii="宋体" w:hAnsi="宋体" w:cs="宋体"/>
          <w:color w:val="auto"/>
          <w:highlight w:val="none"/>
          <w:u w:val="single"/>
        </w:rPr>
        <w:t>具体按《广西壮族自治区建筑工程安全防护、文明施工措施费及管理细则》（桂建质〔2006〕22号）和桂林市建规[2007]131号文及市建规[2008]224号文相关规定执行。</w:t>
      </w:r>
      <w:r>
        <w:rPr>
          <w:rFonts w:hint="eastAsia" w:ascii="宋体" w:hAnsi="宋体" w:cs="宋体"/>
          <w:color w:val="auto"/>
          <w:szCs w:val="21"/>
          <w:highlight w:val="none"/>
          <w:u w:val="single"/>
        </w:rPr>
        <w:t>。</w:t>
      </w:r>
      <w:r>
        <w:rPr>
          <w:rFonts w:hint="eastAsia" w:ascii="宋体" w:hAnsi="宋体" w:cs="宋体"/>
          <w:color w:val="auto"/>
          <w:szCs w:val="21"/>
          <w:highlight w:val="none"/>
        </w:rPr>
        <w:t xml:space="preserve">  </w:t>
      </w:r>
    </w:p>
    <w:p w14:paraId="2FFB3119">
      <w:pPr>
        <w:pStyle w:val="43"/>
        <w:spacing w:line="380" w:lineRule="exact"/>
        <w:rPr>
          <w:rFonts w:ascii="宋体" w:hAnsi="宋体" w:cs="宋体"/>
          <w:color w:val="auto"/>
          <w:highlight w:val="none"/>
          <w:u w:val="single"/>
        </w:rPr>
      </w:pPr>
      <w:bookmarkStart w:id="1078" w:name="_Toc418518367"/>
      <w:bookmarkStart w:id="1079" w:name="_Toc418752263"/>
      <w:bookmarkStart w:id="1080" w:name="_Toc497747199"/>
      <w:bookmarkStart w:id="1081" w:name="_Toc403578955"/>
      <w:bookmarkStart w:id="1082" w:name="_Toc418061332"/>
      <w:bookmarkStart w:id="1083" w:name="_Toc497746802"/>
      <w:bookmarkStart w:id="1084" w:name="_Toc389065287"/>
      <w:bookmarkStart w:id="1085" w:name="_Toc418518131"/>
      <w:bookmarkStart w:id="1086" w:name="_Toc418751817"/>
      <w:bookmarkStart w:id="1087" w:name="_Toc373478368"/>
      <w:bookmarkStart w:id="1088" w:name="_Toc373227721"/>
      <w:r>
        <w:rPr>
          <w:rFonts w:hint="eastAsia" w:ascii="宋体" w:hAnsi="宋体" w:cs="宋体"/>
          <w:color w:val="auto"/>
          <w:highlight w:val="none"/>
        </w:rPr>
        <w:t>6.2职业健康</w:t>
      </w:r>
    </w:p>
    <w:p w14:paraId="2E5BEF48">
      <w:pPr>
        <w:pStyle w:val="23"/>
        <w:spacing w:line="3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6.2.3 扬尘防治：严格执行市住建【2016】71号《关于进一步加强全市建筑工地扬尘治理工作的通知》的相关规定。关于扬尘防治费支付比例和支付期限的约定为：</w:t>
      </w:r>
      <w:r>
        <w:rPr>
          <w:rFonts w:hint="eastAsia" w:ascii="宋体" w:hAnsi="宋体" w:cs="宋体"/>
          <w:color w:val="auto"/>
          <w:szCs w:val="21"/>
          <w:highlight w:val="none"/>
          <w:u w:val="single"/>
        </w:rPr>
        <w:t>市住建〔2016〕34号文规定 。</w:t>
      </w:r>
    </w:p>
    <w:p w14:paraId="0EA0B8D8">
      <w:pPr>
        <w:pStyle w:val="23"/>
        <w:spacing w:line="3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 6.3 环境保护</w:t>
      </w:r>
      <w:bookmarkEnd w:id="1078"/>
      <w:bookmarkEnd w:id="1079"/>
      <w:bookmarkEnd w:id="1080"/>
      <w:bookmarkEnd w:id="1081"/>
      <w:bookmarkEnd w:id="1082"/>
      <w:bookmarkEnd w:id="1083"/>
      <w:bookmarkEnd w:id="1084"/>
      <w:bookmarkEnd w:id="1085"/>
      <w:bookmarkEnd w:id="1086"/>
      <w:bookmarkEnd w:id="1087"/>
      <w:bookmarkEnd w:id="1088"/>
      <w:r>
        <w:rPr>
          <w:rFonts w:hint="eastAsia" w:ascii="宋体" w:hAnsi="宋体" w:cs="宋体"/>
          <w:color w:val="auto"/>
          <w:szCs w:val="21"/>
          <w:highlight w:val="none"/>
        </w:rPr>
        <w:t>因施工需要，经发包人批准，由承包人办理有关施工场地交通、环卫和施工噪音管理等手续，费用由承包人负责。</w:t>
      </w:r>
    </w:p>
    <w:p w14:paraId="6BDA0404">
      <w:pPr>
        <w:pStyle w:val="23"/>
        <w:spacing w:line="3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经过城市道路的施工车辆，必须按交警、城管、运输等部门相关规定执行。由于施工车辆造成的道路、环境等污染，其责任和费用均由承包人承担。</w:t>
      </w:r>
    </w:p>
    <w:p w14:paraId="032D29CE">
      <w:pPr>
        <w:pStyle w:val="43"/>
        <w:spacing w:line="380" w:lineRule="exact"/>
        <w:rPr>
          <w:rFonts w:ascii="宋体" w:hAnsi="宋体" w:cs="宋体"/>
          <w:color w:val="auto"/>
          <w:highlight w:val="none"/>
        </w:rPr>
      </w:pPr>
      <w:r>
        <w:rPr>
          <w:rFonts w:hint="eastAsia" w:ascii="宋体" w:hAnsi="宋体" w:cs="宋体"/>
          <w:color w:val="auto"/>
          <w:highlight w:val="none"/>
        </w:rPr>
        <w:t>环保工作的约定：</w:t>
      </w:r>
      <w:r>
        <w:rPr>
          <w:rFonts w:hint="eastAsia" w:ascii="宋体" w:hAnsi="宋体" w:cs="宋体"/>
          <w:color w:val="auto"/>
          <w:highlight w:val="none"/>
          <w:u w:val="single"/>
        </w:rPr>
        <w:t>承包人负责办理有关环保报批手续，并承担相应的费用。在施工期间对环境主要影响是机械声和废水、废渣、尘埃，对此承包人应采取相应的防治措施和严格管理，严格控制污染物排放，污染物排放前必须处理，达到排污标准后再排放。严禁把污染物直接排入江中。控制标准：《地面环境质量标准》GB3838-88Ⅱ。施工完毕后，承包人应及时将被破坏的场地，遵照监理工程师的指示进行清理、修正，并根据实际情况将场地恢复到原有状态，费用自理。</w:t>
      </w:r>
    </w:p>
    <w:bookmarkEnd w:id="1042"/>
    <w:bookmarkEnd w:id="1043"/>
    <w:bookmarkEnd w:id="1044"/>
    <w:bookmarkEnd w:id="1045"/>
    <w:bookmarkEnd w:id="1046"/>
    <w:bookmarkEnd w:id="1047"/>
    <w:bookmarkEnd w:id="1048"/>
    <w:p w14:paraId="1886312C">
      <w:pPr>
        <w:pStyle w:val="38"/>
        <w:spacing w:line="380" w:lineRule="exact"/>
        <w:rPr>
          <w:rFonts w:ascii="宋体" w:cs="宋体"/>
          <w:color w:val="auto"/>
          <w:highlight w:val="none"/>
        </w:rPr>
      </w:pPr>
      <w:bookmarkStart w:id="1089" w:name="_Toc373478369"/>
      <w:bookmarkStart w:id="1090" w:name="_Toc497747200"/>
      <w:bookmarkStart w:id="1091" w:name="_Toc389065288"/>
      <w:bookmarkStart w:id="1092" w:name="_Toc5327"/>
      <w:bookmarkStart w:id="1093" w:name="_Toc418752264"/>
      <w:bookmarkStart w:id="1094" w:name="_Toc418518132"/>
      <w:bookmarkStart w:id="1095" w:name="_Toc497746803"/>
      <w:bookmarkStart w:id="1096" w:name="_Toc256000201"/>
      <w:bookmarkStart w:id="1097" w:name="_Toc418518368"/>
      <w:bookmarkStart w:id="1098" w:name="_Toc403578956"/>
      <w:bookmarkStart w:id="1099" w:name="_Toc418061333"/>
      <w:bookmarkStart w:id="1100" w:name="_Toc522201751"/>
      <w:bookmarkStart w:id="1101" w:name="_Toc418751818"/>
      <w:bookmarkStart w:id="1102" w:name="_Toc373227722"/>
      <w:bookmarkStart w:id="1103" w:name="_Toc351203639"/>
      <w:r>
        <w:rPr>
          <w:rFonts w:hint="eastAsia" w:ascii="宋体" w:cs="宋体"/>
          <w:color w:val="auto"/>
          <w:highlight w:val="none"/>
        </w:rPr>
        <w:t>7. 工期和进度</w:t>
      </w:r>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p>
    <w:p w14:paraId="2B1DEA97">
      <w:pPr>
        <w:pStyle w:val="38"/>
        <w:spacing w:line="380" w:lineRule="exact"/>
        <w:ind w:firstLine="422" w:firstLineChars="200"/>
        <w:rPr>
          <w:rFonts w:ascii="宋体" w:cs="宋体"/>
          <w:color w:val="auto"/>
          <w:highlight w:val="none"/>
        </w:rPr>
      </w:pPr>
      <w:bookmarkStart w:id="1104" w:name="_Toc497746804"/>
      <w:bookmarkStart w:id="1105" w:name="_Toc418518133"/>
      <w:bookmarkStart w:id="1106" w:name="_Toc522201752"/>
      <w:bookmarkStart w:id="1107" w:name="_Toc373478370"/>
      <w:bookmarkStart w:id="1108" w:name="_Toc497747201"/>
      <w:bookmarkStart w:id="1109" w:name="_Toc389065289"/>
      <w:bookmarkStart w:id="1110" w:name="_Toc418518369"/>
      <w:bookmarkStart w:id="1111" w:name="_Toc418752265"/>
      <w:bookmarkStart w:id="1112" w:name="_Toc373227723"/>
      <w:bookmarkStart w:id="1113" w:name="_Toc28893"/>
      <w:bookmarkStart w:id="1114" w:name="_Toc418751819"/>
      <w:bookmarkStart w:id="1115" w:name="_Toc403578957"/>
      <w:bookmarkStart w:id="1116" w:name="_Toc418061334"/>
      <w:bookmarkStart w:id="1117" w:name="_Toc256000202"/>
      <w:r>
        <w:rPr>
          <w:rFonts w:hint="eastAsia" w:ascii="宋体" w:cs="宋体"/>
          <w:color w:val="auto"/>
          <w:highlight w:val="none"/>
        </w:rPr>
        <w:t>7.1 施工组织设计</w:t>
      </w:r>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p>
    <w:p w14:paraId="3C26DA98">
      <w:pPr>
        <w:pStyle w:val="43"/>
        <w:spacing w:line="380" w:lineRule="exact"/>
        <w:rPr>
          <w:rFonts w:ascii="宋体" w:hAnsi="宋体" w:cs="宋体"/>
          <w:color w:val="auto"/>
          <w:highlight w:val="none"/>
          <w:u w:val="single"/>
        </w:rPr>
      </w:pPr>
      <w:r>
        <w:rPr>
          <w:rFonts w:hint="eastAsia" w:ascii="宋体" w:hAnsi="宋体" w:cs="宋体"/>
          <w:color w:val="auto"/>
          <w:highlight w:val="none"/>
        </w:rPr>
        <w:t>7.1.1 合同当事人约定的施工组织设计应包括的其他内容：</w:t>
      </w:r>
      <w:r>
        <w:rPr>
          <w:rFonts w:hint="eastAsia" w:ascii="宋体" w:hAnsi="宋体" w:cs="宋体"/>
          <w:color w:val="auto"/>
          <w:highlight w:val="none"/>
          <w:u w:val="single"/>
        </w:rPr>
        <w:t>(1)管理人员名单，含职称、职务并附相关人员岗位证书等复印件；（2）施工进度计划包括总进度计划、分阶段和分项进度计划、设备材料人员进场计划；施工方案说明包括分部、分项工程或工程部位的名称及施工顺序和方法；（3）国家及地方有关规定应当提交的内容。</w:t>
      </w:r>
    </w:p>
    <w:p w14:paraId="14A278B5">
      <w:pPr>
        <w:pStyle w:val="23"/>
        <w:autoSpaceDE w:val="0"/>
        <w:autoSpaceDN w:val="0"/>
        <w:adjustRightInd w:val="0"/>
        <w:spacing w:line="380" w:lineRule="exact"/>
        <w:ind w:firstLine="420" w:firstLineChars="200"/>
        <w:jc w:val="left"/>
        <w:rPr>
          <w:rFonts w:ascii="宋体" w:hAnsi="宋体" w:cs="宋体"/>
          <w:color w:val="auto"/>
          <w:kern w:val="0"/>
          <w:szCs w:val="21"/>
          <w:highlight w:val="none"/>
        </w:rPr>
      </w:pPr>
      <w:r>
        <w:rPr>
          <w:rFonts w:hint="eastAsia" w:ascii="宋体" w:hAnsi="宋体" w:cs="宋体"/>
          <w:color w:val="auto"/>
          <w:szCs w:val="21"/>
          <w:highlight w:val="none"/>
        </w:rPr>
        <w:t xml:space="preserve">7.1.2 </w:t>
      </w:r>
      <w:r>
        <w:rPr>
          <w:rFonts w:hint="eastAsia" w:ascii="宋体" w:hAnsi="宋体" w:cs="宋体"/>
          <w:color w:val="auto"/>
          <w:kern w:val="0"/>
          <w:szCs w:val="21"/>
          <w:highlight w:val="none"/>
        </w:rPr>
        <w:t>施工组织设计的提交和修改</w:t>
      </w:r>
    </w:p>
    <w:p w14:paraId="2643514E">
      <w:pPr>
        <w:pStyle w:val="23"/>
        <w:autoSpaceDE w:val="0"/>
        <w:autoSpaceDN w:val="0"/>
        <w:adjustRightInd w:val="0"/>
        <w:spacing w:line="380" w:lineRule="exact"/>
        <w:ind w:firstLine="420" w:firstLineChars="200"/>
        <w:jc w:val="left"/>
        <w:rPr>
          <w:rFonts w:ascii="宋体" w:hAnsi="宋体" w:cs="宋体"/>
          <w:color w:val="auto"/>
          <w:szCs w:val="21"/>
          <w:highlight w:val="none"/>
          <w:u w:val="single"/>
        </w:rPr>
      </w:pPr>
      <w:r>
        <w:rPr>
          <w:rFonts w:hint="eastAsia" w:ascii="宋体" w:hAnsi="宋体" w:cs="宋体"/>
          <w:color w:val="auto"/>
          <w:kern w:val="0"/>
          <w:szCs w:val="21"/>
          <w:highlight w:val="none"/>
        </w:rPr>
        <w:t>承包人提交详细施工组织设计的期限的约定：</w:t>
      </w:r>
      <w:r>
        <w:rPr>
          <w:rFonts w:hint="eastAsia" w:ascii="宋体" w:hAnsi="宋体" w:cs="宋体"/>
          <w:color w:val="auto"/>
          <w:szCs w:val="21"/>
          <w:highlight w:val="none"/>
          <w:u w:val="single"/>
        </w:rPr>
        <w:t xml:space="preserve">  </w:t>
      </w:r>
      <w:r>
        <w:rPr>
          <w:rFonts w:hint="eastAsia" w:ascii="宋体" w:hAnsi="宋体"/>
          <w:color w:val="auto"/>
          <w:szCs w:val="21"/>
          <w:highlight w:val="none"/>
          <w:u w:val="single"/>
        </w:rPr>
        <w:t>合同签订后14天内，最迟不得晚于开工通知载明的开工日期前7天</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0C571220">
      <w:pPr>
        <w:pStyle w:val="23"/>
        <w:spacing w:line="380" w:lineRule="exact"/>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发包人和监理人在收到详细的施工组织设计后确认或提出修改意见的期限：</w:t>
      </w:r>
      <w:r>
        <w:rPr>
          <w:rFonts w:hint="eastAsia" w:ascii="宋体" w:hAnsi="宋体"/>
          <w:color w:val="auto"/>
          <w:szCs w:val="21"/>
          <w:highlight w:val="none"/>
          <w:u w:val="single"/>
        </w:rPr>
        <w:t>收到施工组织设计后7天内确认或提出修改意见。</w:t>
      </w:r>
    </w:p>
    <w:p w14:paraId="20681A27">
      <w:pPr>
        <w:pStyle w:val="38"/>
        <w:spacing w:line="380" w:lineRule="exact"/>
        <w:ind w:firstLine="422" w:firstLineChars="200"/>
        <w:rPr>
          <w:rFonts w:ascii="宋体" w:cs="宋体"/>
          <w:color w:val="auto"/>
          <w:highlight w:val="none"/>
        </w:rPr>
      </w:pPr>
      <w:bookmarkStart w:id="1118" w:name="_Toc497746805"/>
      <w:bookmarkStart w:id="1119" w:name="_Toc403578958"/>
      <w:bookmarkStart w:id="1120" w:name="_Toc389065290"/>
      <w:bookmarkStart w:id="1121" w:name="_Toc418061335"/>
      <w:bookmarkStart w:id="1122" w:name="_Toc29479"/>
      <w:bookmarkStart w:id="1123" w:name="_Toc497747202"/>
      <w:bookmarkStart w:id="1124" w:name="_Toc522201753"/>
      <w:bookmarkStart w:id="1125" w:name="_Toc418518370"/>
      <w:bookmarkStart w:id="1126" w:name="_Toc256000203"/>
      <w:bookmarkStart w:id="1127" w:name="_Toc418518134"/>
      <w:bookmarkStart w:id="1128" w:name="_Toc418752266"/>
      <w:bookmarkStart w:id="1129" w:name="_Toc418751820"/>
      <w:bookmarkStart w:id="1130" w:name="_Toc373478371"/>
      <w:bookmarkStart w:id="1131" w:name="_Toc373227724"/>
      <w:r>
        <w:rPr>
          <w:rFonts w:hint="eastAsia" w:ascii="宋体" w:cs="宋体"/>
          <w:color w:val="auto"/>
          <w:highlight w:val="none"/>
        </w:rPr>
        <w:t>7</w:t>
      </w:r>
      <w:bookmarkStart w:id="1132" w:name="_Toc303539123"/>
      <w:bookmarkStart w:id="1133" w:name="_Toc304295541"/>
      <w:bookmarkStart w:id="1134" w:name="_Toc312678005"/>
      <w:bookmarkStart w:id="1135" w:name="_Toc297123514"/>
      <w:bookmarkStart w:id="1136" w:name="_Toc300934966"/>
      <w:bookmarkStart w:id="1137" w:name="_Toc297216173"/>
      <w:bookmarkStart w:id="1138" w:name="_Toc312677479"/>
      <w:r>
        <w:rPr>
          <w:rFonts w:hint="eastAsia" w:ascii="宋体" w:cs="宋体"/>
          <w:color w:val="auto"/>
          <w:highlight w:val="none"/>
        </w:rPr>
        <w:t>.2 施工进度计划</w:t>
      </w:r>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p>
    <w:p w14:paraId="60B1B02D">
      <w:pPr>
        <w:pStyle w:val="23"/>
        <w:spacing w:line="3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7.2.2 施工进度计划的修订</w:t>
      </w:r>
    </w:p>
    <w:p w14:paraId="70D7C21F">
      <w:pPr>
        <w:pStyle w:val="23"/>
        <w:spacing w:line="3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（1）发包人和监理人在收到修订的施工进度计划后确认或提出修改意见的期限：</w:t>
      </w:r>
      <w:r>
        <w:rPr>
          <w:rFonts w:hint="eastAsia" w:ascii="宋体" w:hAnsi="宋体" w:cs="宋体"/>
          <w:color w:val="auto"/>
          <w:szCs w:val="21"/>
          <w:highlight w:val="none"/>
          <w:u w:val="single"/>
        </w:rPr>
        <w:t>自监理人收到承包人报送的相关进度计划后 7天内。</w:t>
      </w:r>
      <w:r>
        <w:rPr>
          <w:rFonts w:hint="eastAsia" w:ascii="宋体" w:hAnsi="宋体" w:cs="宋体"/>
          <w:color w:val="auto"/>
          <w:szCs w:val="21"/>
          <w:highlight w:val="none"/>
        </w:rPr>
        <w:t xml:space="preserve"> </w:t>
      </w:r>
    </w:p>
    <w:p w14:paraId="392DDCB9">
      <w:pPr>
        <w:pStyle w:val="23"/>
        <w:spacing w:line="3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（2）承包人编制分阶段或分项施工进度计划和施工方案说明的内容：</w:t>
      </w:r>
      <w:r>
        <w:rPr>
          <w:rFonts w:hint="eastAsia" w:ascii="宋体" w:hAnsi="宋体" w:cs="宋体"/>
          <w:color w:val="auto"/>
          <w:szCs w:val="21"/>
          <w:highlight w:val="none"/>
          <w:u w:val="single"/>
        </w:rPr>
        <w:t>包含但不限于月进度计划、原地面测量方案、不良地基处理方案等。</w:t>
      </w:r>
      <w:r>
        <w:rPr>
          <w:rFonts w:hint="eastAsia" w:ascii="宋体" w:hAnsi="宋体" w:cs="宋体"/>
          <w:color w:val="auto"/>
          <w:szCs w:val="21"/>
          <w:highlight w:val="none"/>
        </w:rPr>
        <w:t xml:space="preserve"> </w:t>
      </w:r>
    </w:p>
    <w:p w14:paraId="2836464A">
      <w:pPr>
        <w:pStyle w:val="23"/>
        <w:spacing w:line="3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（3） 承包人报送分阶段或分项施工进度计划和施工方案说明的期限： </w:t>
      </w:r>
      <w:r>
        <w:rPr>
          <w:rFonts w:hint="eastAsia" w:ascii="宋体" w:hAnsi="宋体" w:cs="宋体"/>
          <w:color w:val="auto"/>
          <w:szCs w:val="21"/>
          <w:highlight w:val="none"/>
          <w:u w:val="single"/>
        </w:rPr>
        <w:t>月进度计划于上月 30 日前提交，分项施工进度计划和施工方案说明应不迟于该分项工程施工前14 天提交。</w:t>
      </w:r>
    </w:p>
    <w:p w14:paraId="0BF696E1">
      <w:pPr>
        <w:pStyle w:val="38"/>
        <w:spacing w:line="380" w:lineRule="exact"/>
        <w:ind w:firstLine="422" w:firstLineChars="200"/>
        <w:rPr>
          <w:rFonts w:ascii="宋体" w:cs="宋体"/>
          <w:color w:val="auto"/>
          <w:highlight w:val="none"/>
        </w:rPr>
      </w:pPr>
      <w:bookmarkStart w:id="1139" w:name="_Toc418751821"/>
      <w:bookmarkStart w:id="1140" w:name="_Toc216"/>
      <w:bookmarkStart w:id="1141" w:name="_Toc418518135"/>
      <w:bookmarkStart w:id="1142" w:name="_Toc418752267"/>
      <w:bookmarkStart w:id="1143" w:name="_Toc373478372"/>
      <w:bookmarkStart w:id="1144" w:name="_Toc389065291"/>
      <w:bookmarkStart w:id="1145" w:name="_Toc403578959"/>
      <w:bookmarkStart w:id="1146" w:name="_Toc373227725"/>
      <w:bookmarkStart w:id="1147" w:name="_Toc497746806"/>
      <w:bookmarkStart w:id="1148" w:name="_Toc418061336"/>
      <w:bookmarkStart w:id="1149" w:name="_Toc522201754"/>
      <w:bookmarkStart w:id="1150" w:name="_Toc256000204"/>
      <w:bookmarkStart w:id="1151" w:name="_Toc497747203"/>
      <w:bookmarkStart w:id="1152" w:name="_Toc418518371"/>
      <w:r>
        <w:rPr>
          <w:rFonts w:hint="eastAsia" w:ascii="宋体" w:cs="宋体"/>
          <w:color w:val="auto"/>
          <w:highlight w:val="none"/>
        </w:rPr>
        <w:t>7.3 开工</w:t>
      </w:r>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p>
    <w:p w14:paraId="302C2516">
      <w:pPr>
        <w:pStyle w:val="23"/>
        <w:spacing w:line="3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7.3.1 开工准备</w:t>
      </w:r>
    </w:p>
    <w:p w14:paraId="67F42EFF">
      <w:pPr>
        <w:pStyle w:val="23"/>
        <w:spacing w:line="380" w:lineRule="exact"/>
        <w:ind w:firstLine="525" w:firstLineChars="250"/>
        <w:jc w:val="left"/>
        <w:rPr>
          <w:rFonts w:ascii="宋体" w:hAnsi="宋体" w:cs="宋体"/>
          <w:color w:val="auto"/>
          <w:szCs w:val="21"/>
          <w:highlight w:val="none"/>
          <w:u w:val="single"/>
        </w:rPr>
      </w:pPr>
      <w:r>
        <w:rPr>
          <w:rFonts w:hint="eastAsia" w:ascii="宋体" w:hAnsi="宋体" w:cs="宋体"/>
          <w:color w:val="auto"/>
          <w:szCs w:val="21"/>
          <w:highlight w:val="none"/>
        </w:rPr>
        <w:t>关于承包人提交</w:t>
      </w:r>
      <w:r>
        <w:rPr>
          <w:rFonts w:hint="eastAsia" w:ascii="宋体" w:hAnsi="宋体" w:cs="宋体"/>
          <w:color w:val="auto"/>
          <w:kern w:val="0"/>
          <w:szCs w:val="21"/>
          <w:highlight w:val="none"/>
        </w:rPr>
        <w:t>工程开工报审表的期限：</w:t>
      </w:r>
      <w:r>
        <w:rPr>
          <w:rFonts w:hint="eastAsia" w:ascii="宋体" w:hAnsi="宋体" w:cs="宋体"/>
          <w:color w:val="auto"/>
          <w:szCs w:val="21"/>
          <w:highlight w:val="none"/>
          <w:u w:val="single"/>
        </w:rPr>
        <w:t xml:space="preserve">  7天   </w:t>
      </w:r>
      <w:r>
        <w:rPr>
          <w:rFonts w:hint="eastAsia" w:ascii="宋体" w:hAnsi="宋体" w:cs="宋体"/>
          <w:color w:val="auto"/>
          <w:szCs w:val="21"/>
          <w:highlight w:val="none"/>
        </w:rPr>
        <w:t>。</w:t>
      </w:r>
    </w:p>
    <w:p w14:paraId="461DDA69">
      <w:pPr>
        <w:pStyle w:val="23"/>
        <w:spacing w:line="380" w:lineRule="exact"/>
        <w:jc w:val="left"/>
        <w:rPr>
          <w:rFonts w:ascii="宋体" w:hAnsi="宋体" w:cs="宋体"/>
          <w:color w:val="auto"/>
          <w:szCs w:val="21"/>
          <w:highlight w:val="none"/>
        </w:rPr>
      </w:pPr>
      <w:r>
        <w:rPr>
          <w:rFonts w:hint="eastAsia" w:ascii="宋体" w:hAnsi="宋体" w:cs="宋体"/>
          <w:color w:val="auto"/>
          <w:szCs w:val="21"/>
          <w:highlight w:val="none"/>
        </w:rPr>
        <w:t xml:space="preserve">     关于发包人应完成的其他开工准备工作及期限：</w:t>
      </w:r>
      <w:r>
        <w:rPr>
          <w:rFonts w:hint="eastAsia" w:ascii="宋体" w:hAnsi="宋体" w:cs="宋体"/>
          <w:color w:val="auto"/>
          <w:szCs w:val="21"/>
          <w:highlight w:val="none"/>
          <w:u w:val="single"/>
        </w:rPr>
        <w:t xml:space="preserve">   7天    </w:t>
      </w:r>
      <w:r>
        <w:rPr>
          <w:rFonts w:hint="eastAsia" w:ascii="宋体" w:hAnsi="宋体" w:cs="宋体"/>
          <w:color w:val="auto"/>
          <w:szCs w:val="21"/>
          <w:highlight w:val="none"/>
        </w:rPr>
        <w:t>。</w:t>
      </w:r>
    </w:p>
    <w:p w14:paraId="6BBE4AF5">
      <w:pPr>
        <w:pStyle w:val="23"/>
        <w:spacing w:line="380" w:lineRule="exact"/>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 xml:space="preserve"> 关于承包人应完成的其他开工准备工作及期限：</w:t>
      </w:r>
      <w:r>
        <w:rPr>
          <w:rFonts w:hint="eastAsia" w:ascii="宋体" w:hAnsi="宋体" w:cs="宋体"/>
          <w:color w:val="auto"/>
          <w:szCs w:val="21"/>
          <w:highlight w:val="none"/>
          <w:u w:val="single"/>
        </w:rPr>
        <w:t xml:space="preserve">   7天   </w:t>
      </w:r>
      <w:r>
        <w:rPr>
          <w:rFonts w:hint="eastAsia" w:ascii="宋体" w:hAnsi="宋体" w:cs="宋体"/>
          <w:color w:val="auto"/>
          <w:szCs w:val="21"/>
          <w:highlight w:val="none"/>
        </w:rPr>
        <w:t>。</w:t>
      </w:r>
    </w:p>
    <w:p w14:paraId="3142A4CF">
      <w:pPr>
        <w:pStyle w:val="23"/>
        <w:spacing w:line="3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7.3.2 开工通知</w:t>
      </w:r>
    </w:p>
    <w:p w14:paraId="211DB380">
      <w:pPr>
        <w:pStyle w:val="23"/>
        <w:spacing w:line="3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因发包人原因造成监理人未能在计划开工日期之日起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天内发出开工通知的，承包人有权提出价格调整要求，或者解除合同。</w:t>
      </w:r>
    </w:p>
    <w:bookmarkEnd w:id="1132"/>
    <w:bookmarkEnd w:id="1133"/>
    <w:bookmarkEnd w:id="1134"/>
    <w:bookmarkEnd w:id="1135"/>
    <w:bookmarkEnd w:id="1136"/>
    <w:bookmarkEnd w:id="1137"/>
    <w:bookmarkEnd w:id="1138"/>
    <w:p w14:paraId="61E36B76">
      <w:pPr>
        <w:pStyle w:val="38"/>
        <w:spacing w:line="380" w:lineRule="exact"/>
        <w:ind w:firstLine="422" w:firstLineChars="200"/>
        <w:rPr>
          <w:rFonts w:ascii="宋体" w:cs="宋体"/>
          <w:color w:val="auto"/>
          <w:highlight w:val="none"/>
        </w:rPr>
      </w:pPr>
      <w:bookmarkStart w:id="1153" w:name="_Toc21060"/>
      <w:bookmarkStart w:id="1154" w:name="_Toc497746807"/>
      <w:bookmarkStart w:id="1155" w:name="_Toc418752268"/>
      <w:bookmarkStart w:id="1156" w:name="_Toc522201755"/>
      <w:bookmarkStart w:id="1157" w:name="_Toc418061337"/>
      <w:bookmarkStart w:id="1158" w:name="_Toc418751822"/>
      <w:bookmarkStart w:id="1159" w:name="_Toc418518372"/>
      <w:bookmarkStart w:id="1160" w:name="_Toc497747204"/>
      <w:bookmarkStart w:id="1161" w:name="_Toc373478373"/>
      <w:bookmarkStart w:id="1162" w:name="_Toc256000205"/>
      <w:bookmarkStart w:id="1163" w:name="_Toc418518136"/>
      <w:bookmarkStart w:id="1164" w:name="_Toc389065292"/>
      <w:bookmarkStart w:id="1165" w:name="_Toc403578960"/>
      <w:bookmarkStart w:id="1166" w:name="_Toc373227726"/>
      <w:r>
        <w:rPr>
          <w:rFonts w:hint="eastAsia" w:ascii="宋体" w:cs="宋体"/>
          <w:color w:val="auto"/>
          <w:highlight w:val="none"/>
        </w:rPr>
        <w:t>7.4 测量放线</w:t>
      </w:r>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p>
    <w:p w14:paraId="76585DFD">
      <w:pPr>
        <w:pStyle w:val="23"/>
        <w:spacing w:line="380" w:lineRule="exact"/>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7.4.1发包人通过监理人向承包人提供测量基准点、基准线和水准点及其书面资料的期限：</w:t>
      </w:r>
      <w:r>
        <w:rPr>
          <w:rFonts w:hint="eastAsia" w:ascii="宋体" w:hAnsi="宋体" w:cs="宋体"/>
          <w:color w:val="auto"/>
          <w:szCs w:val="21"/>
          <w:highlight w:val="none"/>
          <w:u w:val="single"/>
        </w:rPr>
        <w:t>开工通知载明的开工日前 7 天，承包人进入工地后进行现场书面交桩。水准点、座标控制点交验完毕，即由承包人负责保护，此后由于破坏或失准带来的重新测量、放点费用及由此造成的其他损失均由承包人负担； 承包人应于开工通知后七天内现场校验，并根据国家测绘基准、测绘系统和工程测量技术规范，按上述基准点（线）以及合同工程精度要求，测设施工控制网，三方做好签认工作；承包人应于开工前3天，并在工程竣工后将施工控制网点移交发包人 。</w:t>
      </w:r>
    </w:p>
    <w:p w14:paraId="027CFCAD">
      <w:pPr>
        <w:pStyle w:val="38"/>
        <w:spacing w:line="380" w:lineRule="exact"/>
        <w:ind w:firstLine="422" w:firstLineChars="200"/>
        <w:rPr>
          <w:rFonts w:ascii="宋体" w:cs="宋体"/>
          <w:color w:val="auto"/>
          <w:highlight w:val="none"/>
        </w:rPr>
      </w:pPr>
      <w:bookmarkStart w:id="1167" w:name="_Toc497746808"/>
      <w:bookmarkStart w:id="1168" w:name="_Toc418752269"/>
      <w:bookmarkStart w:id="1169" w:name="_Toc418518373"/>
      <w:bookmarkStart w:id="1170" w:name="_Toc389065293"/>
      <w:bookmarkStart w:id="1171" w:name="_Toc1523"/>
      <w:bookmarkStart w:id="1172" w:name="_Toc373227727"/>
      <w:bookmarkStart w:id="1173" w:name="_Toc497747205"/>
      <w:bookmarkStart w:id="1174" w:name="_Toc418061338"/>
      <w:bookmarkStart w:id="1175" w:name="_Toc403578961"/>
      <w:bookmarkStart w:id="1176" w:name="_Toc522201756"/>
      <w:bookmarkStart w:id="1177" w:name="_Toc373478374"/>
      <w:bookmarkStart w:id="1178" w:name="_Toc418751823"/>
      <w:bookmarkStart w:id="1179" w:name="_Toc418518137"/>
      <w:bookmarkStart w:id="1180" w:name="_Toc256000206"/>
      <w:r>
        <w:rPr>
          <w:rFonts w:hint="eastAsia" w:ascii="宋体" w:cs="宋体"/>
          <w:color w:val="auto"/>
          <w:highlight w:val="none"/>
        </w:rPr>
        <w:t>7</w:t>
      </w:r>
      <w:bookmarkStart w:id="1181" w:name="_Toc312678010"/>
      <w:bookmarkStart w:id="1182" w:name="_Toc303539125"/>
      <w:bookmarkStart w:id="1183" w:name="_Toc297216175"/>
      <w:bookmarkStart w:id="1184" w:name="_Toc300934968"/>
      <w:bookmarkStart w:id="1185" w:name="_Toc312677484"/>
      <w:bookmarkStart w:id="1186" w:name="_Toc297123516"/>
      <w:bookmarkStart w:id="1187" w:name="_Toc304295546"/>
      <w:r>
        <w:rPr>
          <w:rFonts w:hint="eastAsia" w:ascii="宋体" w:cs="宋体"/>
          <w:color w:val="auto"/>
          <w:highlight w:val="none"/>
        </w:rPr>
        <w:t>.5 工期延误</w:t>
      </w:r>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p>
    <w:bookmarkEnd w:id="1181"/>
    <w:bookmarkEnd w:id="1182"/>
    <w:bookmarkEnd w:id="1183"/>
    <w:bookmarkEnd w:id="1184"/>
    <w:bookmarkEnd w:id="1185"/>
    <w:bookmarkEnd w:id="1186"/>
    <w:bookmarkEnd w:id="1187"/>
    <w:p w14:paraId="7BA0F2D9">
      <w:pPr>
        <w:pStyle w:val="23"/>
        <w:spacing w:line="3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7.5.1 因发包人原因导致工期延误</w:t>
      </w:r>
    </w:p>
    <w:p w14:paraId="7E82DAB2">
      <w:pPr>
        <w:pStyle w:val="23"/>
        <w:spacing w:line="380" w:lineRule="exact"/>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（7）因发包人原因导致工期延误的其他情形：</w:t>
      </w:r>
      <w:r>
        <w:rPr>
          <w:rFonts w:hint="eastAsia" w:ascii="宋体" w:hAnsi="宋体" w:cs="宋体"/>
          <w:color w:val="auto"/>
          <w:szCs w:val="21"/>
          <w:highlight w:val="none"/>
          <w:u w:val="single"/>
        </w:rPr>
        <w:t xml:space="preserve">无  </w:t>
      </w:r>
      <w:r>
        <w:rPr>
          <w:rFonts w:hint="eastAsia" w:ascii="宋体" w:hAnsi="宋体" w:cs="宋体"/>
          <w:color w:val="auto"/>
          <w:szCs w:val="21"/>
          <w:highlight w:val="none"/>
        </w:rPr>
        <w:t>。</w:t>
      </w:r>
    </w:p>
    <w:p w14:paraId="6A74145D">
      <w:pPr>
        <w:pStyle w:val="23"/>
        <w:spacing w:line="3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w:t>
      </w:r>
      <w:bookmarkStart w:id="1188" w:name="_Toc318581169"/>
      <w:bookmarkStart w:id="1189" w:name="_Toc312678012"/>
      <w:bookmarkStart w:id="1190" w:name="_Toc312677486"/>
      <w:bookmarkStart w:id="1191" w:name="_Toc297123518"/>
      <w:bookmarkStart w:id="1192" w:name="_Toc300934970"/>
      <w:bookmarkStart w:id="1193" w:name="_Toc297216177"/>
      <w:bookmarkStart w:id="1194" w:name="_Toc304295548"/>
      <w:bookmarkStart w:id="1195" w:name="_Toc303539127"/>
      <w:r>
        <w:rPr>
          <w:rFonts w:hint="eastAsia" w:ascii="宋体" w:hAnsi="宋体" w:cs="宋体"/>
          <w:color w:val="auto"/>
          <w:szCs w:val="21"/>
          <w:highlight w:val="none"/>
        </w:rPr>
        <w:t>.5.2 因承包人原因导致工期延误</w:t>
      </w:r>
    </w:p>
    <w:bookmarkEnd w:id="1188"/>
    <w:bookmarkEnd w:id="1189"/>
    <w:bookmarkEnd w:id="1190"/>
    <w:p w14:paraId="771175FB">
      <w:pPr>
        <w:pStyle w:val="23"/>
        <w:spacing w:line="3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双方约定经监理工程师确认，工期相应顺延的情况：</w:t>
      </w:r>
      <w:r>
        <w:rPr>
          <w:rFonts w:hint="eastAsia" w:ascii="宋体" w:hAnsi="宋体" w:cs="宋体"/>
          <w:color w:val="auto"/>
          <w:szCs w:val="21"/>
          <w:highlight w:val="none"/>
          <w:u w:val="single"/>
        </w:rPr>
        <w:t xml:space="preserve">  非承包人原因导致的工期延误，合同工期相应顺延</w:t>
      </w:r>
      <w:r>
        <w:rPr>
          <w:rFonts w:hint="eastAsia" w:ascii="宋体" w:hAnsi="宋体" w:cs="宋体"/>
          <w:color w:val="auto"/>
          <w:szCs w:val="21"/>
          <w:highlight w:val="none"/>
        </w:rPr>
        <w:t>。</w:t>
      </w:r>
    </w:p>
    <w:p w14:paraId="091DD218">
      <w:pPr>
        <w:pStyle w:val="23"/>
        <w:spacing w:line="380" w:lineRule="exact"/>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因</w:t>
      </w:r>
      <w:bookmarkStart w:id="1196" w:name="_Toc312677487"/>
      <w:bookmarkStart w:id="1197" w:name="_Toc312678013"/>
      <w:bookmarkStart w:id="1198" w:name="_Toc318581170"/>
      <w:r>
        <w:rPr>
          <w:rFonts w:hint="eastAsia" w:ascii="宋体" w:hAnsi="宋体" w:cs="宋体"/>
          <w:color w:val="auto"/>
          <w:szCs w:val="21"/>
          <w:highlight w:val="none"/>
        </w:rPr>
        <w:t>承包人原因造成工期延误，逾期竣工违约金的计算方法为：</w:t>
      </w:r>
      <w:r>
        <w:rPr>
          <w:rFonts w:hint="eastAsia" w:ascii="宋体" w:hAnsi="宋体" w:cs="宋体"/>
          <w:color w:val="auto"/>
          <w:szCs w:val="21"/>
          <w:highlight w:val="none"/>
          <w:u w:val="single"/>
        </w:rPr>
        <w:t xml:space="preserve">非上述原因，承包人不能按合同约定的时间竣工，承包人应承担违约责任，并应向发包人支付误期赔偿费（每天赔偿金额为合同价款扣除社会保险费、发包人材料价款、暂估专业工程、暂列金额后的的万分之四），误期时间从规定竣工日期起直到全部工程或相应部分工程竣工验收各方签章日期之间的天数（扣除发包人批准顺延的工期）。发包人可从应向承包人支付的任何金额中扣除此项赔款费或其他方式收回此款，此赔偿款的支付并不能解除承包人应完成工程的责任或合同规定的其他责任。如非承包人原因造成工期延误则承包人须在规定的时间内提出书面意见，逾期则视为承包人自行放弃。由于承包人原因造成本工程延期三个月的，除按上述标准赔偿给发包人外，发包人有权中止合同，并依法追究承包人的违约责任，由此造成的一切损失均由责任人负责。 </w:t>
      </w:r>
    </w:p>
    <w:bookmarkEnd w:id="1191"/>
    <w:bookmarkEnd w:id="1192"/>
    <w:bookmarkEnd w:id="1193"/>
    <w:bookmarkEnd w:id="1194"/>
    <w:bookmarkEnd w:id="1195"/>
    <w:bookmarkEnd w:id="1196"/>
    <w:bookmarkEnd w:id="1197"/>
    <w:bookmarkEnd w:id="1198"/>
    <w:p w14:paraId="386CF8F1">
      <w:pPr>
        <w:pStyle w:val="23"/>
        <w:spacing w:line="380" w:lineRule="exact"/>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因承包人原因造成工期延误，逾</w:t>
      </w:r>
      <w:bookmarkStart w:id="1199" w:name="_Toc318581171"/>
      <w:bookmarkStart w:id="1200" w:name="_Toc312678014"/>
      <w:r>
        <w:rPr>
          <w:rFonts w:hint="eastAsia" w:ascii="宋体" w:hAnsi="宋体" w:cs="宋体"/>
          <w:color w:val="auto"/>
          <w:szCs w:val="21"/>
          <w:highlight w:val="none"/>
        </w:rPr>
        <w:t>期竣工违约金的上限：</w:t>
      </w:r>
      <w:r>
        <w:rPr>
          <w:rFonts w:hint="eastAsia" w:ascii="宋体" w:hAnsi="宋体" w:cs="宋体"/>
          <w:color w:val="auto"/>
          <w:szCs w:val="21"/>
          <w:highlight w:val="none"/>
          <w:u w:val="single"/>
          <w:lang w:eastAsia="zh-CN"/>
        </w:rPr>
        <w:t>结算</w:t>
      </w:r>
      <w:r>
        <w:rPr>
          <w:rFonts w:hint="eastAsia" w:ascii="宋体" w:hAnsi="宋体" w:cs="宋体"/>
          <w:color w:val="auto"/>
          <w:szCs w:val="21"/>
          <w:highlight w:val="none"/>
          <w:u w:val="single"/>
        </w:rPr>
        <w:t>价扣除社会保险费、发包人材料价款、暂估专业工程、暂列金额后的</w:t>
      </w:r>
      <w:r>
        <w:rPr>
          <w:rFonts w:hint="eastAsia" w:ascii="宋体" w:hAnsi="宋体" w:cs="宋体"/>
          <w:color w:val="auto"/>
          <w:szCs w:val="21"/>
          <w:highlight w:val="none"/>
          <w:u w:val="single"/>
          <w:lang w:val="en-US" w:eastAsia="zh-CN"/>
        </w:rPr>
        <w:t>1</w:t>
      </w:r>
      <w:r>
        <w:rPr>
          <w:rFonts w:hint="eastAsia" w:ascii="宋体" w:hAnsi="宋体" w:cs="宋体"/>
          <w:color w:val="auto"/>
          <w:szCs w:val="21"/>
          <w:highlight w:val="none"/>
          <w:u w:val="single"/>
        </w:rPr>
        <w:t>%</w:t>
      </w:r>
      <w:r>
        <w:rPr>
          <w:rFonts w:hint="eastAsia" w:ascii="宋体" w:hAnsi="宋体" w:cs="宋体"/>
          <w:color w:val="auto"/>
          <w:szCs w:val="21"/>
          <w:highlight w:val="none"/>
        </w:rPr>
        <w:t>。</w:t>
      </w:r>
    </w:p>
    <w:bookmarkEnd w:id="1199"/>
    <w:bookmarkEnd w:id="1200"/>
    <w:p w14:paraId="7848CA11">
      <w:pPr>
        <w:pStyle w:val="38"/>
        <w:spacing w:line="380" w:lineRule="exact"/>
        <w:ind w:firstLine="422" w:firstLineChars="200"/>
        <w:rPr>
          <w:rFonts w:ascii="宋体" w:cs="宋体"/>
          <w:color w:val="auto"/>
          <w:highlight w:val="none"/>
        </w:rPr>
      </w:pPr>
      <w:bookmarkStart w:id="1201" w:name="_Toc522201757"/>
      <w:bookmarkStart w:id="1202" w:name="_Toc418518138"/>
      <w:bookmarkStart w:id="1203" w:name="_Toc389065294"/>
      <w:bookmarkStart w:id="1204" w:name="_Toc418751824"/>
      <w:bookmarkStart w:id="1205" w:name="_Toc403578962"/>
      <w:bookmarkStart w:id="1206" w:name="_Toc418752270"/>
      <w:bookmarkStart w:id="1207" w:name="_Toc497747206"/>
      <w:bookmarkStart w:id="1208" w:name="_Toc418518374"/>
      <w:bookmarkStart w:id="1209" w:name="_Toc418061339"/>
      <w:bookmarkStart w:id="1210" w:name="_Toc256000207"/>
      <w:bookmarkStart w:id="1211" w:name="_Toc27840"/>
      <w:bookmarkStart w:id="1212" w:name="_Toc497746809"/>
      <w:bookmarkStart w:id="1213" w:name="_Toc373478375"/>
      <w:bookmarkStart w:id="1214" w:name="_Toc373227728"/>
      <w:r>
        <w:rPr>
          <w:rFonts w:hint="eastAsia" w:ascii="宋体" w:cs="宋体"/>
          <w:color w:val="auto"/>
          <w:highlight w:val="none"/>
        </w:rPr>
        <w:t>7</w:t>
      </w:r>
      <w:bookmarkStart w:id="1215" w:name="_Toc312678015"/>
      <w:bookmarkStart w:id="1216" w:name="_Toc304295549"/>
      <w:bookmarkStart w:id="1217" w:name="_Toc303539128"/>
      <w:bookmarkStart w:id="1218" w:name="_Toc300934971"/>
      <w:bookmarkStart w:id="1219" w:name="_Toc297216178"/>
      <w:bookmarkStart w:id="1220" w:name="_Toc297123519"/>
      <w:r>
        <w:rPr>
          <w:rFonts w:hint="eastAsia" w:ascii="宋体" w:cs="宋体"/>
          <w:color w:val="auto"/>
          <w:highlight w:val="none"/>
        </w:rPr>
        <w:t>.6 不</w:t>
      </w:r>
      <w:bookmarkEnd w:id="1215"/>
      <w:bookmarkEnd w:id="1216"/>
      <w:bookmarkEnd w:id="1217"/>
      <w:bookmarkEnd w:id="1218"/>
      <w:bookmarkEnd w:id="1219"/>
      <w:bookmarkEnd w:id="1220"/>
      <w:r>
        <w:rPr>
          <w:rFonts w:hint="eastAsia" w:ascii="宋体" w:cs="宋体"/>
          <w:color w:val="auto"/>
          <w:highlight w:val="none"/>
        </w:rPr>
        <w:t>利物质条件</w:t>
      </w:r>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p>
    <w:p w14:paraId="6766E361">
      <w:pPr>
        <w:pStyle w:val="23"/>
        <w:spacing w:line="380" w:lineRule="exact"/>
        <w:ind w:firstLine="420" w:firstLineChars="200"/>
        <w:jc w:val="left"/>
        <w:rPr>
          <w:rFonts w:ascii="宋体" w:hAnsi="宋体" w:cs="宋体"/>
          <w:color w:val="auto"/>
          <w:szCs w:val="21"/>
          <w:highlight w:val="none"/>
          <w:u w:val="single"/>
        </w:rPr>
      </w:pPr>
      <w:bookmarkStart w:id="1221" w:name="_Toc318581172"/>
      <w:bookmarkStart w:id="1222" w:name="_Toc303539129"/>
      <w:bookmarkStart w:id="1223" w:name="_Toc300934972"/>
      <w:bookmarkStart w:id="1224" w:name="_Toc297123520"/>
      <w:bookmarkStart w:id="1225" w:name="_Toc304295550"/>
      <w:bookmarkStart w:id="1226" w:name="_Toc297216179"/>
      <w:bookmarkStart w:id="1227" w:name="_Toc312678016"/>
      <w:r>
        <w:rPr>
          <w:rFonts w:hint="eastAsia" w:ascii="宋体" w:hAnsi="宋体" w:cs="宋体"/>
          <w:color w:val="auto"/>
          <w:szCs w:val="21"/>
          <w:highlight w:val="none"/>
        </w:rPr>
        <w:t>不利物质条件的其他情形和有关约定：</w:t>
      </w:r>
      <w:r>
        <w:rPr>
          <w:rFonts w:hint="eastAsia" w:ascii="宋体" w:hAnsi="宋体" w:cs="宋体"/>
          <w:color w:val="auto"/>
          <w:szCs w:val="21"/>
          <w:highlight w:val="none"/>
          <w:u w:val="single"/>
        </w:rPr>
        <w:t xml:space="preserve">  一周内非承包人原因，停水、停电、停气造成停工连续超过8小时；重大设计变更和工程量增加；发包人手续不全致使施工不能正常进行；发包人未能按约定时间支付工程款致使施工不能正常进行的；非承包人原因的政府及发包人有关的停工通知，以上不利物质条件延误工期的相应延长工期，因发包人原因给承包人造成损失的由发包人相应赔偿承包人，属政府和环境等原因的，双方协商处理</w:t>
      </w:r>
      <w:r>
        <w:rPr>
          <w:rFonts w:hint="eastAsia" w:ascii="宋体" w:hAnsi="宋体" w:cs="宋体"/>
          <w:color w:val="auto"/>
          <w:szCs w:val="21"/>
          <w:highlight w:val="none"/>
        </w:rPr>
        <w:t>。</w:t>
      </w:r>
    </w:p>
    <w:bookmarkEnd w:id="1221"/>
    <w:bookmarkEnd w:id="1222"/>
    <w:bookmarkEnd w:id="1223"/>
    <w:bookmarkEnd w:id="1224"/>
    <w:bookmarkEnd w:id="1225"/>
    <w:bookmarkEnd w:id="1226"/>
    <w:bookmarkEnd w:id="1227"/>
    <w:p w14:paraId="4B95D749">
      <w:pPr>
        <w:pStyle w:val="38"/>
        <w:spacing w:line="380" w:lineRule="exact"/>
        <w:ind w:firstLine="422" w:firstLineChars="200"/>
        <w:rPr>
          <w:rFonts w:ascii="宋体" w:cs="宋体"/>
          <w:color w:val="auto"/>
          <w:highlight w:val="none"/>
        </w:rPr>
      </w:pPr>
      <w:bookmarkStart w:id="1228" w:name="_Toc497747207"/>
      <w:bookmarkStart w:id="1229" w:name="_Toc418751825"/>
      <w:bookmarkStart w:id="1230" w:name="_Toc389065295"/>
      <w:bookmarkStart w:id="1231" w:name="_Toc373478376"/>
      <w:bookmarkStart w:id="1232" w:name="_Toc418061340"/>
      <w:bookmarkStart w:id="1233" w:name="_Toc403578963"/>
      <w:bookmarkStart w:id="1234" w:name="_Toc418518139"/>
      <w:bookmarkStart w:id="1235" w:name="_Toc522201758"/>
      <w:bookmarkStart w:id="1236" w:name="_Toc418518375"/>
      <w:bookmarkStart w:id="1237" w:name="_Toc256000208"/>
      <w:bookmarkStart w:id="1238" w:name="_Toc418752271"/>
      <w:bookmarkStart w:id="1239" w:name="_Toc1472"/>
      <w:bookmarkStart w:id="1240" w:name="_Toc497746810"/>
      <w:bookmarkStart w:id="1241" w:name="_Toc373227729"/>
      <w:r>
        <w:rPr>
          <w:rFonts w:hint="eastAsia" w:ascii="宋体" w:cs="宋体"/>
          <w:color w:val="auto"/>
          <w:highlight w:val="none"/>
        </w:rPr>
        <w:t>7</w:t>
      </w:r>
      <w:bookmarkStart w:id="1242" w:name="_Toc297216180"/>
      <w:bookmarkStart w:id="1243" w:name="_Toc303539130"/>
      <w:bookmarkStart w:id="1244" w:name="_Toc304295551"/>
      <w:bookmarkStart w:id="1245" w:name="_Toc300934973"/>
      <w:bookmarkStart w:id="1246" w:name="_Toc297123521"/>
      <w:bookmarkStart w:id="1247" w:name="_Toc312678017"/>
      <w:r>
        <w:rPr>
          <w:rFonts w:hint="eastAsia" w:ascii="宋体" w:cs="宋体"/>
          <w:color w:val="auto"/>
          <w:highlight w:val="none"/>
        </w:rPr>
        <w:t>.7 异常恶劣的气候条件</w:t>
      </w:r>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p>
    <w:bookmarkEnd w:id="1242"/>
    <w:bookmarkEnd w:id="1243"/>
    <w:bookmarkEnd w:id="1244"/>
    <w:bookmarkEnd w:id="1245"/>
    <w:bookmarkEnd w:id="1246"/>
    <w:bookmarkEnd w:id="1247"/>
    <w:p w14:paraId="549C46BB">
      <w:pPr>
        <w:pStyle w:val="23"/>
        <w:spacing w:line="3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发包人和承包人同意以下情形视为异常恶劣的气候条件：</w:t>
      </w:r>
    </w:p>
    <w:p w14:paraId="342EC079">
      <w:pPr>
        <w:pStyle w:val="23"/>
        <w:spacing w:line="380" w:lineRule="exact"/>
        <w:ind w:firstLine="420" w:firstLineChars="200"/>
        <w:rPr>
          <w:rFonts w:ascii="宋体" w:hAnsi="宋体" w:cs="宋体"/>
          <w:color w:val="auto"/>
          <w:szCs w:val="21"/>
          <w:highlight w:val="none"/>
          <w:u w:val="single"/>
        </w:rPr>
      </w:pPr>
      <w:bookmarkStart w:id="1248" w:name="_Toc373478377"/>
      <w:bookmarkStart w:id="1249" w:name="_Toc418518376"/>
      <w:bookmarkStart w:id="1250" w:name="_Toc373227730"/>
      <w:bookmarkStart w:id="1251" w:name="_Toc418061341"/>
      <w:bookmarkStart w:id="1252" w:name="_Toc403578964"/>
      <w:bookmarkStart w:id="1253" w:name="_Toc418752272"/>
      <w:bookmarkStart w:id="1254" w:name="_Toc418518140"/>
      <w:bookmarkStart w:id="1255" w:name="_Toc497746811"/>
      <w:bookmarkStart w:id="1256" w:name="_Toc418751826"/>
      <w:bookmarkStart w:id="1257" w:name="_Toc389065296"/>
      <w:bookmarkStart w:id="1258" w:name="_Toc497747208"/>
      <w:r>
        <w:rPr>
          <w:rFonts w:hint="eastAsia" w:ascii="宋体" w:hAnsi="宋体" w:cs="宋体"/>
          <w:color w:val="auto"/>
          <w:szCs w:val="21"/>
          <w:highlight w:val="none"/>
        </w:rPr>
        <w:t>（1）</w:t>
      </w:r>
      <w:r>
        <w:rPr>
          <w:rFonts w:hint="eastAsia" w:ascii="宋体" w:hAnsi="宋体" w:cs="宋体"/>
          <w:color w:val="auto"/>
          <w:szCs w:val="21"/>
          <w:highlight w:val="none"/>
          <w:u w:val="single"/>
        </w:rPr>
        <w:t>10级以上持续1天的大风；</w:t>
      </w:r>
    </w:p>
    <w:p w14:paraId="3D1C3F73">
      <w:pPr>
        <w:pStyle w:val="23"/>
        <w:numPr>
          <w:ilvl w:val="0"/>
          <w:numId w:val="10"/>
        </w:numPr>
        <w:spacing w:line="380" w:lineRule="exact"/>
        <w:ind w:firstLine="420" w:firstLineChars="200"/>
        <w:rPr>
          <w:rFonts w:ascii="宋体" w:hAnsi="宋体" w:cs="宋体"/>
          <w:color w:val="auto"/>
          <w:szCs w:val="21"/>
          <w:highlight w:val="none"/>
          <w:u w:val="single"/>
        </w:rPr>
      </w:pPr>
      <w:r>
        <w:rPr>
          <w:rFonts w:hint="eastAsia" w:ascii="宋体" w:hAnsi="宋体" w:cs="宋体"/>
          <w:color w:val="auto"/>
          <w:szCs w:val="21"/>
          <w:highlight w:val="none"/>
          <w:u w:val="single"/>
        </w:rPr>
        <w:t>暴雨级以上持续2天的大雨；</w:t>
      </w:r>
    </w:p>
    <w:p w14:paraId="2315139F">
      <w:pPr>
        <w:pStyle w:val="23"/>
        <w:numPr>
          <w:ilvl w:val="0"/>
          <w:numId w:val="10"/>
        </w:numPr>
        <w:spacing w:line="380" w:lineRule="exact"/>
        <w:ind w:firstLine="420" w:firstLineChars="200"/>
        <w:rPr>
          <w:rFonts w:ascii="宋体" w:hAnsi="宋体" w:cs="宋体"/>
          <w:color w:val="auto"/>
          <w:szCs w:val="21"/>
          <w:highlight w:val="none"/>
          <w:u w:val="single"/>
        </w:rPr>
      </w:pPr>
      <w:r>
        <w:rPr>
          <w:rFonts w:hint="eastAsia" w:ascii="宋体" w:hAnsi="宋体"/>
          <w:color w:val="auto"/>
          <w:szCs w:val="21"/>
          <w:highlight w:val="none"/>
          <w:u w:val="single"/>
        </w:rPr>
        <w:t>当地6级以上的破坏性地震；</w:t>
      </w:r>
    </w:p>
    <w:p w14:paraId="2DA784B8">
      <w:pPr>
        <w:pStyle w:val="23"/>
        <w:numPr>
          <w:ilvl w:val="0"/>
          <w:numId w:val="10"/>
        </w:numPr>
        <w:spacing w:line="380" w:lineRule="exact"/>
        <w:ind w:firstLine="420" w:firstLineChars="200"/>
        <w:rPr>
          <w:rFonts w:ascii="宋体" w:hAnsi="宋体" w:cs="宋体"/>
          <w:color w:val="auto"/>
          <w:szCs w:val="21"/>
          <w:highlight w:val="none"/>
          <w:u w:val="single"/>
        </w:rPr>
      </w:pPr>
      <w:r>
        <w:rPr>
          <w:rFonts w:hint="eastAsia" w:ascii="宋体" w:hAnsi="宋体" w:cs="宋体"/>
          <w:color w:val="auto"/>
          <w:szCs w:val="21"/>
          <w:highlight w:val="none"/>
          <w:u w:val="single"/>
        </w:rPr>
        <w:t>50年以上未发生过的持续2天的高温天气；</w:t>
      </w:r>
    </w:p>
    <w:p w14:paraId="5429384E">
      <w:pPr>
        <w:pStyle w:val="23"/>
        <w:numPr>
          <w:ilvl w:val="0"/>
          <w:numId w:val="10"/>
        </w:numPr>
        <w:spacing w:line="380" w:lineRule="exact"/>
        <w:ind w:firstLine="420" w:firstLineChars="200"/>
        <w:rPr>
          <w:rFonts w:ascii="宋体" w:hAnsi="宋体" w:cs="宋体"/>
          <w:color w:val="auto"/>
          <w:szCs w:val="21"/>
          <w:highlight w:val="none"/>
          <w:u w:val="single"/>
        </w:rPr>
      </w:pPr>
      <w:r>
        <w:rPr>
          <w:rFonts w:hint="eastAsia" w:ascii="宋体" w:hAnsi="宋体" w:cs="宋体"/>
          <w:color w:val="auto"/>
          <w:szCs w:val="21"/>
          <w:highlight w:val="none"/>
          <w:u w:val="single"/>
        </w:rPr>
        <w:t>50年以上未发生的持续2天的低温天气。</w:t>
      </w:r>
    </w:p>
    <w:p w14:paraId="6E42C75F">
      <w:pPr>
        <w:pStyle w:val="23"/>
        <w:spacing w:line="380" w:lineRule="exact"/>
        <w:ind w:firstLine="630" w:firstLineChars="300"/>
        <w:rPr>
          <w:rFonts w:ascii="宋体" w:hAnsi="宋体" w:cs="宋体"/>
          <w:color w:val="auto"/>
          <w:szCs w:val="21"/>
          <w:highlight w:val="none"/>
          <w:u w:val="single"/>
        </w:rPr>
      </w:pPr>
      <w:r>
        <w:rPr>
          <w:rFonts w:hint="eastAsia" w:ascii="宋体" w:hAnsi="宋体" w:cs="宋体"/>
          <w:color w:val="auto"/>
          <w:szCs w:val="21"/>
          <w:highlight w:val="none"/>
          <w:u w:val="single"/>
        </w:rPr>
        <w:t>施工场地受淹超过发包人提供设计图纸指明的设计洪水位以及因天气原因无法施工并经监理确认引起延误的情况。承包人有权要求发包人延长工期, 但对上述几种情形，对工程施工造成影响和灾害的，需提供政府相关部门对不可抗力认定的证明材料为依据。</w:t>
      </w:r>
    </w:p>
    <w:p w14:paraId="32A896BB">
      <w:pPr>
        <w:pStyle w:val="23"/>
        <w:spacing w:line="380" w:lineRule="exact"/>
        <w:jc w:val="left"/>
        <w:rPr>
          <w:rFonts w:ascii="宋体" w:hAnsi="宋体" w:cs="宋体"/>
          <w:b/>
          <w:bCs/>
          <w:color w:val="auto"/>
          <w:szCs w:val="21"/>
          <w:highlight w:val="none"/>
        </w:rPr>
      </w:pPr>
      <w:r>
        <w:rPr>
          <w:rFonts w:hint="eastAsia" w:ascii="宋体" w:hAnsi="宋体" w:cs="宋体"/>
          <w:b/>
          <w:bCs/>
          <w:color w:val="auto"/>
          <w:szCs w:val="21"/>
          <w:highlight w:val="none"/>
        </w:rPr>
        <w:t>7.8暂停施工</w:t>
      </w:r>
    </w:p>
    <w:p w14:paraId="22F0E54C">
      <w:pPr>
        <w:pStyle w:val="43"/>
        <w:spacing w:line="380" w:lineRule="exact"/>
        <w:ind w:firstLine="0" w:firstLineChars="0"/>
        <w:rPr>
          <w:rFonts w:ascii="宋体" w:hAnsi="宋体" w:cs="宋体"/>
          <w:b/>
          <w:color w:val="auto"/>
          <w:highlight w:val="none"/>
        </w:rPr>
      </w:pPr>
      <w:r>
        <w:rPr>
          <w:rFonts w:hint="eastAsia" w:ascii="宋体" w:hAnsi="宋体" w:cs="宋体"/>
          <w:b/>
          <w:color w:val="auto"/>
          <w:highlight w:val="none"/>
        </w:rPr>
        <w:t>7.8.2承包人原因引起的暂停施工</w:t>
      </w:r>
    </w:p>
    <w:p w14:paraId="4A482CBC">
      <w:pPr>
        <w:pStyle w:val="23"/>
        <w:spacing w:line="380" w:lineRule="exact"/>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承包人承担暂停施工责任的其他情形：</w:t>
      </w:r>
      <w:r>
        <w:rPr>
          <w:rFonts w:hint="eastAsia" w:ascii="宋体" w:hAnsi="宋体" w:cs="宋体"/>
          <w:color w:val="auto"/>
          <w:szCs w:val="21"/>
          <w:highlight w:val="none"/>
          <w:u w:val="single"/>
        </w:rPr>
        <w:t>（1）监理工程师为保证工程质量和施工安全所指令的暂停施工；（2）因质量安全隐患或事故，被建设行政主管部门及安全生产监督责令暂停施工或自行暂停施工；（3）因承包人违反规范或任何工程质量不合格而进行返工、重建、修建的工期；（4）未按设计要求进行施工、或因施工组织方案不可行导致发包人未能按时审批而影响开工的；（5）工程验收不合格发现存在质量问题或技术问题需要修改的；（6）承包人与发包人未能在约定时间内达成一致而暂停施工；（7）工程质量未达到等级标准要求，发包人要求承包人返工的；（8）承包人因农忙时期而暂停施工；综述其工期不予顺延，责任自负。</w:t>
      </w:r>
    </w:p>
    <w:p w14:paraId="7CF86956">
      <w:pPr>
        <w:pStyle w:val="43"/>
        <w:spacing w:line="380" w:lineRule="exact"/>
        <w:rPr>
          <w:rFonts w:ascii="宋体" w:hAnsi="宋体" w:cs="宋体"/>
          <w:color w:val="auto"/>
          <w:highlight w:val="none"/>
          <w:u w:val="single"/>
        </w:rPr>
      </w:pPr>
      <w:r>
        <w:rPr>
          <w:rFonts w:hint="eastAsia" w:ascii="宋体" w:hAnsi="宋体" w:cs="宋体"/>
          <w:color w:val="auto"/>
          <w:highlight w:val="none"/>
          <w:u w:val="single"/>
        </w:rPr>
        <w:t>因承包人责任暂停施工延误施工时机而导致遭遇不利条件物质条件和异常恶劣的气候条件、不可抗力造成的工期延误和费用增加由承包人承担。</w:t>
      </w:r>
    </w:p>
    <w:p w14:paraId="44757F87">
      <w:pPr>
        <w:pStyle w:val="43"/>
        <w:spacing w:line="380" w:lineRule="exact"/>
        <w:ind w:firstLine="0" w:firstLineChars="0"/>
        <w:rPr>
          <w:rFonts w:ascii="宋体" w:hAnsi="宋体" w:cs="宋体"/>
          <w:b/>
          <w:color w:val="auto"/>
          <w:highlight w:val="none"/>
        </w:rPr>
      </w:pPr>
      <w:r>
        <w:rPr>
          <w:rFonts w:hint="eastAsia" w:ascii="宋体" w:hAnsi="宋体" w:cs="宋体"/>
          <w:b/>
          <w:color w:val="auto"/>
          <w:highlight w:val="none"/>
        </w:rPr>
        <w:t>7.8.5暂停施工后的复工</w:t>
      </w:r>
    </w:p>
    <w:p w14:paraId="78FBCBB8">
      <w:pPr>
        <w:pStyle w:val="43"/>
        <w:spacing w:line="380" w:lineRule="exact"/>
        <w:rPr>
          <w:rFonts w:ascii="宋体" w:hAnsi="宋体" w:cs="宋体"/>
          <w:color w:val="auto"/>
          <w:highlight w:val="none"/>
        </w:rPr>
      </w:pPr>
      <w:r>
        <w:rPr>
          <w:rFonts w:hint="eastAsia" w:ascii="宋体" w:hAnsi="宋体" w:cs="宋体"/>
          <w:color w:val="auto"/>
          <w:highlight w:val="none"/>
          <w:u w:val="single"/>
        </w:rPr>
        <w:t>监理人发出复工通知后，监理人应和承包人一起对受到暂停施工影响的工程、材料和工程设备进行检查。承包人负责修复在暂停施工期间发生在工程、材料和工程设备上的任何损蚀、缺陷或损失，修复费用由承担暂停施工责任的责任人承担。</w:t>
      </w:r>
    </w:p>
    <w:p w14:paraId="6D6C63A1">
      <w:pPr>
        <w:pStyle w:val="38"/>
        <w:spacing w:line="380" w:lineRule="exact"/>
        <w:ind w:firstLine="422" w:firstLineChars="200"/>
        <w:rPr>
          <w:rFonts w:ascii="宋体" w:cs="宋体"/>
          <w:color w:val="auto"/>
          <w:highlight w:val="none"/>
        </w:rPr>
      </w:pPr>
      <w:bookmarkStart w:id="1259" w:name="_Toc256000209"/>
      <w:bookmarkStart w:id="1260" w:name="_Toc6583"/>
      <w:bookmarkStart w:id="1261" w:name="_Toc522201759"/>
      <w:r>
        <w:rPr>
          <w:rFonts w:hint="eastAsia" w:ascii="宋体" w:cs="宋体"/>
          <w:color w:val="auto"/>
          <w:highlight w:val="none"/>
        </w:rPr>
        <w:t>7.9 提前竣工</w:t>
      </w:r>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p>
    <w:p w14:paraId="36BAC542">
      <w:pPr>
        <w:pStyle w:val="23"/>
        <w:spacing w:line="3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7.9.2提前竣工的奖励：</w:t>
      </w:r>
      <w:r>
        <w:rPr>
          <w:rFonts w:hint="eastAsia" w:ascii="宋体" w:hAnsi="宋体" w:cs="宋体"/>
          <w:color w:val="auto"/>
          <w:szCs w:val="21"/>
          <w:highlight w:val="none"/>
          <w:u w:val="single"/>
        </w:rPr>
        <w:t xml:space="preserve"> 无 </w:t>
      </w:r>
      <w:r>
        <w:rPr>
          <w:rFonts w:hint="eastAsia" w:ascii="宋体" w:hAnsi="宋体" w:cs="宋体"/>
          <w:color w:val="auto"/>
          <w:szCs w:val="21"/>
          <w:highlight w:val="none"/>
        </w:rPr>
        <w:t>。</w:t>
      </w:r>
    </w:p>
    <w:p w14:paraId="4EA85C72">
      <w:pPr>
        <w:pStyle w:val="38"/>
        <w:numPr>
          <w:ilvl w:val="0"/>
          <w:numId w:val="11"/>
        </w:numPr>
        <w:spacing w:line="380" w:lineRule="exact"/>
        <w:rPr>
          <w:rFonts w:ascii="宋体" w:cs="宋体"/>
          <w:color w:val="auto"/>
          <w:highlight w:val="none"/>
        </w:rPr>
      </w:pPr>
      <w:bookmarkStart w:id="1262" w:name="_Toc389065297"/>
      <w:bookmarkStart w:id="1263" w:name="_Toc418518141"/>
      <w:bookmarkStart w:id="1264" w:name="_Toc11098"/>
      <w:bookmarkStart w:id="1265" w:name="_Toc497747209"/>
      <w:bookmarkStart w:id="1266" w:name="_Toc256000210"/>
      <w:bookmarkStart w:id="1267" w:name="_Toc373227731"/>
      <w:bookmarkStart w:id="1268" w:name="_Toc403578965"/>
      <w:bookmarkStart w:id="1269" w:name="_Toc522201760"/>
      <w:bookmarkStart w:id="1270" w:name="_Toc373478378"/>
      <w:bookmarkStart w:id="1271" w:name="_Toc351203640"/>
      <w:bookmarkStart w:id="1272" w:name="_Toc418751827"/>
      <w:bookmarkStart w:id="1273" w:name="_Toc418518377"/>
      <w:bookmarkStart w:id="1274" w:name="_Toc497746812"/>
      <w:bookmarkStart w:id="1275" w:name="_Toc418061342"/>
      <w:bookmarkStart w:id="1276" w:name="_Toc418752273"/>
      <w:r>
        <w:rPr>
          <w:rFonts w:hint="eastAsia" w:ascii="宋体" w:cs="宋体"/>
          <w:color w:val="auto"/>
          <w:highlight w:val="none"/>
        </w:rPr>
        <w:t>材料与设备</w:t>
      </w:r>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p>
    <w:p w14:paraId="7320647C">
      <w:pPr>
        <w:pStyle w:val="43"/>
        <w:spacing w:line="380" w:lineRule="exact"/>
        <w:rPr>
          <w:rFonts w:ascii="宋体" w:hAnsi="宋体" w:cs="宋体"/>
          <w:color w:val="auto"/>
          <w:highlight w:val="none"/>
        </w:rPr>
      </w:pPr>
      <w:r>
        <w:rPr>
          <w:rFonts w:ascii="宋体" w:hAnsi="宋体" w:cs="宋体"/>
          <w:color w:val="auto"/>
          <w:highlight w:val="none"/>
        </w:rPr>
        <w:t>承包人采购材料和设备的约定：</w:t>
      </w:r>
    </w:p>
    <w:bookmarkEnd w:id="1018"/>
    <w:bookmarkEnd w:id="1019"/>
    <w:bookmarkEnd w:id="1020"/>
    <w:bookmarkEnd w:id="1021"/>
    <w:bookmarkEnd w:id="1022"/>
    <w:bookmarkEnd w:id="1023"/>
    <w:bookmarkEnd w:id="1024"/>
    <w:bookmarkEnd w:id="1025"/>
    <w:bookmarkEnd w:id="1026"/>
    <w:bookmarkEnd w:id="1027"/>
    <w:p w14:paraId="6B3FB4AF">
      <w:pPr>
        <w:pStyle w:val="38"/>
        <w:spacing w:line="380" w:lineRule="exact"/>
        <w:ind w:firstLine="422" w:firstLineChars="200"/>
        <w:rPr>
          <w:rFonts w:ascii="宋体" w:cs="宋体"/>
          <w:color w:val="auto"/>
          <w:highlight w:val="none"/>
        </w:rPr>
      </w:pPr>
      <w:bookmarkStart w:id="1277" w:name="_Toc373478379"/>
      <w:bookmarkStart w:id="1278" w:name="_Toc522201761"/>
      <w:bookmarkStart w:id="1279" w:name="_Toc497747210"/>
      <w:bookmarkStart w:id="1280" w:name="_Toc418061343"/>
      <w:bookmarkStart w:id="1281" w:name="_Toc418518142"/>
      <w:bookmarkStart w:id="1282" w:name="_Toc389065298"/>
      <w:bookmarkStart w:id="1283" w:name="_Toc418751828"/>
      <w:bookmarkStart w:id="1284" w:name="_Toc3719"/>
      <w:bookmarkStart w:id="1285" w:name="_Toc256000211"/>
      <w:bookmarkStart w:id="1286" w:name="_Toc418518378"/>
      <w:bookmarkStart w:id="1287" w:name="_Toc418752274"/>
      <w:bookmarkStart w:id="1288" w:name="_Toc403578966"/>
      <w:bookmarkStart w:id="1289" w:name="_Toc497746813"/>
      <w:bookmarkStart w:id="1290" w:name="_Toc373227732"/>
      <w:r>
        <w:rPr>
          <w:rFonts w:hint="eastAsia" w:ascii="宋体" w:cs="宋体"/>
          <w:color w:val="auto"/>
          <w:highlight w:val="none"/>
        </w:rPr>
        <w:t>8.2 承包人采购材料与工程设备</w:t>
      </w:r>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p>
    <w:p w14:paraId="2C2D4DEE">
      <w:pPr>
        <w:pStyle w:val="23"/>
        <w:autoSpaceDE w:val="0"/>
        <w:autoSpaceDN w:val="0"/>
        <w:adjustRightInd w:val="0"/>
        <w:spacing w:line="38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除已标价工程量清单《发包人提供主要材料和工程设备一览表》（表-21）中明确的材料、工程设备外，由承包人负责材料和工程设备的采购、运输和保管。《</w:t>
      </w:r>
      <w:r>
        <w:rPr>
          <w:rFonts w:hint="eastAsia" w:ascii="宋体" w:hAnsi="宋体" w:cs="宋体"/>
          <w:color w:val="auto"/>
          <w:szCs w:val="21"/>
          <w:highlight w:val="none"/>
        </w:rPr>
        <w:t>承包人提供主要材料和工程设备一览表》</w:t>
      </w:r>
      <w:r>
        <w:rPr>
          <w:rFonts w:hint="eastAsia" w:ascii="宋体" w:hAnsi="宋体" w:cs="宋体"/>
          <w:color w:val="auto"/>
          <w:kern w:val="0"/>
          <w:szCs w:val="21"/>
          <w:highlight w:val="none"/>
        </w:rPr>
        <w:t>（表-22）见已标价工程量清单。</w:t>
      </w:r>
    </w:p>
    <w:p w14:paraId="275557F0">
      <w:pPr>
        <w:pStyle w:val="38"/>
        <w:spacing w:line="380" w:lineRule="exact"/>
        <w:ind w:firstLine="422" w:firstLineChars="200"/>
        <w:rPr>
          <w:rFonts w:ascii="宋体" w:cs="宋体"/>
          <w:color w:val="auto"/>
          <w:highlight w:val="none"/>
        </w:rPr>
      </w:pPr>
      <w:bookmarkStart w:id="1291" w:name="_Toc418518379"/>
      <w:bookmarkStart w:id="1292" w:name="_Toc373227733"/>
      <w:bookmarkStart w:id="1293" w:name="_Toc373478380"/>
      <w:bookmarkStart w:id="1294" w:name="_Toc497746814"/>
      <w:bookmarkStart w:id="1295" w:name="_Toc522201762"/>
      <w:bookmarkStart w:id="1296" w:name="_Toc23212"/>
      <w:bookmarkStart w:id="1297" w:name="_Toc256000212"/>
      <w:bookmarkStart w:id="1298" w:name="_Toc497747211"/>
      <w:bookmarkStart w:id="1299" w:name="_Toc403578967"/>
      <w:bookmarkStart w:id="1300" w:name="_Toc418752275"/>
      <w:bookmarkStart w:id="1301" w:name="_Toc418518143"/>
      <w:bookmarkStart w:id="1302" w:name="_Toc389065299"/>
      <w:bookmarkStart w:id="1303" w:name="_Toc418751829"/>
      <w:bookmarkStart w:id="1304" w:name="_Toc418061344"/>
      <w:r>
        <w:rPr>
          <w:rFonts w:hint="eastAsia" w:ascii="宋体" w:cs="宋体"/>
          <w:color w:val="auto"/>
          <w:highlight w:val="none"/>
        </w:rPr>
        <w:t>8</w:t>
      </w:r>
      <w:bookmarkStart w:id="1305" w:name="_Toc296944506"/>
      <w:bookmarkStart w:id="1306" w:name="_Toc297120467"/>
      <w:bookmarkStart w:id="1307" w:name="_Toc297216186"/>
      <w:bookmarkStart w:id="1308" w:name="_Toc303539136"/>
      <w:bookmarkStart w:id="1309" w:name="_Toc312677493"/>
      <w:bookmarkStart w:id="1310" w:name="_Toc296347166"/>
      <w:bookmarkStart w:id="1311" w:name="_Toc300934979"/>
      <w:bookmarkStart w:id="1312" w:name="_Toc297048353"/>
      <w:bookmarkStart w:id="1313" w:name="_Toc292559372"/>
      <w:bookmarkStart w:id="1314" w:name="_Toc296346668"/>
      <w:bookmarkStart w:id="1315" w:name="_Toc296891207"/>
      <w:bookmarkStart w:id="1316" w:name="_Toc304295556"/>
      <w:bookmarkStart w:id="1317" w:name="_Toc296503167"/>
      <w:bookmarkStart w:id="1318" w:name="_Toc312678019"/>
      <w:bookmarkStart w:id="1319" w:name="_Toc297123527"/>
      <w:bookmarkStart w:id="1320" w:name="_Toc292559877"/>
      <w:bookmarkStart w:id="1321" w:name="_Toc296890995"/>
      <w:bookmarkStart w:id="1322" w:name="_Toc280868654"/>
      <w:bookmarkStart w:id="1323" w:name="_Toc280868656"/>
      <w:bookmarkStart w:id="1324" w:name="_Toc280868655"/>
      <w:bookmarkStart w:id="1325" w:name="_Toc267251424"/>
      <w:r>
        <w:rPr>
          <w:rFonts w:hint="eastAsia" w:ascii="宋体" w:cs="宋体"/>
          <w:color w:val="auto"/>
          <w:highlight w:val="none"/>
        </w:rPr>
        <w:t>.4 材料与工程设备的保管与使用</w:t>
      </w:r>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p>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p w14:paraId="62FD02FD">
      <w:pPr>
        <w:pStyle w:val="23"/>
        <w:spacing w:line="380" w:lineRule="exact"/>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8</w:t>
      </w:r>
      <w:bookmarkStart w:id="1326" w:name="_Toc292559878"/>
      <w:bookmarkStart w:id="1327" w:name="_Toc292559373"/>
      <w:bookmarkStart w:id="1328" w:name="_Toc312678020"/>
      <w:bookmarkStart w:id="1329" w:name="_Toc296891208"/>
      <w:bookmarkStart w:id="1330" w:name="_Toc318581173"/>
      <w:bookmarkStart w:id="1331" w:name="_Toc297120468"/>
      <w:bookmarkStart w:id="1332" w:name="_Toc300934980"/>
      <w:bookmarkStart w:id="1333" w:name="_Toc296944507"/>
      <w:bookmarkStart w:id="1334" w:name="_Toc296503168"/>
      <w:bookmarkStart w:id="1335" w:name="_Toc297123528"/>
      <w:bookmarkStart w:id="1336" w:name="_Toc304295557"/>
      <w:bookmarkStart w:id="1337" w:name="_Toc296347167"/>
      <w:bookmarkStart w:id="1338" w:name="_Toc303539137"/>
      <w:bookmarkStart w:id="1339" w:name="_Toc297216187"/>
      <w:bookmarkStart w:id="1340" w:name="_Toc297048354"/>
      <w:bookmarkStart w:id="1341" w:name="_Toc296890996"/>
      <w:bookmarkStart w:id="1342" w:name="_Toc296346669"/>
      <w:bookmarkStart w:id="1343" w:name="_Toc312677494"/>
      <w:r>
        <w:rPr>
          <w:rFonts w:hint="eastAsia" w:ascii="宋体" w:hAnsi="宋体" w:cs="宋体"/>
          <w:color w:val="auto"/>
          <w:szCs w:val="21"/>
          <w:highlight w:val="none"/>
        </w:rPr>
        <w:t>.4.1发包人供应的材料设备的保管费用的承担：</w:t>
      </w:r>
      <w:r>
        <w:rPr>
          <w:rFonts w:hint="eastAsia" w:ascii="宋体" w:hAnsi="宋体" w:cs="宋体"/>
          <w:color w:val="auto"/>
          <w:szCs w:val="21"/>
          <w:highlight w:val="none"/>
          <w:u w:val="single"/>
        </w:rPr>
        <w:t>发包人供应的材料和设备经三方验收合格后，保管费用由承包人承担</w:t>
      </w:r>
      <w:r>
        <w:rPr>
          <w:rFonts w:hint="eastAsia" w:ascii="宋体" w:hAnsi="宋体" w:cs="宋体"/>
          <w:color w:val="auto"/>
          <w:szCs w:val="21"/>
          <w:highlight w:val="none"/>
        </w:rPr>
        <w:t>。</w:t>
      </w:r>
    </w:p>
    <w:bookmarkEnd w:id="1326"/>
    <w:bookmarkEnd w:id="1327"/>
    <w:p w14:paraId="5C43E3D7">
      <w:pPr>
        <w:pStyle w:val="38"/>
        <w:spacing w:line="380" w:lineRule="exact"/>
        <w:ind w:firstLine="422" w:firstLineChars="200"/>
        <w:rPr>
          <w:rFonts w:ascii="宋体" w:cs="宋体"/>
          <w:color w:val="auto"/>
          <w:highlight w:val="none"/>
        </w:rPr>
      </w:pPr>
      <w:bookmarkStart w:id="1344" w:name="_Toc497746815"/>
      <w:bookmarkStart w:id="1345" w:name="_Toc403578968"/>
      <w:bookmarkStart w:id="1346" w:name="_Toc522201763"/>
      <w:bookmarkStart w:id="1347" w:name="_Toc7018"/>
      <w:bookmarkStart w:id="1348" w:name="_Toc373227734"/>
      <w:bookmarkStart w:id="1349" w:name="_Toc256000213"/>
      <w:bookmarkStart w:id="1350" w:name="_Toc418518144"/>
      <w:bookmarkStart w:id="1351" w:name="_Toc418061345"/>
      <w:bookmarkStart w:id="1352" w:name="_Toc389065300"/>
      <w:bookmarkStart w:id="1353" w:name="_Toc418518380"/>
      <w:bookmarkStart w:id="1354" w:name="_Toc497747212"/>
      <w:bookmarkStart w:id="1355" w:name="_Toc418752276"/>
      <w:bookmarkStart w:id="1356" w:name="_Toc373478381"/>
      <w:bookmarkStart w:id="1357" w:name="_Toc418751830"/>
      <w:r>
        <w:rPr>
          <w:rFonts w:hint="eastAsia" w:ascii="宋体" w:cs="宋体"/>
          <w:color w:val="auto"/>
          <w:highlight w:val="none"/>
        </w:rPr>
        <w:t>8.6 样品</w:t>
      </w:r>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p>
    <w:p w14:paraId="68308F61">
      <w:pPr>
        <w:pStyle w:val="23"/>
        <w:autoSpaceDE w:val="0"/>
        <w:autoSpaceDN w:val="0"/>
        <w:adjustRightInd w:val="0"/>
        <w:spacing w:line="38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8.6.1 样品的报送与封存</w:t>
      </w:r>
    </w:p>
    <w:p w14:paraId="43C61340">
      <w:pPr>
        <w:pStyle w:val="23"/>
        <w:autoSpaceDE w:val="0"/>
        <w:autoSpaceDN w:val="0"/>
        <w:adjustRightInd w:val="0"/>
        <w:spacing w:line="380" w:lineRule="exact"/>
        <w:ind w:firstLine="420" w:firstLineChars="200"/>
        <w:jc w:val="left"/>
        <w:rPr>
          <w:rFonts w:ascii="宋体" w:hAnsi="宋体" w:cs="宋体"/>
          <w:color w:val="auto"/>
          <w:szCs w:val="21"/>
          <w:highlight w:val="none"/>
          <w:u w:val="single"/>
        </w:rPr>
      </w:pPr>
      <w:r>
        <w:rPr>
          <w:rFonts w:hint="eastAsia" w:ascii="宋体" w:hAnsi="宋体" w:cs="宋体"/>
          <w:color w:val="auto"/>
          <w:kern w:val="0"/>
          <w:szCs w:val="21"/>
          <w:highlight w:val="none"/>
        </w:rPr>
        <w:t>需要承包人报送样品的材料或工程设备，样品的种类、名称、规格、数量要求：</w:t>
      </w:r>
      <w:r>
        <w:rPr>
          <w:rFonts w:hint="eastAsia" w:ascii="宋体" w:hAnsi="宋体" w:cs="宋体"/>
          <w:color w:val="auto"/>
          <w:szCs w:val="21"/>
          <w:highlight w:val="none"/>
          <w:u w:val="single"/>
        </w:rPr>
        <w:t>主要材料涉及品种、款式、颜色等方面内容的，承包人在进货前需将货物样品报送监理或发包人现场办公室，待设计及发包人确认样品，并封存样品后，承包人方可订货。除上述材料外招标文件和招标工程量清单中对材料、设备有档次或质量要求的，按招标文件和招标工程量清单确定；其他由合同各方协商确定。</w:t>
      </w:r>
    </w:p>
    <w:p w14:paraId="62A932CC">
      <w:pPr>
        <w:pStyle w:val="38"/>
        <w:spacing w:line="380" w:lineRule="exact"/>
        <w:ind w:firstLine="422" w:firstLineChars="200"/>
        <w:rPr>
          <w:rFonts w:ascii="宋体" w:cs="宋体"/>
          <w:color w:val="auto"/>
          <w:highlight w:val="none"/>
        </w:rPr>
      </w:pPr>
      <w:bookmarkStart w:id="1358" w:name="_Toc497747213"/>
      <w:bookmarkStart w:id="1359" w:name="_Toc373227735"/>
      <w:bookmarkStart w:id="1360" w:name="_Toc5914"/>
      <w:bookmarkStart w:id="1361" w:name="_Toc418751831"/>
      <w:bookmarkStart w:id="1362" w:name="_Toc418061346"/>
      <w:bookmarkStart w:id="1363" w:name="_Toc256000214"/>
      <w:bookmarkStart w:id="1364" w:name="_Toc373478382"/>
      <w:bookmarkStart w:id="1365" w:name="_Toc522201764"/>
      <w:bookmarkStart w:id="1366" w:name="_Toc418752277"/>
      <w:bookmarkStart w:id="1367" w:name="_Toc497746816"/>
      <w:bookmarkStart w:id="1368" w:name="_Toc418518145"/>
      <w:bookmarkStart w:id="1369" w:name="_Toc403578969"/>
      <w:bookmarkStart w:id="1370" w:name="_Toc418518381"/>
      <w:bookmarkStart w:id="1371" w:name="_Toc389065301"/>
      <w:r>
        <w:rPr>
          <w:rFonts w:hint="eastAsia" w:ascii="宋体" w:cs="宋体"/>
          <w:color w:val="auto"/>
          <w:highlight w:val="none"/>
        </w:rPr>
        <w:t>8.8 施工设备和临时设施</w:t>
      </w:r>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p>
    <w:p w14:paraId="71579412">
      <w:pPr>
        <w:pStyle w:val="23"/>
        <w:autoSpaceDE w:val="0"/>
        <w:autoSpaceDN w:val="0"/>
        <w:adjustRightInd w:val="0"/>
        <w:spacing w:line="3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8.8.1 承包人提供的施工设备和临时设施</w:t>
      </w:r>
    </w:p>
    <w:p w14:paraId="003D2880">
      <w:pPr>
        <w:pStyle w:val="23"/>
        <w:autoSpaceDE w:val="0"/>
        <w:autoSpaceDN w:val="0"/>
        <w:adjustRightInd w:val="0"/>
        <w:spacing w:line="3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除专用合同条款另有约定的其他独立承包人和监理人指示的他人提供条件外，承包人运入施工场地的所有施工设备以及在施工场地建设的临时设施仅限于用于合同工程。承包人用于本工程的主要机械设备清单见合同附件5。</w:t>
      </w:r>
    </w:p>
    <w:p w14:paraId="15C37C85">
      <w:pPr>
        <w:pStyle w:val="23"/>
        <w:autoSpaceDE w:val="0"/>
        <w:autoSpaceDN w:val="0"/>
        <w:adjustRightInd w:val="0"/>
        <w:spacing w:line="3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关于修建临时设施费用承担的约定：</w:t>
      </w:r>
    </w:p>
    <w:p w14:paraId="519179CF">
      <w:pPr>
        <w:pStyle w:val="23"/>
        <w:autoSpaceDE w:val="0"/>
        <w:autoSpaceDN w:val="0"/>
        <w:adjustRightInd w:val="0"/>
        <w:spacing w:line="380" w:lineRule="exact"/>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 xml:space="preserve">①承包人的临时用地（含项目部驻地等）租用费（含拆迁补偿）、临时用地的环保、恢复、临时用地的青苗补偿及地面附着物拆除等费用均由承包人负责，以上费用在投标报价中综合考虑。 </w:t>
      </w:r>
    </w:p>
    <w:p w14:paraId="30CA07DF">
      <w:pPr>
        <w:pStyle w:val="23"/>
        <w:autoSpaceDE w:val="0"/>
        <w:autoSpaceDN w:val="0"/>
        <w:adjustRightInd w:val="0"/>
        <w:spacing w:line="380" w:lineRule="exact"/>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 xml:space="preserve">②承包人负责合同实施期间其合同段内临时交通道路和交通设施的修建、维修、养护和交通管理工作，并承担一切费用。 </w:t>
      </w:r>
    </w:p>
    <w:p w14:paraId="1BA86DA5">
      <w:pPr>
        <w:pStyle w:val="23"/>
        <w:autoSpaceDE w:val="0"/>
        <w:autoSpaceDN w:val="0"/>
        <w:adjustRightInd w:val="0"/>
        <w:spacing w:line="380" w:lineRule="exact"/>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 xml:space="preserve">③承包人修建的临时道路和交通设施，应免费提供给发包人、监理工程师和其他合同段的承包人使用，如共同使用的路基损坏严重，发包人或监理工程师将负责通知有关承包人共同出资修复，若使用频率相差悬殊，则按比例分摊。 </w:t>
      </w:r>
    </w:p>
    <w:p w14:paraId="2A259AD1">
      <w:pPr>
        <w:pStyle w:val="23"/>
        <w:autoSpaceDE w:val="0"/>
        <w:autoSpaceDN w:val="0"/>
        <w:adjustRightInd w:val="0"/>
        <w:spacing w:line="380" w:lineRule="exact"/>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④承包人在发包人拟开发区域内已经搭设的施工现场办公等临时设施，一旦发包人因开发需要，通知承包人搬迁、拆除的，承包人应无条件在规定期限内搬迁、拆除，发包人不另行支付搬迁、拆除等费用。承包人自行解决民工住宿问题，并承担因此而增加的交通费用、工人生产降效等相关费用。</w:t>
      </w:r>
    </w:p>
    <w:p w14:paraId="303C19D3">
      <w:pPr>
        <w:pStyle w:val="23"/>
        <w:autoSpaceDE w:val="0"/>
        <w:autoSpaceDN w:val="0"/>
        <w:adjustRightInd w:val="0"/>
        <w:spacing w:line="3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8.8.2 发包人提供的施工设备和临时设施</w:t>
      </w:r>
    </w:p>
    <w:p w14:paraId="35F0702C">
      <w:pPr>
        <w:pStyle w:val="23"/>
        <w:autoSpaceDE w:val="0"/>
        <w:autoSpaceDN w:val="0"/>
        <w:adjustRightInd w:val="0"/>
        <w:spacing w:line="3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发包人提供的施工设备和临时设施：</w:t>
      </w:r>
      <w:r>
        <w:rPr>
          <w:rFonts w:hint="eastAsia" w:ascii="宋体" w:hAnsi="宋体" w:cs="宋体"/>
          <w:color w:val="auto"/>
          <w:szCs w:val="21"/>
          <w:highlight w:val="none"/>
          <w:u w:val="single"/>
        </w:rPr>
        <w:t xml:space="preserve">  无 </w:t>
      </w:r>
      <w:r>
        <w:rPr>
          <w:rFonts w:hint="eastAsia" w:ascii="宋体" w:hAnsi="宋体" w:cs="宋体"/>
          <w:color w:val="auto"/>
          <w:szCs w:val="21"/>
          <w:highlight w:val="none"/>
        </w:rPr>
        <w:t>。</w:t>
      </w:r>
    </w:p>
    <w:p w14:paraId="777C73D6">
      <w:pPr>
        <w:pStyle w:val="23"/>
        <w:autoSpaceDE w:val="0"/>
        <w:autoSpaceDN w:val="0"/>
        <w:adjustRightInd w:val="0"/>
        <w:spacing w:line="3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发包人提供的施工设备和临时设施的运行、维护、拆除、清运费用的承担人：</w:t>
      </w:r>
      <w:r>
        <w:rPr>
          <w:rFonts w:hint="eastAsia" w:ascii="宋体" w:hAnsi="宋体" w:cs="宋体"/>
          <w:color w:val="auto"/>
          <w:szCs w:val="21"/>
          <w:highlight w:val="none"/>
          <w:u w:val="single"/>
        </w:rPr>
        <w:t xml:space="preserve">  承包人  </w:t>
      </w:r>
      <w:r>
        <w:rPr>
          <w:rFonts w:hint="eastAsia" w:ascii="宋体" w:hAnsi="宋体" w:cs="宋体"/>
          <w:color w:val="auto"/>
          <w:szCs w:val="21"/>
          <w:highlight w:val="none"/>
        </w:rPr>
        <w:t>。</w:t>
      </w:r>
    </w:p>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p w14:paraId="60772E62">
      <w:pPr>
        <w:pStyle w:val="38"/>
        <w:spacing w:line="380" w:lineRule="exact"/>
        <w:rPr>
          <w:rFonts w:ascii="宋体" w:cs="宋体"/>
          <w:color w:val="auto"/>
          <w:highlight w:val="none"/>
        </w:rPr>
      </w:pPr>
      <w:bookmarkStart w:id="1372" w:name="_Toc8701"/>
      <w:bookmarkStart w:id="1373" w:name="_Toc418518146"/>
      <w:bookmarkStart w:id="1374" w:name="_Toc418518382"/>
      <w:bookmarkStart w:id="1375" w:name="_Toc373227736"/>
      <w:bookmarkStart w:id="1376" w:name="_Toc373478383"/>
      <w:bookmarkStart w:id="1377" w:name="_Toc389065302"/>
      <w:bookmarkStart w:id="1378" w:name="_Toc497747214"/>
      <w:bookmarkStart w:id="1379" w:name="_Toc522201765"/>
      <w:bookmarkStart w:id="1380" w:name="_Toc418061347"/>
      <w:bookmarkStart w:id="1381" w:name="_Toc351203641"/>
      <w:bookmarkStart w:id="1382" w:name="_Toc256000215"/>
      <w:bookmarkStart w:id="1383" w:name="_Toc403578970"/>
      <w:bookmarkStart w:id="1384" w:name="_Toc497746817"/>
      <w:bookmarkStart w:id="1385" w:name="_Toc418751832"/>
      <w:bookmarkStart w:id="1386" w:name="_Toc418752278"/>
      <w:r>
        <w:rPr>
          <w:rFonts w:hint="eastAsia" w:ascii="宋体" w:cs="宋体"/>
          <w:color w:val="auto"/>
          <w:highlight w:val="none"/>
        </w:rPr>
        <w:t>9</w:t>
      </w:r>
      <w:bookmarkEnd w:id="1323"/>
      <w:bookmarkEnd w:id="1324"/>
      <w:bookmarkEnd w:id="1325"/>
      <w:bookmarkStart w:id="1387" w:name="_Toc300934982"/>
      <w:bookmarkStart w:id="1388" w:name="_Toc304295559"/>
      <w:bookmarkStart w:id="1389" w:name="_Toc297123533"/>
      <w:bookmarkStart w:id="1390" w:name="_Toc312677495"/>
      <w:bookmarkStart w:id="1391" w:name="_Toc303539139"/>
      <w:bookmarkStart w:id="1392" w:name="_Toc297216192"/>
      <w:bookmarkStart w:id="1393" w:name="_Toc312678021"/>
      <w:bookmarkStart w:id="1394" w:name="_Toc267251428"/>
      <w:bookmarkStart w:id="1395" w:name="_Toc296503173"/>
      <w:bookmarkStart w:id="1396" w:name="_Toc296891001"/>
      <w:bookmarkStart w:id="1397" w:name="_Toc292559378"/>
      <w:bookmarkStart w:id="1398" w:name="_Toc296944512"/>
      <w:bookmarkStart w:id="1399" w:name="_Toc296346674"/>
      <w:bookmarkStart w:id="1400" w:name="_Toc297120473"/>
      <w:bookmarkStart w:id="1401" w:name="_Toc292559883"/>
      <w:bookmarkStart w:id="1402" w:name="_Toc297048359"/>
      <w:bookmarkStart w:id="1403" w:name="_Toc267251427"/>
      <w:bookmarkStart w:id="1404" w:name="_Toc296891213"/>
      <w:bookmarkStart w:id="1405" w:name="_Toc296347172"/>
      <w:r>
        <w:rPr>
          <w:rFonts w:hint="eastAsia" w:ascii="宋体" w:cs="宋体"/>
          <w:color w:val="auto"/>
          <w:highlight w:val="none"/>
        </w:rPr>
        <w:t>. 试验与检验</w:t>
      </w:r>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p>
    <w:bookmarkEnd w:id="1387"/>
    <w:bookmarkEnd w:id="1388"/>
    <w:bookmarkEnd w:id="1389"/>
    <w:bookmarkEnd w:id="1390"/>
    <w:bookmarkEnd w:id="1391"/>
    <w:bookmarkEnd w:id="1392"/>
    <w:bookmarkEnd w:id="1393"/>
    <w:p w14:paraId="2D26FB33">
      <w:pPr>
        <w:pStyle w:val="38"/>
        <w:spacing w:line="380" w:lineRule="exact"/>
        <w:ind w:firstLine="422" w:firstLineChars="200"/>
        <w:rPr>
          <w:rFonts w:ascii="宋体" w:cs="宋体"/>
          <w:color w:val="auto"/>
          <w:highlight w:val="none"/>
        </w:rPr>
      </w:pPr>
      <w:bookmarkStart w:id="1406" w:name="_Toc522201766"/>
      <w:bookmarkStart w:id="1407" w:name="_Toc389065303"/>
      <w:bookmarkStart w:id="1408" w:name="_Toc418751833"/>
      <w:bookmarkStart w:id="1409" w:name="_Toc418752279"/>
      <w:bookmarkStart w:id="1410" w:name="_Toc497746818"/>
      <w:bookmarkStart w:id="1411" w:name="_Toc373227737"/>
      <w:bookmarkStart w:id="1412" w:name="_Toc418061348"/>
      <w:bookmarkStart w:id="1413" w:name="_Toc497747215"/>
      <w:bookmarkStart w:id="1414" w:name="_Toc403578971"/>
      <w:bookmarkStart w:id="1415" w:name="_Toc418518147"/>
      <w:bookmarkStart w:id="1416" w:name="_Toc256000216"/>
      <w:bookmarkStart w:id="1417" w:name="_Toc8303"/>
      <w:bookmarkStart w:id="1418" w:name="_Toc373478384"/>
      <w:bookmarkStart w:id="1419" w:name="_Toc418518383"/>
      <w:r>
        <w:rPr>
          <w:rFonts w:hint="eastAsia" w:ascii="宋体" w:cs="宋体"/>
          <w:color w:val="auto"/>
          <w:highlight w:val="none"/>
        </w:rPr>
        <w:t>9</w:t>
      </w:r>
      <w:bookmarkStart w:id="1420" w:name="_Toc304295560"/>
      <w:bookmarkStart w:id="1421" w:name="_Toc297216193"/>
      <w:bookmarkStart w:id="1422" w:name="_Toc312677496"/>
      <w:bookmarkStart w:id="1423" w:name="_Toc303539140"/>
      <w:bookmarkStart w:id="1424" w:name="_Toc300934983"/>
      <w:bookmarkStart w:id="1425" w:name="_Toc297123534"/>
      <w:bookmarkStart w:id="1426" w:name="_Toc312678022"/>
      <w:r>
        <w:rPr>
          <w:rFonts w:hint="eastAsia" w:ascii="宋体" w:cs="宋体"/>
          <w:color w:val="auto"/>
          <w:highlight w:val="none"/>
        </w:rPr>
        <w:t>.1 试验设备与试验人员</w:t>
      </w:r>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p>
    <w:bookmarkEnd w:id="1420"/>
    <w:bookmarkEnd w:id="1421"/>
    <w:bookmarkEnd w:id="1422"/>
    <w:bookmarkEnd w:id="1423"/>
    <w:bookmarkEnd w:id="1424"/>
    <w:bookmarkEnd w:id="1425"/>
    <w:bookmarkEnd w:id="1426"/>
    <w:p w14:paraId="4E16C6AF">
      <w:pPr>
        <w:pStyle w:val="23"/>
        <w:spacing w:line="3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9</w:t>
      </w:r>
      <w:bookmarkStart w:id="1427" w:name="_Toc297216194"/>
      <w:bookmarkStart w:id="1428" w:name="_Toc312677497"/>
      <w:bookmarkStart w:id="1429" w:name="_Toc300934984"/>
      <w:bookmarkStart w:id="1430" w:name="_Toc304295561"/>
      <w:bookmarkStart w:id="1431" w:name="_Toc303539141"/>
      <w:bookmarkStart w:id="1432" w:name="_Toc312678023"/>
      <w:bookmarkStart w:id="1433" w:name="_Toc297123535"/>
      <w:bookmarkStart w:id="1434" w:name="_Toc318581174"/>
      <w:r>
        <w:rPr>
          <w:rFonts w:hint="eastAsia" w:ascii="宋体" w:hAnsi="宋体" w:cs="宋体"/>
          <w:color w:val="auto"/>
          <w:szCs w:val="21"/>
          <w:highlight w:val="none"/>
        </w:rPr>
        <w:t>.1.2 试验设备</w:t>
      </w:r>
    </w:p>
    <w:bookmarkEnd w:id="1427"/>
    <w:bookmarkEnd w:id="1428"/>
    <w:bookmarkEnd w:id="1429"/>
    <w:bookmarkEnd w:id="1430"/>
    <w:bookmarkEnd w:id="1431"/>
    <w:bookmarkEnd w:id="1432"/>
    <w:bookmarkEnd w:id="1433"/>
    <w:p w14:paraId="53C76A69">
      <w:pPr>
        <w:pStyle w:val="23"/>
        <w:spacing w:line="380" w:lineRule="exact"/>
        <w:ind w:firstLine="420" w:firstLineChars="200"/>
        <w:jc w:val="left"/>
        <w:rPr>
          <w:rFonts w:ascii="宋体" w:hAnsi="宋体" w:cs="宋体"/>
          <w:color w:val="auto"/>
          <w:szCs w:val="21"/>
          <w:highlight w:val="none"/>
        </w:rPr>
      </w:pPr>
      <w:bookmarkStart w:id="1435" w:name="_Toc304295562"/>
      <w:bookmarkStart w:id="1436" w:name="_Toc297216195"/>
      <w:bookmarkStart w:id="1437" w:name="_Toc300934985"/>
      <w:bookmarkStart w:id="1438" w:name="_Toc297123536"/>
      <w:bookmarkStart w:id="1439" w:name="_Toc312677498"/>
      <w:bookmarkStart w:id="1440" w:name="_Toc312678024"/>
      <w:bookmarkStart w:id="1441" w:name="_Toc303539142"/>
      <w:r>
        <w:rPr>
          <w:rFonts w:hint="eastAsia" w:ascii="宋体" w:hAnsi="宋体" w:cs="宋体"/>
          <w:color w:val="auto"/>
          <w:szCs w:val="21"/>
          <w:highlight w:val="none"/>
        </w:rPr>
        <w:t>施工现场需要配置的试验场所：</w:t>
      </w:r>
      <w:r>
        <w:rPr>
          <w:rFonts w:hint="eastAsia" w:ascii="宋体" w:hAnsi="宋体" w:cs="宋体"/>
          <w:color w:val="auto"/>
          <w:szCs w:val="21"/>
          <w:highlight w:val="none"/>
          <w:u w:val="single"/>
        </w:rPr>
        <w:t xml:space="preserve"> 由承包人承担，所需费用包含在投标报价中 </w:t>
      </w:r>
      <w:r>
        <w:rPr>
          <w:rFonts w:hint="eastAsia" w:ascii="宋体" w:hAnsi="宋体" w:cs="宋体"/>
          <w:color w:val="auto"/>
          <w:szCs w:val="21"/>
          <w:highlight w:val="none"/>
        </w:rPr>
        <w:t xml:space="preserve">。 </w:t>
      </w:r>
    </w:p>
    <w:p w14:paraId="65DE733D">
      <w:pPr>
        <w:pStyle w:val="23"/>
        <w:spacing w:line="380" w:lineRule="exact"/>
        <w:jc w:val="left"/>
        <w:rPr>
          <w:rFonts w:ascii="宋体" w:hAnsi="宋体" w:cs="宋体"/>
          <w:color w:val="auto"/>
          <w:szCs w:val="21"/>
          <w:highlight w:val="none"/>
        </w:rPr>
      </w:pPr>
      <w:r>
        <w:rPr>
          <w:rFonts w:hint="eastAsia" w:ascii="宋体" w:hAnsi="宋体" w:cs="宋体"/>
          <w:color w:val="auto"/>
          <w:szCs w:val="21"/>
          <w:highlight w:val="none"/>
        </w:rPr>
        <w:t xml:space="preserve">    施工现场需要配备的试验设备：</w:t>
      </w:r>
      <w:r>
        <w:rPr>
          <w:rFonts w:hint="eastAsia" w:ascii="宋体" w:hAnsi="宋体" w:cs="宋体"/>
          <w:color w:val="auto"/>
          <w:szCs w:val="21"/>
          <w:highlight w:val="none"/>
          <w:u w:val="single"/>
        </w:rPr>
        <w:t xml:space="preserve"> 由承包人承担，所需费用包含在投标报价中 </w:t>
      </w:r>
      <w:r>
        <w:rPr>
          <w:rFonts w:hint="eastAsia" w:ascii="宋体" w:hAnsi="宋体" w:cs="宋体"/>
          <w:color w:val="auto"/>
          <w:szCs w:val="21"/>
          <w:highlight w:val="none"/>
        </w:rPr>
        <w:t>。</w:t>
      </w:r>
    </w:p>
    <w:p w14:paraId="736067D8">
      <w:pPr>
        <w:pStyle w:val="23"/>
        <w:spacing w:line="380" w:lineRule="exact"/>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施工现场需要具备的其他试验条件：</w:t>
      </w:r>
      <w:r>
        <w:rPr>
          <w:rFonts w:hint="eastAsia" w:ascii="宋体" w:hAnsi="宋体" w:cs="宋体"/>
          <w:color w:val="auto"/>
          <w:szCs w:val="21"/>
          <w:highlight w:val="none"/>
          <w:u w:val="single"/>
        </w:rPr>
        <w:t xml:space="preserve"> 由承包人承担，所需费用包含在投标报价中 </w:t>
      </w:r>
      <w:r>
        <w:rPr>
          <w:rFonts w:hint="eastAsia" w:ascii="宋体" w:hAnsi="宋体" w:cs="宋体"/>
          <w:color w:val="auto"/>
          <w:szCs w:val="21"/>
          <w:highlight w:val="none"/>
        </w:rPr>
        <w:t>。</w:t>
      </w:r>
    </w:p>
    <w:p w14:paraId="7C1CB2C1">
      <w:pPr>
        <w:pStyle w:val="38"/>
        <w:spacing w:line="380" w:lineRule="exact"/>
        <w:ind w:firstLine="422" w:firstLineChars="200"/>
        <w:rPr>
          <w:rFonts w:ascii="宋体" w:cs="宋体"/>
          <w:color w:val="auto"/>
          <w:highlight w:val="none"/>
        </w:rPr>
      </w:pPr>
      <w:bookmarkStart w:id="1442" w:name="_Toc418751834"/>
      <w:bookmarkStart w:id="1443" w:name="_Toc15606"/>
      <w:bookmarkStart w:id="1444" w:name="_Toc403578972"/>
      <w:bookmarkStart w:id="1445" w:name="_Toc418061349"/>
      <w:bookmarkStart w:id="1446" w:name="_Toc418518384"/>
      <w:bookmarkStart w:id="1447" w:name="_Toc418752280"/>
      <w:bookmarkStart w:id="1448" w:name="_Toc373478385"/>
      <w:bookmarkStart w:id="1449" w:name="_Toc256000217"/>
      <w:bookmarkStart w:id="1450" w:name="_Toc418518148"/>
      <w:bookmarkStart w:id="1451" w:name="_Toc497747216"/>
      <w:bookmarkStart w:id="1452" w:name="_Toc497746819"/>
      <w:bookmarkStart w:id="1453" w:name="_Toc373227738"/>
      <w:bookmarkStart w:id="1454" w:name="_Toc389065304"/>
      <w:bookmarkStart w:id="1455" w:name="_Toc522201767"/>
      <w:r>
        <w:rPr>
          <w:rFonts w:hint="eastAsia" w:ascii="宋体" w:cs="宋体"/>
          <w:color w:val="auto"/>
          <w:highlight w:val="none"/>
        </w:rPr>
        <w:t>9.4 现场工艺试验</w:t>
      </w:r>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r>
        <w:rPr>
          <w:rFonts w:hint="eastAsia" w:ascii="宋体" w:cs="宋体"/>
          <w:color w:val="auto"/>
          <w:highlight w:val="none"/>
        </w:rPr>
        <w:t xml:space="preserve"> </w:t>
      </w:r>
    </w:p>
    <w:p w14:paraId="519E0587">
      <w:pPr>
        <w:pStyle w:val="23"/>
        <w:spacing w:line="3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现场工艺试验的有关约定：</w:t>
      </w:r>
      <w:r>
        <w:rPr>
          <w:rFonts w:hint="eastAsia" w:ascii="宋体" w:hAnsi="宋体" w:cs="宋体"/>
          <w:color w:val="auto"/>
          <w:szCs w:val="21"/>
          <w:highlight w:val="none"/>
          <w:u w:val="single"/>
        </w:rPr>
        <w:t xml:space="preserve">  按通用条款执行</w:t>
      </w:r>
      <w:r>
        <w:rPr>
          <w:rFonts w:hint="eastAsia" w:ascii="宋体" w:hAnsi="宋体" w:cs="宋体"/>
          <w:color w:val="auto"/>
          <w:szCs w:val="21"/>
          <w:highlight w:val="none"/>
        </w:rPr>
        <w:t>。</w:t>
      </w:r>
      <w:bookmarkStart w:id="1456" w:name="_Toc395382541"/>
      <w:bookmarkStart w:id="1457" w:name="_Toc406420990"/>
      <w:bookmarkStart w:id="1458" w:name="_Toc406522259"/>
      <w:bookmarkStart w:id="1459" w:name="OLE_LINK1"/>
    </w:p>
    <w:p w14:paraId="66464897">
      <w:pPr>
        <w:pStyle w:val="23"/>
        <w:spacing w:line="380" w:lineRule="exact"/>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9.5 检验费用</w:t>
      </w:r>
      <w:bookmarkEnd w:id="1456"/>
      <w:bookmarkEnd w:id="1457"/>
      <w:bookmarkEnd w:id="1458"/>
    </w:p>
    <w:p w14:paraId="55DF990D">
      <w:pPr>
        <w:pStyle w:val="23"/>
        <w:spacing w:line="38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根据《建设工程质量检测管理办法》（建设部令第141号）以及</w:t>
      </w:r>
      <w:r>
        <w:rPr>
          <w:rFonts w:hint="eastAsia" w:ascii="宋体" w:hAnsi="宋体" w:cs="宋体"/>
          <w:bCs/>
          <w:color w:val="auto"/>
          <w:szCs w:val="21"/>
          <w:highlight w:val="none"/>
        </w:rPr>
        <w:t>《广西壮族自治区建设工程质量检测管理规定》（桂建管〔2013〕11号）</w:t>
      </w:r>
      <w:r>
        <w:rPr>
          <w:rFonts w:hint="eastAsia" w:ascii="宋体" w:hAnsi="宋体" w:cs="宋体"/>
          <w:color w:val="auto"/>
          <w:szCs w:val="21"/>
          <w:highlight w:val="none"/>
        </w:rPr>
        <w:t>规定，工程质量检测业务由发包人委托有相应资质的检测机构检测。费用从发包人的项目建设经费中支出并直接支付给检测机构，不计入合同价款内。</w:t>
      </w:r>
      <w:bookmarkEnd w:id="1459"/>
    </w:p>
    <w:bookmarkEnd w:id="1434"/>
    <w:bookmarkEnd w:id="1435"/>
    <w:bookmarkEnd w:id="1436"/>
    <w:bookmarkEnd w:id="1437"/>
    <w:bookmarkEnd w:id="1438"/>
    <w:bookmarkEnd w:id="1439"/>
    <w:bookmarkEnd w:id="1440"/>
    <w:bookmarkEnd w:id="1441"/>
    <w:p w14:paraId="07BEAE5B">
      <w:pPr>
        <w:pStyle w:val="38"/>
        <w:spacing w:line="380" w:lineRule="exact"/>
        <w:rPr>
          <w:rFonts w:ascii="宋体" w:cs="宋体"/>
          <w:color w:val="auto"/>
          <w:highlight w:val="none"/>
        </w:rPr>
      </w:pPr>
      <w:bookmarkStart w:id="1460" w:name="_Toc418518386"/>
      <w:bookmarkStart w:id="1461" w:name="_Toc418518150"/>
      <w:bookmarkStart w:id="1462" w:name="_Toc403578974"/>
      <w:bookmarkStart w:id="1463" w:name="_Toc58"/>
      <w:bookmarkStart w:id="1464" w:name="_Toc497746821"/>
      <w:bookmarkStart w:id="1465" w:name="_Toc522201768"/>
      <w:bookmarkStart w:id="1466" w:name="_Toc256000218"/>
      <w:bookmarkStart w:id="1467" w:name="_Toc418061351"/>
      <w:bookmarkStart w:id="1468" w:name="_Toc373227739"/>
      <w:bookmarkStart w:id="1469" w:name="_Toc418752282"/>
      <w:bookmarkStart w:id="1470" w:name="_Toc389065305"/>
      <w:bookmarkStart w:id="1471" w:name="_Toc351203642"/>
      <w:bookmarkStart w:id="1472" w:name="_Toc497747218"/>
      <w:bookmarkStart w:id="1473" w:name="_Toc373478386"/>
      <w:bookmarkStart w:id="1474" w:name="_Toc418751836"/>
      <w:r>
        <w:rPr>
          <w:rFonts w:hint="eastAsia" w:ascii="宋体" w:cs="宋体"/>
          <w:color w:val="auto"/>
          <w:highlight w:val="none"/>
        </w:rPr>
        <w:t>1</w:t>
      </w:r>
      <w:bookmarkEnd w:id="1394"/>
      <w:bookmarkEnd w:id="1395"/>
      <w:bookmarkEnd w:id="1396"/>
      <w:bookmarkEnd w:id="1397"/>
      <w:bookmarkEnd w:id="1398"/>
      <w:bookmarkEnd w:id="1399"/>
      <w:bookmarkEnd w:id="1400"/>
      <w:bookmarkEnd w:id="1401"/>
      <w:bookmarkEnd w:id="1402"/>
      <w:bookmarkEnd w:id="1403"/>
      <w:bookmarkEnd w:id="1404"/>
      <w:bookmarkEnd w:id="1405"/>
      <w:bookmarkStart w:id="1475" w:name="_Toc296944532"/>
      <w:bookmarkStart w:id="1476" w:name="_Toc300934989"/>
      <w:bookmarkStart w:id="1477" w:name="_Toc296503193"/>
      <w:bookmarkStart w:id="1478" w:name="_Toc292559398"/>
      <w:bookmarkStart w:id="1479" w:name="_Toc296347192"/>
      <w:bookmarkStart w:id="1480" w:name="_Toc296346694"/>
      <w:bookmarkStart w:id="1481" w:name="_Toc304295566"/>
      <w:bookmarkStart w:id="1482" w:name="_Toc297123540"/>
      <w:bookmarkStart w:id="1483" w:name="_Toc296891233"/>
      <w:bookmarkStart w:id="1484" w:name="_Toc297048379"/>
      <w:bookmarkStart w:id="1485" w:name="_Toc292559903"/>
      <w:bookmarkStart w:id="1486" w:name="_Toc303539146"/>
      <w:bookmarkStart w:id="1487" w:name="_Toc297120493"/>
      <w:bookmarkStart w:id="1488" w:name="_Toc297216199"/>
      <w:bookmarkStart w:id="1489" w:name="_Toc296891021"/>
      <w:bookmarkStart w:id="1490" w:name="_Toc312677499"/>
      <w:bookmarkStart w:id="1491" w:name="_Toc312678025"/>
      <w:bookmarkStart w:id="1492" w:name="_Toc267251439"/>
      <w:bookmarkStart w:id="1493" w:name="_Toc267251440"/>
      <w:bookmarkStart w:id="1494" w:name="_Toc267251437"/>
      <w:bookmarkStart w:id="1495" w:name="_Toc267251435"/>
      <w:bookmarkStart w:id="1496" w:name="_Toc267251441"/>
      <w:bookmarkStart w:id="1497" w:name="_Toc267251433"/>
      <w:bookmarkStart w:id="1498" w:name="_Toc267251442"/>
      <w:r>
        <w:rPr>
          <w:rFonts w:hint="eastAsia" w:ascii="宋体" w:cs="宋体"/>
          <w:color w:val="auto"/>
          <w:highlight w:val="none"/>
        </w:rPr>
        <w:t>0. 变更</w:t>
      </w:r>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p>
    <w:bookmarkEnd w:id="1490"/>
    <w:bookmarkEnd w:id="1491"/>
    <w:p w14:paraId="404C89A4">
      <w:pPr>
        <w:pStyle w:val="38"/>
        <w:spacing w:line="380" w:lineRule="exact"/>
        <w:ind w:firstLine="422" w:firstLineChars="200"/>
        <w:rPr>
          <w:rFonts w:ascii="宋体" w:cs="宋体"/>
          <w:color w:val="auto"/>
          <w:highlight w:val="none"/>
        </w:rPr>
      </w:pPr>
      <w:bookmarkStart w:id="1499" w:name="_Toc389065306"/>
      <w:bookmarkStart w:id="1500" w:name="_Toc418518387"/>
      <w:bookmarkStart w:id="1501" w:name="_Toc418518151"/>
      <w:bookmarkStart w:id="1502" w:name="_Toc418061352"/>
      <w:bookmarkStart w:id="1503" w:name="_Toc373478387"/>
      <w:bookmarkStart w:id="1504" w:name="_Toc497746822"/>
      <w:bookmarkStart w:id="1505" w:name="_Toc418751837"/>
      <w:bookmarkStart w:id="1506" w:name="_Toc373227740"/>
      <w:bookmarkStart w:id="1507" w:name="_Toc2710"/>
      <w:bookmarkStart w:id="1508" w:name="_Toc497747219"/>
      <w:bookmarkStart w:id="1509" w:name="_Toc522201769"/>
      <w:bookmarkStart w:id="1510" w:name="_Toc418752283"/>
      <w:bookmarkStart w:id="1511" w:name="_Toc256000219"/>
      <w:bookmarkStart w:id="1512" w:name="_Toc403578975"/>
      <w:r>
        <w:rPr>
          <w:rFonts w:hint="eastAsia" w:ascii="宋体" w:cs="宋体"/>
          <w:color w:val="auto"/>
          <w:highlight w:val="none"/>
        </w:rPr>
        <w:t>1</w:t>
      </w:r>
      <w:bookmarkStart w:id="1513" w:name="_Toc296347193"/>
      <w:bookmarkStart w:id="1514" w:name="_Toc297123541"/>
      <w:bookmarkStart w:id="1515" w:name="_Toc304295567"/>
      <w:bookmarkStart w:id="1516" w:name="_Toc292559399"/>
      <w:bookmarkStart w:id="1517" w:name="_Toc297216200"/>
      <w:bookmarkStart w:id="1518" w:name="_Toc300934990"/>
      <w:bookmarkStart w:id="1519" w:name="_Toc297048380"/>
      <w:bookmarkStart w:id="1520" w:name="_Toc303539147"/>
      <w:bookmarkStart w:id="1521" w:name="_Toc296944533"/>
      <w:bookmarkStart w:id="1522" w:name="_Toc292559904"/>
      <w:bookmarkStart w:id="1523" w:name="_Toc296891022"/>
      <w:bookmarkStart w:id="1524" w:name="_Toc312677500"/>
      <w:bookmarkStart w:id="1525" w:name="_Toc296346695"/>
      <w:bookmarkStart w:id="1526" w:name="_Toc297120494"/>
      <w:bookmarkStart w:id="1527" w:name="_Toc296503194"/>
      <w:bookmarkStart w:id="1528" w:name="_Toc296891234"/>
      <w:bookmarkStart w:id="1529" w:name="_Toc312678026"/>
      <w:r>
        <w:rPr>
          <w:rFonts w:hint="eastAsia" w:ascii="宋体" w:cs="宋体"/>
          <w:color w:val="auto"/>
          <w:highlight w:val="none"/>
        </w:rPr>
        <w:t>0.1 变更的范围</w:t>
      </w:r>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p>
    <w:p w14:paraId="4D7BFFFE">
      <w:pPr>
        <w:pStyle w:val="23"/>
        <w:spacing w:line="38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关于变更的范围的约定：</w:t>
      </w:r>
      <w:r>
        <w:rPr>
          <w:rFonts w:hint="eastAsia" w:ascii="宋体" w:hAnsi="宋体" w:cs="宋体"/>
          <w:color w:val="auto"/>
          <w:szCs w:val="21"/>
          <w:highlight w:val="none"/>
          <w:u w:val="single"/>
        </w:rPr>
        <w:t>施工期间因不可预见因素或发包人要求所发生的工程量增减（由变更、签证产生），其工程量按实际发生并经监理工程师及发包人签证认可，工程变更综合单价按专用条款第10.4点规定执行</w:t>
      </w:r>
      <w:r>
        <w:rPr>
          <w:rFonts w:hint="eastAsia" w:ascii="宋体" w:hAnsi="宋体" w:cs="宋体"/>
          <w:color w:val="auto"/>
          <w:szCs w:val="21"/>
          <w:highlight w:val="none"/>
        </w:rPr>
        <w:t>。</w:t>
      </w:r>
      <w:bookmarkStart w:id="1530" w:name="_Toc373227741"/>
      <w:bookmarkStart w:id="1531" w:name="_Toc406522262"/>
      <w:bookmarkStart w:id="1532" w:name="_Toc373478388"/>
      <w:bookmarkStart w:id="1533" w:name="_Toc395382544"/>
      <w:bookmarkStart w:id="1534" w:name="_Toc389065307"/>
    </w:p>
    <w:p w14:paraId="1D6D835D">
      <w:pPr>
        <w:pStyle w:val="38"/>
        <w:spacing w:line="380" w:lineRule="exact"/>
        <w:ind w:firstLine="422" w:firstLineChars="200"/>
        <w:rPr>
          <w:rFonts w:ascii="宋体" w:cs="宋体"/>
          <w:color w:val="auto"/>
          <w:highlight w:val="none"/>
        </w:rPr>
      </w:pPr>
      <w:bookmarkStart w:id="1535" w:name="_Toc256000220"/>
      <w:bookmarkStart w:id="1536" w:name="_Toc21241"/>
      <w:r>
        <w:rPr>
          <w:rFonts w:hint="eastAsia" w:ascii="宋体" w:cs="宋体"/>
          <w:color w:val="auto"/>
          <w:highlight w:val="none"/>
        </w:rPr>
        <w:t>10.3 变更程序</w:t>
      </w:r>
      <w:bookmarkEnd w:id="1530"/>
      <w:bookmarkEnd w:id="1531"/>
      <w:bookmarkEnd w:id="1532"/>
      <w:bookmarkEnd w:id="1533"/>
      <w:bookmarkEnd w:id="1534"/>
      <w:bookmarkEnd w:id="1535"/>
      <w:bookmarkEnd w:id="1536"/>
    </w:p>
    <w:p w14:paraId="138B51C0">
      <w:pPr>
        <w:pStyle w:val="23"/>
        <w:spacing w:line="38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10.3.1 国有投资项目：</w:t>
      </w:r>
    </w:p>
    <w:p w14:paraId="72A8D858">
      <w:pPr>
        <w:pStyle w:val="23"/>
        <w:spacing w:line="38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⑴设计变更和工程签证，按各市政府或相关部门的规定办理。属不可抗力（自然灾害、突发事件等）造成变更的，按特事特办原则予以办理。</w:t>
      </w:r>
    </w:p>
    <w:p w14:paraId="2FCA4318">
      <w:pPr>
        <w:pStyle w:val="23"/>
        <w:spacing w:line="38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⑵发包人在实施项目过程中，若发生单价变动，由发包人、监理单位、承包人及其他相关单位共同商定并签字确认。</w:t>
      </w:r>
    </w:p>
    <w:p w14:paraId="52998F77">
      <w:pPr>
        <w:pStyle w:val="23"/>
        <w:spacing w:line="38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⑶ 当合同规定的合同价款调整情况发生后，承包人未在规定时间内通知发包人，或者未在规定时间内提出调整报告，发包人可以根据有关资料，决定是否调整和调整的金额，并书面通知承包人。</w:t>
      </w:r>
    </w:p>
    <w:p w14:paraId="7809F79B">
      <w:pPr>
        <w:pStyle w:val="23"/>
        <w:spacing w:line="38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10.3.2 非国有投资项目： 同通用条款。</w:t>
      </w:r>
    </w:p>
    <w:p w14:paraId="5A3F8ABA">
      <w:pPr>
        <w:pStyle w:val="38"/>
        <w:spacing w:line="380" w:lineRule="exact"/>
        <w:ind w:firstLine="422" w:firstLineChars="200"/>
        <w:rPr>
          <w:rFonts w:ascii="宋体" w:cs="宋体"/>
          <w:color w:val="auto"/>
          <w:highlight w:val="none"/>
        </w:rPr>
      </w:pPr>
      <w:bookmarkStart w:id="1537" w:name="_Toc418518389"/>
      <w:bookmarkStart w:id="1538" w:name="_Toc373227742"/>
      <w:bookmarkStart w:id="1539" w:name="_Toc373478389"/>
      <w:bookmarkStart w:id="1540" w:name="_Toc418752285"/>
      <w:bookmarkStart w:id="1541" w:name="_Toc522201770"/>
      <w:bookmarkStart w:id="1542" w:name="_Toc418751839"/>
      <w:bookmarkStart w:id="1543" w:name="_Toc497746824"/>
      <w:bookmarkStart w:id="1544" w:name="_Toc22425"/>
      <w:bookmarkStart w:id="1545" w:name="_Toc497747221"/>
      <w:bookmarkStart w:id="1546" w:name="_Toc418518153"/>
      <w:bookmarkStart w:id="1547" w:name="_Toc256000221"/>
      <w:bookmarkStart w:id="1548" w:name="_Toc403578977"/>
      <w:bookmarkStart w:id="1549" w:name="_Toc418061354"/>
      <w:bookmarkStart w:id="1550" w:name="_Toc389065308"/>
      <w:r>
        <w:rPr>
          <w:rFonts w:hint="eastAsia" w:ascii="宋体" w:cs="宋体"/>
          <w:color w:val="auto"/>
          <w:highlight w:val="none"/>
        </w:rPr>
        <w:t>10.4 变更估价</w:t>
      </w:r>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p>
    <w:p w14:paraId="4E6E6FAC">
      <w:pPr>
        <w:pStyle w:val="23"/>
        <w:spacing w:line="3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10.4.1 变更估价原则</w:t>
      </w:r>
    </w:p>
    <w:p w14:paraId="257FA1C0">
      <w:pPr>
        <w:pStyle w:val="23"/>
        <w:spacing w:line="380" w:lineRule="exact"/>
        <w:ind w:firstLine="426"/>
        <w:rPr>
          <w:rFonts w:ascii="宋体" w:hAnsi="宋体" w:cs="宋体"/>
          <w:color w:val="auto"/>
          <w:szCs w:val="21"/>
          <w:highlight w:val="none"/>
          <w:u w:val="single"/>
        </w:rPr>
      </w:pPr>
      <w:r>
        <w:rPr>
          <w:rFonts w:hint="eastAsia" w:ascii="宋体" w:hAnsi="宋体" w:cs="宋体"/>
          <w:color w:val="auto"/>
          <w:szCs w:val="21"/>
          <w:highlight w:val="none"/>
        </w:rPr>
        <w:t xml:space="preserve">关于变更估价的约定: </w:t>
      </w:r>
      <w:r>
        <w:rPr>
          <w:rFonts w:hint="eastAsia" w:ascii="宋体" w:hAnsi="宋体" w:cs="宋体"/>
          <w:color w:val="auto"/>
          <w:szCs w:val="21"/>
          <w:highlight w:val="none"/>
          <w:u w:val="single"/>
        </w:rPr>
        <w:t>（1）、投标报价中已有适用于变更工程的综合单价，按已有的综合单价；（2）、投标报价中有类似变更工程的综合单价，可参照投标报价中类似的综合单价确定；（3）、</w:t>
      </w:r>
      <w:r>
        <w:rPr>
          <w:rFonts w:ascii="宋体" w:hAnsi="宋体" w:cs="宋体"/>
          <w:color w:val="auto"/>
          <w:szCs w:val="21"/>
          <w:highlight w:val="none"/>
          <w:u w:val="single"/>
        </w:rPr>
        <w:t>投标报价中没有适用或类似于变更工程的综合单价，则有定额的套用定额计算，执行本工程编制招标控制价的参考依据，其中材料价格有信息价的按合同该新增子项实施期间《桂林市建设工程造价信息》的平均价计取（信息价无相关信息的参照信息价中桂林市的平均价），无信息价时按市场价格共同协商初步确定；此类工程结算综合单价=按现行定额计算（管理费、利润取中值）的综合单价×中标下浮系数（中标人的投标报价÷经财政部门审核后的预算价），新增项目无定额可套用时，由发包人、承包人及监理三方共同协商初步确定，最终以</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lang w:eastAsia="zh-CN"/>
        </w:rPr>
        <w:t>财政局</w:t>
      </w:r>
      <w:r>
        <w:rPr>
          <w:rFonts w:ascii="宋体" w:hAnsi="宋体" w:cs="宋体"/>
          <w:color w:val="auto"/>
          <w:szCs w:val="21"/>
          <w:highlight w:val="none"/>
          <w:u w:val="single"/>
        </w:rPr>
        <w:t>审定或审计单位审定</w:t>
      </w:r>
      <w:r>
        <w:rPr>
          <w:rFonts w:hint="eastAsia" w:ascii="宋体" w:hAnsi="宋体" w:cs="宋体"/>
          <w:color w:val="auto"/>
          <w:szCs w:val="21"/>
          <w:highlight w:val="none"/>
          <w:u w:val="single"/>
        </w:rPr>
        <w:t>并经发包人及承包人双方确认的金额</w:t>
      </w:r>
      <w:r>
        <w:rPr>
          <w:rFonts w:ascii="宋体" w:hAnsi="宋体" w:cs="宋体"/>
          <w:color w:val="auto"/>
          <w:szCs w:val="21"/>
          <w:highlight w:val="none"/>
          <w:u w:val="single"/>
        </w:rPr>
        <w:t>为准</w:t>
      </w:r>
      <w:r>
        <w:rPr>
          <w:rFonts w:hint="eastAsia" w:ascii="宋体" w:hAnsi="宋体" w:cs="宋体"/>
          <w:color w:val="auto"/>
          <w:szCs w:val="21"/>
          <w:highlight w:val="none"/>
          <w:u w:val="single"/>
        </w:rPr>
        <w:t>。（4）</w:t>
      </w:r>
      <w:r>
        <w:rPr>
          <w:rFonts w:ascii="宋体" w:hAnsi="宋体" w:cs="宋体"/>
          <w:color w:val="auto"/>
          <w:szCs w:val="21"/>
          <w:highlight w:val="none"/>
          <w:u w:val="single"/>
        </w:rPr>
        <w:t>若发包人和监理人认为有关的工作不能以实物工程量的方法计算及估值时，则按以下的方法计算：若工程量清单中有计日工价目表，则以计日工价目表中相应的项目计价；若计日工作价目表中无类似项目，则按三方协商的价格估值。附带条件为，承包人须提交每天用于该项工作的时间的记录、相关工人的姓名及经发包人、监理人复核的所用物料的清单。上述数据须于该项工作执行后的一星期内提交给发包人及监理人</w:t>
      </w:r>
      <w:r>
        <w:rPr>
          <w:rFonts w:hint="eastAsia" w:ascii="宋体" w:hAnsi="宋体" w:cs="宋体"/>
          <w:color w:val="auto"/>
          <w:szCs w:val="21"/>
          <w:highlight w:val="none"/>
          <w:u w:val="single"/>
        </w:rPr>
        <w:t>。（5）暂定价调整方法为：暂定材料价格部分仅调整合同实施期间材料市场价与暂定价之间的材差并计相应的规费和增值税，投标书中相应的综合单价不再调整。专业工程暂估价的确定方法：由承包人申报单价，发包人组织监理人、造价审核机构共同询价确定。如发包人认为材料暂估价及专业工程暂估价需要进行市场询价的，应以询价小组（询价小组由发包人、承包人、监理人组成）调查确认的单价为准。（6）无约定的参照我区现行《建设工程工程量清单计价规范》及配套定额相关规定执行。（7） 本工程最终结算以</w:t>
      </w:r>
      <w:r>
        <w:rPr>
          <w:rFonts w:hint="eastAsia" w:ascii="宋体" w:hAnsi="宋体" w:cs="宋体"/>
          <w:color w:val="auto"/>
          <w:szCs w:val="21"/>
          <w:highlight w:val="none"/>
          <w:u w:val="single"/>
          <w:lang w:eastAsia="zh-CN"/>
        </w:rPr>
        <w:t>财政局</w:t>
      </w:r>
      <w:r>
        <w:rPr>
          <w:rFonts w:hint="eastAsia" w:ascii="宋体" w:hAnsi="宋体" w:cs="宋体"/>
          <w:color w:val="auto"/>
          <w:szCs w:val="21"/>
          <w:highlight w:val="none"/>
          <w:u w:val="single"/>
        </w:rPr>
        <w:t>或发包人委托的造价咨询机构审定并经发包人及承包人双方确认的金额为准。</w:t>
      </w:r>
    </w:p>
    <w:p w14:paraId="0AFF5182">
      <w:pPr>
        <w:pStyle w:val="38"/>
        <w:spacing w:line="380" w:lineRule="exact"/>
        <w:ind w:firstLine="422" w:firstLineChars="200"/>
        <w:rPr>
          <w:rFonts w:ascii="宋体" w:cs="宋体"/>
          <w:color w:val="auto"/>
          <w:highlight w:val="none"/>
        </w:rPr>
      </w:pPr>
      <w:bookmarkStart w:id="1551" w:name="_Toc418061355"/>
      <w:bookmarkStart w:id="1552" w:name="_Toc522201771"/>
      <w:bookmarkStart w:id="1553" w:name="_Toc13259"/>
      <w:bookmarkStart w:id="1554" w:name="_Toc418751840"/>
      <w:bookmarkStart w:id="1555" w:name="_Toc418518154"/>
      <w:bookmarkStart w:id="1556" w:name="_Toc373478390"/>
      <w:bookmarkStart w:id="1557" w:name="_Toc418752286"/>
      <w:bookmarkStart w:id="1558" w:name="_Toc497747222"/>
      <w:bookmarkStart w:id="1559" w:name="_Toc418518390"/>
      <w:bookmarkStart w:id="1560" w:name="_Toc403578978"/>
      <w:bookmarkStart w:id="1561" w:name="_Toc497746825"/>
      <w:bookmarkStart w:id="1562" w:name="_Toc389065309"/>
      <w:bookmarkStart w:id="1563" w:name="_Toc256000222"/>
      <w:bookmarkStart w:id="1564" w:name="_Toc373227743"/>
      <w:r>
        <w:rPr>
          <w:rFonts w:hint="eastAsia" w:ascii="宋体" w:cs="宋体"/>
          <w:color w:val="auto"/>
          <w:highlight w:val="none"/>
        </w:rPr>
        <w:t>1</w:t>
      </w:r>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Start w:id="1565" w:name="_Toc296944536"/>
      <w:bookmarkStart w:id="1566" w:name="_Toc297120497"/>
      <w:bookmarkStart w:id="1567" w:name="_Toc297216203"/>
      <w:bookmarkStart w:id="1568" w:name="_Toc296891025"/>
      <w:bookmarkStart w:id="1569" w:name="_Toc300934993"/>
      <w:bookmarkStart w:id="1570" w:name="_Toc296346698"/>
      <w:bookmarkStart w:id="1571" w:name="_Toc296503197"/>
      <w:bookmarkStart w:id="1572" w:name="_Toc297048383"/>
      <w:bookmarkStart w:id="1573" w:name="_Toc303539150"/>
      <w:bookmarkStart w:id="1574" w:name="_Toc292559907"/>
      <w:bookmarkStart w:id="1575" w:name="_Toc297123544"/>
      <w:bookmarkStart w:id="1576" w:name="_Toc296891237"/>
      <w:bookmarkStart w:id="1577" w:name="_Toc296347196"/>
      <w:bookmarkStart w:id="1578" w:name="_Toc292559402"/>
      <w:bookmarkStart w:id="1579" w:name="_Toc312678029"/>
      <w:bookmarkStart w:id="1580" w:name="_Toc312677503"/>
      <w:bookmarkStart w:id="1581" w:name="_Toc304295570"/>
      <w:r>
        <w:rPr>
          <w:rFonts w:hint="eastAsia" w:ascii="宋体" w:cs="宋体"/>
          <w:color w:val="auto"/>
          <w:highlight w:val="none"/>
        </w:rPr>
        <w:t>0.5 承</w:t>
      </w:r>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Start w:id="1582" w:name="_Toc292559913"/>
      <w:bookmarkStart w:id="1583" w:name="_Toc297216204"/>
      <w:bookmarkStart w:id="1584" w:name="_Toc296944542"/>
      <w:bookmarkStart w:id="1585" w:name="_Toc300934994"/>
      <w:bookmarkStart w:id="1586" w:name="_Toc296891243"/>
      <w:bookmarkStart w:id="1587" w:name="_Toc296347202"/>
      <w:bookmarkStart w:id="1588" w:name="_Toc297120503"/>
      <w:bookmarkStart w:id="1589" w:name="_Toc297123545"/>
      <w:bookmarkStart w:id="1590" w:name="_Toc303539151"/>
      <w:bookmarkStart w:id="1591" w:name="_Toc296503203"/>
      <w:bookmarkStart w:id="1592" w:name="_Toc297048389"/>
      <w:bookmarkStart w:id="1593" w:name="_Toc296346704"/>
      <w:bookmarkStart w:id="1594" w:name="_Toc296891031"/>
      <w:bookmarkStart w:id="1595" w:name="_Toc292559408"/>
      <w:r>
        <w:rPr>
          <w:rFonts w:hint="eastAsia" w:ascii="宋体" w:cs="宋体"/>
          <w:color w:val="auto"/>
          <w:highlight w:val="none"/>
        </w:rPr>
        <w:t>包人的合理化建议</w:t>
      </w:r>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p>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p w14:paraId="447F104A">
      <w:pPr>
        <w:pStyle w:val="23"/>
        <w:spacing w:line="3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监理人审查承包人合理化建议的期限：</w:t>
      </w:r>
      <w:r>
        <w:rPr>
          <w:rFonts w:hint="eastAsia" w:ascii="宋体" w:hAnsi="宋体" w:cs="宋体"/>
          <w:color w:val="auto"/>
          <w:szCs w:val="21"/>
          <w:highlight w:val="none"/>
          <w:u w:val="single"/>
        </w:rPr>
        <w:t>监理人应在收到承包人提交的合理化建议后7天内审查完毕并报送发包人，发现其中存在技术上的缺陷，应通知承包人修改</w:t>
      </w:r>
      <w:r>
        <w:rPr>
          <w:rFonts w:hint="eastAsia" w:ascii="宋体" w:hAnsi="宋体" w:cs="宋体"/>
          <w:color w:val="auto"/>
          <w:szCs w:val="21"/>
          <w:highlight w:val="none"/>
        </w:rPr>
        <w:t>。</w:t>
      </w:r>
    </w:p>
    <w:p w14:paraId="6E6222BB">
      <w:pPr>
        <w:pStyle w:val="23"/>
        <w:spacing w:line="3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发包人审批承包人合理化建议的期限：</w:t>
      </w:r>
      <w:r>
        <w:rPr>
          <w:rFonts w:hint="eastAsia" w:ascii="宋体" w:hAnsi="宋体" w:cs="宋体"/>
          <w:color w:val="auto"/>
          <w:szCs w:val="21"/>
          <w:highlight w:val="none"/>
          <w:u w:val="single"/>
        </w:rPr>
        <w:t>发包人应在收到监理人报送的合理化建议后7天内审批完毕</w:t>
      </w:r>
      <w:r>
        <w:rPr>
          <w:rFonts w:hint="eastAsia" w:ascii="宋体" w:hAnsi="宋体" w:cs="宋体"/>
          <w:color w:val="auto"/>
          <w:szCs w:val="21"/>
          <w:highlight w:val="none"/>
        </w:rPr>
        <w:t>。</w:t>
      </w:r>
    </w:p>
    <w:p w14:paraId="4A2F0569">
      <w:pPr>
        <w:pStyle w:val="23"/>
        <w:spacing w:line="380" w:lineRule="exact"/>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承</w:t>
      </w:r>
      <w:bookmarkStart w:id="1596" w:name="_Toc296944543"/>
      <w:bookmarkStart w:id="1597" w:name="_Toc297123546"/>
      <w:bookmarkStart w:id="1598" w:name="_Toc318581175"/>
      <w:bookmarkStart w:id="1599" w:name="_Toc312677504"/>
      <w:bookmarkStart w:id="1600" w:name="_Toc296346705"/>
      <w:bookmarkStart w:id="1601" w:name="_Toc296891032"/>
      <w:bookmarkStart w:id="1602" w:name="_Toc297216205"/>
      <w:bookmarkStart w:id="1603" w:name="_Toc312678030"/>
      <w:bookmarkStart w:id="1604" w:name="_Toc303539152"/>
      <w:bookmarkStart w:id="1605" w:name="_Toc292559409"/>
      <w:bookmarkStart w:id="1606" w:name="_Toc296891244"/>
      <w:bookmarkStart w:id="1607" w:name="_Toc297048390"/>
      <w:bookmarkStart w:id="1608" w:name="_Toc297120504"/>
      <w:bookmarkStart w:id="1609" w:name="_Toc292559914"/>
      <w:bookmarkStart w:id="1610" w:name="_Toc304295571"/>
      <w:bookmarkStart w:id="1611" w:name="_Toc296503204"/>
      <w:bookmarkStart w:id="1612" w:name="_Toc296347203"/>
      <w:bookmarkStart w:id="1613" w:name="_Toc300934995"/>
      <w:r>
        <w:rPr>
          <w:rFonts w:hint="eastAsia" w:ascii="宋体" w:hAnsi="宋体" w:cs="宋体"/>
          <w:color w:val="auto"/>
          <w:szCs w:val="21"/>
          <w:highlight w:val="none"/>
        </w:rPr>
        <w:t>包人提出的合理化建议降低了合同价格或者提高了工程经济效益的奖励的方法和金额为：</w:t>
      </w:r>
      <w:r>
        <w:rPr>
          <w:rFonts w:hint="eastAsia" w:ascii="宋体" w:hAnsi="宋体" w:cs="宋体"/>
          <w:color w:val="auto"/>
          <w:szCs w:val="21"/>
          <w:highlight w:val="none"/>
          <w:u w:val="single"/>
        </w:rPr>
        <w:t xml:space="preserve"> 无 </w:t>
      </w:r>
      <w:r>
        <w:rPr>
          <w:rFonts w:hint="eastAsia" w:ascii="宋体" w:hAnsi="宋体" w:cs="宋体"/>
          <w:color w:val="auto"/>
          <w:szCs w:val="21"/>
          <w:highlight w:val="none"/>
        </w:rPr>
        <w:t>。</w:t>
      </w:r>
    </w:p>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p w14:paraId="4A5FFEEC">
      <w:pPr>
        <w:pStyle w:val="38"/>
        <w:spacing w:line="380" w:lineRule="exact"/>
        <w:ind w:firstLine="422" w:firstLineChars="200"/>
        <w:rPr>
          <w:rFonts w:ascii="宋体" w:cs="宋体"/>
          <w:color w:val="auto"/>
          <w:highlight w:val="none"/>
        </w:rPr>
      </w:pPr>
      <w:bookmarkStart w:id="1614" w:name="_Toc418518155"/>
      <w:bookmarkStart w:id="1615" w:name="_Toc403578979"/>
      <w:bookmarkStart w:id="1616" w:name="_Toc418751841"/>
      <w:bookmarkStart w:id="1617" w:name="_Toc418518391"/>
      <w:bookmarkStart w:id="1618" w:name="_Toc256000223"/>
      <w:bookmarkStart w:id="1619" w:name="_Toc497746826"/>
      <w:bookmarkStart w:id="1620" w:name="_Toc5810"/>
      <w:bookmarkStart w:id="1621" w:name="_Toc389065310"/>
      <w:bookmarkStart w:id="1622" w:name="_Toc373227744"/>
      <w:bookmarkStart w:id="1623" w:name="_Toc373478391"/>
      <w:bookmarkStart w:id="1624" w:name="_Toc522201772"/>
      <w:bookmarkStart w:id="1625" w:name="_Toc418061356"/>
      <w:bookmarkStart w:id="1626" w:name="_Toc418752287"/>
      <w:bookmarkStart w:id="1627" w:name="_Toc497747223"/>
      <w:r>
        <w:rPr>
          <w:rFonts w:hint="eastAsia" w:ascii="宋体" w:cs="宋体"/>
          <w:color w:val="auto"/>
          <w:highlight w:val="none"/>
        </w:rPr>
        <w:t>1</w:t>
      </w:r>
      <w:bookmarkStart w:id="1628" w:name="_Toc297216207"/>
      <w:bookmarkStart w:id="1629" w:name="_Toc296891239"/>
      <w:bookmarkStart w:id="1630" w:name="_Toc292559404"/>
      <w:bookmarkStart w:id="1631" w:name="_Toc296346700"/>
      <w:bookmarkStart w:id="1632" w:name="_Toc296503199"/>
      <w:bookmarkStart w:id="1633" w:name="_Toc312677507"/>
      <w:bookmarkStart w:id="1634" w:name="_Toc297123548"/>
      <w:bookmarkStart w:id="1635" w:name="_Toc304295574"/>
      <w:bookmarkStart w:id="1636" w:name="_Toc303539154"/>
      <w:bookmarkStart w:id="1637" w:name="_Toc297120499"/>
      <w:bookmarkStart w:id="1638" w:name="_Toc296891027"/>
      <w:bookmarkStart w:id="1639" w:name="_Toc297048385"/>
      <w:bookmarkStart w:id="1640" w:name="_Toc292559909"/>
      <w:bookmarkStart w:id="1641" w:name="_Toc300934997"/>
      <w:bookmarkStart w:id="1642" w:name="_Toc296347198"/>
      <w:bookmarkStart w:id="1643" w:name="_Toc312678033"/>
      <w:bookmarkStart w:id="1644" w:name="_Toc296944538"/>
      <w:r>
        <w:rPr>
          <w:rFonts w:hint="eastAsia" w:ascii="宋体" w:cs="宋体"/>
          <w:color w:val="auto"/>
          <w:highlight w:val="none"/>
        </w:rPr>
        <w:t>0.7 暂估价</w:t>
      </w:r>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p>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p w14:paraId="32A9FBDA">
      <w:pPr>
        <w:pStyle w:val="23"/>
        <w:spacing w:line="380" w:lineRule="exact"/>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rPr>
        <w:t>暂</w:t>
      </w:r>
      <w:bookmarkStart w:id="1645" w:name="_Toc312678034"/>
      <w:bookmarkStart w:id="1646" w:name="_Toc318581176"/>
      <w:bookmarkStart w:id="1647" w:name="_Toc312677508"/>
      <w:r>
        <w:rPr>
          <w:rFonts w:hint="eastAsia" w:ascii="宋体" w:hAnsi="宋体" w:cs="宋体"/>
          <w:color w:val="auto"/>
          <w:kern w:val="0"/>
          <w:szCs w:val="21"/>
          <w:highlight w:val="none"/>
        </w:rPr>
        <w:t>估价材料和工程设备的明细详见已标价工程量清单《</w:t>
      </w:r>
      <w:r>
        <w:rPr>
          <w:rFonts w:hint="eastAsia" w:ascii="宋体" w:hAnsi="宋体" w:cs="宋体"/>
          <w:color w:val="auto"/>
          <w:szCs w:val="21"/>
          <w:highlight w:val="none"/>
        </w:rPr>
        <w:t>材料（工程设备）暂估价格及调整表》</w:t>
      </w:r>
      <w:r>
        <w:rPr>
          <w:rFonts w:hint="eastAsia" w:ascii="宋体" w:hAnsi="宋体" w:cs="宋体"/>
          <w:color w:val="auto"/>
          <w:kern w:val="0"/>
          <w:szCs w:val="21"/>
          <w:highlight w:val="none"/>
        </w:rPr>
        <w:t>（表12-2）和《</w:t>
      </w:r>
      <w:r>
        <w:rPr>
          <w:rFonts w:hint="eastAsia" w:ascii="宋体" w:hAnsi="宋体" w:cs="宋体"/>
          <w:color w:val="auto"/>
          <w:szCs w:val="21"/>
          <w:highlight w:val="none"/>
        </w:rPr>
        <w:t>专业工程暂估价表》（</w:t>
      </w:r>
      <w:r>
        <w:rPr>
          <w:rFonts w:hint="eastAsia" w:ascii="宋体" w:hAnsi="宋体" w:cs="宋体"/>
          <w:color w:val="auto"/>
          <w:kern w:val="0"/>
          <w:szCs w:val="21"/>
          <w:highlight w:val="none"/>
        </w:rPr>
        <w:t>表12-3）。</w:t>
      </w:r>
    </w:p>
    <w:bookmarkEnd w:id="1645"/>
    <w:bookmarkEnd w:id="1646"/>
    <w:bookmarkEnd w:id="1647"/>
    <w:p w14:paraId="693515A7">
      <w:pPr>
        <w:pStyle w:val="23"/>
        <w:spacing w:line="3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w:t>
      </w:r>
      <w:bookmarkStart w:id="1648" w:name="_Toc312677509"/>
      <w:bookmarkStart w:id="1649" w:name="_Toc312678035"/>
      <w:bookmarkStart w:id="1650" w:name="_Toc318581177"/>
      <w:r>
        <w:rPr>
          <w:rFonts w:hint="eastAsia" w:ascii="宋体" w:hAnsi="宋体" w:cs="宋体"/>
          <w:color w:val="auto"/>
          <w:szCs w:val="21"/>
          <w:highlight w:val="none"/>
        </w:rPr>
        <w:t>0.7.1 依法必须招标的暂估价项目</w:t>
      </w:r>
    </w:p>
    <w:bookmarkEnd w:id="1648"/>
    <w:bookmarkEnd w:id="1649"/>
    <w:bookmarkEnd w:id="1650"/>
    <w:p w14:paraId="7042C6D8">
      <w:pPr>
        <w:pStyle w:val="23"/>
        <w:spacing w:line="3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对于依法必须招标的暂估价项目的确认和批准采取第</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2</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种方式确定。</w:t>
      </w:r>
    </w:p>
    <w:p w14:paraId="575C3221">
      <w:pPr>
        <w:pStyle w:val="23"/>
        <w:spacing w:line="3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10.7.2 不属于依法必须招标的暂估价项目</w:t>
      </w:r>
    </w:p>
    <w:p w14:paraId="07779828">
      <w:pPr>
        <w:pStyle w:val="23"/>
        <w:spacing w:line="3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对于不属于依法必须招标的暂估价项目的确认和批准采取第</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1</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种方式确定。</w:t>
      </w:r>
    </w:p>
    <w:p w14:paraId="41CCA16D">
      <w:pPr>
        <w:pStyle w:val="23"/>
        <w:spacing w:line="380" w:lineRule="exact"/>
        <w:ind w:firstLine="420" w:firstLineChars="200"/>
        <w:jc w:val="left"/>
        <w:rPr>
          <w:rFonts w:ascii="宋体" w:hAnsi="宋体" w:cs="宋体"/>
          <w:color w:val="auto"/>
          <w:kern w:val="0"/>
          <w:szCs w:val="21"/>
          <w:highlight w:val="none"/>
        </w:rPr>
      </w:pPr>
      <w:r>
        <w:rPr>
          <w:rFonts w:hint="eastAsia" w:ascii="宋体" w:hAnsi="宋体" w:cs="宋体"/>
          <w:color w:val="auto"/>
          <w:szCs w:val="21"/>
          <w:highlight w:val="none"/>
        </w:rPr>
        <w:t>第3种方式：</w:t>
      </w:r>
      <w:r>
        <w:rPr>
          <w:rFonts w:hint="eastAsia" w:ascii="宋体" w:hAnsi="宋体" w:cs="宋体"/>
          <w:color w:val="auto"/>
          <w:kern w:val="0"/>
          <w:szCs w:val="21"/>
          <w:highlight w:val="none"/>
        </w:rPr>
        <w:t>承包人直接实施的暂估价项目</w:t>
      </w:r>
    </w:p>
    <w:p w14:paraId="79CEA49D">
      <w:pPr>
        <w:pStyle w:val="23"/>
        <w:spacing w:line="3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承包人直接实施的暂估价项目的约定：</w:t>
      </w:r>
      <w:r>
        <w:rPr>
          <w:rFonts w:hint="eastAsia" w:ascii="宋体" w:hAnsi="宋体" w:cs="宋体"/>
          <w:color w:val="auto"/>
          <w:szCs w:val="21"/>
          <w:highlight w:val="none"/>
          <w:u w:val="single"/>
        </w:rPr>
        <w:t xml:space="preserve"> 无 </w:t>
      </w:r>
      <w:r>
        <w:rPr>
          <w:rFonts w:hint="eastAsia" w:ascii="宋体" w:hAnsi="宋体" w:cs="宋体"/>
          <w:color w:val="auto"/>
          <w:szCs w:val="21"/>
          <w:highlight w:val="none"/>
        </w:rPr>
        <w:t>。</w:t>
      </w:r>
    </w:p>
    <w:p w14:paraId="4395440A">
      <w:pPr>
        <w:pStyle w:val="38"/>
        <w:spacing w:line="380" w:lineRule="exact"/>
        <w:ind w:firstLine="422" w:firstLineChars="200"/>
        <w:rPr>
          <w:rFonts w:ascii="宋体" w:cs="宋体"/>
          <w:color w:val="auto"/>
          <w:highlight w:val="none"/>
        </w:rPr>
      </w:pPr>
      <w:bookmarkStart w:id="1651" w:name="_Toc418751842"/>
      <w:bookmarkStart w:id="1652" w:name="_Toc389065311"/>
      <w:bookmarkStart w:id="1653" w:name="_Toc522201773"/>
      <w:bookmarkStart w:id="1654" w:name="_Toc256000224"/>
      <w:bookmarkStart w:id="1655" w:name="_Toc373227745"/>
      <w:bookmarkStart w:id="1656" w:name="_Toc403578980"/>
      <w:bookmarkStart w:id="1657" w:name="_Toc418518156"/>
      <w:bookmarkStart w:id="1658" w:name="_Toc9852"/>
      <w:bookmarkStart w:id="1659" w:name="_Toc373478392"/>
      <w:bookmarkStart w:id="1660" w:name="_Toc497747224"/>
      <w:bookmarkStart w:id="1661" w:name="_Toc418518392"/>
      <w:bookmarkStart w:id="1662" w:name="_Toc497746827"/>
      <w:bookmarkStart w:id="1663" w:name="_Toc418752288"/>
      <w:bookmarkStart w:id="1664" w:name="_Toc418061357"/>
      <w:r>
        <w:rPr>
          <w:rFonts w:hint="eastAsia" w:ascii="宋体" w:cs="宋体"/>
          <w:color w:val="auto"/>
          <w:highlight w:val="none"/>
        </w:rPr>
        <w:t>10.8 暂列金额</w:t>
      </w:r>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p>
    <w:p w14:paraId="31851BD3">
      <w:pPr>
        <w:pStyle w:val="23"/>
        <w:autoSpaceDE w:val="0"/>
        <w:autoSpaceDN w:val="0"/>
        <w:adjustRightInd w:val="0"/>
        <w:spacing w:line="380" w:lineRule="exact"/>
        <w:ind w:firstLine="420" w:firstLineChars="200"/>
        <w:jc w:val="left"/>
        <w:rPr>
          <w:rFonts w:ascii="宋体" w:hAnsi="宋体" w:cs="宋体"/>
          <w:color w:val="auto"/>
          <w:szCs w:val="21"/>
          <w:highlight w:val="none"/>
          <w:u w:val="single"/>
        </w:rPr>
      </w:pPr>
      <w:r>
        <w:rPr>
          <w:rFonts w:hint="eastAsia" w:ascii="宋体" w:hAnsi="宋体" w:cs="宋体"/>
          <w:color w:val="auto"/>
          <w:kern w:val="0"/>
          <w:szCs w:val="21"/>
          <w:highlight w:val="none"/>
        </w:rPr>
        <w:t>合同当事人关于暂列金额使用的约定：</w:t>
      </w:r>
      <w:r>
        <w:rPr>
          <w:rFonts w:hint="eastAsia" w:ascii="宋体" w:hAnsi="宋体" w:cs="宋体"/>
          <w:color w:val="auto"/>
          <w:szCs w:val="21"/>
          <w:highlight w:val="none"/>
          <w:u w:val="single"/>
        </w:rPr>
        <w:t xml:space="preserve">（1）已签约合同价中的暂列金额由发包人掌握使用。（2）发包人按照规定所作支付后，暂列金额如有余额归发包人 </w:t>
      </w:r>
      <w:r>
        <w:rPr>
          <w:rFonts w:hint="eastAsia" w:ascii="宋体" w:hAnsi="宋体" w:cs="宋体"/>
          <w:color w:val="auto"/>
          <w:kern w:val="0"/>
          <w:szCs w:val="21"/>
          <w:highlight w:val="none"/>
        </w:rPr>
        <w:t>。</w:t>
      </w:r>
    </w:p>
    <w:p w14:paraId="0FCED77B">
      <w:pPr>
        <w:pStyle w:val="38"/>
        <w:spacing w:line="380" w:lineRule="exact"/>
        <w:rPr>
          <w:rFonts w:ascii="宋体" w:cs="宋体"/>
          <w:color w:val="auto"/>
          <w:highlight w:val="none"/>
        </w:rPr>
      </w:pPr>
      <w:bookmarkStart w:id="1665" w:name="_Toc418751843"/>
      <w:bookmarkStart w:id="1666" w:name="_Toc12497"/>
      <w:bookmarkStart w:id="1667" w:name="_Toc389065312"/>
      <w:bookmarkStart w:id="1668" w:name="_Toc256000225"/>
      <w:bookmarkStart w:id="1669" w:name="_Toc351203643"/>
      <w:bookmarkStart w:id="1670" w:name="_Toc522201774"/>
      <w:bookmarkStart w:id="1671" w:name="_Toc497747225"/>
      <w:bookmarkStart w:id="1672" w:name="_Toc373227746"/>
      <w:bookmarkStart w:id="1673" w:name="_Toc497746828"/>
      <w:bookmarkStart w:id="1674" w:name="_Toc403578981"/>
      <w:bookmarkStart w:id="1675" w:name="_Toc418518393"/>
      <w:bookmarkStart w:id="1676" w:name="_Toc418061358"/>
      <w:bookmarkStart w:id="1677" w:name="_Toc418752289"/>
      <w:bookmarkStart w:id="1678" w:name="_Toc418518157"/>
      <w:bookmarkStart w:id="1679" w:name="_Toc373478393"/>
      <w:r>
        <w:rPr>
          <w:rFonts w:hint="eastAsia" w:ascii="宋体" w:cs="宋体"/>
          <w:color w:val="auto"/>
          <w:highlight w:val="none"/>
        </w:rPr>
        <w:t>11. 价格调整</w:t>
      </w:r>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p>
    <w:p w14:paraId="0293927D">
      <w:pPr>
        <w:pStyle w:val="38"/>
        <w:spacing w:line="380" w:lineRule="exact"/>
        <w:ind w:firstLine="422" w:firstLineChars="200"/>
        <w:rPr>
          <w:rFonts w:ascii="宋体" w:cs="宋体"/>
          <w:color w:val="auto"/>
          <w:highlight w:val="none"/>
        </w:rPr>
      </w:pPr>
      <w:bookmarkStart w:id="1680" w:name="_Toc389065313"/>
      <w:bookmarkStart w:id="1681" w:name="_Toc31528"/>
      <w:bookmarkStart w:id="1682" w:name="_Toc256000226"/>
      <w:bookmarkStart w:id="1683" w:name="_Toc373227747"/>
      <w:bookmarkStart w:id="1684" w:name="_Toc418061359"/>
      <w:bookmarkStart w:id="1685" w:name="_Toc373478394"/>
      <w:bookmarkStart w:id="1686" w:name="_Toc418518394"/>
      <w:bookmarkStart w:id="1687" w:name="_Toc418752290"/>
      <w:bookmarkStart w:id="1688" w:name="_Toc418751844"/>
      <w:bookmarkStart w:id="1689" w:name="_Toc403578982"/>
      <w:bookmarkStart w:id="1690" w:name="_Toc497746829"/>
      <w:bookmarkStart w:id="1691" w:name="_Toc497747226"/>
      <w:bookmarkStart w:id="1692" w:name="_Toc418518158"/>
      <w:bookmarkStart w:id="1693" w:name="_Toc522201775"/>
      <w:bookmarkStart w:id="1694" w:name="_Toc296891241"/>
      <w:bookmarkStart w:id="1695" w:name="_Toc296347200"/>
      <w:bookmarkStart w:id="1696" w:name="_Toc296891029"/>
      <w:bookmarkStart w:id="1697" w:name="_Toc297048387"/>
      <w:bookmarkStart w:id="1698" w:name="_Toc304295577"/>
      <w:bookmarkStart w:id="1699" w:name="_Toc292559406"/>
      <w:bookmarkStart w:id="1700" w:name="_Toc300935000"/>
      <w:bookmarkStart w:id="1701" w:name="_Toc297120501"/>
      <w:bookmarkStart w:id="1702" w:name="_Toc292559911"/>
      <w:bookmarkStart w:id="1703" w:name="_Toc296944540"/>
      <w:bookmarkStart w:id="1704" w:name="_Toc296503201"/>
      <w:bookmarkStart w:id="1705" w:name="_Toc297123550"/>
      <w:bookmarkStart w:id="1706" w:name="_Toc303539157"/>
      <w:bookmarkStart w:id="1707" w:name="_Toc297216209"/>
      <w:bookmarkStart w:id="1708" w:name="_Toc312678039"/>
      <w:bookmarkStart w:id="1709" w:name="_Toc296346702"/>
      <w:r>
        <w:rPr>
          <w:rFonts w:hint="eastAsia" w:ascii="宋体" w:cs="宋体"/>
          <w:color w:val="auto"/>
          <w:highlight w:val="none"/>
        </w:rPr>
        <w:t>11.1 市场价格波动引起的调整</w:t>
      </w:r>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p>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p w14:paraId="029B69F4">
      <w:pPr>
        <w:pStyle w:val="23"/>
        <w:spacing w:line="380" w:lineRule="exact"/>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rPr>
        <w:t>市场价格波动是否调整合同价格的约定：</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48BD25A3">
      <w:pPr>
        <w:pStyle w:val="23"/>
        <w:spacing w:line="3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因市场价格波动调整合同价格，采用以下第</w:t>
      </w:r>
      <w:r>
        <w:rPr>
          <w:rFonts w:hint="eastAsia" w:ascii="宋体" w:hAnsi="宋体" w:cs="宋体"/>
          <w:color w:val="auto"/>
          <w:szCs w:val="21"/>
          <w:highlight w:val="none"/>
          <w:u w:val="single"/>
          <w:lang w:val="en-US" w:eastAsia="zh-CN"/>
        </w:rPr>
        <w:t xml:space="preserve"> /  </w:t>
      </w:r>
      <w:r>
        <w:rPr>
          <w:rFonts w:hint="eastAsia" w:ascii="宋体" w:hAnsi="宋体" w:cs="宋体"/>
          <w:color w:val="auto"/>
          <w:szCs w:val="21"/>
          <w:highlight w:val="none"/>
        </w:rPr>
        <w:t>种方式对合同价格进行调整：</w:t>
      </w:r>
    </w:p>
    <w:p w14:paraId="1E20181D">
      <w:pPr>
        <w:pStyle w:val="23"/>
        <w:spacing w:line="3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第1种方式：采用价格指数进行价格调整。</w:t>
      </w:r>
    </w:p>
    <w:p w14:paraId="593E51A5">
      <w:pPr>
        <w:pStyle w:val="23"/>
        <w:spacing w:line="380" w:lineRule="exact"/>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关于各可调因子、定值和变值权重，以及基本价格指数及其来源的约定：</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 xml:space="preserve">；  </w:t>
      </w:r>
    </w:p>
    <w:p w14:paraId="20A430A4">
      <w:pPr>
        <w:pStyle w:val="23"/>
        <w:spacing w:line="3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第2种方式：采用造价信息进行价格调整。</w:t>
      </w:r>
    </w:p>
    <w:p w14:paraId="66107E72">
      <w:pPr>
        <w:pStyle w:val="23"/>
        <w:spacing w:line="380" w:lineRule="exact"/>
        <w:ind w:firstLine="315" w:firstLineChars="150"/>
        <w:rPr>
          <w:rFonts w:ascii="宋体" w:hAnsi="宋体" w:cs="宋体"/>
          <w:color w:val="auto"/>
          <w:szCs w:val="21"/>
          <w:highlight w:val="none"/>
        </w:rPr>
      </w:pPr>
      <w:r>
        <w:rPr>
          <w:rFonts w:hint="eastAsia" w:ascii="宋体" w:hAnsi="宋体" w:cs="宋体"/>
          <w:color w:val="auto"/>
          <w:szCs w:val="21"/>
          <w:highlight w:val="none"/>
        </w:rPr>
        <w:t xml:space="preserve">（1）关于基准价格的约定：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w:t>
      </w:r>
    </w:p>
    <w:p w14:paraId="6B15840B">
      <w:pPr>
        <w:pStyle w:val="23"/>
        <w:spacing w:line="380" w:lineRule="exact"/>
        <w:ind w:firstLine="420" w:firstLineChars="200"/>
        <w:jc w:val="left"/>
        <w:rPr>
          <w:rFonts w:ascii="宋体" w:hAnsi="宋体" w:cs="宋体"/>
          <w:color w:val="auto"/>
          <w:kern w:val="0"/>
          <w:szCs w:val="21"/>
          <w:highlight w:val="none"/>
        </w:rPr>
      </w:pPr>
      <w:r>
        <w:rPr>
          <w:rFonts w:hint="eastAsia" w:ascii="宋体" w:hAnsi="宋体" w:cs="宋体"/>
          <w:color w:val="auto"/>
          <w:szCs w:val="21"/>
          <w:highlight w:val="none"/>
        </w:rPr>
        <w:t>投</w:t>
      </w:r>
      <w:r>
        <w:rPr>
          <w:rFonts w:hint="eastAsia" w:ascii="宋体" w:hAnsi="宋体" w:cs="宋体"/>
          <w:color w:val="auto"/>
          <w:kern w:val="0"/>
          <w:szCs w:val="21"/>
          <w:highlight w:val="none"/>
        </w:rPr>
        <w:t>标人应根据施工期间材料可能由于市场价格上涨（或下跌）因素自行考虑由此引起的风险并计入投标报价中，投标人应对自己的报价承担风险，除本合同约定的钢筋、水泥、商品混凝土、沥青混凝土、碎石、砂、片石、沥青、管材、石材、土方（含购土与弃土）等项材料价格可做调整外，其余材料价格不作调整。</w:t>
      </w:r>
    </w:p>
    <w:p w14:paraId="769607A7">
      <w:pPr>
        <w:pStyle w:val="23"/>
        <w:spacing w:line="38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①承包人在已标价工程量清单或预算书中载明的材料单价低于基准价格的，合同履行期间材料单价涨幅以基准价格为基础超过</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%时，或材料单价跌幅以已标价工程量清单或预算书中载明材料单价为基础超过</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%时，其超过部分据实调整。</w:t>
      </w:r>
    </w:p>
    <w:p w14:paraId="06DF5124">
      <w:pPr>
        <w:pStyle w:val="23"/>
        <w:spacing w:line="38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②承包人在已标价工程量清单或预算书中载明的材料单价高于基准价格的：专用合同条款合同履行期间材料单价跌幅以基准价格为基础超过</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%时，材料单价涨幅以已标价工程量清单或预算书中载明材料单价为基础超过</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%时，其超过部分据实调整。</w:t>
      </w:r>
    </w:p>
    <w:p w14:paraId="3F230EB0">
      <w:pPr>
        <w:pStyle w:val="23"/>
        <w:spacing w:line="3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③承包人在已标价工程量清单或预算书中载明的材料单价等于基准单价的：专用合同条款合同履行期间材料单价涨跌幅以基准单价为基础超过±</w:t>
      </w:r>
      <w:r>
        <w:rPr>
          <w:rFonts w:hint="eastAsia" w:ascii="宋体" w:hAnsi="宋体" w:cs="宋体"/>
          <w:color w:val="auto"/>
          <w:szCs w:val="21"/>
          <w:highlight w:val="none"/>
          <w:lang w:eastAsia="zh-CN"/>
        </w:rPr>
        <w:t>5</w:t>
      </w:r>
      <w:r>
        <w:rPr>
          <w:rFonts w:hint="eastAsia" w:ascii="宋体" w:hAnsi="宋体" w:cs="宋体"/>
          <w:color w:val="auto"/>
          <w:szCs w:val="21"/>
          <w:highlight w:val="none"/>
        </w:rPr>
        <w:t>%时，其超过部分据实调整。</w:t>
      </w:r>
    </w:p>
    <w:p w14:paraId="6EA7A988">
      <w:pPr>
        <w:pStyle w:val="23"/>
        <w:spacing w:line="3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④除专用合同约定的钢筋、水泥、商品混凝土、沥青混凝土、碎石、砂、片石、沥青、管材、石材、土方</w:t>
      </w:r>
      <w:r>
        <w:rPr>
          <w:rFonts w:hint="eastAsia" w:ascii="宋体" w:hAnsi="宋体" w:cs="宋体"/>
          <w:color w:val="auto"/>
          <w:kern w:val="0"/>
          <w:szCs w:val="21"/>
          <w:highlight w:val="none"/>
        </w:rPr>
        <w:t>（含购土与弃土）</w:t>
      </w:r>
      <w:r>
        <w:rPr>
          <w:rFonts w:hint="eastAsia" w:ascii="宋体" w:hAnsi="宋体" w:cs="宋体"/>
          <w:color w:val="auto"/>
          <w:szCs w:val="21"/>
          <w:highlight w:val="none"/>
        </w:rPr>
        <w:t>等项材料外，其余材料价格不做调整。调整方法：钢筋、水泥、商品混凝土、沥青混凝土、碎石、砂、片石、沥青、管材、石材、土方</w:t>
      </w:r>
      <w:r>
        <w:rPr>
          <w:rFonts w:hint="eastAsia" w:ascii="宋体" w:hAnsi="宋体" w:cs="宋体"/>
          <w:color w:val="auto"/>
          <w:kern w:val="0"/>
          <w:szCs w:val="21"/>
          <w:highlight w:val="none"/>
        </w:rPr>
        <w:t>（含购土与弃土）</w:t>
      </w:r>
      <w:r>
        <w:rPr>
          <w:rFonts w:hint="eastAsia" w:ascii="宋体" w:hAnsi="宋体" w:cs="宋体"/>
          <w:color w:val="auto"/>
          <w:szCs w:val="21"/>
          <w:highlight w:val="none"/>
        </w:rPr>
        <w:t>价格超过部分×中标下浮系数（中标人的投标报价÷预算价），该部分费用列入税前独立费。</w:t>
      </w:r>
    </w:p>
    <w:p w14:paraId="47FD4FB2">
      <w:pPr>
        <w:pStyle w:val="23"/>
        <w:spacing w:line="3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在工程施工期间，国家及地区如有新的人工费调整政策文件出台，可按国家及地区相关文件进行人工费调差。</w:t>
      </w:r>
    </w:p>
    <w:p w14:paraId="2ED8E257">
      <w:pPr>
        <w:pStyle w:val="23"/>
        <w:spacing w:line="380" w:lineRule="exact"/>
        <w:ind w:firstLine="420" w:firstLineChars="200"/>
        <w:jc w:val="left"/>
        <w:rPr>
          <w:rFonts w:ascii="宋体" w:hAnsi="宋体" w:cs="宋体"/>
          <w:color w:val="auto"/>
          <w:kern w:val="0"/>
          <w:szCs w:val="21"/>
          <w:highlight w:val="none"/>
          <w:u w:val="none"/>
        </w:rPr>
      </w:pPr>
      <w:r>
        <w:rPr>
          <w:rFonts w:hint="eastAsia" w:ascii="宋体" w:hAnsi="宋体" w:cs="宋体"/>
          <w:color w:val="auto"/>
          <w:szCs w:val="21"/>
          <w:highlight w:val="none"/>
        </w:rPr>
        <w:t>第3种方式：</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none"/>
        </w:rPr>
        <w:t xml:space="preserve">由业主单位、监理单位施工单位面向市场询价，并经三方对暂估价材料价格的确认，确定材料价格。 </w:t>
      </w:r>
    </w:p>
    <w:bookmarkEnd w:id="1492"/>
    <w:bookmarkEnd w:id="1493"/>
    <w:bookmarkEnd w:id="1494"/>
    <w:bookmarkEnd w:id="1495"/>
    <w:bookmarkEnd w:id="1496"/>
    <w:bookmarkEnd w:id="1497"/>
    <w:p w14:paraId="79070C85">
      <w:pPr>
        <w:pStyle w:val="38"/>
        <w:spacing w:line="380" w:lineRule="exact"/>
        <w:rPr>
          <w:rFonts w:ascii="宋体" w:cs="宋体"/>
          <w:color w:val="auto"/>
          <w:highlight w:val="none"/>
        </w:rPr>
      </w:pPr>
      <w:bookmarkStart w:id="1710" w:name="_Toc296503205"/>
      <w:bookmarkStart w:id="1711" w:name="_Toc296944544"/>
      <w:bookmarkStart w:id="1712" w:name="_Toc296891033"/>
      <w:bookmarkStart w:id="1713" w:name="_Toc297048391"/>
      <w:bookmarkStart w:id="1714" w:name="_Toc296347204"/>
      <w:bookmarkStart w:id="1715" w:name="_Toc296891245"/>
      <w:bookmarkStart w:id="1716" w:name="_Toc292559410"/>
      <w:bookmarkStart w:id="1717" w:name="_Toc296346706"/>
      <w:bookmarkStart w:id="1718" w:name="_Toc297120505"/>
      <w:bookmarkStart w:id="1719" w:name="_Toc292559915"/>
      <w:bookmarkStart w:id="1720" w:name="_Toc497746830"/>
      <w:bookmarkStart w:id="1721" w:name="_Toc418752291"/>
      <w:bookmarkStart w:id="1722" w:name="_Toc256000227"/>
      <w:bookmarkStart w:id="1723" w:name="_Toc418751845"/>
      <w:bookmarkStart w:id="1724" w:name="_Toc418518159"/>
      <w:bookmarkStart w:id="1725" w:name="_Toc418518395"/>
      <w:bookmarkStart w:id="1726" w:name="_Toc497747227"/>
      <w:bookmarkStart w:id="1727" w:name="_Toc418061360"/>
      <w:bookmarkStart w:id="1728" w:name="_Toc522201776"/>
      <w:bookmarkStart w:id="1729" w:name="_Toc351203644"/>
      <w:bookmarkStart w:id="1730" w:name="_Toc23758"/>
      <w:bookmarkStart w:id="1731" w:name="_Toc403578983"/>
      <w:bookmarkStart w:id="1732" w:name="_Toc373227748"/>
      <w:bookmarkStart w:id="1733" w:name="_Toc373478395"/>
      <w:bookmarkStart w:id="1734" w:name="_Toc304295579"/>
      <w:bookmarkStart w:id="1735" w:name="_Toc312678040"/>
      <w:bookmarkStart w:id="1736" w:name="_Toc297216211"/>
      <w:bookmarkStart w:id="1737" w:name="_Toc297123552"/>
      <w:bookmarkStart w:id="1738" w:name="_Toc303539159"/>
      <w:bookmarkStart w:id="1739" w:name="_Toc300935002"/>
      <w:r>
        <w:rPr>
          <w:rFonts w:hint="eastAsia" w:ascii="宋体" w:cs="宋体"/>
          <w:color w:val="auto"/>
          <w:highlight w:val="none"/>
        </w:rPr>
        <w:t xml:space="preserve">12. </w:t>
      </w:r>
      <w:bookmarkEnd w:id="1710"/>
      <w:bookmarkEnd w:id="1711"/>
      <w:bookmarkEnd w:id="1712"/>
      <w:bookmarkEnd w:id="1713"/>
      <w:bookmarkEnd w:id="1714"/>
      <w:bookmarkEnd w:id="1715"/>
      <w:bookmarkEnd w:id="1716"/>
      <w:bookmarkEnd w:id="1717"/>
      <w:bookmarkEnd w:id="1718"/>
      <w:bookmarkEnd w:id="1719"/>
      <w:r>
        <w:rPr>
          <w:rFonts w:hint="eastAsia" w:ascii="宋体" w:cs="宋体"/>
          <w:color w:val="auto"/>
          <w:highlight w:val="none"/>
        </w:rPr>
        <w:t>合同价格、计量与支付</w:t>
      </w:r>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p>
    <w:bookmarkEnd w:id="1734"/>
    <w:bookmarkEnd w:id="1735"/>
    <w:bookmarkEnd w:id="1736"/>
    <w:bookmarkEnd w:id="1737"/>
    <w:bookmarkEnd w:id="1738"/>
    <w:bookmarkEnd w:id="1739"/>
    <w:p w14:paraId="5625A523">
      <w:pPr>
        <w:pStyle w:val="38"/>
        <w:spacing w:line="380" w:lineRule="exact"/>
        <w:ind w:firstLine="422" w:firstLineChars="200"/>
        <w:rPr>
          <w:rFonts w:ascii="宋体" w:cs="宋体"/>
          <w:color w:val="auto"/>
          <w:highlight w:val="none"/>
        </w:rPr>
      </w:pPr>
      <w:bookmarkStart w:id="1740" w:name="_Toc267251461"/>
      <w:bookmarkStart w:id="1741" w:name="_Toc292559411"/>
      <w:bookmarkStart w:id="1742" w:name="_Toc292559916"/>
      <w:bookmarkStart w:id="1743" w:name="_Toc296891034"/>
      <w:bookmarkStart w:id="1744" w:name="_Toc296503206"/>
      <w:bookmarkStart w:id="1745" w:name="_Toc296346707"/>
      <w:bookmarkStart w:id="1746" w:name="_Toc296891246"/>
      <w:bookmarkStart w:id="1747" w:name="_Toc297120506"/>
      <w:bookmarkStart w:id="1748" w:name="_Toc297048392"/>
      <w:bookmarkStart w:id="1749" w:name="_Toc296347205"/>
      <w:bookmarkStart w:id="1750" w:name="_Toc296944545"/>
      <w:bookmarkStart w:id="1751" w:name="_Toc497747228"/>
      <w:bookmarkStart w:id="1752" w:name="_Toc373227749"/>
      <w:bookmarkStart w:id="1753" w:name="_Toc418061361"/>
      <w:bookmarkStart w:id="1754" w:name="_Toc403578984"/>
      <w:bookmarkStart w:id="1755" w:name="_Toc418518396"/>
      <w:bookmarkStart w:id="1756" w:name="_Toc418518160"/>
      <w:bookmarkStart w:id="1757" w:name="_Toc497746831"/>
      <w:bookmarkStart w:id="1758" w:name="_Toc373478396"/>
      <w:bookmarkStart w:id="1759" w:name="_Toc389065314"/>
      <w:bookmarkStart w:id="1760" w:name="_Toc16333"/>
      <w:bookmarkStart w:id="1761" w:name="_Toc522201777"/>
      <w:bookmarkStart w:id="1762" w:name="_Toc418751846"/>
      <w:bookmarkStart w:id="1763" w:name="_Toc256000228"/>
      <w:bookmarkStart w:id="1764" w:name="_Toc418752292"/>
      <w:bookmarkStart w:id="1765" w:name="_Toc297216212"/>
      <w:bookmarkStart w:id="1766" w:name="_Toc303539160"/>
      <w:bookmarkStart w:id="1767" w:name="_Toc300935003"/>
      <w:bookmarkStart w:id="1768" w:name="_Toc312678041"/>
      <w:bookmarkStart w:id="1769" w:name="_Toc297123553"/>
      <w:bookmarkStart w:id="1770" w:name="_Toc304295580"/>
      <w:r>
        <w:rPr>
          <w:rFonts w:hint="eastAsia" w:ascii="宋体" w:cs="宋体"/>
          <w:color w:val="auto"/>
          <w:highlight w:val="none"/>
        </w:rPr>
        <w:t>12.1 合</w:t>
      </w:r>
      <w:bookmarkEnd w:id="1740"/>
      <w:bookmarkEnd w:id="1741"/>
      <w:bookmarkEnd w:id="1742"/>
      <w:r>
        <w:rPr>
          <w:rFonts w:hint="eastAsia" w:ascii="宋体" w:cs="宋体"/>
          <w:color w:val="auto"/>
          <w:highlight w:val="none"/>
        </w:rPr>
        <w:t>同价</w:t>
      </w:r>
      <w:bookmarkEnd w:id="1743"/>
      <w:bookmarkEnd w:id="1744"/>
      <w:bookmarkEnd w:id="1745"/>
      <w:bookmarkEnd w:id="1746"/>
      <w:bookmarkEnd w:id="1747"/>
      <w:bookmarkEnd w:id="1748"/>
      <w:bookmarkEnd w:id="1749"/>
      <w:bookmarkEnd w:id="1750"/>
      <w:r>
        <w:rPr>
          <w:rFonts w:hint="eastAsia" w:ascii="宋体" w:cs="宋体"/>
          <w:color w:val="auto"/>
          <w:highlight w:val="none"/>
        </w:rPr>
        <w:t>格形式</w:t>
      </w:r>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p>
    <w:bookmarkEnd w:id="1765"/>
    <w:bookmarkEnd w:id="1766"/>
    <w:bookmarkEnd w:id="1767"/>
    <w:bookmarkEnd w:id="1768"/>
    <w:bookmarkEnd w:id="1769"/>
    <w:bookmarkEnd w:id="1770"/>
    <w:p w14:paraId="4F8181DA">
      <w:pPr>
        <w:pStyle w:val="23"/>
        <w:spacing w:line="380" w:lineRule="exact"/>
        <w:ind w:firstLine="420" w:firstLineChars="200"/>
        <w:jc w:val="left"/>
        <w:rPr>
          <w:rFonts w:ascii="宋体" w:hAnsi="宋体" w:cs="宋体"/>
          <w:color w:val="auto"/>
          <w:szCs w:val="21"/>
          <w:highlight w:val="none"/>
        </w:rPr>
      </w:pPr>
      <w:bookmarkStart w:id="1771" w:name="_Toc373227750"/>
      <w:bookmarkStart w:id="1772" w:name="_Toc373478397"/>
      <w:bookmarkStart w:id="1773" w:name="_Toc389065315"/>
      <w:bookmarkStart w:id="1774" w:name="_Toc304295581"/>
      <w:bookmarkStart w:id="1775" w:name="_Toc297216213"/>
      <w:bookmarkStart w:id="1776" w:name="_Toc312678042"/>
      <w:bookmarkStart w:id="1777" w:name="_Toc297123554"/>
      <w:bookmarkStart w:id="1778" w:name="_Toc303539161"/>
      <w:bookmarkStart w:id="1779" w:name="_Toc300935004"/>
      <w:bookmarkStart w:id="1780" w:name="_Toc296347206"/>
      <w:bookmarkStart w:id="1781" w:name="_Toc296944546"/>
      <w:bookmarkStart w:id="1782" w:name="_Toc296891035"/>
      <w:bookmarkStart w:id="1783" w:name="_Toc296346708"/>
      <w:bookmarkStart w:id="1784" w:name="_Toc297120507"/>
      <w:bookmarkStart w:id="1785" w:name="_Toc296503207"/>
      <w:bookmarkStart w:id="1786" w:name="_Toc296891247"/>
      <w:bookmarkStart w:id="1787" w:name="_Toc292559917"/>
      <w:bookmarkStart w:id="1788" w:name="_Toc292559412"/>
      <w:bookmarkStart w:id="1789" w:name="_Toc297048393"/>
      <w:r>
        <w:rPr>
          <w:rFonts w:hint="eastAsia" w:ascii="宋体" w:hAnsi="宋体" w:cs="宋体"/>
          <w:color w:val="auto"/>
          <w:szCs w:val="21"/>
          <w:highlight w:val="none"/>
        </w:rPr>
        <w:t>（1）单价合同。</w:t>
      </w:r>
    </w:p>
    <w:p w14:paraId="66286A77">
      <w:pPr>
        <w:pStyle w:val="23"/>
        <w:spacing w:line="3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本合同价款采用</w:t>
      </w:r>
      <w:r>
        <w:rPr>
          <w:rFonts w:hint="eastAsia" w:ascii="宋体" w:hAnsi="宋体" w:cs="宋体"/>
          <w:color w:val="auto"/>
          <w:szCs w:val="21"/>
          <w:highlight w:val="none"/>
          <w:u w:val="single"/>
        </w:rPr>
        <w:t>固定综合单价</w:t>
      </w:r>
      <w:r>
        <w:rPr>
          <w:rFonts w:hint="eastAsia" w:ascii="宋体" w:hAnsi="宋体" w:cs="宋体"/>
          <w:color w:val="auto"/>
          <w:szCs w:val="21"/>
          <w:highlight w:val="none"/>
          <w:u w:val="single"/>
          <w:lang w:eastAsia="zh-CN"/>
        </w:rPr>
        <w:t>，工程量按实计算的方式</w:t>
      </w:r>
      <w:r>
        <w:rPr>
          <w:rFonts w:hint="eastAsia" w:ascii="宋体" w:hAnsi="宋体" w:cs="宋体"/>
          <w:color w:val="auto"/>
          <w:szCs w:val="21"/>
          <w:highlight w:val="none"/>
        </w:rPr>
        <w:t>确定。</w:t>
      </w:r>
    </w:p>
    <w:p w14:paraId="2F137CB4">
      <w:pPr>
        <w:pStyle w:val="23"/>
        <w:spacing w:line="3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综合单价包含的风险范围：</w:t>
      </w:r>
      <w:r>
        <w:rPr>
          <w:rFonts w:hint="eastAsia" w:ascii="宋体" w:hAnsi="宋体" w:cs="宋体"/>
          <w:color w:val="auto"/>
          <w:szCs w:val="21"/>
          <w:highlight w:val="none"/>
          <w:u w:val="single"/>
        </w:rPr>
        <w:t>除工程变更、政策性调整、本合同约定的材料、设备价格变动风险以外因素。</w:t>
      </w:r>
    </w:p>
    <w:p w14:paraId="5F87CBD6">
      <w:pPr>
        <w:pStyle w:val="45"/>
        <w:spacing w:line="380" w:lineRule="exact"/>
        <w:ind w:firstLine="441" w:firstLineChars="210"/>
        <w:rPr>
          <w:rFonts w:hAnsi="宋体" w:cs="宋体"/>
          <w:color w:val="auto"/>
          <w:szCs w:val="21"/>
          <w:highlight w:val="none"/>
        </w:rPr>
      </w:pPr>
      <w:r>
        <w:rPr>
          <w:rFonts w:hint="eastAsia" w:hAnsi="宋体" w:cs="宋体"/>
          <w:color w:val="auto"/>
          <w:szCs w:val="21"/>
          <w:highlight w:val="none"/>
        </w:rPr>
        <w:t>风险范围以外合同价格的调整方法：</w:t>
      </w:r>
    </w:p>
    <w:p w14:paraId="19FF080D">
      <w:pPr>
        <w:pStyle w:val="45"/>
        <w:spacing w:line="380" w:lineRule="exact"/>
        <w:ind w:firstLine="441" w:firstLineChars="210"/>
        <w:rPr>
          <w:rFonts w:hAnsi="宋体" w:cs="宋体"/>
          <w:color w:val="auto"/>
          <w:szCs w:val="21"/>
          <w:highlight w:val="none"/>
        </w:rPr>
      </w:pPr>
      <w:r>
        <w:rPr>
          <w:rFonts w:hint="eastAsia" w:hAnsi="宋体" w:cs="宋体"/>
          <w:color w:val="auto"/>
          <w:szCs w:val="21"/>
          <w:highlight w:val="none"/>
        </w:rPr>
        <w:t>①工程变更：按10.4.1变更估价原则的约定调整。</w:t>
      </w:r>
    </w:p>
    <w:p w14:paraId="3BD02C45">
      <w:pPr>
        <w:pStyle w:val="45"/>
        <w:spacing w:line="380" w:lineRule="exact"/>
        <w:ind w:firstLine="441" w:firstLineChars="210"/>
        <w:rPr>
          <w:rFonts w:hAnsi="宋体" w:cs="宋体"/>
          <w:color w:val="auto"/>
          <w:szCs w:val="21"/>
          <w:highlight w:val="none"/>
        </w:rPr>
      </w:pPr>
      <w:r>
        <w:rPr>
          <w:rFonts w:hint="eastAsia" w:hAnsi="宋体" w:cs="宋体"/>
          <w:color w:val="auto"/>
          <w:szCs w:val="21"/>
          <w:highlight w:val="none"/>
        </w:rPr>
        <w:t>②政策性调整：按自治区建设行政主管部门颁布的文件执行。</w:t>
      </w:r>
    </w:p>
    <w:p w14:paraId="15AA52CA">
      <w:pPr>
        <w:pStyle w:val="45"/>
        <w:spacing w:line="380" w:lineRule="exact"/>
        <w:ind w:firstLine="441" w:firstLineChars="210"/>
        <w:rPr>
          <w:rFonts w:hAnsi="宋体" w:cs="宋体"/>
          <w:color w:val="auto"/>
          <w:szCs w:val="21"/>
          <w:highlight w:val="none"/>
        </w:rPr>
      </w:pPr>
      <w:r>
        <w:rPr>
          <w:rFonts w:hint="eastAsia" w:hAnsi="宋体" w:cs="宋体"/>
          <w:color w:val="auto"/>
          <w:szCs w:val="21"/>
          <w:highlight w:val="none"/>
        </w:rPr>
        <w:t>③材料、设备价格变动风险：按11.1的约定调整。</w:t>
      </w:r>
    </w:p>
    <w:p w14:paraId="0AD9F2B8">
      <w:pPr>
        <w:pStyle w:val="23"/>
        <w:spacing w:line="3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④其它：</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14:paraId="212B5564">
      <w:pPr>
        <w:pStyle w:val="23"/>
        <w:spacing w:line="3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（2）总价合同。</w:t>
      </w:r>
    </w:p>
    <w:p w14:paraId="5324C3A5">
      <w:pPr>
        <w:pStyle w:val="23"/>
        <w:spacing w:line="3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总价包含的风险范围：</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14:paraId="086BFEB4">
      <w:pPr>
        <w:pStyle w:val="23"/>
        <w:spacing w:line="3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风险范围以外合同价格的调整方法：</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14:paraId="3AA2B9FF">
      <w:pPr>
        <w:pStyle w:val="23"/>
        <w:spacing w:line="3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（3）其他价格方式：</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14:paraId="23094D57">
      <w:pPr>
        <w:pStyle w:val="38"/>
        <w:spacing w:line="380" w:lineRule="exact"/>
        <w:ind w:firstLine="422" w:firstLineChars="200"/>
        <w:rPr>
          <w:rFonts w:ascii="宋体" w:cs="宋体"/>
          <w:color w:val="auto"/>
          <w:highlight w:val="none"/>
        </w:rPr>
      </w:pPr>
      <w:bookmarkStart w:id="1790" w:name="_Toc418751847"/>
      <w:bookmarkStart w:id="1791" w:name="_Toc403578985"/>
      <w:bookmarkStart w:id="1792" w:name="_Toc418061362"/>
      <w:bookmarkStart w:id="1793" w:name="_Toc418518397"/>
      <w:bookmarkStart w:id="1794" w:name="_Toc418518161"/>
      <w:bookmarkStart w:id="1795" w:name="_Toc418752293"/>
      <w:bookmarkStart w:id="1796" w:name="_Toc497746832"/>
      <w:bookmarkStart w:id="1797" w:name="_Toc497747229"/>
      <w:bookmarkStart w:id="1798" w:name="_Toc24874"/>
      <w:bookmarkStart w:id="1799" w:name="_Toc522201778"/>
      <w:bookmarkStart w:id="1800" w:name="_Toc256000229"/>
      <w:r>
        <w:rPr>
          <w:rFonts w:hint="eastAsia" w:ascii="宋体" w:cs="宋体"/>
          <w:color w:val="auto"/>
          <w:highlight w:val="none"/>
        </w:rPr>
        <w:t>12.2 预付款</w:t>
      </w:r>
      <w:bookmarkEnd w:id="1771"/>
      <w:bookmarkEnd w:id="1772"/>
      <w:bookmarkEnd w:id="1773"/>
      <w:bookmarkEnd w:id="1790"/>
      <w:bookmarkEnd w:id="1791"/>
      <w:bookmarkEnd w:id="1792"/>
      <w:bookmarkEnd w:id="1793"/>
      <w:bookmarkEnd w:id="1794"/>
      <w:bookmarkEnd w:id="1795"/>
      <w:bookmarkEnd w:id="1796"/>
      <w:bookmarkEnd w:id="1797"/>
      <w:bookmarkEnd w:id="1798"/>
      <w:bookmarkEnd w:id="1799"/>
      <w:bookmarkEnd w:id="1800"/>
    </w:p>
    <w:bookmarkEnd w:id="1774"/>
    <w:bookmarkEnd w:id="1775"/>
    <w:bookmarkEnd w:id="1776"/>
    <w:bookmarkEnd w:id="1777"/>
    <w:bookmarkEnd w:id="1778"/>
    <w:bookmarkEnd w:id="1779"/>
    <w:p w14:paraId="60850110">
      <w:pPr>
        <w:pStyle w:val="23"/>
        <w:spacing w:line="3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12.2.1 预付款的支付</w:t>
      </w:r>
    </w:p>
    <w:p w14:paraId="1854245B">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预付款支付比例或金额：</w:t>
      </w:r>
      <w:r>
        <w:rPr>
          <w:rFonts w:hint="eastAsia" w:ascii="宋体" w:hAnsi="宋体" w:cs="宋体"/>
          <w:color w:val="auto"/>
          <w:szCs w:val="21"/>
          <w:highlight w:val="none"/>
          <w:u w:val="single"/>
          <w:lang w:val="en-US" w:eastAsia="zh-CN"/>
        </w:rPr>
        <w:t xml:space="preserve"> </w:t>
      </w:r>
      <w:r>
        <w:rPr>
          <w:rFonts w:hint="eastAsia"/>
          <w:color w:val="auto"/>
          <w:szCs w:val="21"/>
          <w:u w:val="single"/>
          <w:lang w:val="en-US" w:eastAsia="zh-CN"/>
        </w:rPr>
        <w:t>无预付款</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62DA21AB">
      <w:pPr>
        <w:pStyle w:val="23"/>
        <w:spacing w:line="380" w:lineRule="exact"/>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预付款支付期限：</w:t>
      </w:r>
      <w:r>
        <w:rPr>
          <w:rFonts w:hint="eastAsia" w:ascii="宋体" w:hAnsi="宋体" w:cs="宋体"/>
          <w:color w:val="000000" w:themeColor="text1"/>
          <w:szCs w:val="21"/>
          <w:highlight w:val="none"/>
          <w:u w:val="single"/>
          <w:lang w:val="en-US" w:eastAsia="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w:t>
      </w:r>
    </w:p>
    <w:p w14:paraId="4CC49B6C">
      <w:pPr>
        <w:pStyle w:val="23"/>
        <w:spacing w:line="38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预付款扣回的方式：</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w:t>
      </w:r>
    </w:p>
    <w:p w14:paraId="020F6370">
      <w:pPr>
        <w:pStyle w:val="23"/>
        <w:spacing w:line="3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12.2.2 预付款担保</w:t>
      </w:r>
    </w:p>
    <w:p w14:paraId="2A8D6E11">
      <w:pPr>
        <w:pStyle w:val="23"/>
        <w:spacing w:line="3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承包人提交预付款担保的期限：</w:t>
      </w:r>
      <w:r>
        <w:rPr>
          <w:rFonts w:hint="eastAsia" w:ascii="宋体" w:hAnsi="宋体" w:cs="宋体"/>
          <w:color w:val="auto"/>
          <w:szCs w:val="21"/>
          <w:highlight w:val="none"/>
          <w:u w:val="single"/>
        </w:rPr>
        <w:t xml:space="preserve">  无  </w:t>
      </w:r>
      <w:r>
        <w:rPr>
          <w:rFonts w:hint="eastAsia" w:ascii="宋体" w:hAnsi="宋体" w:cs="宋体"/>
          <w:color w:val="auto"/>
          <w:szCs w:val="21"/>
          <w:highlight w:val="none"/>
        </w:rPr>
        <w:t>。</w:t>
      </w:r>
    </w:p>
    <w:p w14:paraId="3059F0BE">
      <w:pPr>
        <w:pStyle w:val="23"/>
        <w:spacing w:line="3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预付款担保的形式为：</w:t>
      </w:r>
      <w:r>
        <w:rPr>
          <w:rFonts w:hint="eastAsia" w:ascii="宋体" w:hAnsi="宋体" w:cs="宋体"/>
          <w:color w:val="auto"/>
          <w:szCs w:val="21"/>
          <w:highlight w:val="none"/>
          <w:u w:val="single"/>
        </w:rPr>
        <w:t xml:space="preserve">   无   </w:t>
      </w:r>
      <w:r>
        <w:rPr>
          <w:rFonts w:hint="eastAsia" w:ascii="宋体" w:hAnsi="宋体" w:cs="宋体"/>
          <w:color w:val="auto"/>
          <w:szCs w:val="21"/>
          <w:highlight w:val="none"/>
        </w:rPr>
        <w:t>。</w:t>
      </w:r>
    </w:p>
    <w:p w14:paraId="49F18F2C">
      <w:pPr>
        <w:pStyle w:val="23"/>
        <w:spacing w:line="3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预付款担保格式见合同附件9。</w:t>
      </w:r>
    </w:p>
    <w:bookmarkEnd w:id="1780"/>
    <w:bookmarkEnd w:id="1781"/>
    <w:bookmarkEnd w:id="1782"/>
    <w:bookmarkEnd w:id="1783"/>
    <w:bookmarkEnd w:id="1784"/>
    <w:bookmarkEnd w:id="1785"/>
    <w:bookmarkEnd w:id="1786"/>
    <w:bookmarkEnd w:id="1787"/>
    <w:bookmarkEnd w:id="1788"/>
    <w:bookmarkEnd w:id="1789"/>
    <w:p w14:paraId="74C2398F">
      <w:pPr>
        <w:pStyle w:val="38"/>
        <w:spacing w:line="380" w:lineRule="exact"/>
        <w:ind w:firstLine="422" w:firstLineChars="200"/>
        <w:rPr>
          <w:rFonts w:ascii="宋体" w:cs="宋体"/>
          <w:color w:val="auto"/>
          <w:highlight w:val="none"/>
        </w:rPr>
      </w:pPr>
      <w:bookmarkStart w:id="1801" w:name="_Toc373478398"/>
      <w:bookmarkStart w:id="1802" w:name="_Toc418518162"/>
      <w:bookmarkStart w:id="1803" w:name="_Toc256000230"/>
      <w:bookmarkStart w:id="1804" w:name="_Toc522201779"/>
      <w:bookmarkStart w:id="1805" w:name="_Toc403578986"/>
      <w:bookmarkStart w:id="1806" w:name="_Toc418518398"/>
      <w:bookmarkStart w:id="1807" w:name="_Toc14203"/>
      <w:bookmarkStart w:id="1808" w:name="_Toc418061363"/>
      <w:bookmarkStart w:id="1809" w:name="_Toc497747230"/>
      <w:bookmarkStart w:id="1810" w:name="_Toc497746833"/>
      <w:bookmarkStart w:id="1811" w:name="_Toc418752294"/>
      <w:bookmarkStart w:id="1812" w:name="_Toc373227751"/>
      <w:bookmarkStart w:id="1813" w:name="_Toc418751848"/>
      <w:bookmarkStart w:id="1814" w:name="_Toc389065316"/>
      <w:r>
        <w:rPr>
          <w:rFonts w:hint="eastAsia" w:ascii="宋体" w:cs="宋体"/>
          <w:color w:val="auto"/>
          <w:highlight w:val="none"/>
        </w:rPr>
        <w:t>12.3 计量</w:t>
      </w:r>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p>
    <w:p w14:paraId="143CC306">
      <w:pPr>
        <w:pStyle w:val="23"/>
        <w:spacing w:line="380" w:lineRule="exact"/>
        <w:ind w:firstLine="420" w:firstLineChars="200"/>
        <w:jc w:val="left"/>
        <w:rPr>
          <w:rFonts w:ascii="宋体" w:hAnsi="宋体" w:cs="宋体"/>
          <w:color w:val="auto"/>
          <w:szCs w:val="21"/>
          <w:highlight w:val="none"/>
        </w:rPr>
      </w:pPr>
      <w:bookmarkStart w:id="1815" w:name="_Toc418752295"/>
      <w:bookmarkStart w:id="1816" w:name="_Toc497747231"/>
      <w:bookmarkStart w:id="1817" w:name="_Toc418751849"/>
      <w:bookmarkStart w:id="1818" w:name="_Toc373227752"/>
      <w:bookmarkStart w:id="1819" w:name="_Toc418518399"/>
      <w:bookmarkStart w:id="1820" w:name="_Toc418061364"/>
      <w:bookmarkStart w:id="1821" w:name="_Toc389065317"/>
      <w:bookmarkStart w:id="1822" w:name="_Toc373478399"/>
      <w:bookmarkStart w:id="1823" w:name="_Toc418518163"/>
      <w:bookmarkStart w:id="1824" w:name="_Toc403578987"/>
      <w:bookmarkStart w:id="1825" w:name="_Toc497746834"/>
      <w:r>
        <w:rPr>
          <w:rFonts w:hint="eastAsia" w:ascii="宋体" w:hAnsi="宋体" w:cs="宋体"/>
          <w:color w:val="auto"/>
          <w:szCs w:val="21"/>
          <w:highlight w:val="none"/>
        </w:rPr>
        <w:t xml:space="preserve">12.3.1 计量原则 </w:t>
      </w:r>
    </w:p>
    <w:p w14:paraId="19B77953">
      <w:pPr>
        <w:pStyle w:val="23"/>
        <w:spacing w:line="380" w:lineRule="exact"/>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工程量计算规则：</w:t>
      </w:r>
      <w:r>
        <w:rPr>
          <w:rFonts w:hint="eastAsia" w:ascii="宋体" w:hAnsi="宋体" w:cs="宋体"/>
          <w:color w:val="auto"/>
          <w:szCs w:val="21"/>
          <w:highlight w:val="none"/>
          <w:u w:val="single"/>
        </w:rPr>
        <w:t>工程的计量均以《建设工程工程量清单计价规范》 （GB50500－2013）和及其广西壮族自治区实施细则、 《建设工程工程量清单计算规范》 （GB50854～50862－2013）及其广西实施细则（修订本）、本工程补充项目清单为准。</w:t>
      </w:r>
      <w:r>
        <w:rPr>
          <w:rFonts w:hint="eastAsia" w:ascii="宋体" w:hAnsi="宋体" w:cs="宋体"/>
          <w:color w:val="auto"/>
          <w:szCs w:val="21"/>
          <w:highlight w:val="none"/>
        </w:rPr>
        <w:t xml:space="preserve"> </w:t>
      </w:r>
    </w:p>
    <w:p w14:paraId="75654B67">
      <w:pPr>
        <w:pStyle w:val="23"/>
        <w:spacing w:line="380" w:lineRule="exact"/>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 xml:space="preserve">12.3.2 计量周期 </w:t>
      </w:r>
    </w:p>
    <w:p w14:paraId="27ACC946">
      <w:pPr>
        <w:pStyle w:val="23"/>
        <w:spacing w:line="3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关于计量周期的约定：</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承包人每月25日前向监理人报送上月20日至本月19日完成的工程量报告，并附具进度款申请单、已完成工程量报表和有关资料</w:t>
      </w:r>
      <w:r>
        <w:rPr>
          <w:rFonts w:hint="eastAsia" w:ascii="宋体" w:hAnsi="宋体" w:cs="宋体"/>
          <w:color w:val="auto"/>
          <w:szCs w:val="21"/>
          <w:highlight w:val="none"/>
          <w:u w:val="single"/>
        </w:rPr>
        <w:t>。</w:t>
      </w:r>
      <w:r>
        <w:rPr>
          <w:rFonts w:hint="eastAsia" w:ascii="宋体" w:hAnsi="宋体" w:cs="宋体"/>
          <w:color w:val="auto"/>
          <w:szCs w:val="21"/>
          <w:highlight w:val="none"/>
        </w:rPr>
        <w:t xml:space="preserve"> </w:t>
      </w:r>
    </w:p>
    <w:p w14:paraId="10AA9C99">
      <w:pPr>
        <w:pStyle w:val="23"/>
        <w:spacing w:line="3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12.3.3 单价合同的计量 </w:t>
      </w:r>
    </w:p>
    <w:p w14:paraId="52CB06E4">
      <w:pPr>
        <w:pStyle w:val="23"/>
        <w:spacing w:line="3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关于单价合同计量的约定：</w:t>
      </w:r>
      <w:r>
        <w:rPr>
          <w:rFonts w:hint="eastAsia" w:ascii="宋体" w:hAnsi="宋体" w:cs="宋体"/>
          <w:color w:val="auto"/>
          <w:szCs w:val="21"/>
          <w:highlight w:val="none"/>
          <w:u w:val="single"/>
        </w:rPr>
        <w:t xml:space="preserve"> (1) </w:t>
      </w:r>
      <w:r>
        <w:rPr>
          <w:rFonts w:ascii="宋体" w:hAnsi="宋体" w:cs="宋体"/>
          <w:color w:val="auto"/>
          <w:szCs w:val="21"/>
          <w:highlight w:val="none"/>
          <w:u w:val="single"/>
        </w:rPr>
        <w:t>工程量清单所列的工程量，不能作为承包人按合同履行其责任依据，实际施工中发生的工程量增加或减少并不影响承包人履行合同的责任，工程结算以完成的实际工程量为准</w:t>
      </w:r>
      <w:r>
        <w:rPr>
          <w:rFonts w:hint="eastAsia" w:ascii="宋体" w:hAnsi="宋体" w:cs="宋体"/>
          <w:color w:val="auto"/>
          <w:szCs w:val="21"/>
          <w:highlight w:val="none"/>
          <w:u w:val="single"/>
        </w:rPr>
        <w:t xml:space="preserve">。(2) </w:t>
      </w:r>
      <w:r>
        <w:rPr>
          <w:rFonts w:ascii="宋体" w:hAnsi="宋体" w:cs="宋体"/>
          <w:color w:val="auto"/>
          <w:szCs w:val="21"/>
          <w:highlight w:val="none"/>
          <w:u w:val="single"/>
        </w:rPr>
        <w:t>除另有规定外，工程师应按照合同通过计量来核实确定已完成的工程量和价款，承包人应得到该价款扣除保留金后的金额。当工程师要对已完工的工程量进行计量时，应适时地通知承包人参加</w:t>
      </w:r>
      <w:r>
        <w:rPr>
          <w:rFonts w:hint="eastAsia" w:ascii="宋体" w:hAnsi="宋体" w:cs="宋体"/>
          <w:color w:val="auto"/>
          <w:szCs w:val="21"/>
          <w:highlight w:val="none"/>
        </w:rPr>
        <w:t xml:space="preserve">。 </w:t>
      </w:r>
    </w:p>
    <w:p w14:paraId="78380929">
      <w:pPr>
        <w:pStyle w:val="23"/>
        <w:spacing w:line="3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12.3.4 总价合同的计量 </w:t>
      </w:r>
    </w:p>
    <w:p w14:paraId="5918D58E">
      <w:pPr>
        <w:pStyle w:val="23"/>
        <w:spacing w:line="380" w:lineRule="exact"/>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关于总价合同计量的约定：</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14:paraId="5E4238F7">
      <w:pPr>
        <w:pStyle w:val="23"/>
        <w:spacing w:line="3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12.3.5 总价合同采用支付分解表计量支付的，是否适用第 12.3.4 项〔总价合同的计量〕约定进行计量：</w:t>
      </w:r>
      <w:r>
        <w:rPr>
          <w:rFonts w:hint="eastAsia" w:ascii="宋体" w:hAnsi="宋体" w:cs="宋体"/>
          <w:color w:val="auto"/>
          <w:szCs w:val="21"/>
          <w:highlight w:val="none"/>
          <w:u w:val="single"/>
        </w:rPr>
        <w:t xml:space="preserve">无 </w:t>
      </w:r>
      <w:r>
        <w:rPr>
          <w:rFonts w:hint="eastAsia" w:ascii="宋体" w:hAnsi="宋体" w:cs="宋体"/>
          <w:color w:val="auto"/>
          <w:szCs w:val="21"/>
          <w:highlight w:val="none"/>
        </w:rPr>
        <w:t xml:space="preserve">。 </w:t>
      </w:r>
    </w:p>
    <w:p w14:paraId="3D88DAFA">
      <w:pPr>
        <w:pStyle w:val="23"/>
        <w:spacing w:line="3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12.3.6 其他价格形式合同的计量 </w:t>
      </w:r>
    </w:p>
    <w:p w14:paraId="0E232D38">
      <w:pPr>
        <w:pStyle w:val="23"/>
        <w:spacing w:line="3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其他价格形式的计量方式和程序：</w:t>
      </w:r>
      <w:r>
        <w:rPr>
          <w:rFonts w:hint="eastAsia" w:ascii="宋体" w:hAnsi="宋体" w:cs="宋体"/>
          <w:color w:val="auto"/>
          <w:szCs w:val="21"/>
          <w:highlight w:val="none"/>
          <w:u w:val="single"/>
        </w:rPr>
        <w:t xml:space="preserve"> 无 </w:t>
      </w:r>
      <w:r>
        <w:rPr>
          <w:rFonts w:hint="eastAsia" w:ascii="宋体" w:hAnsi="宋体" w:cs="宋体"/>
          <w:color w:val="auto"/>
          <w:szCs w:val="21"/>
          <w:highlight w:val="none"/>
        </w:rPr>
        <w:t xml:space="preserve">。 </w:t>
      </w:r>
    </w:p>
    <w:p w14:paraId="1C73C891">
      <w:pPr>
        <w:pStyle w:val="23"/>
        <w:spacing w:line="3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12.4 工程进度款支付</w:t>
      </w:r>
      <w:bookmarkEnd w:id="1815"/>
      <w:bookmarkEnd w:id="1816"/>
      <w:bookmarkEnd w:id="1817"/>
      <w:bookmarkEnd w:id="1818"/>
      <w:bookmarkEnd w:id="1819"/>
      <w:bookmarkEnd w:id="1820"/>
      <w:bookmarkEnd w:id="1821"/>
      <w:bookmarkEnd w:id="1822"/>
      <w:bookmarkEnd w:id="1823"/>
      <w:bookmarkEnd w:id="1824"/>
      <w:bookmarkEnd w:id="1825"/>
    </w:p>
    <w:p w14:paraId="62FF1F5C">
      <w:pPr>
        <w:pStyle w:val="23"/>
        <w:spacing w:line="380" w:lineRule="exact"/>
        <w:ind w:firstLine="420" w:firstLineChars="200"/>
        <w:jc w:val="left"/>
        <w:rPr>
          <w:rFonts w:ascii="宋体" w:hAnsi="宋体" w:cs="宋体"/>
          <w:color w:val="auto"/>
          <w:szCs w:val="21"/>
          <w:highlight w:val="none"/>
        </w:rPr>
      </w:pPr>
      <w:bookmarkStart w:id="1826" w:name="_Toc296891039"/>
      <w:bookmarkStart w:id="1827" w:name="_Toc297048397"/>
      <w:bookmarkStart w:id="1828" w:name="_Toc292559921"/>
      <w:bookmarkStart w:id="1829" w:name="_Toc296891251"/>
      <w:bookmarkStart w:id="1830" w:name="_Toc292559416"/>
      <w:bookmarkStart w:id="1831" w:name="_Toc296944550"/>
      <w:bookmarkStart w:id="1832" w:name="_Toc297216215"/>
      <w:bookmarkStart w:id="1833" w:name="_Toc296346712"/>
      <w:bookmarkStart w:id="1834" w:name="_Toc296503211"/>
      <w:bookmarkStart w:id="1835" w:name="_Toc303539163"/>
      <w:bookmarkStart w:id="1836" w:name="_Toc300935006"/>
      <w:bookmarkStart w:id="1837" w:name="_Toc296347210"/>
      <w:bookmarkStart w:id="1838" w:name="_Toc297123556"/>
      <w:bookmarkStart w:id="1839" w:name="_Toc297120511"/>
      <w:r>
        <w:rPr>
          <w:rFonts w:hint="eastAsia" w:ascii="宋体" w:hAnsi="宋体" w:cs="宋体"/>
          <w:color w:val="auto"/>
          <w:szCs w:val="21"/>
          <w:highlight w:val="none"/>
        </w:rPr>
        <w:t>12.4.1 付款周期</w:t>
      </w:r>
    </w:p>
    <w:p w14:paraId="06A036D8">
      <w:pPr>
        <w:keepNext w:val="0"/>
        <w:keepLines w:val="0"/>
        <w:pageBreakBefore w:val="0"/>
        <w:widowControl w:val="0"/>
        <w:kinsoku/>
        <w:wordWrap/>
        <w:overflowPunct/>
        <w:topLinePunct w:val="0"/>
        <w:autoSpaceDE/>
        <w:autoSpaceDN/>
        <w:bidi w:val="0"/>
        <w:adjustRightInd/>
        <w:snapToGrid/>
        <w:spacing w:line="360" w:lineRule="auto"/>
        <w:ind w:left="210" w:leftChars="100" w:firstLine="210" w:firstLineChars="100"/>
        <w:jc w:val="left"/>
        <w:textAlignment w:val="auto"/>
        <w:rPr>
          <w:rFonts w:hint="eastAsia" w:eastAsia="宋体" w:cs="宋体"/>
          <w:color w:val="auto"/>
          <w:highlight w:val="none"/>
          <w:u w:val="single"/>
          <w:lang w:eastAsia="zh-CN"/>
        </w:rPr>
      </w:pPr>
      <w:r>
        <w:rPr>
          <w:rFonts w:hint="eastAsia" w:ascii="宋体" w:hAnsi="宋体" w:cs="宋体"/>
          <w:color w:val="auto"/>
          <w:szCs w:val="21"/>
          <w:highlight w:val="none"/>
        </w:rPr>
        <w:t>关于付款周期的约定：</w:t>
      </w:r>
      <w:r>
        <w:rPr>
          <w:rFonts w:hint="eastAsia"/>
          <w:color w:val="auto"/>
          <w:highlight w:val="none"/>
          <w:u w:val="single"/>
          <w:lang w:eastAsia="zh-CN"/>
        </w:rPr>
        <w:t>第</w:t>
      </w:r>
      <w:r>
        <w:rPr>
          <w:rFonts w:hint="eastAsia"/>
          <w:color w:val="auto"/>
          <w:highlight w:val="none"/>
          <w:u w:val="single"/>
          <w:lang w:val="en-US" w:eastAsia="zh-CN"/>
        </w:rPr>
        <w:t>一</w:t>
      </w:r>
      <w:r>
        <w:rPr>
          <w:rFonts w:hint="eastAsia"/>
          <w:color w:val="auto"/>
          <w:highlight w:val="none"/>
          <w:u w:val="single"/>
          <w:lang w:eastAsia="zh-CN"/>
        </w:rPr>
        <w:t>次进度款为完成合同工程量60%时，合同内进度支付限额为已完成工程量的80%；第</w:t>
      </w:r>
      <w:r>
        <w:rPr>
          <w:rFonts w:hint="eastAsia"/>
          <w:color w:val="auto"/>
          <w:highlight w:val="none"/>
          <w:u w:val="single"/>
          <w:lang w:val="en-US" w:eastAsia="zh-CN"/>
        </w:rPr>
        <w:t>二</w:t>
      </w:r>
      <w:r>
        <w:rPr>
          <w:rFonts w:hint="eastAsia"/>
          <w:color w:val="auto"/>
          <w:highlight w:val="none"/>
          <w:u w:val="single"/>
          <w:lang w:eastAsia="zh-CN"/>
        </w:rPr>
        <w:t>次进度款为工程完工时，工程进度款支付限额为已完成工程量的80%；工程完工验收达到质量要求，工程完工结算经第三方评审机构审定后，工程款支付至最终结算总造价的97%；发包人按工程最终结算总造价的3%预留工程质量保修金，待工程质量保修期满后返还。</w:t>
      </w:r>
    </w:p>
    <w:p w14:paraId="678B787F">
      <w:pPr>
        <w:pStyle w:val="23"/>
        <w:spacing w:line="380" w:lineRule="exact"/>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每次付款前，承包人应按发包人的要求提供符合相关法律法规的增值税发票，如发票不符合要求，发包人有权拒收，承包人应承担因不合格发票产生的所有责任。</w:t>
      </w:r>
    </w:p>
    <w:p w14:paraId="315C3860">
      <w:pPr>
        <w:pStyle w:val="23"/>
        <w:spacing w:line="3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12.4.2 进度付款申请单的编制</w:t>
      </w:r>
    </w:p>
    <w:p w14:paraId="51C5D399">
      <w:pPr>
        <w:pStyle w:val="23"/>
        <w:spacing w:line="380" w:lineRule="exact"/>
        <w:ind w:firstLine="420" w:firstLineChars="200"/>
        <w:jc w:val="left"/>
        <w:rPr>
          <w:rFonts w:ascii="宋体" w:hAnsi="宋体" w:cs="宋体"/>
          <w:bCs/>
          <w:color w:val="auto"/>
          <w:szCs w:val="21"/>
          <w:highlight w:val="none"/>
          <w:u w:val="single"/>
        </w:rPr>
      </w:pPr>
      <w:r>
        <w:rPr>
          <w:rFonts w:hint="eastAsia" w:ascii="宋体" w:hAnsi="宋体" w:cs="宋体"/>
          <w:color w:val="auto"/>
          <w:szCs w:val="21"/>
          <w:highlight w:val="none"/>
        </w:rPr>
        <w:t>关于进度付款申请单编制的约定：</w:t>
      </w:r>
      <w:r>
        <w:rPr>
          <w:rFonts w:hint="eastAsia" w:ascii="宋体" w:hAnsi="宋体" w:cs="宋体"/>
          <w:bCs/>
          <w:color w:val="auto"/>
          <w:szCs w:val="21"/>
          <w:highlight w:val="none"/>
          <w:u w:val="single"/>
        </w:rPr>
        <w:t>承包人应在每个计量周期到期后的7天内向发包人提交已完工程进度款支付申请一式四份，详细说明此周期自己认为有权得到的款额，包括分包人已完工程的价款，内容包括已完工程预算书、工程量计算式及劳务队组提供的民工工资支付证明。</w:t>
      </w:r>
    </w:p>
    <w:p w14:paraId="0D4FEE57">
      <w:pPr>
        <w:pStyle w:val="23"/>
        <w:spacing w:line="3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w:t>
      </w:r>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r>
        <w:rPr>
          <w:rFonts w:hint="eastAsia" w:ascii="宋体" w:hAnsi="宋体" w:cs="宋体"/>
          <w:color w:val="auto"/>
          <w:szCs w:val="21"/>
          <w:highlight w:val="none"/>
        </w:rPr>
        <w:t>2.4.3 进度付款申请单的提交</w:t>
      </w:r>
    </w:p>
    <w:p w14:paraId="44D961D4">
      <w:pPr>
        <w:pStyle w:val="23"/>
        <w:spacing w:line="380" w:lineRule="exact"/>
        <w:ind w:firstLine="420" w:firstLineChars="200"/>
        <w:jc w:val="left"/>
        <w:rPr>
          <w:rFonts w:ascii="宋体" w:hAnsi="宋体" w:cs="宋体"/>
          <w:bCs/>
          <w:color w:val="auto"/>
          <w:szCs w:val="21"/>
          <w:highlight w:val="none"/>
          <w:u w:val="single"/>
        </w:rPr>
      </w:pPr>
      <w:r>
        <w:rPr>
          <w:rFonts w:hint="eastAsia" w:ascii="宋体" w:hAnsi="宋体" w:cs="宋体"/>
          <w:color w:val="auto"/>
          <w:szCs w:val="21"/>
          <w:highlight w:val="none"/>
        </w:rPr>
        <w:t>（1）单价合同进度付款申请单提交的约定：</w:t>
      </w:r>
      <w:r>
        <w:rPr>
          <w:rFonts w:hint="eastAsia" w:ascii="宋体" w:hAnsi="宋体" w:cs="宋体"/>
          <w:bCs/>
          <w:color w:val="auto"/>
          <w:szCs w:val="21"/>
          <w:highlight w:val="none"/>
          <w:u w:val="single"/>
        </w:rPr>
        <w:t>承包人应在每个计量周期到期后的3天内向发包人提交支付申请一式三份，承包人当月完成的产值不足合同价的1％时，不支付进度款，累计至下月一并支付。承包人应随投标文件提交不拖欠民工工资的承诺函和措施。具体支付手续按财政性资金支付程序有关规定办理。</w:t>
      </w:r>
    </w:p>
    <w:p w14:paraId="2BF693F3">
      <w:pPr>
        <w:pStyle w:val="23"/>
        <w:spacing w:line="3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（2）总价合同进度付款申请单提交的约定：</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14:paraId="0A7BA5A2">
      <w:pPr>
        <w:pStyle w:val="23"/>
        <w:spacing w:line="380" w:lineRule="exact"/>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（3）其他价格形式合同进度付款申请单提交的约定：</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14:paraId="70EB8446">
      <w:pPr>
        <w:pStyle w:val="23"/>
        <w:spacing w:line="3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12.4.4 进度款审核和支付</w:t>
      </w:r>
    </w:p>
    <w:p w14:paraId="08D16E64">
      <w:pPr>
        <w:pStyle w:val="23"/>
        <w:spacing w:line="380" w:lineRule="exact"/>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（1）监理人审查并报送发包人的期限：</w:t>
      </w:r>
      <w:r>
        <w:rPr>
          <w:rFonts w:hint="eastAsia" w:ascii="宋体" w:hAnsi="宋体" w:cs="宋体"/>
          <w:color w:val="auto"/>
          <w:szCs w:val="21"/>
          <w:highlight w:val="none"/>
          <w:u w:val="single"/>
        </w:rPr>
        <w:t>监理人收到承包人进度付款申请单以及相关资料后 7 天内完成审查并报送发包人</w:t>
      </w:r>
      <w:r>
        <w:rPr>
          <w:rFonts w:hint="eastAsia" w:ascii="宋体" w:hAnsi="宋体" w:cs="宋体"/>
          <w:color w:val="auto"/>
          <w:szCs w:val="21"/>
          <w:highlight w:val="none"/>
        </w:rPr>
        <w:t>。</w:t>
      </w:r>
    </w:p>
    <w:p w14:paraId="42806116">
      <w:pPr>
        <w:pStyle w:val="23"/>
        <w:spacing w:line="380" w:lineRule="exact"/>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发包人完成审批并签发进度款支付证书的期限：</w:t>
      </w:r>
      <w:r>
        <w:rPr>
          <w:rFonts w:hint="eastAsia" w:ascii="宋体" w:hAnsi="宋体" w:cs="宋体"/>
          <w:color w:val="auto"/>
          <w:szCs w:val="21"/>
          <w:highlight w:val="none"/>
          <w:u w:val="single"/>
        </w:rPr>
        <w:t>收到后 7 天内完成审批并签发</w:t>
      </w:r>
      <w:r>
        <w:rPr>
          <w:rFonts w:hint="eastAsia" w:ascii="宋体" w:hAnsi="宋体" w:cs="宋体"/>
          <w:color w:val="auto"/>
          <w:szCs w:val="21"/>
          <w:highlight w:val="none"/>
        </w:rPr>
        <w:t>。</w:t>
      </w:r>
    </w:p>
    <w:p w14:paraId="24A3C148">
      <w:pPr>
        <w:pStyle w:val="23"/>
        <w:spacing w:line="3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（2）发包人支付进度款的期限：</w:t>
      </w:r>
      <w:r>
        <w:rPr>
          <w:rFonts w:hint="eastAsia" w:ascii="宋体" w:hAnsi="宋体" w:cs="宋体"/>
          <w:color w:val="auto"/>
          <w:szCs w:val="21"/>
          <w:highlight w:val="none"/>
          <w:u w:val="single"/>
        </w:rPr>
        <w:t xml:space="preserve">办理相关付款手续后的7天内 </w:t>
      </w:r>
      <w:r>
        <w:rPr>
          <w:rFonts w:hint="eastAsia" w:ascii="宋体" w:hAnsi="宋体" w:cs="宋体"/>
          <w:color w:val="auto"/>
          <w:szCs w:val="21"/>
          <w:highlight w:val="none"/>
        </w:rPr>
        <w:t>。</w:t>
      </w:r>
    </w:p>
    <w:p w14:paraId="628CFA4D">
      <w:pPr>
        <w:pStyle w:val="23"/>
        <w:spacing w:line="380" w:lineRule="exact"/>
        <w:ind w:firstLine="525" w:firstLineChars="250"/>
        <w:jc w:val="left"/>
        <w:rPr>
          <w:rFonts w:ascii="宋体" w:hAnsi="宋体" w:cs="宋体"/>
          <w:color w:val="auto"/>
          <w:szCs w:val="21"/>
          <w:highlight w:val="none"/>
        </w:rPr>
      </w:pPr>
      <w:r>
        <w:rPr>
          <w:rFonts w:hint="eastAsia" w:ascii="宋体" w:hAnsi="宋体" w:cs="宋体"/>
          <w:color w:val="auto"/>
          <w:szCs w:val="21"/>
          <w:highlight w:val="none"/>
        </w:rPr>
        <w:t>发包人逾期支付进度款的违约金的计算方式：</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14:paraId="7B336813">
      <w:pPr>
        <w:pStyle w:val="23"/>
        <w:spacing w:line="380" w:lineRule="exact"/>
        <w:ind w:firstLine="525" w:firstLineChars="250"/>
        <w:jc w:val="left"/>
        <w:rPr>
          <w:rFonts w:ascii="宋体" w:hAnsi="宋体" w:cs="宋体"/>
          <w:color w:val="auto"/>
          <w:szCs w:val="21"/>
          <w:highlight w:val="none"/>
        </w:rPr>
      </w:pPr>
      <w:r>
        <w:rPr>
          <w:rFonts w:hint="eastAsia" w:ascii="宋体" w:hAnsi="宋体" w:cs="宋体"/>
          <w:color w:val="auto"/>
          <w:szCs w:val="21"/>
          <w:highlight w:val="none"/>
        </w:rPr>
        <w:t>进度款支付方式：</w:t>
      </w:r>
      <w:r>
        <w:rPr>
          <w:rFonts w:hint="eastAsia" w:ascii="宋体" w:hAnsi="宋体" w:cs="宋体"/>
          <w:color w:val="auto"/>
          <w:szCs w:val="21"/>
          <w:highlight w:val="none"/>
          <w:u w:val="single"/>
        </w:rPr>
        <w:t>银行转账</w:t>
      </w:r>
      <w:r>
        <w:rPr>
          <w:rFonts w:hint="eastAsia" w:ascii="宋体" w:hAnsi="宋体" w:cs="宋体"/>
          <w:color w:val="auto"/>
          <w:szCs w:val="21"/>
          <w:highlight w:val="none"/>
        </w:rPr>
        <w:t>。</w:t>
      </w:r>
    </w:p>
    <w:p w14:paraId="6D5BF1A0">
      <w:pPr>
        <w:pStyle w:val="23"/>
        <w:spacing w:line="380" w:lineRule="exact"/>
        <w:ind w:firstLine="525" w:firstLineChars="250"/>
        <w:jc w:val="left"/>
        <w:rPr>
          <w:rFonts w:ascii="宋体" w:hAnsi="宋体" w:cs="宋体"/>
          <w:color w:val="auto"/>
          <w:szCs w:val="21"/>
          <w:highlight w:val="none"/>
        </w:rPr>
      </w:pPr>
      <w:r>
        <w:rPr>
          <w:rFonts w:hint="eastAsia" w:ascii="宋体" w:hAnsi="宋体" w:cs="宋体"/>
          <w:color w:val="auto"/>
          <w:szCs w:val="21"/>
          <w:highlight w:val="none"/>
        </w:rPr>
        <w:t>12.4.6 支付分解表的编制</w:t>
      </w:r>
    </w:p>
    <w:p w14:paraId="39AEE6E5">
      <w:pPr>
        <w:pStyle w:val="23"/>
        <w:spacing w:line="380" w:lineRule="exact"/>
        <w:ind w:firstLine="525" w:firstLineChars="250"/>
        <w:jc w:val="left"/>
        <w:rPr>
          <w:rFonts w:ascii="宋体" w:hAnsi="宋体" w:cs="宋体"/>
          <w:color w:val="auto"/>
          <w:szCs w:val="21"/>
          <w:highlight w:val="none"/>
          <w:u w:val="single"/>
        </w:rPr>
      </w:pPr>
      <w:r>
        <w:rPr>
          <w:rFonts w:hint="eastAsia" w:ascii="宋体" w:hAnsi="宋体" w:cs="宋体"/>
          <w:color w:val="auto"/>
          <w:szCs w:val="21"/>
          <w:highlight w:val="none"/>
        </w:rPr>
        <w:t>2. 总价合同支付分解表的编制与审批：</w:t>
      </w:r>
      <w:r>
        <w:rPr>
          <w:rFonts w:hint="eastAsia" w:ascii="宋体" w:hAnsi="宋体" w:cs="宋体"/>
          <w:color w:val="auto"/>
          <w:szCs w:val="21"/>
          <w:highlight w:val="none"/>
          <w:u w:val="single"/>
        </w:rPr>
        <w:t xml:space="preserve"> 无 </w:t>
      </w:r>
      <w:r>
        <w:rPr>
          <w:rFonts w:hint="eastAsia" w:ascii="宋体" w:hAnsi="宋体" w:cs="宋体"/>
          <w:color w:val="auto"/>
          <w:szCs w:val="21"/>
          <w:highlight w:val="none"/>
        </w:rPr>
        <w:t>。</w:t>
      </w:r>
    </w:p>
    <w:p w14:paraId="4B1DF19C">
      <w:pPr>
        <w:pStyle w:val="23"/>
        <w:spacing w:line="380" w:lineRule="exact"/>
        <w:ind w:firstLine="525" w:firstLineChars="250"/>
        <w:jc w:val="left"/>
        <w:rPr>
          <w:rFonts w:ascii="宋体" w:hAnsi="宋体" w:cs="宋体"/>
          <w:color w:val="auto"/>
          <w:szCs w:val="21"/>
          <w:highlight w:val="none"/>
          <w:u w:val="single"/>
        </w:rPr>
      </w:pPr>
      <w:r>
        <w:rPr>
          <w:rFonts w:hint="eastAsia" w:ascii="宋体" w:hAnsi="宋体" w:cs="宋体"/>
          <w:color w:val="auto"/>
          <w:szCs w:val="21"/>
          <w:highlight w:val="none"/>
        </w:rPr>
        <w:t>3. 单价合同的总价项目支付分解表的编制与审批：</w:t>
      </w:r>
      <w:r>
        <w:rPr>
          <w:rFonts w:hint="eastAsia" w:ascii="宋体" w:hAnsi="宋体" w:cs="宋体"/>
          <w:color w:val="auto"/>
          <w:szCs w:val="21"/>
          <w:highlight w:val="none"/>
          <w:u w:val="single"/>
        </w:rPr>
        <w:t>单价项目不采用支付分解表的方式计算，而按《建设工程工程量清单计价规范（GB50500-2013）广西壮族自治区实施细则（修订本）》的规定执行。</w:t>
      </w:r>
    </w:p>
    <w:bookmarkEnd w:id="1498"/>
    <w:p w14:paraId="188E533A">
      <w:pPr>
        <w:pStyle w:val="38"/>
        <w:spacing w:line="380" w:lineRule="exact"/>
        <w:rPr>
          <w:rFonts w:ascii="宋体" w:cs="宋体"/>
          <w:color w:val="auto"/>
          <w:highlight w:val="none"/>
        </w:rPr>
      </w:pPr>
      <w:bookmarkStart w:id="1840" w:name="_Toc418751850"/>
      <w:bookmarkStart w:id="1841" w:name="_Toc418752296"/>
      <w:bookmarkStart w:id="1842" w:name="_Toc497746835"/>
      <w:bookmarkStart w:id="1843" w:name="_Toc418061365"/>
      <w:bookmarkStart w:id="1844" w:name="_Toc351203645"/>
      <w:bookmarkStart w:id="1845" w:name="_Toc389065318"/>
      <w:bookmarkStart w:id="1846" w:name="_Toc522201780"/>
      <w:bookmarkStart w:id="1847" w:name="_Toc30972"/>
      <w:bookmarkStart w:id="1848" w:name="_Toc373478400"/>
      <w:bookmarkStart w:id="1849" w:name="_Toc256000231"/>
      <w:bookmarkStart w:id="1850" w:name="_Toc373227753"/>
      <w:bookmarkStart w:id="1851" w:name="_Toc418518164"/>
      <w:bookmarkStart w:id="1852" w:name="_Toc418518400"/>
      <w:bookmarkStart w:id="1853" w:name="_Toc497747232"/>
      <w:bookmarkStart w:id="1854" w:name="_Toc403578988"/>
      <w:bookmarkStart w:id="1855" w:name="_Toc297120519"/>
      <w:bookmarkStart w:id="1856" w:name="_Toc292559424"/>
      <w:bookmarkStart w:id="1857" w:name="_Toc304295593"/>
      <w:bookmarkStart w:id="1858" w:name="_Toc296891259"/>
      <w:bookmarkStart w:id="1859" w:name="_Toc297216223"/>
      <w:bookmarkStart w:id="1860" w:name="_Toc296944558"/>
      <w:bookmarkStart w:id="1861" w:name="_Toc296891047"/>
      <w:bookmarkStart w:id="1862" w:name="_Toc292559929"/>
      <w:bookmarkStart w:id="1863" w:name="_Toc297123564"/>
      <w:bookmarkStart w:id="1864" w:name="_Toc296347218"/>
      <w:bookmarkStart w:id="1865" w:name="_Toc312678053"/>
      <w:bookmarkStart w:id="1866" w:name="_Toc297048405"/>
      <w:bookmarkStart w:id="1867" w:name="_Toc303539172"/>
      <w:bookmarkStart w:id="1868" w:name="_Toc296503219"/>
      <w:bookmarkStart w:id="1869" w:name="_Toc300935015"/>
      <w:bookmarkStart w:id="1870" w:name="_Toc296346720"/>
      <w:r>
        <w:rPr>
          <w:rFonts w:hint="eastAsia" w:ascii="宋体" w:cs="宋体"/>
          <w:color w:val="auto"/>
          <w:highlight w:val="none"/>
        </w:rPr>
        <w:t>13. 验收和工程试车</w:t>
      </w:r>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p>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p w14:paraId="3B14A3CB">
      <w:pPr>
        <w:pStyle w:val="38"/>
        <w:spacing w:line="380" w:lineRule="exact"/>
        <w:ind w:firstLine="422" w:firstLineChars="200"/>
        <w:rPr>
          <w:rFonts w:ascii="宋体" w:cs="宋体"/>
          <w:color w:val="auto"/>
          <w:highlight w:val="none"/>
        </w:rPr>
      </w:pPr>
      <w:bookmarkStart w:id="1871" w:name="_Toc418752297"/>
      <w:bookmarkStart w:id="1872" w:name="_Toc389065319"/>
      <w:bookmarkStart w:id="1873" w:name="_Toc256000232"/>
      <w:bookmarkStart w:id="1874" w:name="_Toc19468"/>
      <w:bookmarkStart w:id="1875" w:name="_Toc418518165"/>
      <w:bookmarkStart w:id="1876" w:name="_Toc418751851"/>
      <w:bookmarkStart w:id="1877" w:name="_Toc418518401"/>
      <w:bookmarkStart w:id="1878" w:name="_Toc522201781"/>
      <w:bookmarkStart w:id="1879" w:name="_Toc418061366"/>
      <w:bookmarkStart w:id="1880" w:name="_Toc373227754"/>
      <w:bookmarkStart w:id="1881" w:name="_Toc403578989"/>
      <w:bookmarkStart w:id="1882" w:name="_Toc497747233"/>
      <w:bookmarkStart w:id="1883" w:name="_Toc497746836"/>
      <w:bookmarkStart w:id="1884" w:name="_Toc373478401"/>
      <w:r>
        <w:rPr>
          <w:rFonts w:hint="eastAsia" w:ascii="宋体" w:cs="宋体"/>
          <w:color w:val="auto"/>
          <w:highlight w:val="none"/>
        </w:rPr>
        <w:t>13.1 分部分项工程验收</w:t>
      </w:r>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p>
    <w:p w14:paraId="42D43048">
      <w:pPr>
        <w:pStyle w:val="23"/>
        <w:spacing w:line="3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13.1.2监理人不能按时进行验收时，应提前</w:t>
      </w:r>
      <w:r>
        <w:rPr>
          <w:rFonts w:hint="eastAsia" w:ascii="宋体" w:hAnsi="宋体" w:cs="宋体"/>
          <w:color w:val="auto"/>
          <w:szCs w:val="21"/>
          <w:highlight w:val="none"/>
          <w:u w:val="single"/>
        </w:rPr>
        <w:t xml:space="preserve"> 24 </w:t>
      </w:r>
      <w:r>
        <w:rPr>
          <w:rFonts w:hint="eastAsia" w:ascii="宋体" w:hAnsi="宋体" w:cs="宋体"/>
          <w:color w:val="auto"/>
          <w:szCs w:val="21"/>
          <w:highlight w:val="none"/>
        </w:rPr>
        <w:t>小时提交书面延期要求。</w:t>
      </w:r>
    </w:p>
    <w:p w14:paraId="4AD06B9F">
      <w:pPr>
        <w:pStyle w:val="23"/>
        <w:spacing w:line="380" w:lineRule="exact"/>
        <w:ind w:firstLine="420" w:firstLineChars="200"/>
        <w:jc w:val="left"/>
        <w:rPr>
          <w:rFonts w:ascii="宋体" w:hAnsi="宋体" w:cs="宋体"/>
          <w:b/>
          <w:color w:val="auto"/>
          <w:szCs w:val="21"/>
          <w:highlight w:val="none"/>
        </w:rPr>
      </w:pPr>
      <w:r>
        <w:rPr>
          <w:rFonts w:hint="eastAsia" w:ascii="宋体" w:hAnsi="宋体" w:cs="宋体"/>
          <w:color w:val="auto"/>
          <w:szCs w:val="21"/>
          <w:highlight w:val="none"/>
        </w:rPr>
        <w:t>关于延期最长不得超过：</w:t>
      </w:r>
      <w:r>
        <w:rPr>
          <w:rFonts w:hint="eastAsia" w:ascii="宋体" w:hAnsi="宋体" w:cs="宋体"/>
          <w:color w:val="auto"/>
          <w:szCs w:val="21"/>
          <w:highlight w:val="none"/>
          <w:u w:val="single"/>
        </w:rPr>
        <w:t xml:space="preserve"> 48 </w:t>
      </w:r>
      <w:r>
        <w:rPr>
          <w:rFonts w:hint="eastAsia" w:ascii="宋体" w:hAnsi="宋体" w:cs="宋体"/>
          <w:color w:val="auto"/>
          <w:szCs w:val="21"/>
          <w:highlight w:val="none"/>
        </w:rPr>
        <w:t>小时。</w:t>
      </w:r>
    </w:p>
    <w:p w14:paraId="50A92482">
      <w:pPr>
        <w:pStyle w:val="38"/>
        <w:spacing w:line="380" w:lineRule="exact"/>
        <w:ind w:firstLine="422" w:firstLineChars="200"/>
        <w:rPr>
          <w:rFonts w:ascii="宋体" w:cs="宋体"/>
          <w:color w:val="auto"/>
          <w:highlight w:val="none"/>
        </w:rPr>
      </w:pPr>
      <w:bookmarkStart w:id="1885" w:name="_Toc373227755"/>
      <w:bookmarkStart w:id="1886" w:name="_Toc403578990"/>
      <w:bookmarkStart w:id="1887" w:name="_Toc389065320"/>
      <w:bookmarkStart w:id="1888" w:name="_Toc418751852"/>
      <w:bookmarkStart w:id="1889" w:name="_Toc373478402"/>
      <w:bookmarkStart w:id="1890" w:name="_Toc418518402"/>
      <w:bookmarkStart w:id="1891" w:name="_Toc497746837"/>
      <w:bookmarkStart w:id="1892" w:name="_Toc418518166"/>
      <w:bookmarkStart w:id="1893" w:name="_Toc497747234"/>
      <w:bookmarkStart w:id="1894" w:name="_Toc7508"/>
      <w:bookmarkStart w:id="1895" w:name="_Toc418061367"/>
      <w:bookmarkStart w:id="1896" w:name="_Toc418752298"/>
      <w:bookmarkStart w:id="1897" w:name="_Toc256000233"/>
      <w:bookmarkStart w:id="1898" w:name="_Toc522201782"/>
      <w:bookmarkStart w:id="1899" w:name="_Toc296503223"/>
      <w:bookmarkStart w:id="1900" w:name="_Toc303539173"/>
      <w:bookmarkStart w:id="1901" w:name="_Toc296347222"/>
      <w:bookmarkStart w:id="1902" w:name="_Toc297120523"/>
      <w:bookmarkStart w:id="1903" w:name="_Toc296891263"/>
      <w:bookmarkStart w:id="1904" w:name="_Toc304295596"/>
      <w:bookmarkStart w:id="1905" w:name="_Toc312678056"/>
      <w:bookmarkStart w:id="1906" w:name="_Toc297048409"/>
      <w:bookmarkStart w:id="1907" w:name="_Toc292559933"/>
      <w:bookmarkStart w:id="1908" w:name="_Toc296891051"/>
      <w:bookmarkStart w:id="1909" w:name="_Toc292559428"/>
      <w:bookmarkStart w:id="1910" w:name="_Toc296944562"/>
      <w:bookmarkStart w:id="1911" w:name="_Toc296346724"/>
      <w:bookmarkStart w:id="1912" w:name="_Toc297123565"/>
      <w:bookmarkStart w:id="1913" w:name="_Toc297216224"/>
      <w:bookmarkStart w:id="1914" w:name="_Toc300935016"/>
      <w:bookmarkStart w:id="1915" w:name="_Toc267251474"/>
      <w:bookmarkStart w:id="1916" w:name="_Toc267251476"/>
      <w:bookmarkStart w:id="1917" w:name="_Toc267251470"/>
      <w:bookmarkStart w:id="1918" w:name="_Toc267251475"/>
      <w:bookmarkStart w:id="1919" w:name="_Toc267251473"/>
      <w:bookmarkStart w:id="1920" w:name="_Toc267251472"/>
      <w:bookmarkStart w:id="1921" w:name="_Toc267251471"/>
      <w:r>
        <w:rPr>
          <w:rFonts w:hint="eastAsia" w:ascii="宋体" w:cs="宋体"/>
          <w:color w:val="auto"/>
          <w:highlight w:val="none"/>
        </w:rPr>
        <w:t>13.2 竣工验收</w:t>
      </w:r>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p>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p w14:paraId="06954C72">
      <w:pPr>
        <w:pStyle w:val="23"/>
        <w:spacing w:line="380" w:lineRule="exact"/>
        <w:ind w:firstLine="420" w:firstLineChars="200"/>
        <w:jc w:val="left"/>
        <w:rPr>
          <w:rFonts w:ascii="宋体" w:hAnsi="宋体" w:cs="宋体"/>
          <w:color w:val="auto"/>
          <w:szCs w:val="21"/>
          <w:highlight w:val="none"/>
        </w:rPr>
      </w:pPr>
      <w:bookmarkStart w:id="1922" w:name="_Toc280868704"/>
      <w:bookmarkStart w:id="1923" w:name="_Toc280868705"/>
      <w:bookmarkStart w:id="1924" w:name="_Toc280868706"/>
      <w:bookmarkStart w:id="1925" w:name="_Toc280868707"/>
      <w:bookmarkStart w:id="1926" w:name="_Toc280868708"/>
      <w:bookmarkStart w:id="1927" w:name="_Toc280868709"/>
      <w:r>
        <w:rPr>
          <w:rFonts w:hint="eastAsia" w:ascii="宋体" w:hAnsi="宋体" w:cs="宋体"/>
          <w:color w:val="auto"/>
          <w:szCs w:val="21"/>
          <w:highlight w:val="none"/>
        </w:rPr>
        <w:t>13.2.1竣工验收条件</w:t>
      </w:r>
    </w:p>
    <w:p w14:paraId="699AAB8B">
      <w:pPr>
        <w:pStyle w:val="23"/>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（3）承包人负责整理和提交的竣工验收资料应当符合工程所在地建设行政主管部门和(或)城市建设档案管理机构有关施工资料的要求，具体内容包括：</w:t>
      </w:r>
      <w:r>
        <w:rPr>
          <w:rFonts w:hint="eastAsia" w:ascii="宋体" w:hAnsi="宋体" w:cs="宋体"/>
          <w:color w:val="auto"/>
          <w:szCs w:val="21"/>
          <w:highlight w:val="none"/>
          <w:u w:val="single"/>
        </w:rPr>
        <w:t xml:space="preserve">  1、工程具备竣工验收条件，承包人按工期竣工验收有关规定，向发包人提交符合桂林市城建档案馆归档要求内容装订成册的完整竣工资料及竣工验收报告、工程竣工图。2、承包人所提交的竣工资料必须符合《建设工程归档整理规范》要求，并在结算审批时出具《工程档案验收合格证明》及建设单位接收档案资料清单证明   </w:t>
      </w:r>
      <w:r>
        <w:rPr>
          <w:rFonts w:hint="eastAsia" w:ascii="宋体" w:hAnsi="宋体" w:cs="宋体"/>
          <w:color w:val="auto"/>
          <w:szCs w:val="21"/>
          <w:highlight w:val="none"/>
        </w:rPr>
        <w:t>。</w:t>
      </w:r>
    </w:p>
    <w:p w14:paraId="6C0201AC">
      <w:pPr>
        <w:pStyle w:val="23"/>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竣工验收资料的份数：</w:t>
      </w:r>
      <w:r>
        <w:rPr>
          <w:rFonts w:hint="eastAsia" w:ascii="宋体" w:hAnsi="宋体" w:cs="宋体"/>
          <w:color w:val="auto"/>
          <w:szCs w:val="21"/>
          <w:highlight w:val="none"/>
          <w:u w:val="single"/>
        </w:rPr>
        <w:t>肆份，承包人承担竣工验收资料编制、立卷及至档案馆归档等一切费用</w:t>
      </w:r>
      <w:r>
        <w:rPr>
          <w:rFonts w:hint="eastAsia" w:ascii="宋体" w:hAnsi="宋体" w:cs="宋体"/>
          <w:color w:val="auto"/>
          <w:szCs w:val="21"/>
          <w:highlight w:val="none"/>
        </w:rPr>
        <w:t>。</w:t>
      </w:r>
    </w:p>
    <w:p w14:paraId="711138C4">
      <w:pPr>
        <w:pStyle w:val="23"/>
        <w:spacing w:line="380" w:lineRule="exact"/>
        <w:ind w:firstLine="420" w:firstLineChars="200"/>
        <w:jc w:val="left"/>
        <w:rPr>
          <w:rFonts w:ascii="宋体" w:hAnsi="宋体" w:cs="宋体"/>
          <w:color w:val="auto"/>
          <w:szCs w:val="21"/>
          <w:highlight w:val="none"/>
        </w:rPr>
      </w:pPr>
      <w:r>
        <w:rPr>
          <w:rFonts w:hint="eastAsia" w:ascii="宋体" w:hAnsi="宋体" w:cs="宋体"/>
          <w:bCs/>
          <w:color w:val="auto"/>
          <w:szCs w:val="21"/>
          <w:highlight w:val="none"/>
        </w:rPr>
        <w:t>承包人提供竣工图的约定：</w:t>
      </w:r>
      <w:r>
        <w:rPr>
          <w:rFonts w:hint="eastAsia" w:ascii="宋体" w:hAnsi="宋体" w:cs="宋体"/>
          <w:bCs/>
          <w:color w:val="auto"/>
          <w:szCs w:val="21"/>
          <w:highlight w:val="none"/>
          <w:u w:val="single"/>
        </w:rPr>
        <w:t>竣工验收正式通过后15天，提供4套竣工图。</w:t>
      </w:r>
    </w:p>
    <w:p w14:paraId="47210C5D">
      <w:pPr>
        <w:pStyle w:val="23"/>
        <w:spacing w:line="3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13.2.2竣工验收程序</w:t>
      </w:r>
    </w:p>
    <w:bookmarkEnd w:id="1922"/>
    <w:p w14:paraId="5147CA68">
      <w:pPr>
        <w:pStyle w:val="23"/>
        <w:spacing w:line="380" w:lineRule="exact"/>
        <w:ind w:firstLine="420" w:firstLineChars="200"/>
        <w:jc w:val="left"/>
        <w:rPr>
          <w:rFonts w:ascii="宋体" w:hAnsi="宋体" w:cs="宋体"/>
          <w:color w:val="auto"/>
          <w:szCs w:val="21"/>
          <w:highlight w:val="none"/>
          <w:u w:val="single"/>
        </w:rPr>
      </w:pPr>
      <w:r>
        <w:rPr>
          <w:rFonts w:hint="eastAsia" w:ascii="宋体" w:hAnsi="宋体" w:cs="宋体"/>
          <w:color w:val="auto"/>
          <w:kern w:val="0"/>
          <w:szCs w:val="21"/>
          <w:highlight w:val="none"/>
        </w:rPr>
        <w:t>关于竣工验收程序的约定</w:t>
      </w:r>
      <w:r>
        <w:rPr>
          <w:rFonts w:hint="eastAsia" w:ascii="宋体" w:hAnsi="宋体" w:cs="宋体"/>
          <w:color w:val="auto"/>
          <w:kern w:val="0"/>
          <w:szCs w:val="21"/>
          <w:highlight w:val="none"/>
          <w:lang w:eastAsia="zh-CN"/>
        </w:rPr>
        <w:t>：</w:t>
      </w:r>
      <w:r>
        <w:rPr>
          <w:rFonts w:hint="eastAsia" w:ascii="宋体" w:hAnsi="宋体" w:cs="宋体"/>
          <w:color w:val="auto"/>
          <w:szCs w:val="21"/>
          <w:highlight w:val="none"/>
          <w:u w:val="single"/>
        </w:rPr>
        <w:t>由承包人提出申请，经监理工程师及承包人同意后，通知各质检及监督部门进行竣工验收。本工程竣工验收合格后，双方应在验收报告上签字认可，本工程实际竣工日期以建设、设计、勘察、监理、施工五家单位验收小组正式验收签字日期为准。工程保修按合同附件3《工程质量保修书》有关规定执行。</w:t>
      </w:r>
    </w:p>
    <w:p w14:paraId="72215C58">
      <w:pPr>
        <w:pStyle w:val="23"/>
        <w:spacing w:line="380" w:lineRule="exact"/>
        <w:ind w:firstLine="420" w:firstLineChars="200"/>
        <w:jc w:val="left"/>
        <w:rPr>
          <w:rFonts w:ascii="宋体" w:hAnsi="宋体" w:cs="宋体"/>
          <w:color w:val="auto"/>
          <w:szCs w:val="21"/>
          <w:highlight w:val="none"/>
          <w:u w:val="single"/>
        </w:rPr>
      </w:pPr>
      <w:r>
        <w:rPr>
          <w:rFonts w:hint="eastAsia" w:ascii="宋体" w:hAnsi="宋体" w:cs="宋体"/>
          <w:color w:val="auto"/>
          <w:kern w:val="0"/>
          <w:szCs w:val="21"/>
          <w:highlight w:val="none"/>
        </w:rPr>
        <w:t>发包人不按照本项约定组织竣工验收、颁发工程接收证书的违约金的计算方法：</w:t>
      </w:r>
      <w:r>
        <w:rPr>
          <w:rFonts w:hint="eastAsia" w:ascii="宋体" w:hAnsi="宋体" w:cs="宋体"/>
          <w:color w:val="auto"/>
          <w:szCs w:val="21"/>
          <w:highlight w:val="none"/>
          <w:u w:val="single"/>
        </w:rPr>
        <w:t xml:space="preserve"> 无  </w:t>
      </w:r>
      <w:r>
        <w:rPr>
          <w:rFonts w:hint="eastAsia" w:ascii="宋体" w:hAnsi="宋体" w:cs="宋体"/>
          <w:color w:val="auto"/>
          <w:szCs w:val="21"/>
          <w:highlight w:val="none"/>
        </w:rPr>
        <w:t>。</w:t>
      </w:r>
    </w:p>
    <w:bookmarkEnd w:id="1923"/>
    <w:p w14:paraId="1A3555D2">
      <w:pPr>
        <w:pStyle w:val="23"/>
        <w:spacing w:line="3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13.2.5移交、接收全部与部分工程</w:t>
      </w:r>
    </w:p>
    <w:bookmarkEnd w:id="1924"/>
    <w:p w14:paraId="5FAB989D">
      <w:pPr>
        <w:pStyle w:val="23"/>
        <w:spacing w:line="38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承包人向发包人移交工程的期限：</w:t>
      </w:r>
      <w:r>
        <w:rPr>
          <w:rFonts w:hint="eastAsia" w:ascii="宋体" w:hAnsi="宋体" w:cs="宋体"/>
          <w:color w:val="auto"/>
          <w:szCs w:val="21"/>
          <w:highlight w:val="none"/>
          <w:u w:val="single"/>
        </w:rPr>
        <w:t xml:space="preserve"> 竣工验收整改完毕三日内 </w:t>
      </w:r>
      <w:r>
        <w:rPr>
          <w:rFonts w:hint="eastAsia" w:ascii="宋体" w:hAnsi="宋体" w:cs="宋体"/>
          <w:color w:val="auto"/>
          <w:szCs w:val="21"/>
          <w:highlight w:val="none"/>
        </w:rPr>
        <w:t>。</w:t>
      </w:r>
    </w:p>
    <w:p w14:paraId="2BC966E9">
      <w:pPr>
        <w:pStyle w:val="23"/>
        <w:spacing w:line="380" w:lineRule="exact"/>
        <w:ind w:firstLine="420" w:firstLineChars="200"/>
        <w:jc w:val="left"/>
        <w:rPr>
          <w:rFonts w:ascii="宋体" w:hAnsi="宋体" w:cs="宋体"/>
          <w:color w:val="auto"/>
          <w:szCs w:val="21"/>
          <w:highlight w:val="none"/>
          <w:u w:val="single"/>
        </w:rPr>
      </w:pPr>
      <w:r>
        <w:rPr>
          <w:rFonts w:hint="eastAsia" w:ascii="宋体" w:hAnsi="宋体" w:cs="宋体"/>
          <w:color w:val="auto"/>
          <w:kern w:val="0"/>
          <w:szCs w:val="21"/>
          <w:highlight w:val="none"/>
        </w:rPr>
        <w:t>发包人未按本合同约定接收全部或部分工程的，违约金的计算方法为：</w:t>
      </w:r>
      <w:r>
        <w:rPr>
          <w:rFonts w:hint="eastAsia" w:ascii="宋体" w:hAnsi="宋体" w:cs="宋体"/>
          <w:color w:val="auto"/>
          <w:szCs w:val="21"/>
          <w:highlight w:val="none"/>
          <w:u w:val="single"/>
        </w:rPr>
        <w:t xml:space="preserve">  </w:t>
      </w:r>
      <w:r>
        <w:rPr>
          <w:rFonts w:hint="eastAsia" w:ascii="宋体" w:hAnsi="宋体" w:cs="宋体"/>
          <w:bCs/>
          <w:color w:val="auto"/>
          <w:szCs w:val="21"/>
          <w:highlight w:val="none"/>
          <w:u w:val="single"/>
        </w:rPr>
        <w:t>每逾期一天，按</w:t>
      </w:r>
      <w:r>
        <w:rPr>
          <w:rFonts w:hint="eastAsia" w:ascii="宋体" w:hAnsi="宋体" w:cs="宋体"/>
          <w:color w:val="auto"/>
          <w:szCs w:val="21"/>
          <w:highlight w:val="none"/>
          <w:u w:val="single"/>
          <w:lang w:val="zh-CN"/>
        </w:rPr>
        <w:t>签约合同价</w:t>
      </w:r>
      <w:r>
        <w:rPr>
          <w:rFonts w:hint="eastAsia" w:ascii="宋体" w:hAnsi="宋体" w:cs="宋体"/>
          <w:color w:val="auto"/>
          <w:szCs w:val="21"/>
          <w:highlight w:val="none"/>
          <w:u w:val="single"/>
        </w:rPr>
        <w:t>款扣除社会保险费、发包人材料价款、暂估专业工程、暂列金额后的万分之四/天</w:t>
      </w:r>
      <w:r>
        <w:rPr>
          <w:rFonts w:hint="eastAsia" w:ascii="宋体" w:hAnsi="宋体" w:cs="宋体"/>
          <w:bCs/>
          <w:color w:val="auto"/>
          <w:szCs w:val="21"/>
          <w:highlight w:val="none"/>
          <w:u w:val="single"/>
        </w:rPr>
        <w:t>支付违约金，最高限额为结算价的</w:t>
      </w:r>
      <w:r>
        <w:rPr>
          <w:rFonts w:hint="eastAsia" w:ascii="宋体" w:hAnsi="宋体" w:cs="宋体"/>
          <w:bCs/>
          <w:color w:val="auto"/>
          <w:szCs w:val="21"/>
          <w:highlight w:val="none"/>
          <w:u w:val="single"/>
          <w:lang w:val="en-US" w:eastAsia="zh-CN"/>
        </w:rPr>
        <w:t>1</w:t>
      </w:r>
      <w:r>
        <w:rPr>
          <w:rFonts w:hint="eastAsia" w:ascii="宋体" w:hAnsi="宋体" w:cs="宋体"/>
          <w:bCs/>
          <w:color w:val="auto"/>
          <w:szCs w:val="21"/>
          <w:highlight w:val="none"/>
          <w:u w:val="single"/>
        </w:rPr>
        <w:t xml:space="preserve">% </w:t>
      </w:r>
      <w:r>
        <w:rPr>
          <w:rFonts w:hint="eastAsia" w:ascii="宋体" w:hAnsi="宋体" w:cs="宋体"/>
          <w:color w:val="auto"/>
          <w:szCs w:val="21"/>
          <w:highlight w:val="none"/>
        </w:rPr>
        <w:t>。</w:t>
      </w:r>
    </w:p>
    <w:bookmarkEnd w:id="1925"/>
    <w:p w14:paraId="7E0C09F0">
      <w:pPr>
        <w:pStyle w:val="23"/>
        <w:spacing w:line="380" w:lineRule="exact"/>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承包人未按时移交工程的，违约金的计算方法为：</w:t>
      </w:r>
      <w:r>
        <w:rPr>
          <w:rFonts w:hint="eastAsia" w:ascii="宋体" w:hAnsi="宋体" w:cs="宋体"/>
          <w:color w:val="auto"/>
          <w:szCs w:val="21"/>
          <w:highlight w:val="none"/>
          <w:u w:val="single"/>
        </w:rPr>
        <w:t xml:space="preserve">  </w:t>
      </w:r>
      <w:r>
        <w:rPr>
          <w:rFonts w:hint="eastAsia" w:ascii="宋体" w:hAnsi="宋体" w:cs="宋体"/>
          <w:bCs/>
          <w:color w:val="auto"/>
          <w:szCs w:val="21"/>
          <w:highlight w:val="none"/>
          <w:u w:val="single"/>
        </w:rPr>
        <w:t>每逾期一天</w:t>
      </w:r>
      <w:r>
        <w:rPr>
          <w:rFonts w:hint="eastAsia" w:ascii="宋体" w:hAnsi="宋体" w:cs="宋体"/>
          <w:color w:val="auto"/>
          <w:szCs w:val="21"/>
          <w:highlight w:val="none"/>
          <w:u w:val="single"/>
        </w:rPr>
        <w:t>，按</w:t>
      </w:r>
      <w:r>
        <w:rPr>
          <w:rFonts w:hint="eastAsia" w:ascii="宋体" w:hAnsi="宋体" w:cs="宋体"/>
          <w:color w:val="auto"/>
          <w:szCs w:val="21"/>
          <w:highlight w:val="none"/>
          <w:u w:val="single"/>
          <w:lang w:val="zh-CN"/>
        </w:rPr>
        <w:t>签约合同价</w:t>
      </w:r>
      <w:r>
        <w:rPr>
          <w:rFonts w:hint="eastAsia" w:ascii="宋体" w:hAnsi="宋体" w:cs="宋体"/>
          <w:color w:val="auto"/>
          <w:szCs w:val="21"/>
          <w:highlight w:val="none"/>
          <w:u w:val="single"/>
        </w:rPr>
        <w:t xml:space="preserve">款扣除社会保险费、发包人材料价款、暂估专业工程、暂列金额后的万分之四/天支付违约金，最高限额为结算价的3%  </w:t>
      </w:r>
      <w:r>
        <w:rPr>
          <w:rFonts w:hint="eastAsia" w:ascii="宋体" w:hAnsi="宋体" w:cs="宋体"/>
          <w:color w:val="auto"/>
          <w:szCs w:val="21"/>
          <w:highlight w:val="none"/>
        </w:rPr>
        <w:t>。</w:t>
      </w:r>
    </w:p>
    <w:p w14:paraId="2294C062">
      <w:pPr>
        <w:pStyle w:val="38"/>
        <w:spacing w:line="380" w:lineRule="exact"/>
        <w:ind w:firstLine="422" w:firstLineChars="200"/>
        <w:rPr>
          <w:rFonts w:ascii="宋体" w:cs="宋体"/>
          <w:color w:val="auto"/>
          <w:highlight w:val="none"/>
        </w:rPr>
      </w:pPr>
      <w:bookmarkStart w:id="1928" w:name="_Toc373227756"/>
      <w:bookmarkStart w:id="1929" w:name="_Toc418518167"/>
      <w:bookmarkStart w:id="1930" w:name="_Toc373478403"/>
      <w:bookmarkStart w:id="1931" w:name="_Toc418751853"/>
      <w:bookmarkStart w:id="1932" w:name="_Toc22147"/>
      <w:bookmarkStart w:id="1933" w:name="_Toc389065321"/>
      <w:bookmarkStart w:id="1934" w:name="_Toc403578991"/>
      <w:bookmarkStart w:id="1935" w:name="_Toc497747235"/>
      <w:bookmarkStart w:id="1936" w:name="_Toc256000234"/>
      <w:bookmarkStart w:id="1937" w:name="_Toc522201783"/>
      <w:bookmarkStart w:id="1938" w:name="_Toc418061368"/>
      <w:bookmarkStart w:id="1939" w:name="_Toc418518403"/>
      <w:bookmarkStart w:id="1940" w:name="_Toc497746838"/>
      <w:bookmarkStart w:id="1941" w:name="_Toc418752299"/>
      <w:r>
        <w:rPr>
          <w:rFonts w:hint="eastAsia" w:ascii="宋体" w:cs="宋体"/>
          <w:color w:val="auto"/>
          <w:highlight w:val="none"/>
        </w:rPr>
        <w:t>13.3 工程试车</w:t>
      </w:r>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p>
    <w:bookmarkEnd w:id="1926"/>
    <w:p w14:paraId="14FBD72B">
      <w:pPr>
        <w:pStyle w:val="23"/>
        <w:spacing w:line="38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13.3.1 试车程序</w:t>
      </w:r>
    </w:p>
    <w:p w14:paraId="4A87DEDB">
      <w:pPr>
        <w:pStyle w:val="23"/>
        <w:spacing w:line="380" w:lineRule="exact"/>
        <w:ind w:firstLine="420" w:firstLineChars="200"/>
        <w:jc w:val="left"/>
        <w:rPr>
          <w:rFonts w:ascii="宋体" w:hAnsi="宋体" w:cs="宋体"/>
          <w:color w:val="auto"/>
          <w:szCs w:val="21"/>
          <w:highlight w:val="none"/>
          <w:u w:val="single"/>
        </w:rPr>
      </w:pPr>
      <w:r>
        <w:rPr>
          <w:rFonts w:hint="eastAsia" w:ascii="宋体" w:hAnsi="宋体" w:cs="宋体"/>
          <w:color w:val="auto"/>
          <w:kern w:val="0"/>
          <w:szCs w:val="21"/>
          <w:highlight w:val="none"/>
        </w:rPr>
        <w:t>工程试车内容：</w:t>
      </w:r>
      <w:r>
        <w:rPr>
          <w:rFonts w:hint="eastAsia" w:ascii="宋体" w:hAnsi="宋体" w:cs="宋体"/>
          <w:color w:val="auto"/>
          <w:szCs w:val="21"/>
          <w:highlight w:val="none"/>
          <w:u w:val="single"/>
        </w:rPr>
        <w:t xml:space="preserve">  为达到本工程的验收标准，工程范围内的设施和承包人安装的设备应进行试运行调试，费用由承包人自行负责并已包括在投标报价中 </w:t>
      </w:r>
      <w:r>
        <w:rPr>
          <w:rFonts w:hint="eastAsia" w:ascii="宋体" w:hAnsi="宋体" w:cs="宋体"/>
          <w:color w:val="auto"/>
          <w:szCs w:val="21"/>
          <w:highlight w:val="none"/>
        </w:rPr>
        <w:t>。</w:t>
      </w:r>
    </w:p>
    <w:p w14:paraId="66E56FE1">
      <w:pPr>
        <w:pStyle w:val="23"/>
        <w:spacing w:line="38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（1）单机无负荷试车费用由</w:t>
      </w:r>
      <w:r>
        <w:rPr>
          <w:rFonts w:hint="eastAsia" w:ascii="宋体" w:hAnsi="宋体" w:cs="宋体"/>
          <w:color w:val="auto"/>
          <w:szCs w:val="21"/>
          <w:highlight w:val="none"/>
          <w:u w:val="single"/>
        </w:rPr>
        <w:t xml:space="preserve">  承包人组织试运行，费用由承包人</w:t>
      </w:r>
      <w:r>
        <w:rPr>
          <w:rFonts w:hint="eastAsia" w:ascii="宋体" w:hAnsi="宋体" w:cs="宋体"/>
          <w:color w:val="auto"/>
          <w:kern w:val="0"/>
          <w:szCs w:val="21"/>
          <w:highlight w:val="none"/>
        </w:rPr>
        <w:t>承担；</w:t>
      </w:r>
    </w:p>
    <w:p w14:paraId="2547FF84">
      <w:pPr>
        <w:pStyle w:val="23"/>
        <w:spacing w:line="38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（2）无负荷联动试车费用由</w:t>
      </w:r>
      <w:r>
        <w:rPr>
          <w:rFonts w:hint="eastAsia" w:ascii="宋体" w:hAnsi="宋体" w:cs="宋体"/>
          <w:color w:val="auto"/>
          <w:szCs w:val="21"/>
          <w:highlight w:val="none"/>
          <w:u w:val="single"/>
        </w:rPr>
        <w:t xml:space="preserve">  承包人组织试运行，费用由承包人</w:t>
      </w:r>
      <w:r>
        <w:rPr>
          <w:rFonts w:hint="eastAsia" w:ascii="宋体" w:hAnsi="宋体" w:cs="宋体"/>
          <w:color w:val="auto"/>
          <w:kern w:val="0"/>
          <w:szCs w:val="21"/>
          <w:highlight w:val="none"/>
        </w:rPr>
        <w:t>承担。</w:t>
      </w:r>
    </w:p>
    <w:p w14:paraId="64BC3BEA">
      <w:pPr>
        <w:pStyle w:val="23"/>
        <w:spacing w:line="38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13.3.3 投料试车</w:t>
      </w:r>
    </w:p>
    <w:p w14:paraId="23E5ED0D">
      <w:pPr>
        <w:pStyle w:val="23"/>
        <w:spacing w:line="380" w:lineRule="exact"/>
        <w:ind w:firstLine="420" w:firstLineChars="200"/>
        <w:jc w:val="left"/>
        <w:rPr>
          <w:rFonts w:ascii="宋体" w:hAnsi="宋体" w:cs="宋体"/>
          <w:color w:val="auto"/>
          <w:szCs w:val="21"/>
          <w:highlight w:val="none"/>
          <w:u w:val="single"/>
        </w:rPr>
      </w:pPr>
      <w:r>
        <w:rPr>
          <w:rFonts w:hint="eastAsia" w:ascii="宋体" w:hAnsi="宋体" w:cs="宋体"/>
          <w:color w:val="auto"/>
          <w:kern w:val="0"/>
          <w:szCs w:val="21"/>
          <w:highlight w:val="none"/>
        </w:rPr>
        <w:t>关于投料试车相关事项的约定：</w:t>
      </w:r>
      <w:r>
        <w:rPr>
          <w:rFonts w:hint="eastAsia" w:ascii="宋体" w:hAnsi="宋体" w:cs="宋体"/>
          <w:color w:val="auto"/>
          <w:szCs w:val="21"/>
          <w:highlight w:val="none"/>
          <w:u w:val="single"/>
        </w:rPr>
        <w:t xml:space="preserve"> 由承包人组织试运行，费用由承包人承担 </w:t>
      </w:r>
      <w:r>
        <w:rPr>
          <w:rFonts w:hint="eastAsia" w:ascii="宋体" w:hAnsi="宋体" w:cs="宋体"/>
          <w:color w:val="auto"/>
          <w:szCs w:val="21"/>
          <w:highlight w:val="none"/>
        </w:rPr>
        <w:t>。</w:t>
      </w:r>
    </w:p>
    <w:p w14:paraId="23D56F7B">
      <w:pPr>
        <w:pStyle w:val="38"/>
        <w:spacing w:line="380" w:lineRule="exact"/>
        <w:ind w:firstLine="422" w:firstLineChars="200"/>
        <w:rPr>
          <w:rFonts w:ascii="宋体" w:cs="宋体"/>
          <w:color w:val="auto"/>
          <w:highlight w:val="none"/>
        </w:rPr>
      </w:pPr>
      <w:bookmarkStart w:id="1942" w:name="_Toc418518404"/>
      <w:bookmarkStart w:id="1943" w:name="_Toc403578992"/>
      <w:bookmarkStart w:id="1944" w:name="_Toc418751854"/>
      <w:bookmarkStart w:id="1945" w:name="_Toc373227757"/>
      <w:bookmarkStart w:id="1946" w:name="_Toc16016"/>
      <w:bookmarkStart w:id="1947" w:name="_Toc497746839"/>
      <w:bookmarkStart w:id="1948" w:name="_Toc418518168"/>
      <w:bookmarkStart w:id="1949" w:name="_Toc256000235"/>
      <w:bookmarkStart w:id="1950" w:name="_Toc418752300"/>
      <w:bookmarkStart w:id="1951" w:name="_Toc418061369"/>
      <w:bookmarkStart w:id="1952" w:name="_Toc522201784"/>
      <w:bookmarkStart w:id="1953" w:name="_Toc373478404"/>
      <w:bookmarkStart w:id="1954" w:name="_Toc389065322"/>
      <w:bookmarkStart w:id="1955" w:name="_Toc497747236"/>
      <w:r>
        <w:rPr>
          <w:rFonts w:hint="eastAsia" w:ascii="宋体" w:cs="宋体"/>
          <w:color w:val="auto"/>
          <w:highlight w:val="none"/>
        </w:rPr>
        <w:t>13.6 竣工退场</w:t>
      </w:r>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p>
    <w:p w14:paraId="6058CC47">
      <w:pPr>
        <w:pStyle w:val="23"/>
        <w:spacing w:line="38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13.6.1 竣工退场</w:t>
      </w:r>
    </w:p>
    <w:p w14:paraId="05267810">
      <w:pPr>
        <w:pStyle w:val="23"/>
        <w:spacing w:line="38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承包人完成竣工退场的期限：</w:t>
      </w:r>
      <w:r>
        <w:rPr>
          <w:rFonts w:hint="eastAsia" w:ascii="宋体" w:hAnsi="宋体" w:cs="宋体"/>
          <w:color w:val="auto"/>
          <w:szCs w:val="21"/>
          <w:highlight w:val="none"/>
          <w:u w:val="single"/>
        </w:rPr>
        <w:t>监理人颁发(出具)工程接收证书后，承包人负责按照通用合同条款本项约定的要求对施工场地进行清理并承担相关费用，直至监理人检验合格后七日内，如承包人到期后不退场，发包人有权安排其他人员进行清理，费用从承包人工程款中扣除。</w:t>
      </w:r>
    </w:p>
    <w:p w14:paraId="63C3DD8A">
      <w:pPr>
        <w:pStyle w:val="38"/>
        <w:spacing w:line="380" w:lineRule="exact"/>
        <w:rPr>
          <w:rFonts w:ascii="宋体" w:cs="宋体"/>
          <w:color w:val="auto"/>
          <w:highlight w:val="none"/>
        </w:rPr>
      </w:pPr>
      <w:bookmarkStart w:id="1956" w:name="_Toc389065323"/>
      <w:bookmarkStart w:id="1957" w:name="_Toc418518405"/>
      <w:bookmarkStart w:id="1958" w:name="_Toc418751855"/>
      <w:bookmarkStart w:id="1959" w:name="_Toc418061370"/>
      <w:bookmarkStart w:id="1960" w:name="_Toc373478405"/>
      <w:bookmarkStart w:id="1961" w:name="_Toc15239"/>
      <w:bookmarkStart w:id="1962" w:name="_Toc418752301"/>
      <w:bookmarkStart w:id="1963" w:name="_Toc351203646"/>
      <w:bookmarkStart w:id="1964" w:name="_Toc497747237"/>
      <w:bookmarkStart w:id="1965" w:name="_Toc256000236"/>
      <w:bookmarkStart w:id="1966" w:name="_Toc522201785"/>
      <w:bookmarkStart w:id="1967" w:name="_Toc497746840"/>
      <w:bookmarkStart w:id="1968" w:name="_Toc418518169"/>
      <w:bookmarkStart w:id="1969" w:name="_Toc373227758"/>
      <w:bookmarkStart w:id="1970" w:name="_Toc403578993"/>
      <w:r>
        <w:rPr>
          <w:rFonts w:hint="eastAsia" w:ascii="宋体" w:cs="宋体"/>
          <w:color w:val="auto"/>
          <w:highlight w:val="none"/>
        </w:rPr>
        <w:t>14. 竣工结算</w:t>
      </w:r>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p>
    <w:p w14:paraId="58330986">
      <w:pPr>
        <w:pStyle w:val="38"/>
        <w:spacing w:line="380" w:lineRule="exact"/>
        <w:ind w:firstLine="422" w:firstLineChars="200"/>
        <w:rPr>
          <w:rFonts w:ascii="宋体" w:cs="宋体"/>
          <w:color w:val="auto"/>
          <w:highlight w:val="none"/>
        </w:rPr>
      </w:pPr>
      <w:bookmarkStart w:id="1971" w:name="_Toc497747238"/>
      <w:bookmarkStart w:id="1972" w:name="_Toc418061371"/>
      <w:bookmarkStart w:id="1973" w:name="_Toc418518406"/>
      <w:bookmarkStart w:id="1974" w:name="_Toc418518170"/>
      <w:bookmarkStart w:id="1975" w:name="_Toc373227759"/>
      <w:bookmarkStart w:id="1976" w:name="_Toc256000237"/>
      <w:bookmarkStart w:id="1977" w:name="_Toc403578994"/>
      <w:bookmarkStart w:id="1978" w:name="_Toc418751856"/>
      <w:bookmarkStart w:id="1979" w:name="_Toc522201786"/>
      <w:bookmarkStart w:id="1980" w:name="_Toc5496"/>
      <w:bookmarkStart w:id="1981" w:name="_Toc418752302"/>
      <w:bookmarkStart w:id="1982" w:name="_Toc373478406"/>
      <w:bookmarkStart w:id="1983" w:name="_Toc497746841"/>
      <w:bookmarkStart w:id="1984" w:name="_Toc389065324"/>
      <w:r>
        <w:rPr>
          <w:rFonts w:hint="eastAsia" w:ascii="宋体" w:cs="宋体"/>
          <w:color w:val="auto"/>
          <w:highlight w:val="none"/>
        </w:rPr>
        <w:t>14.1 竣工结算申请</w:t>
      </w:r>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p>
    <w:p w14:paraId="071B7EF5">
      <w:pPr>
        <w:pStyle w:val="23"/>
        <w:spacing w:line="3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承包人提交竣工结算申请单的期限：</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u w:val="single"/>
        </w:rPr>
        <w:t>具备竣工收条件后28天内</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22EA0DA8">
      <w:pPr>
        <w:pStyle w:val="23"/>
        <w:spacing w:line="380" w:lineRule="exact"/>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竣工结算申请单应包括的内容：</w:t>
      </w:r>
      <w:r>
        <w:rPr>
          <w:rFonts w:hint="eastAsia" w:ascii="宋体" w:hAnsi="宋体" w:cs="宋体"/>
          <w:color w:val="auto"/>
          <w:kern w:val="0"/>
          <w:szCs w:val="21"/>
          <w:highlight w:val="none"/>
          <w:u w:val="single"/>
        </w:rPr>
        <w:t xml:space="preserve"> </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u w:val="single"/>
        </w:rPr>
        <w:t>竣工结算由承包人提交相关结算资料（主要包括合同、工程量计算书、结算书、变更设计通知单、签证单、竣工图）齐全后经监理初审、发包人审核后，</w:t>
      </w:r>
      <w:r>
        <w:rPr>
          <w:rFonts w:hint="eastAsia" w:ascii="宋体" w:hAnsi="宋体" w:cs="宋体"/>
          <w:color w:val="auto"/>
          <w:szCs w:val="21"/>
          <w:highlight w:val="none"/>
          <w:u w:val="single"/>
        </w:rPr>
        <w:t>最终结算以</w:t>
      </w:r>
      <w:r>
        <w:rPr>
          <w:rFonts w:hint="eastAsia" w:ascii="宋体" w:hAnsi="宋体" w:cs="宋体"/>
          <w:color w:val="auto"/>
          <w:szCs w:val="21"/>
          <w:highlight w:val="none"/>
          <w:u w:val="single"/>
          <w:lang w:eastAsia="zh-CN"/>
        </w:rPr>
        <w:t>财政局</w:t>
      </w:r>
      <w:r>
        <w:rPr>
          <w:rFonts w:hint="eastAsia" w:ascii="宋体" w:hAnsi="宋体" w:cs="宋体"/>
          <w:color w:val="auto"/>
          <w:szCs w:val="21"/>
          <w:highlight w:val="none"/>
          <w:u w:val="single"/>
        </w:rPr>
        <w:t xml:space="preserve">或发包人委托的造价咨询机构审定并经发包人及承包人双方确认的金额为准 </w:t>
      </w:r>
      <w:r>
        <w:rPr>
          <w:rFonts w:hint="eastAsia" w:ascii="宋体" w:hAnsi="宋体" w:cs="宋体"/>
          <w:color w:val="auto"/>
          <w:szCs w:val="21"/>
          <w:highlight w:val="none"/>
        </w:rPr>
        <w:t>。</w:t>
      </w:r>
    </w:p>
    <w:p w14:paraId="32ABC7F4">
      <w:pPr>
        <w:pStyle w:val="38"/>
        <w:spacing w:line="380" w:lineRule="exact"/>
        <w:ind w:firstLine="422" w:firstLineChars="200"/>
        <w:rPr>
          <w:rFonts w:ascii="宋体" w:cs="宋体"/>
          <w:color w:val="auto"/>
          <w:highlight w:val="none"/>
        </w:rPr>
      </w:pPr>
      <w:bookmarkStart w:id="1985" w:name="_Toc1173"/>
      <w:bookmarkStart w:id="1986" w:name="_Toc373478407"/>
      <w:bookmarkStart w:id="1987" w:name="_Toc418751857"/>
      <w:bookmarkStart w:id="1988" w:name="_Toc418518407"/>
      <w:bookmarkStart w:id="1989" w:name="_Toc497746842"/>
      <w:bookmarkStart w:id="1990" w:name="_Toc418752303"/>
      <w:bookmarkStart w:id="1991" w:name="_Toc256000238"/>
      <w:bookmarkStart w:id="1992" w:name="_Toc497747239"/>
      <w:bookmarkStart w:id="1993" w:name="_Toc418061372"/>
      <w:bookmarkStart w:id="1994" w:name="_Toc389065325"/>
      <w:bookmarkStart w:id="1995" w:name="_Toc373227760"/>
      <w:bookmarkStart w:id="1996" w:name="_Toc403578995"/>
      <w:bookmarkStart w:id="1997" w:name="_Toc418518171"/>
      <w:bookmarkStart w:id="1998" w:name="_Toc522201787"/>
      <w:r>
        <w:rPr>
          <w:rFonts w:hint="eastAsia" w:ascii="宋体" w:cs="宋体"/>
          <w:color w:val="auto"/>
          <w:highlight w:val="none"/>
        </w:rPr>
        <w:t>14.2 竣工结算审核</w:t>
      </w:r>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p>
    <w:p w14:paraId="382C054D">
      <w:pPr>
        <w:pStyle w:val="23"/>
        <w:spacing w:line="3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发包人审批竣工付款申请单的期限：</w:t>
      </w:r>
    </w:p>
    <w:tbl>
      <w:tblPr>
        <w:tblStyle w:val="29"/>
        <w:tblW w:w="9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2616"/>
        <w:gridCol w:w="5817"/>
      </w:tblGrid>
      <w:tr w14:paraId="09D56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14:paraId="5A086A41">
            <w:pPr>
              <w:pStyle w:val="23"/>
              <w:spacing w:line="380" w:lineRule="exact"/>
              <w:jc w:val="center"/>
              <w:rPr>
                <w:rFonts w:ascii="宋体" w:hAnsi="宋体" w:cs="宋体"/>
                <w:bCs/>
                <w:color w:val="auto"/>
                <w:szCs w:val="21"/>
                <w:highlight w:val="none"/>
              </w:rPr>
            </w:pPr>
          </w:p>
        </w:tc>
        <w:tc>
          <w:tcPr>
            <w:tcW w:w="2616" w:type="dxa"/>
            <w:noWrap w:val="0"/>
            <w:vAlign w:val="center"/>
          </w:tcPr>
          <w:p w14:paraId="4932DAFC">
            <w:pPr>
              <w:pStyle w:val="23"/>
              <w:spacing w:line="380" w:lineRule="exact"/>
              <w:ind w:firstLine="27" w:firstLineChars="13"/>
              <w:jc w:val="center"/>
              <w:rPr>
                <w:rFonts w:ascii="宋体" w:hAnsi="宋体" w:cs="宋体"/>
                <w:bCs/>
                <w:color w:val="auto"/>
                <w:szCs w:val="21"/>
                <w:highlight w:val="none"/>
              </w:rPr>
            </w:pPr>
            <w:r>
              <w:rPr>
                <w:rFonts w:hint="eastAsia" w:ascii="宋体" w:hAnsi="宋体" w:cs="宋体"/>
                <w:bCs/>
                <w:color w:val="auto"/>
                <w:szCs w:val="21"/>
                <w:highlight w:val="none"/>
              </w:rPr>
              <w:t>工程竣工结算报告金额</w:t>
            </w:r>
          </w:p>
        </w:tc>
        <w:tc>
          <w:tcPr>
            <w:tcW w:w="5817" w:type="dxa"/>
            <w:noWrap w:val="0"/>
            <w:vAlign w:val="center"/>
          </w:tcPr>
          <w:p w14:paraId="12E66DC9">
            <w:pPr>
              <w:pStyle w:val="23"/>
              <w:spacing w:line="380" w:lineRule="exact"/>
              <w:jc w:val="center"/>
              <w:rPr>
                <w:rFonts w:ascii="宋体" w:hAnsi="宋体" w:cs="宋体"/>
                <w:bCs/>
                <w:color w:val="auto"/>
                <w:szCs w:val="21"/>
                <w:highlight w:val="none"/>
              </w:rPr>
            </w:pPr>
            <w:r>
              <w:rPr>
                <w:rFonts w:hint="eastAsia" w:ascii="宋体" w:hAnsi="宋体" w:cs="宋体"/>
                <w:bCs/>
                <w:color w:val="auto"/>
                <w:szCs w:val="21"/>
                <w:highlight w:val="none"/>
              </w:rPr>
              <w:t>发包人审查时间</w:t>
            </w:r>
          </w:p>
        </w:tc>
      </w:tr>
      <w:tr w14:paraId="71F4C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14:paraId="57BB19DC">
            <w:pPr>
              <w:pStyle w:val="23"/>
              <w:spacing w:line="380" w:lineRule="exact"/>
              <w:jc w:val="center"/>
              <w:rPr>
                <w:rFonts w:ascii="宋体" w:hAnsi="宋体" w:cs="宋体"/>
                <w:bCs/>
                <w:color w:val="auto"/>
                <w:szCs w:val="21"/>
                <w:highlight w:val="none"/>
              </w:rPr>
            </w:pPr>
            <w:r>
              <w:rPr>
                <w:rFonts w:hint="eastAsia" w:ascii="宋体" w:hAnsi="宋体" w:cs="宋体"/>
                <w:bCs/>
                <w:color w:val="auto"/>
                <w:szCs w:val="21"/>
                <w:highlight w:val="none"/>
              </w:rPr>
              <w:t>1</w:t>
            </w:r>
          </w:p>
        </w:tc>
        <w:tc>
          <w:tcPr>
            <w:tcW w:w="2616" w:type="dxa"/>
            <w:noWrap w:val="0"/>
            <w:vAlign w:val="center"/>
          </w:tcPr>
          <w:p w14:paraId="05500662">
            <w:pPr>
              <w:pStyle w:val="23"/>
              <w:spacing w:line="380" w:lineRule="exact"/>
              <w:ind w:firstLine="27" w:firstLineChars="13"/>
              <w:jc w:val="center"/>
              <w:rPr>
                <w:rFonts w:ascii="宋体" w:hAnsi="宋体" w:cs="宋体"/>
                <w:bCs/>
                <w:color w:val="auto"/>
                <w:szCs w:val="21"/>
                <w:highlight w:val="none"/>
              </w:rPr>
            </w:pPr>
            <w:r>
              <w:rPr>
                <w:rFonts w:hint="eastAsia" w:ascii="宋体" w:hAnsi="宋体" w:cs="宋体"/>
                <w:bCs/>
                <w:color w:val="auto"/>
                <w:szCs w:val="21"/>
                <w:highlight w:val="none"/>
              </w:rPr>
              <w:t>500万元以下</w:t>
            </w:r>
          </w:p>
        </w:tc>
        <w:tc>
          <w:tcPr>
            <w:tcW w:w="5817" w:type="dxa"/>
            <w:noWrap w:val="0"/>
            <w:vAlign w:val="center"/>
          </w:tcPr>
          <w:p w14:paraId="32307A41">
            <w:pPr>
              <w:pStyle w:val="23"/>
              <w:spacing w:line="380" w:lineRule="exact"/>
              <w:jc w:val="center"/>
              <w:rPr>
                <w:rFonts w:ascii="宋体" w:hAnsi="宋体" w:cs="宋体"/>
                <w:bCs/>
                <w:color w:val="auto"/>
                <w:szCs w:val="21"/>
                <w:highlight w:val="none"/>
              </w:rPr>
            </w:pPr>
            <w:r>
              <w:rPr>
                <w:rFonts w:hint="eastAsia" w:ascii="宋体" w:hAnsi="宋体" w:cs="宋体"/>
                <w:bCs/>
                <w:color w:val="auto"/>
                <w:szCs w:val="21"/>
                <w:highlight w:val="none"/>
              </w:rPr>
              <w:t>从接到竣工结算报告和完整的竣工结算资料之日起20天</w:t>
            </w:r>
          </w:p>
        </w:tc>
      </w:tr>
      <w:tr w14:paraId="584BD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14:paraId="33EFA0FE">
            <w:pPr>
              <w:pStyle w:val="23"/>
              <w:spacing w:line="380" w:lineRule="exact"/>
              <w:jc w:val="center"/>
              <w:rPr>
                <w:rFonts w:ascii="宋体" w:hAnsi="宋体" w:cs="宋体"/>
                <w:bCs/>
                <w:color w:val="auto"/>
                <w:szCs w:val="21"/>
                <w:highlight w:val="none"/>
              </w:rPr>
            </w:pPr>
            <w:r>
              <w:rPr>
                <w:rFonts w:hint="eastAsia" w:ascii="宋体" w:hAnsi="宋体" w:cs="宋体"/>
                <w:bCs/>
                <w:color w:val="auto"/>
                <w:szCs w:val="21"/>
                <w:highlight w:val="none"/>
              </w:rPr>
              <w:t>2</w:t>
            </w:r>
          </w:p>
        </w:tc>
        <w:tc>
          <w:tcPr>
            <w:tcW w:w="2616" w:type="dxa"/>
            <w:noWrap w:val="0"/>
            <w:vAlign w:val="center"/>
          </w:tcPr>
          <w:p w14:paraId="35253A67">
            <w:pPr>
              <w:pStyle w:val="23"/>
              <w:spacing w:line="380" w:lineRule="exact"/>
              <w:ind w:firstLine="27" w:firstLineChars="13"/>
              <w:jc w:val="center"/>
              <w:rPr>
                <w:rFonts w:ascii="宋体" w:hAnsi="宋体" w:cs="宋体"/>
                <w:bCs/>
                <w:color w:val="auto"/>
                <w:szCs w:val="21"/>
                <w:highlight w:val="none"/>
              </w:rPr>
            </w:pPr>
            <w:r>
              <w:rPr>
                <w:rFonts w:hint="eastAsia" w:ascii="宋体" w:hAnsi="宋体" w:cs="宋体"/>
                <w:bCs/>
                <w:color w:val="auto"/>
                <w:szCs w:val="21"/>
                <w:highlight w:val="none"/>
              </w:rPr>
              <w:t>500万元-2000万元</w:t>
            </w:r>
          </w:p>
        </w:tc>
        <w:tc>
          <w:tcPr>
            <w:tcW w:w="5817" w:type="dxa"/>
            <w:noWrap w:val="0"/>
            <w:vAlign w:val="center"/>
          </w:tcPr>
          <w:p w14:paraId="62CA5CF6">
            <w:pPr>
              <w:pStyle w:val="23"/>
              <w:spacing w:line="380" w:lineRule="exact"/>
              <w:jc w:val="center"/>
              <w:rPr>
                <w:rFonts w:ascii="宋体" w:hAnsi="宋体" w:cs="宋体"/>
                <w:bCs/>
                <w:color w:val="auto"/>
                <w:szCs w:val="21"/>
                <w:highlight w:val="none"/>
              </w:rPr>
            </w:pPr>
            <w:r>
              <w:rPr>
                <w:rFonts w:hint="eastAsia" w:ascii="宋体" w:hAnsi="宋体" w:cs="宋体"/>
                <w:bCs/>
                <w:color w:val="auto"/>
                <w:szCs w:val="21"/>
                <w:highlight w:val="none"/>
              </w:rPr>
              <w:t>从接到竣工结算报告和完整的竣工结算资料之日起30天</w:t>
            </w:r>
          </w:p>
        </w:tc>
      </w:tr>
      <w:tr w14:paraId="29E35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14:paraId="3DE6961A">
            <w:pPr>
              <w:pStyle w:val="23"/>
              <w:spacing w:line="380" w:lineRule="exact"/>
              <w:jc w:val="center"/>
              <w:rPr>
                <w:rFonts w:ascii="宋体" w:hAnsi="宋体" w:cs="宋体"/>
                <w:bCs/>
                <w:color w:val="auto"/>
                <w:szCs w:val="21"/>
                <w:highlight w:val="none"/>
              </w:rPr>
            </w:pPr>
            <w:r>
              <w:rPr>
                <w:rFonts w:hint="eastAsia" w:ascii="宋体" w:hAnsi="宋体" w:cs="宋体"/>
                <w:bCs/>
                <w:color w:val="auto"/>
                <w:szCs w:val="21"/>
                <w:highlight w:val="none"/>
              </w:rPr>
              <w:t>3</w:t>
            </w:r>
          </w:p>
        </w:tc>
        <w:tc>
          <w:tcPr>
            <w:tcW w:w="2616" w:type="dxa"/>
            <w:noWrap w:val="0"/>
            <w:vAlign w:val="center"/>
          </w:tcPr>
          <w:p w14:paraId="26A949A4">
            <w:pPr>
              <w:pStyle w:val="23"/>
              <w:spacing w:line="380" w:lineRule="exact"/>
              <w:ind w:firstLine="27" w:firstLineChars="13"/>
              <w:jc w:val="center"/>
              <w:rPr>
                <w:rFonts w:ascii="宋体" w:hAnsi="宋体" w:cs="宋体"/>
                <w:bCs/>
                <w:color w:val="auto"/>
                <w:szCs w:val="21"/>
                <w:highlight w:val="none"/>
              </w:rPr>
            </w:pPr>
            <w:r>
              <w:rPr>
                <w:rFonts w:hint="eastAsia" w:ascii="宋体" w:hAnsi="宋体" w:cs="宋体"/>
                <w:bCs/>
                <w:color w:val="auto"/>
                <w:szCs w:val="21"/>
                <w:highlight w:val="none"/>
              </w:rPr>
              <w:t>2000万元-5000万元</w:t>
            </w:r>
          </w:p>
        </w:tc>
        <w:tc>
          <w:tcPr>
            <w:tcW w:w="5817" w:type="dxa"/>
            <w:noWrap w:val="0"/>
            <w:vAlign w:val="center"/>
          </w:tcPr>
          <w:p w14:paraId="65335E55">
            <w:pPr>
              <w:pStyle w:val="23"/>
              <w:spacing w:line="380" w:lineRule="exact"/>
              <w:jc w:val="center"/>
              <w:rPr>
                <w:rFonts w:ascii="宋体" w:hAnsi="宋体" w:cs="宋体"/>
                <w:bCs/>
                <w:color w:val="auto"/>
                <w:szCs w:val="21"/>
                <w:highlight w:val="none"/>
              </w:rPr>
            </w:pPr>
            <w:r>
              <w:rPr>
                <w:rFonts w:hint="eastAsia" w:ascii="宋体" w:hAnsi="宋体" w:cs="宋体"/>
                <w:bCs/>
                <w:color w:val="auto"/>
                <w:szCs w:val="21"/>
                <w:highlight w:val="none"/>
              </w:rPr>
              <w:t>从接到竣工结算报告和完整的竣工结算资料之日起45天</w:t>
            </w:r>
          </w:p>
        </w:tc>
      </w:tr>
      <w:tr w14:paraId="6EF8C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14:paraId="517A4525">
            <w:pPr>
              <w:pStyle w:val="23"/>
              <w:spacing w:line="380" w:lineRule="exact"/>
              <w:jc w:val="center"/>
              <w:rPr>
                <w:rFonts w:ascii="宋体" w:hAnsi="宋体" w:cs="宋体"/>
                <w:bCs/>
                <w:color w:val="auto"/>
                <w:szCs w:val="21"/>
                <w:highlight w:val="none"/>
              </w:rPr>
            </w:pPr>
            <w:r>
              <w:rPr>
                <w:rFonts w:hint="eastAsia" w:ascii="宋体" w:hAnsi="宋体" w:cs="宋体"/>
                <w:bCs/>
                <w:color w:val="auto"/>
                <w:szCs w:val="21"/>
                <w:highlight w:val="none"/>
              </w:rPr>
              <w:t>4</w:t>
            </w:r>
          </w:p>
        </w:tc>
        <w:tc>
          <w:tcPr>
            <w:tcW w:w="2616" w:type="dxa"/>
            <w:noWrap w:val="0"/>
            <w:vAlign w:val="center"/>
          </w:tcPr>
          <w:p w14:paraId="0D1E85E8">
            <w:pPr>
              <w:pStyle w:val="23"/>
              <w:spacing w:line="380" w:lineRule="exact"/>
              <w:ind w:firstLine="27" w:firstLineChars="13"/>
              <w:jc w:val="center"/>
              <w:rPr>
                <w:rFonts w:ascii="宋体" w:hAnsi="宋体" w:cs="宋体"/>
                <w:bCs/>
                <w:color w:val="auto"/>
                <w:szCs w:val="21"/>
                <w:highlight w:val="none"/>
              </w:rPr>
            </w:pPr>
            <w:r>
              <w:rPr>
                <w:rFonts w:hint="eastAsia" w:ascii="宋体" w:hAnsi="宋体" w:cs="宋体"/>
                <w:bCs/>
                <w:color w:val="auto"/>
                <w:szCs w:val="21"/>
                <w:highlight w:val="none"/>
              </w:rPr>
              <w:t>5000万元以上</w:t>
            </w:r>
          </w:p>
        </w:tc>
        <w:tc>
          <w:tcPr>
            <w:tcW w:w="5817" w:type="dxa"/>
            <w:noWrap w:val="0"/>
            <w:vAlign w:val="center"/>
          </w:tcPr>
          <w:p w14:paraId="76D7F809">
            <w:pPr>
              <w:pStyle w:val="23"/>
              <w:spacing w:line="380" w:lineRule="exact"/>
              <w:jc w:val="center"/>
              <w:rPr>
                <w:rFonts w:ascii="宋体" w:hAnsi="宋体" w:cs="宋体"/>
                <w:bCs/>
                <w:color w:val="auto"/>
                <w:szCs w:val="21"/>
                <w:highlight w:val="none"/>
              </w:rPr>
            </w:pPr>
            <w:r>
              <w:rPr>
                <w:rFonts w:hint="eastAsia" w:ascii="宋体" w:hAnsi="宋体" w:cs="宋体"/>
                <w:bCs/>
                <w:color w:val="auto"/>
                <w:szCs w:val="21"/>
                <w:highlight w:val="none"/>
              </w:rPr>
              <w:t>从接到竣工结算报告和完整的竣工结算资料之日起60天</w:t>
            </w:r>
          </w:p>
        </w:tc>
      </w:tr>
    </w:tbl>
    <w:p w14:paraId="4D4FC5CC">
      <w:pPr>
        <w:pStyle w:val="23"/>
        <w:spacing w:line="380" w:lineRule="exact"/>
        <w:ind w:firstLine="420" w:firstLineChars="200"/>
        <w:jc w:val="left"/>
        <w:rPr>
          <w:rFonts w:ascii="宋体" w:hAnsi="宋体" w:cs="宋体"/>
          <w:color w:val="auto"/>
          <w:szCs w:val="21"/>
          <w:highlight w:val="none"/>
        </w:rPr>
      </w:pPr>
      <w:r>
        <w:rPr>
          <w:rFonts w:hint="eastAsia" w:ascii="宋体" w:hAnsi="宋体" w:cs="宋体"/>
          <w:bCs/>
          <w:color w:val="auto"/>
          <w:szCs w:val="21"/>
          <w:highlight w:val="none"/>
        </w:rPr>
        <w:t>因承包人提供的结算资料不完整而需要补充或承包人不按时对账耽误时间时，审查时间应相应顺延</w:t>
      </w:r>
      <w:r>
        <w:rPr>
          <w:rFonts w:hint="eastAsia" w:ascii="宋体" w:hAnsi="宋体" w:cs="宋体"/>
          <w:color w:val="auto"/>
          <w:szCs w:val="21"/>
          <w:highlight w:val="none"/>
        </w:rPr>
        <w:t>。</w:t>
      </w:r>
    </w:p>
    <w:p w14:paraId="16519C0C">
      <w:pPr>
        <w:pStyle w:val="23"/>
        <w:spacing w:line="3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发包人完成竣工付款的期限：</w:t>
      </w:r>
      <w:r>
        <w:rPr>
          <w:rFonts w:ascii="宋体" w:hAnsi="宋体" w:cs="宋体"/>
          <w:color w:val="auto"/>
          <w:szCs w:val="21"/>
          <w:highlight w:val="none"/>
          <w:u w:val="single"/>
        </w:rPr>
        <w:t>结算审核报告出具</w:t>
      </w:r>
      <w:r>
        <w:rPr>
          <w:rFonts w:hint="eastAsia" w:ascii="宋体" w:hAnsi="宋体" w:cs="宋体"/>
          <w:color w:val="auto"/>
          <w:szCs w:val="21"/>
          <w:highlight w:val="none"/>
          <w:u w:val="single"/>
        </w:rPr>
        <w:t>后且</w:t>
      </w:r>
      <w:r>
        <w:rPr>
          <w:rFonts w:hint="eastAsia" w:ascii="宋体" w:hAnsi="宋体"/>
          <w:color w:val="auto"/>
          <w:szCs w:val="21"/>
          <w:highlight w:val="none"/>
          <w:u w:val="single"/>
        </w:rPr>
        <w:t>审核完承包人的竣工付款申请单30天内</w:t>
      </w:r>
      <w:r>
        <w:rPr>
          <w:rFonts w:hint="eastAsia" w:ascii="宋体" w:hAnsi="宋体" w:cs="宋体"/>
          <w:color w:val="auto"/>
          <w:szCs w:val="21"/>
          <w:highlight w:val="none"/>
        </w:rPr>
        <w:t>。</w:t>
      </w:r>
    </w:p>
    <w:p w14:paraId="15A976B8">
      <w:pPr>
        <w:pStyle w:val="23"/>
        <w:spacing w:line="380" w:lineRule="exact"/>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关于竣工付款证书异议部分复核的方式和程序：</w:t>
      </w:r>
      <w:r>
        <w:rPr>
          <w:rFonts w:hint="eastAsia" w:ascii="宋体" w:hAnsi="宋体" w:cs="宋体"/>
          <w:color w:val="auto"/>
          <w:szCs w:val="21"/>
          <w:highlight w:val="none"/>
          <w:u w:val="single"/>
        </w:rPr>
        <w:t>存在异议的部分，由承包人核对后对异议部分进行书面描叙，并交由发包人再次审定。</w:t>
      </w:r>
    </w:p>
    <w:p w14:paraId="0C9F95BC">
      <w:pPr>
        <w:pStyle w:val="38"/>
        <w:spacing w:line="380" w:lineRule="exact"/>
        <w:ind w:firstLine="422" w:firstLineChars="200"/>
        <w:rPr>
          <w:rFonts w:ascii="宋体" w:cs="宋体"/>
          <w:color w:val="auto"/>
          <w:highlight w:val="none"/>
        </w:rPr>
      </w:pPr>
      <w:bookmarkStart w:id="1999" w:name="_Toc418752304"/>
      <w:bookmarkStart w:id="2000" w:name="_Toc418061373"/>
      <w:bookmarkStart w:id="2001" w:name="_Toc373227761"/>
      <w:bookmarkStart w:id="2002" w:name="_Toc497746843"/>
      <w:bookmarkStart w:id="2003" w:name="_Toc403578996"/>
      <w:bookmarkStart w:id="2004" w:name="_Toc256000239"/>
      <w:bookmarkStart w:id="2005" w:name="_Toc373478408"/>
      <w:bookmarkStart w:id="2006" w:name="_Toc12829"/>
      <w:bookmarkStart w:id="2007" w:name="_Toc418751858"/>
      <w:bookmarkStart w:id="2008" w:name="_Toc497747240"/>
      <w:bookmarkStart w:id="2009" w:name="_Toc418518172"/>
      <w:bookmarkStart w:id="2010" w:name="_Toc418518408"/>
      <w:bookmarkStart w:id="2011" w:name="_Toc389065326"/>
      <w:bookmarkStart w:id="2012" w:name="_Toc522201788"/>
      <w:r>
        <w:rPr>
          <w:rFonts w:hint="eastAsia" w:ascii="宋体" w:cs="宋体"/>
          <w:color w:val="auto"/>
          <w:highlight w:val="none"/>
        </w:rPr>
        <w:t>14.4 最终结清</w:t>
      </w:r>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p>
    <w:p w14:paraId="51A128A4">
      <w:pPr>
        <w:pStyle w:val="23"/>
        <w:spacing w:line="38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14.4.1 最终结清申请单</w:t>
      </w:r>
    </w:p>
    <w:p w14:paraId="1FF7B9F8">
      <w:pPr>
        <w:pStyle w:val="23"/>
        <w:spacing w:line="38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承包人提交最终结清申请单的份数：</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u w:val="single"/>
        </w:rPr>
        <w:t xml:space="preserve">一式四份 </w:t>
      </w:r>
      <w:r>
        <w:rPr>
          <w:rFonts w:hint="eastAsia" w:ascii="宋体" w:hAnsi="宋体" w:cs="宋体"/>
          <w:color w:val="auto"/>
          <w:szCs w:val="21"/>
          <w:highlight w:val="none"/>
        </w:rPr>
        <w:t>。</w:t>
      </w:r>
    </w:p>
    <w:p w14:paraId="127C8517">
      <w:pPr>
        <w:pStyle w:val="23"/>
        <w:spacing w:line="380" w:lineRule="exact"/>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rPr>
        <w:t>承包人提交最终结算申请单的期限：</w:t>
      </w:r>
      <w:r>
        <w:rPr>
          <w:rFonts w:hint="eastAsia" w:ascii="宋体" w:hAnsi="宋体" w:cs="宋体"/>
          <w:color w:val="auto"/>
          <w:kern w:val="0"/>
          <w:szCs w:val="21"/>
          <w:highlight w:val="none"/>
          <w:u w:val="single"/>
        </w:rPr>
        <w:t>缺陷责任期终止证书签发后14天内向监理人提交4份竣工付款申请单及相关证明材料</w:t>
      </w:r>
      <w:r>
        <w:rPr>
          <w:rFonts w:hint="eastAsia" w:ascii="宋体" w:hAnsi="宋体" w:cs="宋体"/>
          <w:color w:val="auto"/>
          <w:szCs w:val="21"/>
          <w:highlight w:val="none"/>
        </w:rPr>
        <w:t xml:space="preserve">。 </w:t>
      </w:r>
    </w:p>
    <w:p w14:paraId="1495852D">
      <w:pPr>
        <w:pStyle w:val="23"/>
        <w:spacing w:line="3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14.4.2 最终结清证书和支付</w:t>
      </w:r>
    </w:p>
    <w:p w14:paraId="16E2C7DB">
      <w:pPr>
        <w:pStyle w:val="23"/>
        <w:spacing w:line="3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（1）发包人完成最终结清申请单的审批并颁发最终结清证书的期限：</w:t>
      </w:r>
      <w:r>
        <w:rPr>
          <w:rFonts w:hint="eastAsia" w:ascii="宋体" w:hAnsi="宋体" w:cs="宋体"/>
          <w:color w:val="auto"/>
          <w:kern w:val="0"/>
          <w:szCs w:val="21"/>
          <w:highlight w:val="none"/>
          <w:u w:val="single"/>
        </w:rPr>
        <w:t xml:space="preserve">按通用条款执行 </w:t>
      </w:r>
      <w:r>
        <w:rPr>
          <w:rFonts w:hint="eastAsia" w:ascii="宋体" w:hAnsi="宋体" w:cs="宋体"/>
          <w:color w:val="auto"/>
          <w:szCs w:val="21"/>
          <w:highlight w:val="none"/>
        </w:rPr>
        <w:t>。</w:t>
      </w:r>
    </w:p>
    <w:p w14:paraId="6B3C1A4E">
      <w:pPr>
        <w:pStyle w:val="23"/>
        <w:spacing w:line="3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（2）发包人完成支付的期限：</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u w:val="single"/>
        </w:rPr>
        <w:t xml:space="preserve">在颁发最终结清证书后的30天内 </w:t>
      </w:r>
      <w:r>
        <w:rPr>
          <w:rFonts w:hint="eastAsia" w:ascii="宋体" w:hAnsi="宋体" w:cs="宋体"/>
          <w:color w:val="auto"/>
          <w:szCs w:val="21"/>
          <w:highlight w:val="none"/>
        </w:rPr>
        <w:t>。</w:t>
      </w:r>
    </w:p>
    <w:bookmarkEnd w:id="1915"/>
    <w:bookmarkEnd w:id="1916"/>
    <w:bookmarkEnd w:id="1917"/>
    <w:bookmarkEnd w:id="1918"/>
    <w:bookmarkEnd w:id="1919"/>
    <w:bookmarkEnd w:id="1920"/>
    <w:bookmarkEnd w:id="1921"/>
    <w:bookmarkEnd w:id="1927"/>
    <w:p w14:paraId="3E3F8764">
      <w:pPr>
        <w:pStyle w:val="38"/>
        <w:spacing w:line="380" w:lineRule="exact"/>
        <w:rPr>
          <w:rFonts w:ascii="宋体" w:cs="宋体"/>
          <w:color w:val="auto"/>
          <w:highlight w:val="none"/>
        </w:rPr>
      </w:pPr>
      <w:bookmarkStart w:id="2013" w:name="_Toc351203647"/>
      <w:bookmarkStart w:id="2014" w:name="_Toc373227762"/>
      <w:bookmarkStart w:id="2015" w:name="_Toc497747241"/>
      <w:bookmarkStart w:id="2016" w:name="_Toc418751859"/>
      <w:bookmarkStart w:id="2017" w:name="_Toc418752305"/>
      <w:bookmarkStart w:id="2018" w:name="_Toc389065327"/>
      <w:bookmarkStart w:id="2019" w:name="_Toc373478409"/>
      <w:bookmarkStart w:id="2020" w:name="_Toc9180"/>
      <w:bookmarkStart w:id="2021" w:name="_Toc418518173"/>
      <w:bookmarkStart w:id="2022" w:name="_Toc418061374"/>
      <w:bookmarkStart w:id="2023" w:name="_Toc522201789"/>
      <w:bookmarkStart w:id="2024" w:name="_Toc403578997"/>
      <w:bookmarkStart w:id="2025" w:name="_Toc418518409"/>
      <w:bookmarkStart w:id="2026" w:name="_Toc497746844"/>
      <w:bookmarkStart w:id="2027" w:name="_Toc256000240"/>
      <w:bookmarkStart w:id="2028" w:name="_Toc267251483"/>
      <w:bookmarkStart w:id="2029" w:name="_Toc267251484"/>
      <w:bookmarkStart w:id="2030" w:name="_Toc267251482"/>
      <w:bookmarkStart w:id="2031" w:name="_Toc267251485"/>
      <w:bookmarkStart w:id="2032" w:name="_Toc267251490"/>
      <w:bookmarkStart w:id="2033" w:name="_Toc267251489"/>
      <w:bookmarkStart w:id="2034" w:name="_Toc267251486"/>
      <w:bookmarkStart w:id="2035" w:name="_Toc267251488"/>
      <w:bookmarkStart w:id="2036" w:name="_Toc267251493"/>
      <w:bookmarkStart w:id="2037" w:name="_Toc267251501"/>
      <w:bookmarkStart w:id="2038" w:name="_Toc267251503"/>
      <w:bookmarkStart w:id="2039" w:name="_Toc267251492"/>
      <w:bookmarkStart w:id="2040" w:name="_Toc267251502"/>
      <w:bookmarkStart w:id="2041" w:name="_Toc267251494"/>
      <w:bookmarkStart w:id="2042" w:name="_Toc267251498"/>
      <w:bookmarkStart w:id="2043" w:name="_Toc267251491"/>
      <w:bookmarkStart w:id="2044" w:name="_Toc267251495"/>
      <w:bookmarkStart w:id="2045" w:name="_Toc267251499"/>
      <w:bookmarkStart w:id="2046" w:name="_Toc267251497"/>
      <w:bookmarkStart w:id="2047" w:name="_Toc267251496"/>
      <w:bookmarkStart w:id="2048" w:name="_Toc267251506"/>
      <w:bookmarkStart w:id="2049" w:name="_Toc267251504"/>
      <w:bookmarkStart w:id="2050" w:name="_Toc267251507"/>
      <w:bookmarkStart w:id="2051" w:name="_Toc267251508"/>
      <w:bookmarkStart w:id="2052" w:name="_Toc267251510"/>
      <w:bookmarkStart w:id="2053" w:name="_Toc267251513"/>
      <w:bookmarkStart w:id="2054" w:name="_Toc267251511"/>
      <w:bookmarkStart w:id="2055" w:name="_Toc267251514"/>
      <w:bookmarkStart w:id="2056" w:name="_Toc267251509"/>
      <w:bookmarkStart w:id="2057" w:name="_Toc267251515"/>
      <w:r>
        <w:rPr>
          <w:rFonts w:hint="eastAsia" w:ascii="宋体" w:cs="宋体"/>
          <w:color w:val="auto"/>
          <w:highlight w:val="none"/>
        </w:rPr>
        <w:t>15. 缺陷责任期与保修</w:t>
      </w:r>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p>
    <w:p w14:paraId="1AA564E6">
      <w:pPr>
        <w:pStyle w:val="38"/>
        <w:spacing w:line="380" w:lineRule="exact"/>
        <w:ind w:firstLine="422" w:firstLineChars="200"/>
        <w:rPr>
          <w:rFonts w:ascii="宋体" w:cs="宋体"/>
          <w:color w:val="auto"/>
          <w:highlight w:val="none"/>
        </w:rPr>
      </w:pPr>
      <w:bookmarkStart w:id="2058" w:name="_Toc418518174"/>
      <w:bookmarkStart w:id="2059" w:name="_Toc418518410"/>
      <w:bookmarkStart w:id="2060" w:name="_Toc497746845"/>
      <w:bookmarkStart w:id="2061" w:name="_Toc373478410"/>
      <w:bookmarkStart w:id="2062" w:name="_Toc418061375"/>
      <w:bookmarkStart w:id="2063" w:name="_Toc389065328"/>
      <w:bookmarkStart w:id="2064" w:name="_Toc24268"/>
      <w:bookmarkStart w:id="2065" w:name="_Toc418752306"/>
      <w:bookmarkStart w:id="2066" w:name="_Toc418751860"/>
      <w:bookmarkStart w:id="2067" w:name="_Toc403578998"/>
      <w:bookmarkStart w:id="2068" w:name="_Toc497747242"/>
      <w:bookmarkStart w:id="2069" w:name="_Toc522201790"/>
      <w:bookmarkStart w:id="2070" w:name="_Toc256000241"/>
      <w:bookmarkStart w:id="2071" w:name="_Toc373227763"/>
      <w:r>
        <w:rPr>
          <w:rFonts w:hint="eastAsia" w:ascii="宋体" w:cs="宋体"/>
          <w:color w:val="auto"/>
          <w:highlight w:val="none"/>
        </w:rPr>
        <w:t>15.2 缺陷责任期</w:t>
      </w:r>
      <w:bookmarkEnd w:id="2028"/>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p>
    <w:p w14:paraId="6BD9DEB9">
      <w:pPr>
        <w:pStyle w:val="23"/>
        <w:spacing w:line="380" w:lineRule="exact"/>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缺陷责任期的具体期限：</w:t>
      </w:r>
      <w:r>
        <w:rPr>
          <w:rFonts w:hint="eastAsia" w:ascii="宋体" w:hAnsi="宋体" w:cs="宋体"/>
          <w:color w:val="auto"/>
          <w:szCs w:val="21"/>
          <w:highlight w:val="none"/>
          <w:u w:val="single"/>
        </w:rPr>
        <w:t>24个月，</w:t>
      </w:r>
      <w:r>
        <w:rPr>
          <w:rFonts w:hint="eastAsia" w:ascii="宋体" w:hAnsi="宋体" w:cs="宋体"/>
          <w:color w:val="auto"/>
          <w:kern w:val="0"/>
          <w:szCs w:val="21"/>
          <w:highlight w:val="none"/>
          <w:u w:val="single"/>
        </w:rPr>
        <w:t>工程竣工验收合格，自交付使用之日起计算</w:t>
      </w:r>
      <w:r>
        <w:rPr>
          <w:rFonts w:hint="eastAsia" w:ascii="宋体" w:hAnsi="宋体" w:cs="宋体"/>
          <w:color w:val="auto"/>
          <w:szCs w:val="21"/>
          <w:highlight w:val="none"/>
          <w:u w:val="single"/>
        </w:rPr>
        <w:t xml:space="preserve"> ，按照《建设工程质量管理条例》执行，</w:t>
      </w:r>
      <w:r>
        <w:rPr>
          <w:rFonts w:hint="eastAsia" w:ascii="宋体" w:hAnsi="宋体" w:cs="宋体"/>
          <w:bCs/>
          <w:color w:val="auto"/>
          <w:szCs w:val="21"/>
          <w:highlight w:val="none"/>
          <w:u w:val="single"/>
        </w:rPr>
        <w:t xml:space="preserve">详见本合同附件3：《工程质量保修书》 </w:t>
      </w:r>
      <w:r>
        <w:rPr>
          <w:rFonts w:hint="eastAsia" w:ascii="宋体" w:hAnsi="宋体" w:cs="宋体"/>
          <w:color w:val="auto"/>
          <w:szCs w:val="21"/>
          <w:highlight w:val="none"/>
        </w:rPr>
        <w:t>。</w:t>
      </w:r>
    </w:p>
    <w:p w14:paraId="60CD0941">
      <w:pPr>
        <w:pStyle w:val="38"/>
        <w:spacing w:line="380" w:lineRule="exact"/>
        <w:ind w:firstLine="422" w:firstLineChars="200"/>
        <w:rPr>
          <w:rFonts w:ascii="宋体" w:cs="宋体"/>
          <w:color w:val="auto"/>
          <w:highlight w:val="none"/>
        </w:rPr>
      </w:pPr>
      <w:bookmarkStart w:id="2072" w:name="_Toc497747243"/>
      <w:bookmarkStart w:id="2073" w:name="_Toc373227764"/>
      <w:bookmarkStart w:id="2074" w:name="_Toc418752307"/>
      <w:bookmarkStart w:id="2075" w:name="_Toc16353"/>
      <w:bookmarkStart w:id="2076" w:name="_Toc418518175"/>
      <w:bookmarkStart w:id="2077" w:name="_Toc403578999"/>
      <w:bookmarkStart w:id="2078" w:name="_Toc418518411"/>
      <w:bookmarkStart w:id="2079" w:name="_Toc389065329"/>
      <w:bookmarkStart w:id="2080" w:name="_Toc418061376"/>
      <w:bookmarkStart w:id="2081" w:name="_Toc522201791"/>
      <w:bookmarkStart w:id="2082" w:name="_Toc256000242"/>
      <w:bookmarkStart w:id="2083" w:name="_Toc373478411"/>
      <w:bookmarkStart w:id="2084" w:name="_Toc418751861"/>
      <w:bookmarkStart w:id="2085" w:name="_Toc497746846"/>
      <w:r>
        <w:rPr>
          <w:rFonts w:hint="eastAsia" w:ascii="宋体" w:cs="宋体"/>
          <w:color w:val="auto"/>
          <w:highlight w:val="none"/>
        </w:rPr>
        <w:t>15.3 质量保证金</w:t>
      </w:r>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p>
    <w:p w14:paraId="1EFCB286">
      <w:pPr>
        <w:pStyle w:val="23"/>
        <w:spacing w:line="3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关于是否扣留质量保证金的约定：</w:t>
      </w:r>
      <w:r>
        <w:rPr>
          <w:rFonts w:hint="eastAsia" w:ascii="宋体" w:hAnsi="宋体" w:cs="宋体"/>
          <w:color w:val="auto"/>
          <w:kern w:val="0"/>
          <w:szCs w:val="21"/>
          <w:highlight w:val="none"/>
          <w:u w:val="single"/>
        </w:rPr>
        <w:t>按工程价款结算总额的</w:t>
      </w:r>
      <w:r>
        <w:rPr>
          <w:rFonts w:hint="eastAsia" w:ascii="宋体" w:hAnsi="宋体" w:cs="宋体"/>
          <w:color w:val="auto"/>
          <w:kern w:val="0"/>
          <w:szCs w:val="21"/>
          <w:highlight w:val="none"/>
          <w:u w:val="single"/>
          <w:lang w:val="en-US" w:eastAsia="zh-CN"/>
        </w:rPr>
        <w:t>3</w:t>
      </w:r>
      <w:r>
        <w:rPr>
          <w:rFonts w:hint="eastAsia" w:ascii="宋体" w:hAnsi="宋体" w:cs="宋体"/>
          <w:color w:val="auto"/>
          <w:kern w:val="0"/>
          <w:szCs w:val="21"/>
          <w:highlight w:val="none"/>
          <w:u w:val="single"/>
        </w:rPr>
        <w:t xml:space="preserve">%作为质保金 </w:t>
      </w:r>
      <w:r>
        <w:rPr>
          <w:rFonts w:hint="eastAsia" w:ascii="宋体" w:hAnsi="宋体" w:cs="宋体"/>
          <w:color w:val="auto"/>
          <w:szCs w:val="21"/>
          <w:highlight w:val="none"/>
        </w:rPr>
        <w:t>。</w:t>
      </w:r>
    </w:p>
    <w:p w14:paraId="6AB2600F">
      <w:pPr>
        <w:pStyle w:val="23"/>
        <w:spacing w:line="3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15.3.1 承包人提供质量保证金的方式</w:t>
      </w:r>
    </w:p>
    <w:p w14:paraId="215D268B">
      <w:pPr>
        <w:pStyle w:val="23"/>
        <w:spacing w:line="3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质量保证金采用以下第</w:t>
      </w:r>
      <w:r>
        <w:rPr>
          <w:rFonts w:hint="eastAsia" w:ascii="宋体" w:hAnsi="宋体" w:cs="宋体"/>
          <w:color w:val="auto"/>
          <w:szCs w:val="21"/>
          <w:highlight w:val="none"/>
          <w:u w:val="single"/>
        </w:rPr>
        <w:t xml:space="preserve">  （2）   </w:t>
      </w:r>
      <w:r>
        <w:rPr>
          <w:rFonts w:hint="eastAsia" w:ascii="宋体" w:hAnsi="宋体" w:cs="宋体"/>
          <w:color w:val="auto"/>
          <w:szCs w:val="21"/>
          <w:highlight w:val="none"/>
        </w:rPr>
        <w:t>种方式：</w:t>
      </w:r>
    </w:p>
    <w:p w14:paraId="4DC46C7E">
      <w:pPr>
        <w:pStyle w:val="23"/>
        <w:autoSpaceDE w:val="0"/>
        <w:autoSpaceDN w:val="0"/>
        <w:adjustRightInd w:val="0"/>
        <w:spacing w:line="38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（1）质量保证金保函，保证金额为：</w:t>
      </w:r>
      <w:r>
        <w:rPr>
          <w:rFonts w:hint="eastAsia" w:ascii="宋体" w:hAnsi="宋体" w:cs="宋体"/>
          <w:color w:val="auto"/>
          <w:kern w:val="0"/>
          <w:szCs w:val="21"/>
          <w:highlight w:val="none"/>
          <w:u w:val="single"/>
        </w:rPr>
        <w:t xml:space="preserve">  /   </w:t>
      </w:r>
      <w:r>
        <w:rPr>
          <w:rFonts w:hint="eastAsia" w:ascii="宋体" w:hAnsi="宋体" w:cs="宋体"/>
          <w:color w:val="auto"/>
          <w:kern w:val="0"/>
          <w:szCs w:val="21"/>
          <w:highlight w:val="none"/>
        </w:rPr>
        <w:t>；</w:t>
      </w:r>
    </w:p>
    <w:p w14:paraId="005223C6">
      <w:pPr>
        <w:pStyle w:val="23"/>
        <w:autoSpaceDE w:val="0"/>
        <w:autoSpaceDN w:val="0"/>
        <w:adjustRightInd w:val="0"/>
        <w:spacing w:line="38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bCs/>
          <w:color w:val="auto"/>
          <w:szCs w:val="21"/>
          <w:highlight w:val="none"/>
        </w:rPr>
        <w:t>发包人按工程价款结算总额的</w:t>
      </w:r>
      <w:r>
        <w:rPr>
          <w:rFonts w:hint="eastAsia" w:ascii="宋体" w:hAnsi="宋体" w:cs="宋体"/>
          <w:bCs/>
          <w:color w:val="auto"/>
          <w:szCs w:val="21"/>
          <w:highlight w:val="none"/>
          <w:u w:val="single"/>
        </w:rPr>
        <w:t xml:space="preserve"> 3 </w:t>
      </w:r>
      <w:r>
        <w:rPr>
          <w:rFonts w:hint="eastAsia" w:ascii="宋体" w:hAnsi="宋体" w:cs="宋体"/>
          <w:bCs/>
          <w:color w:val="auto"/>
          <w:szCs w:val="21"/>
          <w:highlight w:val="none"/>
        </w:rPr>
        <w:t>%预留工程</w:t>
      </w:r>
      <w:r>
        <w:rPr>
          <w:rFonts w:hint="eastAsia" w:ascii="宋体" w:hAnsi="宋体" w:cs="宋体"/>
          <w:bCs/>
          <w:color w:val="auto"/>
          <w:szCs w:val="21"/>
          <w:highlight w:val="none"/>
          <w:lang w:eastAsia="zh-CN"/>
        </w:rPr>
        <w:t>质量保证金</w:t>
      </w:r>
      <w:r>
        <w:rPr>
          <w:rFonts w:hint="eastAsia" w:ascii="宋体" w:hAnsi="宋体" w:cs="宋体"/>
          <w:bCs/>
          <w:color w:val="auto"/>
          <w:szCs w:val="21"/>
          <w:highlight w:val="none"/>
        </w:rPr>
        <w:t>，待缺陷责任期满后返还</w:t>
      </w:r>
      <w:r>
        <w:rPr>
          <w:rFonts w:hint="eastAsia" w:ascii="宋体" w:hAnsi="宋体" w:cs="宋体"/>
          <w:color w:val="auto"/>
          <w:kern w:val="0"/>
          <w:szCs w:val="21"/>
          <w:highlight w:val="none"/>
        </w:rPr>
        <w:t>；</w:t>
      </w:r>
    </w:p>
    <w:p w14:paraId="4887112C">
      <w:pPr>
        <w:pStyle w:val="23"/>
        <w:autoSpaceDE w:val="0"/>
        <w:autoSpaceDN w:val="0"/>
        <w:adjustRightInd w:val="0"/>
        <w:spacing w:line="38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（3）其他方式：</w:t>
      </w:r>
      <w:r>
        <w:rPr>
          <w:rFonts w:hint="eastAsia" w:ascii="宋体" w:hAnsi="宋体" w:cs="宋体"/>
          <w:bCs/>
          <w:color w:val="auto"/>
          <w:szCs w:val="21"/>
          <w:highlight w:val="none"/>
          <w:u w:val="single"/>
        </w:rPr>
        <w:t xml:space="preserve">   /        </w:t>
      </w:r>
      <w:r>
        <w:rPr>
          <w:rFonts w:hint="eastAsia" w:ascii="宋体" w:hAnsi="宋体" w:cs="宋体"/>
          <w:bCs/>
          <w:color w:val="auto"/>
          <w:szCs w:val="21"/>
          <w:highlight w:val="none"/>
        </w:rPr>
        <w:t>。</w:t>
      </w:r>
    </w:p>
    <w:p w14:paraId="1590FCDA">
      <w:pPr>
        <w:pStyle w:val="23"/>
        <w:spacing w:line="3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15.3.2 质量保证金的扣留</w:t>
      </w:r>
    </w:p>
    <w:p w14:paraId="6A47039E">
      <w:pPr>
        <w:pStyle w:val="23"/>
        <w:spacing w:line="3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质量保证金的扣留采取以下第</w:t>
      </w:r>
      <w:r>
        <w:rPr>
          <w:rFonts w:hint="eastAsia" w:ascii="宋体" w:hAnsi="宋体" w:cs="宋体"/>
          <w:color w:val="auto"/>
          <w:szCs w:val="21"/>
          <w:highlight w:val="none"/>
          <w:u w:val="single"/>
        </w:rPr>
        <w:t xml:space="preserve">   （2）   </w:t>
      </w:r>
      <w:r>
        <w:rPr>
          <w:rFonts w:hint="eastAsia" w:ascii="宋体" w:hAnsi="宋体" w:cs="宋体"/>
          <w:color w:val="auto"/>
          <w:szCs w:val="21"/>
          <w:highlight w:val="none"/>
        </w:rPr>
        <w:t>种方式：</w:t>
      </w:r>
    </w:p>
    <w:p w14:paraId="5AA6086F">
      <w:pPr>
        <w:pStyle w:val="23"/>
        <w:autoSpaceDE w:val="0"/>
        <w:autoSpaceDN w:val="0"/>
        <w:adjustRightInd w:val="0"/>
        <w:spacing w:line="38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（1）在支付工程进度款时逐次扣留，在此情形下，质量保证金的计算基数不包括预付款的支付、扣回以及价格调整的金额；</w:t>
      </w:r>
    </w:p>
    <w:p w14:paraId="14E5E811">
      <w:pPr>
        <w:pStyle w:val="23"/>
        <w:autoSpaceDE w:val="0"/>
        <w:autoSpaceDN w:val="0"/>
        <w:adjustRightInd w:val="0"/>
        <w:spacing w:line="38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（2）工程竣工结算时一次性扣留质量保证金；</w:t>
      </w:r>
    </w:p>
    <w:p w14:paraId="67516946">
      <w:pPr>
        <w:pStyle w:val="23"/>
        <w:autoSpaceDE w:val="0"/>
        <w:autoSpaceDN w:val="0"/>
        <w:adjustRightInd w:val="0"/>
        <w:spacing w:line="38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（3）其他扣留方式:</w:t>
      </w:r>
      <w:r>
        <w:rPr>
          <w:rFonts w:hint="eastAsia" w:ascii="宋体" w:hAnsi="宋体" w:cs="宋体"/>
          <w:color w:val="auto"/>
          <w:kern w:val="0"/>
          <w:szCs w:val="21"/>
          <w:highlight w:val="none"/>
          <w:u w:val="single"/>
        </w:rPr>
        <w:t xml:space="preserve">    /                </w:t>
      </w:r>
      <w:r>
        <w:rPr>
          <w:rFonts w:hint="eastAsia" w:ascii="宋体" w:hAnsi="宋体" w:cs="宋体"/>
          <w:color w:val="auto"/>
          <w:kern w:val="0"/>
          <w:szCs w:val="21"/>
          <w:highlight w:val="none"/>
        </w:rPr>
        <w:t>。</w:t>
      </w:r>
    </w:p>
    <w:p w14:paraId="2B7A9CAC">
      <w:pPr>
        <w:pStyle w:val="23"/>
        <w:spacing w:line="380" w:lineRule="exact"/>
        <w:ind w:firstLine="420" w:firstLineChars="200"/>
        <w:jc w:val="left"/>
        <w:rPr>
          <w:rFonts w:ascii="宋体" w:hAnsi="宋体" w:cs="宋体"/>
          <w:color w:val="auto"/>
          <w:kern w:val="0"/>
          <w:szCs w:val="21"/>
          <w:highlight w:val="none"/>
          <w:u w:val="single"/>
        </w:rPr>
      </w:pPr>
      <w:r>
        <w:rPr>
          <w:rFonts w:hint="eastAsia" w:ascii="宋体" w:hAnsi="宋体" w:cs="宋体"/>
          <w:color w:val="auto"/>
          <w:szCs w:val="21"/>
          <w:highlight w:val="none"/>
        </w:rPr>
        <w:t>关于质量保证金的补充约定：</w:t>
      </w:r>
      <w:r>
        <w:rPr>
          <w:rFonts w:hint="eastAsia" w:ascii="宋体" w:hAnsi="宋体" w:cs="宋体"/>
          <w:color w:val="auto"/>
          <w:szCs w:val="21"/>
          <w:highlight w:val="none"/>
          <w:u w:val="single"/>
        </w:rPr>
        <w:t>承包人未按照法律法规有关规定和合同约定履行质量保修义务的，发包人有权从质量保证金中扣留用于质量保修的各项支出。</w:t>
      </w:r>
      <w:r>
        <w:rPr>
          <w:rFonts w:hint="eastAsia" w:ascii="宋体" w:hAnsi="宋体" w:cs="宋体"/>
          <w:color w:val="auto"/>
          <w:kern w:val="0"/>
          <w:szCs w:val="21"/>
          <w:highlight w:val="none"/>
          <w:u w:val="single"/>
        </w:rPr>
        <w:t>发包人在工程缺陷责任期满后 14 天内将保修金一次性返回给承包人（无息）。质量保证金的返还，并不能免除承包人按照合同约定应承担的质量保修责任和应履行的质量保修义务。</w:t>
      </w:r>
    </w:p>
    <w:bookmarkEnd w:id="2029"/>
    <w:bookmarkEnd w:id="2030"/>
    <w:p w14:paraId="44C9DB25">
      <w:pPr>
        <w:pStyle w:val="38"/>
        <w:spacing w:line="380" w:lineRule="exact"/>
        <w:ind w:firstLine="422" w:firstLineChars="200"/>
        <w:rPr>
          <w:rFonts w:ascii="宋体" w:cs="宋体"/>
          <w:color w:val="auto"/>
          <w:highlight w:val="none"/>
        </w:rPr>
      </w:pPr>
      <w:bookmarkStart w:id="2086" w:name="_Toc403579000"/>
      <w:bookmarkStart w:id="2087" w:name="_Toc256000243"/>
      <w:bookmarkStart w:id="2088" w:name="_Toc418751862"/>
      <w:bookmarkStart w:id="2089" w:name="_Toc389065330"/>
      <w:bookmarkStart w:id="2090" w:name="_Toc373478412"/>
      <w:bookmarkStart w:id="2091" w:name="_Toc418518412"/>
      <w:bookmarkStart w:id="2092" w:name="_Toc497746847"/>
      <w:bookmarkStart w:id="2093" w:name="_Toc24480"/>
      <w:bookmarkStart w:id="2094" w:name="_Toc497747244"/>
      <w:bookmarkStart w:id="2095" w:name="_Toc418752308"/>
      <w:bookmarkStart w:id="2096" w:name="_Toc373227765"/>
      <w:bookmarkStart w:id="2097" w:name="_Toc418518176"/>
      <w:bookmarkStart w:id="2098" w:name="_Toc522201792"/>
      <w:bookmarkStart w:id="2099" w:name="_Toc418061377"/>
      <w:r>
        <w:rPr>
          <w:rFonts w:hint="eastAsia" w:ascii="宋体" w:cs="宋体"/>
          <w:color w:val="auto"/>
          <w:highlight w:val="none"/>
        </w:rPr>
        <w:t>15.4 保修</w:t>
      </w:r>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p>
    <w:bookmarkEnd w:id="2031"/>
    <w:p w14:paraId="02A779CD">
      <w:pPr>
        <w:pStyle w:val="23"/>
        <w:spacing w:line="380" w:lineRule="exact"/>
        <w:ind w:firstLine="409" w:firstLineChars="195"/>
        <w:jc w:val="left"/>
        <w:rPr>
          <w:rFonts w:ascii="宋体" w:hAnsi="宋体" w:cs="宋体"/>
          <w:color w:val="auto"/>
          <w:szCs w:val="21"/>
          <w:highlight w:val="none"/>
        </w:rPr>
      </w:pPr>
      <w:r>
        <w:rPr>
          <w:rFonts w:hint="eastAsia" w:ascii="宋体" w:hAnsi="宋体" w:cs="宋体"/>
          <w:color w:val="auto"/>
          <w:szCs w:val="21"/>
          <w:highlight w:val="none"/>
        </w:rPr>
        <w:t>15.4.1 保修责任</w:t>
      </w:r>
    </w:p>
    <w:p w14:paraId="2751AB6D">
      <w:pPr>
        <w:pStyle w:val="23"/>
        <w:spacing w:line="380" w:lineRule="exact"/>
        <w:ind w:firstLine="409" w:firstLineChars="195"/>
        <w:jc w:val="left"/>
        <w:rPr>
          <w:rFonts w:ascii="宋体" w:hAnsi="宋体" w:cs="宋体"/>
          <w:color w:val="auto"/>
          <w:kern w:val="0"/>
          <w:szCs w:val="21"/>
          <w:highlight w:val="none"/>
        </w:rPr>
      </w:pPr>
      <w:r>
        <w:rPr>
          <w:rFonts w:hint="eastAsia" w:ascii="宋体" w:hAnsi="宋体" w:cs="宋体"/>
          <w:color w:val="auto"/>
          <w:szCs w:val="21"/>
          <w:highlight w:val="none"/>
        </w:rPr>
        <w:t>工程保修期为：</w:t>
      </w:r>
      <w:r>
        <w:rPr>
          <w:rFonts w:hint="eastAsia" w:ascii="宋体" w:hAnsi="宋体" w:cs="宋体"/>
          <w:color w:val="auto"/>
          <w:kern w:val="0"/>
          <w:szCs w:val="21"/>
          <w:highlight w:val="none"/>
          <w:u w:val="single"/>
        </w:rPr>
        <w:t xml:space="preserve">  </w:t>
      </w:r>
      <w:r>
        <w:rPr>
          <w:rFonts w:hint="eastAsia" w:ascii="宋体" w:hAnsi="宋体" w:cs="宋体"/>
          <w:color w:val="auto"/>
          <w:szCs w:val="21"/>
          <w:highlight w:val="none"/>
          <w:u w:val="single"/>
        </w:rPr>
        <w:t>根据《建设工程质量管理条例》及有关规定，约定本工程的保修期详见《工程质量保修书》。</w:t>
      </w:r>
    </w:p>
    <w:p w14:paraId="7A460314">
      <w:pPr>
        <w:pStyle w:val="23"/>
        <w:spacing w:line="380" w:lineRule="exact"/>
        <w:ind w:firstLine="409" w:firstLineChars="195"/>
        <w:jc w:val="left"/>
        <w:rPr>
          <w:rFonts w:ascii="宋体" w:hAnsi="宋体" w:cs="宋体"/>
          <w:color w:val="auto"/>
          <w:kern w:val="0"/>
          <w:szCs w:val="21"/>
          <w:highlight w:val="none"/>
          <w:u w:val="single"/>
        </w:rPr>
      </w:pPr>
      <w:r>
        <w:rPr>
          <w:rFonts w:hint="eastAsia" w:ascii="宋体" w:hAnsi="宋体" w:cs="宋体"/>
          <w:color w:val="auto"/>
          <w:szCs w:val="21"/>
          <w:highlight w:val="none"/>
        </w:rPr>
        <w:t>工程保修书具体内容见合同附件3。</w:t>
      </w:r>
    </w:p>
    <w:p w14:paraId="4EC33163">
      <w:pPr>
        <w:pStyle w:val="23"/>
        <w:spacing w:line="380" w:lineRule="exact"/>
        <w:ind w:firstLine="409" w:firstLineChars="195"/>
        <w:jc w:val="left"/>
        <w:rPr>
          <w:rFonts w:ascii="宋体" w:hAnsi="宋体" w:cs="宋体"/>
          <w:color w:val="auto"/>
          <w:szCs w:val="21"/>
          <w:highlight w:val="none"/>
        </w:rPr>
      </w:pPr>
      <w:r>
        <w:rPr>
          <w:rFonts w:hint="eastAsia" w:ascii="宋体" w:hAnsi="宋体" w:cs="宋体"/>
          <w:color w:val="auto"/>
          <w:szCs w:val="21"/>
          <w:highlight w:val="none"/>
        </w:rPr>
        <w:t>15.4.3 修复通知</w:t>
      </w:r>
    </w:p>
    <w:p w14:paraId="38E35EA0">
      <w:pPr>
        <w:pStyle w:val="23"/>
        <w:spacing w:line="380" w:lineRule="exact"/>
        <w:ind w:firstLine="409" w:firstLineChars="195"/>
        <w:jc w:val="left"/>
        <w:rPr>
          <w:rFonts w:ascii="宋体" w:hAnsi="宋体" w:cs="宋体"/>
          <w:color w:val="auto"/>
          <w:szCs w:val="21"/>
          <w:highlight w:val="none"/>
          <w:u w:val="single"/>
        </w:rPr>
      </w:pPr>
      <w:r>
        <w:rPr>
          <w:rFonts w:hint="eastAsia" w:ascii="宋体" w:hAnsi="宋体" w:cs="宋体"/>
          <w:color w:val="auto"/>
          <w:kern w:val="0"/>
          <w:szCs w:val="21"/>
          <w:highlight w:val="none"/>
        </w:rPr>
        <w:t>承包人收到保修通知并到达工程现场的合理时间：</w:t>
      </w:r>
      <w:r>
        <w:rPr>
          <w:rFonts w:hint="eastAsia" w:ascii="宋体" w:hAnsi="宋体" w:cs="宋体"/>
          <w:color w:val="auto"/>
          <w:kern w:val="0"/>
          <w:szCs w:val="21"/>
          <w:highlight w:val="none"/>
          <w:u w:val="single"/>
        </w:rPr>
        <w:t xml:space="preserve"> </w:t>
      </w:r>
      <w:r>
        <w:rPr>
          <w:rFonts w:hint="eastAsia" w:ascii="宋体" w:hAnsi="宋体" w:cs="宋体"/>
          <w:color w:val="auto"/>
          <w:szCs w:val="21"/>
          <w:highlight w:val="none"/>
          <w:u w:val="single"/>
        </w:rPr>
        <w:t xml:space="preserve"> 1、属于保修范围、内容的项目，承包人应当在接到保修通知之日起三天内派人保修。承包人不在约定期限内派人保修的，发包人有权直接安排维修，费用从工程保修金中扣除，不足部分发包人有权向承包人追索。2、发生紧急抢修事故的，承包人在接到事故通知后，应当立即到达事故现场抢修。3、对于涉及设备的质量问题，应当提出保修方案，及时更换设备，承包人实施保修。属于涉及结构安全的质量问题，应当按照《房屋建筑工程质量保修办法》的规定，立即向当地建设行政主管部门报告，采取安全防范措施；由原设计单位或者具有相应资质等级的设计单位提出保修方案，承包人实施保修。4、质量保修完成后，由发包人组织验收。5、保修费用由造成质量缺陷的责任方承担 。</w:t>
      </w:r>
    </w:p>
    <w:bookmarkEnd w:id="2032"/>
    <w:bookmarkEnd w:id="2033"/>
    <w:bookmarkEnd w:id="2034"/>
    <w:bookmarkEnd w:id="2035"/>
    <w:p w14:paraId="28144D28">
      <w:pPr>
        <w:pStyle w:val="38"/>
        <w:spacing w:line="380" w:lineRule="exact"/>
        <w:rPr>
          <w:rFonts w:ascii="宋体" w:cs="宋体"/>
          <w:color w:val="auto"/>
          <w:highlight w:val="none"/>
        </w:rPr>
      </w:pPr>
      <w:bookmarkStart w:id="2100" w:name="_Toc418751863"/>
      <w:bookmarkStart w:id="2101" w:name="_Toc403579001"/>
      <w:bookmarkStart w:id="2102" w:name="_Toc373478413"/>
      <w:bookmarkStart w:id="2103" w:name="_Toc418518413"/>
      <w:bookmarkStart w:id="2104" w:name="_Toc351203648"/>
      <w:bookmarkStart w:id="2105" w:name="_Toc373227766"/>
      <w:bookmarkStart w:id="2106" w:name="_Toc3422"/>
      <w:bookmarkStart w:id="2107" w:name="_Toc497746848"/>
      <w:bookmarkStart w:id="2108" w:name="_Toc418061378"/>
      <w:bookmarkStart w:id="2109" w:name="_Toc418752309"/>
      <w:bookmarkStart w:id="2110" w:name="_Toc522201793"/>
      <w:bookmarkStart w:id="2111" w:name="_Toc418518177"/>
      <w:bookmarkStart w:id="2112" w:name="_Toc497747245"/>
      <w:bookmarkStart w:id="2113" w:name="_Toc256000244"/>
      <w:bookmarkStart w:id="2114" w:name="_Toc389065331"/>
      <w:bookmarkStart w:id="2115" w:name="_Toc280868717"/>
      <w:bookmarkStart w:id="2116" w:name="_Toc280868718"/>
      <w:r>
        <w:rPr>
          <w:rFonts w:hint="eastAsia" w:ascii="宋体" w:cs="宋体"/>
          <w:color w:val="auto"/>
          <w:highlight w:val="none"/>
        </w:rPr>
        <w:t>16. 违约</w:t>
      </w:r>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p>
    <w:p w14:paraId="349995EB">
      <w:pPr>
        <w:pStyle w:val="38"/>
        <w:spacing w:line="380" w:lineRule="exact"/>
        <w:ind w:firstLine="422" w:firstLineChars="200"/>
        <w:rPr>
          <w:rFonts w:ascii="宋体" w:cs="宋体"/>
          <w:color w:val="auto"/>
          <w:highlight w:val="none"/>
        </w:rPr>
      </w:pPr>
      <w:bookmarkStart w:id="2117" w:name="_Toc418518414"/>
      <w:bookmarkStart w:id="2118" w:name="_Toc373478414"/>
      <w:bookmarkStart w:id="2119" w:name="_Toc497746849"/>
      <w:bookmarkStart w:id="2120" w:name="_Toc403579002"/>
      <w:bookmarkStart w:id="2121" w:name="_Toc522201794"/>
      <w:bookmarkStart w:id="2122" w:name="_Toc418061379"/>
      <w:bookmarkStart w:id="2123" w:name="_Toc497747246"/>
      <w:bookmarkStart w:id="2124" w:name="_Toc7014"/>
      <w:bookmarkStart w:id="2125" w:name="_Toc373227767"/>
      <w:bookmarkStart w:id="2126" w:name="_Toc418751864"/>
      <w:bookmarkStart w:id="2127" w:name="_Toc256000245"/>
      <w:bookmarkStart w:id="2128" w:name="_Toc389065332"/>
      <w:bookmarkStart w:id="2129" w:name="_Toc418518178"/>
      <w:bookmarkStart w:id="2130" w:name="_Toc418752310"/>
      <w:r>
        <w:rPr>
          <w:rFonts w:hint="eastAsia" w:ascii="宋体" w:cs="宋体"/>
          <w:color w:val="auto"/>
          <w:highlight w:val="none"/>
        </w:rPr>
        <w:t>16.1 发包人违约</w:t>
      </w:r>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p>
    <w:p w14:paraId="48E531AA">
      <w:pPr>
        <w:pStyle w:val="23"/>
        <w:spacing w:line="3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16.1.1发包人违约的情形</w:t>
      </w:r>
    </w:p>
    <w:p w14:paraId="215528F8">
      <w:pPr>
        <w:pStyle w:val="23"/>
        <w:spacing w:line="38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发包人违约的其他情形：</w:t>
      </w:r>
      <w:r>
        <w:rPr>
          <w:rFonts w:hint="eastAsia" w:ascii="宋体" w:hAnsi="宋体" w:cs="宋体"/>
          <w:color w:val="auto"/>
          <w:kern w:val="0"/>
          <w:szCs w:val="21"/>
          <w:highlight w:val="none"/>
          <w:u w:val="single"/>
        </w:rPr>
        <w:t xml:space="preserve">    无   </w:t>
      </w:r>
      <w:r>
        <w:rPr>
          <w:rFonts w:hint="eastAsia" w:ascii="宋体" w:hAnsi="宋体" w:cs="宋体"/>
          <w:color w:val="auto"/>
          <w:kern w:val="0"/>
          <w:szCs w:val="21"/>
          <w:highlight w:val="none"/>
        </w:rPr>
        <w:t>。</w:t>
      </w:r>
    </w:p>
    <w:p w14:paraId="79435205">
      <w:pPr>
        <w:pStyle w:val="23"/>
        <w:spacing w:line="38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16.1.2 发包人违约的责任</w:t>
      </w:r>
    </w:p>
    <w:p w14:paraId="03E80864">
      <w:pPr>
        <w:pStyle w:val="23"/>
        <w:spacing w:line="38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发包人违约责任的承担方式和计算方法：</w:t>
      </w:r>
    </w:p>
    <w:p w14:paraId="46CCC2ED">
      <w:pPr>
        <w:pStyle w:val="23"/>
        <w:spacing w:line="380" w:lineRule="exact"/>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（1）因发包人原因未能在计划开工日期前7天内下达开工通知的违约责任：</w:t>
      </w:r>
      <w:r>
        <w:rPr>
          <w:rFonts w:hint="eastAsia" w:ascii="宋体" w:hAnsi="宋体" w:cs="宋体"/>
          <w:color w:val="auto"/>
          <w:kern w:val="0"/>
          <w:szCs w:val="21"/>
          <w:highlight w:val="none"/>
          <w:u w:val="single"/>
        </w:rPr>
        <w:t>工期相应顺延</w:t>
      </w:r>
      <w:r>
        <w:rPr>
          <w:rFonts w:hint="eastAsia" w:ascii="宋体" w:hAnsi="宋体" w:cs="宋体"/>
          <w:color w:val="auto"/>
          <w:kern w:val="0"/>
          <w:szCs w:val="21"/>
          <w:highlight w:val="none"/>
        </w:rPr>
        <w:t>。</w:t>
      </w:r>
    </w:p>
    <w:p w14:paraId="07A197E2">
      <w:pPr>
        <w:pStyle w:val="23"/>
        <w:spacing w:line="38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（2）因发包人原因未能按合同约定支付合同价款的违约责任：</w:t>
      </w:r>
      <w:r>
        <w:rPr>
          <w:rFonts w:hint="eastAsia" w:ascii="宋体" w:hAnsi="宋体" w:cs="宋体"/>
          <w:color w:val="auto"/>
          <w:kern w:val="0"/>
          <w:szCs w:val="21"/>
          <w:highlight w:val="none"/>
          <w:u w:val="single"/>
        </w:rPr>
        <w:t xml:space="preserve"> / </w:t>
      </w:r>
      <w:r>
        <w:rPr>
          <w:rFonts w:hint="eastAsia" w:ascii="宋体" w:hAnsi="宋体" w:cs="宋体"/>
          <w:color w:val="auto"/>
          <w:kern w:val="0"/>
          <w:szCs w:val="21"/>
          <w:highlight w:val="none"/>
        </w:rPr>
        <w:t>。</w:t>
      </w:r>
    </w:p>
    <w:p w14:paraId="6FB9B986">
      <w:pPr>
        <w:pStyle w:val="23"/>
        <w:spacing w:line="38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（3）发包人违反第10.1款〔变更的范围〕第（2）项约定，自行实施被取消的工作或转由他人实施的违约责任：</w:t>
      </w:r>
      <w:r>
        <w:rPr>
          <w:rFonts w:hint="eastAsia" w:ascii="宋体" w:hAnsi="宋体" w:cs="宋体"/>
          <w:color w:val="auto"/>
          <w:kern w:val="0"/>
          <w:szCs w:val="21"/>
          <w:highlight w:val="none"/>
          <w:u w:val="single"/>
        </w:rPr>
        <w:t xml:space="preserve">  按通用条款执行  </w:t>
      </w:r>
      <w:r>
        <w:rPr>
          <w:rFonts w:hint="eastAsia" w:ascii="宋体" w:hAnsi="宋体" w:cs="宋体"/>
          <w:color w:val="auto"/>
          <w:kern w:val="0"/>
          <w:szCs w:val="21"/>
          <w:highlight w:val="none"/>
        </w:rPr>
        <w:t>。</w:t>
      </w:r>
    </w:p>
    <w:p w14:paraId="3D9EE49C">
      <w:pPr>
        <w:pStyle w:val="23"/>
        <w:spacing w:line="38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（4）发包人提供的材料、工程设备的规格、数量或质量不符合合同约定，或因发包人原因导致交货日期延误或交货地点变更等情况的违约责任：</w:t>
      </w:r>
      <w:r>
        <w:rPr>
          <w:rFonts w:hint="eastAsia" w:ascii="宋体" w:hAnsi="宋体" w:cs="宋体"/>
          <w:color w:val="auto"/>
          <w:kern w:val="0"/>
          <w:szCs w:val="21"/>
          <w:highlight w:val="none"/>
          <w:u w:val="single"/>
        </w:rPr>
        <w:t>工期相应顺延</w:t>
      </w:r>
      <w:r>
        <w:rPr>
          <w:rFonts w:hint="eastAsia" w:ascii="宋体" w:hAnsi="宋体" w:cs="宋体"/>
          <w:color w:val="auto"/>
          <w:kern w:val="0"/>
          <w:szCs w:val="21"/>
          <w:highlight w:val="none"/>
        </w:rPr>
        <w:t>。</w:t>
      </w:r>
    </w:p>
    <w:p w14:paraId="2357C3B5">
      <w:pPr>
        <w:pStyle w:val="23"/>
        <w:spacing w:line="380" w:lineRule="exact"/>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（5）因发包人违反合同约定造成暂停施工的违约责任：</w:t>
      </w:r>
      <w:r>
        <w:rPr>
          <w:rFonts w:hint="eastAsia" w:ascii="宋体" w:hAnsi="宋体" w:cs="宋体"/>
          <w:color w:val="auto"/>
          <w:kern w:val="0"/>
          <w:szCs w:val="21"/>
          <w:highlight w:val="none"/>
          <w:u w:val="single"/>
        </w:rPr>
        <w:t>按通用条款执行</w:t>
      </w:r>
      <w:r>
        <w:rPr>
          <w:rFonts w:hint="eastAsia" w:ascii="宋体" w:hAnsi="宋体" w:cs="宋体"/>
          <w:color w:val="auto"/>
          <w:kern w:val="0"/>
          <w:szCs w:val="21"/>
          <w:highlight w:val="none"/>
        </w:rPr>
        <w:t>。</w:t>
      </w:r>
    </w:p>
    <w:p w14:paraId="3ADED16B">
      <w:pPr>
        <w:pStyle w:val="23"/>
        <w:spacing w:line="38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（6）发包人无正当理由没有在约定期限内发出复工指示，导致承包人无法复工的违约责任：</w:t>
      </w:r>
      <w:r>
        <w:rPr>
          <w:rFonts w:hint="eastAsia" w:ascii="宋体" w:hAnsi="宋体" w:cs="宋体"/>
          <w:color w:val="auto"/>
          <w:kern w:val="0"/>
          <w:szCs w:val="21"/>
          <w:highlight w:val="none"/>
          <w:u w:val="single"/>
        </w:rPr>
        <w:t xml:space="preserve">   按通用条款执行</w:t>
      </w:r>
      <w:r>
        <w:rPr>
          <w:rFonts w:hint="eastAsia" w:ascii="宋体" w:hAnsi="宋体" w:cs="宋体"/>
          <w:color w:val="auto"/>
          <w:kern w:val="0"/>
          <w:szCs w:val="21"/>
          <w:highlight w:val="none"/>
        </w:rPr>
        <w:t>。</w:t>
      </w:r>
    </w:p>
    <w:p w14:paraId="65D31ED8">
      <w:pPr>
        <w:pStyle w:val="23"/>
        <w:spacing w:line="38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（7）其他：</w:t>
      </w:r>
      <w:r>
        <w:rPr>
          <w:rFonts w:hint="eastAsia" w:ascii="宋体" w:hAnsi="宋体" w:cs="宋体"/>
          <w:color w:val="auto"/>
          <w:kern w:val="0"/>
          <w:szCs w:val="21"/>
          <w:highlight w:val="none"/>
          <w:u w:val="single"/>
        </w:rPr>
        <w:t xml:space="preserve">  /  </w:t>
      </w:r>
      <w:r>
        <w:rPr>
          <w:rFonts w:hint="eastAsia" w:ascii="宋体" w:hAnsi="宋体" w:cs="宋体"/>
          <w:color w:val="auto"/>
          <w:kern w:val="0"/>
          <w:szCs w:val="21"/>
          <w:highlight w:val="none"/>
        </w:rPr>
        <w:t>。</w:t>
      </w:r>
    </w:p>
    <w:p w14:paraId="2B32D97E">
      <w:pPr>
        <w:pStyle w:val="23"/>
        <w:spacing w:line="3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16.1.3 因发包人违约解除合同</w:t>
      </w:r>
    </w:p>
    <w:p w14:paraId="5D63409E">
      <w:pPr>
        <w:pStyle w:val="23"/>
        <w:autoSpaceDE w:val="0"/>
        <w:autoSpaceDN w:val="0"/>
        <w:adjustRightInd w:val="0"/>
        <w:spacing w:line="38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承包人按16.1.1项〔发包人违约的情形〕约定暂停施工满</w:t>
      </w:r>
      <w:r>
        <w:rPr>
          <w:rFonts w:hint="eastAsia" w:ascii="宋体" w:hAnsi="宋体" w:cs="宋体"/>
          <w:color w:val="auto"/>
          <w:kern w:val="0"/>
          <w:szCs w:val="21"/>
          <w:highlight w:val="none"/>
          <w:u w:val="single"/>
        </w:rPr>
        <w:t xml:space="preserve">  /  </w:t>
      </w:r>
      <w:r>
        <w:rPr>
          <w:rFonts w:hint="eastAsia" w:ascii="宋体" w:hAnsi="宋体" w:cs="宋体"/>
          <w:color w:val="auto"/>
          <w:kern w:val="0"/>
          <w:szCs w:val="21"/>
          <w:highlight w:val="none"/>
        </w:rPr>
        <w:t>天后发包人仍不纠正其违约行为并致使合同目的不能实现的，承包人有权解除合同。</w:t>
      </w:r>
    </w:p>
    <w:p w14:paraId="0085E83B">
      <w:pPr>
        <w:pStyle w:val="38"/>
        <w:spacing w:line="380" w:lineRule="exact"/>
        <w:ind w:firstLine="422" w:firstLineChars="200"/>
        <w:rPr>
          <w:rFonts w:ascii="宋体" w:cs="宋体"/>
          <w:color w:val="auto"/>
          <w:highlight w:val="none"/>
        </w:rPr>
      </w:pPr>
      <w:bookmarkStart w:id="2131" w:name="_Toc403579003"/>
      <w:bookmarkStart w:id="2132" w:name="_Toc418752311"/>
      <w:bookmarkStart w:id="2133" w:name="_Toc418751865"/>
      <w:bookmarkStart w:id="2134" w:name="_Toc418518179"/>
      <w:bookmarkStart w:id="2135" w:name="_Toc418518415"/>
      <w:bookmarkStart w:id="2136" w:name="_Toc256000246"/>
      <w:bookmarkStart w:id="2137" w:name="_Toc373227768"/>
      <w:bookmarkStart w:id="2138" w:name="_Toc522201795"/>
      <w:bookmarkStart w:id="2139" w:name="_Toc497747247"/>
      <w:bookmarkStart w:id="2140" w:name="_Toc389065333"/>
      <w:bookmarkStart w:id="2141" w:name="_Toc418061380"/>
      <w:bookmarkStart w:id="2142" w:name="_Toc373478415"/>
      <w:bookmarkStart w:id="2143" w:name="_Toc497746850"/>
      <w:bookmarkStart w:id="2144" w:name="_Toc12535"/>
      <w:r>
        <w:rPr>
          <w:rFonts w:hint="eastAsia" w:ascii="宋体" w:cs="宋体"/>
          <w:color w:val="auto"/>
          <w:highlight w:val="none"/>
        </w:rPr>
        <w:t>16.2 承包人违约</w:t>
      </w:r>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p>
    <w:p w14:paraId="3CB7C88D">
      <w:pPr>
        <w:pStyle w:val="23"/>
        <w:spacing w:line="38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16.2.1 承包人违约的情形</w:t>
      </w:r>
    </w:p>
    <w:p w14:paraId="65AA764D">
      <w:pPr>
        <w:pStyle w:val="23"/>
        <w:spacing w:line="380" w:lineRule="exact"/>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承包人违约的其他情形：</w:t>
      </w:r>
      <w:r>
        <w:rPr>
          <w:rFonts w:hint="eastAsia" w:ascii="宋体" w:hAnsi="宋体" w:cs="宋体"/>
          <w:color w:val="auto"/>
          <w:kern w:val="0"/>
          <w:szCs w:val="21"/>
          <w:highlight w:val="none"/>
          <w:u w:val="single"/>
        </w:rPr>
        <w:t xml:space="preserve">按通用条款执行 </w:t>
      </w:r>
      <w:r>
        <w:rPr>
          <w:rFonts w:hint="eastAsia" w:ascii="宋体" w:hAnsi="宋体" w:cs="宋体"/>
          <w:color w:val="auto"/>
          <w:kern w:val="0"/>
          <w:szCs w:val="21"/>
          <w:highlight w:val="none"/>
        </w:rPr>
        <w:t>。</w:t>
      </w:r>
    </w:p>
    <w:p w14:paraId="4E6A7064">
      <w:pPr>
        <w:pStyle w:val="23"/>
        <w:spacing w:line="38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16.2.2承包人违约的责任</w:t>
      </w:r>
    </w:p>
    <w:p w14:paraId="683FA625">
      <w:pPr>
        <w:pStyle w:val="23"/>
        <w:spacing w:line="38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承包人违约责任的承担方式和计算方法：</w:t>
      </w:r>
    </w:p>
    <w:p w14:paraId="1E07C1B1">
      <w:pPr>
        <w:pStyle w:val="23"/>
        <w:spacing w:line="38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承包人未按本合同通用条款第16.2.1（2）、（3）条内容完成的，承包人无条件返工处理，修复至工程质量要求并承担相关费用，并在发包人规定的时间内完成返工，否则发包人有权扣罚该分项工程10%的工程款作为处罚。</w:t>
      </w:r>
    </w:p>
    <w:p w14:paraId="2F6FE541">
      <w:pPr>
        <w:pStyle w:val="23"/>
        <w:spacing w:line="38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（2）承包人有本合同通用条款第16.2.1（6）条情形的，或经监理人检验认为修复质量不合格而承包人拒绝再进行修补的，发包人将扣除承包人全部</w:t>
      </w:r>
      <w:r>
        <w:rPr>
          <w:rFonts w:hint="eastAsia" w:ascii="宋体" w:hAnsi="宋体" w:cs="宋体"/>
          <w:color w:val="auto"/>
          <w:kern w:val="0"/>
          <w:szCs w:val="21"/>
          <w:highlight w:val="none"/>
          <w:lang w:eastAsia="zh-CN"/>
        </w:rPr>
        <w:t>质量保证金</w:t>
      </w:r>
      <w:r>
        <w:rPr>
          <w:rFonts w:hint="eastAsia" w:ascii="宋体" w:hAnsi="宋体" w:cs="宋体"/>
          <w:color w:val="auto"/>
          <w:kern w:val="0"/>
          <w:szCs w:val="21"/>
          <w:highlight w:val="none"/>
        </w:rPr>
        <w:t>。</w:t>
      </w:r>
    </w:p>
    <w:p w14:paraId="5F9D3CFF">
      <w:pPr>
        <w:pStyle w:val="23"/>
        <w:spacing w:line="38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承包人有本专用合同条款3.2、3.3条违约责任的，发包人有权扣除承包人的违约金。违约金金额均在承包人的履约保证金及计量支付款内扣除。监理人预先下发含有罚款意向的指令，如承包人不及时采取措施纠正，则在指令下达后十五天下发罚款通知书（不再陈述罚款理由）。</w:t>
      </w:r>
      <w:r>
        <w:rPr>
          <w:rFonts w:hint="eastAsia" w:ascii="宋体" w:hAnsi="宋体" w:cs="宋体"/>
          <w:color w:val="auto"/>
          <w:szCs w:val="21"/>
          <w:highlight w:val="none"/>
        </w:rPr>
        <w:t>承包人在合同期内，完成合同规定的全部工程，且质量合格，在本工程施工竣工验收后十五天内可申请返还全部或部分罚款，返还金额由监理人审核，发包人批准。罚款金额返还时不包括银行利息。</w:t>
      </w:r>
      <w:r>
        <w:rPr>
          <w:rFonts w:hint="eastAsia" w:ascii="宋体" w:hAnsi="宋体" w:cs="宋体"/>
          <w:color w:val="auto"/>
          <w:kern w:val="0"/>
          <w:szCs w:val="21"/>
          <w:highlight w:val="none"/>
        </w:rPr>
        <w:t>承包人履约保证金被罚款后由发包人从最后一次计量支付时扣除相应金额补足履约保证金。</w:t>
      </w:r>
    </w:p>
    <w:p w14:paraId="5DEC0916">
      <w:pPr>
        <w:pStyle w:val="23"/>
        <w:spacing w:line="3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16.2.3 因承包人违约解除合同</w:t>
      </w:r>
    </w:p>
    <w:p w14:paraId="67E2DD50">
      <w:pPr>
        <w:pStyle w:val="23"/>
        <w:spacing w:line="38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关于承包人违约解除合同的特别约定：</w:t>
      </w:r>
      <w:r>
        <w:rPr>
          <w:rFonts w:hint="eastAsia" w:ascii="宋体" w:hAnsi="宋体" w:cs="宋体"/>
          <w:color w:val="auto"/>
          <w:kern w:val="0"/>
          <w:szCs w:val="21"/>
          <w:highlight w:val="none"/>
          <w:u w:val="single"/>
        </w:rPr>
        <w:t>承包人有违反以下情况之一的，发包人有权解除合同，并没收其全部履约保证金</w:t>
      </w:r>
      <w:r>
        <w:rPr>
          <w:rFonts w:hint="eastAsia" w:ascii="宋体" w:hAnsi="宋体" w:cs="宋体"/>
          <w:color w:val="auto"/>
          <w:kern w:val="0"/>
          <w:szCs w:val="21"/>
          <w:highlight w:val="none"/>
        </w:rPr>
        <w:t>。</w:t>
      </w:r>
    </w:p>
    <w:p w14:paraId="3346D257">
      <w:pPr>
        <w:pStyle w:val="23"/>
        <w:spacing w:line="38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(1)承包人无正当理由不按开工通知的要求及时进场组织施工和不按签订协议书时商定的进度计划有效地开展施工准备，造成工期延误的；</w:t>
      </w:r>
    </w:p>
    <w:p w14:paraId="47E57A75">
      <w:pPr>
        <w:pStyle w:val="23"/>
        <w:spacing w:line="38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(2)承包人违反本合同通用条款第3.5条规定私自将合同或合同的任何部分或任何权利转让给其他人，或私自将工程或工程的一部分分包出去的；</w:t>
      </w:r>
    </w:p>
    <w:p w14:paraId="06DED367">
      <w:pPr>
        <w:pStyle w:val="23"/>
        <w:spacing w:line="38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(3)未经监理人批准，承包人私自将已按投标文件承诺进入工地的工程设备、施工设备、临时工程或材料撤离工地的；</w:t>
      </w:r>
    </w:p>
    <w:p w14:paraId="08E8C76F">
      <w:pPr>
        <w:pStyle w:val="23"/>
        <w:spacing w:line="38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(4)由于承包人原因拒绝按合同进度计划及时完成合同规定的工程，而又未采取有效措施赶上进度，造成工期延误的；</w:t>
      </w:r>
    </w:p>
    <w:p w14:paraId="3FB73A4B">
      <w:pPr>
        <w:pStyle w:val="23"/>
        <w:spacing w:line="38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(5)承包人否认合同有效或拒绝履行合同规定的承包人义务，或由于法律、财务等原因导致承包人无法继续履行或实质上已停止履行合同的义务的；</w:t>
      </w:r>
    </w:p>
    <w:p w14:paraId="55DFD2E8">
      <w:pPr>
        <w:pStyle w:val="23"/>
        <w:spacing w:line="38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(6)合同签订之日起十五日内，承包人无法按合同规定及投标文件的承诺进场经监理工程师认可的全部人员和机械的。</w:t>
      </w:r>
    </w:p>
    <w:p w14:paraId="62BAAE0D">
      <w:pPr>
        <w:pStyle w:val="23"/>
        <w:spacing w:line="38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发包人继续使用承包人在施工现场的材料、设备、临时工程、承包人文件和由承包人或以其名义编制的其他文件的费用承担方式：</w:t>
      </w:r>
      <w:r>
        <w:rPr>
          <w:rFonts w:hint="eastAsia" w:ascii="宋体" w:hAnsi="宋体" w:cs="宋体"/>
          <w:color w:val="auto"/>
          <w:kern w:val="0"/>
          <w:szCs w:val="21"/>
          <w:highlight w:val="none"/>
          <w:u w:val="single"/>
        </w:rPr>
        <w:t xml:space="preserve">   协商决定   </w:t>
      </w:r>
      <w:r>
        <w:rPr>
          <w:rFonts w:hint="eastAsia" w:ascii="宋体" w:hAnsi="宋体" w:cs="宋体"/>
          <w:color w:val="auto"/>
          <w:kern w:val="0"/>
          <w:szCs w:val="21"/>
          <w:highlight w:val="none"/>
        </w:rPr>
        <w:t>。</w:t>
      </w:r>
    </w:p>
    <w:p w14:paraId="164B0053">
      <w:pPr>
        <w:pStyle w:val="38"/>
        <w:spacing w:line="380" w:lineRule="exact"/>
        <w:rPr>
          <w:rFonts w:ascii="宋体" w:cs="宋体"/>
          <w:color w:val="auto"/>
          <w:highlight w:val="none"/>
        </w:rPr>
      </w:pPr>
      <w:bookmarkStart w:id="2145" w:name="_Toc389065334"/>
      <w:bookmarkStart w:id="2146" w:name="_Toc256000247"/>
      <w:bookmarkStart w:id="2147" w:name="_Toc418061381"/>
      <w:bookmarkStart w:id="2148" w:name="_Toc351203649"/>
      <w:bookmarkStart w:id="2149" w:name="_Toc418518416"/>
      <w:bookmarkStart w:id="2150" w:name="_Toc522201796"/>
      <w:bookmarkStart w:id="2151" w:name="_Toc24826"/>
      <w:bookmarkStart w:id="2152" w:name="_Toc497747248"/>
      <w:bookmarkStart w:id="2153" w:name="_Toc373478416"/>
      <w:bookmarkStart w:id="2154" w:name="_Toc418518180"/>
      <w:bookmarkStart w:id="2155" w:name="_Toc418751866"/>
      <w:bookmarkStart w:id="2156" w:name="_Toc497746851"/>
      <w:bookmarkStart w:id="2157" w:name="_Toc418752312"/>
      <w:bookmarkStart w:id="2158" w:name="_Toc403579004"/>
      <w:bookmarkStart w:id="2159" w:name="_Toc373227769"/>
      <w:r>
        <w:rPr>
          <w:rFonts w:hint="eastAsia" w:ascii="宋体" w:cs="宋体"/>
          <w:color w:val="auto"/>
          <w:highlight w:val="none"/>
        </w:rPr>
        <w:t>17. 不可抗力</w:t>
      </w:r>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r>
        <w:rPr>
          <w:rFonts w:hint="eastAsia" w:ascii="宋体" w:cs="宋体"/>
          <w:color w:val="auto"/>
          <w:highlight w:val="none"/>
        </w:rPr>
        <w:t xml:space="preserve"> </w:t>
      </w:r>
      <w:bookmarkEnd w:id="2115"/>
    </w:p>
    <w:p w14:paraId="71F9D8C3">
      <w:pPr>
        <w:pStyle w:val="38"/>
        <w:spacing w:line="380" w:lineRule="exact"/>
        <w:ind w:firstLine="422" w:firstLineChars="200"/>
        <w:rPr>
          <w:rFonts w:ascii="宋体" w:cs="宋体"/>
          <w:color w:val="auto"/>
          <w:highlight w:val="none"/>
        </w:rPr>
      </w:pPr>
      <w:bookmarkStart w:id="2160" w:name="_Toc418752313"/>
      <w:bookmarkStart w:id="2161" w:name="_Toc389065335"/>
      <w:bookmarkStart w:id="2162" w:name="_Toc373478417"/>
      <w:bookmarkStart w:id="2163" w:name="_Toc418061382"/>
      <w:bookmarkStart w:id="2164" w:name="_Toc418518181"/>
      <w:bookmarkStart w:id="2165" w:name="_Toc522201797"/>
      <w:bookmarkStart w:id="2166" w:name="_Toc497746852"/>
      <w:bookmarkStart w:id="2167" w:name="_Toc497747249"/>
      <w:bookmarkStart w:id="2168" w:name="_Toc418518417"/>
      <w:bookmarkStart w:id="2169" w:name="_Toc256000248"/>
      <w:bookmarkStart w:id="2170" w:name="_Toc373227770"/>
      <w:bookmarkStart w:id="2171" w:name="_Toc12218"/>
      <w:bookmarkStart w:id="2172" w:name="_Toc418751867"/>
      <w:bookmarkStart w:id="2173" w:name="_Toc403579005"/>
      <w:r>
        <w:rPr>
          <w:rFonts w:hint="eastAsia" w:ascii="宋体" w:cs="宋体"/>
          <w:color w:val="auto"/>
          <w:highlight w:val="none"/>
        </w:rPr>
        <w:t>17.1 不可抗力的确认</w:t>
      </w:r>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p>
    <w:p w14:paraId="1AAF808F">
      <w:pPr>
        <w:pStyle w:val="23"/>
        <w:spacing w:line="380" w:lineRule="exact"/>
        <w:ind w:firstLine="420" w:firstLineChars="200"/>
        <w:rPr>
          <w:rFonts w:ascii="宋体" w:hAnsi="宋体" w:cs="宋体"/>
          <w:color w:val="auto"/>
          <w:kern w:val="0"/>
          <w:szCs w:val="21"/>
          <w:highlight w:val="none"/>
          <w:u w:val="single"/>
        </w:rPr>
      </w:pPr>
      <w:r>
        <w:rPr>
          <w:rFonts w:hint="eastAsia" w:ascii="宋体" w:hAnsi="宋体" w:cs="宋体"/>
          <w:color w:val="auto"/>
          <w:szCs w:val="21"/>
          <w:highlight w:val="none"/>
        </w:rPr>
        <w:t>除通用合同条款约定的不可抗力事件之外，视为不可抗力的其他情形：</w:t>
      </w:r>
      <w:r>
        <w:rPr>
          <w:rFonts w:hint="eastAsia" w:ascii="宋体" w:hAnsi="宋体" w:cs="宋体"/>
          <w:color w:val="auto"/>
          <w:kern w:val="0"/>
          <w:szCs w:val="21"/>
          <w:highlight w:val="none"/>
          <w:u w:val="single"/>
        </w:rPr>
        <w:t>（1）、6级以上地震；（2）、10级以上持续1天的大风；（3）、暴雨级以上持续1天的大雨；（4）、50年以上未发生过，持续2天的高温天气；（5）、50年以上未发生过，持续2天的低温天气；（6）、50年以上未发生过 的洪水；（7）、战争、敌对行动（不论宣战与否）、入侵、外敌行动；（8）、暴乱、骚乱、叛乱、革命、暴动，或军事政变、篡夺政权、内战等；（9）、由于任何有危险性物质所引起的离子辐射或放射性污染；（10）、以音速飞行的飞机或其他飞行装置产生的压力波；（11）、对以上几种形式，应以造成灾害和影响施工为准</w:t>
      </w:r>
      <w:r>
        <w:rPr>
          <w:rFonts w:hint="eastAsia" w:ascii="宋体" w:hAnsi="宋体" w:cs="宋体"/>
          <w:color w:val="auto"/>
          <w:kern w:val="0"/>
          <w:szCs w:val="21"/>
          <w:highlight w:val="none"/>
        </w:rPr>
        <w:t>。</w:t>
      </w:r>
    </w:p>
    <w:p w14:paraId="1147A770">
      <w:pPr>
        <w:pStyle w:val="38"/>
        <w:spacing w:line="380" w:lineRule="exact"/>
        <w:ind w:firstLine="422" w:firstLineChars="200"/>
        <w:rPr>
          <w:rFonts w:ascii="宋体" w:cs="宋体"/>
          <w:color w:val="auto"/>
          <w:highlight w:val="none"/>
        </w:rPr>
      </w:pPr>
      <w:bookmarkStart w:id="2174" w:name="_Toc522201798"/>
      <w:bookmarkStart w:id="2175" w:name="_Toc418061383"/>
      <w:bookmarkStart w:id="2176" w:name="_Toc389065336"/>
      <w:bookmarkStart w:id="2177" w:name="_Toc256000249"/>
      <w:bookmarkStart w:id="2178" w:name="_Toc403579006"/>
      <w:bookmarkStart w:id="2179" w:name="_Toc373478418"/>
      <w:bookmarkStart w:id="2180" w:name="_Toc418751868"/>
      <w:bookmarkStart w:id="2181" w:name="_Toc373227771"/>
      <w:bookmarkStart w:id="2182" w:name="_Toc21582"/>
      <w:bookmarkStart w:id="2183" w:name="_Toc497747250"/>
      <w:bookmarkStart w:id="2184" w:name="_Toc418518418"/>
      <w:bookmarkStart w:id="2185" w:name="_Toc418518182"/>
      <w:bookmarkStart w:id="2186" w:name="_Toc497746853"/>
      <w:bookmarkStart w:id="2187" w:name="_Toc418752314"/>
      <w:r>
        <w:rPr>
          <w:rFonts w:hint="eastAsia" w:ascii="宋体" w:cs="宋体"/>
          <w:color w:val="auto"/>
          <w:highlight w:val="none"/>
        </w:rPr>
        <w:t>17.4 因不可抗力解除合同</w:t>
      </w:r>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p>
    <w:p w14:paraId="207D0BD5">
      <w:pPr>
        <w:pStyle w:val="23"/>
        <w:spacing w:line="3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合同解除后，发包人应在商定或确定发包人应支付款项后</w:t>
      </w:r>
      <w:r>
        <w:rPr>
          <w:rFonts w:hint="eastAsia" w:ascii="宋体" w:hAnsi="宋体" w:cs="宋体"/>
          <w:color w:val="auto"/>
          <w:szCs w:val="21"/>
          <w:highlight w:val="none"/>
          <w:u w:val="single"/>
        </w:rPr>
        <w:t xml:space="preserve"> 30 </w:t>
      </w:r>
      <w:r>
        <w:rPr>
          <w:rFonts w:hint="eastAsia" w:ascii="宋体" w:hAnsi="宋体" w:cs="宋体"/>
          <w:color w:val="auto"/>
          <w:szCs w:val="21"/>
          <w:highlight w:val="none"/>
        </w:rPr>
        <w:t>天内完成款项的支付。</w:t>
      </w:r>
    </w:p>
    <w:p w14:paraId="65B279FE">
      <w:pPr>
        <w:pStyle w:val="38"/>
        <w:spacing w:line="380" w:lineRule="exact"/>
        <w:rPr>
          <w:rFonts w:ascii="宋体" w:cs="宋体"/>
          <w:color w:val="auto"/>
          <w:highlight w:val="none"/>
        </w:rPr>
      </w:pPr>
      <w:bookmarkStart w:id="2188" w:name="_Toc351203650"/>
      <w:bookmarkStart w:id="2189" w:name="_Toc418061384"/>
      <w:bookmarkStart w:id="2190" w:name="_Toc256000250"/>
      <w:bookmarkStart w:id="2191" w:name="_Toc389065337"/>
      <w:bookmarkStart w:id="2192" w:name="_Toc418518419"/>
      <w:bookmarkStart w:id="2193" w:name="_Toc418752315"/>
      <w:bookmarkStart w:id="2194" w:name="_Toc497746854"/>
      <w:bookmarkStart w:id="2195" w:name="_Toc403579007"/>
      <w:bookmarkStart w:id="2196" w:name="_Toc522201799"/>
      <w:bookmarkStart w:id="2197" w:name="_Toc418751869"/>
      <w:bookmarkStart w:id="2198" w:name="_Toc10404"/>
      <w:bookmarkStart w:id="2199" w:name="_Toc373227772"/>
      <w:bookmarkStart w:id="2200" w:name="_Toc418518183"/>
      <w:bookmarkStart w:id="2201" w:name="_Toc373478419"/>
      <w:bookmarkStart w:id="2202" w:name="_Toc497747251"/>
      <w:r>
        <w:rPr>
          <w:rFonts w:hint="eastAsia" w:ascii="宋体" w:cs="宋体"/>
          <w:color w:val="auto"/>
          <w:highlight w:val="none"/>
        </w:rPr>
        <w:t>18. 保险</w:t>
      </w:r>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p>
    <w:bookmarkEnd w:id="2116"/>
    <w:p w14:paraId="3D97916E">
      <w:pPr>
        <w:pStyle w:val="38"/>
        <w:spacing w:line="380" w:lineRule="exact"/>
        <w:ind w:firstLine="422" w:firstLineChars="200"/>
        <w:rPr>
          <w:rFonts w:ascii="宋体" w:cs="宋体"/>
          <w:color w:val="auto"/>
          <w:highlight w:val="none"/>
        </w:rPr>
      </w:pPr>
      <w:bookmarkStart w:id="2203" w:name="_Toc373227773"/>
      <w:bookmarkStart w:id="2204" w:name="_Toc418518184"/>
      <w:bookmarkStart w:id="2205" w:name="_Toc373478420"/>
      <w:bookmarkStart w:id="2206" w:name="_Toc418518420"/>
      <w:bookmarkStart w:id="2207" w:name="_Toc25051"/>
      <w:bookmarkStart w:id="2208" w:name="_Toc418061385"/>
      <w:bookmarkStart w:id="2209" w:name="_Toc403579008"/>
      <w:bookmarkStart w:id="2210" w:name="_Toc418752316"/>
      <w:bookmarkStart w:id="2211" w:name="_Toc497747252"/>
      <w:bookmarkStart w:id="2212" w:name="_Toc522201800"/>
      <w:bookmarkStart w:id="2213" w:name="_Toc389065338"/>
      <w:bookmarkStart w:id="2214" w:name="_Toc418751870"/>
      <w:bookmarkStart w:id="2215" w:name="_Toc256000251"/>
      <w:bookmarkStart w:id="2216" w:name="_Toc497746855"/>
      <w:r>
        <w:rPr>
          <w:rFonts w:hint="eastAsia" w:ascii="宋体" w:cs="宋体"/>
          <w:color w:val="auto"/>
          <w:highlight w:val="none"/>
        </w:rPr>
        <w:t>18.1 工程保险</w:t>
      </w:r>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p>
    <w:p w14:paraId="3DAE13AB">
      <w:pPr>
        <w:pStyle w:val="23"/>
        <w:spacing w:line="3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关于工程保险的特别约定：</w:t>
      </w:r>
      <w:r>
        <w:rPr>
          <w:rFonts w:hint="eastAsia" w:ascii="宋体" w:hAnsi="宋体" w:cs="宋体"/>
          <w:color w:val="auto"/>
          <w:kern w:val="0"/>
          <w:szCs w:val="21"/>
          <w:highlight w:val="none"/>
          <w:u w:val="single"/>
        </w:rPr>
        <w:t>承包人应投保建筑工程一切险并承担与之相关的所有费用</w:t>
      </w:r>
      <w:r>
        <w:rPr>
          <w:rFonts w:hint="eastAsia" w:ascii="宋体" w:hAnsi="宋体" w:cs="宋体"/>
          <w:color w:val="auto"/>
          <w:kern w:val="0"/>
          <w:szCs w:val="21"/>
          <w:highlight w:val="none"/>
        </w:rPr>
        <w:t>。</w:t>
      </w:r>
    </w:p>
    <w:p w14:paraId="73C0D2B1">
      <w:pPr>
        <w:pStyle w:val="38"/>
        <w:spacing w:line="380" w:lineRule="exact"/>
        <w:ind w:firstLine="422" w:firstLineChars="200"/>
        <w:rPr>
          <w:rFonts w:ascii="宋体" w:cs="宋体"/>
          <w:color w:val="auto"/>
          <w:highlight w:val="none"/>
        </w:rPr>
      </w:pPr>
      <w:bookmarkStart w:id="2217" w:name="_Toc418751871"/>
      <w:bookmarkStart w:id="2218" w:name="_Toc389065339"/>
      <w:bookmarkStart w:id="2219" w:name="_Toc497747253"/>
      <w:bookmarkStart w:id="2220" w:name="_Toc403579009"/>
      <w:bookmarkStart w:id="2221" w:name="_Toc373478421"/>
      <w:bookmarkStart w:id="2222" w:name="_Toc522201801"/>
      <w:bookmarkStart w:id="2223" w:name="_Toc418061386"/>
      <w:bookmarkStart w:id="2224" w:name="_Toc418752317"/>
      <w:bookmarkStart w:id="2225" w:name="_Toc373227774"/>
      <w:bookmarkStart w:id="2226" w:name="_Toc418518185"/>
      <w:bookmarkStart w:id="2227" w:name="_Toc256000252"/>
      <w:bookmarkStart w:id="2228" w:name="_Toc14806"/>
      <w:bookmarkStart w:id="2229" w:name="_Toc418518421"/>
      <w:bookmarkStart w:id="2230" w:name="_Toc497746856"/>
      <w:r>
        <w:rPr>
          <w:rFonts w:hint="eastAsia" w:ascii="宋体" w:cs="宋体"/>
          <w:color w:val="auto"/>
          <w:highlight w:val="none"/>
        </w:rPr>
        <w:t>18.3 其他保险</w:t>
      </w:r>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p>
    <w:p w14:paraId="5E15AE3A">
      <w:pPr>
        <w:pStyle w:val="23"/>
        <w:spacing w:line="380" w:lineRule="exact"/>
        <w:ind w:firstLine="420" w:firstLineChars="200"/>
        <w:jc w:val="left"/>
        <w:rPr>
          <w:rFonts w:ascii="宋体" w:hAnsi="宋体" w:cs="宋体"/>
          <w:color w:val="auto"/>
          <w:kern w:val="0"/>
          <w:szCs w:val="21"/>
          <w:highlight w:val="none"/>
        </w:rPr>
      </w:pPr>
      <w:r>
        <w:rPr>
          <w:rFonts w:hint="eastAsia" w:ascii="宋体" w:hAnsi="宋体" w:cs="宋体"/>
          <w:color w:val="auto"/>
          <w:szCs w:val="21"/>
          <w:highlight w:val="none"/>
        </w:rPr>
        <w:t>关于其他保险的约定：</w:t>
      </w:r>
      <w:r>
        <w:rPr>
          <w:rFonts w:hint="eastAsia" w:ascii="宋体" w:hAnsi="宋体" w:cs="宋体"/>
          <w:color w:val="auto"/>
          <w:kern w:val="0"/>
          <w:szCs w:val="21"/>
          <w:highlight w:val="none"/>
          <w:u w:val="single"/>
        </w:rPr>
        <w:t>承包人根据市建协字【2009】3号文必须</w:t>
      </w:r>
      <w:r>
        <w:rPr>
          <w:rFonts w:hint="eastAsia" w:ascii="宋体" w:hAnsi="宋体" w:cs="宋体"/>
          <w:color w:val="auto"/>
          <w:szCs w:val="21"/>
          <w:highlight w:val="none"/>
          <w:u w:val="single"/>
        </w:rPr>
        <w:t>为施工现场从事施工的所有作业人员和管理人员办理意外伤害保险，并支付保险费</w:t>
      </w:r>
      <w:r>
        <w:rPr>
          <w:rFonts w:hint="eastAsia" w:ascii="宋体" w:hAnsi="宋体" w:cs="宋体"/>
          <w:bCs/>
          <w:color w:val="auto"/>
          <w:szCs w:val="21"/>
          <w:highlight w:val="none"/>
        </w:rPr>
        <w:t>。</w:t>
      </w:r>
    </w:p>
    <w:p w14:paraId="28321752">
      <w:pPr>
        <w:pStyle w:val="23"/>
        <w:spacing w:line="380" w:lineRule="exact"/>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承包人是否应为其施工设备等办理财产保险：</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u w:val="single"/>
        </w:rPr>
        <w:t>按通用条款执行，无特殊约定</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7F076788">
      <w:pPr>
        <w:pStyle w:val="38"/>
        <w:spacing w:line="380" w:lineRule="exact"/>
        <w:ind w:firstLine="422" w:firstLineChars="200"/>
        <w:rPr>
          <w:rFonts w:ascii="宋体" w:cs="宋体"/>
          <w:color w:val="auto"/>
          <w:highlight w:val="none"/>
        </w:rPr>
      </w:pPr>
      <w:bookmarkStart w:id="2231" w:name="_Toc418518422"/>
      <w:bookmarkStart w:id="2232" w:name="_Toc522201802"/>
      <w:bookmarkStart w:id="2233" w:name="_Toc403579010"/>
      <w:bookmarkStart w:id="2234" w:name="_Toc497747254"/>
      <w:bookmarkStart w:id="2235" w:name="_Toc256000253"/>
      <w:bookmarkStart w:id="2236" w:name="_Toc418518186"/>
      <w:bookmarkStart w:id="2237" w:name="_Toc418752318"/>
      <w:bookmarkStart w:id="2238" w:name="_Toc373478422"/>
      <w:bookmarkStart w:id="2239" w:name="_Toc418751872"/>
      <w:bookmarkStart w:id="2240" w:name="_Toc389065340"/>
      <w:bookmarkStart w:id="2241" w:name="_Toc418061387"/>
      <w:bookmarkStart w:id="2242" w:name="_Toc497746857"/>
      <w:bookmarkStart w:id="2243" w:name="_Toc627"/>
      <w:bookmarkStart w:id="2244" w:name="_Toc373227775"/>
      <w:r>
        <w:rPr>
          <w:rFonts w:hint="eastAsia" w:ascii="宋体" w:cs="宋体"/>
          <w:color w:val="auto"/>
          <w:highlight w:val="none"/>
        </w:rPr>
        <w:t>18.7 通知义务</w:t>
      </w:r>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p>
    <w:p w14:paraId="1D75A715">
      <w:pPr>
        <w:pStyle w:val="23"/>
        <w:spacing w:line="380" w:lineRule="exact"/>
        <w:ind w:firstLine="420" w:firstLineChars="200"/>
        <w:jc w:val="left"/>
        <w:rPr>
          <w:rFonts w:ascii="宋体" w:hAnsi="宋体" w:cs="宋体"/>
          <w:color w:val="auto"/>
          <w:szCs w:val="21"/>
          <w:highlight w:val="none"/>
          <w:u w:val="single"/>
        </w:rPr>
      </w:pPr>
      <w:r>
        <w:rPr>
          <w:rFonts w:hint="eastAsia" w:ascii="宋体" w:hAnsi="宋体" w:cs="宋体"/>
          <w:color w:val="auto"/>
          <w:kern w:val="0"/>
          <w:szCs w:val="21"/>
          <w:highlight w:val="none"/>
        </w:rPr>
        <w:t>关于变更保险合同时的通知义务的约定：</w:t>
      </w:r>
      <w:r>
        <w:rPr>
          <w:rFonts w:hint="eastAsia" w:ascii="宋体" w:hAnsi="宋体" w:cs="宋体"/>
          <w:color w:val="auto"/>
          <w:szCs w:val="21"/>
          <w:highlight w:val="none"/>
          <w:u w:val="single"/>
        </w:rPr>
        <w:t xml:space="preserve">  变更应通知当事人 </w:t>
      </w:r>
      <w:r>
        <w:rPr>
          <w:rFonts w:hint="eastAsia" w:ascii="宋体" w:hAnsi="宋体" w:cs="宋体"/>
          <w:color w:val="auto"/>
          <w:kern w:val="0"/>
          <w:szCs w:val="21"/>
          <w:highlight w:val="none"/>
          <w:u w:val="single"/>
        </w:rPr>
        <w:t xml:space="preserve"> </w:t>
      </w:r>
      <w:r>
        <w:rPr>
          <w:rFonts w:hint="eastAsia" w:ascii="宋体" w:hAnsi="宋体" w:cs="宋体"/>
          <w:color w:val="auto"/>
          <w:szCs w:val="21"/>
          <w:highlight w:val="none"/>
        </w:rPr>
        <w:t>。</w:t>
      </w:r>
    </w:p>
    <w:bookmarkEnd w:id="2036"/>
    <w:bookmarkEnd w:id="2037"/>
    <w:bookmarkEnd w:id="2038"/>
    <w:bookmarkEnd w:id="2039"/>
    <w:bookmarkEnd w:id="2040"/>
    <w:bookmarkEnd w:id="2041"/>
    <w:bookmarkEnd w:id="2042"/>
    <w:bookmarkEnd w:id="2043"/>
    <w:bookmarkEnd w:id="2044"/>
    <w:bookmarkEnd w:id="2045"/>
    <w:bookmarkEnd w:id="2046"/>
    <w:bookmarkEnd w:id="2047"/>
    <w:p w14:paraId="6D814D76">
      <w:pPr>
        <w:pStyle w:val="38"/>
        <w:spacing w:line="380" w:lineRule="exact"/>
        <w:rPr>
          <w:rFonts w:ascii="宋体" w:cs="宋体"/>
          <w:color w:val="auto"/>
          <w:highlight w:val="none"/>
        </w:rPr>
      </w:pPr>
      <w:bookmarkStart w:id="2245" w:name="_Toc403579011"/>
      <w:bookmarkStart w:id="2246" w:name="_Toc351203651"/>
      <w:bookmarkStart w:id="2247" w:name="_Toc256000254"/>
      <w:bookmarkStart w:id="2248" w:name="_Toc25758"/>
      <w:bookmarkStart w:id="2249" w:name="_Toc373478423"/>
      <w:bookmarkStart w:id="2250" w:name="_Toc389065341"/>
      <w:bookmarkStart w:id="2251" w:name="_Toc418518423"/>
      <w:bookmarkStart w:id="2252" w:name="_Toc497747255"/>
      <w:bookmarkStart w:id="2253" w:name="_Toc522201803"/>
      <w:bookmarkStart w:id="2254" w:name="_Toc418518187"/>
      <w:bookmarkStart w:id="2255" w:name="_Toc373227776"/>
      <w:bookmarkStart w:id="2256" w:name="_Toc418752319"/>
      <w:bookmarkStart w:id="2257" w:name="_Toc418061388"/>
      <w:bookmarkStart w:id="2258" w:name="_Toc497746858"/>
      <w:bookmarkStart w:id="2259" w:name="_Toc418751873"/>
      <w:r>
        <w:rPr>
          <w:rFonts w:hint="eastAsia" w:ascii="宋体" w:cs="宋体"/>
          <w:color w:val="auto"/>
          <w:highlight w:val="none"/>
        </w:rPr>
        <w:t>20. 争议解决</w:t>
      </w:r>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p>
    <w:bookmarkEnd w:id="2048"/>
    <w:bookmarkEnd w:id="2049"/>
    <w:p w14:paraId="337C5A4B">
      <w:pPr>
        <w:pStyle w:val="38"/>
        <w:spacing w:line="380" w:lineRule="exact"/>
        <w:ind w:firstLine="422" w:firstLineChars="200"/>
        <w:rPr>
          <w:rFonts w:ascii="宋体" w:cs="宋体"/>
          <w:color w:val="auto"/>
          <w:highlight w:val="none"/>
        </w:rPr>
      </w:pPr>
      <w:bookmarkStart w:id="2260" w:name="_Toc497746859"/>
      <w:bookmarkStart w:id="2261" w:name="_Toc256000255"/>
      <w:bookmarkStart w:id="2262" w:name="_Toc418061389"/>
      <w:bookmarkStart w:id="2263" w:name="_Toc403579012"/>
      <w:bookmarkStart w:id="2264" w:name="_Toc373227777"/>
      <w:bookmarkStart w:id="2265" w:name="_Toc497747256"/>
      <w:bookmarkStart w:id="2266" w:name="_Toc418518424"/>
      <w:bookmarkStart w:id="2267" w:name="_Toc16650"/>
      <w:bookmarkStart w:id="2268" w:name="_Toc389065342"/>
      <w:bookmarkStart w:id="2269" w:name="_Toc418518188"/>
      <w:bookmarkStart w:id="2270" w:name="_Toc418751874"/>
      <w:bookmarkStart w:id="2271" w:name="_Toc418752320"/>
      <w:bookmarkStart w:id="2272" w:name="_Toc373478424"/>
      <w:bookmarkStart w:id="2273" w:name="_Toc522201804"/>
      <w:r>
        <w:rPr>
          <w:rFonts w:hint="eastAsia" w:ascii="宋体" w:cs="宋体"/>
          <w:color w:val="auto"/>
          <w:highlight w:val="none"/>
        </w:rPr>
        <w:t>20.3 争</w:t>
      </w:r>
      <w:bookmarkEnd w:id="2050"/>
      <w:r>
        <w:rPr>
          <w:rFonts w:hint="eastAsia" w:ascii="宋体" w:cs="宋体"/>
          <w:color w:val="auto"/>
          <w:highlight w:val="none"/>
        </w:rPr>
        <w:t>议评审</w:t>
      </w:r>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p>
    <w:p w14:paraId="4308A7CE">
      <w:pPr>
        <w:pStyle w:val="23"/>
        <w:spacing w:line="380" w:lineRule="exact"/>
        <w:ind w:left="149" w:leftChars="71" w:firstLine="315" w:firstLineChars="150"/>
        <w:jc w:val="left"/>
        <w:rPr>
          <w:rFonts w:ascii="宋体" w:hAnsi="宋体" w:cs="宋体"/>
          <w:color w:val="auto"/>
          <w:szCs w:val="21"/>
          <w:highlight w:val="none"/>
          <w:u w:val="single"/>
        </w:rPr>
      </w:pPr>
      <w:r>
        <w:rPr>
          <w:rFonts w:hint="eastAsia" w:ascii="宋体" w:hAnsi="宋体" w:cs="宋体"/>
          <w:color w:val="auto"/>
          <w:szCs w:val="21"/>
          <w:highlight w:val="none"/>
        </w:rPr>
        <w:t>合同当事人是否同意将工程争议提交争议评审小组决定：</w:t>
      </w:r>
      <w:r>
        <w:rPr>
          <w:rFonts w:hint="eastAsia" w:ascii="宋体" w:hAnsi="宋体" w:cs="宋体"/>
          <w:color w:val="auto"/>
          <w:szCs w:val="21"/>
          <w:highlight w:val="none"/>
          <w:u w:val="single"/>
        </w:rPr>
        <w:t xml:space="preserve">  不同意  </w:t>
      </w:r>
      <w:r>
        <w:rPr>
          <w:rFonts w:hint="eastAsia" w:ascii="宋体" w:hAnsi="宋体" w:cs="宋体"/>
          <w:color w:val="auto"/>
          <w:szCs w:val="21"/>
          <w:highlight w:val="none"/>
        </w:rPr>
        <w:t>。</w:t>
      </w:r>
    </w:p>
    <w:p w14:paraId="37E17365">
      <w:pPr>
        <w:pStyle w:val="23"/>
        <w:spacing w:line="3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20.3.1 争议评审小组的确定</w:t>
      </w:r>
    </w:p>
    <w:p w14:paraId="48F08E40">
      <w:pPr>
        <w:pStyle w:val="23"/>
        <w:spacing w:line="380" w:lineRule="exact"/>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争议评审小组成员的确定：</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14:paraId="4ECC5187">
      <w:pPr>
        <w:pStyle w:val="23"/>
        <w:spacing w:line="3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选定争议评审员的期限：</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14:paraId="73FC0BDC">
      <w:pPr>
        <w:pStyle w:val="23"/>
        <w:spacing w:line="3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争议评审小组成员的报酬承担方式：</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14:paraId="1F5030C2">
      <w:pPr>
        <w:pStyle w:val="23"/>
        <w:spacing w:line="3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其他事项的约定：</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14:paraId="4CA58C86">
      <w:pPr>
        <w:pStyle w:val="23"/>
        <w:autoSpaceDE w:val="0"/>
        <w:autoSpaceDN w:val="0"/>
        <w:adjustRightInd w:val="0"/>
        <w:spacing w:line="38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20.3.2 争议评审小组的决定</w:t>
      </w:r>
    </w:p>
    <w:p w14:paraId="058F5A7F">
      <w:pPr>
        <w:pStyle w:val="23"/>
        <w:spacing w:line="3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合同当事人关于本项的约定：</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14:paraId="22242BFB">
      <w:pPr>
        <w:pStyle w:val="38"/>
        <w:spacing w:line="380" w:lineRule="exact"/>
        <w:ind w:firstLine="422" w:firstLineChars="200"/>
        <w:rPr>
          <w:rFonts w:ascii="宋体" w:cs="宋体"/>
          <w:color w:val="auto"/>
          <w:highlight w:val="none"/>
        </w:rPr>
      </w:pPr>
      <w:bookmarkStart w:id="2274" w:name="_Toc497746860"/>
      <w:bookmarkStart w:id="2275" w:name="_Toc418752321"/>
      <w:bookmarkStart w:id="2276" w:name="_Toc403579013"/>
      <w:bookmarkStart w:id="2277" w:name="_Toc373227778"/>
      <w:bookmarkStart w:id="2278" w:name="_Toc497747257"/>
      <w:bookmarkStart w:id="2279" w:name="_Toc373478425"/>
      <w:bookmarkStart w:id="2280" w:name="_Toc418518189"/>
      <w:bookmarkStart w:id="2281" w:name="_Toc15918"/>
      <w:bookmarkStart w:id="2282" w:name="_Toc389065343"/>
      <w:bookmarkStart w:id="2283" w:name="_Toc522201805"/>
      <w:bookmarkStart w:id="2284" w:name="_Toc418518425"/>
      <w:bookmarkStart w:id="2285" w:name="_Toc256000256"/>
      <w:bookmarkStart w:id="2286" w:name="_Toc418751875"/>
      <w:bookmarkStart w:id="2287" w:name="_Toc418061390"/>
      <w:r>
        <w:rPr>
          <w:rFonts w:hint="eastAsia" w:ascii="宋体" w:cs="宋体"/>
          <w:color w:val="auto"/>
          <w:highlight w:val="none"/>
        </w:rPr>
        <w:t>20.4 仲裁或诉讼</w:t>
      </w:r>
      <w:bookmarkEnd w:id="2051"/>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p>
    <w:p w14:paraId="4164BA83">
      <w:pPr>
        <w:pStyle w:val="23"/>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因合同及合同有关事项发生的争议，按下列第</w:t>
      </w:r>
      <w:r>
        <w:rPr>
          <w:rFonts w:hint="eastAsia" w:ascii="宋体" w:hAnsi="宋体" w:cs="宋体"/>
          <w:color w:val="auto"/>
          <w:szCs w:val="21"/>
          <w:highlight w:val="none"/>
          <w:u w:val="single"/>
        </w:rPr>
        <w:t xml:space="preserve">  （2）    </w:t>
      </w:r>
      <w:r>
        <w:rPr>
          <w:rFonts w:hint="eastAsia" w:ascii="宋体" w:hAnsi="宋体" w:cs="宋体"/>
          <w:color w:val="auto"/>
          <w:szCs w:val="21"/>
          <w:highlight w:val="none"/>
        </w:rPr>
        <w:t>种方式解决：</w:t>
      </w:r>
    </w:p>
    <w:p w14:paraId="4BB32CB8">
      <w:pPr>
        <w:pStyle w:val="23"/>
        <w:spacing w:line="3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（1）提请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仲裁委员会按照该会仲裁规则进行仲裁，仲裁裁决是终局的，对合同双方均有约束力。</w:t>
      </w:r>
    </w:p>
    <w:p w14:paraId="40654784">
      <w:pPr>
        <w:pStyle w:val="23"/>
        <w:spacing w:line="3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（2）向</w:t>
      </w:r>
      <w:r>
        <w:rPr>
          <w:rFonts w:hint="eastAsia" w:ascii="宋体" w:hAnsi="宋体" w:cs="宋体"/>
          <w:color w:val="auto"/>
          <w:szCs w:val="21"/>
          <w:highlight w:val="none"/>
          <w:u w:val="single"/>
        </w:rPr>
        <w:t xml:space="preserve">    桂林市本工程辖区内     </w:t>
      </w:r>
      <w:r>
        <w:rPr>
          <w:rFonts w:hint="eastAsia" w:ascii="宋体" w:hAnsi="宋体" w:cs="宋体"/>
          <w:color w:val="auto"/>
          <w:szCs w:val="21"/>
          <w:highlight w:val="none"/>
        </w:rPr>
        <w:t>人民法院起诉。</w:t>
      </w:r>
      <w:bookmarkEnd w:id="2052"/>
      <w:bookmarkEnd w:id="2053"/>
      <w:bookmarkEnd w:id="2054"/>
      <w:bookmarkEnd w:id="2055"/>
      <w:bookmarkEnd w:id="2056"/>
      <w:bookmarkEnd w:id="2057"/>
    </w:p>
    <w:p w14:paraId="462AC018">
      <w:pPr>
        <w:pStyle w:val="38"/>
        <w:spacing w:line="380" w:lineRule="exact"/>
        <w:rPr>
          <w:rFonts w:ascii="宋体" w:cs="宋体"/>
          <w:color w:val="auto"/>
          <w:highlight w:val="none"/>
        </w:rPr>
      </w:pPr>
      <w:bookmarkStart w:id="2288" w:name="_Toc32248"/>
      <w:bookmarkStart w:id="2289" w:name="_Toc373478426"/>
      <w:bookmarkStart w:id="2290" w:name="_Toc256000257"/>
      <w:bookmarkStart w:id="2291" w:name="_Toc373227779"/>
      <w:bookmarkStart w:id="2292" w:name="_Toc522201806"/>
      <w:bookmarkStart w:id="2293" w:name="_Toc497747258"/>
      <w:bookmarkStart w:id="2294" w:name="_Toc497746861"/>
      <w:bookmarkStart w:id="2295" w:name="_Toc389065344"/>
      <w:bookmarkStart w:id="2296" w:name="_Toc395382582"/>
      <w:r>
        <w:rPr>
          <w:rFonts w:hint="eastAsia" w:ascii="宋体" w:cs="宋体"/>
          <w:color w:val="auto"/>
          <w:highlight w:val="none"/>
        </w:rPr>
        <w:t>21. 补充条款</w:t>
      </w:r>
      <w:bookmarkEnd w:id="2288"/>
      <w:bookmarkEnd w:id="2289"/>
      <w:bookmarkEnd w:id="2290"/>
      <w:bookmarkEnd w:id="2291"/>
      <w:bookmarkEnd w:id="2292"/>
      <w:bookmarkEnd w:id="2293"/>
      <w:bookmarkEnd w:id="2294"/>
      <w:bookmarkEnd w:id="2295"/>
      <w:bookmarkEnd w:id="2296"/>
    </w:p>
    <w:p w14:paraId="19D52276">
      <w:pPr>
        <w:pStyle w:val="23"/>
        <w:autoSpaceDE w:val="0"/>
        <w:autoSpaceDN w:val="0"/>
        <w:adjustRightInd w:val="0"/>
        <w:spacing w:line="38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 xml:space="preserve">21.1 根据桂劳社[2003]150 号文，承包人在投标时必须在投标文件中承诺，在发包人发出交款通知之日起 7 个工作日内足额将民工工资保障金转入建设行政主管部门设立的农民工工资保障金专用帐号。发包人按节点足额支付工程款后，一旦其承包的建设工程项目中出现拖欠农民工工资情况的，由主管部门从其农民工工资保障金中先予支付。 </w:t>
      </w:r>
    </w:p>
    <w:p w14:paraId="076761D6">
      <w:pPr>
        <w:pStyle w:val="23"/>
        <w:autoSpaceDE w:val="0"/>
        <w:autoSpaceDN w:val="0"/>
        <w:adjustRightInd w:val="0"/>
        <w:spacing w:line="38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 xml:space="preserve">21.2 承包方采用新工艺新材料，必须在使用前 2 个月，向发包方提交相关的技术资料、发明专利、产品证书、样品及应用的实例、单价组成等有关资料；经发包方、设计单位认可后方可使用，凡未经批准擅自使用者除费用自行承担外还应赔偿发包方由此引起的经济损失。 </w:t>
      </w:r>
    </w:p>
    <w:p w14:paraId="5A27A4FA">
      <w:pPr>
        <w:pStyle w:val="23"/>
        <w:autoSpaceDE w:val="0"/>
        <w:autoSpaceDN w:val="0"/>
        <w:adjustRightInd w:val="0"/>
        <w:spacing w:line="38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21.3 赶工费、夜间施工费由投标人结合自身企业的实际情况及对施工现场的考察、提供的图纸等各方面的资料自行报价，并包干使用，今后不作任何调整和签证。</w:t>
      </w:r>
    </w:p>
    <w:p w14:paraId="14B18DF0">
      <w:pPr>
        <w:pStyle w:val="23"/>
        <w:autoSpaceDE w:val="0"/>
        <w:autoSpaceDN w:val="0"/>
        <w:adjustRightInd w:val="0"/>
        <w:spacing w:line="38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 xml:space="preserve">21.4 根据《建设工程质量检测管理办法》（建设部令第 141 号）以及《广西壮族自治区建设工程质量检测管理规定》（桂建管〔2013〕11 号）规定，工程质量检测业务由招标人委托有相应资质的检测机构检测。费用从招标人的项目建设经费中支出并直接支付给检测机构，不计入合同价款内。  </w:t>
      </w:r>
    </w:p>
    <w:p w14:paraId="6AF1604D">
      <w:pPr>
        <w:pStyle w:val="23"/>
        <w:autoSpaceDE w:val="0"/>
        <w:autoSpaceDN w:val="0"/>
        <w:adjustRightInd w:val="0"/>
        <w:spacing w:line="38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21.</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 xml:space="preserve"> 由于承包人不能按时提供属承包人应提供的文件导致发包人不能及时办理施工许可证，所有造成的后果由承包人承担责任。造成发包人损失的，承包人应赔偿发包人损失。 </w:t>
      </w:r>
    </w:p>
    <w:p w14:paraId="5FD6BD0A">
      <w:pPr>
        <w:pStyle w:val="23"/>
        <w:autoSpaceDE w:val="0"/>
        <w:autoSpaceDN w:val="0"/>
        <w:adjustRightInd w:val="0"/>
        <w:spacing w:line="38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21.</w:t>
      </w:r>
      <w:r>
        <w:rPr>
          <w:rFonts w:hint="eastAsia" w:ascii="宋体" w:hAnsi="宋体" w:cs="宋体"/>
          <w:color w:val="auto"/>
          <w:kern w:val="0"/>
          <w:szCs w:val="21"/>
          <w:highlight w:val="none"/>
          <w:lang w:val="en-US" w:eastAsia="zh-CN"/>
        </w:rPr>
        <w:t>6</w:t>
      </w:r>
      <w:r>
        <w:rPr>
          <w:rFonts w:hint="eastAsia" w:ascii="宋体" w:hAnsi="宋体" w:cs="宋体"/>
          <w:color w:val="auto"/>
          <w:kern w:val="0"/>
          <w:szCs w:val="21"/>
          <w:highlight w:val="none"/>
        </w:rPr>
        <w:t xml:space="preserve">已完工程成品保护的特殊要求及费用承担： 已竣工工程未交付发包人之前，承包人负责已完工程的成品保护工作，保护期间发生损坏，承包人自费予以修复。 </w:t>
      </w:r>
    </w:p>
    <w:p w14:paraId="62B07EF8">
      <w:pPr>
        <w:pStyle w:val="23"/>
        <w:autoSpaceDE w:val="0"/>
        <w:autoSpaceDN w:val="0"/>
        <w:adjustRightInd w:val="0"/>
        <w:spacing w:line="38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 xml:space="preserve">21.9材料严格保证质量，相同类型材料质量应一致，若发现有材料以次品冒充，则该部分所有材料均按次品处理且须重新更换合格材料才能使用。 </w:t>
      </w:r>
    </w:p>
    <w:p w14:paraId="13C94ADB">
      <w:pPr>
        <w:pStyle w:val="23"/>
        <w:autoSpaceDE w:val="0"/>
        <w:autoSpaceDN w:val="0"/>
        <w:adjustRightInd w:val="0"/>
        <w:spacing w:line="38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21.</w:t>
      </w: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 xml:space="preserve"> 承包人必须配合监理工程师和发包人派驻工程师的工作，一切签证事宜均须在规定的时间内作出书面签证申请，过期补签无效，发包人超过规定期限没有签证的视为此签证发包人已同意。夜间施工增加费（含夜间加班加点）已包含在合同价款内，施工期间不予再签证。 </w:t>
      </w:r>
    </w:p>
    <w:p w14:paraId="712E81C9">
      <w:pPr>
        <w:pStyle w:val="23"/>
        <w:autoSpaceDE w:val="0"/>
        <w:autoSpaceDN w:val="0"/>
        <w:adjustRightInd w:val="0"/>
        <w:spacing w:line="38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21.</w:t>
      </w:r>
      <w:r>
        <w:rPr>
          <w:rFonts w:hint="eastAsia" w:ascii="宋体" w:hAnsi="宋体" w:cs="宋体"/>
          <w:color w:val="auto"/>
          <w:kern w:val="0"/>
          <w:szCs w:val="21"/>
          <w:highlight w:val="none"/>
          <w:lang w:val="en-US" w:eastAsia="zh-CN"/>
        </w:rPr>
        <w:t>9</w:t>
      </w:r>
      <w:r>
        <w:rPr>
          <w:rFonts w:hint="eastAsia" w:ascii="宋体" w:hAnsi="宋体" w:cs="宋体"/>
          <w:color w:val="auto"/>
          <w:kern w:val="0"/>
          <w:szCs w:val="21"/>
          <w:highlight w:val="none"/>
        </w:rPr>
        <w:t xml:space="preserve"> 承包人有以下情形之一者，视为违约，发包人有权依法解除合同，没收其全部履约保证金，承包人还应承担相应的法律责任。  </w:t>
      </w:r>
    </w:p>
    <w:p w14:paraId="61BFCEAC">
      <w:pPr>
        <w:pStyle w:val="23"/>
        <w:autoSpaceDE w:val="0"/>
        <w:autoSpaceDN w:val="0"/>
        <w:adjustRightInd w:val="0"/>
        <w:spacing w:line="38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 xml:space="preserve">① 经有关建设主管部门鉴定确认，承包人有挂靠行为。 </w:t>
      </w:r>
    </w:p>
    <w:p w14:paraId="36A3AF7D">
      <w:pPr>
        <w:pStyle w:val="23"/>
        <w:autoSpaceDE w:val="0"/>
        <w:autoSpaceDN w:val="0"/>
        <w:adjustRightInd w:val="0"/>
        <w:spacing w:line="38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 xml:space="preserve">② 转包工程，以牟取转让费、管理费。  </w:t>
      </w:r>
    </w:p>
    <w:p w14:paraId="27D969CB">
      <w:pPr>
        <w:pStyle w:val="23"/>
        <w:autoSpaceDE w:val="0"/>
        <w:autoSpaceDN w:val="0"/>
        <w:adjustRightInd w:val="0"/>
        <w:spacing w:line="38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 xml:space="preserve">③ 自签订合同之日起 15 日内，因承包人责任无法组织合同规定的人员、机械进场或进场人员机械与合同严重不符。 </w:t>
      </w:r>
    </w:p>
    <w:p w14:paraId="05984CF3">
      <w:pPr>
        <w:pStyle w:val="23"/>
        <w:autoSpaceDE w:val="0"/>
        <w:autoSpaceDN w:val="0"/>
        <w:adjustRightInd w:val="0"/>
        <w:spacing w:line="38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21.1</w:t>
      </w:r>
      <w:r>
        <w:rPr>
          <w:rFonts w:hint="eastAsia" w:ascii="宋体" w:hAnsi="宋体" w:cs="宋体"/>
          <w:color w:val="auto"/>
          <w:kern w:val="0"/>
          <w:szCs w:val="21"/>
          <w:highlight w:val="none"/>
          <w:lang w:val="en-US" w:eastAsia="zh-CN"/>
        </w:rPr>
        <w:t>0</w:t>
      </w:r>
      <w:r>
        <w:rPr>
          <w:rFonts w:hint="eastAsia" w:ascii="宋体" w:hAnsi="宋体" w:cs="宋体"/>
          <w:color w:val="auto"/>
          <w:kern w:val="0"/>
          <w:szCs w:val="21"/>
          <w:highlight w:val="none"/>
        </w:rPr>
        <w:t>工程竣工验收通过后 14 天之内，承包人必须将临时工棚、建筑垃圾等全部清理出现场，否则从第15天起，每天处以1000元罚款且不办理结算。</w:t>
      </w:r>
    </w:p>
    <w:bookmarkEnd w:id="671"/>
    <w:p w14:paraId="372DC637">
      <w:pPr>
        <w:pStyle w:val="23"/>
        <w:autoSpaceDE w:val="0"/>
        <w:autoSpaceDN w:val="0"/>
        <w:adjustRightInd w:val="0"/>
        <w:spacing w:line="38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21.1</w:t>
      </w:r>
      <w:r>
        <w:rPr>
          <w:rFonts w:hint="eastAsia" w:ascii="宋体" w:hAnsi="宋体" w:cs="宋体"/>
          <w:color w:val="auto"/>
          <w:kern w:val="0"/>
          <w:szCs w:val="21"/>
          <w:highlight w:val="none"/>
          <w:lang w:val="en-US" w:eastAsia="zh-CN"/>
        </w:rPr>
        <w:t>1</w:t>
      </w:r>
      <w:r>
        <w:rPr>
          <w:rFonts w:hint="eastAsia" w:ascii="宋体" w:hAnsi="宋体" w:cs="宋体"/>
          <w:color w:val="auto"/>
          <w:kern w:val="0"/>
          <w:szCs w:val="21"/>
          <w:highlight w:val="none"/>
        </w:rPr>
        <w:t>如因政策性原因或者项目暂时（或永久）取消导致开工延误或无法开工，发包人不支付承包人任何赔偿或补偿，并可根据政策要求或项目情况延时开工或取消部分合同内容。</w:t>
      </w:r>
    </w:p>
    <w:p w14:paraId="774561BD">
      <w:pPr>
        <w:pStyle w:val="23"/>
        <w:autoSpaceDE w:val="0"/>
        <w:autoSpaceDN w:val="0"/>
        <w:adjustRightInd w:val="0"/>
        <w:spacing w:line="38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21.1</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 xml:space="preserve"> 承包人应自行协调与施工现场周边及村民的关系，确保项目施工顺利进行。发包人不再支付承包人因协调施工现场周边及村民关系而发生的任何费用。如因征地拆迁造成的问题由由发包人负责牵头解决。</w:t>
      </w:r>
    </w:p>
    <w:p w14:paraId="7B12D80D">
      <w:pPr>
        <w:pageBreakBefore w:val="0"/>
        <w:widowControl w:val="0"/>
        <w:kinsoku/>
        <w:wordWrap/>
        <w:overflowPunct/>
        <w:topLinePunct w:val="0"/>
        <w:bidi w:val="0"/>
        <w:snapToGrid/>
        <w:spacing w:line="360" w:lineRule="exact"/>
        <w:ind w:left="0" w:leftChars="0" w:right="0" w:rightChars="0"/>
        <w:jc w:val="left"/>
        <w:rPr>
          <w:rFonts w:hint="eastAsia" w:ascii="宋体" w:hAnsi="宋体" w:eastAsia="宋体" w:cs="宋体"/>
          <w:b/>
          <w:color w:val="auto"/>
          <w:sz w:val="21"/>
          <w:szCs w:val="21"/>
          <w:highlight w:val="none"/>
        </w:rPr>
      </w:pPr>
    </w:p>
    <w:p w14:paraId="45BE2BC9">
      <w:pPr>
        <w:pageBreakBefore w:val="0"/>
        <w:widowControl w:val="0"/>
        <w:kinsoku/>
        <w:wordWrap/>
        <w:overflowPunct/>
        <w:topLinePunct w:val="0"/>
        <w:bidi w:val="0"/>
        <w:snapToGrid/>
        <w:spacing w:line="360" w:lineRule="exact"/>
        <w:ind w:left="0" w:leftChars="0" w:right="0" w:rightChars="0"/>
        <w:jc w:val="left"/>
        <w:rPr>
          <w:rFonts w:hint="eastAsia" w:ascii="宋体" w:hAnsi="宋体" w:eastAsia="宋体" w:cs="宋体"/>
          <w:b/>
          <w:color w:val="auto"/>
          <w:sz w:val="21"/>
          <w:szCs w:val="21"/>
          <w:highlight w:val="none"/>
        </w:rPr>
      </w:pPr>
    </w:p>
    <w:p w14:paraId="0D90A4B4">
      <w:pPr>
        <w:pageBreakBefore w:val="0"/>
        <w:widowControl w:val="0"/>
        <w:kinsoku/>
        <w:wordWrap/>
        <w:overflowPunct/>
        <w:topLinePunct w:val="0"/>
        <w:bidi w:val="0"/>
        <w:snapToGrid/>
        <w:spacing w:line="360" w:lineRule="exact"/>
        <w:ind w:left="0" w:leftChars="0" w:right="0" w:rightChars="0"/>
        <w:jc w:val="left"/>
        <w:rPr>
          <w:rFonts w:hint="eastAsia" w:ascii="宋体" w:hAnsi="宋体" w:eastAsia="宋体" w:cs="宋体"/>
          <w:b/>
          <w:color w:val="auto"/>
          <w:sz w:val="21"/>
          <w:szCs w:val="21"/>
          <w:highlight w:val="none"/>
        </w:rPr>
      </w:pPr>
    </w:p>
    <w:p w14:paraId="0C8C26BA">
      <w:pPr>
        <w:pageBreakBefore w:val="0"/>
        <w:widowControl w:val="0"/>
        <w:kinsoku/>
        <w:wordWrap/>
        <w:overflowPunct/>
        <w:topLinePunct w:val="0"/>
        <w:bidi w:val="0"/>
        <w:snapToGrid/>
        <w:spacing w:line="360" w:lineRule="exact"/>
        <w:ind w:left="0" w:leftChars="0" w:right="0" w:rightChars="0"/>
        <w:jc w:val="left"/>
        <w:rPr>
          <w:rFonts w:hint="eastAsia" w:ascii="宋体" w:hAnsi="宋体" w:eastAsia="宋体" w:cs="宋体"/>
          <w:b/>
          <w:color w:val="auto"/>
          <w:sz w:val="21"/>
          <w:szCs w:val="21"/>
          <w:highlight w:val="none"/>
        </w:rPr>
      </w:pPr>
    </w:p>
    <w:p w14:paraId="6815E484">
      <w:pPr>
        <w:pageBreakBefore w:val="0"/>
        <w:widowControl w:val="0"/>
        <w:kinsoku/>
        <w:wordWrap/>
        <w:overflowPunct/>
        <w:topLinePunct w:val="0"/>
        <w:bidi w:val="0"/>
        <w:snapToGrid/>
        <w:spacing w:line="360" w:lineRule="exact"/>
        <w:ind w:left="0" w:leftChars="0" w:right="0" w:rightChars="0"/>
        <w:jc w:val="left"/>
        <w:rPr>
          <w:rFonts w:hint="eastAsia" w:ascii="宋体" w:hAnsi="宋体" w:eastAsia="宋体" w:cs="宋体"/>
          <w:b/>
          <w:color w:val="auto"/>
          <w:sz w:val="21"/>
          <w:szCs w:val="21"/>
          <w:highlight w:val="none"/>
        </w:rPr>
      </w:pPr>
    </w:p>
    <w:p w14:paraId="7B1E934B">
      <w:pPr>
        <w:pageBreakBefore w:val="0"/>
        <w:widowControl w:val="0"/>
        <w:kinsoku/>
        <w:wordWrap/>
        <w:overflowPunct/>
        <w:topLinePunct w:val="0"/>
        <w:bidi w:val="0"/>
        <w:snapToGrid/>
        <w:spacing w:line="360" w:lineRule="exact"/>
        <w:ind w:left="0" w:leftChars="0" w:right="0" w:rightChars="0"/>
        <w:jc w:val="left"/>
        <w:rPr>
          <w:rFonts w:hint="eastAsia" w:ascii="宋体" w:hAnsi="宋体" w:eastAsia="宋体" w:cs="宋体"/>
          <w:b/>
          <w:color w:val="auto"/>
          <w:sz w:val="21"/>
          <w:szCs w:val="21"/>
          <w:highlight w:val="none"/>
        </w:rPr>
      </w:pPr>
    </w:p>
    <w:p w14:paraId="4F3D8E09">
      <w:pPr>
        <w:pageBreakBefore w:val="0"/>
        <w:widowControl w:val="0"/>
        <w:kinsoku/>
        <w:wordWrap/>
        <w:overflowPunct/>
        <w:topLinePunct w:val="0"/>
        <w:bidi w:val="0"/>
        <w:snapToGrid/>
        <w:spacing w:line="360" w:lineRule="exact"/>
        <w:ind w:left="0" w:leftChars="0" w:right="0" w:rightChars="0"/>
        <w:jc w:val="left"/>
        <w:rPr>
          <w:rFonts w:hint="eastAsia" w:ascii="宋体" w:hAnsi="宋体" w:eastAsia="宋体" w:cs="宋体"/>
          <w:b/>
          <w:color w:val="auto"/>
          <w:sz w:val="21"/>
          <w:szCs w:val="21"/>
          <w:highlight w:val="none"/>
        </w:rPr>
      </w:pPr>
    </w:p>
    <w:p w14:paraId="7CE24A01">
      <w:pPr>
        <w:pageBreakBefore w:val="0"/>
        <w:widowControl w:val="0"/>
        <w:kinsoku/>
        <w:wordWrap/>
        <w:overflowPunct/>
        <w:topLinePunct w:val="0"/>
        <w:bidi w:val="0"/>
        <w:snapToGrid/>
        <w:spacing w:line="360" w:lineRule="exact"/>
        <w:ind w:left="0" w:leftChars="0" w:right="0" w:rightChars="0"/>
        <w:jc w:val="left"/>
        <w:rPr>
          <w:rFonts w:hint="eastAsia" w:ascii="宋体" w:hAnsi="宋体" w:eastAsia="宋体" w:cs="宋体"/>
          <w:b/>
          <w:color w:val="auto"/>
          <w:sz w:val="21"/>
          <w:szCs w:val="21"/>
          <w:highlight w:val="none"/>
        </w:rPr>
      </w:pPr>
    </w:p>
    <w:p w14:paraId="5247334B">
      <w:pPr>
        <w:pageBreakBefore w:val="0"/>
        <w:widowControl w:val="0"/>
        <w:kinsoku/>
        <w:wordWrap/>
        <w:overflowPunct/>
        <w:topLinePunct w:val="0"/>
        <w:bidi w:val="0"/>
        <w:snapToGrid/>
        <w:spacing w:line="360" w:lineRule="exact"/>
        <w:ind w:left="0" w:leftChars="0" w:right="0" w:rightChars="0"/>
        <w:jc w:val="left"/>
        <w:rPr>
          <w:rFonts w:hint="eastAsia" w:ascii="宋体" w:hAnsi="宋体" w:eastAsia="宋体" w:cs="宋体"/>
          <w:b/>
          <w:color w:val="auto"/>
          <w:sz w:val="21"/>
          <w:szCs w:val="21"/>
          <w:highlight w:val="none"/>
        </w:rPr>
      </w:pPr>
    </w:p>
    <w:p w14:paraId="38D8AB3A">
      <w:pPr>
        <w:pageBreakBefore w:val="0"/>
        <w:widowControl w:val="0"/>
        <w:kinsoku/>
        <w:wordWrap/>
        <w:overflowPunct/>
        <w:topLinePunct w:val="0"/>
        <w:bidi w:val="0"/>
        <w:snapToGrid/>
        <w:spacing w:line="360" w:lineRule="exact"/>
        <w:ind w:left="0" w:leftChars="0" w:right="0" w:rightChars="0"/>
        <w:jc w:val="left"/>
        <w:rPr>
          <w:rFonts w:hint="eastAsia" w:ascii="宋体" w:hAnsi="宋体" w:eastAsia="宋体" w:cs="宋体"/>
          <w:b/>
          <w:color w:val="auto"/>
          <w:sz w:val="21"/>
          <w:szCs w:val="21"/>
          <w:highlight w:val="none"/>
        </w:rPr>
      </w:pPr>
    </w:p>
    <w:p w14:paraId="1694A0FE">
      <w:pPr>
        <w:pageBreakBefore w:val="0"/>
        <w:widowControl w:val="0"/>
        <w:kinsoku/>
        <w:wordWrap/>
        <w:overflowPunct/>
        <w:topLinePunct w:val="0"/>
        <w:bidi w:val="0"/>
        <w:snapToGrid/>
        <w:spacing w:line="360" w:lineRule="exact"/>
        <w:ind w:left="0" w:leftChars="0" w:right="0" w:rightChars="0"/>
        <w:jc w:val="left"/>
        <w:rPr>
          <w:rFonts w:hint="eastAsia" w:ascii="宋体" w:hAnsi="宋体" w:eastAsia="宋体" w:cs="宋体"/>
          <w:b/>
          <w:color w:val="auto"/>
          <w:sz w:val="21"/>
          <w:szCs w:val="21"/>
          <w:highlight w:val="none"/>
        </w:rPr>
      </w:pPr>
    </w:p>
    <w:p w14:paraId="0DC094CC">
      <w:pPr>
        <w:pageBreakBefore w:val="0"/>
        <w:widowControl w:val="0"/>
        <w:kinsoku/>
        <w:wordWrap/>
        <w:overflowPunct/>
        <w:topLinePunct w:val="0"/>
        <w:bidi w:val="0"/>
        <w:snapToGrid/>
        <w:spacing w:line="360" w:lineRule="exact"/>
        <w:ind w:left="0" w:leftChars="0" w:right="0" w:rightChars="0"/>
        <w:jc w:val="left"/>
        <w:rPr>
          <w:rFonts w:hint="eastAsia" w:ascii="宋体" w:hAnsi="宋体" w:eastAsia="宋体" w:cs="宋体"/>
          <w:b/>
          <w:color w:val="auto"/>
          <w:sz w:val="21"/>
          <w:szCs w:val="21"/>
          <w:highlight w:val="none"/>
        </w:rPr>
      </w:pPr>
    </w:p>
    <w:p w14:paraId="1B985030">
      <w:pPr>
        <w:pStyle w:val="35"/>
        <w:rPr>
          <w:rFonts w:hint="eastAsia" w:ascii="宋体" w:hAnsi="宋体" w:eastAsia="宋体" w:cs="宋体"/>
          <w:b/>
          <w:color w:val="auto"/>
          <w:sz w:val="21"/>
          <w:szCs w:val="21"/>
          <w:highlight w:val="none"/>
        </w:rPr>
      </w:pPr>
    </w:p>
    <w:p w14:paraId="21EDC89F">
      <w:pPr>
        <w:pStyle w:val="35"/>
        <w:rPr>
          <w:rFonts w:hint="eastAsia" w:ascii="宋体" w:hAnsi="宋体" w:eastAsia="宋体" w:cs="宋体"/>
          <w:b/>
          <w:color w:val="auto"/>
          <w:sz w:val="21"/>
          <w:szCs w:val="21"/>
          <w:highlight w:val="none"/>
        </w:rPr>
      </w:pPr>
    </w:p>
    <w:p w14:paraId="0D77604A">
      <w:pPr>
        <w:pStyle w:val="35"/>
        <w:rPr>
          <w:rFonts w:hint="eastAsia" w:ascii="宋体" w:hAnsi="宋体" w:eastAsia="宋体" w:cs="宋体"/>
          <w:b/>
          <w:color w:val="auto"/>
          <w:sz w:val="21"/>
          <w:szCs w:val="21"/>
          <w:highlight w:val="none"/>
        </w:rPr>
      </w:pPr>
    </w:p>
    <w:p w14:paraId="00069D9E">
      <w:pPr>
        <w:pStyle w:val="35"/>
        <w:rPr>
          <w:rFonts w:hint="eastAsia" w:ascii="宋体" w:hAnsi="宋体" w:eastAsia="宋体" w:cs="宋体"/>
          <w:b/>
          <w:color w:val="auto"/>
          <w:sz w:val="21"/>
          <w:szCs w:val="21"/>
          <w:highlight w:val="none"/>
        </w:rPr>
      </w:pPr>
    </w:p>
    <w:p w14:paraId="7F2158D9">
      <w:pPr>
        <w:pStyle w:val="35"/>
        <w:rPr>
          <w:rFonts w:hint="eastAsia" w:ascii="宋体" w:hAnsi="宋体" w:eastAsia="宋体" w:cs="宋体"/>
          <w:b/>
          <w:color w:val="auto"/>
          <w:sz w:val="21"/>
          <w:szCs w:val="21"/>
          <w:highlight w:val="none"/>
        </w:rPr>
      </w:pPr>
    </w:p>
    <w:p w14:paraId="55614102">
      <w:pPr>
        <w:pStyle w:val="35"/>
        <w:rPr>
          <w:rFonts w:hint="eastAsia" w:ascii="宋体" w:hAnsi="宋体" w:eastAsia="宋体" w:cs="宋体"/>
          <w:b/>
          <w:color w:val="auto"/>
          <w:sz w:val="21"/>
          <w:szCs w:val="21"/>
          <w:highlight w:val="none"/>
        </w:rPr>
      </w:pPr>
    </w:p>
    <w:p w14:paraId="0833EFFF">
      <w:pPr>
        <w:pStyle w:val="35"/>
        <w:rPr>
          <w:rFonts w:hint="eastAsia" w:ascii="宋体" w:hAnsi="宋体" w:eastAsia="宋体" w:cs="宋体"/>
          <w:b/>
          <w:color w:val="auto"/>
          <w:sz w:val="21"/>
          <w:szCs w:val="21"/>
          <w:highlight w:val="none"/>
        </w:rPr>
      </w:pPr>
    </w:p>
    <w:p w14:paraId="057C3278">
      <w:pPr>
        <w:pStyle w:val="35"/>
        <w:rPr>
          <w:rFonts w:hint="eastAsia" w:ascii="宋体" w:hAnsi="宋体" w:eastAsia="宋体" w:cs="宋体"/>
          <w:b/>
          <w:color w:val="auto"/>
          <w:sz w:val="21"/>
          <w:szCs w:val="21"/>
          <w:highlight w:val="none"/>
        </w:rPr>
      </w:pPr>
    </w:p>
    <w:p w14:paraId="4C0F8F55">
      <w:pPr>
        <w:pageBreakBefore w:val="0"/>
        <w:widowControl w:val="0"/>
        <w:kinsoku/>
        <w:wordWrap/>
        <w:overflowPunct/>
        <w:topLinePunct w:val="0"/>
        <w:bidi w:val="0"/>
        <w:snapToGrid/>
        <w:spacing w:line="360" w:lineRule="exact"/>
        <w:ind w:left="0" w:leftChars="0" w:right="0" w:rightChars="0"/>
        <w:jc w:val="left"/>
        <w:rPr>
          <w:rFonts w:hint="eastAsia" w:ascii="宋体" w:hAnsi="宋体" w:eastAsia="宋体" w:cs="宋体"/>
          <w:b/>
          <w:color w:val="auto"/>
          <w:sz w:val="21"/>
          <w:szCs w:val="21"/>
          <w:highlight w:val="none"/>
        </w:rPr>
      </w:pPr>
    </w:p>
    <w:p w14:paraId="5C0C5B54">
      <w:pPr>
        <w:pageBreakBefore w:val="0"/>
        <w:widowControl w:val="0"/>
        <w:kinsoku/>
        <w:wordWrap/>
        <w:overflowPunct/>
        <w:topLinePunct w:val="0"/>
        <w:bidi w:val="0"/>
        <w:snapToGrid/>
        <w:spacing w:line="360" w:lineRule="exact"/>
        <w:ind w:left="0" w:leftChars="0" w:right="0" w:rightChars="0"/>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附件</w:t>
      </w:r>
    </w:p>
    <w:p w14:paraId="0D7FA58E">
      <w:pPr>
        <w:pageBreakBefore w:val="0"/>
        <w:widowControl w:val="0"/>
        <w:kinsoku/>
        <w:wordWrap/>
        <w:overflowPunct/>
        <w:topLinePunct w:val="0"/>
        <w:bidi w:val="0"/>
        <w:snapToGrid/>
        <w:spacing w:line="360" w:lineRule="exact"/>
        <w:ind w:left="0" w:leftChars="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协议书附件：</w:t>
      </w:r>
    </w:p>
    <w:p w14:paraId="2A8166AF">
      <w:pPr>
        <w:pageBreakBefore w:val="0"/>
        <w:widowControl w:val="0"/>
        <w:kinsoku/>
        <w:wordWrap/>
        <w:overflowPunct/>
        <w:topLinePunct w:val="0"/>
        <w:bidi w:val="0"/>
        <w:snapToGrid/>
        <w:spacing w:line="360" w:lineRule="exact"/>
        <w:ind w:left="0" w:leftChars="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附件1：承包人承揽工程项目一览表</w:t>
      </w:r>
    </w:p>
    <w:p w14:paraId="40EAA668">
      <w:pPr>
        <w:pageBreakBefore w:val="0"/>
        <w:widowControl w:val="0"/>
        <w:kinsoku/>
        <w:wordWrap/>
        <w:overflowPunct/>
        <w:topLinePunct w:val="0"/>
        <w:bidi w:val="0"/>
        <w:snapToGrid/>
        <w:spacing w:line="360" w:lineRule="exact"/>
        <w:ind w:left="0" w:leftChars="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专用合同条款附件：</w:t>
      </w:r>
    </w:p>
    <w:p w14:paraId="12E8CE55">
      <w:pPr>
        <w:pageBreakBefore w:val="0"/>
        <w:widowControl w:val="0"/>
        <w:kinsoku/>
        <w:wordWrap/>
        <w:overflowPunct/>
        <w:topLinePunct w:val="0"/>
        <w:bidi w:val="0"/>
        <w:snapToGrid/>
        <w:spacing w:line="360" w:lineRule="exact"/>
        <w:ind w:left="0" w:leftChars="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附件2：发包人供应材料设备一览表</w:t>
      </w:r>
    </w:p>
    <w:p w14:paraId="6768E040">
      <w:pPr>
        <w:pageBreakBefore w:val="0"/>
        <w:widowControl w:val="0"/>
        <w:kinsoku/>
        <w:wordWrap/>
        <w:overflowPunct/>
        <w:topLinePunct w:val="0"/>
        <w:bidi w:val="0"/>
        <w:snapToGrid/>
        <w:spacing w:line="360" w:lineRule="exact"/>
        <w:ind w:left="0" w:leftChars="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附件3：工程质量保修书</w:t>
      </w:r>
    </w:p>
    <w:p w14:paraId="5558E94C">
      <w:pPr>
        <w:pageBreakBefore w:val="0"/>
        <w:widowControl w:val="0"/>
        <w:kinsoku/>
        <w:wordWrap/>
        <w:overflowPunct/>
        <w:topLinePunct w:val="0"/>
        <w:bidi w:val="0"/>
        <w:snapToGrid/>
        <w:spacing w:line="360" w:lineRule="exact"/>
        <w:ind w:left="0" w:leftChars="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附件4：主要建设工程文件目录</w:t>
      </w:r>
    </w:p>
    <w:p w14:paraId="045B0B51">
      <w:pPr>
        <w:pageBreakBefore w:val="0"/>
        <w:widowControl w:val="0"/>
        <w:kinsoku/>
        <w:wordWrap/>
        <w:overflowPunct/>
        <w:topLinePunct w:val="0"/>
        <w:bidi w:val="0"/>
        <w:snapToGrid/>
        <w:spacing w:line="360" w:lineRule="exact"/>
        <w:ind w:left="0" w:leftChars="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附件5：承包人用于本工程施工的机械设备表</w:t>
      </w:r>
    </w:p>
    <w:p w14:paraId="5244F647">
      <w:pPr>
        <w:pageBreakBefore w:val="0"/>
        <w:widowControl w:val="0"/>
        <w:kinsoku/>
        <w:wordWrap/>
        <w:overflowPunct/>
        <w:topLinePunct w:val="0"/>
        <w:bidi w:val="0"/>
        <w:snapToGrid/>
        <w:spacing w:line="360" w:lineRule="exact"/>
        <w:ind w:left="0" w:leftChars="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附件6：承包人主要施工管理人员表</w:t>
      </w:r>
    </w:p>
    <w:p w14:paraId="4C06B6AF">
      <w:pPr>
        <w:pageBreakBefore w:val="0"/>
        <w:widowControl w:val="0"/>
        <w:kinsoku/>
        <w:wordWrap/>
        <w:overflowPunct/>
        <w:topLinePunct w:val="0"/>
        <w:bidi w:val="0"/>
        <w:snapToGrid/>
        <w:spacing w:line="360" w:lineRule="exact"/>
        <w:ind w:left="0" w:leftChars="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附件7：分包人主要施工管理人员表</w:t>
      </w:r>
    </w:p>
    <w:p w14:paraId="2721ED6D">
      <w:pPr>
        <w:pageBreakBefore w:val="0"/>
        <w:widowControl w:val="0"/>
        <w:kinsoku/>
        <w:wordWrap/>
        <w:overflowPunct/>
        <w:topLinePunct w:val="0"/>
        <w:bidi w:val="0"/>
        <w:snapToGrid/>
        <w:spacing w:line="360" w:lineRule="exact"/>
        <w:ind w:left="0" w:leftChars="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附件8：履约担保格式</w:t>
      </w:r>
    </w:p>
    <w:p w14:paraId="485FF4BF">
      <w:pPr>
        <w:pageBreakBefore w:val="0"/>
        <w:widowControl w:val="0"/>
        <w:kinsoku/>
        <w:wordWrap/>
        <w:overflowPunct/>
        <w:topLinePunct w:val="0"/>
        <w:bidi w:val="0"/>
        <w:snapToGrid/>
        <w:spacing w:line="360" w:lineRule="exact"/>
        <w:ind w:left="0" w:leftChars="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附件9：预付款担保格式</w:t>
      </w:r>
    </w:p>
    <w:p w14:paraId="20A2838F">
      <w:pPr>
        <w:pageBreakBefore w:val="0"/>
        <w:widowControl w:val="0"/>
        <w:kinsoku/>
        <w:wordWrap/>
        <w:overflowPunct/>
        <w:topLinePunct w:val="0"/>
        <w:bidi w:val="0"/>
        <w:snapToGrid/>
        <w:spacing w:line="360" w:lineRule="exact"/>
        <w:ind w:left="0" w:leftChars="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附件10：支付担保格式</w:t>
      </w:r>
    </w:p>
    <w:p w14:paraId="6BF22E42">
      <w:pPr>
        <w:pageBreakBefore w:val="0"/>
        <w:widowControl w:val="0"/>
        <w:kinsoku/>
        <w:wordWrap/>
        <w:overflowPunct/>
        <w:topLinePunct w:val="0"/>
        <w:bidi w:val="0"/>
        <w:snapToGrid/>
        <w:spacing w:line="360" w:lineRule="exact"/>
        <w:ind w:left="0" w:leftChars="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附件11：暂估价一览表</w:t>
      </w:r>
    </w:p>
    <w:p w14:paraId="63A02058">
      <w:pPr>
        <w:pStyle w:val="11"/>
        <w:rPr>
          <w:rFonts w:hint="eastAsia" w:ascii="宋体" w:hAnsi="宋体" w:eastAsia="宋体" w:cs="宋体"/>
          <w:color w:val="auto"/>
          <w:sz w:val="21"/>
          <w:szCs w:val="21"/>
          <w:highlight w:val="none"/>
          <w:lang w:val="en-US" w:eastAsia="zh-CN"/>
        </w:rPr>
      </w:pPr>
    </w:p>
    <w:p w14:paraId="6245466B">
      <w:pPr>
        <w:pStyle w:val="11"/>
        <w:rPr>
          <w:rFonts w:hint="default" w:ascii="宋体" w:hAnsi="宋体" w:eastAsia="宋体" w:cs="宋体"/>
          <w:color w:val="auto"/>
          <w:sz w:val="21"/>
          <w:szCs w:val="21"/>
          <w:highlight w:val="none"/>
          <w:lang w:val="en-US" w:eastAsia="zh-CN"/>
        </w:rPr>
        <w:sectPr>
          <w:pgSz w:w="11906" w:h="16838"/>
          <w:pgMar w:top="1418" w:right="1115" w:bottom="1418" w:left="1131" w:header="851" w:footer="992" w:gutter="0"/>
          <w:pgNumType w:fmt="decimal"/>
          <w:cols w:space="720" w:num="1"/>
          <w:titlePg/>
          <w:docGrid w:type="lines" w:linePitch="312" w:charSpace="0"/>
        </w:sectPr>
      </w:pPr>
    </w:p>
    <w:p w14:paraId="7909971A">
      <w:pPr>
        <w:pageBreakBefore w:val="0"/>
        <w:widowControl w:val="0"/>
        <w:kinsoku/>
        <w:wordWrap/>
        <w:overflowPunct/>
        <w:topLinePunct w:val="0"/>
        <w:bidi w:val="0"/>
        <w:snapToGrid/>
        <w:spacing w:line="360" w:lineRule="exact"/>
        <w:ind w:left="0" w:leftChars="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附件1：</w:t>
      </w:r>
    </w:p>
    <w:p w14:paraId="16EDC63A">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承包人承揽工程项目一览表</w:t>
      </w:r>
    </w:p>
    <w:tbl>
      <w:tblPr>
        <w:tblStyle w:val="29"/>
        <w:tblW w:w="14317" w:type="dxa"/>
        <w:tblInd w:w="-39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277"/>
        <w:gridCol w:w="1843"/>
        <w:gridCol w:w="1417"/>
        <w:gridCol w:w="2126"/>
        <w:gridCol w:w="850"/>
        <w:gridCol w:w="1560"/>
        <w:gridCol w:w="2126"/>
        <w:gridCol w:w="1417"/>
        <w:gridCol w:w="851"/>
        <w:gridCol w:w="850"/>
      </w:tblGrid>
      <w:tr w14:paraId="54FFE7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1277" w:type="dxa"/>
            <w:tcBorders>
              <w:top w:val="single" w:color="auto" w:sz="12" w:space="0"/>
              <w:bottom w:val="double" w:color="auto" w:sz="6" w:space="0"/>
            </w:tcBorders>
            <w:noWrap w:val="0"/>
            <w:vAlign w:val="center"/>
          </w:tcPr>
          <w:p w14:paraId="7829ECC0">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单位工程名称</w:t>
            </w:r>
          </w:p>
        </w:tc>
        <w:tc>
          <w:tcPr>
            <w:tcW w:w="1843" w:type="dxa"/>
            <w:tcBorders>
              <w:top w:val="single" w:color="auto" w:sz="12" w:space="0"/>
              <w:bottom w:val="double" w:color="auto" w:sz="6" w:space="0"/>
            </w:tcBorders>
            <w:noWrap w:val="0"/>
            <w:vAlign w:val="center"/>
          </w:tcPr>
          <w:p w14:paraId="6F78A117">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建设规模</w:t>
            </w:r>
          </w:p>
        </w:tc>
        <w:tc>
          <w:tcPr>
            <w:tcW w:w="1417" w:type="dxa"/>
            <w:tcBorders>
              <w:top w:val="single" w:color="auto" w:sz="12" w:space="0"/>
              <w:bottom w:val="double" w:color="auto" w:sz="6" w:space="0"/>
            </w:tcBorders>
            <w:noWrap w:val="0"/>
            <w:vAlign w:val="center"/>
          </w:tcPr>
          <w:p w14:paraId="7AB411FD">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建筑面积(平方米)</w:t>
            </w:r>
          </w:p>
        </w:tc>
        <w:tc>
          <w:tcPr>
            <w:tcW w:w="2126" w:type="dxa"/>
            <w:tcBorders>
              <w:top w:val="single" w:color="auto" w:sz="12" w:space="0"/>
              <w:bottom w:val="double" w:color="auto" w:sz="6" w:space="0"/>
            </w:tcBorders>
            <w:noWrap w:val="0"/>
            <w:vAlign w:val="center"/>
          </w:tcPr>
          <w:p w14:paraId="487BDE6C">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结构形式</w:t>
            </w:r>
          </w:p>
        </w:tc>
        <w:tc>
          <w:tcPr>
            <w:tcW w:w="850" w:type="dxa"/>
            <w:tcBorders>
              <w:top w:val="single" w:color="auto" w:sz="12" w:space="0"/>
              <w:bottom w:val="double" w:color="auto" w:sz="6" w:space="0"/>
            </w:tcBorders>
            <w:noWrap w:val="0"/>
            <w:vAlign w:val="center"/>
          </w:tcPr>
          <w:p w14:paraId="12A1FF95">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层数</w:t>
            </w:r>
          </w:p>
        </w:tc>
        <w:tc>
          <w:tcPr>
            <w:tcW w:w="1560" w:type="dxa"/>
            <w:tcBorders>
              <w:top w:val="single" w:color="auto" w:sz="12" w:space="0"/>
              <w:bottom w:val="double" w:color="auto" w:sz="6" w:space="0"/>
            </w:tcBorders>
            <w:noWrap w:val="0"/>
            <w:vAlign w:val="center"/>
          </w:tcPr>
          <w:p w14:paraId="55BE8F36">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生产能力</w:t>
            </w:r>
          </w:p>
        </w:tc>
        <w:tc>
          <w:tcPr>
            <w:tcW w:w="2126" w:type="dxa"/>
            <w:tcBorders>
              <w:top w:val="single" w:color="auto" w:sz="12" w:space="0"/>
              <w:bottom w:val="double" w:color="auto" w:sz="6" w:space="0"/>
            </w:tcBorders>
            <w:noWrap w:val="0"/>
            <w:vAlign w:val="center"/>
          </w:tcPr>
          <w:p w14:paraId="7BFC7683">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设备安装内容</w:t>
            </w:r>
          </w:p>
        </w:tc>
        <w:tc>
          <w:tcPr>
            <w:tcW w:w="1417" w:type="dxa"/>
            <w:tcBorders>
              <w:top w:val="single" w:color="auto" w:sz="12" w:space="0"/>
              <w:bottom w:val="double" w:color="auto" w:sz="6" w:space="0"/>
            </w:tcBorders>
            <w:noWrap w:val="0"/>
            <w:vAlign w:val="center"/>
          </w:tcPr>
          <w:p w14:paraId="16211378">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合同价格（元）</w:t>
            </w:r>
          </w:p>
        </w:tc>
        <w:tc>
          <w:tcPr>
            <w:tcW w:w="851" w:type="dxa"/>
            <w:tcBorders>
              <w:top w:val="single" w:color="auto" w:sz="12" w:space="0"/>
              <w:bottom w:val="double" w:color="auto" w:sz="6" w:space="0"/>
            </w:tcBorders>
            <w:noWrap w:val="0"/>
            <w:vAlign w:val="center"/>
          </w:tcPr>
          <w:p w14:paraId="4865FBA8">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开工日期</w:t>
            </w:r>
          </w:p>
        </w:tc>
        <w:tc>
          <w:tcPr>
            <w:tcW w:w="850" w:type="dxa"/>
            <w:tcBorders>
              <w:top w:val="single" w:color="auto" w:sz="12" w:space="0"/>
              <w:bottom w:val="double" w:color="auto" w:sz="6" w:space="0"/>
            </w:tcBorders>
            <w:noWrap w:val="0"/>
            <w:vAlign w:val="center"/>
          </w:tcPr>
          <w:p w14:paraId="15DAE465">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竣工日期</w:t>
            </w:r>
          </w:p>
        </w:tc>
      </w:tr>
      <w:tr w14:paraId="2462F0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double" w:color="auto" w:sz="6" w:space="0"/>
              <w:bottom w:val="single" w:color="auto" w:sz="6" w:space="0"/>
            </w:tcBorders>
            <w:noWrap w:val="0"/>
            <w:vAlign w:val="center"/>
          </w:tcPr>
          <w:p w14:paraId="78FBB573">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843" w:type="dxa"/>
            <w:tcBorders>
              <w:top w:val="double" w:color="auto" w:sz="6" w:space="0"/>
              <w:bottom w:val="single" w:color="auto" w:sz="6" w:space="0"/>
            </w:tcBorders>
            <w:noWrap w:val="0"/>
            <w:vAlign w:val="center"/>
          </w:tcPr>
          <w:p w14:paraId="73E9A558">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417" w:type="dxa"/>
            <w:tcBorders>
              <w:top w:val="double" w:color="auto" w:sz="6" w:space="0"/>
              <w:bottom w:val="single" w:color="auto" w:sz="6" w:space="0"/>
            </w:tcBorders>
            <w:noWrap w:val="0"/>
            <w:vAlign w:val="center"/>
          </w:tcPr>
          <w:p w14:paraId="1919B1B4">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2126" w:type="dxa"/>
            <w:tcBorders>
              <w:top w:val="double" w:color="auto" w:sz="6" w:space="0"/>
              <w:bottom w:val="single" w:color="auto" w:sz="6" w:space="0"/>
            </w:tcBorders>
            <w:noWrap w:val="0"/>
            <w:vAlign w:val="center"/>
          </w:tcPr>
          <w:p w14:paraId="5A071227">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850" w:type="dxa"/>
            <w:tcBorders>
              <w:top w:val="double" w:color="auto" w:sz="6" w:space="0"/>
              <w:bottom w:val="single" w:color="auto" w:sz="6" w:space="0"/>
            </w:tcBorders>
            <w:noWrap w:val="0"/>
            <w:vAlign w:val="center"/>
          </w:tcPr>
          <w:p w14:paraId="4EF7EEE3">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560" w:type="dxa"/>
            <w:tcBorders>
              <w:top w:val="double" w:color="auto" w:sz="6" w:space="0"/>
              <w:bottom w:val="single" w:color="auto" w:sz="6" w:space="0"/>
            </w:tcBorders>
            <w:noWrap w:val="0"/>
            <w:vAlign w:val="center"/>
          </w:tcPr>
          <w:p w14:paraId="652E25E0">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2126" w:type="dxa"/>
            <w:tcBorders>
              <w:top w:val="double" w:color="auto" w:sz="6" w:space="0"/>
              <w:bottom w:val="single" w:color="auto" w:sz="6" w:space="0"/>
            </w:tcBorders>
            <w:noWrap w:val="0"/>
            <w:vAlign w:val="center"/>
          </w:tcPr>
          <w:p w14:paraId="43D194B1">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417" w:type="dxa"/>
            <w:tcBorders>
              <w:top w:val="double" w:color="auto" w:sz="6" w:space="0"/>
              <w:bottom w:val="single" w:color="auto" w:sz="6" w:space="0"/>
            </w:tcBorders>
            <w:noWrap w:val="0"/>
            <w:vAlign w:val="center"/>
          </w:tcPr>
          <w:p w14:paraId="715FB3E4">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851" w:type="dxa"/>
            <w:tcBorders>
              <w:top w:val="double" w:color="auto" w:sz="6" w:space="0"/>
              <w:bottom w:val="single" w:color="auto" w:sz="6" w:space="0"/>
            </w:tcBorders>
            <w:noWrap w:val="0"/>
            <w:vAlign w:val="center"/>
          </w:tcPr>
          <w:p w14:paraId="16F86CDA">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850" w:type="dxa"/>
            <w:tcBorders>
              <w:top w:val="double" w:color="auto" w:sz="6" w:space="0"/>
              <w:bottom w:val="single" w:color="auto" w:sz="6" w:space="0"/>
            </w:tcBorders>
            <w:noWrap w:val="0"/>
            <w:vAlign w:val="center"/>
          </w:tcPr>
          <w:p w14:paraId="68C91BD8">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r>
      <w:tr w14:paraId="1599A1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noWrap w:val="0"/>
            <w:vAlign w:val="center"/>
          </w:tcPr>
          <w:p w14:paraId="2C1516D3">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843" w:type="dxa"/>
            <w:tcBorders>
              <w:top w:val="nil"/>
            </w:tcBorders>
            <w:noWrap w:val="0"/>
            <w:vAlign w:val="center"/>
          </w:tcPr>
          <w:p w14:paraId="29F75E67">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417" w:type="dxa"/>
            <w:tcBorders>
              <w:top w:val="nil"/>
            </w:tcBorders>
            <w:noWrap w:val="0"/>
            <w:vAlign w:val="center"/>
          </w:tcPr>
          <w:p w14:paraId="19847752">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2126" w:type="dxa"/>
            <w:tcBorders>
              <w:top w:val="nil"/>
            </w:tcBorders>
            <w:noWrap w:val="0"/>
            <w:vAlign w:val="center"/>
          </w:tcPr>
          <w:p w14:paraId="5872EE87">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850" w:type="dxa"/>
            <w:tcBorders>
              <w:top w:val="nil"/>
            </w:tcBorders>
            <w:noWrap w:val="0"/>
            <w:vAlign w:val="center"/>
          </w:tcPr>
          <w:p w14:paraId="58A8C18B">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560" w:type="dxa"/>
            <w:tcBorders>
              <w:top w:val="nil"/>
            </w:tcBorders>
            <w:noWrap w:val="0"/>
            <w:vAlign w:val="center"/>
          </w:tcPr>
          <w:p w14:paraId="7AEEF6F9">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2126" w:type="dxa"/>
            <w:tcBorders>
              <w:top w:val="nil"/>
            </w:tcBorders>
            <w:noWrap w:val="0"/>
            <w:vAlign w:val="center"/>
          </w:tcPr>
          <w:p w14:paraId="4B891947">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417" w:type="dxa"/>
            <w:tcBorders>
              <w:top w:val="nil"/>
            </w:tcBorders>
            <w:noWrap w:val="0"/>
            <w:vAlign w:val="center"/>
          </w:tcPr>
          <w:p w14:paraId="1668FC60">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851" w:type="dxa"/>
            <w:tcBorders>
              <w:top w:val="nil"/>
            </w:tcBorders>
            <w:noWrap w:val="0"/>
            <w:vAlign w:val="center"/>
          </w:tcPr>
          <w:p w14:paraId="397F207E">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850" w:type="dxa"/>
            <w:tcBorders>
              <w:top w:val="nil"/>
            </w:tcBorders>
            <w:noWrap w:val="0"/>
            <w:vAlign w:val="center"/>
          </w:tcPr>
          <w:p w14:paraId="51BA8097">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r>
      <w:tr w14:paraId="21CE3B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noWrap w:val="0"/>
            <w:vAlign w:val="center"/>
          </w:tcPr>
          <w:p w14:paraId="1EFD990F">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843" w:type="dxa"/>
            <w:tcBorders>
              <w:top w:val="nil"/>
            </w:tcBorders>
            <w:noWrap w:val="0"/>
            <w:vAlign w:val="center"/>
          </w:tcPr>
          <w:p w14:paraId="171CE9AC">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417" w:type="dxa"/>
            <w:tcBorders>
              <w:top w:val="nil"/>
            </w:tcBorders>
            <w:noWrap w:val="0"/>
            <w:vAlign w:val="center"/>
          </w:tcPr>
          <w:p w14:paraId="45D1EA25">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2126" w:type="dxa"/>
            <w:tcBorders>
              <w:top w:val="nil"/>
            </w:tcBorders>
            <w:noWrap w:val="0"/>
            <w:vAlign w:val="center"/>
          </w:tcPr>
          <w:p w14:paraId="1D0B5FB0">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850" w:type="dxa"/>
            <w:tcBorders>
              <w:top w:val="nil"/>
            </w:tcBorders>
            <w:noWrap w:val="0"/>
            <w:vAlign w:val="center"/>
          </w:tcPr>
          <w:p w14:paraId="4FF6AB2C">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560" w:type="dxa"/>
            <w:tcBorders>
              <w:top w:val="nil"/>
            </w:tcBorders>
            <w:noWrap w:val="0"/>
            <w:vAlign w:val="center"/>
          </w:tcPr>
          <w:p w14:paraId="29B904E3">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2126" w:type="dxa"/>
            <w:tcBorders>
              <w:top w:val="nil"/>
            </w:tcBorders>
            <w:noWrap w:val="0"/>
            <w:vAlign w:val="center"/>
          </w:tcPr>
          <w:p w14:paraId="1DCA789C">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417" w:type="dxa"/>
            <w:tcBorders>
              <w:top w:val="nil"/>
            </w:tcBorders>
            <w:noWrap w:val="0"/>
            <w:vAlign w:val="center"/>
          </w:tcPr>
          <w:p w14:paraId="47844AAE">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851" w:type="dxa"/>
            <w:tcBorders>
              <w:top w:val="nil"/>
            </w:tcBorders>
            <w:noWrap w:val="0"/>
            <w:vAlign w:val="center"/>
          </w:tcPr>
          <w:p w14:paraId="721E4973">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850" w:type="dxa"/>
            <w:tcBorders>
              <w:top w:val="nil"/>
            </w:tcBorders>
            <w:noWrap w:val="0"/>
            <w:vAlign w:val="center"/>
          </w:tcPr>
          <w:p w14:paraId="4AF55AB0">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r>
      <w:tr w14:paraId="25FA99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noWrap w:val="0"/>
            <w:vAlign w:val="center"/>
          </w:tcPr>
          <w:p w14:paraId="29ED8CA5">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843" w:type="dxa"/>
            <w:noWrap w:val="0"/>
            <w:vAlign w:val="center"/>
          </w:tcPr>
          <w:p w14:paraId="1D9705E7">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417" w:type="dxa"/>
            <w:noWrap w:val="0"/>
            <w:vAlign w:val="center"/>
          </w:tcPr>
          <w:p w14:paraId="3275A840">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2126" w:type="dxa"/>
            <w:noWrap w:val="0"/>
            <w:vAlign w:val="center"/>
          </w:tcPr>
          <w:p w14:paraId="208C9D25">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850" w:type="dxa"/>
            <w:noWrap w:val="0"/>
            <w:vAlign w:val="center"/>
          </w:tcPr>
          <w:p w14:paraId="503FB2F2">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560" w:type="dxa"/>
            <w:noWrap w:val="0"/>
            <w:vAlign w:val="center"/>
          </w:tcPr>
          <w:p w14:paraId="74A2AA9B">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2126" w:type="dxa"/>
            <w:noWrap w:val="0"/>
            <w:vAlign w:val="center"/>
          </w:tcPr>
          <w:p w14:paraId="7F35B9AC">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417" w:type="dxa"/>
            <w:noWrap w:val="0"/>
            <w:vAlign w:val="center"/>
          </w:tcPr>
          <w:p w14:paraId="60E152D2">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851" w:type="dxa"/>
            <w:noWrap w:val="0"/>
            <w:vAlign w:val="center"/>
          </w:tcPr>
          <w:p w14:paraId="0D815D53">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850" w:type="dxa"/>
            <w:noWrap w:val="0"/>
            <w:vAlign w:val="center"/>
          </w:tcPr>
          <w:p w14:paraId="19121574">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r>
      <w:tr w14:paraId="4D9743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noWrap w:val="0"/>
            <w:vAlign w:val="center"/>
          </w:tcPr>
          <w:p w14:paraId="02A345BF">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843" w:type="dxa"/>
            <w:tcBorders>
              <w:top w:val="nil"/>
            </w:tcBorders>
            <w:noWrap w:val="0"/>
            <w:vAlign w:val="center"/>
          </w:tcPr>
          <w:p w14:paraId="7747972D">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417" w:type="dxa"/>
            <w:tcBorders>
              <w:top w:val="nil"/>
            </w:tcBorders>
            <w:noWrap w:val="0"/>
            <w:vAlign w:val="center"/>
          </w:tcPr>
          <w:p w14:paraId="2E7D2552">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2126" w:type="dxa"/>
            <w:tcBorders>
              <w:top w:val="nil"/>
            </w:tcBorders>
            <w:noWrap w:val="0"/>
            <w:vAlign w:val="center"/>
          </w:tcPr>
          <w:p w14:paraId="423FAAA8">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850" w:type="dxa"/>
            <w:tcBorders>
              <w:top w:val="nil"/>
            </w:tcBorders>
            <w:noWrap w:val="0"/>
            <w:vAlign w:val="center"/>
          </w:tcPr>
          <w:p w14:paraId="5EDB837C">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560" w:type="dxa"/>
            <w:tcBorders>
              <w:top w:val="nil"/>
            </w:tcBorders>
            <w:noWrap w:val="0"/>
            <w:vAlign w:val="center"/>
          </w:tcPr>
          <w:p w14:paraId="7A4E06E6">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2126" w:type="dxa"/>
            <w:tcBorders>
              <w:top w:val="nil"/>
            </w:tcBorders>
            <w:noWrap w:val="0"/>
            <w:vAlign w:val="center"/>
          </w:tcPr>
          <w:p w14:paraId="05FAB71C">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417" w:type="dxa"/>
            <w:tcBorders>
              <w:top w:val="nil"/>
            </w:tcBorders>
            <w:noWrap w:val="0"/>
            <w:vAlign w:val="center"/>
          </w:tcPr>
          <w:p w14:paraId="26F1C01E">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851" w:type="dxa"/>
            <w:tcBorders>
              <w:top w:val="nil"/>
            </w:tcBorders>
            <w:noWrap w:val="0"/>
            <w:vAlign w:val="center"/>
          </w:tcPr>
          <w:p w14:paraId="1A4AB9F6">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850" w:type="dxa"/>
            <w:tcBorders>
              <w:top w:val="nil"/>
            </w:tcBorders>
            <w:noWrap w:val="0"/>
            <w:vAlign w:val="center"/>
          </w:tcPr>
          <w:p w14:paraId="24718AD1">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r>
      <w:tr w14:paraId="0F7E2B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noWrap w:val="0"/>
            <w:vAlign w:val="center"/>
          </w:tcPr>
          <w:p w14:paraId="1CE04823">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843" w:type="dxa"/>
            <w:noWrap w:val="0"/>
            <w:vAlign w:val="center"/>
          </w:tcPr>
          <w:p w14:paraId="6C145A25">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417" w:type="dxa"/>
            <w:noWrap w:val="0"/>
            <w:vAlign w:val="center"/>
          </w:tcPr>
          <w:p w14:paraId="59B2CC72">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2126" w:type="dxa"/>
            <w:noWrap w:val="0"/>
            <w:vAlign w:val="center"/>
          </w:tcPr>
          <w:p w14:paraId="7811D3E0">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850" w:type="dxa"/>
            <w:noWrap w:val="0"/>
            <w:vAlign w:val="center"/>
          </w:tcPr>
          <w:p w14:paraId="33B7B184">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560" w:type="dxa"/>
            <w:noWrap w:val="0"/>
            <w:vAlign w:val="center"/>
          </w:tcPr>
          <w:p w14:paraId="75633201">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2126" w:type="dxa"/>
            <w:noWrap w:val="0"/>
            <w:vAlign w:val="center"/>
          </w:tcPr>
          <w:p w14:paraId="15AA1E17">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417" w:type="dxa"/>
            <w:noWrap w:val="0"/>
            <w:vAlign w:val="center"/>
          </w:tcPr>
          <w:p w14:paraId="3B6E7ED6">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851" w:type="dxa"/>
            <w:noWrap w:val="0"/>
            <w:vAlign w:val="center"/>
          </w:tcPr>
          <w:p w14:paraId="2077B2DE">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850" w:type="dxa"/>
            <w:noWrap w:val="0"/>
            <w:vAlign w:val="center"/>
          </w:tcPr>
          <w:p w14:paraId="6B793728">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r>
      <w:tr w14:paraId="1E841F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noWrap w:val="0"/>
            <w:vAlign w:val="center"/>
          </w:tcPr>
          <w:p w14:paraId="2A92F1A1">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843" w:type="dxa"/>
            <w:tcBorders>
              <w:top w:val="nil"/>
            </w:tcBorders>
            <w:noWrap w:val="0"/>
            <w:vAlign w:val="center"/>
          </w:tcPr>
          <w:p w14:paraId="3DFBD511">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417" w:type="dxa"/>
            <w:tcBorders>
              <w:top w:val="nil"/>
            </w:tcBorders>
            <w:noWrap w:val="0"/>
            <w:vAlign w:val="center"/>
          </w:tcPr>
          <w:p w14:paraId="060796DE">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2126" w:type="dxa"/>
            <w:tcBorders>
              <w:top w:val="nil"/>
            </w:tcBorders>
            <w:noWrap w:val="0"/>
            <w:vAlign w:val="center"/>
          </w:tcPr>
          <w:p w14:paraId="1C360AD0">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850" w:type="dxa"/>
            <w:tcBorders>
              <w:top w:val="nil"/>
            </w:tcBorders>
            <w:noWrap w:val="0"/>
            <w:vAlign w:val="center"/>
          </w:tcPr>
          <w:p w14:paraId="2FB0FED9">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560" w:type="dxa"/>
            <w:tcBorders>
              <w:top w:val="nil"/>
            </w:tcBorders>
            <w:noWrap w:val="0"/>
            <w:vAlign w:val="center"/>
          </w:tcPr>
          <w:p w14:paraId="1228E8C0">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2126" w:type="dxa"/>
            <w:tcBorders>
              <w:top w:val="nil"/>
            </w:tcBorders>
            <w:noWrap w:val="0"/>
            <w:vAlign w:val="center"/>
          </w:tcPr>
          <w:p w14:paraId="3EFC7DD9">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417" w:type="dxa"/>
            <w:tcBorders>
              <w:top w:val="nil"/>
            </w:tcBorders>
            <w:noWrap w:val="0"/>
            <w:vAlign w:val="center"/>
          </w:tcPr>
          <w:p w14:paraId="664C9FAF">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851" w:type="dxa"/>
            <w:tcBorders>
              <w:top w:val="nil"/>
            </w:tcBorders>
            <w:noWrap w:val="0"/>
            <w:vAlign w:val="center"/>
          </w:tcPr>
          <w:p w14:paraId="79A99A29">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850" w:type="dxa"/>
            <w:tcBorders>
              <w:top w:val="nil"/>
            </w:tcBorders>
            <w:noWrap w:val="0"/>
            <w:vAlign w:val="center"/>
          </w:tcPr>
          <w:p w14:paraId="131755BA">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r>
      <w:tr w14:paraId="52DF99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noWrap w:val="0"/>
            <w:vAlign w:val="center"/>
          </w:tcPr>
          <w:p w14:paraId="674B19D7">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843" w:type="dxa"/>
            <w:tcBorders>
              <w:top w:val="nil"/>
            </w:tcBorders>
            <w:noWrap w:val="0"/>
            <w:vAlign w:val="center"/>
          </w:tcPr>
          <w:p w14:paraId="3F8CFA0D">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417" w:type="dxa"/>
            <w:tcBorders>
              <w:top w:val="nil"/>
            </w:tcBorders>
            <w:noWrap w:val="0"/>
            <w:vAlign w:val="center"/>
          </w:tcPr>
          <w:p w14:paraId="59055E9D">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2126" w:type="dxa"/>
            <w:tcBorders>
              <w:top w:val="nil"/>
            </w:tcBorders>
            <w:noWrap w:val="0"/>
            <w:vAlign w:val="center"/>
          </w:tcPr>
          <w:p w14:paraId="6C0DB262">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850" w:type="dxa"/>
            <w:tcBorders>
              <w:top w:val="nil"/>
            </w:tcBorders>
            <w:noWrap w:val="0"/>
            <w:vAlign w:val="center"/>
          </w:tcPr>
          <w:p w14:paraId="2849A870">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560" w:type="dxa"/>
            <w:tcBorders>
              <w:top w:val="nil"/>
            </w:tcBorders>
            <w:noWrap w:val="0"/>
            <w:vAlign w:val="center"/>
          </w:tcPr>
          <w:p w14:paraId="4C2E74C5">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2126" w:type="dxa"/>
            <w:tcBorders>
              <w:top w:val="nil"/>
            </w:tcBorders>
            <w:noWrap w:val="0"/>
            <w:vAlign w:val="center"/>
          </w:tcPr>
          <w:p w14:paraId="60F747F8">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417" w:type="dxa"/>
            <w:tcBorders>
              <w:top w:val="nil"/>
            </w:tcBorders>
            <w:noWrap w:val="0"/>
            <w:vAlign w:val="center"/>
          </w:tcPr>
          <w:p w14:paraId="6B19A74F">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851" w:type="dxa"/>
            <w:tcBorders>
              <w:top w:val="nil"/>
            </w:tcBorders>
            <w:noWrap w:val="0"/>
            <w:vAlign w:val="center"/>
          </w:tcPr>
          <w:p w14:paraId="6A11F131">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850" w:type="dxa"/>
            <w:tcBorders>
              <w:top w:val="nil"/>
            </w:tcBorders>
            <w:noWrap w:val="0"/>
            <w:vAlign w:val="center"/>
          </w:tcPr>
          <w:p w14:paraId="10149C48">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r>
      <w:tr w14:paraId="74D6B3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noWrap w:val="0"/>
            <w:vAlign w:val="center"/>
          </w:tcPr>
          <w:p w14:paraId="7339EE46">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843" w:type="dxa"/>
            <w:noWrap w:val="0"/>
            <w:vAlign w:val="center"/>
          </w:tcPr>
          <w:p w14:paraId="6D132528">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417" w:type="dxa"/>
            <w:noWrap w:val="0"/>
            <w:vAlign w:val="center"/>
          </w:tcPr>
          <w:p w14:paraId="1F882355">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2126" w:type="dxa"/>
            <w:noWrap w:val="0"/>
            <w:vAlign w:val="center"/>
          </w:tcPr>
          <w:p w14:paraId="3CCE1D57">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850" w:type="dxa"/>
            <w:noWrap w:val="0"/>
            <w:vAlign w:val="center"/>
          </w:tcPr>
          <w:p w14:paraId="070DC345">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560" w:type="dxa"/>
            <w:noWrap w:val="0"/>
            <w:vAlign w:val="center"/>
          </w:tcPr>
          <w:p w14:paraId="5F840CA7">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2126" w:type="dxa"/>
            <w:noWrap w:val="0"/>
            <w:vAlign w:val="center"/>
          </w:tcPr>
          <w:p w14:paraId="610FB453">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417" w:type="dxa"/>
            <w:noWrap w:val="0"/>
            <w:vAlign w:val="center"/>
          </w:tcPr>
          <w:p w14:paraId="54F63C59">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851" w:type="dxa"/>
            <w:noWrap w:val="0"/>
            <w:vAlign w:val="center"/>
          </w:tcPr>
          <w:p w14:paraId="19D244B3">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850" w:type="dxa"/>
            <w:noWrap w:val="0"/>
            <w:vAlign w:val="center"/>
          </w:tcPr>
          <w:p w14:paraId="5459B31A">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r>
      <w:tr w14:paraId="0D6562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noWrap w:val="0"/>
            <w:vAlign w:val="center"/>
          </w:tcPr>
          <w:p w14:paraId="69AC816B">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843" w:type="dxa"/>
            <w:tcBorders>
              <w:top w:val="nil"/>
            </w:tcBorders>
            <w:noWrap w:val="0"/>
            <w:vAlign w:val="center"/>
          </w:tcPr>
          <w:p w14:paraId="335F749C">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417" w:type="dxa"/>
            <w:tcBorders>
              <w:top w:val="nil"/>
            </w:tcBorders>
            <w:noWrap w:val="0"/>
            <w:vAlign w:val="center"/>
          </w:tcPr>
          <w:p w14:paraId="692B3F2B">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2126" w:type="dxa"/>
            <w:tcBorders>
              <w:top w:val="nil"/>
            </w:tcBorders>
            <w:noWrap w:val="0"/>
            <w:vAlign w:val="center"/>
          </w:tcPr>
          <w:p w14:paraId="047133FF">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850" w:type="dxa"/>
            <w:tcBorders>
              <w:top w:val="nil"/>
            </w:tcBorders>
            <w:noWrap w:val="0"/>
            <w:vAlign w:val="center"/>
          </w:tcPr>
          <w:p w14:paraId="10DEAD89">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560" w:type="dxa"/>
            <w:tcBorders>
              <w:top w:val="nil"/>
            </w:tcBorders>
            <w:noWrap w:val="0"/>
            <w:vAlign w:val="center"/>
          </w:tcPr>
          <w:p w14:paraId="5330771A">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2126" w:type="dxa"/>
            <w:tcBorders>
              <w:top w:val="nil"/>
            </w:tcBorders>
            <w:noWrap w:val="0"/>
            <w:vAlign w:val="center"/>
          </w:tcPr>
          <w:p w14:paraId="5ED65BF4">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417" w:type="dxa"/>
            <w:tcBorders>
              <w:top w:val="nil"/>
            </w:tcBorders>
            <w:noWrap w:val="0"/>
            <w:vAlign w:val="center"/>
          </w:tcPr>
          <w:p w14:paraId="518BC7AA">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851" w:type="dxa"/>
            <w:tcBorders>
              <w:top w:val="nil"/>
            </w:tcBorders>
            <w:noWrap w:val="0"/>
            <w:vAlign w:val="center"/>
          </w:tcPr>
          <w:p w14:paraId="0ECE1EF0">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850" w:type="dxa"/>
            <w:tcBorders>
              <w:top w:val="nil"/>
            </w:tcBorders>
            <w:noWrap w:val="0"/>
            <w:vAlign w:val="center"/>
          </w:tcPr>
          <w:p w14:paraId="02E01D49">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r>
      <w:tr w14:paraId="556D56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noWrap w:val="0"/>
            <w:vAlign w:val="center"/>
          </w:tcPr>
          <w:p w14:paraId="719CB7F5">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843" w:type="dxa"/>
            <w:noWrap w:val="0"/>
            <w:vAlign w:val="center"/>
          </w:tcPr>
          <w:p w14:paraId="00074857">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417" w:type="dxa"/>
            <w:noWrap w:val="0"/>
            <w:vAlign w:val="center"/>
          </w:tcPr>
          <w:p w14:paraId="76AADC8B">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2126" w:type="dxa"/>
            <w:noWrap w:val="0"/>
            <w:vAlign w:val="center"/>
          </w:tcPr>
          <w:p w14:paraId="69165562">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850" w:type="dxa"/>
            <w:noWrap w:val="0"/>
            <w:vAlign w:val="center"/>
          </w:tcPr>
          <w:p w14:paraId="3CD6E801">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560" w:type="dxa"/>
            <w:noWrap w:val="0"/>
            <w:vAlign w:val="center"/>
          </w:tcPr>
          <w:p w14:paraId="13E41B3F">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2126" w:type="dxa"/>
            <w:noWrap w:val="0"/>
            <w:vAlign w:val="center"/>
          </w:tcPr>
          <w:p w14:paraId="2E869803">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417" w:type="dxa"/>
            <w:noWrap w:val="0"/>
            <w:vAlign w:val="center"/>
          </w:tcPr>
          <w:p w14:paraId="4ED1379A">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851" w:type="dxa"/>
            <w:noWrap w:val="0"/>
            <w:vAlign w:val="center"/>
          </w:tcPr>
          <w:p w14:paraId="26FDE602">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850" w:type="dxa"/>
            <w:noWrap w:val="0"/>
            <w:vAlign w:val="center"/>
          </w:tcPr>
          <w:p w14:paraId="4B798809">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r>
    </w:tbl>
    <w:p w14:paraId="1358CB16">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b/>
          <w:color w:val="auto"/>
          <w:sz w:val="21"/>
          <w:szCs w:val="21"/>
          <w:highlight w:val="none"/>
        </w:rPr>
        <w:sectPr>
          <w:pgSz w:w="16838" w:h="11906" w:orient="landscape"/>
          <w:pgMar w:top="1554" w:right="1418" w:bottom="1531" w:left="1418" w:header="851" w:footer="992" w:gutter="0"/>
          <w:pgNumType w:fmt="decimal"/>
          <w:cols w:space="720" w:num="1"/>
          <w:titlePg/>
          <w:docGrid w:type="linesAndChars" w:linePitch="312" w:charSpace="0"/>
        </w:sectPr>
      </w:pPr>
    </w:p>
    <w:p w14:paraId="32385291">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附件2：</w:t>
      </w:r>
    </w:p>
    <w:p w14:paraId="73362BE0">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发包人供应材料设备一览表</w:t>
      </w:r>
    </w:p>
    <w:tbl>
      <w:tblPr>
        <w:tblStyle w:val="29"/>
        <w:tblW w:w="869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402"/>
        <w:gridCol w:w="1099"/>
        <w:gridCol w:w="1134"/>
        <w:gridCol w:w="620"/>
        <w:gridCol w:w="690"/>
        <w:gridCol w:w="1044"/>
        <w:gridCol w:w="719"/>
        <w:gridCol w:w="716"/>
        <w:gridCol w:w="1487"/>
        <w:gridCol w:w="783"/>
      </w:tblGrid>
      <w:tr w14:paraId="702427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402" w:type="dxa"/>
            <w:tcBorders>
              <w:top w:val="single" w:color="auto" w:sz="12" w:space="0"/>
              <w:bottom w:val="double" w:color="auto" w:sz="6" w:space="0"/>
            </w:tcBorders>
            <w:noWrap w:val="0"/>
            <w:vAlign w:val="center"/>
          </w:tcPr>
          <w:p w14:paraId="064745D3">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序号</w:t>
            </w:r>
          </w:p>
        </w:tc>
        <w:tc>
          <w:tcPr>
            <w:tcW w:w="1099" w:type="dxa"/>
            <w:tcBorders>
              <w:top w:val="single" w:color="auto" w:sz="12" w:space="0"/>
              <w:bottom w:val="double" w:color="auto" w:sz="6" w:space="0"/>
            </w:tcBorders>
            <w:noWrap w:val="0"/>
            <w:vAlign w:val="center"/>
          </w:tcPr>
          <w:p w14:paraId="39630ED0">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 xml:space="preserve">  材料、</w:t>
            </w:r>
          </w:p>
          <w:p w14:paraId="5500D39E">
            <w:pPr>
              <w:pStyle w:val="11"/>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设备品种</w:t>
            </w:r>
          </w:p>
        </w:tc>
        <w:tc>
          <w:tcPr>
            <w:tcW w:w="1134" w:type="dxa"/>
            <w:tcBorders>
              <w:top w:val="single" w:color="auto" w:sz="12" w:space="0"/>
              <w:bottom w:val="double" w:color="auto" w:sz="6" w:space="0"/>
            </w:tcBorders>
            <w:noWrap w:val="0"/>
            <w:vAlign w:val="center"/>
          </w:tcPr>
          <w:p w14:paraId="673A2EA9">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规格型号</w:t>
            </w:r>
          </w:p>
        </w:tc>
        <w:tc>
          <w:tcPr>
            <w:tcW w:w="620" w:type="dxa"/>
            <w:tcBorders>
              <w:top w:val="single" w:color="auto" w:sz="12" w:space="0"/>
              <w:bottom w:val="double" w:color="auto" w:sz="6" w:space="0"/>
            </w:tcBorders>
            <w:noWrap w:val="0"/>
            <w:vAlign w:val="center"/>
          </w:tcPr>
          <w:p w14:paraId="2DAE882F">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单位</w:t>
            </w:r>
          </w:p>
        </w:tc>
        <w:tc>
          <w:tcPr>
            <w:tcW w:w="690" w:type="dxa"/>
            <w:tcBorders>
              <w:top w:val="single" w:color="auto" w:sz="12" w:space="0"/>
              <w:bottom w:val="double" w:color="auto" w:sz="6" w:space="0"/>
            </w:tcBorders>
            <w:noWrap w:val="0"/>
            <w:vAlign w:val="center"/>
          </w:tcPr>
          <w:p w14:paraId="63EA57F5">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数量</w:t>
            </w:r>
          </w:p>
        </w:tc>
        <w:tc>
          <w:tcPr>
            <w:tcW w:w="1044" w:type="dxa"/>
            <w:tcBorders>
              <w:top w:val="single" w:color="auto" w:sz="12" w:space="0"/>
              <w:bottom w:val="double" w:color="auto" w:sz="6" w:space="0"/>
            </w:tcBorders>
            <w:noWrap w:val="0"/>
            <w:vAlign w:val="center"/>
          </w:tcPr>
          <w:p w14:paraId="71ECC0D9">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单价（元）</w:t>
            </w:r>
          </w:p>
        </w:tc>
        <w:tc>
          <w:tcPr>
            <w:tcW w:w="719" w:type="dxa"/>
            <w:tcBorders>
              <w:top w:val="single" w:color="auto" w:sz="12" w:space="0"/>
              <w:bottom w:val="double" w:color="auto" w:sz="6" w:space="0"/>
            </w:tcBorders>
            <w:noWrap w:val="0"/>
            <w:vAlign w:val="center"/>
          </w:tcPr>
          <w:p w14:paraId="574575AE">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质量等级</w:t>
            </w:r>
          </w:p>
        </w:tc>
        <w:tc>
          <w:tcPr>
            <w:tcW w:w="716" w:type="dxa"/>
            <w:tcBorders>
              <w:top w:val="single" w:color="auto" w:sz="12" w:space="0"/>
              <w:bottom w:val="double" w:color="auto" w:sz="6" w:space="0"/>
            </w:tcBorders>
            <w:noWrap w:val="0"/>
            <w:vAlign w:val="center"/>
          </w:tcPr>
          <w:p w14:paraId="43E3567F">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供应时间</w:t>
            </w:r>
          </w:p>
        </w:tc>
        <w:tc>
          <w:tcPr>
            <w:tcW w:w="1487" w:type="dxa"/>
            <w:tcBorders>
              <w:top w:val="single" w:color="auto" w:sz="12" w:space="0"/>
              <w:bottom w:val="double" w:color="auto" w:sz="6" w:space="0"/>
            </w:tcBorders>
            <w:noWrap w:val="0"/>
            <w:vAlign w:val="center"/>
          </w:tcPr>
          <w:p w14:paraId="38DD375F">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送达地点</w:t>
            </w:r>
          </w:p>
        </w:tc>
        <w:tc>
          <w:tcPr>
            <w:tcW w:w="783" w:type="dxa"/>
            <w:tcBorders>
              <w:top w:val="single" w:color="auto" w:sz="12" w:space="0"/>
              <w:bottom w:val="double" w:color="auto" w:sz="6" w:space="0"/>
            </w:tcBorders>
            <w:noWrap w:val="0"/>
            <w:vAlign w:val="center"/>
          </w:tcPr>
          <w:p w14:paraId="3E04ED10">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备注</w:t>
            </w:r>
          </w:p>
        </w:tc>
      </w:tr>
      <w:tr w14:paraId="4A8A50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02" w:type="dxa"/>
            <w:tcBorders>
              <w:top w:val="double" w:color="auto" w:sz="6" w:space="0"/>
              <w:bottom w:val="single" w:color="auto" w:sz="6" w:space="0"/>
            </w:tcBorders>
            <w:noWrap w:val="0"/>
            <w:vAlign w:val="center"/>
          </w:tcPr>
          <w:p w14:paraId="616FFEB0">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099" w:type="dxa"/>
            <w:tcBorders>
              <w:top w:val="double" w:color="auto" w:sz="6" w:space="0"/>
              <w:bottom w:val="single" w:color="auto" w:sz="6" w:space="0"/>
            </w:tcBorders>
            <w:noWrap w:val="0"/>
            <w:vAlign w:val="center"/>
          </w:tcPr>
          <w:p w14:paraId="2670AFC9">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134" w:type="dxa"/>
            <w:tcBorders>
              <w:top w:val="double" w:color="auto" w:sz="6" w:space="0"/>
              <w:bottom w:val="single" w:color="auto" w:sz="6" w:space="0"/>
            </w:tcBorders>
            <w:noWrap w:val="0"/>
            <w:vAlign w:val="center"/>
          </w:tcPr>
          <w:p w14:paraId="17EA2DDB">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620" w:type="dxa"/>
            <w:tcBorders>
              <w:top w:val="double" w:color="auto" w:sz="6" w:space="0"/>
              <w:bottom w:val="single" w:color="auto" w:sz="6" w:space="0"/>
            </w:tcBorders>
            <w:noWrap w:val="0"/>
            <w:vAlign w:val="center"/>
          </w:tcPr>
          <w:p w14:paraId="34EE52B5">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690" w:type="dxa"/>
            <w:tcBorders>
              <w:top w:val="double" w:color="auto" w:sz="6" w:space="0"/>
              <w:bottom w:val="single" w:color="auto" w:sz="6" w:space="0"/>
            </w:tcBorders>
            <w:noWrap w:val="0"/>
            <w:vAlign w:val="center"/>
          </w:tcPr>
          <w:p w14:paraId="45DE00FC">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044" w:type="dxa"/>
            <w:tcBorders>
              <w:top w:val="double" w:color="auto" w:sz="6" w:space="0"/>
              <w:bottom w:val="single" w:color="auto" w:sz="6" w:space="0"/>
            </w:tcBorders>
            <w:noWrap w:val="0"/>
            <w:vAlign w:val="center"/>
          </w:tcPr>
          <w:p w14:paraId="483B9736">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719" w:type="dxa"/>
            <w:tcBorders>
              <w:top w:val="double" w:color="auto" w:sz="6" w:space="0"/>
              <w:bottom w:val="single" w:color="auto" w:sz="6" w:space="0"/>
            </w:tcBorders>
            <w:noWrap w:val="0"/>
            <w:vAlign w:val="center"/>
          </w:tcPr>
          <w:p w14:paraId="69F44E9B">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716" w:type="dxa"/>
            <w:tcBorders>
              <w:top w:val="double" w:color="auto" w:sz="6" w:space="0"/>
              <w:bottom w:val="single" w:color="auto" w:sz="6" w:space="0"/>
            </w:tcBorders>
            <w:noWrap w:val="0"/>
            <w:vAlign w:val="center"/>
          </w:tcPr>
          <w:p w14:paraId="11B27CA7">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487" w:type="dxa"/>
            <w:tcBorders>
              <w:top w:val="double" w:color="auto" w:sz="6" w:space="0"/>
              <w:bottom w:val="single" w:color="auto" w:sz="6" w:space="0"/>
            </w:tcBorders>
            <w:noWrap w:val="0"/>
            <w:vAlign w:val="center"/>
          </w:tcPr>
          <w:p w14:paraId="5BDD6300">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783" w:type="dxa"/>
            <w:tcBorders>
              <w:top w:val="double" w:color="auto" w:sz="6" w:space="0"/>
              <w:bottom w:val="single" w:color="auto" w:sz="6" w:space="0"/>
            </w:tcBorders>
            <w:noWrap w:val="0"/>
            <w:vAlign w:val="center"/>
          </w:tcPr>
          <w:p w14:paraId="7130AA68">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r>
      <w:tr w14:paraId="392327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02" w:type="dxa"/>
            <w:tcBorders>
              <w:top w:val="nil"/>
            </w:tcBorders>
            <w:noWrap w:val="0"/>
            <w:vAlign w:val="center"/>
          </w:tcPr>
          <w:p w14:paraId="3901A8AA">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099" w:type="dxa"/>
            <w:tcBorders>
              <w:top w:val="nil"/>
            </w:tcBorders>
            <w:noWrap w:val="0"/>
            <w:vAlign w:val="center"/>
          </w:tcPr>
          <w:p w14:paraId="7510BCAA">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134" w:type="dxa"/>
            <w:tcBorders>
              <w:top w:val="nil"/>
            </w:tcBorders>
            <w:noWrap w:val="0"/>
            <w:vAlign w:val="center"/>
          </w:tcPr>
          <w:p w14:paraId="2CBCD7F8">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620" w:type="dxa"/>
            <w:tcBorders>
              <w:top w:val="nil"/>
            </w:tcBorders>
            <w:noWrap w:val="0"/>
            <w:vAlign w:val="center"/>
          </w:tcPr>
          <w:p w14:paraId="532568DD">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690" w:type="dxa"/>
            <w:tcBorders>
              <w:top w:val="nil"/>
            </w:tcBorders>
            <w:noWrap w:val="0"/>
            <w:vAlign w:val="center"/>
          </w:tcPr>
          <w:p w14:paraId="23FC722F">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044" w:type="dxa"/>
            <w:tcBorders>
              <w:top w:val="nil"/>
            </w:tcBorders>
            <w:noWrap w:val="0"/>
            <w:vAlign w:val="center"/>
          </w:tcPr>
          <w:p w14:paraId="756F7379">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719" w:type="dxa"/>
            <w:tcBorders>
              <w:top w:val="nil"/>
            </w:tcBorders>
            <w:noWrap w:val="0"/>
            <w:vAlign w:val="center"/>
          </w:tcPr>
          <w:p w14:paraId="7C0D06A6">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716" w:type="dxa"/>
            <w:tcBorders>
              <w:top w:val="nil"/>
            </w:tcBorders>
            <w:noWrap w:val="0"/>
            <w:vAlign w:val="center"/>
          </w:tcPr>
          <w:p w14:paraId="4DB1B8CF">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487" w:type="dxa"/>
            <w:tcBorders>
              <w:top w:val="nil"/>
            </w:tcBorders>
            <w:noWrap w:val="0"/>
            <w:vAlign w:val="center"/>
          </w:tcPr>
          <w:p w14:paraId="76DA81DC">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783" w:type="dxa"/>
            <w:tcBorders>
              <w:top w:val="nil"/>
            </w:tcBorders>
            <w:noWrap w:val="0"/>
            <w:vAlign w:val="center"/>
          </w:tcPr>
          <w:p w14:paraId="01CA1998">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r>
      <w:tr w14:paraId="5F4A40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02" w:type="dxa"/>
            <w:noWrap w:val="0"/>
            <w:vAlign w:val="center"/>
          </w:tcPr>
          <w:p w14:paraId="407C07E6">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099" w:type="dxa"/>
            <w:noWrap w:val="0"/>
            <w:vAlign w:val="center"/>
          </w:tcPr>
          <w:p w14:paraId="5B4BCC22">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134" w:type="dxa"/>
            <w:noWrap w:val="0"/>
            <w:vAlign w:val="center"/>
          </w:tcPr>
          <w:p w14:paraId="17E0E085">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620" w:type="dxa"/>
            <w:noWrap w:val="0"/>
            <w:vAlign w:val="center"/>
          </w:tcPr>
          <w:p w14:paraId="1BA1C17E">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690" w:type="dxa"/>
            <w:noWrap w:val="0"/>
            <w:vAlign w:val="center"/>
          </w:tcPr>
          <w:p w14:paraId="1E771165">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044" w:type="dxa"/>
            <w:noWrap w:val="0"/>
            <w:vAlign w:val="center"/>
          </w:tcPr>
          <w:p w14:paraId="6AF6E3F2">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719" w:type="dxa"/>
            <w:noWrap w:val="0"/>
            <w:vAlign w:val="center"/>
          </w:tcPr>
          <w:p w14:paraId="1DB5E12C">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716" w:type="dxa"/>
            <w:noWrap w:val="0"/>
            <w:vAlign w:val="center"/>
          </w:tcPr>
          <w:p w14:paraId="4A4B1DB6">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487" w:type="dxa"/>
            <w:noWrap w:val="0"/>
            <w:vAlign w:val="center"/>
          </w:tcPr>
          <w:p w14:paraId="053672AA">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783" w:type="dxa"/>
            <w:noWrap w:val="0"/>
            <w:vAlign w:val="center"/>
          </w:tcPr>
          <w:p w14:paraId="438A5C33">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r>
      <w:tr w14:paraId="16BD66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02" w:type="dxa"/>
            <w:noWrap w:val="0"/>
            <w:vAlign w:val="center"/>
          </w:tcPr>
          <w:p w14:paraId="0F916F54">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099" w:type="dxa"/>
            <w:noWrap w:val="0"/>
            <w:vAlign w:val="center"/>
          </w:tcPr>
          <w:p w14:paraId="09108B86">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134" w:type="dxa"/>
            <w:noWrap w:val="0"/>
            <w:vAlign w:val="center"/>
          </w:tcPr>
          <w:p w14:paraId="05AAE439">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620" w:type="dxa"/>
            <w:noWrap w:val="0"/>
            <w:vAlign w:val="center"/>
          </w:tcPr>
          <w:p w14:paraId="73E52949">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690" w:type="dxa"/>
            <w:noWrap w:val="0"/>
            <w:vAlign w:val="center"/>
          </w:tcPr>
          <w:p w14:paraId="318BBD24">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044" w:type="dxa"/>
            <w:noWrap w:val="0"/>
            <w:vAlign w:val="center"/>
          </w:tcPr>
          <w:p w14:paraId="3290CD30">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719" w:type="dxa"/>
            <w:noWrap w:val="0"/>
            <w:vAlign w:val="center"/>
          </w:tcPr>
          <w:p w14:paraId="1848DF51">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716" w:type="dxa"/>
            <w:noWrap w:val="0"/>
            <w:vAlign w:val="center"/>
          </w:tcPr>
          <w:p w14:paraId="29A49A15">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487" w:type="dxa"/>
            <w:noWrap w:val="0"/>
            <w:vAlign w:val="center"/>
          </w:tcPr>
          <w:p w14:paraId="79C0ACA8">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783" w:type="dxa"/>
            <w:noWrap w:val="0"/>
            <w:vAlign w:val="center"/>
          </w:tcPr>
          <w:p w14:paraId="121063C4">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r>
      <w:tr w14:paraId="67BED1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02" w:type="dxa"/>
            <w:noWrap w:val="0"/>
            <w:vAlign w:val="center"/>
          </w:tcPr>
          <w:p w14:paraId="24CB97C2">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099" w:type="dxa"/>
            <w:noWrap w:val="0"/>
            <w:vAlign w:val="center"/>
          </w:tcPr>
          <w:p w14:paraId="3AC00D4B">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134" w:type="dxa"/>
            <w:noWrap w:val="0"/>
            <w:vAlign w:val="center"/>
          </w:tcPr>
          <w:p w14:paraId="03C34EB2">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620" w:type="dxa"/>
            <w:noWrap w:val="0"/>
            <w:vAlign w:val="center"/>
          </w:tcPr>
          <w:p w14:paraId="7FDEA43A">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690" w:type="dxa"/>
            <w:noWrap w:val="0"/>
            <w:vAlign w:val="center"/>
          </w:tcPr>
          <w:p w14:paraId="6EC18F6B">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044" w:type="dxa"/>
            <w:noWrap w:val="0"/>
            <w:vAlign w:val="center"/>
          </w:tcPr>
          <w:p w14:paraId="3C6F2CC4">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719" w:type="dxa"/>
            <w:noWrap w:val="0"/>
            <w:vAlign w:val="center"/>
          </w:tcPr>
          <w:p w14:paraId="42954828">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716" w:type="dxa"/>
            <w:noWrap w:val="0"/>
            <w:vAlign w:val="center"/>
          </w:tcPr>
          <w:p w14:paraId="111CB490">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487" w:type="dxa"/>
            <w:noWrap w:val="0"/>
            <w:vAlign w:val="center"/>
          </w:tcPr>
          <w:p w14:paraId="7051CFB5">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783" w:type="dxa"/>
            <w:noWrap w:val="0"/>
            <w:vAlign w:val="center"/>
          </w:tcPr>
          <w:p w14:paraId="642061A5">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r>
      <w:tr w14:paraId="42640A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02" w:type="dxa"/>
            <w:noWrap w:val="0"/>
            <w:vAlign w:val="center"/>
          </w:tcPr>
          <w:p w14:paraId="434475EB">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099" w:type="dxa"/>
            <w:noWrap w:val="0"/>
            <w:vAlign w:val="center"/>
          </w:tcPr>
          <w:p w14:paraId="7BD2CF25">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134" w:type="dxa"/>
            <w:noWrap w:val="0"/>
            <w:vAlign w:val="center"/>
          </w:tcPr>
          <w:p w14:paraId="6D89DB41">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620" w:type="dxa"/>
            <w:noWrap w:val="0"/>
            <w:vAlign w:val="center"/>
          </w:tcPr>
          <w:p w14:paraId="0BD925F7">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690" w:type="dxa"/>
            <w:noWrap w:val="0"/>
            <w:vAlign w:val="center"/>
          </w:tcPr>
          <w:p w14:paraId="343FBE55">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044" w:type="dxa"/>
            <w:noWrap w:val="0"/>
            <w:vAlign w:val="center"/>
          </w:tcPr>
          <w:p w14:paraId="020F2A23">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719" w:type="dxa"/>
            <w:noWrap w:val="0"/>
            <w:vAlign w:val="center"/>
          </w:tcPr>
          <w:p w14:paraId="3D9956B2">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716" w:type="dxa"/>
            <w:noWrap w:val="0"/>
            <w:vAlign w:val="center"/>
          </w:tcPr>
          <w:p w14:paraId="25AC581F">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487" w:type="dxa"/>
            <w:noWrap w:val="0"/>
            <w:vAlign w:val="center"/>
          </w:tcPr>
          <w:p w14:paraId="7DB53A6E">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783" w:type="dxa"/>
            <w:noWrap w:val="0"/>
            <w:vAlign w:val="center"/>
          </w:tcPr>
          <w:p w14:paraId="291E999B">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r>
      <w:tr w14:paraId="154FDB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02" w:type="dxa"/>
            <w:noWrap w:val="0"/>
            <w:vAlign w:val="center"/>
          </w:tcPr>
          <w:p w14:paraId="040315C1">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099" w:type="dxa"/>
            <w:noWrap w:val="0"/>
            <w:vAlign w:val="center"/>
          </w:tcPr>
          <w:p w14:paraId="0DF05B45">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134" w:type="dxa"/>
            <w:noWrap w:val="0"/>
            <w:vAlign w:val="center"/>
          </w:tcPr>
          <w:p w14:paraId="71E7781F">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620" w:type="dxa"/>
            <w:noWrap w:val="0"/>
            <w:vAlign w:val="center"/>
          </w:tcPr>
          <w:p w14:paraId="0DB5BB50">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690" w:type="dxa"/>
            <w:noWrap w:val="0"/>
            <w:vAlign w:val="center"/>
          </w:tcPr>
          <w:p w14:paraId="5F8E05E4">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044" w:type="dxa"/>
            <w:noWrap w:val="0"/>
            <w:vAlign w:val="center"/>
          </w:tcPr>
          <w:p w14:paraId="42DF81B3">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719" w:type="dxa"/>
            <w:noWrap w:val="0"/>
            <w:vAlign w:val="center"/>
          </w:tcPr>
          <w:p w14:paraId="2687331B">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716" w:type="dxa"/>
            <w:noWrap w:val="0"/>
            <w:vAlign w:val="center"/>
          </w:tcPr>
          <w:p w14:paraId="1E4A08CD">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487" w:type="dxa"/>
            <w:noWrap w:val="0"/>
            <w:vAlign w:val="center"/>
          </w:tcPr>
          <w:p w14:paraId="77EB70CE">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783" w:type="dxa"/>
            <w:noWrap w:val="0"/>
            <w:vAlign w:val="center"/>
          </w:tcPr>
          <w:p w14:paraId="38D93B05">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r>
      <w:tr w14:paraId="22D184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02" w:type="dxa"/>
            <w:noWrap w:val="0"/>
            <w:vAlign w:val="center"/>
          </w:tcPr>
          <w:p w14:paraId="6564A175">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099" w:type="dxa"/>
            <w:noWrap w:val="0"/>
            <w:vAlign w:val="center"/>
          </w:tcPr>
          <w:p w14:paraId="4C6EDE14">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134" w:type="dxa"/>
            <w:noWrap w:val="0"/>
            <w:vAlign w:val="center"/>
          </w:tcPr>
          <w:p w14:paraId="73051E52">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620" w:type="dxa"/>
            <w:noWrap w:val="0"/>
            <w:vAlign w:val="center"/>
          </w:tcPr>
          <w:p w14:paraId="2CB4D9CB">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690" w:type="dxa"/>
            <w:noWrap w:val="0"/>
            <w:vAlign w:val="center"/>
          </w:tcPr>
          <w:p w14:paraId="3C1112CD">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044" w:type="dxa"/>
            <w:noWrap w:val="0"/>
            <w:vAlign w:val="center"/>
          </w:tcPr>
          <w:p w14:paraId="4FC1FEA9">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719" w:type="dxa"/>
            <w:noWrap w:val="0"/>
            <w:vAlign w:val="center"/>
          </w:tcPr>
          <w:p w14:paraId="4D450A2B">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716" w:type="dxa"/>
            <w:noWrap w:val="0"/>
            <w:vAlign w:val="center"/>
          </w:tcPr>
          <w:p w14:paraId="2159F57B">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487" w:type="dxa"/>
            <w:noWrap w:val="0"/>
            <w:vAlign w:val="center"/>
          </w:tcPr>
          <w:p w14:paraId="455ACFCE">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783" w:type="dxa"/>
            <w:noWrap w:val="0"/>
            <w:vAlign w:val="center"/>
          </w:tcPr>
          <w:p w14:paraId="653ABE94">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r>
      <w:tr w14:paraId="0A71AD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02" w:type="dxa"/>
            <w:noWrap w:val="0"/>
            <w:vAlign w:val="center"/>
          </w:tcPr>
          <w:p w14:paraId="3B428CAD">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1099" w:type="dxa"/>
            <w:noWrap w:val="0"/>
            <w:vAlign w:val="center"/>
          </w:tcPr>
          <w:p w14:paraId="47F05E1E">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1134" w:type="dxa"/>
            <w:noWrap w:val="0"/>
            <w:vAlign w:val="center"/>
          </w:tcPr>
          <w:p w14:paraId="67464A84">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620" w:type="dxa"/>
            <w:noWrap w:val="0"/>
            <w:vAlign w:val="center"/>
          </w:tcPr>
          <w:p w14:paraId="666AAB66">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690" w:type="dxa"/>
            <w:noWrap w:val="0"/>
            <w:vAlign w:val="center"/>
          </w:tcPr>
          <w:p w14:paraId="4B623AEC">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1044" w:type="dxa"/>
            <w:noWrap w:val="0"/>
            <w:vAlign w:val="center"/>
          </w:tcPr>
          <w:p w14:paraId="48C8F7BA">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719" w:type="dxa"/>
            <w:noWrap w:val="0"/>
            <w:vAlign w:val="center"/>
          </w:tcPr>
          <w:p w14:paraId="7B0C0BF5">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716" w:type="dxa"/>
            <w:noWrap w:val="0"/>
            <w:vAlign w:val="center"/>
          </w:tcPr>
          <w:p w14:paraId="217A7EE9">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1487" w:type="dxa"/>
            <w:noWrap w:val="0"/>
            <w:vAlign w:val="center"/>
          </w:tcPr>
          <w:p w14:paraId="2D34C43A">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783" w:type="dxa"/>
            <w:noWrap w:val="0"/>
            <w:vAlign w:val="center"/>
          </w:tcPr>
          <w:p w14:paraId="420496AF">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r>
      <w:tr w14:paraId="6F95A2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02" w:type="dxa"/>
            <w:noWrap w:val="0"/>
            <w:vAlign w:val="center"/>
          </w:tcPr>
          <w:p w14:paraId="1FC0C9CB">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099" w:type="dxa"/>
            <w:noWrap w:val="0"/>
            <w:vAlign w:val="center"/>
          </w:tcPr>
          <w:p w14:paraId="46BB9A2A">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134" w:type="dxa"/>
            <w:noWrap w:val="0"/>
            <w:vAlign w:val="center"/>
          </w:tcPr>
          <w:p w14:paraId="34253776">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620" w:type="dxa"/>
            <w:noWrap w:val="0"/>
            <w:vAlign w:val="center"/>
          </w:tcPr>
          <w:p w14:paraId="0904AE97">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690" w:type="dxa"/>
            <w:noWrap w:val="0"/>
            <w:vAlign w:val="center"/>
          </w:tcPr>
          <w:p w14:paraId="1B900667">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044" w:type="dxa"/>
            <w:noWrap w:val="0"/>
            <w:vAlign w:val="center"/>
          </w:tcPr>
          <w:p w14:paraId="2AA5D0F1">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719" w:type="dxa"/>
            <w:noWrap w:val="0"/>
            <w:vAlign w:val="center"/>
          </w:tcPr>
          <w:p w14:paraId="58CB8F52">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716" w:type="dxa"/>
            <w:noWrap w:val="0"/>
            <w:vAlign w:val="center"/>
          </w:tcPr>
          <w:p w14:paraId="5E42C3F3">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487" w:type="dxa"/>
            <w:noWrap w:val="0"/>
            <w:vAlign w:val="center"/>
          </w:tcPr>
          <w:p w14:paraId="56B8368E">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783" w:type="dxa"/>
            <w:noWrap w:val="0"/>
            <w:vAlign w:val="center"/>
          </w:tcPr>
          <w:p w14:paraId="598CDF3A">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r>
      <w:tr w14:paraId="545A3B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02" w:type="dxa"/>
            <w:noWrap w:val="0"/>
            <w:vAlign w:val="center"/>
          </w:tcPr>
          <w:p w14:paraId="76F6623E">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1099" w:type="dxa"/>
            <w:noWrap w:val="0"/>
            <w:vAlign w:val="center"/>
          </w:tcPr>
          <w:p w14:paraId="55047FAC">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1134" w:type="dxa"/>
            <w:noWrap w:val="0"/>
            <w:vAlign w:val="center"/>
          </w:tcPr>
          <w:p w14:paraId="121EE688">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620" w:type="dxa"/>
            <w:noWrap w:val="0"/>
            <w:vAlign w:val="center"/>
          </w:tcPr>
          <w:p w14:paraId="4B93E4CF">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690" w:type="dxa"/>
            <w:noWrap w:val="0"/>
            <w:vAlign w:val="center"/>
          </w:tcPr>
          <w:p w14:paraId="4667438B">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1044" w:type="dxa"/>
            <w:noWrap w:val="0"/>
            <w:vAlign w:val="center"/>
          </w:tcPr>
          <w:p w14:paraId="4222759C">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719" w:type="dxa"/>
            <w:noWrap w:val="0"/>
            <w:vAlign w:val="center"/>
          </w:tcPr>
          <w:p w14:paraId="12213DDF">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716" w:type="dxa"/>
            <w:noWrap w:val="0"/>
            <w:vAlign w:val="center"/>
          </w:tcPr>
          <w:p w14:paraId="46B8A25B">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1487" w:type="dxa"/>
            <w:noWrap w:val="0"/>
            <w:vAlign w:val="center"/>
          </w:tcPr>
          <w:p w14:paraId="15E06F4D">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783" w:type="dxa"/>
            <w:noWrap w:val="0"/>
            <w:vAlign w:val="center"/>
          </w:tcPr>
          <w:p w14:paraId="1DA01767">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r>
      <w:tr w14:paraId="1C8831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02" w:type="dxa"/>
            <w:noWrap w:val="0"/>
            <w:vAlign w:val="center"/>
          </w:tcPr>
          <w:p w14:paraId="7DC83A26">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1099" w:type="dxa"/>
            <w:noWrap w:val="0"/>
            <w:vAlign w:val="center"/>
          </w:tcPr>
          <w:p w14:paraId="2278C663">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1134" w:type="dxa"/>
            <w:noWrap w:val="0"/>
            <w:vAlign w:val="center"/>
          </w:tcPr>
          <w:p w14:paraId="69F32DB0">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620" w:type="dxa"/>
            <w:noWrap w:val="0"/>
            <w:vAlign w:val="center"/>
          </w:tcPr>
          <w:p w14:paraId="293B8F3D">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690" w:type="dxa"/>
            <w:noWrap w:val="0"/>
            <w:vAlign w:val="center"/>
          </w:tcPr>
          <w:p w14:paraId="03DEDA73">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1044" w:type="dxa"/>
            <w:noWrap w:val="0"/>
            <w:vAlign w:val="center"/>
          </w:tcPr>
          <w:p w14:paraId="1333B345">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719" w:type="dxa"/>
            <w:noWrap w:val="0"/>
            <w:vAlign w:val="center"/>
          </w:tcPr>
          <w:p w14:paraId="37B19011">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716" w:type="dxa"/>
            <w:noWrap w:val="0"/>
            <w:vAlign w:val="center"/>
          </w:tcPr>
          <w:p w14:paraId="35F0CF7D">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1487" w:type="dxa"/>
            <w:noWrap w:val="0"/>
            <w:vAlign w:val="center"/>
          </w:tcPr>
          <w:p w14:paraId="673B5C42">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783" w:type="dxa"/>
            <w:noWrap w:val="0"/>
            <w:vAlign w:val="center"/>
          </w:tcPr>
          <w:p w14:paraId="4C56862F">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r>
      <w:tr w14:paraId="6903CE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02" w:type="dxa"/>
            <w:noWrap w:val="0"/>
            <w:vAlign w:val="center"/>
          </w:tcPr>
          <w:p w14:paraId="0A7F0505">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1099" w:type="dxa"/>
            <w:noWrap w:val="0"/>
            <w:vAlign w:val="center"/>
          </w:tcPr>
          <w:p w14:paraId="3497CF59">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1134" w:type="dxa"/>
            <w:noWrap w:val="0"/>
            <w:vAlign w:val="center"/>
          </w:tcPr>
          <w:p w14:paraId="6C1ECE8A">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620" w:type="dxa"/>
            <w:noWrap w:val="0"/>
            <w:vAlign w:val="center"/>
          </w:tcPr>
          <w:p w14:paraId="2812F3C9">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690" w:type="dxa"/>
            <w:noWrap w:val="0"/>
            <w:vAlign w:val="center"/>
          </w:tcPr>
          <w:p w14:paraId="7B3CFE68">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1044" w:type="dxa"/>
            <w:noWrap w:val="0"/>
            <w:vAlign w:val="center"/>
          </w:tcPr>
          <w:p w14:paraId="1F3F4AB6">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719" w:type="dxa"/>
            <w:noWrap w:val="0"/>
            <w:vAlign w:val="center"/>
          </w:tcPr>
          <w:p w14:paraId="731A0E03">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716" w:type="dxa"/>
            <w:noWrap w:val="0"/>
            <w:vAlign w:val="center"/>
          </w:tcPr>
          <w:p w14:paraId="7D5EF476">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1487" w:type="dxa"/>
            <w:noWrap w:val="0"/>
            <w:vAlign w:val="center"/>
          </w:tcPr>
          <w:p w14:paraId="49B25885">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783" w:type="dxa"/>
            <w:noWrap w:val="0"/>
            <w:vAlign w:val="center"/>
          </w:tcPr>
          <w:p w14:paraId="6FE624D7">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r>
      <w:tr w14:paraId="53AA46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02" w:type="dxa"/>
            <w:noWrap w:val="0"/>
            <w:vAlign w:val="center"/>
          </w:tcPr>
          <w:p w14:paraId="265B7B34">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1099" w:type="dxa"/>
            <w:noWrap w:val="0"/>
            <w:vAlign w:val="center"/>
          </w:tcPr>
          <w:p w14:paraId="163835AA">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1134" w:type="dxa"/>
            <w:noWrap w:val="0"/>
            <w:vAlign w:val="center"/>
          </w:tcPr>
          <w:p w14:paraId="1F7CAA01">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620" w:type="dxa"/>
            <w:noWrap w:val="0"/>
            <w:vAlign w:val="center"/>
          </w:tcPr>
          <w:p w14:paraId="598667A1">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690" w:type="dxa"/>
            <w:noWrap w:val="0"/>
            <w:vAlign w:val="center"/>
          </w:tcPr>
          <w:p w14:paraId="0A9B7C2D">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1044" w:type="dxa"/>
            <w:noWrap w:val="0"/>
            <w:vAlign w:val="center"/>
          </w:tcPr>
          <w:p w14:paraId="072AB5B3">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719" w:type="dxa"/>
            <w:noWrap w:val="0"/>
            <w:vAlign w:val="center"/>
          </w:tcPr>
          <w:p w14:paraId="4E8E3614">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716" w:type="dxa"/>
            <w:noWrap w:val="0"/>
            <w:vAlign w:val="center"/>
          </w:tcPr>
          <w:p w14:paraId="16854BB9">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1487" w:type="dxa"/>
            <w:noWrap w:val="0"/>
            <w:vAlign w:val="center"/>
          </w:tcPr>
          <w:p w14:paraId="0E3B1541">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783" w:type="dxa"/>
            <w:noWrap w:val="0"/>
            <w:vAlign w:val="center"/>
          </w:tcPr>
          <w:p w14:paraId="77005E39">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r>
      <w:tr w14:paraId="29844F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02" w:type="dxa"/>
            <w:noWrap w:val="0"/>
            <w:vAlign w:val="center"/>
          </w:tcPr>
          <w:p w14:paraId="6C548D3F">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1099" w:type="dxa"/>
            <w:noWrap w:val="0"/>
            <w:vAlign w:val="center"/>
          </w:tcPr>
          <w:p w14:paraId="4EB3FED7">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1134" w:type="dxa"/>
            <w:noWrap w:val="0"/>
            <w:vAlign w:val="center"/>
          </w:tcPr>
          <w:p w14:paraId="2AAEA0E1">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620" w:type="dxa"/>
            <w:noWrap w:val="0"/>
            <w:vAlign w:val="center"/>
          </w:tcPr>
          <w:p w14:paraId="63618A0E">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690" w:type="dxa"/>
            <w:noWrap w:val="0"/>
            <w:vAlign w:val="center"/>
          </w:tcPr>
          <w:p w14:paraId="74CA2117">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1044" w:type="dxa"/>
            <w:noWrap w:val="0"/>
            <w:vAlign w:val="center"/>
          </w:tcPr>
          <w:p w14:paraId="00E6C18D">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719" w:type="dxa"/>
            <w:noWrap w:val="0"/>
            <w:vAlign w:val="center"/>
          </w:tcPr>
          <w:p w14:paraId="7FD9FFED">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716" w:type="dxa"/>
            <w:noWrap w:val="0"/>
            <w:vAlign w:val="center"/>
          </w:tcPr>
          <w:p w14:paraId="314D115E">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1487" w:type="dxa"/>
            <w:noWrap w:val="0"/>
            <w:vAlign w:val="center"/>
          </w:tcPr>
          <w:p w14:paraId="2D659BE6">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783" w:type="dxa"/>
            <w:noWrap w:val="0"/>
            <w:vAlign w:val="center"/>
          </w:tcPr>
          <w:p w14:paraId="471E141A">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r>
      <w:tr w14:paraId="613192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02" w:type="dxa"/>
            <w:noWrap w:val="0"/>
            <w:vAlign w:val="center"/>
          </w:tcPr>
          <w:p w14:paraId="64001C95">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1099" w:type="dxa"/>
            <w:noWrap w:val="0"/>
            <w:vAlign w:val="center"/>
          </w:tcPr>
          <w:p w14:paraId="6F6EB6C7">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1134" w:type="dxa"/>
            <w:noWrap w:val="0"/>
            <w:vAlign w:val="center"/>
          </w:tcPr>
          <w:p w14:paraId="3DD79C53">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620" w:type="dxa"/>
            <w:noWrap w:val="0"/>
            <w:vAlign w:val="center"/>
          </w:tcPr>
          <w:p w14:paraId="0E9FE56D">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690" w:type="dxa"/>
            <w:noWrap w:val="0"/>
            <w:vAlign w:val="center"/>
          </w:tcPr>
          <w:p w14:paraId="3772CD98">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1044" w:type="dxa"/>
            <w:noWrap w:val="0"/>
            <w:vAlign w:val="center"/>
          </w:tcPr>
          <w:p w14:paraId="1C4158BE">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719" w:type="dxa"/>
            <w:noWrap w:val="0"/>
            <w:vAlign w:val="center"/>
          </w:tcPr>
          <w:p w14:paraId="5514F877">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716" w:type="dxa"/>
            <w:noWrap w:val="0"/>
            <w:vAlign w:val="center"/>
          </w:tcPr>
          <w:p w14:paraId="5B66A792">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1487" w:type="dxa"/>
            <w:noWrap w:val="0"/>
            <w:vAlign w:val="center"/>
          </w:tcPr>
          <w:p w14:paraId="79C6D588">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783" w:type="dxa"/>
            <w:noWrap w:val="0"/>
            <w:vAlign w:val="center"/>
          </w:tcPr>
          <w:p w14:paraId="5FB197CF">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r>
      <w:tr w14:paraId="686A6C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02" w:type="dxa"/>
            <w:noWrap w:val="0"/>
            <w:vAlign w:val="center"/>
          </w:tcPr>
          <w:p w14:paraId="2E812BD1">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1099" w:type="dxa"/>
            <w:noWrap w:val="0"/>
            <w:vAlign w:val="center"/>
          </w:tcPr>
          <w:p w14:paraId="5BE7EB4B">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1134" w:type="dxa"/>
            <w:noWrap w:val="0"/>
            <w:vAlign w:val="center"/>
          </w:tcPr>
          <w:p w14:paraId="7F58287F">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620" w:type="dxa"/>
            <w:noWrap w:val="0"/>
            <w:vAlign w:val="center"/>
          </w:tcPr>
          <w:p w14:paraId="493EB473">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690" w:type="dxa"/>
            <w:noWrap w:val="0"/>
            <w:vAlign w:val="center"/>
          </w:tcPr>
          <w:p w14:paraId="2BC32CE2">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1044" w:type="dxa"/>
            <w:noWrap w:val="0"/>
            <w:vAlign w:val="center"/>
          </w:tcPr>
          <w:p w14:paraId="7338E479">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719" w:type="dxa"/>
            <w:noWrap w:val="0"/>
            <w:vAlign w:val="center"/>
          </w:tcPr>
          <w:p w14:paraId="3E52F844">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716" w:type="dxa"/>
            <w:noWrap w:val="0"/>
            <w:vAlign w:val="center"/>
          </w:tcPr>
          <w:p w14:paraId="0DDF534B">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1487" w:type="dxa"/>
            <w:noWrap w:val="0"/>
            <w:vAlign w:val="center"/>
          </w:tcPr>
          <w:p w14:paraId="12E8C9CB">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783" w:type="dxa"/>
            <w:noWrap w:val="0"/>
            <w:vAlign w:val="center"/>
          </w:tcPr>
          <w:p w14:paraId="4091201C">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r>
      <w:tr w14:paraId="0B2524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02" w:type="dxa"/>
            <w:noWrap w:val="0"/>
            <w:vAlign w:val="center"/>
          </w:tcPr>
          <w:p w14:paraId="38D87549">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1099" w:type="dxa"/>
            <w:noWrap w:val="0"/>
            <w:vAlign w:val="center"/>
          </w:tcPr>
          <w:p w14:paraId="4D25D4BA">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1134" w:type="dxa"/>
            <w:noWrap w:val="0"/>
            <w:vAlign w:val="center"/>
          </w:tcPr>
          <w:p w14:paraId="25EAF5AD">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620" w:type="dxa"/>
            <w:noWrap w:val="0"/>
            <w:vAlign w:val="center"/>
          </w:tcPr>
          <w:p w14:paraId="74835343">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690" w:type="dxa"/>
            <w:noWrap w:val="0"/>
            <w:vAlign w:val="center"/>
          </w:tcPr>
          <w:p w14:paraId="40FD33B8">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1044" w:type="dxa"/>
            <w:noWrap w:val="0"/>
            <w:vAlign w:val="center"/>
          </w:tcPr>
          <w:p w14:paraId="468C10A9">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719" w:type="dxa"/>
            <w:noWrap w:val="0"/>
            <w:vAlign w:val="center"/>
          </w:tcPr>
          <w:p w14:paraId="171260ED">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716" w:type="dxa"/>
            <w:noWrap w:val="0"/>
            <w:vAlign w:val="center"/>
          </w:tcPr>
          <w:p w14:paraId="5F9BBBD5">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1487" w:type="dxa"/>
            <w:noWrap w:val="0"/>
            <w:vAlign w:val="center"/>
          </w:tcPr>
          <w:p w14:paraId="1AB39C1B">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783" w:type="dxa"/>
            <w:noWrap w:val="0"/>
            <w:vAlign w:val="center"/>
          </w:tcPr>
          <w:p w14:paraId="36D3F80B">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r>
    </w:tbl>
    <w:p w14:paraId="4B5B726A">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p w14:paraId="2C5011CE">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p w14:paraId="74E897C8">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p w14:paraId="5A03BF43">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p w14:paraId="7A38F25A">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p w14:paraId="56804D2F">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附件3：    </w:t>
      </w:r>
    </w:p>
    <w:p w14:paraId="4B11CE03">
      <w:pPr>
        <w:pStyle w:val="43"/>
        <w:tabs>
          <w:tab w:val="left" w:pos="0"/>
        </w:tabs>
        <w:spacing w:line="276" w:lineRule="auto"/>
        <w:ind w:firstLine="0" w:firstLineChars="0"/>
        <w:rPr>
          <w:color w:val="auto"/>
          <w:sz w:val="30"/>
          <w:szCs w:val="30"/>
          <w:highlight w:val="none"/>
        </w:rPr>
      </w:pPr>
      <w:r>
        <w:rPr>
          <w:color w:val="auto"/>
          <w:sz w:val="30"/>
          <w:szCs w:val="30"/>
          <w:highlight w:val="none"/>
        </w:rPr>
        <w:t xml:space="preserve">  </w:t>
      </w:r>
    </w:p>
    <w:p w14:paraId="7B638834">
      <w:pPr>
        <w:pStyle w:val="23"/>
        <w:jc w:val="center"/>
        <w:rPr>
          <w:rFonts w:ascii="宋体" w:hAnsi="宋体"/>
          <w:color w:val="auto"/>
          <w:sz w:val="28"/>
          <w:szCs w:val="28"/>
          <w:highlight w:val="none"/>
        </w:rPr>
      </w:pPr>
      <w:r>
        <w:rPr>
          <w:rFonts w:ascii="宋体" w:hAnsi="宋体"/>
          <w:color w:val="auto"/>
          <w:sz w:val="28"/>
          <w:szCs w:val="28"/>
          <w:highlight w:val="none"/>
        </w:rPr>
        <w:t>工程质量保修书</w:t>
      </w:r>
    </w:p>
    <w:p w14:paraId="7AF04BDA">
      <w:pPr>
        <w:pStyle w:val="22"/>
        <w:rPr>
          <w:color w:val="auto"/>
          <w:highlight w:val="none"/>
        </w:rPr>
      </w:pPr>
    </w:p>
    <w:p w14:paraId="1ADB6CB5">
      <w:pPr>
        <w:pStyle w:val="43"/>
        <w:spacing w:line="320" w:lineRule="exact"/>
        <w:ind w:firstLine="0" w:firstLineChars="0"/>
        <w:rPr>
          <w:rFonts w:ascii="宋体" w:hAnsi="宋体" w:cs="宋体"/>
          <w:color w:val="auto"/>
          <w:highlight w:val="none"/>
        </w:rPr>
      </w:pPr>
      <w:r>
        <w:rPr>
          <w:rFonts w:hint="eastAsia" w:ascii="宋体" w:hAnsi="宋体" w:cs="宋体"/>
          <w:color w:val="auto"/>
          <w:highlight w:val="none"/>
        </w:rPr>
        <w:t>发包人（全称）：</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rPr>
        <w:t xml:space="preserve"> </w:t>
      </w:r>
    </w:p>
    <w:p w14:paraId="23F7C33A">
      <w:pPr>
        <w:pStyle w:val="43"/>
        <w:spacing w:line="320" w:lineRule="exact"/>
        <w:ind w:firstLine="0" w:firstLineChars="0"/>
        <w:rPr>
          <w:rFonts w:ascii="宋体" w:hAnsi="宋体" w:cs="宋体"/>
          <w:color w:val="auto"/>
          <w:highlight w:val="none"/>
        </w:rPr>
      </w:pPr>
      <w:r>
        <w:rPr>
          <w:rFonts w:hint="eastAsia" w:ascii="宋体" w:hAnsi="宋体" w:cs="宋体"/>
          <w:color w:val="auto"/>
          <w:highlight w:val="none"/>
        </w:rPr>
        <w:t>承包人（全称）：</w:t>
      </w:r>
      <w:r>
        <w:rPr>
          <w:rFonts w:hint="eastAsia" w:ascii="宋体" w:hAnsi="宋体" w:cs="宋体"/>
          <w:color w:val="auto"/>
          <w:highlight w:val="none"/>
          <w:u w:val="single"/>
        </w:rPr>
        <w:t xml:space="preserve"> </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rPr>
        <w:t xml:space="preserve"> </w:t>
      </w:r>
    </w:p>
    <w:p w14:paraId="4511AE6B">
      <w:pPr>
        <w:pStyle w:val="23"/>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为保证</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none"/>
          <w:lang w:eastAsia="zh-CN"/>
        </w:rPr>
        <w:t>工程</w:t>
      </w:r>
      <w:r>
        <w:rPr>
          <w:rFonts w:hint="eastAsia" w:ascii="宋体" w:hAnsi="宋体" w:cs="宋体"/>
          <w:color w:val="auto"/>
          <w:szCs w:val="21"/>
          <w:highlight w:val="none"/>
        </w:rPr>
        <w:t>在合理使用期限内正常使用，经发包人、承包人协商一致签订本工程质量保修书。承包人在质量保修期内按照有关管理规定及双方约定承担工程质量保修责任。</w:t>
      </w:r>
    </w:p>
    <w:p w14:paraId="01A73BF9">
      <w:pPr>
        <w:pStyle w:val="46"/>
        <w:spacing w:line="400" w:lineRule="exact"/>
        <w:ind w:firstLine="420" w:firstLineChars="200"/>
        <w:outlineLvl w:val="0"/>
        <w:rPr>
          <w:rFonts w:ascii="宋体" w:hAnsi="宋体" w:cs="宋体"/>
          <w:color w:val="auto"/>
          <w:szCs w:val="21"/>
          <w:highlight w:val="none"/>
        </w:rPr>
      </w:pPr>
      <w:bookmarkStart w:id="2297" w:name="_Toc3496"/>
      <w:bookmarkStart w:id="2298" w:name="_Toc522201808"/>
      <w:r>
        <w:rPr>
          <w:rFonts w:hint="eastAsia" w:ascii="宋体" w:hAnsi="宋体" w:cs="宋体"/>
          <w:color w:val="auto"/>
          <w:szCs w:val="21"/>
          <w:highlight w:val="none"/>
        </w:rPr>
        <w:t>一、工程保修范围和内容</w:t>
      </w:r>
      <w:bookmarkEnd w:id="2297"/>
      <w:bookmarkEnd w:id="2298"/>
    </w:p>
    <w:p w14:paraId="0BD98899">
      <w:pPr>
        <w:pStyle w:val="23"/>
        <w:spacing w:line="400" w:lineRule="exact"/>
        <w:ind w:firstLine="420" w:firstLineChars="200"/>
        <w:rPr>
          <w:rFonts w:ascii="宋体" w:hAnsi="宋体" w:cs="宋体"/>
          <w:color w:val="auto"/>
          <w:szCs w:val="21"/>
          <w:highlight w:val="none"/>
        </w:rPr>
      </w:pPr>
      <w:r>
        <w:rPr>
          <w:rFonts w:hint="eastAsia" w:ascii="宋体" w:hAnsi="宋体" w:cs="宋体"/>
          <w:color w:val="auto"/>
          <w:highlight w:val="none"/>
        </w:rPr>
        <w:t>质量保修范围为施工图纸所包括的工程内容</w:t>
      </w:r>
      <w:r>
        <w:rPr>
          <w:rFonts w:hint="eastAsia" w:ascii="宋体" w:hAnsi="宋体" w:cs="宋体"/>
          <w:color w:val="auto"/>
          <w:highlight w:val="none"/>
          <w:lang w:eastAsia="zh-CN"/>
        </w:rPr>
        <w:t>，</w:t>
      </w:r>
      <w:r>
        <w:rPr>
          <w:rFonts w:hint="eastAsia" w:ascii="宋体" w:hAnsi="宋体" w:cs="宋体"/>
          <w:color w:val="auto"/>
          <w:szCs w:val="21"/>
          <w:highlight w:val="none"/>
        </w:rPr>
        <w:t>具体质量保修内容双方约定如下：</w:t>
      </w:r>
      <w:r>
        <w:rPr>
          <w:rFonts w:hint="eastAsia" w:ascii="宋体" w:hAnsi="宋体" w:cs="宋体"/>
          <w:color w:val="auto"/>
          <w:szCs w:val="21"/>
          <w:highlight w:val="none"/>
          <w:u w:val="single"/>
        </w:rPr>
        <w:t xml:space="preserve"> 承包方所承包施工的全部工程内容 </w:t>
      </w:r>
      <w:r>
        <w:rPr>
          <w:rFonts w:hint="eastAsia" w:ascii="宋体" w:hAnsi="宋体" w:cs="宋体"/>
          <w:color w:val="auto"/>
          <w:szCs w:val="21"/>
          <w:highlight w:val="none"/>
        </w:rPr>
        <w:t>。</w:t>
      </w:r>
    </w:p>
    <w:p w14:paraId="28403818">
      <w:pPr>
        <w:pStyle w:val="46"/>
        <w:spacing w:line="400" w:lineRule="exact"/>
        <w:ind w:firstLine="420" w:firstLineChars="200"/>
        <w:outlineLvl w:val="0"/>
        <w:rPr>
          <w:rFonts w:ascii="宋体" w:hAnsi="宋体" w:cs="宋体"/>
          <w:color w:val="auto"/>
          <w:szCs w:val="21"/>
          <w:highlight w:val="none"/>
        </w:rPr>
      </w:pPr>
      <w:bookmarkStart w:id="2299" w:name="_Toc21338"/>
      <w:bookmarkStart w:id="2300" w:name="_Toc522201809"/>
      <w:r>
        <w:rPr>
          <w:rFonts w:hint="eastAsia" w:ascii="宋体" w:hAnsi="宋体" w:cs="宋体"/>
          <w:color w:val="auto"/>
          <w:szCs w:val="21"/>
          <w:highlight w:val="none"/>
        </w:rPr>
        <w:t>二、</w:t>
      </w:r>
      <w:r>
        <w:rPr>
          <w:rFonts w:hint="eastAsia" w:ascii="宋体" w:hAnsi="宋体" w:cs="宋体"/>
          <w:color w:val="auto"/>
          <w:szCs w:val="21"/>
          <w:highlight w:val="none"/>
          <w:lang w:eastAsia="zh-CN"/>
        </w:rPr>
        <w:t>质量</w:t>
      </w:r>
      <w:r>
        <w:rPr>
          <w:rFonts w:hint="eastAsia" w:ascii="宋体" w:hAnsi="宋体" w:cs="宋体"/>
          <w:color w:val="auto"/>
          <w:szCs w:val="21"/>
          <w:highlight w:val="none"/>
        </w:rPr>
        <w:t>保修期</w:t>
      </w:r>
      <w:bookmarkEnd w:id="2299"/>
      <w:bookmarkEnd w:id="2300"/>
    </w:p>
    <w:p w14:paraId="4E953A67">
      <w:pPr>
        <w:pStyle w:val="47"/>
        <w:spacing w:line="360" w:lineRule="auto"/>
        <w:ind w:firstLine="540"/>
        <w:rPr>
          <w:rFonts w:hint="eastAsia" w:ascii="宋体" w:hAnsi="宋体" w:cs="宋体"/>
          <w:color w:val="auto"/>
          <w:highlight w:val="none"/>
        </w:rPr>
      </w:pPr>
      <w:r>
        <w:rPr>
          <w:rFonts w:hint="eastAsia" w:ascii="宋体" w:hAnsi="宋体" w:cs="宋体"/>
          <w:color w:val="auto"/>
          <w:highlight w:val="none"/>
        </w:rPr>
        <w:t>质量保修期从工程实际竣工验收通过之日算起。分单项竣工验收的工程，按单项工程分别计算质量保修期。</w:t>
      </w:r>
    </w:p>
    <w:p w14:paraId="5C186069">
      <w:pPr>
        <w:pStyle w:val="24"/>
        <w:spacing w:line="360" w:lineRule="auto"/>
        <w:ind w:firstLine="420"/>
        <w:rPr>
          <w:rStyle w:val="31"/>
          <w:rFonts w:ascii="Times New Roman" w:hAnsi="宋体" w:eastAsia="宋体" w:cs="Times New Roman"/>
          <w:color w:val="auto"/>
          <w:szCs w:val="21"/>
          <w:highlight w:val="none"/>
        </w:rPr>
      </w:pPr>
      <w:r>
        <w:rPr>
          <w:rStyle w:val="31"/>
          <w:rFonts w:hint="eastAsia" w:ascii="Times New Roman" w:hAnsi="宋体" w:eastAsia="宋体" w:cs="宋体"/>
          <w:color w:val="auto"/>
          <w:szCs w:val="21"/>
          <w:highlight w:val="none"/>
        </w:rPr>
        <w:t>根据《建设工程质量管理条例》及有关规定，工程的质量保修期如下：</w:t>
      </w:r>
    </w:p>
    <w:p w14:paraId="7BF1A477">
      <w:pPr>
        <w:pStyle w:val="48"/>
        <w:spacing w:line="360" w:lineRule="auto"/>
        <w:ind w:firstLine="420"/>
        <w:rPr>
          <w:rStyle w:val="31"/>
          <w:rFonts w:ascii="Calibri" w:hAnsi="宋体" w:eastAsia="宋体" w:cs="Times New Roman"/>
          <w:color w:val="auto"/>
          <w:highlight w:val="none"/>
        </w:rPr>
      </w:pPr>
      <w:r>
        <w:rPr>
          <w:rStyle w:val="31"/>
          <w:rFonts w:ascii="Calibri" w:hAnsi="Calibri" w:eastAsia="宋体" w:cs="Times New Roman"/>
          <w:color w:val="auto"/>
          <w:highlight w:val="none"/>
        </w:rPr>
        <w:t>1</w:t>
      </w:r>
      <w:r>
        <w:rPr>
          <w:rStyle w:val="31"/>
          <w:rFonts w:hint="eastAsia" w:ascii="Calibri" w:hAnsi="宋体" w:eastAsia="宋体" w:cs="宋体"/>
          <w:color w:val="auto"/>
          <w:highlight w:val="none"/>
        </w:rPr>
        <w:t>．地基基础工程和主体结构工程为设计文件规定的工程合理使用年限；</w:t>
      </w:r>
    </w:p>
    <w:p w14:paraId="3398222E">
      <w:pPr>
        <w:pStyle w:val="48"/>
        <w:spacing w:line="360" w:lineRule="auto"/>
        <w:ind w:firstLine="420"/>
        <w:rPr>
          <w:rStyle w:val="31"/>
          <w:rFonts w:ascii="Calibri" w:hAnsi="宋体" w:eastAsia="宋体" w:cs="Times New Roman"/>
          <w:color w:val="auto"/>
          <w:highlight w:val="none"/>
        </w:rPr>
      </w:pPr>
      <w:r>
        <w:rPr>
          <w:rStyle w:val="31"/>
          <w:rFonts w:ascii="Calibri" w:hAnsi="Calibri" w:eastAsia="宋体" w:cs="Times New Roman"/>
          <w:color w:val="auto"/>
          <w:highlight w:val="none"/>
        </w:rPr>
        <w:t>2</w:t>
      </w:r>
      <w:r>
        <w:rPr>
          <w:rStyle w:val="31"/>
          <w:rFonts w:hint="eastAsia" w:ascii="Calibri" w:hAnsi="宋体" w:eastAsia="宋体" w:cs="宋体"/>
          <w:color w:val="auto"/>
          <w:highlight w:val="none"/>
        </w:rPr>
        <w:t>．屋面防水工程、有防水要求的卫生间、房间和外墙面的防渗为</w:t>
      </w:r>
      <w:r>
        <w:rPr>
          <w:rStyle w:val="31"/>
          <w:rFonts w:ascii="Calibri" w:hAnsi="Calibri" w:eastAsia="宋体" w:cs="Times New Roman"/>
          <w:color w:val="auto"/>
          <w:highlight w:val="none"/>
          <w:u w:val="single"/>
        </w:rPr>
        <w:t xml:space="preserve"> </w:t>
      </w:r>
      <w:r>
        <w:rPr>
          <w:rStyle w:val="31"/>
          <w:rFonts w:hint="eastAsia" w:ascii="Calibri" w:hAnsi="Calibri" w:eastAsia="宋体" w:cs="Times New Roman"/>
          <w:color w:val="auto"/>
          <w:highlight w:val="none"/>
          <w:u w:val="single"/>
        </w:rPr>
        <w:t>5</w:t>
      </w:r>
      <w:r>
        <w:rPr>
          <w:rStyle w:val="31"/>
          <w:rFonts w:ascii="Calibri" w:hAnsi="Calibri" w:eastAsia="宋体" w:cs="Times New Roman"/>
          <w:color w:val="auto"/>
          <w:highlight w:val="none"/>
          <w:u w:val="single"/>
        </w:rPr>
        <w:t xml:space="preserve">  </w:t>
      </w:r>
      <w:r>
        <w:rPr>
          <w:rStyle w:val="31"/>
          <w:rFonts w:hint="eastAsia" w:ascii="Calibri" w:hAnsi="宋体" w:eastAsia="宋体" w:cs="宋体"/>
          <w:color w:val="auto"/>
          <w:highlight w:val="none"/>
        </w:rPr>
        <w:t>年；</w:t>
      </w:r>
    </w:p>
    <w:p w14:paraId="5AD40451">
      <w:pPr>
        <w:pStyle w:val="48"/>
        <w:spacing w:line="360" w:lineRule="auto"/>
        <w:ind w:firstLine="420"/>
        <w:rPr>
          <w:rStyle w:val="31"/>
          <w:rFonts w:ascii="Calibri" w:hAnsi="宋体" w:eastAsia="宋体" w:cs="Times New Roman"/>
          <w:color w:val="auto"/>
          <w:highlight w:val="none"/>
        </w:rPr>
      </w:pPr>
      <w:r>
        <w:rPr>
          <w:rStyle w:val="31"/>
          <w:rFonts w:ascii="Calibri" w:hAnsi="Calibri" w:eastAsia="宋体" w:cs="Times New Roman"/>
          <w:color w:val="auto"/>
          <w:highlight w:val="none"/>
        </w:rPr>
        <w:t>3</w:t>
      </w:r>
      <w:r>
        <w:rPr>
          <w:rStyle w:val="31"/>
          <w:rFonts w:hint="eastAsia" w:ascii="Calibri" w:hAnsi="宋体" w:eastAsia="宋体" w:cs="宋体"/>
          <w:color w:val="auto"/>
          <w:highlight w:val="none"/>
        </w:rPr>
        <w:t>．装修工程为</w:t>
      </w:r>
      <w:r>
        <w:rPr>
          <w:rStyle w:val="31"/>
          <w:rFonts w:ascii="Calibri" w:hAnsi="Calibri" w:eastAsia="宋体" w:cs="Times New Roman"/>
          <w:color w:val="auto"/>
          <w:highlight w:val="none"/>
          <w:u w:val="single"/>
        </w:rPr>
        <w:t xml:space="preserve"> </w:t>
      </w:r>
      <w:r>
        <w:rPr>
          <w:rStyle w:val="31"/>
          <w:rFonts w:hint="eastAsia" w:ascii="Calibri" w:hAnsi="Calibri" w:eastAsia="宋体" w:cs="Times New Roman"/>
          <w:color w:val="auto"/>
          <w:highlight w:val="none"/>
          <w:u w:val="single"/>
        </w:rPr>
        <w:t>2</w:t>
      </w:r>
      <w:r>
        <w:rPr>
          <w:rStyle w:val="31"/>
          <w:rFonts w:ascii="Calibri" w:hAnsi="Calibri" w:eastAsia="宋体" w:cs="Times New Roman"/>
          <w:color w:val="auto"/>
          <w:highlight w:val="none"/>
          <w:u w:val="single"/>
        </w:rPr>
        <w:t xml:space="preserve"> </w:t>
      </w:r>
      <w:r>
        <w:rPr>
          <w:rStyle w:val="31"/>
          <w:rFonts w:hint="eastAsia" w:ascii="Calibri" w:hAnsi="宋体" w:eastAsia="宋体" w:cs="宋体"/>
          <w:color w:val="auto"/>
          <w:highlight w:val="none"/>
        </w:rPr>
        <w:t>年；</w:t>
      </w:r>
    </w:p>
    <w:p w14:paraId="4B4D7EF2">
      <w:pPr>
        <w:pStyle w:val="48"/>
        <w:spacing w:line="360" w:lineRule="auto"/>
        <w:ind w:firstLine="420"/>
        <w:rPr>
          <w:rStyle w:val="31"/>
          <w:rFonts w:ascii="Calibri" w:hAnsi="宋体" w:eastAsia="宋体" w:cs="Times New Roman"/>
          <w:color w:val="auto"/>
          <w:highlight w:val="none"/>
        </w:rPr>
      </w:pPr>
      <w:r>
        <w:rPr>
          <w:rStyle w:val="31"/>
          <w:rFonts w:ascii="Calibri" w:hAnsi="Calibri" w:eastAsia="宋体" w:cs="Times New Roman"/>
          <w:color w:val="auto"/>
          <w:highlight w:val="none"/>
        </w:rPr>
        <w:t>4</w:t>
      </w:r>
      <w:r>
        <w:rPr>
          <w:rStyle w:val="31"/>
          <w:rFonts w:hint="eastAsia" w:ascii="Calibri" w:hAnsi="宋体" w:eastAsia="宋体" w:cs="宋体"/>
          <w:color w:val="auto"/>
          <w:highlight w:val="none"/>
        </w:rPr>
        <w:t>．电气管线、给排水管道、设备安装工程为</w:t>
      </w:r>
      <w:r>
        <w:rPr>
          <w:rStyle w:val="31"/>
          <w:rFonts w:ascii="Calibri" w:hAnsi="Calibri" w:eastAsia="宋体" w:cs="Times New Roman"/>
          <w:color w:val="auto"/>
          <w:highlight w:val="none"/>
          <w:u w:val="single"/>
        </w:rPr>
        <w:t xml:space="preserve"> </w:t>
      </w:r>
      <w:r>
        <w:rPr>
          <w:rStyle w:val="31"/>
          <w:rFonts w:hint="eastAsia" w:ascii="Calibri" w:hAnsi="Calibri" w:eastAsia="宋体" w:cs="Times New Roman"/>
          <w:color w:val="auto"/>
          <w:highlight w:val="none"/>
          <w:u w:val="single"/>
        </w:rPr>
        <w:t>2</w:t>
      </w:r>
      <w:r>
        <w:rPr>
          <w:rStyle w:val="31"/>
          <w:rFonts w:ascii="Calibri" w:hAnsi="Calibri" w:eastAsia="宋体" w:cs="Times New Roman"/>
          <w:color w:val="auto"/>
          <w:highlight w:val="none"/>
          <w:u w:val="single"/>
        </w:rPr>
        <w:t xml:space="preserve"> </w:t>
      </w:r>
      <w:r>
        <w:rPr>
          <w:rStyle w:val="31"/>
          <w:rFonts w:hint="eastAsia" w:ascii="Calibri" w:hAnsi="宋体" w:eastAsia="宋体" w:cs="宋体"/>
          <w:color w:val="auto"/>
          <w:highlight w:val="none"/>
        </w:rPr>
        <w:t>年；</w:t>
      </w:r>
    </w:p>
    <w:p w14:paraId="125C8D56">
      <w:pPr>
        <w:pStyle w:val="48"/>
        <w:spacing w:line="360" w:lineRule="auto"/>
        <w:ind w:firstLine="420"/>
        <w:rPr>
          <w:rStyle w:val="31"/>
          <w:rFonts w:ascii="Calibri" w:hAnsi="宋体" w:eastAsia="宋体" w:cs="Times New Roman"/>
          <w:color w:val="auto"/>
          <w:highlight w:val="none"/>
        </w:rPr>
      </w:pPr>
      <w:r>
        <w:rPr>
          <w:rStyle w:val="31"/>
          <w:rFonts w:ascii="Calibri" w:hAnsi="Calibri" w:eastAsia="宋体" w:cs="Times New Roman"/>
          <w:color w:val="auto"/>
          <w:highlight w:val="none"/>
        </w:rPr>
        <w:t>5</w:t>
      </w:r>
      <w:r>
        <w:rPr>
          <w:rStyle w:val="31"/>
          <w:rFonts w:hint="eastAsia" w:ascii="Calibri" w:hAnsi="宋体" w:eastAsia="宋体" w:cs="宋体"/>
          <w:color w:val="auto"/>
          <w:highlight w:val="none"/>
        </w:rPr>
        <w:t>．供热与供冷系统为</w:t>
      </w:r>
      <w:r>
        <w:rPr>
          <w:rStyle w:val="31"/>
          <w:rFonts w:ascii="Calibri" w:hAnsi="Calibri" w:eastAsia="宋体" w:cs="Times New Roman"/>
          <w:color w:val="auto"/>
          <w:highlight w:val="none"/>
          <w:u w:val="single"/>
        </w:rPr>
        <w:t xml:space="preserve"> </w:t>
      </w:r>
      <w:r>
        <w:rPr>
          <w:rStyle w:val="31"/>
          <w:rFonts w:hint="eastAsia" w:ascii="Calibri" w:hAnsi="Calibri" w:eastAsia="宋体" w:cs="Times New Roman"/>
          <w:color w:val="auto"/>
          <w:highlight w:val="none"/>
          <w:u w:val="single"/>
        </w:rPr>
        <w:t>2</w:t>
      </w:r>
      <w:r>
        <w:rPr>
          <w:rStyle w:val="31"/>
          <w:rFonts w:ascii="Calibri" w:hAnsi="Calibri" w:eastAsia="宋体" w:cs="Times New Roman"/>
          <w:color w:val="auto"/>
          <w:highlight w:val="none"/>
          <w:u w:val="single"/>
        </w:rPr>
        <w:t xml:space="preserve"> </w:t>
      </w:r>
      <w:r>
        <w:rPr>
          <w:rStyle w:val="31"/>
          <w:rFonts w:hint="eastAsia" w:ascii="Calibri" w:hAnsi="宋体" w:eastAsia="宋体" w:cs="宋体"/>
          <w:color w:val="auto"/>
          <w:highlight w:val="none"/>
        </w:rPr>
        <w:t>个采暖期、供冷期；</w:t>
      </w:r>
    </w:p>
    <w:p w14:paraId="0CF0FB74">
      <w:pPr>
        <w:pStyle w:val="24"/>
        <w:spacing w:line="360" w:lineRule="auto"/>
        <w:ind w:firstLine="420"/>
        <w:rPr>
          <w:rStyle w:val="31"/>
          <w:rFonts w:ascii="Calibri" w:hAnsi="宋体" w:eastAsia="宋体" w:cs="Times New Roman"/>
          <w:color w:val="auto"/>
          <w:highlight w:val="none"/>
        </w:rPr>
      </w:pPr>
      <w:r>
        <w:rPr>
          <w:rStyle w:val="31"/>
          <w:rFonts w:ascii="Calibri" w:hAnsi="Calibri" w:eastAsia="宋体" w:cs="Times New Roman"/>
          <w:color w:val="auto"/>
          <w:highlight w:val="none"/>
        </w:rPr>
        <w:t>6</w:t>
      </w:r>
      <w:r>
        <w:rPr>
          <w:rStyle w:val="31"/>
          <w:rFonts w:hint="eastAsia" w:ascii="Calibri" w:hAnsi="宋体" w:eastAsia="宋体" w:cs="宋体"/>
          <w:color w:val="auto"/>
          <w:highlight w:val="none"/>
        </w:rPr>
        <w:t>．住宅小区内的给排水设施、道路等配套工程为</w:t>
      </w:r>
      <w:r>
        <w:rPr>
          <w:rStyle w:val="31"/>
          <w:rFonts w:ascii="Calibri" w:hAnsi="Calibri" w:eastAsia="宋体" w:cs="Times New Roman"/>
          <w:color w:val="auto"/>
          <w:highlight w:val="none"/>
          <w:u w:val="single"/>
        </w:rPr>
        <w:t xml:space="preserve"> </w:t>
      </w:r>
      <w:r>
        <w:rPr>
          <w:rStyle w:val="31"/>
          <w:rFonts w:hint="eastAsia" w:ascii="Calibri" w:hAnsi="Calibri" w:eastAsia="宋体" w:cs="Times New Roman"/>
          <w:color w:val="auto"/>
          <w:highlight w:val="none"/>
          <w:u w:val="single"/>
        </w:rPr>
        <w:t>2</w:t>
      </w:r>
      <w:r>
        <w:rPr>
          <w:rStyle w:val="31"/>
          <w:rFonts w:ascii="Calibri" w:hAnsi="Calibri" w:eastAsia="宋体" w:cs="Times New Roman"/>
          <w:color w:val="auto"/>
          <w:highlight w:val="none"/>
          <w:u w:val="single"/>
        </w:rPr>
        <w:t xml:space="preserve"> </w:t>
      </w:r>
      <w:r>
        <w:rPr>
          <w:rStyle w:val="31"/>
          <w:rFonts w:hint="eastAsia" w:ascii="Calibri" w:hAnsi="宋体" w:eastAsia="宋体" w:cs="宋体"/>
          <w:color w:val="auto"/>
          <w:highlight w:val="none"/>
        </w:rPr>
        <w:t>年；</w:t>
      </w:r>
    </w:p>
    <w:p w14:paraId="41A3F2C8">
      <w:pPr>
        <w:pStyle w:val="48"/>
        <w:spacing w:line="360" w:lineRule="auto"/>
        <w:ind w:firstLine="420"/>
        <w:rPr>
          <w:rStyle w:val="31"/>
          <w:rFonts w:hint="eastAsia" w:ascii="Times New Roman" w:hAnsi="宋体" w:eastAsia="宋体" w:cs="宋体"/>
          <w:color w:val="auto"/>
          <w:szCs w:val="21"/>
          <w:highlight w:val="none"/>
        </w:rPr>
      </w:pPr>
      <w:r>
        <w:rPr>
          <w:rStyle w:val="31"/>
          <w:rFonts w:hint="eastAsia" w:ascii="Times New Roman" w:hAnsi="宋体" w:eastAsia="宋体" w:cs="宋体"/>
          <w:color w:val="auto"/>
          <w:szCs w:val="21"/>
          <w:highlight w:val="none"/>
        </w:rPr>
        <w:t>7．桥梁工程为  /  年（桥梁隧道主体结构工程为设计文件规定的合理使用年限）；</w:t>
      </w:r>
    </w:p>
    <w:p w14:paraId="1502AA5C">
      <w:pPr>
        <w:pStyle w:val="48"/>
        <w:spacing w:line="360" w:lineRule="auto"/>
        <w:ind w:firstLine="420"/>
        <w:rPr>
          <w:rStyle w:val="31"/>
          <w:rFonts w:hint="eastAsia" w:ascii="Times New Roman" w:hAnsi="宋体" w:eastAsia="宋体" w:cs="宋体"/>
          <w:color w:val="auto"/>
          <w:szCs w:val="21"/>
          <w:highlight w:val="none"/>
        </w:rPr>
      </w:pPr>
      <w:r>
        <w:rPr>
          <w:rStyle w:val="31"/>
          <w:rFonts w:hint="eastAsia" w:ascii="Times New Roman" w:hAnsi="宋体" w:eastAsia="宋体" w:cs="宋体"/>
          <w:color w:val="auto"/>
          <w:szCs w:val="21"/>
          <w:highlight w:val="none"/>
        </w:rPr>
        <w:t xml:space="preserve">8．道路工程为 </w:t>
      </w:r>
      <w:r>
        <w:rPr>
          <w:rStyle w:val="31"/>
          <w:rFonts w:hint="eastAsia" w:ascii="Times New Roman" w:hAnsi="宋体" w:eastAsia="宋体" w:cs="宋体"/>
          <w:color w:val="auto"/>
          <w:szCs w:val="21"/>
          <w:highlight w:val="none"/>
          <w:u w:val="single"/>
        </w:rPr>
        <w:t xml:space="preserve">  2  </w:t>
      </w:r>
      <w:r>
        <w:rPr>
          <w:rStyle w:val="31"/>
          <w:rFonts w:hint="eastAsia" w:ascii="Times New Roman" w:hAnsi="宋体" w:eastAsia="宋体" w:cs="宋体"/>
          <w:color w:val="auto"/>
          <w:szCs w:val="21"/>
          <w:highlight w:val="none"/>
        </w:rPr>
        <w:t>年（建议路基、路面、桥面为2年）；</w:t>
      </w:r>
    </w:p>
    <w:p w14:paraId="62F250E7">
      <w:pPr>
        <w:pStyle w:val="48"/>
        <w:spacing w:line="360" w:lineRule="auto"/>
        <w:ind w:firstLine="420"/>
        <w:rPr>
          <w:rStyle w:val="31"/>
          <w:rFonts w:hint="eastAsia" w:ascii="Times New Roman" w:hAnsi="宋体" w:eastAsia="宋体" w:cs="宋体"/>
          <w:color w:val="auto"/>
          <w:szCs w:val="21"/>
          <w:highlight w:val="none"/>
        </w:rPr>
      </w:pPr>
      <w:r>
        <w:rPr>
          <w:rStyle w:val="31"/>
          <w:rFonts w:hint="eastAsia" w:ascii="Times New Roman" w:hAnsi="宋体" w:eastAsia="宋体" w:cs="宋体"/>
          <w:color w:val="auto"/>
          <w:szCs w:val="21"/>
          <w:highlight w:val="none"/>
        </w:rPr>
        <w:t xml:space="preserve">9．排水（雨水）工程为 </w:t>
      </w:r>
      <w:r>
        <w:rPr>
          <w:rStyle w:val="31"/>
          <w:rFonts w:hint="eastAsia" w:ascii="Times New Roman" w:hAnsi="宋体" w:eastAsia="宋体" w:cs="宋体"/>
          <w:color w:val="auto"/>
          <w:szCs w:val="21"/>
          <w:highlight w:val="none"/>
          <w:u w:val="single"/>
        </w:rPr>
        <w:t xml:space="preserve"> 3 </w:t>
      </w:r>
      <w:r>
        <w:rPr>
          <w:rStyle w:val="31"/>
          <w:rFonts w:hint="eastAsia" w:ascii="Times New Roman" w:hAnsi="宋体" w:eastAsia="宋体" w:cs="宋体"/>
          <w:color w:val="auto"/>
          <w:szCs w:val="21"/>
          <w:highlight w:val="none"/>
        </w:rPr>
        <w:t xml:space="preserve">  年（建议道路工程中的排水工程为3年）；</w:t>
      </w:r>
    </w:p>
    <w:p w14:paraId="3653109F">
      <w:pPr>
        <w:pStyle w:val="48"/>
        <w:spacing w:line="360" w:lineRule="auto"/>
        <w:ind w:firstLine="420"/>
        <w:rPr>
          <w:rStyle w:val="31"/>
          <w:rFonts w:hint="eastAsia" w:ascii="Times New Roman" w:hAnsi="宋体" w:eastAsia="宋体" w:cs="宋体"/>
          <w:color w:val="auto"/>
          <w:szCs w:val="21"/>
          <w:highlight w:val="none"/>
        </w:rPr>
      </w:pPr>
      <w:r>
        <w:rPr>
          <w:rStyle w:val="31"/>
          <w:rFonts w:hint="eastAsia" w:ascii="Times New Roman" w:hAnsi="宋体" w:eastAsia="宋体" w:cs="宋体"/>
          <w:color w:val="auto"/>
          <w:szCs w:val="21"/>
          <w:highlight w:val="none"/>
        </w:rPr>
        <w:t>10．绿化工程为单位工程竣工验收合格后  1 年；</w:t>
      </w:r>
    </w:p>
    <w:p w14:paraId="76AB95AD">
      <w:pPr>
        <w:pStyle w:val="48"/>
        <w:spacing w:line="360" w:lineRule="auto"/>
        <w:ind w:firstLine="420"/>
        <w:rPr>
          <w:rStyle w:val="31"/>
          <w:rFonts w:hint="eastAsia" w:ascii="Times New Roman" w:hAnsi="宋体" w:eastAsia="宋体" w:cs="宋体"/>
          <w:color w:val="auto"/>
          <w:szCs w:val="21"/>
          <w:highlight w:val="none"/>
        </w:rPr>
      </w:pPr>
      <w:r>
        <w:rPr>
          <w:rStyle w:val="31"/>
          <w:rFonts w:hint="eastAsia" w:ascii="Times New Roman" w:hAnsi="宋体" w:eastAsia="宋体" w:cs="宋体"/>
          <w:color w:val="auto"/>
          <w:szCs w:val="21"/>
          <w:highlight w:val="none"/>
        </w:rPr>
        <w:t xml:space="preserve">11. 地下防水工程为 </w:t>
      </w:r>
      <w:r>
        <w:rPr>
          <w:rStyle w:val="31"/>
          <w:rFonts w:hint="eastAsia" w:ascii="Times New Roman" w:hAnsi="宋体" w:eastAsia="宋体" w:cs="宋体"/>
          <w:color w:val="auto"/>
          <w:szCs w:val="21"/>
          <w:highlight w:val="none"/>
          <w:u w:val="single"/>
        </w:rPr>
        <w:t xml:space="preserve">  5 </w:t>
      </w:r>
      <w:r>
        <w:rPr>
          <w:rStyle w:val="31"/>
          <w:rFonts w:hint="eastAsia" w:ascii="Times New Roman" w:hAnsi="宋体" w:eastAsia="宋体" w:cs="宋体"/>
          <w:color w:val="auto"/>
          <w:szCs w:val="21"/>
          <w:highlight w:val="none"/>
        </w:rPr>
        <w:t xml:space="preserve"> 年（建议为5年）；</w:t>
      </w:r>
    </w:p>
    <w:p w14:paraId="4DE5514F">
      <w:pPr>
        <w:pStyle w:val="23"/>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其他项目保修期限约定如下：</w:t>
      </w:r>
      <w:r>
        <w:rPr>
          <w:rFonts w:hint="eastAsia" w:ascii="宋体" w:hAnsi="宋体" w:cs="宋体"/>
          <w:color w:val="auto"/>
          <w:szCs w:val="21"/>
          <w:highlight w:val="none"/>
          <w:u w:val="single"/>
        </w:rPr>
        <w:t xml:space="preserve"> 本工程其余项目质保期均为两年，质量保修规范如国家有新规定，则按新规定执行 </w:t>
      </w:r>
      <w:r>
        <w:rPr>
          <w:rFonts w:hint="eastAsia" w:ascii="宋体" w:hAnsi="宋体" w:cs="宋体"/>
          <w:color w:val="auto"/>
          <w:szCs w:val="21"/>
          <w:highlight w:val="none"/>
        </w:rPr>
        <w:t>。</w:t>
      </w:r>
    </w:p>
    <w:p w14:paraId="2915546B">
      <w:pPr>
        <w:pStyle w:val="23"/>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质量保修期自工程竣工验收合格之日起计算。 </w:t>
      </w:r>
    </w:p>
    <w:p w14:paraId="13BF7C24">
      <w:pPr>
        <w:pStyle w:val="46"/>
        <w:spacing w:line="400" w:lineRule="exact"/>
        <w:ind w:firstLine="420" w:firstLineChars="200"/>
        <w:outlineLvl w:val="0"/>
        <w:rPr>
          <w:rFonts w:ascii="宋体" w:hAnsi="宋体" w:cs="宋体"/>
          <w:color w:val="auto"/>
          <w:szCs w:val="21"/>
          <w:highlight w:val="none"/>
        </w:rPr>
      </w:pPr>
      <w:bookmarkStart w:id="2301" w:name="_Toc15923"/>
      <w:r>
        <w:rPr>
          <w:rFonts w:hint="eastAsia" w:ascii="宋体" w:hAnsi="宋体" w:cs="宋体"/>
          <w:color w:val="auto"/>
          <w:szCs w:val="21"/>
          <w:highlight w:val="none"/>
        </w:rPr>
        <w:t>三、缺陷责任期</w:t>
      </w:r>
      <w:bookmarkEnd w:id="2301"/>
    </w:p>
    <w:p w14:paraId="42D83A2C">
      <w:pPr>
        <w:pStyle w:val="23"/>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工程缺陷责任期为</w:t>
      </w:r>
      <w:r>
        <w:rPr>
          <w:rFonts w:hint="eastAsia" w:ascii="宋体" w:hAnsi="宋体" w:cs="宋体"/>
          <w:color w:val="auto"/>
          <w:szCs w:val="21"/>
          <w:highlight w:val="none"/>
          <w:u w:val="single"/>
        </w:rPr>
        <w:t xml:space="preserve"> 24 </w:t>
      </w:r>
      <w:r>
        <w:rPr>
          <w:rFonts w:hint="eastAsia" w:ascii="宋体" w:hAnsi="宋体" w:cs="宋体"/>
          <w:color w:val="auto"/>
          <w:szCs w:val="21"/>
          <w:highlight w:val="none"/>
        </w:rPr>
        <w:t>个月（最长不超过24个月），缺陷责任期自工程竣工验收合格之日起计算。单位工程先于全部工程进行验收，单位工程缺陷责任期自单位工程验收合格之日起算。</w:t>
      </w:r>
    </w:p>
    <w:p w14:paraId="5872AA94">
      <w:pPr>
        <w:pStyle w:val="23"/>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缺陷责任期终止后，发包人应退还剩余的质量保证金。</w:t>
      </w:r>
    </w:p>
    <w:p w14:paraId="27B4C714">
      <w:pPr>
        <w:pStyle w:val="46"/>
        <w:spacing w:line="400" w:lineRule="exact"/>
        <w:ind w:firstLine="420" w:firstLineChars="200"/>
        <w:outlineLvl w:val="0"/>
        <w:rPr>
          <w:rFonts w:ascii="宋体" w:hAnsi="宋体" w:cs="宋体"/>
          <w:color w:val="auto"/>
          <w:szCs w:val="21"/>
          <w:highlight w:val="none"/>
        </w:rPr>
      </w:pPr>
      <w:bookmarkStart w:id="2302" w:name="_Toc15183"/>
      <w:r>
        <w:rPr>
          <w:rFonts w:hint="eastAsia" w:ascii="宋体" w:hAnsi="宋体" w:cs="宋体"/>
          <w:color w:val="auto"/>
          <w:szCs w:val="21"/>
          <w:highlight w:val="none"/>
        </w:rPr>
        <w:t>四、质量保修责任</w:t>
      </w:r>
      <w:bookmarkEnd w:id="2302"/>
    </w:p>
    <w:p w14:paraId="6A1DA0A6">
      <w:pPr>
        <w:pStyle w:val="23"/>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1．属于保修范围、内容的项目，承包人应当在接到保修通知之日起</w:t>
      </w:r>
      <w:r>
        <w:rPr>
          <w:rFonts w:hint="eastAsia" w:ascii="宋体" w:hAnsi="宋体" w:cs="宋体"/>
          <w:color w:val="auto"/>
          <w:szCs w:val="21"/>
          <w:highlight w:val="none"/>
          <w:u w:val="single"/>
        </w:rPr>
        <w:t xml:space="preserve">  三 </w:t>
      </w:r>
      <w:r>
        <w:rPr>
          <w:rFonts w:hint="eastAsia" w:ascii="宋体" w:hAnsi="宋体" w:cs="宋体"/>
          <w:color w:val="auto"/>
          <w:szCs w:val="21"/>
          <w:highlight w:val="none"/>
        </w:rPr>
        <w:t>天内派人保修。承包人不在约定期限内派人保修的，发包人可以委托他人修理，修理费用从</w:t>
      </w:r>
      <w:r>
        <w:rPr>
          <w:rFonts w:hint="eastAsia" w:ascii="宋体" w:hAnsi="宋体" w:cs="宋体"/>
          <w:color w:val="auto"/>
          <w:szCs w:val="21"/>
          <w:highlight w:val="none"/>
          <w:lang w:eastAsia="zh-CN"/>
        </w:rPr>
        <w:t>质量保证金</w:t>
      </w:r>
      <w:r>
        <w:rPr>
          <w:rFonts w:hint="eastAsia" w:ascii="宋体" w:hAnsi="宋体" w:cs="宋体"/>
          <w:color w:val="auto"/>
          <w:szCs w:val="21"/>
          <w:highlight w:val="none"/>
        </w:rPr>
        <w:t>内扣除。</w:t>
      </w:r>
    </w:p>
    <w:p w14:paraId="2B99FD40">
      <w:pPr>
        <w:pStyle w:val="23"/>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2．发生紧急事故需抢修的，承包人在接到事故通知后，应当立即到达事故现场抢修。</w:t>
      </w:r>
    </w:p>
    <w:p w14:paraId="22F2CC12">
      <w:pPr>
        <w:pStyle w:val="23"/>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0A62D500">
      <w:pPr>
        <w:pStyle w:val="23"/>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4．质量保修完成后，由发包人组织验收。</w:t>
      </w:r>
    </w:p>
    <w:p w14:paraId="4D75E6A5">
      <w:pPr>
        <w:pStyle w:val="46"/>
        <w:spacing w:line="400" w:lineRule="exact"/>
        <w:ind w:firstLine="420" w:firstLineChars="200"/>
        <w:outlineLvl w:val="0"/>
        <w:rPr>
          <w:rFonts w:ascii="宋体" w:hAnsi="宋体" w:cs="宋体"/>
          <w:color w:val="auto"/>
          <w:szCs w:val="21"/>
          <w:highlight w:val="none"/>
        </w:rPr>
      </w:pPr>
      <w:bookmarkStart w:id="2303" w:name="_Toc30389"/>
      <w:r>
        <w:rPr>
          <w:rFonts w:hint="eastAsia" w:ascii="宋体" w:hAnsi="宋体" w:cs="宋体"/>
          <w:color w:val="auto"/>
          <w:szCs w:val="21"/>
          <w:highlight w:val="none"/>
        </w:rPr>
        <w:t>五、保修费用</w:t>
      </w:r>
      <w:bookmarkEnd w:id="2303"/>
    </w:p>
    <w:p w14:paraId="5409D360">
      <w:pPr>
        <w:pStyle w:val="23"/>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保修费用由造成质量缺陷的责任方承担。</w:t>
      </w:r>
    </w:p>
    <w:p w14:paraId="608FABCE">
      <w:pPr>
        <w:pStyle w:val="43"/>
        <w:numPr>
          <w:ilvl w:val="0"/>
          <w:numId w:val="12"/>
        </w:numPr>
        <w:spacing w:line="400" w:lineRule="exact"/>
        <w:rPr>
          <w:rFonts w:ascii="宋体" w:hAnsi="宋体" w:cs="宋体"/>
          <w:color w:val="auto"/>
          <w:highlight w:val="none"/>
          <w:u w:val="single"/>
        </w:rPr>
      </w:pPr>
      <w:r>
        <w:rPr>
          <w:rFonts w:hint="eastAsia" w:ascii="宋体" w:hAnsi="宋体" w:cs="宋体"/>
          <w:color w:val="auto"/>
          <w:highlight w:val="none"/>
        </w:rPr>
        <w:t xml:space="preserve">双方约定的其他工程质量保修事项：  1. </w:t>
      </w:r>
      <w:r>
        <w:rPr>
          <w:rFonts w:hint="eastAsia" w:ascii="宋体" w:hAnsi="宋体" w:cs="宋体"/>
          <w:color w:val="auto"/>
          <w:highlight w:val="none"/>
          <w:u w:val="single"/>
        </w:rPr>
        <w:t>承包人未按照法律法规有关规定和合同约定履行质量保修义务的，发包人有权从质量保证金中扣留用于质量保修的各项支出。</w:t>
      </w:r>
    </w:p>
    <w:p w14:paraId="28323B10">
      <w:pPr>
        <w:pStyle w:val="43"/>
        <w:numPr>
          <w:ilvl w:val="0"/>
          <w:numId w:val="13"/>
        </w:numPr>
        <w:spacing w:line="400" w:lineRule="exact"/>
        <w:rPr>
          <w:rFonts w:ascii="宋体" w:hAnsi="宋体" w:cs="宋体"/>
          <w:color w:val="auto"/>
          <w:highlight w:val="none"/>
          <w:u w:val="single"/>
        </w:rPr>
      </w:pPr>
      <w:r>
        <w:rPr>
          <w:rFonts w:hint="eastAsia" w:ascii="宋体" w:hAnsi="宋体" w:cs="宋体"/>
          <w:color w:val="auto"/>
          <w:highlight w:val="none"/>
          <w:u w:val="single"/>
          <w:lang w:eastAsia="zh-CN"/>
        </w:rPr>
        <w:t>质量保证金</w:t>
      </w:r>
      <w:r>
        <w:rPr>
          <w:rFonts w:hint="eastAsia" w:ascii="宋体" w:hAnsi="宋体" w:cs="宋体"/>
          <w:color w:val="auto"/>
          <w:highlight w:val="none"/>
          <w:u w:val="single"/>
        </w:rPr>
        <w:t>比例：工程结算价的</w:t>
      </w:r>
      <w:r>
        <w:rPr>
          <w:rFonts w:hint="eastAsia" w:ascii="宋体" w:hAnsi="宋体" w:cs="宋体"/>
          <w:color w:val="auto"/>
          <w:highlight w:val="none"/>
          <w:u w:val="single"/>
          <w:lang w:val="en-US" w:eastAsia="zh-CN"/>
        </w:rPr>
        <w:t>3</w:t>
      </w:r>
      <w:r>
        <w:rPr>
          <w:rFonts w:hint="eastAsia" w:ascii="宋体" w:hAnsi="宋体" w:cs="宋体"/>
          <w:color w:val="auto"/>
          <w:highlight w:val="none"/>
          <w:u w:val="single"/>
        </w:rPr>
        <w:t>%。</w:t>
      </w:r>
    </w:p>
    <w:p w14:paraId="36F2D718">
      <w:pPr>
        <w:pStyle w:val="43"/>
        <w:numPr>
          <w:ilvl w:val="0"/>
          <w:numId w:val="13"/>
        </w:numPr>
        <w:spacing w:line="400" w:lineRule="exact"/>
        <w:rPr>
          <w:rFonts w:ascii="宋体" w:hAnsi="宋体" w:cs="宋体"/>
          <w:color w:val="auto"/>
          <w:highlight w:val="none"/>
        </w:rPr>
      </w:pPr>
      <w:r>
        <w:rPr>
          <w:rFonts w:hint="eastAsia" w:ascii="宋体" w:hAnsi="宋体" w:cs="宋体"/>
          <w:color w:val="auto"/>
          <w:highlight w:val="none"/>
          <w:u w:val="single"/>
          <w:lang w:eastAsia="zh-CN"/>
        </w:rPr>
        <w:t>质量保证金</w:t>
      </w:r>
      <w:r>
        <w:rPr>
          <w:rFonts w:hint="eastAsia" w:ascii="宋体" w:hAnsi="宋体" w:cs="宋体"/>
          <w:color w:val="auto"/>
          <w:highlight w:val="none"/>
          <w:u w:val="single"/>
        </w:rPr>
        <w:t>返还：发包人在工程竣工验收合格之日起满两年后14天内将保修金（无息）的返回给承包人，</w:t>
      </w:r>
      <w:r>
        <w:rPr>
          <w:rFonts w:hint="eastAsia" w:ascii="宋体" w:hAnsi="宋体" w:cs="宋体"/>
          <w:color w:val="auto"/>
          <w:highlight w:val="none"/>
          <w:u w:val="single"/>
          <w:lang w:eastAsia="zh-CN"/>
        </w:rPr>
        <w:t>质量保证金</w:t>
      </w:r>
      <w:r>
        <w:rPr>
          <w:rFonts w:hint="eastAsia" w:ascii="宋体" w:hAnsi="宋体" w:cs="宋体"/>
          <w:color w:val="auto"/>
          <w:highlight w:val="none"/>
          <w:u w:val="single"/>
        </w:rPr>
        <w:t xml:space="preserve">的返还，并不能免除承包人按照合同约定应承担的质量保修责任和应履行的质量保修义务  </w:t>
      </w:r>
      <w:r>
        <w:rPr>
          <w:rFonts w:hint="eastAsia" w:ascii="宋体" w:hAnsi="宋体" w:cs="宋体"/>
          <w:color w:val="auto"/>
          <w:highlight w:val="none"/>
        </w:rPr>
        <w:t>。</w:t>
      </w:r>
    </w:p>
    <w:p w14:paraId="62401958">
      <w:pPr>
        <w:pStyle w:val="23"/>
        <w:spacing w:line="3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工程质量保修书由发包人、承包人在工程竣工验收前共同签署，作为施工合同附件，其有效期限至保修期满。</w:t>
      </w:r>
    </w:p>
    <w:p w14:paraId="149AD314">
      <w:pPr>
        <w:pStyle w:val="23"/>
        <w:spacing w:line="320" w:lineRule="exact"/>
        <w:ind w:firstLine="420" w:firstLineChars="200"/>
        <w:rPr>
          <w:rFonts w:ascii="宋体" w:hAnsi="宋体" w:cs="宋体"/>
          <w:color w:val="auto"/>
          <w:szCs w:val="21"/>
          <w:highlight w:val="none"/>
        </w:rPr>
      </w:pPr>
    </w:p>
    <w:p w14:paraId="32E5A684">
      <w:pPr>
        <w:pStyle w:val="22"/>
        <w:ind w:left="63" w:right="63"/>
        <w:rPr>
          <w:rFonts w:hint="eastAsia"/>
          <w:color w:val="auto"/>
          <w:highlight w:val="none"/>
          <w:lang w:val="en-US" w:eastAsia="zh-CN"/>
        </w:rPr>
      </w:pPr>
    </w:p>
    <w:p w14:paraId="17EB1E50">
      <w:pPr>
        <w:pStyle w:val="43"/>
        <w:spacing w:line="320" w:lineRule="exact"/>
        <w:ind w:left="0" w:leftChars="0" w:firstLine="0" w:firstLineChars="0"/>
        <w:rPr>
          <w:rFonts w:hint="default" w:ascii="宋体" w:hAnsi="宋体" w:eastAsia="宋体" w:cs="宋体"/>
          <w:color w:val="auto"/>
          <w:highlight w:val="none"/>
          <w:u w:val="single"/>
          <w:lang w:val="en-US" w:eastAsia="zh-CN"/>
        </w:rPr>
      </w:pPr>
      <w:r>
        <w:rPr>
          <w:rFonts w:hint="eastAsia" w:ascii="宋体" w:hAnsi="宋体" w:cs="宋体"/>
          <w:color w:val="auto"/>
          <w:highlight w:val="none"/>
        </w:rPr>
        <w:t>发包人(公章)：</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u w:val="none"/>
          <w:lang w:val="en-US" w:eastAsia="zh-CN"/>
        </w:rPr>
        <w:t xml:space="preserve">                </w:t>
      </w:r>
      <w:r>
        <w:rPr>
          <w:rFonts w:hint="eastAsia" w:ascii="宋体" w:hAnsi="宋体" w:cs="宋体"/>
          <w:color w:val="auto"/>
          <w:highlight w:val="none"/>
        </w:rPr>
        <w:t>承包人(公章)：</w:t>
      </w:r>
      <w:r>
        <w:rPr>
          <w:rFonts w:hint="eastAsia" w:ascii="宋体" w:hAnsi="宋体" w:cs="宋体"/>
          <w:color w:val="auto"/>
          <w:highlight w:val="none"/>
          <w:u w:val="single"/>
          <w:lang w:val="en-US" w:eastAsia="zh-CN"/>
        </w:rPr>
        <w:t xml:space="preserve">  </w:t>
      </w:r>
    </w:p>
    <w:p w14:paraId="55024F25">
      <w:pPr>
        <w:pStyle w:val="43"/>
        <w:spacing w:line="320" w:lineRule="exact"/>
        <w:ind w:left="0" w:leftChars="0" w:firstLine="0" w:firstLineChars="0"/>
        <w:rPr>
          <w:rFonts w:ascii="宋体" w:hAnsi="宋体" w:cs="宋体"/>
          <w:color w:val="auto"/>
          <w:highlight w:val="none"/>
        </w:rPr>
      </w:pPr>
      <w:r>
        <w:rPr>
          <w:rFonts w:hint="eastAsia" w:ascii="宋体" w:hAnsi="宋体" w:cs="宋体"/>
          <w:color w:val="auto"/>
          <w:highlight w:val="none"/>
        </w:rPr>
        <w:t xml:space="preserve"> </w:t>
      </w:r>
    </w:p>
    <w:p w14:paraId="4C3AECE2">
      <w:pPr>
        <w:pStyle w:val="43"/>
        <w:spacing w:line="320" w:lineRule="exact"/>
        <w:ind w:left="0" w:leftChars="0" w:firstLine="0" w:firstLineChars="0"/>
        <w:rPr>
          <w:rFonts w:hint="eastAsia" w:ascii="宋体" w:hAnsi="宋体" w:eastAsia="宋体" w:cs="宋体"/>
          <w:color w:val="auto"/>
          <w:highlight w:val="none"/>
          <w:lang w:eastAsia="zh-CN"/>
        </w:rPr>
      </w:pPr>
      <w:r>
        <w:rPr>
          <w:rFonts w:hint="eastAsia" w:ascii="宋体" w:hAnsi="宋体" w:cs="宋体"/>
          <w:color w:val="auto"/>
          <w:highlight w:val="none"/>
        </w:rPr>
        <w:t>地  址：</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rPr>
        <w:t xml:space="preserve"> </w:t>
      </w:r>
      <w:r>
        <w:rPr>
          <w:rFonts w:hint="eastAsia" w:ascii="宋体" w:hAnsi="宋体" w:cs="宋体"/>
          <w:color w:val="auto"/>
          <w:highlight w:val="none"/>
          <w:lang w:val="en-US" w:eastAsia="zh-CN"/>
        </w:rPr>
        <w:t xml:space="preserve">  </w:t>
      </w:r>
      <w:r>
        <w:rPr>
          <w:rFonts w:hint="eastAsia" w:ascii="宋体" w:hAnsi="宋体" w:cs="宋体"/>
          <w:color w:val="auto"/>
          <w:highlight w:val="none"/>
        </w:rPr>
        <w:t xml:space="preserve">   </w:t>
      </w:r>
      <w:r>
        <w:rPr>
          <w:rFonts w:hint="eastAsia" w:ascii="宋体" w:hAnsi="宋体" w:cs="宋体"/>
          <w:color w:val="auto"/>
          <w:highlight w:val="none"/>
          <w:lang w:val="en-US" w:eastAsia="zh-CN"/>
        </w:rPr>
        <w:t xml:space="preserve">          </w:t>
      </w:r>
      <w:r>
        <w:rPr>
          <w:rFonts w:hint="eastAsia" w:ascii="宋体" w:hAnsi="宋体" w:cs="宋体"/>
          <w:color w:val="auto"/>
          <w:highlight w:val="none"/>
        </w:rPr>
        <w:t>地  址：</w:t>
      </w:r>
      <w:r>
        <w:rPr>
          <w:rFonts w:hint="eastAsia" w:ascii="宋体" w:hAnsi="宋体"/>
          <w:color w:val="auto"/>
          <w:highlight w:val="none"/>
          <w:u w:val="single"/>
          <w:lang w:val="en-US" w:eastAsia="zh-CN"/>
        </w:rPr>
        <w:t xml:space="preserve"> </w:t>
      </w:r>
    </w:p>
    <w:p w14:paraId="250E90A6">
      <w:pPr>
        <w:pStyle w:val="43"/>
        <w:spacing w:line="320" w:lineRule="exact"/>
        <w:ind w:left="0" w:leftChars="0" w:firstLine="0" w:firstLineChars="0"/>
        <w:rPr>
          <w:rFonts w:hint="eastAsia" w:ascii="宋体" w:hAnsi="宋体" w:eastAsia="宋体" w:cs="宋体"/>
          <w:color w:val="auto"/>
          <w:highlight w:val="none"/>
          <w:lang w:eastAsia="zh-CN"/>
        </w:rPr>
      </w:pPr>
      <w:r>
        <w:rPr>
          <w:rFonts w:hint="eastAsia" w:ascii="宋体" w:hAnsi="宋体" w:cs="宋体"/>
          <w:color w:val="auto"/>
          <w:highlight w:val="none"/>
        </w:rPr>
        <w:t>法定代表人</w:t>
      </w:r>
      <w:r>
        <w:rPr>
          <w:rFonts w:hint="eastAsia" w:ascii="宋体" w:hAnsi="宋体" w:cs="宋体"/>
          <w:color w:val="auto"/>
          <w:highlight w:val="none"/>
          <w:lang w:eastAsia="zh-CN"/>
        </w:rPr>
        <w:t>或</w:t>
      </w:r>
      <w:r>
        <w:rPr>
          <w:rFonts w:hint="eastAsia" w:ascii="宋体" w:hAnsi="宋体" w:cs="宋体"/>
          <w:color w:val="auto"/>
          <w:highlight w:val="none"/>
        </w:rPr>
        <w:t xml:space="preserve">委托代理人    </w:t>
      </w:r>
      <w:r>
        <w:rPr>
          <w:rFonts w:hint="eastAsia" w:ascii="宋体" w:hAnsi="宋体" w:cs="宋体"/>
          <w:color w:val="auto"/>
          <w:highlight w:val="none"/>
          <w:lang w:val="en-US" w:eastAsia="zh-CN"/>
        </w:rPr>
        <w:t xml:space="preserve">                   </w:t>
      </w:r>
      <w:r>
        <w:rPr>
          <w:rFonts w:hint="eastAsia" w:ascii="宋体" w:hAnsi="宋体" w:cs="宋体"/>
          <w:color w:val="auto"/>
          <w:highlight w:val="none"/>
        </w:rPr>
        <w:t xml:space="preserve"> 法定代表人</w:t>
      </w:r>
      <w:r>
        <w:rPr>
          <w:rFonts w:hint="eastAsia" w:ascii="宋体" w:hAnsi="宋体" w:cs="宋体"/>
          <w:color w:val="auto"/>
          <w:highlight w:val="none"/>
          <w:lang w:eastAsia="zh-CN"/>
        </w:rPr>
        <w:t>或</w:t>
      </w:r>
      <w:r>
        <w:rPr>
          <w:rFonts w:hint="eastAsia" w:ascii="宋体" w:hAnsi="宋体" w:cs="宋体"/>
          <w:color w:val="auto"/>
          <w:highlight w:val="none"/>
        </w:rPr>
        <w:t>委托代理人</w:t>
      </w:r>
    </w:p>
    <w:p w14:paraId="3E6EE6E8">
      <w:pPr>
        <w:pStyle w:val="43"/>
        <w:spacing w:line="320" w:lineRule="exact"/>
        <w:ind w:left="0" w:leftChars="0" w:firstLine="0" w:firstLineChars="0"/>
        <w:rPr>
          <w:rFonts w:hint="eastAsia" w:ascii="宋体" w:hAnsi="宋体" w:eastAsia="宋体" w:cs="宋体"/>
          <w:color w:val="auto"/>
          <w:highlight w:val="none"/>
          <w:lang w:val="en-US" w:eastAsia="zh-CN"/>
        </w:rPr>
      </w:pPr>
      <w:r>
        <w:rPr>
          <w:rFonts w:hint="eastAsia" w:ascii="宋体" w:hAnsi="宋体" w:cs="宋体"/>
          <w:color w:val="auto"/>
          <w:highlight w:val="none"/>
        </w:rPr>
        <w:t>(签字</w:t>
      </w:r>
      <w:r>
        <w:rPr>
          <w:rFonts w:hint="eastAsia" w:ascii="宋体" w:hAnsi="宋体" w:cs="宋体"/>
          <w:color w:val="auto"/>
          <w:highlight w:val="none"/>
          <w:lang w:eastAsia="zh-CN"/>
        </w:rPr>
        <w:t>或盖章</w:t>
      </w:r>
      <w:r>
        <w:rPr>
          <w:rFonts w:hint="eastAsia" w:ascii="宋体" w:hAnsi="宋体" w:cs="宋体"/>
          <w:color w:val="auto"/>
          <w:highlight w:val="none"/>
        </w:rPr>
        <w:t>)：</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w:t>
      </w:r>
      <w:r>
        <w:rPr>
          <w:rFonts w:hint="eastAsia" w:ascii="宋体" w:hAnsi="宋体" w:cs="宋体"/>
          <w:color w:val="auto"/>
          <w:highlight w:val="none"/>
          <w:lang w:val="en-US" w:eastAsia="zh-CN"/>
        </w:rPr>
        <w:t xml:space="preserve">                </w:t>
      </w:r>
      <w:r>
        <w:rPr>
          <w:rFonts w:hint="eastAsia" w:ascii="宋体" w:hAnsi="宋体" w:cs="宋体"/>
          <w:color w:val="auto"/>
          <w:highlight w:val="none"/>
        </w:rPr>
        <w:t>(签字</w:t>
      </w:r>
      <w:r>
        <w:rPr>
          <w:rFonts w:hint="eastAsia" w:ascii="宋体" w:hAnsi="宋体" w:cs="宋体"/>
          <w:color w:val="auto"/>
          <w:highlight w:val="none"/>
          <w:lang w:eastAsia="zh-CN"/>
        </w:rPr>
        <w:t>或盖章</w:t>
      </w:r>
      <w:r>
        <w:rPr>
          <w:rFonts w:hint="eastAsia" w:ascii="宋体" w:hAnsi="宋体" w:cs="宋体"/>
          <w:color w:val="auto"/>
          <w:highlight w:val="none"/>
        </w:rPr>
        <w:t>)：</w:t>
      </w:r>
      <w:r>
        <w:rPr>
          <w:rFonts w:hint="eastAsia" w:ascii="宋体" w:hAnsi="宋体" w:cs="宋体"/>
          <w:color w:val="auto"/>
          <w:highlight w:val="none"/>
          <w:u w:val="single"/>
          <w:lang w:val="en-US" w:eastAsia="zh-CN"/>
        </w:rPr>
        <w:t xml:space="preserve">   </w:t>
      </w:r>
    </w:p>
    <w:p w14:paraId="20EF3AD9">
      <w:pPr>
        <w:pStyle w:val="43"/>
        <w:spacing w:line="320" w:lineRule="exact"/>
        <w:ind w:left="0" w:leftChars="0" w:firstLine="0" w:firstLineChars="0"/>
        <w:rPr>
          <w:rFonts w:ascii="宋体" w:hAnsi="宋体" w:cs="宋体"/>
          <w:color w:val="auto"/>
          <w:highlight w:val="none"/>
        </w:rPr>
      </w:pPr>
      <w:r>
        <w:rPr>
          <w:rFonts w:hint="eastAsia" w:ascii="宋体" w:hAnsi="宋体" w:cs="宋体"/>
          <w:color w:val="auto"/>
          <w:highlight w:val="none"/>
        </w:rPr>
        <w:t>电  话：</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rPr>
        <w:t xml:space="preserve">     </w:t>
      </w:r>
      <w:r>
        <w:rPr>
          <w:rFonts w:hint="eastAsia" w:ascii="宋体" w:hAnsi="宋体" w:cs="宋体"/>
          <w:color w:val="auto"/>
          <w:highlight w:val="none"/>
          <w:lang w:val="en-US" w:eastAsia="zh-CN"/>
        </w:rPr>
        <w:t xml:space="preserve">                </w:t>
      </w:r>
      <w:r>
        <w:rPr>
          <w:rFonts w:hint="eastAsia" w:ascii="宋体" w:hAnsi="宋体" w:cs="宋体"/>
          <w:color w:val="auto"/>
          <w:highlight w:val="none"/>
        </w:rPr>
        <w:t>电  话：</w:t>
      </w:r>
      <w:r>
        <w:rPr>
          <w:rFonts w:hint="eastAsia" w:ascii="宋体" w:hAnsi="宋体" w:cs="宋体"/>
          <w:color w:val="auto"/>
          <w:highlight w:val="none"/>
          <w:u w:val="single"/>
        </w:rPr>
        <w:t></w:t>
      </w:r>
    </w:p>
    <w:p w14:paraId="397E2F76">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p w14:paraId="2A6295A4">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br w:type="page"/>
      </w:r>
      <w:r>
        <w:rPr>
          <w:rFonts w:hint="eastAsia" w:ascii="宋体" w:hAnsi="宋体" w:eastAsia="宋体" w:cs="宋体"/>
          <w:color w:val="auto"/>
          <w:sz w:val="21"/>
          <w:szCs w:val="21"/>
          <w:highlight w:val="none"/>
        </w:rPr>
        <w:t>附件4：</w:t>
      </w:r>
    </w:p>
    <w:p w14:paraId="768A62AB">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主要建设工程文件目录</w:t>
      </w:r>
    </w:p>
    <w:p w14:paraId="0CB88A82">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bl>
      <w:tblPr>
        <w:tblStyle w:val="29"/>
        <w:tblpPr w:leftFromText="180" w:rightFromText="180" w:vertAnchor="text" w:horzAnchor="page" w:tblpX="1430" w:tblpY="14"/>
        <w:tblOverlap w:val="never"/>
        <w:tblW w:w="8727"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953"/>
        <w:gridCol w:w="1067"/>
        <w:gridCol w:w="1450"/>
        <w:gridCol w:w="1243"/>
        <w:gridCol w:w="1450"/>
        <w:gridCol w:w="1564"/>
      </w:tblGrid>
      <w:tr w14:paraId="47A416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1953" w:type="dxa"/>
            <w:tcBorders>
              <w:top w:val="single" w:color="auto" w:sz="12" w:space="0"/>
              <w:bottom w:val="double" w:color="auto" w:sz="6" w:space="0"/>
            </w:tcBorders>
            <w:noWrap w:val="0"/>
            <w:vAlign w:val="center"/>
          </w:tcPr>
          <w:p w14:paraId="227D5A55">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文件名称</w:t>
            </w:r>
          </w:p>
        </w:tc>
        <w:tc>
          <w:tcPr>
            <w:tcW w:w="1067" w:type="dxa"/>
            <w:tcBorders>
              <w:top w:val="single" w:color="auto" w:sz="12" w:space="0"/>
              <w:bottom w:val="double" w:color="auto" w:sz="6" w:space="0"/>
            </w:tcBorders>
            <w:noWrap w:val="0"/>
            <w:vAlign w:val="center"/>
          </w:tcPr>
          <w:p w14:paraId="41114F44">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套数</w:t>
            </w:r>
          </w:p>
        </w:tc>
        <w:tc>
          <w:tcPr>
            <w:tcW w:w="1450" w:type="dxa"/>
            <w:tcBorders>
              <w:top w:val="single" w:color="auto" w:sz="12" w:space="0"/>
              <w:bottom w:val="double" w:color="auto" w:sz="6" w:space="0"/>
            </w:tcBorders>
            <w:noWrap w:val="0"/>
            <w:vAlign w:val="center"/>
          </w:tcPr>
          <w:p w14:paraId="22C63BF8">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费用（元）</w:t>
            </w:r>
          </w:p>
        </w:tc>
        <w:tc>
          <w:tcPr>
            <w:tcW w:w="1243" w:type="dxa"/>
            <w:tcBorders>
              <w:top w:val="single" w:color="auto" w:sz="12" w:space="0"/>
              <w:bottom w:val="double" w:color="auto" w:sz="6" w:space="0"/>
            </w:tcBorders>
            <w:noWrap w:val="0"/>
            <w:vAlign w:val="center"/>
          </w:tcPr>
          <w:p w14:paraId="7951B370">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质量</w:t>
            </w:r>
          </w:p>
        </w:tc>
        <w:tc>
          <w:tcPr>
            <w:tcW w:w="1450" w:type="dxa"/>
            <w:tcBorders>
              <w:top w:val="single" w:color="auto" w:sz="12" w:space="0"/>
              <w:bottom w:val="double" w:color="auto" w:sz="6" w:space="0"/>
            </w:tcBorders>
            <w:noWrap w:val="0"/>
            <w:vAlign w:val="top"/>
          </w:tcPr>
          <w:p w14:paraId="6A83F192">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移交时间</w:t>
            </w:r>
          </w:p>
        </w:tc>
        <w:tc>
          <w:tcPr>
            <w:tcW w:w="1564" w:type="dxa"/>
            <w:tcBorders>
              <w:top w:val="single" w:color="auto" w:sz="12" w:space="0"/>
              <w:bottom w:val="double" w:color="auto" w:sz="6" w:space="0"/>
            </w:tcBorders>
            <w:noWrap w:val="0"/>
            <w:vAlign w:val="top"/>
          </w:tcPr>
          <w:p w14:paraId="3B7239EB">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责任人</w:t>
            </w:r>
          </w:p>
        </w:tc>
      </w:tr>
      <w:tr w14:paraId="628E62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953" w:type="dxa"/>
            <w:tcBorders>
              <w:top w:val="double" w:color="auto" w:sz="6" w:space="0"/>
              <w:bottom w:val="single" w:color="auto" w:sz="6" w:space="0"/>
            </w:tcBorders>
            <w:noWrap w:val="0"/>
            <w:vAlign w:val="center"/>
          </w:tcPr>
          <w:p w14:paraId="7D7E4D40">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067" w:type="dxa"/>
            <w:tcBorders>
              <w:top w:val="double" w:color="auto" w:sz="6" w:space="0"/>
              <w:bottom w:val="single" w:color="auto" w:sz="6" w:space="0"/>
            </w:tcBorders>
            <w:noWrap w:val="0"/>
            <w:vAlign w:val="center"/>
          </w:tcPr>
          <w:p w14:paraId="133AAE86">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450" w:type="dxa"/>
            <w:tcBorders>
              <w:top w:val="double" w:color="auto" w:sz="6" w:space="0"/>
              <w:bottom w:val="single" w:color="auto" w:sz="6" w:space="0"/>
            </w:tcBorders>
            <w:noWrap w:val="0"/>
            <w:vAlign w:val="center"/>
          </w:tcPr>
          <w:p w14:paraId="32D1915A">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243" w:type="dxa"/>
            <w:tcBorders>
              <w:top w:val="double" w:color="auto" w:sz="6" w:space="0"/>
              <w:bottom w:val="single" w:color="auto" w:sz="6" w:space="0"/>
            </w:tcBorders>
            <w:noWrap w:val="0"/>
            <w:vAlign w:val="center"/>
          </w:tcPr>
          <w:p w14:paraId="6113D312">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450" w:type="dxa"/>
            <w:tcBorders>
              <w:top w:val="double" w:color="auto" w:sz="6" w:space="0"/>
              <w:bottom w:val="single" w:color="auto" w:sz="6" w:space="0"/>
            </w:tcBorders>
            <w:noWrap w:val="0"/>
            <w:vAlign w:val="center"/>
          </w:tcPr>
          <w:p w14:paraId="27EF94CC">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564" w:type="dxa"/>
            <w:tcBorders>
              <w:top w:val="double" w:color="auto" w:sz="6" w:space="0"/>
              <w:bottom w:val="single" w:color="auto" w:sz="6" w:space="0"/>
            </w:tcBorders>
            <w:noWrap w:val="0"/>
            <w:vAlign w:val="center"/>
          </w:tcPr>
          <w:p w14:paraId="08671D8B">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r>
      <w:tr w14:paraId="236F6C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953" w:type="dxa"/>
            <w:tcBorders>
              <w:top w:val="nil"/>
            </w:tcBorders>
            <w:noWrap w:val="0"/>
            <w:vAlign w:val="center"/>
          </w:tcPr>
          <w:p w14:paraId="0AC62CA8">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067" w:type="dxa"/>
            <w:tcBorders>
              <w:top w:val="nil"/>
            </w:tcBorders>
            <w:noWrap w:val="0"/>
            <w:vAlign w:val="center"/>
          </w:tcPr>
          <w:p w14:paraId="33B6C9C1">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450" w:type="dxa"/>
            <w:tcBorders>
              <w:top w:val="nil"/>
            </w:tcBorders>
            <w:noWrap w:val="0"/>
            <w:vAlign w:val="center"/>
          </w:tcPr>
          <w:p w14:paraId="2B2A3C5C">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243" w:type="dxa"/>
            <w:tcBorders>
              <w:top w:val="nil"/>
            </w:tcBorders>
            <w:noWrap w:val="0"/>
            <w:vAlign w:val="center"/>
          </w:tcPr>
          <w:p w14:paraId="4BB3F951">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450" w:type="dxa"/>
            <w:tcBorders>
              <w:top w:val="nil"/>
            </w:tcBorders>
            <w:noWrap w:val="0"/>
            <w:vAlign w:val="center"/>
          </w:tcPr>
          <w:p w14:paraId="22A1F9AA">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564" w:type="dxa"/>
            <w:tcBorders>
              <w:top w:val="nil"/>
            </w:tcBorders>
            <w:noWrap w:val="0"/>
            <w:vAlign w:val="center"/>
          </w:tcPr>
          <w:p w14:paraId="6D0A9F25">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r>
      <w:tr w14:paraId="225C02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953" w:type="dxa"/>
            <w:noWrap w:val="0"/>
            <w:vAlign w:val="center"/>
          </w:tcPr>
          <w:p w14:paraId="2319BEEF">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067" w:type="dxa"/>
            <w:noWrap w:val="0"/>
            <w:vAlign w:val="center"/>
          </w:tcPr>
          <w:p w14:paraId="7EF914CD">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450" w:type="dxa"/>
            <w:noWrap w:val="0"/>
            <w:vAlign w:val="center"/>
          </w:tcPr>
          <w:p w14:paraId="4B6A0C4B">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243" w:type="dxa"/>
            <w:noWrap w:val="0"/>
            <w:vAlign w:val="center"/>
          </w:tcPr>
          <w:p w14:paraId="608A95FB">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450" w:type="dxa"/>
            <w:noWrap w:val="0"/>
            <w:vAlign w:val="center"/>
          </w:tcPr>
          <w:p w14:paraId="0434AF71">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564" w:type="dxa"/>
            <w:noWrap w:val="0"/>
            <w:vAlign w:val="center"/>
          </w:tcPr>
          <w:p w14:paraId="59F9167F">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r>
      <w:tr w14:paraId="238E1B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953" w:type="dxa"/>
            <w:noWrap w:val="0"/>
            <w:vAlign w:val="center"/>
          </w:tcPr>
          <w:p w14:paraId="0C37EF5C">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067" w:type="dxa"/>
            <w:noWrap w:val="0"/>
            <w:vAlign w:val="center"/>
          </w:tcPr>
          <w:p w14:paraId="7B3A14BF">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450" w:type="dxa"/>
            <w:noWrap w:val="0"/>
            <w:vAlign w:val="center"/>
          </w:tcPr>
          <w:p w14:paraId="12F5C8D9">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243" w:type="dxa"/>
            <w:noWrap w:val="0"/>
            <w:vAlign w:val="center"/>
          </w:tcPr>
          <w:p w14:paraId="5F78EC90">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450" w:type="dxa"/>
            <w:noWrap w:val="0"/>
            <w:vAlign w:val="center"/>
          </w:tcPr>
          <w:p w14:paraId="2CF89892">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564" w:type="dxa"/>
            <w:noWrap w:val="0"/>
            <w:vAlign w:val="center"/>
          </w:tcPr>
          <w:p w14:paraId="76345547">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r>
      <w:tr w14:paraId="7369C5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953" w:type="dxa"/>
            <w:noWrap w:val="0"/>
            <w:vAlign w:val="center"/>
          </w:tcPr>
          <w:p w14:paraId="2851AD01">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067" w:type="dxa"/>
            <w:noWrap w:val="0"/>
            <w:vAlign w:val="center"/>
          </w:tcPr>
          <w:p w14:paraId="43A14212">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450" w:type="dxa"/>
            <w:noWrap w:val="0"/>
            <w:vAlign w:val="center"/>
          </w:tcPr>
          <w:p w14:paraId="3FD2EF91">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243" w:type="dxa"/>
            <w:noWrap w:val="0"/>
            <w:vAlign w:val="center"/>
          </w:tcPr>
          <w:p w14:paraId="64D3D588">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450" w:type="dxa"/>
            <w:noWrap w:val="0"/>
            <w:vAlign w:val="center"/>
          </w:tcPr>
          <w:p w14:paraId="4EBD8957">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564" w:type="dxa"/>
            <w:noWrap w:val="0"/>
            <w:vAlign w:val="center"/>
          </w:tcPr>
          <w:p w14:paraId="37AC37B2">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r>
      <w:tr w14:paraId="129662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953" w:type="dxa"/>
            <w:noWrap w:val="0"/>
            <w:vAlign w:val="center"/>
          </w:tcPr>
          <w:p w14:paraId="3CF1C3AE">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067" w:type="dxa"/>
            <w:noWrap w:val="0"/>
            <w:vAlign w:val="center"/>
          </w:tcPr>
          <w:p w14:paraId="7A656D8A">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450" w:type="dxa"/>
            <w:noWrap w:val="0"/>
            <w:vAlign w:val="center"/>
          </w:tcPr>
          <w:p w14:paraId="0E1C7463">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243" w:type="dxa"/>
            <w:noWrap w:val="0"/>
            <w:vAlign w:val="center"/>
          </w:tcPr>
          <w:p w14:paraId="705314FD">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450" w:type="dxa"/>
            <w:noWrap w:val="0"/>
            <w:vAlign w:val="center"/>
          </w:tcPr>
          <w:p w14:paraId="793C8563">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564" w:type="dxa"/>
            <w:noWrap w:val="0"/>
            <w:vAlign w:val="center"/>
          </w:tcPr>
          <w:p w14:paraId="1D2777F8">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r>
      <w:tr w14:paraId="2E2436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953" w:type="dxa"/>
            <w:noWrap w:val="0"/>
            <w:vAlign w:val="center"/>
          </w:tcPr>
          <w:p w14:paraId="2B04B2D1">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067" w:type="dxa"/>
            <w:noWrap w:val="0"/>
            <w:vAlign w:val="center"/>
          </w:tcPr>
          <w:p w14:paraId="6494029F">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450" w:type="dxa"/>
            <w:noWrap w:val="0"/>
            <w:vAlign w:val="center"/>
          </w:tcPr>
          <w:p w14:paraId="369D7932">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243" w:type="dxa"/>
            <w:noWrap w:val="0"/>
            <w:vAlign w:val="center"/>
          </w:tcPr>
          <w:p w14:paraId="5C3EFA7B">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450" w:type="dxa"/>
            <w:noWrap w:val="0"/>
            <w:vAlign w:val="center"/>
          </w:tcPr>
          <w:p w14:paraId="4E2CC26D">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564" w:type="dxa"/>
            <w:noWrap w:val="0"/>
            <w:vAlign w:val="center"/>
          </w:tcPr>
          <w:p w14:paraId="3D56576F">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r>
      <w:tr w14:paraId="68D373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953" w:type="dxa"/>
            <w:noWrap w:val="0"/>
            <w:vAlign w:val="center"/>
          </w:tcPr>
          <w:p w14:paraId="34239021">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067" w:type="dxa"/>
            <w:noWrap w:val="0"/>
            <w:vAlign w:val="center"/>
          </w:tcPr>
          <w:p w14:paraId="1A94A790">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450" w:type="dxa"/>
            <w:noWrap w:val="0"/>
            <w:vAlign w:val="center"/>
          </w:tcPr>
          <w:p w14:paraId="6D4D7CA2">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243" w:type="dxa"/>
            <w:noWrap w:val="0"/>
            <w:vAlign w:val="center"/>
          </w:tcPr>
          <w:p w14:paraId="43E99051">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450" w:type="dxa"/>
            <w:noWrap w:val="0"/>
            <w:vAlign w:val="center"/>
          </w:tcPr>
          <w:p w14:paraId="2C3FA6ED">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564" w:type="dxa"/>
            <w:noWrap w:val="0"/>
            <w:vAlign w:val="center"/>
          </w:tcPr>
          <w:p w14:paraId="5345CB42">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r>
      <w:tr w14:paraId="4454A1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953" w:type="dxa"/>
            <w:noWrap w:val="0"/>
            <w:vAlign w:val="top"/>
          </w:tcPr>
          <w:p w14:paraId="1A0299AF">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067" w:type="dxa"/>
            <w:noWrap w:val="0"/>
            <w:vAlign w:val="top"/>
          </w:tcPr>
          <w:p w14:paraId="691C9C11">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450" w:type="dxa"/>
            <w:noWrap w:val="0"/>
            <w:vAlign w:val="top"/>
          </w:tcPr>
          <w:p w14:paraId="5A2BF35E">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243" w:type="dxa"/>
            <w:noWrap w:val="0"/>
            <w:vAlign w:val="top"/>
          </w:tcPr>
          <w:p w14:paraId="5C666E4B">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450" w:type="dxa"/>
            <w:noWrap w:val="0"/>
            <w:vAlign w:val="top"/>
          </w:tcPr>
          <w:p w14:paraId="670FFE78">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564" w:type="dxa"/>
            <w:noWrap w:val="0"/>
            <w:vAlign w:val="top"/>
          </w:tcPr>
          <w:p w14:paraId="1207029B">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r>
      <w:tr w14:paraId="748350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953" w:type="dxa"/>
            <w:noWrap w:val="0"/>
            <w:vAlign w:val="center"/>
          </w:tcPr>
          <w:p w14:paraId="5F432C28">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067" w:type="dxa"/>
            <w:noWrap w:val="0"/>
            <w:vAlign w:val="center"/>
          </w:tcPr>
          <w:p w14:paraId="0FB3BC07">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450" w:type="dxa"/>
            <w:noWrap w:val="0"/>
            <w:vAlign w:val="center"/>
          </w:tcPr>
          <w:p w14:paraId="04D0B75F">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243" w:type="dxa"/>
            <w:noWrap w:val="0"/>
            <w:vAlign w:val="center"/>
          </w:tcPr>
          <w:p w14:paraId="27AB226D">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450" w:type="dxa"/>
            <w:noWrap w:val="0"/>
            <w:vAlign w:val="center"/>
          </w:tcPr>
          <w:p w14:paraId="38A9D9FA">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564" w:type="dxa"/>
            <w:noWrap w:val="0"/>
            <w:vAlign w:val="center"/>
          </w:tcPr>
          <w:p w14:paraId="2BCFC5C9">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r>
      <w:tr w14:paraId="33FF10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953" w:type="dxa"/>
            <w:noWrap w:val="0"/>
            <w:vAlign w:val="top"/>
          </w:tcPr>
          <w:p w14:paraId="3D032F84">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067" w:type="dxa"/>
            <w:noWrap w:val="0"/>
            <w:vAlign w:val="top"/>
          </w:tcPr>
          <w:p w14:paraId="2E2A4949">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450" w:type="dxa"/>
            <w:noWrap w:val="0"/>
            <w:vAlign w:val="top"/>
          </w:tcPr>
          <w:p w14:paraId="0BFA68CF">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243" w:type="dxa"/>
            <w:noWrap w:val="0"/>
            <w:vAlign w:val="top"/>
          </w:tcPr>
          <w:p w14:paraId="22225FF0">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450" w:type="dxa"/>
            <w:noWrap w:val="0"/>
            <w:vAlign w:val="top"/>
          </w:tcPr>
          <w:p w14:paraId="779E0DDE">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564" w:type="dxa"/>
            <w:noWrap w:val="0"/>
            <w:vAlign w:val="top"/>
          </w:tcPr>
          <w:p w14:paraId="01C6812F">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r>
      <w:tr w14:paraId="3B25EE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953" w:type="dxa"/>
            <w:noWrap w:val="0"/>
            <w:vAlign w:val="top"/>
          </w:tcPr>
          <w:p w14:paraId="6786443C">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067" w:type="dxa"/>
            <w:noWrap w:val="0"/>
            <w:vAlign w:val="top"/>
          </w:tcPr>
          <w:p w14:paraId="74EFE51D">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450" w:type="dxa"/>
            <w:noWrap w:val="0"/>
            <w:vAlign w:val="top"/>
          </w:tcPr>
          <w:p w14:paraId="6F38BBD1">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243" w:type="dxa"/>
            <w:noWrap w:val="0"/>
            <w:vAlign w:val="top"/>
          </w:tcPr>
          <w:p w14:paraId="4505A393">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450" w:type="dxa"/>
            <w:noWrap w:val="0"/>
            <w:vAlign w:val="top"/>
          </w:tcPr>
          <w:p w14:paraId="0995A232">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564" w:type="dxa"/>
            <w:noWrap w:val="0"/>
            <w:vAlign w:val="top"/>
          </w:tcPr>
          <w:p w14:paraId="78D435AF">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r>
      <w:tr w14:paraId="54BC52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953" w:type="dxa"/>
            <w:noWrap w:val="0"/>
            <w:vAlign w:val="top"/>
          </w:tcPr>
          <w:p w14:paraId="2F26DE3B">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067" w:type="dxa"/>
            <w:noWrap w:val="0"/>
            <w:vAlign w:val="top"/>
          </w:tcPr>
          <w:p w14:paraId="2041392A">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450" w:type="dxa"/>
            <w:noWrap w:val="0"/>
            <w:vAlign w:val="top"/>
          </w:tcPr>
          <w:p w14:paraId="48C5FAFF">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243" w:type="dxa"/>
            <w:noWrap w:val="0"/>
            <w:vAlign w:val="top"/>
          </w:tcPr>
          <w:p w14:paraId="10BE4D96">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450" w:type="dxa"/>
            <w:noWrap w:val="0"/>
            <w:vAlign w:val="top"/>
          </w:tcPr>
          <w:p w14:paraId="72884090">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564" w:type="dxa"/>
            <w:noWrap w:val="0"/>
            <w:vAlign w:val="top"/>
          </w:tcPr>
          <w:p w14:paraId="12D3439E">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r>
      <w:tr w14:paraId="43FB40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953" w:type="dxa"/>
            <w:noWrap w:val="0"/>
            <w:vAlign w:val="top"/>
          </w:tcPr>
          <w:p w14:paraId="7144553E">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067" w:type="dxa"/>
            <w:noWrap w:val="0"/>
            <w:vAlign w:val="top"/>
          </w:tcPr>
          <w:p w14:paraId="7E25D3B4">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450" w:type="dxa"/>
            <w:noWrap w:val="0"/>
            <w:vAlign w:val="top"/>
          </w:tcPr>
          <w:p w14:paraId="7A6736C2">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243" w:type="dxa"/>
            <w:noWrap w:val="0"/>
            <w:vAlign w:val="top"/>
          </w:tcPr>
          <w:p w14:paraId="1EFF1507">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450" w:type="dxa"/>
            <w:noWrap w:val="0"/>
            <w:vAlign w:val="top"/>
          </w:tcPr>
          <w:p w14:paraId="4E8C5B2A">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564" w:type="dxa"/>
            <w:noWrap w:val="0"/>
            <w:vAlign w:val="top"/>
          </w:tcPr>
          <w:p w14:paraId="30EFC037">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r>
      <w:tr w14:paraId="24EB4D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953" w:type="dxa"/>
            <w:noWrap w:val="0"/>
            <w:vAlign w:val="top"/>
          </w:tcPr>
          <w:p w14:paraId="0714E0E1">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067" w:type="dxa"/>
            <w:noWrap w:val="0"/>
            <w:vAlign w:val="top"/>
          </w:tcPr>
          <w:p w14:paraId="2D234231">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450" w:type="dxa"/>
            <w:noWrap w:val="0"/>
            <w:vAlign w:val="top"/>
          </w:tcPr>
          <w:p w14:paraId="12D6C29A">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243" w:type="dxa"/>
            <w:noWrap w:val="0"/>
            <w:vAlign w:val="top"/>
          </w:tcPr>
          <w:p w14:paraId="43CF1194">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450" w:type="dxa"/>
            <w:noWrap w:val="0"/>
            <w:vAlign w:val="top"/>
          </w:tcPr>
          <w:p w14:paraId="480ABF16">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564" w:type="dxa"/>
            <w:noWrap w:val="0"/>
            <w:vAlign w:val="top"/>
          </w:tcPr>
          <w:p w14:paraId="11CA74A0">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r>
      <w:tr w14:paraId="5E8E0C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953" w:type="dxa"/>
            <w:noWrap w:val="0"/>
            <w:vAlign w:val="top"/>
          </w:tcPr>
          <w:p w14:paraId="682CD6C6">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067" w:type="dxa"/>
            <w:noWrap w:val="0"/>
            <w:vAlign w:val="top"/>
          </w:tcPr>
          <w:p w14:paraId="11BEFB67">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450" w:type="dxa"/>
            <w:noWrap w:val="0"/>
            <w:vAlign w:val="top"/>
          </w:tcPr>
          <w:p w14:paraId="354C06CC">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243" w:type="dxa"/>
            <w:noWrap w:val="0"/>
            <w:vAlign w:val="top"/>
          </w:tcPr>
          <w:p w14:paraId="4EED1A9E">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450" w:type="dxa"/>
            <w:noWrap w:val="0"/>
            <w:vAlign w:val="top"/>
          </w:tcPr>
          <w:p w14:paraId="002294A3">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564" w:type="dxa"/>
            <w:noWrap w:val="0"/>
            <w:vAlign w:val="top"/>
          </w:tcPr>
          <w:p w14:paraId="741F1ECF">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r>
      <w:tr w14:paraId="23BDCB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953" w:type="dxa"/>
            <w:noWrap w:val="0"/>
            <w:vAlign w:val="top"/>
          </w:tcPr>
          <w:p w14:paraId="44A3C3D1">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067" w:type="dxa"/>
            <w:noWrap w:val="0"/>
            <w:vAlign w:val="top"/>
          </w:tcPr>
          <w:p w14:paraId="5D2AD0DB">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450" w:type="dxa"/>
            <w:noWrap w:val="0"/>
            <w:vAlign w:val="top"/>
          </w:tcPr>
          <w:p w14:paraId="533E73BB">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243" w:type="dxa"/>
            <w:noWrap w:val="0"/>
            <w:vAlign w:val="top"/>
          </w:tcPr>
          <w:p w14:paraId="0484D6C2">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450" w:type="dxa"/>
            <w:noWrap w:val="0"/>
            <w:vAlign w:val="top"/>
          </w:tcPr>
          <w:p w14:paraId="2B128096">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564" w:type="dxa"/>
            <w:noWrap w:val="0"/>
            <w:vAlign w:val="top"/>
          </w:tcPr>
          <w:p w14:paraId="05A752F7">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r>
      <w:tr w14:paraId="18453F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953" w:type="dxa"/>
            <w:noWrap w:val="0"/>
            <w:vAlign w:val="top"/>
          </w:tcPr>
          <w:p w14:paraId="48009E0A">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067" w:type="dxa"/>
            <w:noWrap w:val="0"/>
            <w:vAlign w:val="top"/>
          </w:tcPr>
          <w:p w14:paraId="0EF21058">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450" w:type="dxa"/>
            <w:noWrap w:val="0"/>
            <w:vAlign w:val="top"/>
          </w:tcPr>
          <w:p w14:paraId="4B001FBE">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243" w:type="dxa"/>
            <w:noWrap w:val="0"/>
            <w:vAlign w:val="top"/>
          </w:tcPr>
          <w:p w14:paraId="54892F97">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450" w:type="dxa"/>
            <w:noWrap w:val="0"/>
            <w:vAlign w:val="top"/>
          </w:tcPr>
          <w:p w14:paraId="4220D384">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564" w:type="dxa"/>
            <w:noWrap w:val="0"/>
            <w:vAlign w:val="top"/>
          </w:tcPr>
          <w:p w14:paraId="38E030F8">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r>
      <w:tr w14:paraId="4A8879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953" w:type="dxa"/>
            <w:noWrap w:val="0"/>
            <w:vAlign w:val="top"/>
          </w:tcPr>
          <w:p w14:paraId="10B36096">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067" w:type="dxa"/>
            <w:noWrap w:val="0"/>
            <w:vAlign w:val="top"/>
          </w:tcPr>
          <w:p w14:paraId="45D2E69F">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450" w:type="dxa"/>
            <w:noWrap w:val="0"/>
            <w:vAlign w:val="top"/>
          </w:tcPr>
          <w:p w14:paraId="3A043877">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243" w:type="dxa"/>
            <w:noWrap w:val="0"/>
            <w:vAlign w:val="top"/>
          </w:tcPr>
          <w:p w14:paraId="5D858051">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450" w:type="dxa"/>
            <w:noWrap w:val="0"/>
            <w:vAlign w:val="top"/>
          </w:tcPr>
          <w:p w14:paraId="7084351D">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564" w:type="dxa"/>
            <w:noWrap w:val="0"/>
            <w:vAlign w:val="top"/>
          </w:tcPr>
          <w:p w14:paraId="594CE283">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r>
    </w:tbl>
    <w:p w14:paraId="0A6355B5">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21"/>
          <w:szCs w:val="21"/>
          <w:highlight w:val="none"/>
        </w:rPr>
        <w:t>附</w:t>
      </w:r>
      <w:bookmarkStart w:id="2304" w:name="_Toc296891267"/>
      <w:bookmarkStart w:id="2305" w:name="_Toc296944566"/>
      <w:bookmarkStart w:id="2306" w:name="_Toc296503227"/>
      <w:bookmarkStart w:id="2307" w:name="_Toc296891055"/>
      <w:bookmarkStart w:id="2308" w:name="_Toc296347226"/>
      <w:bookmarkStart w:id="2309" w:name="_Toc296346728"/>
      <w:bookmarkStart w:id="2310" w:name="_Toc267261698"/>
      <w:r>
        <w:rPr>
          <w:rFonts w:hint="eastAsia" w:ascii="宋体" w:hAnsi="宋体" w:eastAsia="宋体" w:cs="宋体"/>
          <w:color w:val="auto"/>
          <w:sz w:val="21"/>
          <w:szCs w:val="21"/>
          <w:highlight w:val="none"/>
        </w:rPr>
        <w:t>件5：</w:t>
      </w:r>
    </w:p>
    <w:bookmarkEnd w:id="2304"/>
    <w:bookmarkEnd w:id="2305"/>
    <w:bookmarkEnd w:id="2306"/>
    <w:bookmarkEnd w:id="2307"/>
    <w:bookmarkEnd w:id="2308"/>
    <w:bookmarkEnd w:id="2309"/>
    <w:bookmarkEnd w:id="2310"/>
    <w:p w14:paraId="15B84BF3">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承包人用于本工程施工的机械设备表</w:t>
      </w:r>
    </w:p>
    <w:tbl>
      <w:tblPr>
        <w:tblStyle w:val="29"/>
        <w:tblW w:w="85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629"/>
        <w:gridCol w:w="1418"/>
        <w:gridCol w:w="850"/>
        <w:gridCol w:w="1058"/>
        <w:gridCol w:w="880"/>
        <w:gridCol w:w="806"/>
        <w:gridCol w:w="1310"/>
        <w:gridCol w:w="906"/>
        <w:gridCol w:w="652"/>
      </w:tblGrid>
      <w:tr w14:paraId="36163A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629" w:type="dxa"/>
            <w:tcBorders>
              <w:top w:val="single" w:color="auto" w:sz="12" w:space="0"/>
              <w:bottom w:val="double" w:color="auto" w:sz="6" w:space="0"/>
            </w:tcBorders>
            <w:noWrap w:val="0"/>
            <w:vAlign w:val="center"/>
          </w:tcPr>
          <w:p w14:paraId="1FBC5295">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序号</w:t>
            </w:r>
          </w:p>
        </w:tc>
        <w:tc>
          <w:tcPr>
            <w:tcW w:w="1418" w:type="dxa"/>
            <w:tcBorders>
              <w:top w:val="single" w:color="auto" w:sz="12" w:space="0"/>
              <w:bottom w:val="double" w:color="auto" w:sz="6" w:space="0"/>
            </w:tcBorders>
            <w:noWrap w:val="0"/>
            <w:vAlign w:val="center"/>
          </w:tcPr>
          <w:p w14:paraId="5B12C862">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机械或设备名称</w:t>
            </w:r>
          </w:p>
        </w:tc>
        <w:tc>
          <w:tcPr>
            <w:tcW w:w="850" w:type="dxa"/>
            <w:tcBorders>
              <w:top w:val="single" w:color="auto" w:sz="12" w:space="0"/>
              <w:bottom w:val="double" w:color="auto" w:sz="6" w:space="0"/>
            </w:tcBorders>
            <w:noWrap w:val="0"/>
            <w:vAlign w:val="center"/>
          </w:tcPr>
          <w:p w14:paraId="257A1C32">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规格型号</w:t>
            </w:r>
          </w:p>
        </w:tc>
        <w:tc>
          <w:tcPr>
            <w:tcW w:w="1058" w:type="dxa"/>
            <w:tcBorders>
              <w:top w:val="single" w:color="auto" w:sz="12" w:space="0"/>
              <w:bottom w:val="double" w:color="auto" w:sz="6" w:space="0"/>
            </w:tcBorders>
            <w:noWrap w:val="0"/>
            <w:vAlign w:val="center"/>
          </w:tcPr>
          <w:p w14:paraId="4D8407F0">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数量</w:t>
            </w:r>
          </w:p>
        </w:tc>
        <w:tc>
          <w:tcPr>
            <w:tcW w:w="880" w:type="dxa"/>
            <w:tcBorders>
              <w:top w:val="single" w:color="auto" w:sz="12" w:space="0"/>
              <w:bottom w:val="double" w:color="auto" w:sz="6" w:space="0"/>
            </w:tcBorders>
            <w:noWrap w:val="0"/>
            <w:vAlign w:val="center"/>
          </w:tcPr>
          <w:p w14:paraId="40E199CB">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产地</w:t>
            </w:r>
          </w:p>
        </w:tc>
        <w:tc>
          <w:tcPr>
            <w:tcW w:w="806" w:type="dxa"/>
            <w:tcBorders>
              <w:top w:val="single" w:color="auto" w:sz="12" w:space="0"/>
              <w:bottom w:val="double" w:color="auto" w:sz="6" w:space="0"/>
            </w:tcBorders>
            <w:noWrap w:val="0"/>
            <w:vAlign w:val="center"/>
          </w:tcPr>
          <w:p w14:paraId="04156D75">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制造年份</w:t>
            </w:r>
          </w:p>
        </w:tc>
        <w:tc>
          <w:tcPr>
            <w:tcW w:w="1310" w:type="dxa"/>
            <w:tcBorders>
              <w:top w:val="single" w:color="auto" w:sz="12" w:space="0"/>
              <w:bottom w:val="double" w:color="auto" w:sz="6" w:space="0"/>
            </w:tcBorders>
            <w:noWrap w:val="0"/>
            <w:vAlign w:val="center"/>
          </w:tcPr>
          <w:p w14:paraId="7ED2509A">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额定功率(kW)</w:t>
            </w:r>
          </w:p>
        </w:tc>
        <w:tc>
          <w:tcPr>
            <w:tcW w:w="906" w:type="dxa"/>
            <w:tcBorders>
              <w:top w:val="single" w:color="auto" w:sz="12" w:space="0"/>
              <w:bottom w:val="double" w:color="auto" w:sz="6" w:space="0"/>
            </w:tcBorders>
            <w:noWrap w:val="0"/>
            <w:vAlign w:val="center"/>
          </w:tcPr>
          <w:p w14:paraId="76A408E0">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生产能力</w:t>
            </w:r>
          </w:p>
        </w:tc>
        <w:tc>
          <w:tcPr>
            <w:tcW w:w="652" w:type="dxa"/>
            <w:tcBorders>
              <w:top w:val="single" w:color="auto" w:sz="12" w:space="0"/>
              <w:bottom w:val="double" w:color="auto" w:sz="6" w:space="0"/>
            </w:tcBorders>
            <w:noWrap w:val="0"/>
            <w:vAlign w:val="center"/>
          </w:tcPr>
          <w:p w14:paraId="1E492725">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备注</w:t>
            </w:r>
          </w:p>
        </w:tc>
      </w:tr>
      <w:tr w14:paraId="268BB1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9" w:type="dxa"/>
            <w:tcBorders>
              <w:top w:val="double" w:color="auto" w:sz="6" w:space="0"/>
              <w:bottom w:val="single" w:color="auto" w:sz="6" w:space="0"/>
            </w:tcBorders>
            <w:noWrap w:val="0"/>
            <w:vAlign w:val="center"/>
          </w:tcPr>
          <w:p w14:paraId="4179CB66">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418" w:type="dxa"/>
            <w:tcBorders>
              <w:top w:val="double" w:color="auto" w:sz="6" w:space="0"/>
              <w:bottom w:val="single" w:color="auto" w:sz="6" w:space="0"/>
            </w:tcBorders>
            <w:noWrap w:val="0"/>
            <w:vAlign w:val="center"/>
          </w:tcPr>
          <w:p w14:paraId="4AA1B1C6">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850" w:type="dxa"/>
            <w:tcBorders>
              <w:top w:val="double" w:color="auto" w:sz="6" w:space="0"/>
              <w:bottom w:val="single" w:color="auto" w:sz="6" w:space="0"/>
            </w:tcBorders>
            <w:noWrap w:val="0"/>
            <w:vAlign w:val="center"/>
          </w:tcPr>
          <w:p w14:paraId="38D15FD5">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058" w:type="dxa"/>
            <w:tcBorders>
              <w:top w:val="double" w:color="auto" w:sz="6" w:space="0"/>
              <w:bottom w:val="single" w:color="auto" w:sz="6" w:space="0"/>
            </w:tcBorders>
            <w:noWrap w:val="0"/>
            <w:vAlign w:val="center"/>
          </w:tcPr>
          <w:p w14:paraId="2E6318CE">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880" w:type="dxa"/>
            <w:tcBorders>
              <w:top w:val="double" w:color="auto" w:sz="6" w:space="0"/>
              <w:bottom w:val="single" w:color="auto" w:sz="6" w:space="0"/>
            </w:tcBorders>
            <w:noWrap w:val="0"/>
            <w:vAlign w:val="center"/>
          </w:tcPr>
          <w:p w14:paraId="405842FC">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806" w:type="dxa"/>
            <w:tcBorders>
              <w:top w:val="double" w:color="auto" w:sz="6" w:space="0"/>
              <w:bottom w:val="single" w:color="auto" w:sz="6" w:space="0"/>
            </w:tcBorders>
            <w:noWrap w:val="0"/>
            <w:vAlign w:val="center"/>
          </w:tcPr>
          <w:p w14:paraId="24DAAA9A">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310" w:type="dxa"/>
            <w:tcBorders>
              <w:top w:val="double" w:color="auto" w:sz="6" w:space="0"/>
              <w:bottom w:val="single" w:color="auto" w:sz="6" w:space="0"/>
            </w:tcBorders>
            <w:noWrap w:val="0"/>
            <w:vAlign w:val="center"/>
          </w:tcPr>
          <w:p w14:paraId="26E27EC1">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906" w:type="dxa"/>
            <w:tcBorders>
              <w:top w:val="double" w:color="auto" w:sz="6" w:space="0"/>
              <w:bottom w:val="single" w:color="auto" w:sz="6" w:space="0"/>
            </w:tcBorders>
            <w:noWrap w:val="0"/>
            <w:vAlign w:val="center"/>
          </w:tcPr>
          <w:p w14:paraId="592D1643">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652" w:type="dxa"/>
            <w:tcBorders>
              <w:top w:val="double" w:color="auto" w:sz="6" w:space="0"/>
              <w:bottom w:val="single" w:color="auto" w:sz="6" w:space="0"/>
            </w:tcBorders>
            <w:noWrap w:val="0"/>
            <w:vAlign w:val="center"/>
          </w:tcPr>
          <w:p w14:paraId="1AA3C028">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r>
      <w:tr w14:paraId="7342F2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9" w:type="dxa"/>
            <w:tcBorders>
              <w:top w:val="nil"/>
            </w:tcBorders>
            <w:noWrap w:val="0"/>
            <w:vAlign w:val="center"/>
          </w:tcPr>
          <w:p w14:paraId="150514F8">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418" w:type="dxa"/>
            <w:tcBorders>
              <w:top w:val="nil"/>
            </w:tcBorders>
            <w:noWrap w:val="0"/>
            <w:vAlign w:val="center"/>
          </w:tcPr>
          <w:p w14:paraId="30FDD13C">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850" w:type="dxa"/>
            <w:tcBorders>
              <w:top w:val="nil"/>
            </w:tcBorders>
            <w:noWrap w:val="0"/>
            <w:vAlign w:val="center"/>
          </w:tcPr>
          <w:p w14:paraId="7E60E526">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058" w:type="dxa"/>
            <w:tcBorders>
              <w:top w:val="nil"/>
            </w:tcBorders>
            <w:noWrap w:val="0"/>
            <w:vAlign w:val="center"/>
          </w:tcPr>
          <w:p w14:paraId="5C16FB02">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880" w:type="dxa"/>
            <w:tcBorders>
              <w:top w:val="nil"/>
            </w:tcBorders>
            <w:noWrap w:val="0"/>
            <w:vAlign w:val="center"/>
          </w:tcPr>
          <w:p w14:paraId="106284E2">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806" w:type="dxa"/>
            <w:tcBorders>
              <w:top w:val="nil"/>
            </w:tcBorders>
            <w:noWrap w:val="0"/>
            <w:vAlign w:val="center"/>
          </w:tcPr>
          <w:p w14:paraId="1F299663">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310" w:type="dxa"/>
            <w:tcBorders>
              <w:top w:val="nil"/>
            </w:tcBorders>
            <w:noWrap w:val="0"/>
            <w:vAlign w:val="center"/>
          </w:tcPr>
          <w:p w14:paraId="43EFBDF0">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906" w:type="dxa"/>
            <w:tcBorders>
              <w:top w:val="nil"/>
            </w:tcBorders>
            <w:noWrap w:val="0"/>
            <w:vAlign w:val="center"/>
          </w:tcPr>
          <w:p w14:paraId="7CC13618">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652" w:type="dxa"/>
            <w:tcBorders>
              <w:top w:val="nil"/>
            </w:tcBorders>
            <w:noWrap w:val="0"/>
            <w:vAlign w:val="center"/>
          </w:tcPr>
          <w:p w14:paraId="2C190521">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r>
      <w:tr w14:paraId="778C4A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9" w:type="dxa"/>
            <w:noWrap w:val="0"/>
            <w:vAlign w:val="center"/>
          </w:tcPr>
          <w:p w14:paraId="54F29009">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418" w:type="dxa"/>
            <w:noWrap w:val="0"/>
            <w:vAlign w:val="center"/>
          </w:tcPr>
          <w:p w14:paraId="1B829AD8">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850" w:type="dxa"/>
            <w:noWrap w:val="0"/>
            <w:vAlign w:val="center"/>
          </w:tcPr>
          <w:p w14:paraId="581B3DDC">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058" w:type="dxa"/>
            <w:noWrap w:val="0"/>
            <w:vAlign w:val="center"/>
          </w:tcPr>
          <w:p w14:paraId="7ACDE03A">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880" w:type="dxa"/>
            <w:noWrap w:val="0"/>
            <w:vAlign w:val="center"/>
          </w:tcPr>
          <w:p w14:paraId="035F3E4F">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806" w:type="dxa"/>
            <w:noWrap w:val="0"/>
            <w:vAlign w:val="center"/>
          </w:tcPr>
          <w:p w14:paraId="47A809BE">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310" w:type="dxa"/>
            <w:noWrap w:val="0"/>
            <w:vAlign w:val="center"/>
          </w:tcPr>
          <w:p w14:paraId="682F9E6D">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906" w:type="dxa"/>
            <w:noWrap w:val="0"/>
            <w:vAlign w:val="center"/>
          </w:tcPr>
          <w:p w14:paraId="5BAFD2E6">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652" w:type="dxa"/>
            <w:noWrap w:val="0"/>
            <w:vAlign w:val="center"/>
          </w:tcPr>
          <w:p w14:paraId="6D7914A5">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r>
      <w:tr w14:paraId="51320D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9" w:type="dxa"/>
            <w:noWrap w:val="0"/>
            <w:vAlign w:val="center"/>
          </w:tcPr>
          <w:p w14:paraId="6886A5E6">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418" w:type="dxa"/>
            <w:noWrap w:val="0"/>
            <w:vAlign w:val="center"/>
          </w:tcPr>
          <w:p w14:paraId="0FAD4A40">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850" w:type="dxa"/>
            <w:noWrap w:val="0"/>
            <w:vAlign w:val="center"/>
          </w:tcPr>
          <w:p w14:paraId="7EEDC854">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058" w:type="dxa"/>
            <w:noWrap w:val="0"/>
            <w:vAlign w:val="center"/>
          </w:tcPr>
          <w:p w14:paraId="77AF1470">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880" w:type="dxa"/>
            <w:noWrap w:val="0"/>
            <w:vAlign w:val="center"/>
          </w:tcPr>
          <w:p w14:paraId="359A681D">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806" w:type="dxa"/>
            <w:noWrap w:val="0"/>
            <w:vAlign w:val="center"/>
          </w:tcPr>
          <w:p w14:paraId="0F4405A2">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310" w:type="dxa"/>
            <w:noWrap w:val="0"/>
            <w:vAlign w:val="center"/>
          </w:tcPr>
          <w:p w14:paraId="3153A310">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906" w:type="dxa"/>
            <w:noWrap w:val="0"/>
            <w:vAlign w:val="center"/>
          </w:tcPr>
          <w:p w14:paraId="72C30052">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652" w:type="dxa"/>
            <w:noWrap w:val="0"/>
            <w:vAlign w:val="center"/>
          </w:tcPr>
          <w:p w14:paraId="525F531A">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r>
      <w:tr w14:paraId="3424A9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9" w:type="dxa"/>
            <w:noWrap w:val="0"/>
            <w:vAlign w:val="center"/>
          </w:tcPr>
          <w:p w14:paraId="7255AD87">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418" w:type="dxa"/>
            <w:noWrap w:val="0"/>
            <w:vAlign w:val="center"/>
          </w:tcPr>
          <w:p w14:paraId="733F0754">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850" w:type="dxa"/>
            <w:noWrap w:val="0"/>
            <w:vAlign w:val="center"/>
          </w:tcPr>
          <w:p w14:paraId="205C0A47">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058" w:type="dxa"/>
            <w:noWrap w:val="0"/>
            <w:vAlign w:val="center"/>
          </w:tcPr>
          <w:p w14:paraId="4E700A52">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880" w:type="dxa"/>
            <w:noWrap w:val="0"/>
            <w:vAlign w:val="center"/>
          </w:tcPr>
          <w:p w14:paraId="6E02F9EB">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806" w:type="dxa"/>
            <w:noWrap w:val="0"/>
            <w:vAlign w:val="center"/>
          </w:tcPr>
          <w:p w14:paraId="02953134">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310" w:type="dxa"/>
            <w:noWrap w:val="0"/>
            <w:vAlign w:val="center"/>
          </w:tcPr>
          <w:p w14:paraId="600A8B96">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906" w:type="dxa"/>
            <w:noWrap w:val="0"/>
            <w:vAlign w:val="center"/>
          </w:tcPr>
          <w:p w14:paraId="148BE558">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652" w:type="dxa"/>
            <w:noWrap w:val="0"/>
            <w:vAlign w:val="center"/>
          </w:tcPr>
          <w:p w14:paraId="665572A3">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r>
      <w:tr w14:paraId="29359C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9" w:type="dxa"/>
            <w:noWrap w:val="0"/>
            <w:vAlign w:val="center"/>
          </w:tcPr>
          <w:p w14:paraId="611A8097">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418" w:type="dxa"/>
            <w:noWrap w:val="0"/>
            <w:vAlign w:val="center"/>
          </w:tcPr>
          <w:p w14:paraId="796791F0">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850" w:type="dxa"/>
            <w:noWrap w:val="0"/>
            <w:vAlign w:val="center"/>
          </w:tcPr>
          <w:p w14:paraId="1DEDEE9B">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058" w:type="dxa"/>
            <w:noWrap w:val="0"/>
            <w:vAlign w:val="center"/>
          </w:tcPr>
          <w:p w14:paraId="364BD6EC">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880" w:type="dxa"/>
            <w:noWrap w:val="0"/>
            <w:vAlign w:val="center"/>
          </w:tcPr>
          <w:p w14:paraId="2CA00B3E">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806" w:type="dxa"/>
            <w:noWrap w:val="0"/>
            <w:vAlign w:val="center"/>
          </w:tcPr>
          <w:p w14:paraId="11369D4A">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310" w:type="dxa"/>
            <w:noWrap w:val="0"/>
            <w:vAlign w:val="center"/>
          </w:tcPr>
          <w:p w14:paraId="7910D530">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906" w:type="dxa"/>
            <w:noWrap w:val="0"/>
            <w:vAlign w:val="center"/>
          </w:tcPr>
          <w:p w14:paraId="46A5ED34">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652" w:type="dxa"/>
            <w:noWrap w:val="0"/>
            <w:vAlign w:val="center"/>
          </w:tcPr>
          <w:p w14:paraId="537FBB5D">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r>
      <w:tr w14:paraId="7105A8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9" w:type="dxa"/>
            <w:noWrap w:val="0"/>
            <w:vAlign w:val="center"/>
          </w:tcPr>
          <w:p w14:paraId="712A1D4B">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418" w:type="dxa"/>
            <w:noWrap w:val="0"/>
            <w:vAlign w:val="center"/>
          </w:tcPr>
          <w:p w14:paraId="51B04027">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850" w:type="dxa"/>
            <w:noWrap w:val="0"/>
            <w:vAlign w:val="center"/>
          </w:tcPr>
          <w:p w14:paraId="7B2292DF">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058" w:type="dxa"/>
            <w:noWrap w:val="0"/>
            <w:vAlign w:val="center"/>
          </w:tcPr>
          <w:p w14:paraId="2F6A0599">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880" w:type="dxa"/>
            <w:noWrap w:val="0"/>
            <w:vAlign w:val="center"/>
          </w:tcPr>
          <w:p w14:paraId="54C37B5B">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806" w:type="dxa"/>
            <w:noWrap w:val="0"/>
            <w:vAlign w:val="center"/>
          </w:tcPr>
          <w:p w14:paraId="11076F52">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310" w:type="dxa"/>
            <w:noWrap w:val="0"/>
            <w:vAlign w:val="center"/>
          </w:tcPr>
          <w:p w14:paraId="07F9BA9E">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906" w:type="dxa"/>
            <w:noWrap w:val="0"/>
            <w:vAlign w:val="center"/>
          </w:tcPr>
          <w:p w14:paraId="45313E95">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652" w:type="dxa"/>
            <w:noWrap w:val="0"/>
            <w:vAlign w:val="center"/>
          </w:tcPr>
          <w:p w14:paraId="2A390842">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r>
      <w:tr w14:paraId="7FBFE2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9" w:type="dxa"/>
            <w:noWrap w:val="0"/>
            <w:vAlign w:val="center"/>
          </w:tcPr>
          <w:p w14:paraId="201902D7">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418" w:type="dxa"/>
            <w:noWrap w:val="0"/>
            <w:vAlign w:val="center"/>
          </w:tcPr>
          <w:p w14:paraId="5F970CDF">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850" w:type="dxa"/>
            <w:noWrap w:val="0"/>
            <w:vAlign w:val="center"/>
          </w:tcPr>
          <w:p w14:paraId="7BADB5BF">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058" w:type="dxa"/>
            <w:noWrap w:val="0"/>
            <w:vAlign w:val="center"/>
          </w:tcPr>
          <w:p w14:paraId="0D524D5C">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880" w:type="dxa"/>
            <w:noWrap w:val="0"/>
            <w:vAlign w:val="center"/>
          </w:tcPr>
          <w:p w14:paraId="65A854FE">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806" w:type="dxa"/>
            <w:noWrap w:val="0"/>
            <w:vAlign w:val="center"/>
          </w:tcPr>
          <w:p w14:paraId="3F91843D">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310" w:type="dxa"/>
            <w:noWrap w:val="0"/>
            <w:vAlign w:val="center"/>
          </w:tcPr>
          <w:p w14:paraId="0E7AAF29">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906" w:type="dxa"/>
            <w:noWrap w:val="0"/>
            <w:vAlign w:val="center"/>
          </w:tcPr>
          <w:p w14:paraId="179516D3">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652" w:type="dxa"/>
            <w:noWrap w:val="0"/>
            <w:vAlign w:val="center"/>
          </w:tcPr>
          <w:p w14:paraId="74408F42">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r>
      <w:tr w14:paraId="641C8A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9" w:type="dxa"/>
            <w:noWrap w:val="0"/>
            <w:vAlign w:val="top"/>
          </w:tcPr>
          <w:p w14:paraId="611A7ECA">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418" w:type="dxa"/>
            <w:noWrap w:val="0"/>
            <w:vAlign w:val="top"/>
          </w:tcPr>
          <w:p w14:paraId="366A5FCC">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850" w:type="dxa"/>
            <w:noWrap w:val="0"/>
            <w:vAlign w:val="top"/>
          </w:tcPr>
          <w:p w14:paraId="3C44CD2B">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058" w:type="dxa"/>
            <w:noWrap w:val="0"/>
            <w:vAlign w:val="top"/>
          </w:tcPr>
          <w:p w14:paraId="58F8FC00">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880" w:type="dxa"/>
            <w:noWrap w:val="0"/>
            <w:vAlign w:val="top"/>
          </w:tcPr>
          <w:p w14:paraId="3AB15C2C">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806" w:type="dxa"/>
            <w:noWrap w:val="0"/>
            <w:vAlign w:val="top"/>
          </w:tcPr>
          <w:p w14:paraId="62DA8373">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310" w:type="dxa"/>
            <w:noWrap w:val="0"/>
            <w:vAlign w:val="top"/>
          </w:tcPr>
          <w:p w14:paraId="4AA7387E">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906" w:type="dxa"/>
            <w:noWrap w:val="0"/>
            <w:vAlign w:val="top"/>
          </w:tcPr>
          <w:p w14:paraId="2A6C8986">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652" w:type="dxa"/>
            <w:noWrap w:val="0"/>
            <w:vAlign w:val="top"/>
          </w:tcPr>
          <w:p w14:paraId="01C014FA">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r>
      <w:tr w14:paraId="1BBBF1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9" w:type="dxa"/>
            <w:noWrap w:val="0"/>
            <w:vAlign w:val="center"/>
          </w:tcPr>
          <w:p w14:paraId="508C11B3">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418" w:type="dxa"/>
            <w:noWrap w:val="0"/>
            <w:vAlign w:val="center"/>
          </w:tcPr>
          <w:p w14:paraId="6A5120C7">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850" w:type="dxa"/>
            <w:noWrap w:val="0"/>
            <w:vAlign w:val="center"/>
          </w:tcPr>
          <w:p w14:paraId="7F769717">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058" w:type="dxa"/>
            <w:noWrap w:val="0"/>
            <w:vAlign w:val="center"/>
          </w:tcPr>
          <w:p w14:paraId="13037F70">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880" w:type="dxa"/>
            <w:noWrap w:val="0"/>
            <w:vAlign w:val="center"/>
          </w:tcPr>
          <w:p w14:paraId="50BFABA9">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806" w:type="dxa"/>
            <w:noWrap w:val="0"/>
            <w:vAlign w:val="center"/>
          </w:tcPr>
          <w:p w14:paraId="26D5E87F">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310" w:type="dxa"/>
            <w:noWrap w:val="0"/>
            <w:vAlign w:val="center"/>
          </w:tcPr>
          <w:p w14:paraId="3DBAF5CF">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906" w:type="dxa"/>
            <w:noWrap w:val="0"/>
            <w:vAlign w:val="center"/>
          </w:tcPr>
          <w:p w14:paraId="623189A8">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652" w:type="dxa"/>
            <w:noWrap w:val="0"/>
            <w:vAlign w:val="center"/>
          </w:tcPr>
          <w:p w14:paraId="5AF1C013">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r>
      <w:tr w14:paraId="23BC55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9" w:type="dxa"/>
            <w:noWrap w:val="0"/>
            <w:vAlign w:val="top"/>
          </w:tcPr>
          <w:p w14:paraId="629DFC82">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418" w:type="dxa"/>
            <w:noWrap w:val="0"/>
            <w:vAlign w:val="top"/>
          </w:tcPr>
          <w:p w14:paraId="129305F6">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850" w:type="dxa"/>
            <w:noWrap w:val="0"/>
            <w:vAlign w:val="top"/>
          </w:tcPr>
          <w:p w14:paraId="654657AE">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058" w:type="dxa"/>
            <w:noWrap w:val="0"/>
            <w:vAlign w:val="top"/>
          </w:tcPr>
          <w:p w14:paraId="26F8FA8A">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880" w:type="dxa"/>
            <w:noWrap w:val="0"/>
            <w:vAlign w:val="top"/>
          </w:tcPr>
          <w:p w14:paraId="36D79594">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806" w:type="dxa"/>
            <w:noWrap w:val="0"/>
            <w:vAlign w:val="top"/>
          </w:tcPr>
          <w:p w14:paraId="1F21E0BE">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310" w:type="dxa"/>
            <w:noWrap w:val="0"/>
            <w:vAlign w:val="top"/>
          </w:tcPr>
          <w:p w14:paraId="32B6737E">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906" w:type="dxa"/>
            <w:noWrap w:val="0"/>
            <w:vAlign w:val="top"/>
          </w:tcPr>
          <w:p w14:paraId="178166AA">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652" w:type="dxa"/>
            <w:noWrap w:val="0"/>
            <w:vAlign w:val="top"/>
          </w:tcPr>
          <w:p w14:paraId="5718E9EA">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r>
      <w:tr w14:paraId="66F05E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9" w:type="dxa"/>
            <w:noWrap w:val="0"/>
            <w:vAlign w:val="top"/>
          </w:tcPr>
          <w:p w14:paraId="3ADE2403">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418" w:type="dxa"/>
            <w:noWrap w:val="0"/>
            <w:vAlign w:val="top"/>
          </w:tcPr>
          <w:p w14:paraId="7D3D1511">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850" w:type="dxa"/>
            <w:noWrap w:val="0"/>
            <w:vAlign w:val="top"/>
          </w:tcPr>
          <w:p w14:paraId="516505A1">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058" w:type="dxa"/>
            <w:noWrap w:val="0"/>
            <w:vAlign w:val="top"/>
          </w:tcPr>
          <w:p w14:paraId="7905EBBB">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880" w:type="dxa"/>
            <w:noWrap w:val="0"/>
            <w:vAlign w:val="top"/>
          </w:tcPr>
          <w:p w14:paraId="76354917">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806" w:type="dxa"/>
            <w:noWrap w:val="0"/>
            <w:vAlign w:val="top"/>
          </w:tcPr>
          <w:p w14:paraId="22B99737">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310" w:type="dxa"/>
            <w:noWrap w:val="0"/>
            <w:vAlign w:val="top"/>
          </w:tcPr>
          <w:p w14:paraId="36E243D3">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906" w:type="dxa"/>
            <w:noWrap w:val="0"/>
            <w:vAlign w:val="top"/>
          </w:tcPr>
          <w:p w14:paraId="37FF89E3">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652" w:type="dxa"/>
            <w:noWrap w:val="0"/>
            <w:vAlign w:val="top"/>
          </w:tcPr>
          <w:p w14:paraId="6FA46277">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r>
      <w:tr w14:paraId="216106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9" w:type="dxa"/>
            <w:noWrap w:val="0"/>
            <w:vAlign w:val="top"/>
          </w:tcPr>
          <w:p w14:paraId="5A31C454">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418" w:type="dxa"/>
            <w:noWrap w:val="0"/>
            <w:vAlign w:val="top"/>
          </w:tcPr>
          <w:p w14:paraId="534660FE">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850" w:type="dxa"/>
            <w:noWrap w:val="0"/>
            <w:vAlign w:val="top"/>
          </w:tcPr>
          <w:p w14:paraId="3E1BA9CF">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058" w:type="dxa"/>
            <w:noWrap w:val="0"/>
            <w:vAlign w:val="top"/>
          </w:tcPr>
          <w:p w14:paraId="737CBAC4">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880" w:type="dxa"/>
            <w:noWrap w:val="0"/>
            <w:vAlign w:val="top"/>
          </w:tcPr>
          <w:p w14:paraId="6DE52ED5">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806" w:type="dxa"/>
            <w:noWrap w:val="0"/>
            <w:vAlign w:val="top"/>
          </w:tcPr>
          <w:p w14:paraId="4C6BAF47">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310" w:type="dxa"/>
            <w:noWrap w:val="0"/>
            <w:vAlign w:val="top"/>
          </w:tcPr>
          <w:p w14:paraId="74FD179B">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906" w:type="dxa"/>
            <w:noWrap w:val="0"/>
            <w:vAlign w:val="top"/>
          </w:tcPr>
          <w:p w14:paraId="532E99C8">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652" w:type="dxa"/>
            <w:noWrap w:val="0"/>
            <w:vAlign w:val="top"/>
          </w:tcPr>
          <w:p w14:paraId="6D0AA24C">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r>
      <w:tr w14:paraId="620E38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9" w:type="dxa"/>
            <w:noWrap w:val="0"/>
            <w:vAlign w:val="top"/>
          </w:tcPr>
          <w:p w14:paraId="4333910A">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418" w:type="dxa"/>
            <w:noWrap w:val="0"/>
            <w:vAlign w:val="top"/>
          </w:tcPr>
          <w:p w14:paraId="197C36BF">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850" w:type="dxa"/>
            <w:noWrap w:val="0"/>
            <w:vAlign w:val="top"/>
          </w:tcPr>
          <w:p w14:paraId="697EB836">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058" w:type="dxa"/>
            <w:noWrap w:val="0"/>
            <w:vAlign w:val="top"/>
          </w:tcPr>
          <w:p w14:paraId="39521451">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880" w:type="dxa"/>
            <w:noWrap w:val="0"/>
            <w:vAlign w:val="top"/>
          </w:tcPr>
          <w:p w14:paraId="3886C99F">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806" w:type="dxa"/>
            <w:noWrap w:val="0"/>
            <w:vAlign w:val="top"/>
          </w:tcPr>
          <w:p w14:paraId="43EAA755">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310" w:type="dxa"/>
            <w:noWrap w:val="0"/>
            <w:vAlign w:val="top"/>
          </w:tcPr>
          <w:p w14:paraId="5A881853">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906" w:type="dxa"/>
            <w:noWrap w:val="0"/>
            <w:vAlign w:val="top"/>
          </w:tcPr>
          <w:p w14:paraId="6343C409">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652" w:type="dxa"/>
            <w:noWrap w:val="0"/>
            <w:vAlign w:val="top"/>
          </w:tcPr>
          <w:p w14:paraId="6E57EB4B">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r>
      <w:tr w14:paraId="0ECDF4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9" w:type="dxa"/>
            <w:noWrap w:val="0"/>
            <w:vAlign w:val="top"/>
          </w:tcPr>
          <w:p w14:paraId="4BE6C10F">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418" w:type="dxa"/>
            <w:noWrap w:val="0"/>
            <w:vAlign w:val="top"/>
          </w:tcPr>
          <w:p w14:paraId="764C6DAC">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850" w:type="dxa"/>
            <w:noWrap w:val="0"/>
            <w:vAlign w:val="top"/>
          </w:tcPr>
          <w:p w14:paraId="3D0C0DE0">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058" w:type="dxa"/>
            <w:noWrap w:val="0"/>
            <w:vAlign w:val="top"/>
          </w:tcPr>
          <w:p w14:paraId="0991DEC4">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880" w:type="dxa"/>
            <w:noWrap w:val="0"/>
            <w:vAlign w:val="top"/>
          </w:tcPr>
          <w:p w14:paraId="6B9624EC">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806" w:type="dxa"/>
            <w:noWrap w:val="0"/>
            <w:vAlign w:val="top"/>
          </w:tcPr>
          <w:p w14:paraId="1169F90B">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310" w:type="dxa"/>
            <w:noWrap w:val="0"/>
            <w:vAlign w:val="top"/>
          </w:tcPr>
          <w:p w14:paraId="32D24130">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906" w:type="dxa"/>
            <w:noWrap w:val="0"/>
            <w:vAlign w:val="top"/>
          </w:tcPr>
          <w:p w14:paraId="6210B8B2">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652" w:type="dxa"/>
            <w:noWrap w:val="0"/>
            <w:vAlign w:val="top"/>
          </w:tcPr>
          <w:p w14:paraId="7618017B">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r>
      <w:tr w14:paraId="54C256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9" w:type="dxa"/>
            <w:noWrap w:val="0"/>
            <w:vAlign w:val="top"/>
          </w:tcPr>
          <w:p w14:paraId="14A96F37">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418" w:type="dxa"/>
            <w:noWrap w:val="0"/>
            <w:vAlign w:val="top"/>
          </w:tcPr>
          <w:p w14:paraId="1471EAF7">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850" w:type="dxa"/>
            <w:noWrap w:val="0"/>
            <w:vAlign w:val="top"/>
          </w:tcPr>
          <w:p w14:paraId="4EB4B4F1">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058" w:type="dxa"/>
            <w:noWrap w:val="0"/>
            <w:vAlign w:val="top"/>
          </w:tcPr>
          <w:p w14:paraId="7F1D168F">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880" w:type="dxa"/>
            <w:noWrap w:val="0"/>
            <w:vAlign w:val="top"/>
          </w:tcPr>
          <w:p w14:paraId="7C592424">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806" w:type="dxa"/>
            <w:noWrap w:val="0"/>
            <w:vAlign w:val="top"/>
          </w:tcPr>
          <w:p w14:paraId="72C833CA">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310" w:type="dxa"/>
            <w:noWrap w:val="0"/>
            <w:vAlign w:val="top"/>
          </w:tcPr>
          <w:p w14:paraId="6F24AD19">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906" w:type="dxa"/>
            <w:noWrap w:val="0"/>
            <w:vAlign w:val="top"/>
          </w:tcPr>
          <w:p w14:paraId="3A3C8E0C">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652" w:type="dxa"/>
            <w:noWrap w:val="0"/>
            <w:vAlign w:val="top"/>
          </w:tcPr>
          <w:p w14:paraId="2B687B15">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r>
      <w:tr w14:paraId="01F0D2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9" w:type="dxa"/>
            <w:noWrap w:val="0"/>
            <w:vAlign w:val="top"/>
          </w:tcPr>
          <w:p w14:paraId="177B9C2D">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418" w:type="dxa"/>
            <w:noWrap w:val="0"/>
            <w:vAlign w:val="top"/>
          </w:tcPr>
          <w:p w14:paraId="3A3DE7E8">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850" w:type="dxa"/>
            <w:noWrap w:val="0"/>
            <w:vAlign w:val="top"/>
          </w:tcPr>
          <w:p w14:paraId="7E01CF77">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058" w:type="dxa"/>
            <w:noWrap w:val="0"/>
            <w:vAlign w:val="top"/>
          </w:tcPr>
          <w:p w14:paraId="72E49237">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880" w:type="dxa"/>
            <w:noWrap w:val="0"/>
            <w:vAlign w:val="top"/>
          </w:tcPr>
          <w:p w14:paraId="7B0199CD">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806" w:type="dxa"/>
            <w:noWrap w:val="0"/>
            <w:vAlign w:val="top"/>
          </w:tcPr>
          <w:p w14:paraId="1605A0C8">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310" w:type="dxa"/>
            <w:noWrap w:val="0"/>
            <w:vAlign w:val="top"/>
          </w:tcPr>
          <w:p w14:paraId="5CA129D7">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906" w:type="dxa"/>
            <w:noWrap w:val="0"/>
            <w:vAlign w:val="top"/>
          </w:tcPr>
          <w:p w14:paraId="3C9E98A1">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652" w:type="dxa"/>
            <w:noWrap w:val="0"/>
            <w:vAlign w:val="top"/>
          </w:tcPr>
          <w:p w14:paraId="3CC4A5BB">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r>
      <w:tr w14:paraId="44A44C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9" w:type="dxa"/>
            <w:noWrap w:val="0"/>
            <w:vAlign w:val="top"/>
          </w:tcPr>
          <w:p w14:paraId="10F53E01">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418" w:type="dxa"/>
            <w:noWrap w:val="0"/>
            <w:vAlign w:val="top"/>
          </w:tcPr>
          <w:p w14:paraId="0D3F7842">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850" w:type="dxa"/>
            <w:noWrap w:val="0"/>
            <w:vAlign w:val="top"/>
          </w:tcPr>
          <w:p w14:paraId="762886C4">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058" w:type="dxa"/>
            <w:noWrap w:val="0"/>
            <w:vAlign w:val="top"/>
          </w:tcPr>
          <w:p w14:paraId="55379657">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880" w:type="dxa"/>
            <w:noWrap w:val="0"/>
            <w:vAlign w:val="top"/>
          </w:tcPr>
          <w:p w14:paraId="0E80CCC9">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806" w:type="dxa"/>
            <w:noWrap w:val="0"/>
            <w:vAlign w:val="top"/>
          </w:tcPr>
          <w:p w14:paraId="4B9DA57A">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310" w:type="dxa"/>
            <w:noWrap w:val="0"/>
            <w:vAlign w:val="top"/>
          </w:tcPr>
          <w:p w14:paraId="2F10EA8B">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906" w:type="dxa"/>
            <w:noWrap w:val="0"/>
            <w:vAlign w:val="top"/>
          </w:tcPr>
          <w:p w14:paraId="73236033">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652" w:type="dxa"/>
            <w:noWrap w:val="0"/>
            <w:vAlign w:val="top"/>
          </w:tcPr>
          <w:p w14:paraId="53AE86FC">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r>
      <w:tr w14:paraId="71A13B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9" w:type="dxa"/>
            <w:noWrap w:val="0"/>
            <w:vAlign w:val="top"/>
          </w:tcPr>
          <w:p w14:paraId="4F32F220">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418" w:type="dxa"/>
            <w:noWrap w:val="0"/>
            <w:vAlign w:val="top"/>
          </w:tcPr>
          <w:p w14:paraId="72F53A8E">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850" w:type="dxa"/>
            <w:noWrap w:val="0"/>
            <w:vAlign w:val="top"/>
          </w:tcPr>
          <w:p w14:paraId="3841F2D4">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058" w:type="dxa"/>
            <w:noWrap w:val="0"/>
            <w:vAlign w:val="top"/>
          </w:tcPr>
          <w:p w14:paraId="6C8DEDFB">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880" w:type="dxa"/>
            <w:noWrap w:val="0"/>
            <w:vAlign w:val="top"/>
          </w:tcPr>
          <w:p w14:paraId="51307197">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806" w:type="dxa"/>
            <w:noWrap w:val="0"/>
            <w:vAlign w:val="top"/>
          </w:tcPr>
          <w:p w14:paraId="25618701">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310" w:type="dxa"/>
            <w:noWrap w:val="0"/>
            <w:vAlign w:val="top"/>
          </w:tcPr>
          <w:p w14:paraId="4EACF0DC">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906" w:type="dxa"/>
            <w:noWrap w:val="0"/>
            <w:vAlign w:val="top"/>
          </w:tcPr>
          <w:p w14:paraId="3ABFB02D">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652" w:type="dxa"/>
            <w:noWrap w:val="0"/>
            <w:vAlign w:val="top"/>
          </w:tcPr>
          <w:p w14:paraId="2F1FC954">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r>
    </w:tbl>
    <w:p w14:paraId="59D4D2B4">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p w14:paraId="0D7DA6EC">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p w14:paraId="4BC4ECD0">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p w14:paraId="6B40D094">
      <w:pPr>
        <w:pStyle w:val="11"/>
        <w:rPr>
          <w:rFonts w:hint="eastAsia" w:ascii="宋体" w:hAnsi="宋体" w:eastAsia="宋体" w:cs="宋体"/>
          <w:color w:val="auto"/>
          <w:sz w:val="21"/>
          <w:szCs w:val="21"/>
          <w:highlight w:val="none"/>
        </w:rPr>
      </w:pPr>
    </w:p>
    <w:p w14:paraId="50B5BE1C">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附件6：</w:t>
      </w:r>
    </w:p>
    <w:p w14:paraId="739EEBAA">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承包人主要施工管理人员表</w:t>
      </w:r>
    </w:p>
    <w:tbl>
      <w:tblPr>
        <w:tblStyle w:val="29"/>
        <w:tblW w:w="875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148"/>
        <w:gridCol w:w="941"/>
        <w:gridCol w:w="1134"/>
        <w:gridCol w:w="3660"/>
      </w:tblGrid>
      <w:tr w14:paraId="057F34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noWrap w:val="0"/>
            <w:vAlign w:val="center"/>
          </w:tcPr>
          <w:p w14:paraId="3890B7CF">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名    称</w:t>
            </w:r>
          </w:p>
        </w:tc>
        <w:tc>
          <w:tcPr>
            <w:tcW w:w="1148" w:type="dxa"/>
            <w:tcBorders>
              <w:top w:val="single" w:color="auto" w:sz="12" w:space="0"/>
              <w:bottom w:val="double" w:color="auto" w:sz="6" w:space="0"/>
            </w:tcBorders>
            <w:noWrap w:val="0"/>
            <w:vAlign w:val="center"/>
          </w:tcPr>
          <w:p w14:paraId="3711225D">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姓名</w:t>
            </w:r>
          </w:p>
        </w:tc>
        <w:tc>
          <w:tcPr>
            <w:tcW w:w="941" w:type="dxa"/>
            <w:tcBorders>
              <w:top w:val="single" w:color="auto" w:sz="12" w:space="0"/>
              <w:bottom w:val="double" w:color="auto" w:sz="6" w:space="0"/>
            </w:tcBorders>
            <w:noWrap w:val="0"/>
            <w:vAlign w:val="center"/>
          </w:tcPr>
          <w:p w14:paraId="1BB1F911">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职务</w:t>
            </w:r>
          </w:p>
        </w:tc>
        <w:tc>
          <w:tcPr>
            <w:tcW w:w="1134" w:type="dxa"/>
            <w:tcBorders>
              <w:top w:val="single" w:color="auto" w:sz="12" w:space="0"/>
              <w:bottom w:val="double" w:color="auto" w:sz="6" w:space="0"/>
            </w:tcBorders>
            <w:noWrap w:val="0"/>
            <w:vAlign w:val="center"/>
          </w:tcPr>
          <w:p w14:paraId="6712C389">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职称</w:t>
            </w:r>
          </w:p>
        </w:tc>
        <w:tc>
          <w:tcPr>
            <w:tcW w:w="3660" w:type="dxa"/>
            <w:tcBorders>
              <w:top w:val="single" w:color="auto" w:sz="12" w:space="0"/>
              <w:bottom w:val="double" w:color="auto" w:sz="6" w:space="0"/>
            </w:tcBorders>
            <w:noWrap w:val="0"/>
            <w:vAlign w:val="center"/>
          </w:tcPr>
          <w:p w14:paraId="60F3FA64">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主要资历、经验及承担过的项目</w:t>
            </w:r>
          </w:p>
        </w:tc>
      </w:tr>
      <w:tr w14:paraId="3951E2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54" w:type="dxa"/>
            <w:gridSpan w:val="5"/>
            <w:tcBorders>
              <w:top w:val="double" w:color="auto" w:sz="6" w:space="0"/>
              <w:bottom w:val="single" w:color="auto" w:sz="6" w:space="0"/>
            </w:tcBorders>
            <w:noWrap w:val="0"/>
            <w:vAlign w:val="center"/>
          </w:tcPr>
          <w:p w14:paraId="0BB1EE18">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一、总部人员</w:t>
            </w:r>
          </w:p>
        </w:tc>
      </w:tr>
      <w:tr w14:paraId="422800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14:paraId="5F10A679">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项目主管</w:t>
            </w:r>
          </w:p>
        </w:tc>
        <w:tc>
          <w:tcPr>
            <w:tcW w:w="1148" w:type="dxa"/>
            <w:tcBorders>
              <w:top w:val="nil"/>
            </w:tcBorders>
            <w:noWrap w:val="0"/>
            <w:vAlign w:val="center"/>
          </w:tcPr>
          <w:p w14:paraId="72E74BEB">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941" w:type="dxa"/>
            <w:tcBorders>
              <w:top w:val="nil"/>
            </w:tcBorders>
            <w:noWrap w:val="0"/>
            <w:vAlign w:val="center"/>
          </w:tcPr>
          <w:p w14:paraId="2355FC8F">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134" w:type="dxa"/>
            <w:tcBorders>
              <w:top w:val="nil"/>
            </w:tcBorders>
            <w:noWrap w:val="0"/>
            <w:vAlign w:val="center"/>
          </w:tcPr>
          <w:p w14:paraId="736D1B05">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3660" w:type="dxa"/>
            <w:tcBorders>
              <w:top w:val="nil"/>
            </w:tcBorders>
            <w:noWrap w:val="0"/>
            <w:vAlign w:val="center"/>
          </w:tcPr>
          <w:p w14:paraId="686FE748">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r>
      <w:tr w14:paraId="0F7259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nil"/>
            </w:tcBorders>
            <w:noWrap w:val="0"/>
            <w:vAlign w:val="center"/>
          </w:tcPr>
          <w:p w14:paraId="3B8D20F7">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148" w:type="dxa"/>
            <w:noWrap w:val="0"/>
            <w:vAlign w:val="center"/>
          </w:tcPr>
          <w:p w14:paraId="6339CF8D">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941" w:type="dxa"/>
            <w:noWrap w:val="0"/>
            <w:vAlign w:val="center"/>
          </w:tcPr>
          <w:p w14:paraId="3C1D11F8">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134" w:type="dxa"/>
            <w:noWrap w:val="0"/>
            <w:vAlign w:val="center"/>
          </w:tcPr>
          <w:p w14:paraId="67E5DF3E">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3660" w:type="dxa"/>
            <w:noWrap w:val="0"/>
            <w:vAlign w:val="center"/>
          </w:tcPr>
          <w:p w14:paraId="7962255D">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r>
      <w:tr w14:paraId="72F1EC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14:paraId="376AFF2B">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其他人员</w:t>
            </w:r>
          </w:p>
        </w:tc>
        <w:tc>
          <w:tcPr>
            <w:tcW w:w="1148" w:type="dxa"/>
            <w:noWrap w:val="0"/>
            <w:vAlign w:val="center"/>
          </w:tcPr>
          <w:p w14:paraId="1402A0CB">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941" w:type="dxa"/>
            <w:noWrap w:val="0"/>
            <w:vAlign w:val="center"/>
          </w:tcPr>
          <w:p w14:paraId="0A99AB80">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134" w:type="dxa"/>
            <w:noWrap w:val="0"/>
            <w:vAlign w:val="center"/>
          </w:tcPr>
          <w:p w14:paraId="2E14A627">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3660" w:type="dxa"/>
            <w:noWrap w:val="0"/>
            <w:vAlign w:val="center"/>
          </w:tcPr>
          <w:p w14:paraId="00780A3D">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r>
      <w:tr w14:paraId="67619B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14:paraId="42A67F2A">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148" w:type="dxa"/>
            <w:noWrap w:val="0"/>
            <w:vAlign w:val="center"/>
          </w:tcPr>
          <w:p w14:paraId="17C8C0F1">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941" w:type="dxa"/>
            <w:noWrap w:val="0"/>
            <w:vAlign w:val="center"/>
          </w:tcPr>
          <w:p w14:paraId="3A52FB8A">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134" w:type="dxa"/>
            <w:noWrap w:val="0"/>
            <w:vAlign w:val="center"/>
          </w:tcPr>
          <w:p w14:paraId="114638AE">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3660" w:type="dxa"/>
            <w:noWrap w:val="0"/>
            <w:vAlign w:val="center"/>
          </w:tcPr>
          <w:p w14:paraId="0257B15C">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r>
      <w:tr w14:paraId="3FCA6D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54" w:type="dxa"/>
            <w:gridSpan w:val="5"/>
            <w:tcBorders>
              <w:top w:val="single" w:color="auto" w:sz="6" w:space="0"/>
              <w:bottom w:val="single" w:color="auto" w:sz="6" w:space="0"/>
            </w:tcBorders>
            <w:noWrap w:val="0"/>
            <w:vAlign w:val="center"/>
          </w:tcPr>
          <w:p w14:paraId="0E40207B">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二、现场人员</w:t>
            </w:r>
          </w:p>
        </w:tc>
      </w:tr>
      <w:tr w14:paraId="782B28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479A92CC">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项目经理</w:t>
            </w:r>
          </w:p>
        </w:tc>
        <w:tc>
          <w:tcPr>
            <w:tcW w:w="1148" w:type="dxa"/>
            <w:noWrap w:val="0"/>
            <w:vAlign w:val="center"/>
          </w:tcPr>
          <w:p w14:paraId="30D188A3">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941" w:type="dxa"/>
            <w:noWrap w:val="0"/>
            <w:vAlign w:val="center"/>
          </w:tcPr>
          <w:p w14:paraId="5B4F9123">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134" w:type="dxa"/>
            <w:noWrap w:val="0"/>
            <w:vAlign w:val="center"/>
          </w:tcPr>
          <w:p w14:paraId="0A4010E3">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3660" w:type="dxa"/>
            <w:noWrap w:val="0"/>
            <w:vAlign w:val="center"/>
          </w:tcPr>
          <w:p w14:paraId="541C7311">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r>
      <w:tr w14:paraId="4E8C44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23C96BCF">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项目副经理</w:t>
            </w:r>
          </w:p>
        </w:tc>
        <w:tc>
          <w:tcPr>
            <w:tcW w:w="1148" w:type="dxa"/>
            <w:noWrap w:val="0"/>
            <w:vAlign w:val="center"/>
          </w:tcPr>
          <w:p w14:paraId="481F15AE">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941" w:type="dxa"/>
            <w:noWrap w:val="0"/>
            <w:vAlign w:val="center"/>
          </w:tcPr>
          <w:p w14:paraId="6AD0F5B6">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134" w:type="dxa"/>
            <w:noWrap w:val="0"/>
            <w:vAlign w:val="center"/>
          </w:tcPr>
          <w:p w14:paraId="36609A16">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3660" w:type="dxa"/>
            <w:noWrap w:val="0"/>
            <w:vAlign w:val="center"/>
          </w:tcPr>
          <w:p w14:paraId="7572C57B">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r>
      <w:tr w14:paraId="369A10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59E897C2">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技术负责人</w:t>
            </w:r>
          </w:p>
        </w:tc>
        <w:tc>
          <w:tcPr>
            <w:tcW w:w="1148" w:type="dxa"/>
            <w:noWrap w:val="0"/>
            <w:vAlign w:val="center"/>
          </w:tcPr>
          <w:p w14:paraId="7786985E">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941" w:type="dxa"/>
            <w:noWrap w:val="0"/>
            <w:vAlign w:val="center"/>
          </w:tcPr>
          <w:p w14:paraId="3F285A69">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134" w:type="dxa"/>
            <w:noWrap w:val="0"/>
            <w:vAlign w:val="center"/>
          </w:tcPr>
          <w:p w14:paraId="52CAC028">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3660" w:type="dxa"/>
            <w:noWrap w:val="0"/>
            <w:vAlign w:val="center"/>
          </w:tcPr>
          <w:p w14:paraId="33CE7C5C">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r>
      <w:tr w14:paraId="2D56EE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17471D68">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造价管理</w:t>
            </w:r>
          </w:p>
        </w:tc>
        <w:tc>
          <w:tcPr>
            <w:tcW w:w="1148" w:type="dxa"/>
            <w:noWrap w:val="0"/>
            <w:vAlign w:val="center"/>
          </w:tcPr>
          <w:p w14:paraId="6F199EB8">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941" w:type="dxa"/>
            <w:noWrap w:val="0"/>
            <w:vAlign w:val="center"/>
          </w:tcPr>
          <w:p w14:paraId="4BB96D98">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134" w:type="dxa"/>
            <w:noWrap w:val="0"/>
            <w:vAlign w:val="center"/>
          </w:tcPr>
          <w:p w14:paraId="7A45C6CD">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3660" w:type="dxa"/>
            <w:noWrap w:val="0"/>
            <w:vAlign w:val="center"/>
          </w:tcPr>
          <w:p w14:paraId="5A317C05">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r>
      <w:tr w14:paraId="794E32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5643F0CE">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质量管理</w:t>
            </w:r>
          </w:p>
        </w:tc>
        <w:tc>
          <w:tcPr>
            <w:tcW w:w="1148" w:type="dxa"/>
            <w:noWrap w:val="0"/>
            <w:vAlign w:val="center"/>
          </w:tcPr>
          <w:p w14:paraId="7646B599">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941" w:type="dxa"/>
            <w:noWrap w:val="0"/>
            <w:vAlign w:val="center"/>
          </w:tcPr>
          <w:p w14:paraId="7CDC396F">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134" w:type="dxa"/>
            <w:noWrap w:val="0"/>
            <w:vAlign w:val="center"/>
          </w:tcPr>
          <w:p w14:paraId="627530CB">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3660" w:type="dxa"/>
            <w:noWrap w:val="0"/>
            <w:vAlign w:val="center"/>
          </w:tcPr>
          <w:p w14:paraId="2F5AA5BF">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r>
      <w:tr w14:paraId="373D8B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5B2074D3">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材料管理</w:t>
            </w:r>
          </w:p>
        </w:tc>
        <w:tc>
          <w:tcPr>
            <w:tcW w:w="1148" w:type="dxa"/>
            <w:noWrap w:val="0"/>
            <w:vAlign w:val="center"/>
          </w:tcPr>
          <w:p w14:paraId="2E5A087F">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941" w:type="dxa"/>
            <w:noWrap w:val="0"/>
            <w:vAlign w:val="center"/>
          </w:tcPr>
          <w:p w14:paraId="42BAC5D6">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134" w:type="dxa"/>
            <w:noWrap w:val="0"/>
            <w:vAlign w:val="center"/>
          </w:tcPr>
          <w:p w14:paraId="17F38577">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3660" w:type="dxa"/>
            <w:noWrap w:val="0"/>
            <w:vAlign w:val="center"/>
          </w:tcPr>
          <w:p w14:paraId="03368C2A">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r>
      <w:tr w14:paraId="45777B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463516B0">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计划管理</w:t>
            </w:r>
          </w:p>
        </w:tc>
        <w:tc>
          <w:tcPr>
            <w:tcW w:w="1148" w:type="dxa"/>
            <w:noWrap w:val="0"/>
            <w:vAlign w:val="center"/>
          </w:tcPr>
          <w:p w14:paraId="531277FF">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941" w:type="dxa"/>
            <w:noWrap w:val="0"/>
            <w:vAlign w:val="center"/>
          </w:tcPr>
          <w:p w14:paraId="2A04DDD4">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134" w:type="dxa"/>
            <w:noWrap w:val="0"/>
            <w:vAlign w:val="center"/>
          </w:tcPr>
          <w:p w14:paraId="3F63DE8A">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3660" w:type="dxa"/>
            <w:noWrap w:val="0"/>
            <w:vAlign w:val="center"/>
          </w:tcPr>
          <w:p w14:paraId="3312A385">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r>
      <w:tr w14:paraId="53FD7E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1D7DB794">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安全管理</w:t>
            </w:r>
          </w:p>
        </w:tc>
        <w:tc>
          <w:tcPr>
            <w:tcW w:w="1148" w:type="dxa"/>
            <w:noWrap w:val="0"/>
            <w:vAlign w:val="center"/>
          </w:tcPr>
          <w:p w14:paraId="413B0410">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941" w:type="dxa"/>
            <w:noWrap w:val="0"/>
            <w:vAlign w:val="center"/>
          </w:tcPr>
          <w:p w14:paraId="0BE222CE">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134" w:type="dxa"/>
            <w:noWrap w:val="0"/>
            <w:vAlign w:val="center"/>
          </w:tcPr>
          <w:p w14:paraId="158B200E">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3660" w:type="dxa"/>
            <w:noWrap w:val="0"/>
            <w:vAlign w:val="center"/>
          </w:tcPr>
          <w:p w14:paraId="4A6722CA">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r>
      <w:tr w14:paraId="2D77DE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tcBorders>
              <w:top w:val="single" w:color="auto" w:sz="6" w:space="0"/>
            </w:tcBorders>
            <w:noWrap w:val="0"/>
            <w:vAlign w:val="center"/>
          </w:tcPr>
          <w:p w14:paraId="7345B769">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其他人员</w:t>
            </w:r>
          </w:p>
        </w:tc>
        <w:tc>
          <w:tcPr>
            <w:tcW w:w="1148" w:type="dxa"/>
            <w:noWrap w:val="0"/>
            <w:vAlign w:val="center"/>
          </w:tcPr>
          <w:p w14:paraId="0CB0094A">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941" w:type="dxa"/>
            <w:noWrap w:val="0"/>
            <w:vAlign w:val="center"/>
          </w:tcPr>
          <w:p w14:paraId="642D285F">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134" w:type="dxa"/>
            <w:noWrap w:val="0"/>
            <w:vAlign w:val="center"/>
          </w:tcPr>
          <w:p w14:paraId="468A220E">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3660" w:type="dxa"/>
            <w:noWrap w:val="0"/>
            <w:vAlign w:val="center"/>
          </w:tcPr>
          <w:p w14:paraId="53BB4888">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r>
      <w:tr w14:paraId="2FF808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701BC630">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148" w:type="dxa"/>
            <w:tcBorders>
              <w:bottom w:val="nil"/>
            </w:tcBorders>
            <w:noWrap w:val="0"/>
            <w:vAlign w:val="center"/>
          </w:tcPr>
          <w:p w14:paraId="04A675B9">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941" w:type="dxa"/>
            <w:tcBorders>
              <w:bottom w:val="nil"/>
            </w:tcBorders>
            <w:noWrap w:val="0"/>
            <w:vAlign w:val="center"/>
          </w:tcPr>
          <w:p w14:paraId="7EC7FE14">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134" w:type="dxa"/>
            <w:tcBorders>
              <w:bottom w:val="nil"/>
            </w:tcBorders>
            <w:noWrap w:val="0"/>
            <w:vAlign w:val="center"/>
          </w:tcPr>
          <w:p w14:paraId="5EBFE4FF">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3660" w:type="dxa"/>
            <w:tcBorders>
              <w:bottom w:val="nil"/>
            </w:tcBorders>
            <w:noWrap w:val="0"/>
            <w:vAlign w:val="center"/>
          </w:tcPr>
          <w:p w14:paraId="05B1C126">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r>
      <w:tr w14:paraId="627217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2A88B5FF">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148" w:type="dxa"/>
            <w:noWrap w:val="0"/>
            <w:vAlign w:val="center"/>
          </w:tcPr>
          <w:p w14:paraId="68232204">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941" w:type="dxa"/>
            <w:noWrap w:val="0"/>
            <w:vAlign w:val="center"/>
          </w:tcPr>
          <w:p w14:paraId="683D62DF">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134" w:type="dxa"/>
            <w:noWrap w:val="0"/>
            <w:vAlign w:val="center"/>
          </w:tcPr>
          <w:p w14:paraId="3BFB794A">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3660" w:type="dxa"/>
            <w:noWrap w:val="0"/>
            <w:vAlign w:val="center"/>
          </w:tcPr>
          <w:p w14:paraId="754E1CBA">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r>
      <w:tr w14:paraId="4DFF90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20CBAC9D">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148" w:type="dxa"/>
            <w:noWrap w:val="0"/>
            <w:vAlign w:val="center"/>
          </w:tcPr>
          <w:p w14:paraId="26253BD7">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941" w:type="dxa"/>
            <w:noWrap w:val="0"/>
            <w:vAlign w:val="center"/>
          </w:tcPr>
          <w:p w14:paraId="5111A2D3">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134" w:type="dxa"/>
            <w:noWrap w:val="0"/>
            <w:vAlign w:val="center"/>
          </w:tcPr>
          <w:p w14:paraId="678A1488">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3660" w:type="dxa"/>
            <w:noWrap w:val="0"/>
            <w:vAlign w:val="center"/>
          </w:tcPr>
          <w:p w14:paraId="59B51704">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r>
      <w:tr w14:paraId="639A9A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700193BB">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148" w:type="dxa"/>
            <w:noWrap w:val="0"/>
            <w:vAlign w:val="center"/>
          </w:tcPr>
          <w:p w14:paraId="2440167B">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941" w:type="dxa"/>
            <w:noWrap w:val="0"/>
            <w:vAlign w:val="center"/>
          </w:tcPr>
          <w:p w14:paraId="50B32447">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134" w:type="dxa"/>
            <w:noWrap w:val="0"/>
            <w:vAlign w:val="center"/>
          </w:tcPr>
          <w:p w14:paraId="2989A8B1">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3660" w:type="dxa"/>
            <w:noWrap w:val="0"/>
            <w:vAlign w:val="center"/>
          </w:tcPr>
          <w:p w14:paraId="01C6A59E">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r>
      <w:tr w14:paraId="4EB3B1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single" w:color="auto" w:sz="12" w:space="0"/>
            </w:tcBorders>
            <w:noWrap w:val="0"/>
            <w:vAlign w:val="center"/>
          </w:tcPr>
          <w:p w14:paraId="14DFE5A4">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148" w:type="dxa"/>
            <w:tcBorders>
              <w:bottom w:val="single" w:color="auto" w:sz="12" w:space="0"/>
            </w:tcBorders>
            <w:noWrap w:val="0"/>
            <w:vAlign w:val="center"/>
          </w:tcPr>
          <w:p w14:paraId="0E3A1562">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941" w:type="dxa"/>
            <w:tcBorders>
              <w:bottom w:val="single" w:color="auto" w:sz="12" w:space="0"/>
            </w:tcBorders>
            <w:noWrap w:val="0"/>
            <w:vAlign w:val="center"/>
          </w:tcPr>
          <w:p w14:paraId="3C89B457">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134" w:type="dxa"/>
            <w:tcBorders>
              <w:bottom w:val="single" w:color="auto" w:sz="12" w:space="0"/>
            </w:tcBorders>
            <w:noWrap w:val="0"/>
            <w:vAlign w:val="center"/>
          </w:tcPr>
          <w:p w14:paraId="49214EAF">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3660" w:type="dxa"/>
            <w:tcBorders>
              <w:bottom w:val="single" w:color="auto" w:sz="12" w:space="0"/>
            </w:tcBorders>
            <w:noWrap w:val="0"/>
            <w:vAlign w:val="center"/>
          </w:tcPr>
          <w:p w14:paraId="58240DEF">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r>
    </w:tbl>
    <w:p w14:paraId="1A336D3D">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21"/>
          <w:szCs w:val="21"/>
          <w:highlight w:val="none"/>
        </w:rPr>
        <w:t>附件7：</w:t>
      </w:r>
    </w:p>
    <w:p w14:paraId="67F60134">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分包人主要施工管理人员表</w:t>
      </w:r>
    </w:p>
    <w:tbl>
      <w:tblPr>
        <w:tblStyle w:val="29"/>
        <w:tblW w:w="862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563"/>
        <w:gridCol w:w="1418"/>
        <w:gridCol w:w="928"/>
        <w:gridCol w:w="902"/>
        <w:gridCol w:w="3814"/>
      </w:tblGrid>
      <w:tr w14:paraId="6919AE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63" w:type="dxa"/>
            <w:tcBorders>
              <w:top w:val="single" w:color="auto" w:sz="12" w:space="0"/>
              <w:bottom w:val="double" w:color="auto" w:sz="6" w:space="0"/>
            </w:tcBorders>
            <w:noWrap w:val="0"/>
            <w:vAlign w:val="center"/>
          </w:tcPr>
          <w:p w14:paraId="47B2EF88">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名    称</w:t>
            </w:r>
          </w:p>
        </w:tc>
        <w:tc>
          <w:tcPr>
            <w:tcW w:w="1418" w:type="dxa"/>
            <w:tcBorders>
              <w:top w:val="single" w:color="auto" w:sz="12" w:space="0"/>
              <w:bottom w:val="double" w:color="auto" w:sz="6" w:space="0"/>
            </w:tcBorders>
            <w:noWrap w:val="0"/>
            <w:vAlign w:val="center"/>
          </w:tcPr>
          <w:p w14:paraId="643A2560">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姓名</w:t>
            </w:r>
          </w:p>
        </w:tc>
        <w:tc>
          <w:tcPr>
            <w:tcW w:w="928" w:type="dxa"/>
            <w:tcBorders>
              <w:top w:val="single" w:color="auto" w:sz="12" w:space="0"/>
              <w:bottom w:val="double" w:color="auto" w:sz="6" w:space="0"/>
            </w:tcBorders>
            <w:noWrap w:val="0"/>
            <w:vAlign w:val="center"/>
          </w:tcPr>
          <w:p w14:paraId="590C2E7B">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职务</w:t>
            </w:r>
          </w:p>
        </w:tc>
        <w:tc>
          <w:tcPr>
            <w:tcW w:w="902" w:type="dxa"/>
            <w:tcBorders>
              <w:top w:val="single" w:color="auto" w:sz="12" w:space="0"/>
              <w:bottom w:val="double" w:color="auto" w:sz="6" w:space="0"/>
            </w:tcBorders>
            <w:noWrap w:val="0"/>
            <w:vAlign w:val="center"/>
          </w:tcPr>
          <w:p w14:paraId="0217C442">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职称</w:t>
            </w:r>
          </w:p>
        </w:tc>
        <w:tc>
          <w:tcPr>
            <w:tcW w:w="3814" w:type="dxa"/>
            <w:tcBorders>
              <w:top w:val="single" w:color="auto" w:sz="12" w:space="0"/>
              <w:bottom w:val="double" w:color="auto" w:sz="6" w:space="0"/>
            </w:tcBorders>
            <w:noWrap w:val="0"/>
            <w:vAlign w:val="center"/>
          </w:tcPr>
          <w:p w14:paraId="3BE3A90F">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主要资历、经验及承担过的项目</w:t>
            </w:r>
          </w:p>
        </w:tc>
      </w:tr>
      <w:tr w14:paraId="30689A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625" w:type="dxa"/>
            <w:gridSpan w:val="5"/>
            <w:tcBorders>
              <w:top w:val="double" w:color="auto" w:sz="6" w:space="0"/>
              <w:bottom w:val="single" w:color="auto" w:sz="6" w:space="0"/>
            </w:tcBorders>
            <w:noWrap w:val="0"/>
            <w:vAlign w:val="center"/>
          </w:tcPr>
          <w:p w14:paraId="55336A3E">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一、总部人员</w:t>
            </w:r>
          </w:p>
        </w:tc>
      </w:tr>
      <w:tr w14:paraId="65CCF7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63" w:type="dxa"/>
            <w:tcBorders>
              <w:top w:val="nil"/>
              <w:bottom w:val="nil"/>
            </w:tcBorders>
            <w:noWrap w:val="0"/>
            <w:vAlign w:val="center"/>
          </w:tcPr>
          <w:p w14:paraId="68BC774D">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项目主管</w:t>
            </w:r>
          </w:p>
        </w:tc>
        <w:tc>
          <w:tcPr>
            <w:tcW w:w="1418" w:type="dxa"/>
            <w:tcBorders>
              <w:top w:val="nil"/>
            </w:tcBorders>
            <w:noWrap w:val="0"/>
            <w:vAlign w:val="center"/>
          </w:tcPr>
          <w:p w14:paraId="11CA5113">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928" w:type="dxa"/>
            <w:tcBorders>
              <w:top w:val="nil"/>
            </w:tcBorders>
            <w:noWrap w:val="0"/>
            <w:vAlign w:val="center"/>
          </w:tcPr>
          <w:p w14:paraId="25258FBA">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902" w:type="dxa"/>
            <w:tcBorders>
              <w:top w:val="nil"/>
            </w:tcBorders>
            <w:noWrap w:val="0"/>
            <w:vAlign w:val="center"/>
          </w:tcPr>
          <w:p w14:paraId="0C3D2A00">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3814" w:type="dxa"/>
            <w:tcBorders>
              <w:top w:val="nil"/>
            </w:tcBorders>
            <w:noWrap w:val="0"/>
            <w:vAlign w:val="center"/>
          </w:tcPr>
          <w:p w14:paraId="28984204">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r>
      <w:tr w14:paraId="782A3D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63" w:type="dxa"/>
            <w:tcBorders>
              <w:top w:val="single" w:color="auto" w:sz="6" w:space="0"/>
              <w:bottom w:val="nil"/>
            </w:tcBorders>
            <w:noWrap w:val="0"/>
            <w:vAlign w:val="center"/>
          </w:tcPr>
          <w:p w14:paraId="5F52ED61">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418" w:type="dxa"/>
            <w:noWrap w:val="0"/>
            <w:vAlign w:val="center"/>
          </w:tcPr>
          <w:p w14:paraId="1EAC0DAA">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928" w:type="dxa"/>
            <w:noWrap w:val="0"/>
            <w:vAlign w:val="center"/>
          </w:tcPr>
          <w:p w14:paraId="6BA2BA97">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902" w:type="dxa"/>
            <w:noWrap w:val="0"/>
            <w:vAlign w:val="center"/>
          </w:tcPr>
          <w:p w14:paraId="458D678A">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3814" w:type="dxa"/>
            <w:noWrap w:val="0"/>
            <w:vAlign w:val="center"/>
          </w:tcPr>
          <w:p w14:paraId="7B6829BC">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r>
      <w:tr w14:paraId="63DC17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63" w:type="dxa"/>
            <w:tcBorders>
              <w:top w:val="nil"/>
              <w:bottom w:val="nil"/>
            </w:tcBorders>
            <w:noWrap w:val="0"/>
            <w:vAlign w:val="center"/>
          </w:tcPr>
          <w:p w14:paraId="6ADECF17">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其他人员</w:t>
            </w:r>
          </w:p>
        </w:tc>
        <w:tc>
          <w:tcPr>
            <w:tcW w:w="1418" w:type="dxa"/>
            <w:noWrap w:val="0"/>
            <w:vAlign w:val="center"/>
          </w:tcPr>
          <w:p w14:paraId="7CED0610">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928" w:type="dxa"/>
            <w:noWrap w:val="0"/>
            <w:vAlign w:val="center"/>
          </w:tcPr>
          <w:p w14:paraId="22C7C32B">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902" w:type="dxa"/>
            <w:noWrap w:val="0"/>
            <w:vAlign w:val="center"/>
          </w:tcPr>
          <w:p w14:paraId="4AF90DC2">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3814" w:type="dxa"/>
            <w:noWrap w:val="0"/>
            <w:vAlign w:val="center"/>
          </w:tcPr>
          <w:p w14:paraId="68F2EDC4">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r>
      <w:tr w14:paraId="37CCB6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63" w:type="dxa"/>
            <w:tcBorders>
              <w:top w:val="nil"/>
              <w:bottom w:val="nil"/>
            </w:tcBorders>
            <w:noWrap w:val="0"/>
            <w:vAlign w:val="center"/>
          </w:tcPr>
          <w:p w14:paraId="05964ADD">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418" w:type="dxa"/>
            <w:noWrap w:val="0"/>
            <w:vAlign w:val="center"/>
          </w:tcPr>
          <w:p w14:paraId="3BA9ABD7">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928" w:type="dxa"/>
            <w:noWrap w:val="0"/>
            <w:vAlign w:val="center"/>
          </w:tcPr>
          <w:p w14:paraId="210190E3">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902" w:type="dxa"/>
            <w:noWrap w:val="0"/>
            <w:vAlign w:val="center"/>
          </w:tcPr>
          <w:p w14:paraId="3841184F">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3814" w:type="dxa"/>
            <w:noWrap w:val="0"/>
            <w:vAlign w:val="center"/>
          </w:tcPr>
          <w:p w14:paraId="7A8593E8">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r>
      <w:tr w14:paraId="27901A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625" w:type="dxa"/>
            <w:gridSpan w:val="5"/>
            <w:tcBorders>
              <w:top w:val="single" w:color="auto" w:sz="6" w:space="0"/>
              <w:bottom w:val="single" w:color="auto" w:sz="6" w:space="0"/>
            </w:tcBorders>
            <w:noWrap w:val="0"/>
            <w:vAlign w:val="center"/>
          </w:tcPr>
          <w:p w14:paraId="33751C0E">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二、现场人员</w:t>
            </w:r>
          </w:p>
        </w:tc>
      </w:tr>
      <w:tr w14:paraId="334BF9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63" w:type="dxa"/>
            <w:tcBorders>
              <w:top w:val="single" w:color="auto" w:sz="6" w:space="0"/>
              <w:bottom w:val="single" w:color="auto" w:sz="6" w:space="0"/>
            </w:tcBorders>
            <w:noWrap w:val="0"/>
            <w:vAlign w:val="center"/>
          </w:tcPr>
          <w:p w14:paraId="580E5C97">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项目经理</w:t>
            </w:r>
          </w:p>
        </w:tc>
        <w:tc>
          <w:tcPr>
            <w:tcW w:w="1418" w:type="dxa"/>
            <w:noWrap w:val="0"/>
            <w:vAlign w:val="center"/>
          </w:tcPr>
          <w:p w14:paraId="3C6F887F">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928" w:type="dxa"/>
            <w:noWrap w:val="0"/>
            <w:vAlign w:val="center"/>
          </w:tcPr>
          <w:p w14:paraId="20686CF0">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902" w:type="dxa"/>
            <w:noWrap w:val="0"/>
            <w:vAlign w:val="center"/>
          </w:tcPr>
          <w:p w14:paraId="2544EB75">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3814" w:type="dxa"/>
            <w:noWrap w:val="0"/>
            <w:vAlign w:val="center"/>
          </w:tcPr>
          <w:p w14:paraId="5A0C0BF5">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r>
      <w:tr w14:paraId="07B8EB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63" w:type="dxa"/>
            <w:tcBorders>
              <w:top w:val="single" w:color="auto" w:sz="6" w:space="0"/>
              <w:bottom w:val="single" w:color="auto" w:sz="6" w:space="0"/>
            </w:tcBorders>
            <w:noWrap w:val="0"/>
            <w:vAlign w:val="center"/>
          </w:tcPr>
          <w:p w14:paraId="0F6ED25D">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项目副经理</w:t>
            </w:r>
          </w:p>
        </w:tc>
        <w:tc>
          <w:tcPr>
            <w:tcW w:w="1418" w:type="dxa"/>
            <w:noWrap w:val="0"/>
            <w:vAlign w:val="center"/>
          </w:tcPr>
          <w:p w14:paraId="232F8CC7">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928" w:type="dxa"/>
            <w:noWrap w:val="0"/>
            <w:vAlign w:val="center"/>
          </w:tcPr>
          <w:p w14:paraId="50B8B559">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902" w:type="dxa"/>
            <w:noWrap w:val="0"/>
            <w:vAlign w:val="center"/>
          </w:tcPr>
          <w:p w14:paraId="588C24B9">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3814" w:type="dxa"/>
            <w:noWrap w:val="0"/>
            <w:vAlign w:val="center"/>
          </w:tcPr>
          <w:p w14:paraId="79E2BE0A">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r>
      <w:tr w14:paraId="10E4DF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63" w:type="dxa"/>
            <w:tcBorders>
              <w:top w:val="single" w:color="auto" w:sz="6" w:space="0"/>
              <w:bottom w:val="single" w:color="auto" w:sz="6" w:space="0"/>
            </w:tcBorders>
            <w:noWrap w:val="0"/>
            <w:vAlign w:val="center"/>
          </w:tcPr>
          <w:p w14:paraId="755ADFE3">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技术负责人</w:t>
            </w:r>
          </w:p>
        </w:tc>
        <w:tc>
          <w:tcPr>
            <w:tcW w:w="1418" w:type="dxa"/>
            <w:noWrap w:val="0"/>
            <w:vAlign w:val="center"/>
          </w:tcPr>
          <w:p w14:paraId="2002F0CB">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928" w:type="dxa"/>
            <w:noWrap w:val="0"/>
            <w:vAlign w:val="center"/>
          </w:tcPr>
          <w:p w14:paraId="0DB6B512">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902" w:type="dxa"/>
            <w:noWrap w:val="0"/>
            <w:vAlign w:val="center"/>
          </w:tcPr>
          <w:p w14:paraId="23E45085">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3814" w:type="dxa"/>
            <w:noWrap w:val="0"/>
            <w:vAlign w:val="center"/>
          </w:tcPr>
          <w:p w14:paraId="7C757C18">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r>
      <w:tr w14:paraId="56C9C2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63" w:type="dxa"/>
            <w:tcBorders>
              <w:top w:val="single" w:color="auto" w:sz="6" w:space="0"/>
              <w:bottom w:val="single" w:color="auto" w:sz="6" w:space="0"/>
            </w:tcBorders>
            <w:noWrap w:val="0"/>
            <w:vAlign w:val="center"/>
          </w:tcPr>
          <w:p w14:paraId="6EFBD630">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造价管理</w:t>
            </w:r>
          </w:p>
        </w:tc>
        <w:tc>
          <w:tcPr>
            <w:tcW w:w="1418" w:type="dxa"/>
            <w:noWrap w:val="0"/>
            <w:vAlign w:val="center"/>
          </w:tcPr>
          <w:p w14:paraId="48FD8CF0">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928" w:type="dxa"/>
            <w:noWrap w:val="0"/>
            <w:vAlign w:val="center"/>
          </w:tcPr>
          <w:p w14:paraId="429DFA79">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902" w:type="dxa"/>
            <w:noWrap w:val="0"/>
            <w:vAlign w:val="center"/>
          </w:tcPr>
          <w:p w14:paraId="46F1A249">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3814" w:type="dxa"/>
            <w:noWrap w:val="0"/>
            <w:vAlign w:val="center"/>
          </w:tcPr>
          <w:p w14:paraId="3A4663DB">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r>
      <w:tr w14:paraId="7AFC2D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63" w:type="dxa"/>
            <w:tcBorders>
              <w:top w:val="single" w:color="auto" w:sz="6" w:space="0"/>
              <w:bottom w:val="single" w:color="auto" w:sz="6" w:space="0"/>
            </w:tcBorders>
            <w:noWrap w:val="0"/>
            <w:vAlign w:val="center"/>
          </w:tcPr>
          <w:p w14:paraId="06517955">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质量管理</w:t>
            </w:r>
          </w:p>
        </w:tc>
        <w:tc>
          <w:tcPr>
            <w:tcW w:w="1418" w:type="dxa"/>
            <w:noWrap w:val="0"/>
            <w:vAlign w:val="center"/>
          </w:tcPr>
          <w:p w14:paraId="0D424991">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928" w:type="dxa"/>
            <w:noWrap w:val="0"/>
            <w:vAlign w:val="center"/>
          </w:tcPr>
          <w:p w14:paraId="7A8F3AD5">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902" w:type="dxa"/>
            <w:noWrap w:val="0"/>
            <w:vAlign w:val="center"/>
          </w:tcPr>
          <w:p w14:paraId="76C6C6AA">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3814" w:type="dxa"/>
            <w:noWrap w:val="0"/>
            <w:vAlign w:val="center"/>
          </w:tcPr>
          <w:p w14:paraId="35319FD2">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r>
      <w:tr w14:paraId="40107D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63" w:type="dxa"/>
            <w:tcBorders>
              <w:top w:val="single" w:color="auto" w:sz="6" w:space="0"/>
              <w:bottom w:val="single" w:color="auto" w:sz="6" w:space="0"/>
            </w:tcBorders>
            <w:noWrap w:val="0"/>
            <w:vAlign w:val="center"/>
          </w:tcPr>
          <w:p w14:paraId="36E54492">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材料管理</w:t>
            </w:r>
          </w:p>
        </w:tc>
        <w:tc>
          <w:tcPr>
            <w:tcW w:w="1418" w:type="dxa"/>
            <w:noWrap w:val="0"/>
            <w:vAlign w:val="center"/>
          </w:tcPr>
          <w:p w14:paraId="58F234D3">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928" w:type="dxa"/>
            <w:noWrap w:val="0"/>
            <w:vAlign w:val="center"/>
          </w:tcPr>
          <w:p w14:paraId="05590083">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902" w:type="dxa"/>
            <w:noWrap w:val="0"/>
            <w:vAlign w:val="center"/>
          </w:tcPr>
          <w:p w14:paraId="2CA48573">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3814" w:type="dxa"/>
            <w:noWrap w:val="0"/>
            <w:vAlign w:val="center"/>
          </w:tcPr>
          <w:p w14:paraId="3863EA59">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r>
      <w:tr w14:paraId="2A0434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63" w:type="dxa"/>
            <w:tcBorders>
              <w:top w:val="single" w:color="auto" w:sz="6" w:space="0"/>
              <w:bottom w:val="single" w:color="auto" w:sz="6" w:space="0"/>
            </w:tcBorders>
            <w:noWrap w:val="0"/>
            <w:vAlign w:val="center"/>
          </w:tcPr>
          <w:p w14:paraId="0A30858D">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计划管理</w:t>
            </w:r>
          </w:p>
        </w:tc>
        <w:tc>
          <w:tcPr>
            <w:tcW w:w="1418" w:type="dxa"/>
            <w:noWrap w:val="0"/>
            <w:vAlign w:val="center"/>
          </w:tcPr>
          <w:p w14:paraId="5CEBE454">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928" w:type="dxa"/>
            <w:noWrap w:val="0"/>
            <w:vAlign w:val="center"/>
          </w:tcPr>
          <w:p w14:paraId="623519DE">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902" w:type="dxa"/>
            <w:noWrap w:val="0"/>
            <w:vAlign w:val="center"/>
          </w:tcPr>
          <w:p w14:paraId="17D8ED6F">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3814" w:type="dxa"/>
            <w:noWrap w:val="0"/>
            <w:vAlign w:val="center"/>
          </w:tcPr>
          <w:p w14:paraId="13F83001">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r>
      <w:tr w14:paraId="5D8D75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63" w:type="dxa"/>
            <w:tcBorders>
              <w:top w:val="single" w:color="auto" w:sz="6" w:space="0"/>
              <w:bottom w:val="single" w:color="auto" w:sz="6" w:space="0"/>
            </w:tcBorders>
            <w:noWrap w:val="0"/>
            <w:vAlign w:val="center"/>
          </w:tcPr>
          <w:p w14:paraId="38C63B70">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安全管理</w:t>
            </w:r>
          </w:p>
        </w:tc>
        <w:tc>
          <w:tcPr>
            <w:tcW w:w="1418" w:type="dxa"/>
            <w:noWrap w:val="0"/>
            <w:vAlign w:val="center"/>
          </w:tcPr>
          <w:p w14:paraId="1D9A3B56">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928" w:type="dxa"/>
            <w:noWrap w:val="0"/>
            <w:vAlign w:val="center"/>
          </w:tcPr>
          <w:p w14:paraId="15FD740E">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902" w:type="dxa"/>
            <w:noWrap w:val="0"/>
            <w:vAlign w:val="center"/>
          </w:tcPr>
          <w:p w14:paraId="54E71A59">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3814" w:type="dxa"/>
            <w:noWrap w:val="0"/>
            <w:vAlign w:val="center"/>
          </w:tcPr>
          <w:p w14:paraId="130C88BD">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r>
      <w:tr w14:paraId="0A715A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63" w:type="dxa"/>
            <w:vMerge w:val="restart"/>
            <w:tcBorders>
              <w:top w:val="single" w:color="auto" w:sz="6" w:space="0"/>
            </w:tcBorders>
            <w:noWrap w:val="0"/>
            <w:vAlign w:val="center"/>
          </w:tcPr>
          <w:p w14:paraId="680808B7">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其他人员</w:t>
            </w:r>
          </w:p>
        </w:tc>
        <w:tc>
          <w:tcPr>
            <w:tcW w:w="1418" w:type="dxa"/>
            <w:noWrap w:val="0"/>
            <w:vAlign w:val="center"/>
          </w:tcPr>
          <w:p w14:paraId="1F9A5E0C">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928" w:type="dxa"/>
            <w:noWrap w:val="0"/>
            <w:vAlign w:val="center"/>
          </w:tcPr>
          <w:p w14:paraId="07E7850D">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902" w:type="dxa"/>
            <w:noWrap w:val="0"/>
            <w:vAlign w:val="center"/>
          </w:tcPr>
          <w:p w14:paraId="25E09B6F">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3814" w:type="dxa"/>
            <w:noWrap w:val="0"/>
            <w:vAlign w:val="center"/>
          </w:tcPr>
          <w:p w14:paraId="1E8DA548">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r>
      <w:tr w14:paraId="45C670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63" w:type="dxa"/>
            <w:vMerge w:val="continue"/>
            <w:noWrap w:val="0"/>
            <w:vAlign w:val="center"/>
          </w:tcPr>
          <w:p w14:paraId="606681B7">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418" w:type="dxa"/>
            <w:tcBorders>
              <w:bottom w:val="nil"/>
            </w:tcBorders>
            <w:noWrap w:val="0"/>
            <w:vAlign w:val="center"/>
          </w:tcPr>
          <w:p w14:paraId="11B8BF03">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928" w:type="dxa"/>
            <w:tcBorders>
              <w:bottom w:val="nil"/>
            </w:tcBorders>
            <w:noWrap w:val="0"/>
            <w:vAlign w:val="center"/>
          </w:tcPr>
          <w:p w14:paraId="3B1AEE7B">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902" w:type="dxa"/>
            <w:tcBorders>
              <w:bottom w:val="nil"/>
            </w:tcBorders>
            <w:noWrap w:val="0"/>
            <w:vAlign w:val="center"/>
          </w:tcPr>
          <w:p w14:paraId="19CC84A7">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3814" w:type="dxa"/>
            <w:tcBorders>
              <w:bottom w:val="nil"/>
            </w:tcBorders>
            <w:noWrap w:val="0"/>
            <w:vAlign w:val="center"/>
          </w:tcPr>
          <w:p w14:paraId="1112C18F">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r>
      <w:tr w14:paraId="1A14FA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63" w:type="dxa"/>
            <w:vMerge w:val="continue"/>
            <w:noWrap w:val="0"/>
            <w:vAlign w:val="center"/>
          </w:tcPr>
          <w:p w14:paraId="74C91F61">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418" w:type="dxa"/>
            <w:noWrap w:val="0"/>
            <w:vAlign w:val="center"/>
          </w:tcPr>
          <w:p w14:paraId="43237D66">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928" w:type="dxa"/>
            <w:noWrap w:val="0"/>
            <w:vAlign w:val="center"/>
          </w:tcPr>
          <w:p w14:paraId="243A13CF">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902" w:type="dxa"/>
            <w:noWrap w:val="0"/>
            <w:vAlign w:val="center"/>
          </w:tcPr>
          <w:p w14:paraId="6D0D1C14">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3814" w:type="dxa"/>
            <w:noWrap w:val="0"/>
            <w:vAlign w:val="center"/>
          </w:tcPr>
          <w:p w14:paraId="2CD0CE26">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r>
      <w:tr w14:paraId="211755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63" w:type="dxa"/>
            <w:vMerge w:val="continue"/>
            <w:noWrap w:val="0"/>
            <w:vAlign w:val="center"/>
          </w:tcPr>
          <w:p w14:paraId="0547FCCC">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418" w:type="dxa"/>
            <w:noWrap w:val="0"/>
            <w:vAlign w:val="center"/>
          </w:tcPr>
          <w:p w14:paraId="7C68AEE8">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928" w:type="dxa"/>
            <w:noWrap w:val="0"/>
            <w:vAlign w:val="center"/>
          </w:tcPr>
          <w:p w14:paraId="41DF7129">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902" w:type="dxa"/>
            <w:noWrap w:val="0"/>
            <w:vAlign w:val="center"/>
          </w:tcPr>
          <w:p w14:paraId="277653BC">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3814" w:type="dxa"/>
            <w:noWrap w:val="0"/>
            <w:vAlign w:val="center"/>
          </w:tcPr>
          <w:p w14:paraId="4D86D072">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r>
      <w:tr w14:paraId="4C7797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63" w:type="dxa"/>
            <w:vMerge w:val="continue"/>
            <w:noWrap w:val="0"/>
            <w:vAlign w:val="center"/>
          </w:tcPr>
          <w:p w14:paraId="08D26363">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418" w:type="dxa"/>
            <w:noWrap w:val="0"/>
            <w:vAlign w:val="center"/>
          </w:tcPr>
          <w:p w14:paraId="780738EE">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928" w:type="dxa"/>
            <w:noWrap w:val="0"/>
            <w:vAlign w:val="center"/>
          </w:tcPr>
          <w:p w14:paraId="674338A0">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902" w:type="dxa"/>
            <w:noWrap w:val="0"/>
            <w:vAlign w:val="center"/>
          </w:tcPr>
          <w:p w14:paraId="56C337AF">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3814" w:type="dxa"/>
            <w:noWrap w:val="0"/>
            <w:vAlign w:val="center"/>
          </w:tcPr>
          <w:p w14:paraId="6785E900">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r>
      <w:tr w14:paraId="62231C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63" w:type="dxa"/>
            <w:vMerge w:val="continue"/>
            <w:tcBorders>
              <w:bottom w:val="single" w:color="auto" w:sz="12" w:space="0"/>
            </w:tcBorders>
            <w:noWrap w:val="0"/>
            <w:vAlign w:val="center"/>
          </w:tcPr>
          <w:p w14:paraId="15F7652B">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418" w:type="dxa"/>
            <w:tcBorders>
              <w:bottom w:val="single" w:color="auto" w:sz="12" w:space="0"/>
            </w:tcBorders>
            <w:noWrap w:val="0"/>
            <w:vAlign w:val="center"/>
          </w:tcPr>
          <w:p w14:paraId="439BAE9D">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928" w:type="dxa"/>
            <w:tcBorders>
              <w:bottom w:val="single" w:color="auto" w:sz="12" w:space="0"/>
            </w:tcBorders>
            <w:noWrap w:val="0"/>
            <w:vAlign w:val="center"/>
          </w:tcPr>
          <w:p w14:paraId="69F8A457">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902" w:type="dxa"/>
            <w:tcBorders>
              <w:bottom w:val="single" w:color="auto" w:sz="12" w:space="0"/>
            </w:tcBorders>
            <w:noWrap w:val="0"/>
            <w:vAlign w:val="center"/>
          </w:tcPr>
          <w:p w14:paraId="5FC6DB6B">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3814" w:type="dxa"/>
            <w:tcBorders>
              <w:bottom w:val="single" w:color="auto" w:sz="12" w:space="0"/>
            </w:tcBorders>
            <w:noWrap w:val="0"/>
            <w:vAlign w:val="center"/>
          </w:tcPr>
          <w:p w14:paraId="6C4FC406">
            <w:pPr>
              <w:pStyle w:val="11"/>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r>
    </w:tbl>
    <w:p w14:paraId="3346FD96">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21"/>
          <w:szCs w:val="21"/>
          <w:highlight w:val="none"/>
        </w:rPr>
        <w:t>附件8：</w:t>
      </w:r>
    </w:p>
    <w:p w14:paraId="77A243F3">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履约担保</w:t>
      </w:r>
    </w:p>
    <w:p w14:paraId="298FBFB3">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（发包人名称）：</w:t>
      </w:r>
    </w:p>
    <w:p w14:paraId="4A7CB4C9">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p w14:paraId="437C9673">
      <w:pPr>
        <w:pageBreakBefore w:val="0"/>
        <w:widowControl w:val="0"/>
        <w:kinsoku/>
        <w:wordWrap/>
        <w:overflowPunct/>
        <w:topLinePunct w:val="0"/>
        <w:bidi w:val="0"/>
        <w:snapToGrid/>
        <w:spacing w:line="360" w:lineRule="exact"/>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鉴于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（发包人名称，以下简称“发包人”）与</w:t>
      </w:r>
    </w:p>
    <w:p w14:paraId="1D025FE0">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（承包人名称）（以下称“承包人”）于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日就</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（工程名称）施工及有关事项协商一致共同签订《建设工程施工合同》。我方愿意无条件地、不可撤销地就承包人履行与你方签订的合同，向你方提供连带责任担保。 </w:t>
      </w:r>
    </w:p>
    <w:p w14:paraId="2A2F26EC">
      <w:pPr>
        <w:pageBreakBefore w:val="0"/>
        <w:widowControl w:val="0"/>
        <w:kinsoku/>
        <w:wordWrap/>
        <w:overflowPunct/>
        <w:topLinePunct w:val="0"/>
        <w:bidi w:val="0"/>
        <w:snapToGrid/>
        <w:spacing w:line="360" w:lineRule="exact"/>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担保金额人民币（大写）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00400B5E">
      <w:pPr>
        <w:pageBreakBefore w:val="0"/>
        <w:widowControl w:val="0"/>
        <w:kinsoku/>
        <w:wordWrap/>
        <w:overflowPunct/>
        <w:topLinePunct w:val="0"/>
        <w:bidi w:val="0"/>
        <w:snapToGrid/>
        <w:spacing w:line="360" w:lineRule="exact"/>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担保有效期自你方与承包人签订的合同生效之日起至你方签发或应签发工程接收证书之日止。</w:t>
      </w:r>
    </w:p>
    <w:p w14:paraId="20BBC88A">
      <w:pPr>
        <w:pageBreakBefore w:val="0"/>
        <w:widowControl w:val="0"/>
        <w:kinsoku/>
        <w:wordWrap/>
        <w:overflowPunct/>
        <w:topLinePunct w:val="0"/>
        <w:bidi w:val="0"/>
        <w:snapToGrid/>
        <w:spacing w:line="360" w:lineRule="exact"/>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 在本担保有效期内，因承包人违反合同约定的义务给你方造成经济损失时，我方在收到你方以书面形式提出的在担保金额内的赔偿要求后，在7天内无条件支付。</w:t>
      </w:r>
    </w:p>
    <w:p w14:paraId="5048C34C">
      <w:pPr>
        <w:pageBreakBefore w:val="0"/>
        <w:widowControl w:val="0"/>
        <w:kinsoku/>
        <w:wordWrap/>
        <w:overflowPunct/>
        <w:topLinePunct w:val="0"/>
        <w:bidi w:val="0"/>
        <w:snapToGrid/>
        <w:spacing w:line="360" w:lineRule="exact"/>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 你方和承包人按合同约定变更合同时，我方承担本担保规定的义务不变。</w:t>
      </w:r>
    </w:p>
    <w:p w14:paraId="5ADB18A0">
      <w:pPr>
        <w:pageBreakBefore w:val="0"/>
        <w:widowControl w:val="0"/>
        <w:kinsoku/>
        <w:wordWrap/>
        <w:overflowPunct/>
        <w:topLinePunct w:val="0"/>
        <w:bidi w:val="0"/>
        <w:snapToGrid/>
        <w:spacing w:line="360" w:lineRule="exact"/>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 因本保函发生的纠纷，可由双方协商解决，协商不成的，任何一方均可提请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仲裁委员会仲裁。</w:t>
      </w:r>
    </w:p>
    <w:p w14:paraId="3691E831">
      <w:pPr>
        <w:pageBreakBefore w:val="0"/>
        <w:widowControl w:val="0"/>
        <w:kinsoku/>
        <w:wordWrap/>
        <w:overflowPunct/>
        <w:topLinePunct w:val="0"/>
        <w:bidi w:val="0"/>
        <w:snapToGrid/>
        <w:spacing w:line="360" w:lineRule="exact"/>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 本保函自我方法定代表人（或其授权代理人）签字并加盖公章之日起生效。</w:t>
      </w:r>
    </w:p>
    <w:p w14:paraId="190822E1">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p w14:paraId="36E1FF12">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担 保 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（盖单位章）</w:t>
      </w:r>
    </w:p>
    <w:p w14:paraId="242E5D2C">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法定代表人或其委托代理人：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（签字）</w:t>
      </w:r>
    </w:p>
    <w:p w14:paraId="122511B3">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    址：</w:t>
      </w:r>
      <w:r>
        <w:rPr>
          <w:rFonts w:hint="eastAsia" w:ascii="宋体" w:hAnsi="宋体" w:eastAsia="宋体" w:cs="宋体"/>
          <w:color w:val="auto"/>
          <w:sz w:val="21"/>
          <w:szCs w:val="21"/>
          <w:highlight w:val="none"/>
          <w:u w:val="single"/>
        </w:rPr>
        <w:t xml:space="preserve">                                      </w:t>
      </w:r>
    </w:p>
    <w:p w14:paraId="4937BC98">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w:t>
      </w:r>
      <w:r>
        <w:rPr>
          <w:rFonts w:hint="eastAsia" w:ascii="宋体" w:hAnsi="宋体" w:eastAsia="宋体" w:cs="宋体"/>
          <w:color w:val="auto"/>
          <w:sz w:val="21"/>
          <w:szCs w:val="21"/>
          <w:highlight w:val="none"/>
          <w:u w:val="single"/>
        </w:rPr>
        <w:t xml:space="preserve">                                      </w:t>
      </w:r>
    </w:p>
    <w:p w14:paraId="3374E22E">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电    话：</w:t>
      </w:r>
      <w:r>
        <w:rPr>
          <w:rFonts w:hint="eastAsia" w:ascii="宋体" w:hAnsi="宋体" w:eastAsia="宋体" w:cs="宋体"/>
          <w:color w:val="auto"/>
          <w:sz w:val="21"/>
          <w:szCs w:val="21"/>
          <w:highlight w:val="none"/>
          <w:u w:val="single"/>
        </w:rPr>
        <w:t xml:space="preserve">                                      </w:t>
      </w:r>
    </w:p>
    <w:p w14:paraId="1923C465">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    真：</w:t>
      </w:r>
      <w:r>
        <w:rPr>
          <w:rFonts w:hint="eastAsia" w:ascii="宋体" w:hAnsi="宋体" w:eastAsia="宋体" w:cs="宋体"/>
          <w:color w:val="auto"/>
          <w:sz w:val="21"/>
          <w:szCs w:val="21"/>
          <w:highlight w:val="none"/>
          <w:u w:val="single"/>
        </w:rPr>
        <w:t xml:space="preserve">                                      </w:t>
      </w:r>
    </w:p>
    <w:p w14:paraId="064E3CAD">
      <w:pPr>
        <w:pageBreakBefore w:val="0"/>
        <w:widowControl w:val="0"/>
        <w:kinsoku/>
        <w:wordWrap/>
        <w:overflowPunct/>
        <w:topLinePunct w:val="0"/>
        <w:bidi w:val="0"/>
        <w:snapToGrid/>
        <w:spacing w:line="360" w:lineRule="exact"/>
        <w:ind w:left="0" w:leftChars="0" w:right="0" w:rightChars="0"/>
        <w:jc w:val="left"/>
        <w:rPr>
          <w:rFonts w:hint="eastAsia" w:ascii="宋体" w:hAnsi="宋体" w:eastAsia="宋体" w:cs="宋体"/>
          <w:color w:val="auto"/>
          <w:sz w:val="21"/>
          <w:szCs w:val="21"/>
          <w:highlight w:val="none"/>
          <w:u w:val="single"/>
        </w:rPr>
      </w:pPr>
    </w:p>
    <w:p w14:paraId="4F8385E3">
      <w:pPr>
        <w:pageBreakBefore w:val="0"/>
        <w:widowControl w:val="0"/>
        <w:kinsoku/>
        <w:wordWrap/>
        <w:overflowPunct/>
        <w:topLinePunct w:val="0"/>
        <w:bidi w:val="0"/>
        <w:snapToGrid/>
        <w:spacing w:line="360" w:lineRule="exact"/>
        <w:ind w:left="1329" w:leftChars="0" w:right="0" w:rightChars="0" w:hanging="1329" w:hangingChars="63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14:paraId="591E0EFB">
      <w:pPr>
        <w:pageBreakBefore w:val="0"/>
        <w:widowControl w:val="0"/>
        <w:kinsoku/>
        <w:wordWrap/>
        <w:overflowPunct/>
        <w:topLinePunct w:val="0"/>
        <w:bidi w:val="0"/>
        <w:snapToGrid/>
        <w:spacing w:line="360" w:lineRule="exact"/>
        <w:ind w:left="1329" w:leftChars="0" w:right="0" w:rightChars="0" w:hanging="1329" w:hangingChars="633"/>
        <w:rPr>
          <w:rFonts w:hint="eastAsia" w:ascii="宋体" w:hAnsi="宋体" w:eastAsia="宋体" w:cs="宋体"/>
          <w:color w:val="auto"/>
          <w:sz w:val="21"/>
          <w:szCs w:val="21"/>
          <w:highlight w:val="none"/>
        </w:rPr>
      </w:pPr>
    </w:p>
    <w:p w14:paraId="53C8BCE0">
      <w:pPr>
        <w:pageBreakBefore w:val="0"/>
        <w:widowControl w:val="0"/>
        <w:kinsoku/>
        <w:wordWrap/>
        <w:overflowPunct/>
        <w:topLinePunct w:val="0"/>
        <w:bidi w:val="0"/>
        <w:snapToGrid/>
        <w:spacing w:line="360" w:lineRule="exact"/>
        <w:ind w:left="1329" w:leftChars="0" w:right="0" w:rightChars="0" w:hanging="1329" w:hangingChars="633"/>
        <w:rPr>
          <w:rFonts w:hint="eastAsia" w:ascii="宋体" w:hAnsi="宋体" w:eastAsia="宋体" w:cs="宋体"/>
          <w:color w:val="auto"/>
          <w:sz w:val="21"/>
          <w:szCs w:val="21"/>
          <w:highlight w:val="none"/>
        </w:rPr>
      </w:pPr>
    </w:p>
    <w:p w14:paraId="39DF82DD">
      <w:pPr>
        <w:pageBreakBefore w:val="0"/>
        <w:widowControl w:val="0"/>
        <w:kinsoku/>
        <w:wordWrap/>
        <w:overflowPunct/>
        <w:topLinePunct w:val="0"/>
        <w:bidi w:val="0"/>
        <w:snapToGrid/>
        <w:spacing w:line="360" w:lineRule="exact"/>
        <w:ind w:left="1329" w:leftChars="0" w:right="0" w:rightChars="0" w:hanging="1329" w:hangingChars="633"/>
        <w:rPr>
          <w:rFonts w:hint="eastAsia" w:ascii="宋体" w:hAnsi="宋体" w:eastAsia="宋体" w:cs="宋体"/>
          <w:color w:val="auto"/>
          <w:sz w:val="21"/>
          <w:szCs w:val="21"/>
          <w:highlight w:val="none"/>
        </w:rPr>
      </w:pPr>
    </w:p>
    <w:p w14:paraId="0B5E0D30">
      <w:pPr>
        <w:pageBreakBefore w:val="0"/>
        <w:widowControl w:val="0"/>
        <w:kinsoku/>
        <w:wordWrap/>
        <w:overflowPunct/>
        <w:topLinePunct w:val="0"/>
        <w:bidi w:val="0"/>
        <w:snapToGrid/>
        <w:spacing w:line="360" w:lineRule="exact"/>
        <w:ind w:left="1329" w:leftChars="0" w:right="0" w:rightChars="0" w:hanging="1329" w:hangingChars="633"/>
        <w:rPr>
          <w:rFonts w:hint="eastAsia" w:ascii="宋体" w:hAnsi="宋体" w:eastAsia="宋体" w:cs="宋体"/>
          <w:color w:val="auto"/>
          <w:sz w:val="21"/>
          <w:szCs w:val="21"/>
          <w:highlight w:val="none"/>
        </w:rPr>
      </w:pPr>
    </w:p>
    <w:p w14:paraId="430DB4D8">
      <w:pPr>
        <w:pageBreakBefore w:val="0"/>
        <w:widowControl w:val="0"/>
        <w:kinsoku/>
        <w:wordWrap/>
        <w:overflowPunct/>
        <w:topLinePunct w:val="0"/>
        <w:bidi w:val="0"/>
        <w:snapToGrid/>
        <w:spacing w:line="360" w:lineRule="exact"/>
        <w:ind w:left="1329" w:leftChars="0" w:right="0" w:rightChars="0" w:hanging="1329" w:hangingChars="633"/>
        <w:rPr>
          <w:rFonts w:hint="eastAsia" w:ascii="宋体" w:hAnsi="宋体" w:eastAsia="宋体" w:cs="宋体"/>
          <w:color w:val="auto"/>
          <w:sz w:val="21"/>
          <w:szCs w:val="21"/>
          <w:highlight w:val="none"/>
        </w:rPr>
      </w:pPr>
    </w:p>
    <w:p w14:paraId="28B2D9A6">
      <w:pPr>
        <w:pageBreakBefore w:val="0"/>
        <w:widowControl w:val="0"/>
        <w:kinsoku/>
        <w:wordWrap/>
        <w:overflowPunct/>
        <w:topLinePunct w:val="0"/>
        <w:bidi w:val="0"/>
        <w:snapToGrid/>
        <w:spacing w:line="360" w:lineRule="exact"/>
        <w:ind w:left="1329" w:leftChars="0" w:right="0" w:rightChars="0" w:hanging="1329" w:hangingChars="633"/>
        <w:rPr>
          <w:rFonts w:hint="eastAsia" w:ascii="宋体" w:hAnsi="宋体" w:eastAsia="宋体" w:cs="宋体"/>
          <w:color w:val="auto"/>
          <w:sz w:val="21"/>
          <w:szCs w:val="21"/>
          <w:highlight w:val="none"/>
        </w:rPr>
      </w:pPr>
    </w:p>
    <w:p w14:paraId="73B214E5">
      <w:pPr>
        <w:pageBreakBefore w:val="0"/>
        <w:widowControl w:val="0"/>
        <w:kinsoku/>
        <w:wordWrap/>
        <w:overflowPunct/>
        <w:topLinePunct w:val="0"/>
        <w:bidi w:val="0"/>
        <w:snapToGrid/>
        <w:spacing w:line="360" w:lineRule="exact"/>
        <w:ind w:left="1329" w:leftChars="0" w:right="0" w:rightChars="0" w:hanging="1329" w:hangingChars="633"/>
        <w:rPr>
          <w:rFonts w:hint="eastAsia" w:ascii="宋体" w:hAnsi="宋体" w:eastAsia="宋体" w:cs="宋体"/>
          <w:color w:val="auto"/>
          <w:sz w:val="21"/>
          <w:szCs w:val="21"/>
          <w:highlight w:val="none"/>
        </w:rPr>
      </w:pPr>
    </w:p>
    <w:p w14:paraId="08231DE0">
      <w:pPr>
        <w:pageBreakBefore w:val="0"/>
        <w:widowControl w:val="0"/>
        <w:kinsoku/>
        <w:wordWrap/>
        <w:overflowPunct/>
        <w:topLinePunct w:val="0"/>
        <w:bidi w:val="0"/>
        <w:snapToGrid/>
        <w:spacing w:line="360" w:lineRule="exact"/>
        <w:ind w:left="1329" w:leftChars="0" w:right="0" w:rightChars="0" w:hanging="1329" w:hangingChars="633"/>
        <w:rPr>
          <w:rFonts w:hint="eastAsia" w:ascii="宋体" w:hAnsi="宋体" w:eastAsia="宋体" w:cs="宋体"/>
          <w:color w:val="auto"/>
          <w:sz w:val="21"/>
          <w:szCs w:val="21"/>
          <w:highlight w:val="none"/>
        </w:rPr>
      </w:pPr>
    </w:p>
    <w:p w14:paraId="47D73AC5">
      <w:pPr>
        <w:pageBreakBefore w:val="0"/>
        <w:widowControl w:val="0"/>
        <w:kinsoku/>
        <w:wordWrap/>
        <w:overflowPunct/>
        <w:topLinePunct w:val="0"/>
        <w:bidi w:val="0"/>
        <w:snapToGrid/>
        <w:spacing w:line="360" w:lineRule="exact"/>
        <w:ind w:left="1329" w:leftChars="0" w:right="0" w:rightChars="0" w:hanging="1329" w:hangingChars="633"/>
        <w:rPr>
          <w:rFonts w:hint="eastAsia" w:ascii="宋体" w:hAnsi="宋体" w:eastAsia="宋体" w:cs="宋体"/>
          <w:color w:val="auto"/>
          <w:sz w:val="21"/>
          <w:szCs w:val="21"/>
          <w:highlight w:val="none"/>
        </w:rPr>
      </w:pPr>
    </w:p>
    <w:p w14:paraId="1BDB4E2B">
      <w:pPr>
        <w:pageBreakBefore w:val="0"/>
        <w:widowControl w:val="0"/>
        <w:kinsoku/>
        <w:wordWrap/>
        <w:overflowPunct/>
        <w:topLinePunct w:val="0"/>
        <w:bidi w:val="0"/>
        <w:snapToGrid/>
        <w:spacing w:line="360" w:lineRule="exact"/>
        <w:ind w:left="1329" w:leftChars="0" w:right="0" w:rightChars="0" w:hanging="1329" w:hangingChars="633"/>
        <w:rPr>
          <w:rFonts w:hint="eastAsia" w:ascii="宋体" w:hAnsi="宋体" w:eastAsia="宋体" w:cs="宋体"/>
          <w:color w:val="auto"/>
          <w:sz w:val="21"/>
          <w:szCs w:val="21"/>
          <w:highlight w:val="none"/>
        </w:rPr>
      </w:pPr>
    </w:p>
    <w:p w14:paraId="13D56CC4">
      <w:pPr>
        <w:pStyle w:val="11"/>
        <w:rPr>
          <w:rFonts w:hint="eastAsia" w:ascii="宋体" w:hAnsi="宋体" w:eastAsia="宋体" w:cs="宋体"/>
          <w:color w:val="auto"/>
          <w:sz w:val="21"/>
          <w:szCs w:val="21"/>
          <w:highlight w:val="none"/>
        </w:rPr>
      </w:pPr>
    </w:p>
    <w:p w14:paraId="50EC924A">
      <w:pPr>
        <w:pStyle w:val="11"/>
        <w:rPr>
          <w:rFonts w:hint="eastAsia" w:ascii="宋体" w:hAnsi="宋体" w:eastAsia="宋体" w:cs="宋体"/>
          <w:color w:val="auto"/>
          <w:sz w:val="21"/>
          <w:szCs w:val="21"/>
          <w:highlight w:val="none"/>
        </w:rPr>
      </w:pPr>
    </w:p>
    <w:p w14:paraId="05947E81">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w:t>
      </w:r>
      <w:bookmarkStart w:id="2311" w:name="_Toc267261702"/>
      <w:bookmarkStart w:id="2312" w:name="_Toc296891060"/>
      <w:bookmarkStart w:id="2313" w:name="_Toc296891272"/>
      <w:bookmarkStart w:id="2314" w:name="_Toc296347231"/>
      <w:bookmarkStart w:id="2315" w:name="_Toc296346733"/>
      <w:bookmarkStart w:id="2316" w:name="_Toc296503232"/>
      <w:bookmarkStart w:id="2317" w:name="_Toc296944571"/>
      <w:r>
        <w:rPr>
          <w:rFonts w:hint="eastAsia" w:ascii="宋体" w:hAnsi="宋体" w:eastAsia="宋体" w:cs="宋体"/>
          <w:color w:val="auto"/>
          <w:sz w:val="21"/>
          <w:szCs w:val="21"/>
          <w:highlight w:val="none"/>
        </w:rPr>
        <w:t>件9 ：</w:t>
      </w:r>
    </w:p>
    <w:bookmarkEnd w:id="2311"/>
    <w:bookmarkEnd w:id="2312"/>
    <w:bookmarkEnd w:id="2313"/>
    <w:bookmarkEnd w:id="2314"/>
    <w:bookmarkEnd w:id="2315"/>
    <w:bookmarkEnd w:id="2316"/>
    <w:bookmarkEnd w:id="2317"/>
    <w:p w14:paraId="0A81EDD8">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预付款担保</w:t>
      </w:r>
    </w:p>
    <w:p w14:paraId="73B035B3">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（发包人名称）：</w:t>
      </w:r>
    </w:p>
    <w:p w14:paraId="47BE8D23">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p w14:paraId="1FC87340">
      <w:pPr>
        <w:pageBreakBefore w:val="0"/>
        <w:widowControl w:val="0"/>
        <w:kinsoku/>
        <w:wordWrap/>
        <w:overflowPunct/>
        <w:topLinePunct w:val="0"/>
        <w:bidi w:val="0"/>
        <w:snapToGrid/>
        <w:spacing w:line="360" w:lineRule="exact"/>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（承包人名称）（以下称“承包人”）与</w:t>
      </w:r>
    </w:p>
    <w:p w14:paraId="456A9B9A">
      <w:pPr>
        <w:pageBreakBefore w:val="0"/>
        <w:widowControl w:val="0"/>
        <w:kinsoku/>
        <w:wordWrap/>
        <w:overflowPunct/>
        <w:topLinePunct w:val="0"/>
        <w:bidi w:val="0"/>
        <w:snapToGrid/>
        <w:spacing w:line="360" w:lineRule="exact"/>
        <w:ind w:left="0" w:leftChars="0" w:right="0" w:rightChars="0"/>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bookmarkStart w:id="2318" w:name="_Toc19561"/>
      <w:bookmarkStart w:id="2319" w:name="_Toc29110"/>
      <w:bookmarkStart w:id="2320" w:name="_Toc23079"/>
      <w:bookmarkStart w:id="2321" w:name="_Toc10563"/>
      <w:r>
        <w:rPr>
          <w:rFonts w:hint="eastAsia" w:ascii="宋体" w:hAnsi="宋体" w:eastAsia="宋体" w:cs="宋体"/>
          <w:color w:val="auto"/>
          <w:sz w:val="21"/>
          <w:szCs w:val="21"/>
          <w:highlight w:val="none"/>
        </w:rPr>
        <w:t>（发包人名称）（以下简称“发包人”）</w:t>
      </w:r>
      <w:bookmarkEnd w:id="2318"/>
      <w:bookmarkEnd w:id="2319"/>
      <w:bookmarkEnd w:id="2320"/>
      <w:bookmarkEnd w:id="2321"/>
    </w:p>
    <w:p w14:paraId="732069DD">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日签订的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（工程名称）《建设工程施工合同》，承包人按约定的金额向你方提交一份预付款担保，即有权得到你方支付相等金额的预付款。我方愿意就你方提供给承包人的预付款为承包人提供连带责任担保。</w:t>
      </w:r>
    </w:p>
    <w:p w14:paraId="4B3BD331">
      <w:pPr>
        <w:pageBreakBefore w:val="0"/>
        <w:widowControl w:val="0"/>
        <w:kinsoku/>
        <w:wordWrap/>
        <w:overflowPunct/>
        <w:topLinePunct w:val="0"/>
        <w:bidi w:val="0"/>
        <w:snapToGrid/>
        <w:spacing w:line="360" w:lineRule="exact"/>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担保金额人民币（大写）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7A0C6CA3">
      <w:pPr>
        <w:pageBreakBefore w:val="0"/>
        <w:widowControl w:val="0"/>
        <w:kinsoku/>
        <w:wordWrap/>
        <w:overflowPunct/>
        <w:topLinePunct w:val="0"/>
        <w:bidi w:val="0"/>
        <w:snapToGrid/>
        <w:spacing w:line="360" w:lineRule="exact"/>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担保有效期自预付款支付给承包人起生效，至你方签发的进度款支付证书说明已完全扣清止。</w:t>
      </w:r>
    </w:p>
    <w:p w14:paraId="6989DAFF">
      <w:pPr>
        <w:pageBreakBefore w:val="0"/>
        <w:widowControl w:val="0"/>
        <w:kinsoku/>
        <w:wordWrap/>
        <w:overflowPunct/>
        <w:topLinePunct w:val="0"/>
        <w:bidi w:val="0"/>
        <w:snapToGrid/>
        <w:spacing w:line="360" w:lineRule="exact"/>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 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p>
    <w:p w14:paraId="0EF9E0CD">
      <w:pPr>
        <w:pageBreakBefore w:val="0"/>
        <w:widowControl w:val="0"/>
        <w:kinsoku/>
        <w:wordWrap/>
        <w:overflowPunct/>
        <w:topLinePunct w:val="0"/>
        <w:bidi w:val="0"/>
        <w:snapToGrid/>
        <w:spacing w:line="360" w:lineRule="exact"/>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 你方和承包人按合同约定变更合同时，我方承担本保函规定的义务不变。</w:t>
      </w:r>
    </w:p>
    <w:p w14:paraId="11EDF767">
      <w:pPr>
        <w:pageBreakBefore w:val="0"/>
        <w:widowControl w:val="0"/>
        <w:kinsoku/>
        <w:wordWrap/>
        <w:overflowPunct/>
        <w:topLinePunct w:val="0"/>
        <w:bidi w:val="0"/>
        <w:snapToGrid/>
        <w:spacing w:line="360" w:lineRule="exact"/>
        <w:ind w:left="0" w:leftChars="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 因本保函发生的纠纷，可由双方协商解决，协商不成的，任何一方均可提请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仲裁委员会仲裁。</w:t>
      </w:r>
    </w:p>
    <w:p w14:paraId="34B58E6C">
      <w:pPr>
        <w:pageBreakBefore w:val="0"/>
        <w:widowControl w:val="0"/>
        <w:kinsoku/>
        <w:wordWrap/>
        <w:overflowPunct/>
        <w:topLinePunct w:val="0"/>
        <w:bidi w:val="0"/>
        <w:snapToGrid/>
        <w:spacing w:line="360" w:lineRule="exact"/>
        <w:ind w:left="0" w:leftChars="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 本保函自我方法定代表人（或其授权代理人）签字并加盖公章之日起生效。</w:t>
      </w:r>
    </w:p>
    <w:p w14:paraId="0340E64A">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p w14:paraId="2EA14434">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p w14:paraId="101FC3C8">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担保人：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（盖单位章）</w:t>
      </w:r>
    </w:p>
    <w:p w14:paraId="317F3AEC">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法定代表人或其委托代理人：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（签字）</w:t>
      </w:r>
    </w:p>
    <w:p w14:paraId="62E048AF">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    址：</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p>
    <w:p w14:paraId="2CC744C0">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邮政编码：</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p>
    <w:p w14:paraId="72C03708">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电    话：</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p>
    <w:p w14:paraId="77846848">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传    真：</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p>
    <w:p w14:paraId="20387C9C">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6D94DECE">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u w:val="single"/>
        </w:rPr>
      </w:pPr>
    </w:p>
    <w:p w14:paraId="597C4A14">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14:paraId="4ED2EB1A">
      <w:pPr>
        <w:spacing w:line="440" w:lineRule="exact"/>
        <w:rPr>
          <w:rFonts w:hint="eastAsia" w:ascii="宋体" w:hAnsi="宋体" w:eastAsia="宋体" w:cs="宋体"/>
          <w:color w:val="auto"/>
          <w:sz w:val="21"/>
          <w:szCs w:val="21"/>
          <w:highlight w:val="none"/>
        </w:rPr>
      </w:pPr>
      <w:r>
        <w:rPr>
          <w:rFonts w:eastAsia="仿宋_GB2312"/>
          <w:b/>
          <w:color w:val="auto"/>
          <w:sz w:val="30"/>
          <w:szCs w:val="30"/>
          <w:highlight w:val="none"/>
        </w:rPr>
        <w:br w:type="page"/>
      </w:r>
      <w:r>
        <w:rPr>
          <w:rFonts w:hint="eastAsia" w:ascii="宋体" w:hAnsi="宋体" w:eastAsia="宋体" w:cs="宋体"/>
          <w:color w:val="auto"/>
          <w:sz w:val="21"/>
          <w:szCs w:val="21"/>
          <w:highlight w:val="none"/>
        </w:rPr>
        <w:t xml:space="preserve">附件10:  </w:t>
      </w:r>
    </w:p>
    <w:p w14:paraId="711A99FF">
      <w:pPr>
        <w:spacing w:before="120" w:beforeLines="50" w:after="120" w:afterLines="50"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支付担保</w:t>
      </w:r>
    </w:p>
    <w:p w14:paraId="4C7B2E18">
      <w:pPr>
        <w:spacing w:line="44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（承包人）：</w:t>
      </w:r>
    </w:p>
    <w:p w14:paraId="32D4765B">
      <w:pPr>
        <w:spacing w:line="440" w:lineRule="exact"/>
        <w:jc w:val="left"/>
        <w:rPr>
          <w:rFonts w:hint="eastAsia" w:ascii="宋体" w:hAnsi="宋体" w:eastAsia="宋体" w:cs="宋体"/>
          <w:color w:val="auto"/>
          <w:sz w:val="21"/>
          <w:szCs w:val="21"/>
          <w:highlight w:val="none"/>
        </w:rPr>
      </w:pPr>
    </w:p>
    <w:p w14:paraId="60B88757">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鉴于你方作为承包人已经与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（发包人名称）（以下称“发包人”）于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日签订了</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（工程名称）《建设工程施工合同》（以下称“主合同”），应发包人的申请，我方愿就发包人履行主合同约定的工程款支付义务以保证的方式向你方提供如下担保：</w:t>
      </w:r>
    </w:p>
    <w:p w14:paraId="1BF7C55B">
      <w:pPr>
        <w:spacing w:line="360" w:lineRule="auto"/>
        <w:ind w:firstLine="420" w:firstLineChars="200"/>
        <w:jc w:val="left"/>
        <w:outlineLvl w:val="0"/>
        <w:rPr>
          <w:rFonts w:hint="eastAsia" w:ascii="宋体" w:hAnsi="宋体" w:eastAsia="宋体" w:cs="宋体"/>
          <w:color w:val="auto"/>
          <w:sz w:val="21"/>
          <w:szCs w:val="21"/>
          <w:highlight w:val="none"/>
        </w:rPr>
      </w:pPr>
      <w:bookmarkStart w:id="2322" w:name="_Toc25964"/>
      <w:bookmarkStart w:id="2323" w:name="_Toc31131"/>
      <w:bookmarkStart w:id="2324" w:name="_Toc20380"/>
      <w:bookmarkStart w:id="2325" w:name="_Toc11400"/>
      <w:r>
        <w:rPr>
          <w:rFonts w:hint="eastAsia" w:ascii="宋体" w:hAnsi="宋体" w:eastAsia="宋体" w:cs="宋体"/>
          <w:color w:val="auto"/>
          <w:sz w:val="21"/>
          <w:szCs w:val="21"/>
          <w:highlight w:val="none"/>
        </w:rPr>
        <w:t>一、保证的范围及保证金额</w:t>
      </w:r>
      <w:bookmarkEnd w:id="2322"/>
      <w:bookmarkEnd w:id="2323"/>
      <w:bookmarkEnd w:id="2324"/>
      <w:bookmarkEnd w:id="2325"/>
    </w:p>
    <w:p w14:paraId="39EA49FD">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我方的保证范围是主合同约定的工程款。</w:t>
      </w:r>
    </w:p>
    <w:p w14:paraId="3D18F562">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本保函所称主合同约定的工程款是指主合同约定的除工程质量保证金以外的合同价款。</w:t>
      </w:r>
    </w:p>
    <w:p w14:paraId="48B42475">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 我方保证的金额是主合同约定的工程款的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%，数额最高不超过人民币元（大写：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5636D8E4">
      <w:pPr>
        <w:spacing w:line="360" w:lineRule="auto"/>
        <w:ind w:firstLine="420" w:firstLineChars="200"/>
        <w:jc w:val="left"/>
        <w:outlineLvl w:val="0"/>
        <w:rPr>
          <w:rFonts w:hint="eastAsia" w:ascii="宋体" w:hAnsi="宋体" w:eastAsia="宋体" w:cs="宋体"/>
          <w:color w:val="auto"/>
          <w:sz w:val="21"/>
          <w:szCs w:val="21"/>
          <w:highlight w:val="none"/>
        </w:rPr>
      </w:pPr>
      <w:bookmarkStart w:id="2326" w:name="_Toc10162"/>
      <w:bookmarkStart w:id="2327" w:name="_Toc16286"/>
      <w:bookmarkStart w:id="2328" w:name="_Toc31793"/>
      <w:bookmarkStart w:id="2329" w:name="_Toc13918"/>
      <w:r>
        <w:rPr>
          <w:rFonts w:hint="eastAsia" w:ascii="宋体" w:hAnsi="宋体" w:eastAsia="宋体" w:cs="宋体"/>
          <w:color w:val="auto"/>
          <w:sz w:val="21"/>
          <w:szCs w:val="21"/>
          <w:highlight w:val="none"/>
        </w:rPr>
        <w:t>二、保证的方式及保证期间</w:t>
      </w:r>
      <w:bookmarkEnd w:id="2326"/>
      <w:bookmarkEnd w:id="2327"/>
      <w:bookmarkEnd w:id="2328"/>
      <w:bookmarkEnd w:id="2329"/>
    </w:p>
    <w:p w14:paraId="754DB372">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我方保证的方式为：连带责任保证。</w:t>
      </w:r>
    </w:p>
    <w:p w14:paraId="3E7476A0">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我方保证的期间为：自本合同生效之日起至主合同约定的工程款支付完毕之日后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日内。</w:t>
      </w:r>
    </w:p>
    <w:p w14:paraId="383CD82A">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 你方与发包人协议变更工程款支付日期的，经我方书面同意后，保证期间按照变更后的支付日期做相应调整。</w:t>
      </w:r>
    </w:p>
    <w:p w14:paraId="24B1B17E">
      <w:pPr>
        <w:spacing w:line="360" w:lineRule="auto"/>
        <w:ind w:firstLine="420" w:firstLineChars="200"/>
        <w:jc w:val="left"/>
        <w:outlineLvl w:val="0"/>
        <w:rPr>
          <w:rFonts w:hint="eastAsia" w:ascii="宋体" w:hAnsi="宋体" w:eastAsia="宋体" w:cs="宋体"/>
          <w:color w:val="auto"/>
          <w:sz w:val="21"/>
          <w:szCs w:val="21"/>
          <w:highlight w:val="none"/>
        </w:rPr>
      </w:pPr>
      <w:bookmarkStart w:id="2330" w:name="_Toc30010"/>
      <w:bookmarkStart w:id="2331" w:name="_Toc30478"/>
      <w:bookmarkStart w:id="2332" w:name="_Toc3217"/>
      <w:bookmarkStart w:id="2333" w:name="_Toc28829"/>
      <w:r>
        <w:rPr>
          <w:rFonts w:hint="eastAsia" w:ascii="宋体" w:hAnsi="宋体" w:eastAsia="宋体" w:cs="宋体"/>
          <w:color w:val="auto"/>
          <w:sz w:val="21"/>
          <w:szCs w:val="21"/>
          <w:highlight w:val="none"/>
        </w:rPr>
        <w:t>三、承担保证责任的形式</w:t>
      </w:r>
      <w:bookmarkEnd w:id="2330"/>
      <w:bookmarkEnd w:id="2331"/>
      <w:bookmarkEnd w:id="2332"/>
      <w:bookmarkEnd w:id="2333"/>
    </w:p>
    <w:p w14:paraId="15EC22F7">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我方承担保证责任的形式是代为支付。发包人未按主合同约定向你方支付工程款的，由我方在保证金额内代为支付。</w:t>
      </w:r>
    </w:p>
    <w:p w14:paraId="3120654B">
      <w:pPr>
        <w:spacing w:line="360" w:lineRule="auto"/>
        <w:ind w:firstLine="420" w:firstLineChars="200"/>
        <w:jc w:val="left"/>
        <w:outlineLvl w:val="0"/>
        <w:rPr>
          <w:rFonts w:hint="eastAsia" w:ascii="宋体" w:hAnsi="宋体" w:eastAsia="宋体" w:cs="宋体"/>
          <w:color w:val="auto"/>
          <w:sz w:val="21"/>
          <w:szCs w:val="21"/>
          <w:highlight w:val="none"/>
        </w:rPr>
      </w:pPr>
      <w:bookmarkStart w:id="2334" w:name="_Toc11312"/>
      <w:bookmarkStart w:id="2335" w:name="_Toc17037"/>
      <w:bookmarkStart w:id="2336" w:name="_Toc19016"/>
      <w:bookmarkStart w:id="2337" w:name="_Toc4883"/>
      <w:r>
        <w:rPr>
          <w:rFonts w:hint="eastAsia" w:ascii="宋体" w:hAnsi="宋体" w:eastAsia="宋体" w:cs="宋体"/>
          <w:color w:val="auto"/>
          <w:sz w:val="21"/>
          <w:szCs w:val="21"/>
          <w:highlight w:val="none"/>
        </w:rPr>
        <w:t>四、代偿的安排</w:t>
      </w:r>
      <w:bookmarkEnd w:id="2334"/>
      <w:bookmarkEnd w:id="2335"/>
      <w:bookmarkEnd w:id="2336"/>
      <w:bookmarkEnd w:id="2337"/>
    </w:p>
    <w:p w14:paraId="6E058997">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你方要求我方承担保证责任的，应向我方发出书面索赔通知及发包人未支付主合同约定工程款的证明材料。索赔通知应写明要求索赔的金额，支付款项应到达的账号。</w:t>
      </w:r>
    </w:p>
    <w:p w14:paraId="066E5D4D">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在出现你方与发包人因工程质量发生争议，发包人拒绝向你方支付工程款的情形时，你方要求我方履行保证责任代为支付的，需提供符合相应条件要求的工程质量检测机构出具的质量说明材料。</w:t>
      </w:r>
    </w:p>
    <w:p w14:paraId="08C4D662">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 我方收到你方的书面索赔通知及相应的证明材料后７天内无条件支付。</w:t>
      </w:r>
    </w:p>
    <w:p w14:paraId="671942DF">
      <w:pPr>
        <w:spacing w:line="360" w:lineRule="auto"/>
        <w:ind w:firstLine="420" w:firstLineChars="200"/>
        <w:jc w:val="left"/>
        <w:outlineLvl w:val="0"/>
        <w:rPr>
          <w:rFonts w:hint="eastAsia" w:ascii="宋体" w:hAnsi="宋体" w:eastAsia="宋体" w:cs="宋体"/>
          <w:color w:val="auto"/>
          <w:sz w:val="21"/>
          <w:szCs w:val="21"/>
          <w:highlight w:val="none"/>
        </w:rPr>
      </w:pPr>
      <w:bookmarkStart w:id="2338" w:name="_Toc25107"/>
      <w:bookmarkStart w:id="2339" w:name="_Toc1507"/>
      <w:bookmarkStart w:id="2340" w:name="_Toc29416"/>
      <w:bookmarkStart w:id="2341" w:name="_Toc30624"/>
      <w:r>
        <w:rPr>
          <w:rFonts w:hint="eastAsia" w:ascii="宋体" w:hAnsi="宋体" w:eastAsia="宋体" w:cs="宋体"/>
          <w:color w:val="auto"/>
          <w:sz w:val="21"/>
          <w:szCs w:val="21"/>
          <w:highlight w:val="none"/>
        </w:rPr>
        <w:t>五、保证责任的解除</w:t>
      </w:r>
      <w:bookmarkEnd w:id="2338"/>
      <w:bookmarkEnd w:id="2339"/>
      <w:bookmarkEnd w:id="2340"/>
      <w:bookmarkEnd w:id="2341"/>
    </w:p>
    <w:p w14:paraId="3C0812AB">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在本保函承诺的保证期间内，你方未书面向我方主张保证责任的，自保证期间届满次日起，我方保证责任解除。</w:t>
      </w:r>
    </w:p>
    <w:p w14:paraId="5BEA299A">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发包人按主合同约定履行了工程款的全部支付义务的，自本保函承诺的保证期间届满次日起，我方保证责任解除。</w:t>
      </w:r>
    </w:p>
    <w:p w14:paraId="26752791">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 我方按照本保函向你方履行保证责任所支付金额达到本保函保证金额时，自我方向你方支付（支付款项从我方账户划出）之日起，保证责任即解除。</w:t>
      </w:r>
    </w:p>
    <w:p w14:paraId="55137F1E">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 按照法律法规的规定或出现应解除我方保证责任的其他情形的，我方在本保函项下的保证责任亦解除。</w:t>
      </w:r>
    </w:p>
    <w:p w14:paraId="29D1778D">
      <w:pPr>
        <w:spacing w:line="360" w:lineRule="auto"/>
        <w:jc w:val="left"/>
        <w:rPr>
          <w:rFonts w:hint="eastAsia" w:ascii="宋体" w:hAnsi="宋体" w:eastAsia="宋体" w:cs="宋体"/>
          <w:color w:val="auto"/>
          <w:sz w:val="21"/>
          <w:szCs w:val="21"/>
          <w:highlight w:val="none"/>
        </w:rPr>
      </w:pPr>
    </w:p>
    <w:p w14:paraId="53041A51">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 我方解除保证责任后，你方应自我方保证责任解除之日起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个工作日内，将本保函原件返还我方。</w:t>
      </w:r>
    </w:p>
    <w:p w14:paraId="50489DA2">
      <w:pPr>
        <w:spacing w:line="360" w:lineRule="auto"/>
        <w:ind w:firstLine="420" w:firstLineChars="200"/>
        <w:jc w:val="left"/>
        <w:outlineLvl w:val="0"/>
        <w:rPr>
          <w:rFonts w:hint="eastAsia" w:ascii="宋体" w:hAnsi="宋体" w:eastAsia="宋体" w:cs="宋体"/>
          <w:color w:val="auto"/>
          <w:sz w:val="21"/>
          <w:szCs w:val="21"/>
          <w:highlight w:val="none"/>
        </w:rPr>
      </w:pPr>
      <w:bookmarkStart w:id="2342" w:name="_Toc3962"/>
      <w:bookmarkStart w:id="2343" w:name="_Toc11064"/>
      <w:bookmarkStart w:id="2344" w:name="_Toc23407"/>
      <w:bookmarkStart w:id="2345" w:name="_Toc14021"/>
      <w:r>
        <w:rPr>
          <w:rFonts w:hint="eastAsia" w:ascii="宋体" w:hAnsi="宋体" w:eastAsia="宋体" w:cs="宋体"/>
          <w:color w:val="auto"/>
          <w:sz w:val="21"/>
          <w:szCs w:val="21"/>
          <w:highlight w:val="none"/>
        </w:rPr>
        <w:t>六、免责条款</w:t>
      </w:r>
      <w:bookmarkEnd w:id="2342"/>
      <w:bookmarkEnd w:id="2343"/>
      <w:bookmarkEnd w:id="2344"/>
      <w:bookmarkEnd w:id="2345"/>
    </w:p>
    <w:p w14:paraId="71D7EE10">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因你方违约致使发包人不能履行义务的，我方不承担保证责任。</w:t>
      </w:r>
    </w:p>
    <w:p w14:paraId="010C977A">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依照法律法规的规定或你方与发包人的另行约定，免除发包人部分或全部义务的，我方亦免除其相应的保证责任。</w:t>
      </w:r>
    </w:p>
    <w:p w14:paraId="4799A676">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 你方与发包人协议变更主合同的，如加重发包人责任致使我方保证责任加重的，需征得我方书面同意，否则我方不再承担因此而加重部分的保证责任，但主合同第10条〔变更〕约定的变更不受本款限制。</w:t>
      </w:r>
    </w:p>
    <w:p w14:paraId="0FC15920">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 因不可抗力造成发包人不能履行义务的，我方不承担保证责任。</w:t>
      </w:r>
    </w:p>
    <w:p w14:paraId="78395A37">
      <w:pPr>
        <w:spacing w:line="360" w:lineRule="auto"/>
        <w:ind w:firstLine="420" w:firstLineChars="200"/>
        <w:jc w:val="left"/>
        <w:outlineLvl w:val="0"/>
        <w:rPr>
          <w:rFonts w:hint="eastAsia" w:ascii="宋体" w:hAnsi="宋体" w:eastAsia="宋体" w:cs="宋体"/>
          <w:color w:val="auto"/>
          <w:sz w:val="21"/>
          <w:szCs w:val="21"/>
          <w:highlight w:val="none"/>
        </w:rPr>
      </w:pPr>
      <w:bookmarkStart w:id="2346" w:name="_Toc22034"/>
      <w:bookmarkStart w:id="2347" w:name="_Toc28001"/>
      <w:bookmarkStart w:id="2348" w:name="_Toc5169"/>
      <w:bookmarkStart w:id="2349" w:name="_Toc20106"/>
      <w:r>
        <w:rPr>
          <w:rFonts w:hint="eastAsia" w:ascii="宋体" w:hAnsi="宋体" w:eastAsia="宋体" w:cs="宋体"/>
          <w:color w:val="auto"/>
          <w:sz w:val="21"/>
          <w:szCs w:val="21"/>
          <w:highlight w:val="none"/>
        </w:rPr>
        <w:t>七、争议解决</w:t>
      </w:r>
      <w:bookmarkEnd w:id="2346"/>
      <w:bookmarkEnd w:id="2347"/>
      <w:bookmarkEnd w:id="2348"/>
      <w:bookmarkEnd w:id="2349"/>
    </w:p>
    <w:p w14:paraId="4C7E50F3">
      <w:pPr>
        <w:spacing w:after="12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因本保函或本保函相关事项发生的纠纷，可由双方协商解决，协商不成的，按下列第</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种方式解决：</w:t>
      </w:r>
    </w:p>
    <w:p w14:paraId="6FC7D3BE">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（1）向</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仲裁委员会申请仲裁；</w:t>
      </w:r>
    </w:p>
    <w:p w14:paraId="3445478F">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（2）向</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人民法院起诉。</w:t>
      </w:r>
    </w:p>
    <w:p w14:paraId="1620C1EE">
      <w:pPr>
        <w:spacing w:line="360" w:lineRule="auto"/>
        <w:ind w:firstLine="420" w:firstLineChars="200"/>
        <w:jc w:val="left"/>
        <w:outlineLvl w:val="0"/>
        <w:rPr>
          <w:rFonts w:hint="eastAsia" w:ascii="宋体" w:hAnsi="宋体" w:eastAsia="宋体" w:cs="宋体"/>
          <w:color w:val="auto"/>
          <w:sz w:val="21"/>
          <w:szCs w:val="21"/>
          <w:highlight w:val="none"/>
        </w:rPr>
      </w:pPr>
      <w:bookmarkStart w:id="2350" w:name="_Toc24785"/>
      <w:bookmarkStart w:id="2351" w:name="_Toc29914"/>
      <w:bookmarkStart w:id="2352" w:name="_Toc5124"/>
      <w:bookmarkStart w:id="2353" w:name="_Toc14959"/>
      <w:r>
        <w:rPr>
          <w:rFonts w:hint="eastAsia" w:ascii="宋体" w:hAnsi="宋体" w:eastAsia="宋体" w:cs="宋体"/>
          <w:color w:val="auto"/>
          <w:sz w:val="21"/>
          <w:szCs w:val="21"/>
          <w:highlight w:val="none"/>
        </w:rPr>
        <w:t>八、保函的生效</w:t>
      </w:r>
      <w:bookmarkEnd w:id="2350"/>
      <w:bookmarkEnd w:id="2351"/>
      <w:bookmarkEnd w:id="2352"/>
      <w:bookmarkEnd w:id="2353"/>
    </w:p>
    <w:p w14:paraId="136D294D">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本保函自我方法定代表人（或其授权代理人）签字并加盖公章之日起生效。</w:t>
      </w:r>
    </w:p>
    <w:p w14:paraId="0B50A80A">
      <w:pPr>
        <w:spacing w:line="360" w:lineRule="auto"/>
        <w:ind w:firstLine="420" w:firstLineChars="200"/>
        <w:jc w:val="left"/>
        <w:rPr>
          <w:rFonts w:hint="eastAsia" w:ascii="宋体" w:hAnsi="宋体" w:eastAsia="宋体" w:cs="宋体"/>
          <w:color w:val="auto"/>
          <w:sz w:val="21"/>
          <w:szCs w:val="21"/>
          <w:highlight w:val="none"/>
        </w:rPr>
      </w:pPr>
    </w:p>
    <w:p w14:paraId="367EB039">
      <w:pPr>
        <w:spacing w:line="360" w:lineRule="auto"/>
        <w:ind w:right="600"/>
        <w:jc w:val="left"/>
        <w:rPr>
          <w:rFonts w:hint="eastAsia" w:ascii="宋体" w:hAnsi="宋体" w:eastAsia="宋体" w:cs="宋体"/>
          <w:color w:val="auto"/>
          <w:sz w:val="21"/>
          <w:szCs w:val="21"/>
          <w:highlight w:val="none"/>
        </w:rPr>
      </w:pPr>
    </w:p>
    <w:p w14:paraId="7B27904F">
      <w:pPr>
        <w:spacing w:line="360" w:lineRule="auto"/>
        <w:ind w:right="6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担保人：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（盖章）</w:t>
      </w:r>
    </w:p>
    <w:p w14:paraId="1A0AF17F">
      <w:pPr>
        <w:spacing w:line="360" w:lineRule="auto"/>
        <w:ind w:right="1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法定代表人或委托代理人：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（签字）</w:t>
      </w:r>
    </w:p>
    <w:p w14:paraId="36B96A02">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    址：</w:t>
      </w:r>
      <w:r>
        <w:rPr>
          <w:rFonts w:hint="eastAsia" w:ascii="宋体" w:hAnsi="宋体" w:eastAsia="宋体" w:cs="宋体"/>
          <w:color w:val="auto"/>
          <w:sz w:val="21"/>
          <w:szCs w:val="21"/>
          <w:highlight w:val="none"/>
          <w:u w:val="single"/>
        </w:rPr>
        <w:t xml:space="preserve">                                        </w:t>
      </w:r>
    </w:p>
    <w:p w14:paraId="781E5896">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w:t>
      </w:r>
      <w:r>
        <w:rPr>
          <w:rFonts w:hint="eastAsia" w:ascii="宋体" w:hAnsi="宋体" w:eastAsia="宋体" w:cs="宋体"/>
          <w:color w:val="auto"/>
          <w:sz w:val="21"/>
          <w:szCs w:val="21"/>
          <w:highlight w:val="none"/>
          <w:u w:val="single"/>
        </w:rPr>
        <w:t xml:space="preserve">                                        </w:t>
      </w:r>
    </w:p>
    <w:p w14:paraId="60E6977D">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    真：</w:t>
      </w:r>
      <w:r>
        <w:rPr>
          <w:rFonts w:hint="eastAsia" w:ascii="宋体" w:hAnsi="宋体" w:eastAsia="宋体" w:cs="宋体"/>
          <w:color w:val="auto"/>
          <w:sz w:val="21"/>
          <w:szCs w:val="21"/>
          <w:highlight w:val="none"/>
          <w:u w:val="single"/>
        </w:rPr>
        <w:t xml:space="preserve">                                        </w:t>
      </w:r>
    </w:p>
    <w:p w14:paraId="4D7F66C8">
      <w:pPr>
        <w:spacing w:line="360" w:lineRule="auto"/>
        <w:ind w:right="150" w:firstLine="420" w:firstLineChars="200"/>
        <w:jc w:val="left"/>
        <w:rPr>
          <w:rFonts w:hint="eastAsia" w:ascii="宋体" w:hAnsi="宋体" w:eastAsia="宋体" w:cs="宋体"/>
          <w:color w:val="auto"/>
          <w:sz w:val="21"/>
          <w:szCs w:val="21"/>
          <w:highlight w:val="none"/>
          <w:u w:val="single"/>
        </w:rPr>
      </w:pPr>
    </w:p>
    <w:p w14:paraId="7A943648">
      <w:pPr>
        <w:spacing w:line="360" w:lineRule="auto"/>
        <w:ind w:right="15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14:paraId="584454A0">
      <w:pPr>
        <w:spacing w:line="440" w:lineRule="exact"/>
        <w:rPr>
          <w:rFonts w:eastAsia="黑体"/>
          <w:color w:val="auto"/>
          <w:sz w:val="30"/>
          <w:szCs w:val="30"/>
          <w:highlight w:val="none"/>
        </w:rPr>
      </w:pPr>
      <w:r>
        <w:rPr>
          <w:rFonts w:eastAsia="仿宋_GB2312"/>
          <w:color w:val="auto"/>
          <w:sz w:val="30"/>
          <w:szCs w:val="30"/>
          <w:highlight w:val="none"/>
        </w:rPr>
        <w:br w:type="page"/>
      </w:r>
      <w:r>
        <w:rPr>
          <w:rFonts w:hint="eastAsia" w:ascii="宋体" w:hAnsi="宋体" w:eastAsia="宋体" w:cs="宋体"/>
          <w:color w:val="auto"/>
          <w:sz w:val="21"/>
          <w:szCs w:val="21"/>
          <w:highlight w:val="none"/>
        </w:rPr>
        <w:t>附件11：</w:t>
      </w:r>
    </w:p>
    <w:p w14:paraId="39D6DB1F">
      <w:pPr>
        <w:spacing w:before="120" w:beforeLines="50" w:after="120" w:afterLines="50" w:line="440" w:lineRule="exact"/>
        <w:jc w:val="center"/>
        <w:outlineLvl w:val="0"/>
        <w:rPr>
          <w:rFonts w:hint="eastAsia" w:ascii="宋体" w:hAnsi="宋体" w:eastAsia="宋体" w:cs="宋体"/>
          <w:color w:val="auto"/>
          <w:sz w:val="21"/>
          <w:szCs w:val="21"/>
          <w:highlight w:val="none"/>
        </w:rPr>
      </w:pPr>
      <w:bookmarkStart w:id="2354" w:name="_Toc20900"/>
      <w:bookmarkStart w:id="2355" w:name="_Toc15518"/>
      <w:bookmarkStart w:id="2356" w:name="_Toc18176"/>
      <w:bookmarkStart w:id="2357" w:name="_Toc32186"/>
      <w:r>
        <w:rPr>
          <w:rFonts w:hint="eastAsia" w:ascii="宋体" w:hAnsi="宋体" w:eastAsia="宋体" w:cs="宋体"/>
          <w:color w:val="auto"/>
          <w:sz w:val="21"/>
          <w:szCs w:val="21"/>
          <w:highlight w:val="none"/>
        </w:rPr>
        <w:t>11-1：材料暂估价表</w:t>
      </w:r>
      <w:bookmarkEnd w:id="2354"/>
      <w:bookmarkEnd w:id="2355"/>
      <w:bookmarkEnd w:id="2356"/>
      <w:bookmarkEnd w:id="2357"/>
    </w:p>
    <w:tbl>
      <w:tblPr>
        <w:tblStyle w:val="29"/>
        <w:tblW w:w="8675"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303"/>
      </w:tblGrid>
      <w:tr w14:paraId="4F87EB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noWrap w:val="0"/>
            <w:vAlign w:val="top"/>
          </w:tcPr>
          <w:p w14:paraId="5C2409C7">
            <w:pPr>
              <w:pStyle w:val="11"/>
              <w:keepNext/>
              <w:spacing w:after="0" w:line="440" w:lineRule="exact"/>
              <w:ind w:left="63" w:right="63"/>
              <w:rPr>
                <w:rFonts w:ascii="等线" w:hAnsi="等线" w:eastAsia="仿宋_GB2312"/>
                <w:color w:val="auto"/>
                <w:kern w:val="2"/>
                <w:sz w:val="24"/>
                <w:szCs w:val="24"/>
                <w:highlight w:val="none"/>
                <w:lang w:val="en-US" w:eastAsia="zh-CN"/>
              </w:rPr>
            </w:pPr>
            <w:r>
              <w:rPr>
                <w:rFonts w:ascii="等线" w:hAnsi="等线" w:eastAsia="仿宋_GB2312"/>
                <w:color w:val="auto"/>
                <w:kern w:val="2"/>
                <w:sz w:val="24"/>
                <w:szCs w:val="24"/>
                <w:highlight w:val="none"/>
                <w:lang w:val="en-US" w:eastAsia="zh-CN"/>
              </w:rPr>
              <w:t>序号</w:t>
            </w:r>
          </w:p>
        </w:tc>
        <w:tc>
          <w:tcPr>
            <w:tcW w:w="1984" w:type="dxa"/>
            <w:tcBorders>
              <w:top w:val="single" w:color="auto" w:sz="12" w:space="0"/>
              <w:bottom w:val="double" w:color="auto" w:sz="6" w:space="0"/>
            </w:tcBorders>
            <w:noWrap w:val="0"/>
            <w:vAlign w:val="top"/>
          </w:tcPr>
          <w:p w14:paraId="75A6FF18">
            <w:pPr>
              <w:pStyle w:val="11"/>
              <w:keepNext/>
              <w:spacing w:after="0" w:line="440" w:lineRule="exact"/>
              <w:ind w:left="63" w:right="63"/>
              <w:rPr>
                <w:rFonts w:ascii="等线" w:hAnsi="等线" w:eastAsia="仿宋_GB2312"/>
                <w:color w:val="auto"/>
                <w:kern w:val="2"/>
                <w:sz w:val="24"/>
                <w:szCs w:val="24"/>
                <w:highlight w:val="none"/>
                <w:lang w:val="en-US" w:eastAsia="zh-CN"/>
              </w:rPr>
            </w:pPr>
            <w:r>
              <w:rPr>
                <w:rFonts w:ascii="等线" w:hAnsi="等线" w:eastAsia="仿宋_GB2312"/>
                <w:color w:val="auto"/>
                <w:kern w:val="2"/>
                <w:sz w:val="24"/>
                <w:szCs w:val="24"/>
                <w:highlight w:val="none"/>
                <w:lang w:val="en-US" w:eastAsia="zh-CN"/>
              </w:rPr>
              <w:t>名称</w:t>
            </w:r>
          </w:p>
        </w:tc>
        <w:tc>
          <w:tcPr>
            <w:tcW w:w="851" w:type="dxa"/>
            <w:tcBorders>
              <w:top w:val="single" w:color="auto" w:sz="12" w:space="0"/>
              <w:bottom w:val="double" w:color="auto" w:sz="6" w:space="0"/>
            </w:tcBorders>
            <w:noWrap w:val="0"/>
            <w:vAlign w:val="top"/>
          </w:tcPr>
          <w:p w14:paraId="6DB39A90">
            <w:pPr>
              <w:pStyle w:val="11"/>
              <w:keepNext/>
              <w:spacing w:after="0" w:line="440" w:lineRule="exact"/>
              <w:ind w:left="63" w:right="63"/>
              <w:rPr>
                <w:rFonts w:ascii="等线" w:hAnsi="等线" w:eastAsia="仿宋_GB2312"/>
                <w:color w:val="auto"/>
                <w:kern w:val="2"/>
                <w:sz w:val="24"/>
                <w:szCs w:val="24"/>
                <w:highlight w:val="none"/>
                <w:lang w:val="en-US" w:eastAsia="zh-CN"/>
              </w:rPr>
            </w:pPr>
            <w:r>
              <w:rPr>
                <w:rFonts w:ascii="等线" w:hAnsi="等线" w:eastAsia="仿宋_GB2312"/>
                <w:color w:val="auto"/>
                <w:kern w:val="2"/>
                <w:sz w:val="24"/>
                <w:szCs w:val="24"/>
                <w:highlight w:val="none"/>
                <w:lang w:val="en-US" w:eastAsia="zh-CN"/>
              </w:rPr>
              <w:t>单位</w:t>
            </w:r>
          </w:p>
        </w:tc>
        <w:tc>
          <w:tcPr>
            <w:tcW w:w="774" w:type="dxa"/>
            <w:tcBorders>
              <w:top w:val="single" w:color="auto" w:sz="12" w:space="0"/>
              <w:bottom w:val="double" w:color="auto" w:sz="6" w:space="0"/>
            </w:tcBorders>
            <w:noWrap w:val="0"/>
            <w:vAlign w:val="top"/>
          </w:tcPr>
          <w:p w14:paraId="7318B004">
            <w:pPr>
              <w:pStyle w:val="11"/>
              <w:keepNext/>
              <w:spacing w:after="0" w:line="440" w:lineRule="exact"/>
              <w:ind w:left="63" w:right="63"/>
              <w:rPr>
                <w:rFonts w:ascii="等线" w:hAnsi="等线" w:eastAsia="仿宋_GB2312"/>
                <w:color w:val="auto"/>
                <w:kern w:val="2"/>
                <w:sz w:val="24"/>
                <w:szCs w:val="24"/>
                <w:highlight w:val="none"/>
                <w:lang w:val="en-US" w:eastAsia="zh-CN"/>
              </w:rPr>
            </w:pPr>
            <w:r>
              <w:rPr>
                <w:rFonts w:ascii="等线" w:hAnsi="等线" w:eastAsia="仿宋_GB2312"/>
                <w:color w:val="auto"/>
                <w:kern w:val="2"/>
                <w:sz w:val="24"/>
                <w:szCs w:val="24"/>
                <w:highlight w:val="none"/>
                <w:lang w:val="en-US" w:eastAsia="zh-CN"/>
              </w:rPr>
              <w:t>数量</w:t>
            </w:r>
          </w:p>
        </w:tc>
        <w:tc>
          <w:tcPr>
            <w:tcW w:w="1352" w:type="dxa"/>
            <w:tcBorders>
              <w:top w:val="single" w:color="auto" w:sz="12" w:space="0"/>
              <w:bottom w:val="double" w:color="auto" w:sz="6" w:space="0"/>
            </w:tcBorders>
            <w:noWrap w:val="0"/>
            <w:vAlign w:val="top"/>
          </w:tcPr>
          <w:p w14:paraId="59E52181">
            <w:pPr>
              <w:pStyle w:val="11"/>
              <w:keepNext/>
              <w:spacing w:after="0" w:line="440" w:lineRule="exact"/>
              <w:ind w:left="63" w:right="63"/>
              <w:rPr>
                <w:rFonts w:ascii="等线" w:hAnsi="等线" w:eastAsia="仿宋_GB2312"/>
                <w:color w:val="auto"/>
                <w:kern w:val="2"/>
                <w:sz w:val="24"/>
                <w:szCs w:val="24"/>
                <w:highlight w:val="none"/>
                <w:lang w:val="en-US" w:eastAsia="zh-CN"/>
              </w:rPr>
            </w:pPr>
            <w:r>
              <w:rPr>
                <w:rFonts w:ascii="等线" w:hAnsi="等线" w:eastAsia="仿宋_GB2312"/>
                <w:color w:val="auto"/>
                <w:kern w:val="2"/>
                <w:sz w:val="24"/>
                <w:szCs w:val="24"/>
                <w:highlight w:val="none"/>
                <w:lang w:val="en-US" w:eastAsia="zh-CN"/>
              </w:rPr>
              <w:t>单价</w:t>
            </w:r>
            <w:r>
              <w:rPr>
                <w:rFonts w:hint="eastAsia" w:ascii="等线" w:hAnsi="等线" w:eastAsia="仿宋_GB2312"/>
                <w:color w:val="auto"/>
                <w:kern w:val="2"/>
                <w:sz w:val="24"/>
                <w:szCs w:val="24"/>
                <w:highlight w:val="none"/>
                <w:lang w:val="en-US" w:eastAsia="zh-CN"/>
              </w:rPr>
              <w:t>（元）</w:t>
            </w:r>
          </w:p>
        </w:tc>
        <w:tc>
          <w:tcPr>
            <w:tcW w:w="1418" w:type="dxa"/>
            <w:tcBorders>
              <w:top w:val="single" w:color="auto" w:sz="12" w:space="0"/>
              <w:bottom w:val="double" w:color="auto" w:sz="6" w:space="0"/>
            </w:tcBorders>
            <w:noWrap w:val="0"/>
            <w:vAlign w:val="top"/>
          </w:tcPr>
          <w:p w14:paraId="16D108F9">
            <w:pPr>
              <w:pStyle w:val="11"/>
              <w:keepNext/>
              <w:spacing w:after="0" w:line="440" w:lineRule="exact"/>
              <w:ind w:left="63" w:right="63"/>
              <w:rPr>
                <w:rFonts w:ascii="等线" w:hAnsi="等线" w:eastAsia="仿宋_GB2312"/>
                <w:color w:val="auto"/>
                <w:kern w:val="2"/>
                <w:sz w:val="24"/>
                <w:szCs w:val="24"/>
                <w:highlight w:val="none"/>
                <w:lang w:val="en-US" w:eastAsia="zh-CN"/>
              </w:rPr>
            </w:pPr>
            <w:r>
              <w:rPr>
                <w:rFonts w:ascii="等线" w:hAnsi="等线" w:eastAsia="仿宋_GB2312"/>
                <w:color w:val="auto"/>
                <w:kern w:val="2"/>
                <w:sz w:val="24"/>
                <w:szCs w:val="24"/>
                <w:highlight w:val="none"/>
                <w:lang w:val="en-US" w:eastAsia="zh-CN"/>
              </w:rPr>
              <w:t>合价</w:t>
            </w:r>
            <w:r>
              <w:rPr>
                <w:rFonts w:hint="eastAsia" w:ascii="等线" w:hAnsi="等线" w:eastAsia="仿宋_GB2312"/>
                <w:color w:val="auto"/>
                <w:kern w:val="2"/>
                <w:sz w:val="24"/>
                <w:szCs w:val="24"/>
                <w:highlight w:val="none"/>
                <w:lang w:val="en-US" w:eastAsia="zh-CN"/>
              </w:rPr>
              <w:t>（元）</w:t>
            </w:r>
          </w:p>
        </w:tc>
        <w:tc>
          <w:tcPr>
            <w:tcW w:w="1303" w:type="dxa"/>
            <w:tcBorders>
              <w:top w:val="single" w:color="auto" w:sz="12" w:space="0"/>
              <w:bottom w:val="double" w:color="auto" w:sz="6" w:space="0"/>
            </w:tcBorders>
            <w:noWrap w:val="0"/>
            <w:vAlign w:val="top"/>
          </w:tcPr>
          <w:p w14:paraId="7135D09D">
            <w:pPr>
              <w:pStyle w:val="11"/>
              <w:keepNext/>
              <w:spacing w:after="0" w:line="440" w:lineRule="exact"/>
              <w:ind w:left="63" w:right="63"/>
              <w:rPr>
                <w:rFonts w:ascii="等线" w:hAnsi="等线" w:eastAsia="仿宋_GB2312"/>
                <w:color w:val="auto"/>
                <w:kern w:val="2"/>
                <w:sz w:val="24"/>
                <w:szCs w:val="24"/>
                <w:highlight w:val="none"/>
                <w:lang w:val="en-US" w:eastAsia="zh-CN"/>
              </w:rPr>
            </w:pPr>
            <w:r>
              <w:rPr>
                <w:rFonts w:ascii="等线" w:hAnsi="等线" w:eastAsia="仿宋_GB2312"/>
                <w:color w:val="auto"/>
                <w:kern w:val="2"/>
                <w:sz w:val="24"/>
                <w:szCs w:val="24"/>
                <w:highlight w:val="none"/>
                <w:lang w:val="en-US" w:eastAsia="zh-CN"/>
              </w:rPr>
              <w:t>备注</w:t>
            </w:r>
          </w:p>
        </w:tc>
      </w:tr>
      <w:tr w14:paraId="1F393E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bottom w:val="single" w:color="auto" w:sz="6" w:space="0"/>
            </w:tcBorders>
            <w:noWrap w:val="0"/>
            <w:vAlign w:val="top"/>
          </w:tcPr>
          <w:p w14:paraId="1976611B">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984" w:type="dxa"/>
            <w:tcBorders>
              <w:top w:val="double" w:color="auto" w:sz="6" w:space="0"/>
              <w:bottom w:val="single" w:color="auto" w:sz="6" w:space="0"/>
            </w:tcBorders>
            <w:noWrap w:val="0"/>
            <w:vAlign w:val="top"/>
          </w:tcPr>
          <w:p w14:paraId="75B619FB">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851" w:type="dxa"/>
            <w:tcBorders>
              <w:top w:val="double" w:color="auto" w:sz="6" w:space="0"/>
              <w:bottom w:val="single" w:color="auto" w:sz="6" w:space="0"/>
            </w:tcBorders>
            <w:noWrap w:val="0"/>
            <w:vAlign w:val="top"/>
          </w:tcPr>
          <w:p w14:paraId="0D66D96B">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774" w:type="dxa"/>
            <w:tcBorders>
              <w:top w:val="double" w:color="auto" w:sz="6" w:space="0"/>
              <w:bottom w:val="single" w:color="auto" w:sz="6" w:space="0"/>
            </w:tcBorders>
            <w:noWrap w:val="0"/>
            <w:vAlign w:val="top"/>
          </w:tcPr>
          <w:p w14:paraId="6DA667F0">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352" w:type="dxa"/>
            <w:tcBorders>
              <w:top w:val="double" w:color="auto" w:sz="6" w:space="0"/>
              <w:bottom w:val="single" w:color="auto" w:sz="6" w:space="0"/>
            </w:tcBorders>
            <w:noWrap w:val="0"/>
            <w:vAlign w:val="top"/>
          </w:tcPr>
          <w:p w14:paraId="0E54F07D">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418" w:type="dxa"/>
            <w:tcBorders>
              <w:top w:val="double" w:color="auto" w:sz="6" w:space="0"/>
              <w:bottom w:val="single" w:color="auto" w:sz="6" w:space="0"/>
            </w:tcBorders>
            <w:noWrap w:val="0"/>
            <w:vAlign w:val="top"/>
          </w:tcPr>
          <w:p w14:paraId="1453997F">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303" w:type="dxa"/>
            <w:tcBorders>
              <w:top w:val="double" w:color="auto" w:sz="6" w:space="0"/>
              <w:bottom w:val="single" w:color="auto" w:sz="6" w:space="0"/>
            </w:tcBorders>
            <w:noWrap w:val="0"/>
            <w:vAlign w:val="top"/>
          </w:tcPr>
          <w:p w14:paraId="06AE6329">
            <w:pPr>
              <w:pStyle w:val="11"/>
              <w:keepNext/>
              <w:spacing w:after="0" w:line="440" w:lineRule="exact"/>
              <w:ind w:left="63" w:right="63"/>
              <w:rPr>
                <w:rFonts w:ascii="等线" w:hAnsi="等线" w:eastAsia="仿宋_GB2312"/>
                <w:color w:val="auto"/>
                <w:kern w:val="2"/>
                <w:sz w:val="24"/>
                <w:szCs w:val="24"/>
                <w:highlight w:val="none"/>
                <w:lang w:val="en-US" w:eastAsia="zh-CN"/>
              </w:rPr>
            </w:pPr>
          </w:p>
        </w:tc>
      </w:tr>
      <w:tr w14:paraId="1F93B0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noWrap w:val="0"/>
            <w:vAlign w:val="top"/>
          </w:tcPr>
          <w:p w14:paraId="62E41253">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984" w:type="dxa"/>
            <w:tcBorders>
              <w:top w:val="nil"/>
            </w:tcBorders>
            <w:noWrap w:val="0"/>
            <w:vAlign w:val="top"/>
          </w:tcPr>
          <w:p w14:paraId="025AA5CD">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851" w:type="dxa"/>
            <w:tcBorders>
              <w:top w:val="nil"/>
            </w:tcBorders>
            <w:noWrap w:val="0"/>
            <w:vAlign w:val="top"/>
          </w:tcPr>
          <w:p w14:paraId="734890DC">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774" w:type="dxa"/>
            <w:tcBorders>
              <w:top w:val="nil"/>
            </w:tcBorders>
            <w:noWrap w:val="0"/>
            <w:vAlign w:val="top"/>
          </w:tcPr>
          <w:p w14:paraId="2BB14C4B">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352" w:type="dxa"/>
            <w:tcBorders>
              <w:top w:val="nil"/>
            </w:tcBorders>
            <w:noWrap w:val="0"/>
            <w:vAlign w:val="top"/>
          </w:tcPr>
          <w:p w14:paraId="12EA9A39">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418" w:type="dxa"/>
            <w:tcBorders>
              <w:top w:val="nil"/>
            </w:tcBorders>
            <w:noWrap w:val="0"/>
            <w:vAlign w:val="top"/>
          </w:tcPr>
          <w:p w14:paraId="2A6382F2">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303" w:type="dxa"/>
            <w:tcBorders>
              <w:top w:val="nil"/>
            </w:tcBorders>
            <w:noWrap w:val="0"/>
            <w:vAlign w:val="top"/>
          </w:tcPr>
          <w:p w14:paraId="54050566">
            <w:pPr>
              <w:pStyle w:val="11"/>
              <w:keepNext/>
              <w:spacing w:after="0" w:line="440" w:lineRule="exact"/>
              <w:ind w:left="63" w:right="63"/>
              <w:rPr>
                <w:rFonts w:ascii="等线" w:hAnsi="等线" w:eastAsia="仿宋_GB2312"/>
                <w:color w:val="auto"/>
                <w:kern w:val="2"/>
                <w:sz w:val="24"/>
                <w:szCs w:val="24"/>
                <w:highlight w:val="none"/>
                <w:lang w:val="en-US" w:eastAsia="zh-CN"/>
              </w:rPr>
            </w:pPr>
          </w:p>
        </w:tc>
      </w:tr>
      <w:tr w14:paraId="6EBFCE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7B1F9BD6">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984" w:type="dxa"/>
            <w:noWrap w:val="0"/>
            <w:vAlign w:val="top"/>
          </w:tcPr>
          <w:p w14:paraId="3D5FB639">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851" w:type="dxa"/>
            <w:noWrap w:val="0"/>
            <w:vAlign w:val="top"/>
          </w:tcPr>
          <w:p w14:paraId="24403E1A">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774" w:type="dxa"/>
            <w:noWrap w:val="0"/>
            <w:vAlign w:val="top"/>
          </w:tcPr>
          <w:p w14:paraId="0F168AA6">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352" w:type="dxa"/>
            <w:noWrap w:val="0"/>
            <w:vAlign w:val="top"/>
          </w:tcPr>
          <w:p w14:paraId="2687FF22">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418" w:type="dxa"/>
            <w:noWrap w:val="0"/>
            <w:vAlign w:val="top"/>
          </w:tcPr>
          <w:p w14:paraId="7F74682B">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303" w:type="dxa"/>
            <w:noWrap w:val="0"/>
            <w:vAlign w:val="top"/>
          </w:tcPr>
          <w:p w14:paraId="0DEAFF9E">
            <w:pPr>
              <w:pStyle w:val="11"/>
              <w:keepNext/>
              <w:spacing w:after="0" w:line="440" w:lineRule="exact"/>
              <w:ind w:left="63" w:right="63"/>
              <w:rPr>
                <w:rFonts w:ascii="等线" w:hAnsi="等线" w:eastAsia="仿宋_GB2312"/>
                <w:color w:val="auto"/>
                <w:kern w:val="2"/>
                <w:sz w:val="24"/>
                <w:szCs w:val="24"/>
                <w:highlight w:val="none"/>
                <w:lang w:val="en-US" w:eastAsia="zh-CN"/>
              </w:rPr>
            </w:pPr>
          </w:p>
        </w:tc>
      </w:tr>
      <w:tr w14:paraId="359FCC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331F5B53">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984" w:type="dxa"/>
            <w:noWrap w:val="0"/>
            <w:vAlign w:val="top"/>
          </w:tcPr>
          <w:p w14:paraId="6E92D7DD">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851" w:type="dxa"/>
            <w:noWrap w:val="0"/>
            <w:vAlign w:val="top"/>
          </w:tcPr>
          <w:p w14:paraId="71F1C46A">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774" w:type="dxa"/>
            <w:noWrap w:val="0"/>
            <w:vAlign w:val="top"/>
          </w:tcPr>
          <w:p w14:paraId="02D085F6">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352" w:type="dxa"/>
            <w:noWrap w:val="0"/>
            <w:vAlign w:val="top"/>
          </w:tcPr>
          <w:p w14:paraId="31DBDBD9">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418" w:type="dxa"/>
            <w:noWrap w:val="0"/>
            <w:vAlign w:val="top"/>
          </w:tcPr>
          <w:p w14:paraId="2B534DCF">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303" w:type="dxa"/>
            <w:noWrap w:val="0"/>
            <w:vAlign w:val="top"/>
          </w:tcPr>
          <w:p w14:paraId="3E7F0B0B">
            <w:pPr>
              <w:pStyle w:val="11"/>
              <w:keepNext/>
              <w:spacing w:after="0" w:line="440" w:lineRule="exact"/>
              <w:ind w:left="63" w:right="63"/>
              <w:rPr>
                <w:rFonts w:ascii="等线" w:hAnsi="等线" w:eastAsia="仿宋_GB2312"/>
                <w:color w:val="auto"/>
                <w:kern w:val="2"/>
                <w:sz w:val="24"/>
                <w:szCs w:val="24"/>
                <w:highlight w:val="none"/>
                <w:lang w:val="en-US" w:eastAsia="zh-CN"/>
              </w:rPr>
            </w:pPr>
          </w:p>
        </w:tc>
      </w:tr>
      <w:tr w14:paraId="339B6E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124EC8B4">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984" w:type="dxa"/>
            <w:noWrap w:val="0"/>
            <w:vAlign w:val="top"/>
          </w:tcPr>
          <w:p w14:paraId="6CCBBDFE">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851" w:type="dxa"/>
            <w:noWrap w:val="0"/>
            <w:vAlign w:val="top"/>
          </w:tcPr>
          <w:p w14:paraId="1EE56F3E">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774" w:type="dxa"/>
            <w:noWrap w:val="0"/>
            <w:vAlign w:val="top"/>
          </w:tcPr>
          <w:p w14:paraId="1C449F1B">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352" w:type="dxa"/>
            <w:noWrap w:val="0"/>
            <w:vAlign w:val="top"/>
          </w:tcPr>
          <w:p w14:paraId="4259B21D">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418" w:type="dxa"/>
            <w:noWrap w:val="0"/>
            <w:vAlign w:val="top"/>
          </w:tcPr>
          <w:p w14:paraId="6E823BD8">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303" w:type="dxa"/>
            <w:noWrap w:val="0"/>
            <w:vAlign w:val="top"/>
          </w:tcPr>
          <w:p w14:paraId="25B98E6F">
            <w:pPr>
              <w:pStyle w:val="11"/>
              <w:keepNext/>
              <w:spacing w:after="0" w:line="440" w:lineRule="exact"/>
              <w:ind w:left="63" w:right="63"/>
              <w:rPr>
                <w:rFonts w:ascii="等线" w:hAnsi="等线" w:eastAsia="仿宋_GB2312"/>
                <w:color w:val="auto"/>
                <w:kern w:val="2"/>
                <w:sz w:val="24"/>
                <w:szCs w:val="24"/>
                <w:highlight w:val="none"/>
                <w:lang w:val="en-US" w:eastAsia="zh-CN"/>
              </w:rPr>
            </w:pPr>
          </w:p>
        </w:tc>
      </w:tr>
      <w:tr w14:paraId="011DC9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74D289BF">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984" w:type="dxa"/>
            <w:noWrap w:val="0"/>
            <w:vAlign w:val="top"/>
          </w:tcPr>
          <w:p w14:paraId="317C2329">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851" w:type="dxa"/>
            <w:noWrap w:val="0"/>
            <w:vAlign w:val="top"/>
          </w:tcPr>
          <w:p w14:paraId="36D25650">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774" w:type="dxa"/>
            <w:noWrap w:val="0"/>
            <w:vAlign w:val="top"/>
          </w:tcPr>
          <w:p w14:paraId="7AB40D26">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352" w:type="dxa"/>
            <w:noWrap w:val="0"/>
            <w:vAlign w:val="top"/>
          </w:tcPr>
          <w:p w14:paraId="2436AEB2">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418" w:type="dxa"/>
            <w:noWrap w:val="0"/>
            <w:vAlign w:val="top"/>
          </w:tcPr>
          <w:p w14:paraId="7F22E0ED">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303" w:type="dxa"/>
            <w:noWrap w:val="0"/>
            <w:vAlign w:val="top"/>
          </w:tcPr>
          <w:p w14:paraId="779ADAE0">
            <w:pPr>
              <w:pStyle w:val="11"/>
              <w:keepNext/>
              <w:spacing w:after="0" w:line="440" w:lineRule="exact"/>
              <w:ind w:left="63" w:right="63"/>
              <w:rPr>
                <w:rFonts w:ascii="等线" w:hAnsi="等线" w:eastAsia="仿宋_GB2312"/>
                <w:color w:val="auto"/>
                <w:kern w:val="2"/>
                <w:sz w:val="24"/>
                <w:szCs w:val="24"/>
                <w:highlight w:val="none"/>
                <w:lang w:val="en-US" w:eastAsia="zh-CN"/>
              </w:rPr>
            </w:pPr>
          </w:p>
        </w:tc>
      </w:tr>
      <w:tr w14:paraId="78BA1B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78F9A780">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984" w:type="dxa"/>
            <w:noWrap w:val="0"/>
            <w:vAlign w:val="top"/>
          </w:tcPr>
          <w:p w14:paraId="40B8265B">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851" w:type="dxa"/>
            <w:noWrap w:val="0"/>
            <w:vAlign w:val="top"/>
          </w:tcPr>
          <w:p w14:paraId="1977C7DD">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774" w:type="dxa"/>
            <w:noWrap w:val="0"/>
            <w:vAlign w:val="top"/>
          </w:tcPr>
          <w:p w14:paraId="01339941">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352" w:type="dxa"/>
            <w:noWrap w:val="0"/>
            <w:vAlign w:val="top"/>
          </w:tcPr>
          <w:p w14:paraId="11918CEC">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418" w:type="dxa"/>
            <w:noWrap w:val="0"/>
            <w:vAlign w:val="top"/>
          </w:tcPr>
          <w:p w14:paraId="65EF5DC7">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303" w:type="dxa"/>
            <w:noWrap w:val="0"/>
            <w:vAlign w:val="top"/>
          </w:tcPr>
          <w:p w14:paraId="3D4E6065">
            <w:pPr>
              <w:pStyle w:val="11"/>
              <w:keepNext/>
              <w:spacing w:after="0" w:line="440" w:lineRule="exact"/>
              <w:ind w:left="63" w:right="63"/>
              <w:rPr>
                <w:rFonts w:ascii="等线" w:hAnsi="等线" w:eastAsia="仿宋_GB2312"/>
                <w:color w:val="auto"/>
                <w:kern w:val="2"/>
                <w:sz w:val="24"/>
                <w:szCs w:val="24"/>
                <w:highlight w:val="none"/>
                <w:lang w:val="en-US" w:eastAsia="zh-CN"/>
              </w:rPr>
            </w:pPr>
          </w:p>
        </w:tc>
      </w:tr>
      <w:tr w14:paraId="248C58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1403F504">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984" w:type="dxa"/>
            <w:noWrap w:val="0"/>
            <w:vAlign w:val="top"/>
          </w:tcPr>
          <w:p w14:paraId="1D4377FB">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851" w:type="dxa"/>
            <w:noWrap w:val="0"/>
            <w:vAlign w:val="top"/>
          </w:tcPr>
          <w:p w14:paraId="5E9369D7">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774" w:type="dxa"/>
            <w:noWrap w:val="0"/>
            <w:vAlign w:val="top"/>
          </w:tcPr>
          <w:p w14:paraId="425DC3AD">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352" w:type="dxa"/>
            <w:noWrap w:val="0"/>
            <w:vAlign w:val="top"/>
          </w:tcPr>
          <w:p w14:paraId="00C515ED">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418" w:type="dxa"/>
            <w:noWrap w:val="0"/>
            <w:vAlign w:val="top"/>
          </w:tcPr>
          <w:p w14:paraId="27A10855">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303" w:type="dxa"/>
            <w:noWrap w:val="0"/>
            <w:vAlign w:val="top"/>
          </w:tcPr>
          <w:p w14:paraId="424BCE03">
            <w:pPr>
              <w:pStyle w:val="11"/>
              <w:keepNext/>
              <w:spacing w:after="0" w:line="440" w:lineRule="exact"/>
              <w:ind w:left="63" w:right="63"/>
              <w:rPr>
                <w:rFonts w:ascii="等线" w:hAnsi="等线" w:eastAsia="仿宋_GB2312"/>
                <w:color w:val="auto"/>
                <w:kern w:val="2"/>
                <w:sz w:val="24"/>
                <w:szCs w:val="24"/>
                <w:highlight w:val="none"/>
                <w:lang w:val="en-US" w:eastAsia="zh-CN"/>
              </w:rPr>
            </w:pPr>
          </w:p>
        </w:tc>
      </w:tr>
      <w:tr w14:paraId="25A486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45B3FD6B">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984" w:type="dxa"/>
            <w:noWrap w:val="0"/>
            <w:vAlign w:val="top"/>
          </w:tcPr>
          <w:p w14:paraId="332780CA">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851" w:type="dxa"/>
            <w:noWrap w:val="0"/>
            <w:vAlign w:val="top"/>
          </w:tcPr>
          <w:p w14:paraId="7C962490">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774" w:type="dxa"/>
            <w:noWrap w:val="0"/>
            <w:vAlign w:val="top"/>
          </w:tcPr>
          <w:p w14:paraId="113DEC1C">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352" w:type="dxa"/>
            <w:noWrap w:val="0"/>
            <w:vAlign w:val="top"/>
          </w:tcPr>
          <w:p w14:paraId="26B262BE">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418" w:type="dxa"/>
            <w:noWrap w:val="0"/>
            <w:vAlign w:val="top"/>
          </w:tcPr>
          <w:p w14:paraId="1DE956CE">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303" w:type="dxa"/>
            <w:noWrap w:val="0"/>
            <w:vAlign w:val="top"/>
          </w:tcPr>
          <w:p w14:paraId="75997B5F">
            <w:pPr>
              <w:pStyle w:val="11"/>
              <w:keepNext/>
              <w:spacing w:after="0" w:line="440" w:lineRule="exact"/>
              <w:ind w:left="63" w:right="63"/>
              <w:rPr>
                <w:rFonts w:ascii="等线" w:hAnsi="等线" w:eastAsia="仿宋_GB2312"/>
                <w:color w:val="auto"/>
                <w:kern w:val="2"/>
                <w:sz w:val="24"/>
                <w:szCs w:val="24"/>
                <w:highlight w:val="none"/>
                <w:lang w:val="en-US" w:eastAsia="zh-CN"/>
              </w:rPr>
            </w:pPr>
          </w:p>
        </w:tc>
      </w:tr>
      <w:tr w14:paraId="5F52B4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7423F656">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984" w:type="dxa"/>
            <w:noWrap w:val="0"/>
            <w:vAlign w:val="top"/>
          </w:tcPr>
          <w:p w14:paraId="695F7C91">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851" w:type="dxa"/>
            <w:noWrap w:val="0"/>
            <w:vAlign w:val="top"/>
          </w:tcPr>
          <w:p w14:paraId="730D30F5">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774" w:type="dxa"/>
            <w:noWrap w:val="0"/>
            <w:vAlign w:val="top"/>
          </w:tcPr>
          <w:p w14:paraId="4E85DBA2">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352" w:type="dxa"/>
            <w:noWrap w:val="0"/>
            <w:vAlign w:val="top"/>
          </w:tcPr>
          <w:p w14:paraId="0391667E">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418" w:type="dxa"/>
            <w:noWrap w:val="0"/>
            <w:vAlign w:val="top"/>
          </w:tcPr>
          <w:p w14:paraId="31476574">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303" w:type="dxa"/>
            <w:noWrap w:val="0"/>
            <w:vAlign w:val="top"/>
          </w:tcPr>
          <w:p w14:paraId="078011B9">
            <w:pPr>
              <w:pStyle w:val="11"/>
              <w:keepNext/>
              <w:spacing w:after="0" w:line="440" w:lineRule="exact"/>
              <w:ind w:left="63" w:right="63"/>
              <w:rPr>
                <w:rFonts w:ascii="等线" w:hAnsi="等线" w:eastAsia="仿宋_GB2312"/>
                <w:color w:val="auto"/>
                <w:kern w:val="2"/>
                <w:sz w:val="24"/>
                <w:szCs w:val="24"/>
                <w:highlight w:val="none"/>
                <w:lang w:val="en-US" w:eastAsia="zh-CN"/>
              </w:rPr>
            </w:pPr>
          </w:p>
        </w:tc>
      </w:tr>
      <w:tr w14:paraId="3E4FA3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04362CDF">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984" w:type="dxa"/>
            <w:noWrap w:val="0"/>
            <w:vAlign w:val="top"/>
          </w:tcPr>
          <w:p w14:paraId="3F06E62B">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851" w:type="dxa"/>
            <w:noWrap w:val="0"/>
            <w:vAlign w:val="top"/>
          </w:tcPr>
          <w:p w14:paraId="21426C87">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774" w:type="dxa"/>
            <w:noWrap w:val="0"/>
            <w:vAlign w:val="top"/>
          </w:tcPr>
          <w:p w14:paraId="527A6B5B">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352" w:type="dxa"/>
            <w:noWrap w:val="0"/>
            <w:vAlign w:val="top"/>
          </w:tcPr>
          <w:p w14:paraId="4B22D738">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418" w:type="dxa"/>
            <w:noWrap w:val="0"/>
            <w:vAlign w:val="top"/>
          </w:tcPr>
          <w:p w14:paraId="1907FB0D">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303" w:type="dxa"/>
            <w:noWrap w:val="0"/>
            <w:vAlign w:val="top"/>
          </w:tcPr>
          <w:p w14:paraId="356EE5E9">
            <w:pPr>
              <w:pStyle w:val="11"/>
              <w:keepNext/>
              <w:spacing w:after="0" w:line="440" w:lineRule="exact"/>
              <w:ind w:left="63" w:right="63"/>
              <w:rPr>
                <w:rFonts w:ascii="等线" w:hAnsi="等线" w:eastAsia="仿宋_GB2312"/>
                <w:color w:val="auto"/>
                <w:kern w:val="2"/>
                <w:sz w:val="24"/>
                <w:szCs w:val="24"/>
                <w:highlight w:val="none"/>
                <w:lang w:val="en-US" w:eastAsia="zh-CN"/>
              </w:rPr>
            </w:pPr>
          </w:p>
        </w:tc>
      </w:tr>
      <w:tr w14:paraId="6CB6B8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05AAC21F">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984" w:type="dxa"/>
            <w:noWrap w:val="0"/>
            <w:vAlign w:val="top"/>
          </w:tcPr>
          <w:p w14:paraId="2482CB88">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851" w:type="dxa"/>
            <w:noWrap w:val="0"/>
            <w:vAlign w:val="top"/>
          </w:tcPr>
          <w:p w14:paraId="3A6095A5">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774" w:type="dxa"/>
            <w:noWrap w:val="0"/>
            <w:vAlign w:val="top"/>
          </w:tcPr>
          <w:p w14:paraId="7793EF23">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352" w:type="dxa"/>
            <w:noWrap w:val="0"/>
            <w:vAlign w:val="top"/>
          </w:tcPr>
          <w:p w14:paraId="53090A81">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418" w:type="dxa"/>
            <w:noWrap w:val="0"/>
            <w:vAlign w:val="top"/>
          </w:tcPr>
          <w:p w14:paraId="249BC5CA">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303" w:type="dxa"/>
            <w:noWrap w:val="0"/>
            <w:vAlign w:val="top"/>
          </w:tcPr>
          <w:p w14:paraId="417C602C">
            <w:pPr>
              <w:pStyle w:val="11"/>
              <w:keepNext/>
              <w:spacing w:after="0" w:line="440" w:lineRule="exact"/>
              <w:ind w:left="63" w:right="63"/>
              <w:rPr>
                <w:rFonts w:ascii="等线" w:hAnsi="等线" w:eastAsia="仿宋_GB2312"/>
                <w:color w:val="auto"/>
                <w:kern w:val="2"/>
                <w:sz w:val="24"/>
                <w:szCs w:val="24"/>
                <w:highlight w:val="none"/>
                <w:lang w:val="en-US" w:eastAsia="zh-CN"/>
              </w:rPr>
            </w:pPr>
          </w:p>
        </w:tc>
      </w:tr>
      <w:tr w14:paraId="1E9B55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02F70824">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984" w:type="dxa"/>
            <w:noWrap w:val="0"/>
            <w:vAlign w:val="top"/>
          </w:tcPr>
          <w:p w14:paraId="7936CEFB">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851" w:type="dxa"/>
            <w:noWrap w:val="0"/>
            <w:vAlign w:val="top"/>
          </w:tcPr>
          <w:p w14:paraId="1F00E0DC">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774" w:type="dxa"/>
            <w:noWrap w:val="0"/>
            <w:vAlign w:val="top"/>
          </w:tcPr>
          <w:p w14:paraId="65CB9037">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352" w:type="dxa"/>
            <w:noWrap w:val="0"/>
            <w:vAlign w:val="top"/>
          </w:tcPr>
          <w:p w14:paraId="337B6236">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418" w:type="dxa"/>
            <w:noWrap w:val="0"/>
            <w:vAlign w:val="top"/>
          </w:tcPr>
          <w:p w14:paraId="05445F75">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303" w:type="dxa"/>
            <w:noWrap w:val="0"/>
            <w:vAlign w:val="top"/>
          </w:tcPr>
          <w:p w14:paraId="67808997">
            <w:pPr>
              <w:pStyle w:val="11"/>
              <w:keepNext/>
              <w:spacing w:after="0" w:line="440" w:lineRule="exact"/>
              <w:ind w:left="63" w:right="63"/>
              <w:rPr>
                <w:rFonts w:ascii="等线" w:hAnsi="等线" w:eastAsia="仿宋_GB2312"/>
                <w:color w:val="auto"/>
                <w:kern w:val="2"/>
                <w:sz w:val="24"/>
                <w:szCs w:val="24"/>
                <w:highlight w:val="none"/>
                <w:lang w:val="en-US" w:eastAsia="zh-CN"/>
              </w:rPr>
            </w:pPr>
          </w:p>
        </w:tc>
      </w:tr>
      <w:tr w14:paraId="49ED6E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1F2AB903">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984" w:type="dxa"/>
            <w:noWrap w:val="0"/>
            <w:vAlign w:val="top"/>
          </w:tcPr>
          <w:p w14:paraId="5AB62000">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851" w:type="dxa"/>
            <w:noWrap w:val="0"/>
            <w:vAlign w:val="top"/>
          </w:tcPr>
          <w:p w14:paraId="14A19814">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774" w:type="dxa"/>
            <w:noWrap w:val="0"/>
            <w:vAlign w:val="top"/>
          </w:tcPr>
          <w:p w14:paraId="70EAB6BF">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352" w:type="dxa"/>
            <w:noWrap w:val="0"/>
            <w:vAlign w:val="top"/>
          </w:tcPr>
          <w:p w14:paraId="6BD5A83F">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418" w:type="dxa"/>
            <w:noWrap w:val="0"/>
            <w:vAlign w:val="top"/>
          </w:tcPr>
          <w:p w14:paraId="38162973">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303" w:type="dxa"/>
            <w:noWrap w:val="0"/>
            <w:vAlign w:val="top"/>
          </w:tcPr>
          <w:p w14:paraId="31CFF66B">
            <w:pPr>
              <w:pStyle w:val="11"/>
              <w:keepNext/>
              <w:spacing w:after="0" w:line="440" w:lineRule="exact"/>
              <w:ind w:left="63" w:right="63"/>
              <w:rPr>
                <w:rFonts w:ascii="等线" w:hAnsi="等线" w:eastAsia="仿宋_GB2312"/>
                <w:color w:val="auto"/>
                <w:kern w:val="2"/>
                <w:sz w:val="24"/>
                <w:szCs w:val="24"/>
                <w:highlight w:val="none"/>
                <w:lang w:val="en-US" w:eastAsia="zh-CN"/>
              </w:rPr>
            </w:pPr>
          </w:p>
        </w:tc>
      </w:tr>
      <w:tr w14:paraId="0441DF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5D49D82E">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984" w:type="dxa"/>
            <w:noWrap w:val="0"/>
            <w:vAlign w:val="top"/>
          </w:tcPr>
          <w:p w14:paraId="378AAF2C">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851" w:type="dxa"/>
            <w:noWrap w:val="0"/>
            <w:vAlign w:val="top"/>
          </w:tcPr>
          <w:p w14:paraId="37055DC8">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774" w:type="dxa"/>
            <w:noWrap w:val="0"/>
            <w:vAlign w:val="top"/>
          </w:tcPr>
          <w:p w14:paraId="30110C02">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352" w:type="dxa"/>
            <w:noWrap w:val="0"/>
            <w:vAlign w:val="top"/>
          </w:tcPr>
          <w:p w14:paraId="67CD0823">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418" w:type="dxa"/>
            <w:noWrap w:val="0"/>
            <w:vAlign w:val="top"/>
          </w:tcPr>
          <w:p w14:paraId="14DD716C">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303" w:type="dxa"/>
            <w:noWrap w:val="0"/>
            <w:vAlign w:val="top"/>
          </w:tcPr>
          <w:p w14:paraId="21F011F8">
            <w:pPr>
              <w:pStyle w:val="11"/>
              <w:keepNext/>
              <w:spacing w:after="0" w:line="440" w:lineRule="exact"/>
              <w:ind w:left="63" w:right="63"/>
              <w:rPr>
                <w:rFonts w:ascii="等线" w:hAnsi="等线" w:eastAsia="仿宋_GB2312"/>
                <w:color w:val="auto"/>
                <w:kern w:val="2"/>
                <w:sz w:val="24"/>
                <w:szCs w:val="24"/>
                <w:highlight w:val="none"/>
                <w:lang w:val="en-US" w:eastAsia="zh-CN"/>
              </w:rPr>
            </w:pPr>
          </w:p>
        </w:tc>
      </w:tr>
      <w:tr w14:paraId="18EE57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7F054850">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984" w:type="dxa"/>
            <w:noWrap w:val="0"/>
            <w:vAlign w:val="top"/>
          </w:tcPr>
          <w:p w14:paraId="69065258">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851" w:type="dxa"/>
            <w:noWrap w:val="0"/>
            <w:vAlign w:val="top"/>
          </w:tcPr>
          <w:p w14:paraId="20A2B04C">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774" w:type="dxa"/>
            <w:noWrap w:val="0"/>
            <w:vAlign w:val="top"/>
          </w:tcPr>
          <w:p w14:paraId="2B848F7D">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352" w:type="dxa"/>
            <w:noWrap w:val="0"/>
            <w:vAlign w:val="top"/>
          </w:tcPr>
          <w:p w14:paraId="10DD5719">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418" w:type="dxa"/>
            <w:noWrap w:val="0"/>
            <w:vAlign w:val="top"/>
          </w:tcPr>
          <w:p w14:paraId="272D0E38">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303" w:type="dxa"/>
            <w:noWrap w:val="0"/>
            <w:vAlign w:val="top"/>
          </w:tcPr>
          <w:p w14:paraId="052A5F3B">
            <w:pPr>
              <w:pStyle w:val="11"/>
              <w:keepNext/>
              <w:spacing w:after="0" w:line="440" w:lineRule="exact"/>
              <w:ind w:left="63" w:right="63"/>
              <w:rPr>
                <w:rFonts w:ascii="等线" w:hAnsi="等线" w:eastAsia="仿宋_GB2312"/>
                <w:color w:val="auto"/>
                <w:kern w:val="2"/>
                <w:sz w:val="24"/>
                <w:szCs w:val="24"/>
                <w:highlight w:val="none"/>
                <w:lang w:val="en-US" w:eastAsia="zh-CN"/>
              </w:rPr>
            </w:pPr>
          </w:p>
        </w:tc>
      </w:tr>
      <w:tr w14:paraId="39B57E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0D99CED6">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984" w:type="dxa"/>
            <w:noWrap w:val="0"/>
            <w:vAlign w:val="top"/>
          </w:tcPr>
          <w:p w14:paraId="36DD4AE6">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851" w:type="dxa"/>
            <w:noWrap w:val="0"/>
            <w:vAlign w:val="top"/>
          </w:tcPr>
          <w:p w14:paraId="510CD32E">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774" w:type="dxa"/>
            <w:noWrap w:val="0"/>
            <w:vAlign w:val="top"/>
          </w:tcPr>
          <w:p w14:paraId="1831EBF3">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352" w:type="dxa"/>
            <w:noWrap w:val="0"/>
            <w:vAlign w:val="top"/>
          </w:tcPr>
          <w:p w14:paraId="2EB161A9">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418" w:type="dxa"/>
            <w:noWrap w:val="0"/>
            <w:vAlign w:val="top"/>
          </w:tcPr>
          <w:p w14:paraId="539B3243">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303" w:type="dxa"/>
            <w:noWrap w:val="0"/>
            <w:vAlign w:val="top"/>
          </w:tcPr>
          <w:p w14:paraId="495760E4">
            <w:pPr>
              <w:pStyle w:val="11"/>
              <w:keepNext/>
              <w:spacing w:after="0" w:line="440" w:lineRule="exact"/>
              <w:ind w:left="63" w:right="63"/>
              <w:rPr>
                <w:rFonts w:ascii="等线" w:hAnsi="等线" w:eastAsia="仿宋_GB2312"/>
                <w:color w:val="auto"/>
                <w:kern w:val="2"/>
                <w:sz w:val="24"/>
                <w:szCs w:val="24"/>
                <w:highlight w:val="none"/>
                <w:lang w:val="en-US" w:eastAsia="zh-CN"/>
              </w:rPr>
            </w:pPr>
          </w:p>
        </w:tc>
      </w:tr>
      <w:tr w14:paraId="7B9122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371F8576">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984" w:type="dxa"/>
            <w:noWrap w:val="0"/>
            <w:vAlign w:val="top"/>
          </w:tcPr>
          <w:p w14:paraId="3B50B1A6">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851" w:type="dxa"/>
            <w:noWrap w:val="0"/>
            <w:vAlign w:val="top"/>
          </w:tcPr>
          <w:p w14:paraId="36148706">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774" w:type="dxa"/>
            <w:noWrap w:val="0"/>
            <w:vAlign w:val="top"/>
          </w:tcPr>
          <w:p w14:paraId="2AD7D04E">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352" w:type="dxa"/>
            <w:noWrap w:val="0"/>
            <w:vAlign w:val="top"/>
          </w:tcPr>
          <w:p w14:paraId="5B7CC834">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418" w:type="dxa"/>
            <w:noWrap w:val="0"/>
            <w:vAlign w:val="top"/>
          </w:tcPr>
          <w:p w14:paraId="03051C7E">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303" w:type="dxa"/>
            <w:noWrap w:val="0"/>
            <w:vAlign w:val="top"/>
          </w:tcPr>
          <w:p w14:paraId="1FD8A85B">
            <w:pPr>
              <w:pStyle w:val="11"/>
              <w:keepNext/>
              <w:spacing w:after="0" w:line="440" w:lineRule="exact"/>
              <w:ind w:left="63" w:right="63"/>
              <w:rPr>
                <w:rFonts w:ascii="等线" w:hAnsi="等线" w:eastAsia="仿宋_GB2312"/>
                <w:color w:val="auto"/>
                <w:kern w:val="2"/>
                <w:sz w:val="24"/>
                <w:szCs w:val="24"/>
                <w:highlight w:val="none"/>
                <w:lang w:val="en-US" w:eastAsia="zh-CN"/>
              </w:rPr>
            </w:pPr>
          </w:p>
        </w:tc>
      </w:tr>
      <w:tr w14:paraId="37D3EA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761A9F4D">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984" w:type="dxa"/>
            <w:noWrap w:val="0"/>
            <w:vAlign w:val="top"/>
          </w:tcPr>
          <w:p w14:paraId="6B5AD5C0">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851" w:type="dxa"/>
            <w:noWrap w:val="0"/>
            <w:vAlign w:val="top"/>
          </w:tcPr>
          <w:p w14:paraId="0A17D97D">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774" w:type="dxa"/>
            <w:noWrap w:val="0"/>
            <w:vAlign w:val="top"/>
          </w:tcPr>
          <w:p w14:paraId="7524575C">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352" w:type="dxa"/>
            <w:noWrap w:val="0"/>
            <w:vAlign w:val="top"/>
          </w:tcPr>
          <w:p w14:paraId="3C1D5143">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418" w:type="dxa"/>
            <w:noWrap w:val="0"/>
            <w:vAlign w:val="top"/>
          </w:tcPr>
          <w:p w14:paraId="5E92A78F">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303" w:type="dxa"/>
            <w:noWrap w:val="0"/>
            <w:vAlign w:val="top"/>
          </w:tcPr>
          <w:p w14:paraId="64D55A73">
            <w:pPr>
              <w:pStyle w:val="11"/>
              <w:keepNext/>
              <w:spacing w:after="0" w:line="440" w:lineRule="exact"/>
              <w:ind w:left="63" w:right="63"/>
              <w:rPr>
                <w:rFonts w:ascii="等线" w:hAnsi="等线" w:eastAsia="仿宋_GB2312"/>
                <w:color w:val="auto"/>
                <w:kern w:val="2"/>
                <w:sz w:val="24"/>
                <w:szCs w:val="24"/>
                <w:highlight w:val="none"/>
                <w:lang w:val="en-US" w:eastAsia="zh-CN"/>
              </w:rPr>
            </w:pPr>
          </w:p>
        </w:tc>
      </w:tr>
      <w:tr w14:paraId="22ECC2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0E99A3CD">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984" w:type="dxa"/>
            <w:noWrap w:val="0"/>
            <w:vAlign w:val="top"/>
          </w:tcPr>
          <w:p w14:paraId="4D86912C">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851" w:type="dxa"/>
            <w:noWrap w:val="0"/>
            <w:vAlign w:val="top"/>
          </w:tcPr>
          <w:p w14:paraId="5A551427">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774" w:type="dxa"/>
            <w:noWrap w:val="0"/>
            <w:vAlign w:val="top"/>
          </w:tcPr>
          <w:p w14:paraId="5E90D53B">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352" w:type="dxa"/>
            <w:noWrap w:val="0"/>
            <w:vAlign w:val="top"/>
          </w:tcPr>
          <w:p w14:paraId="0404DA8B">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418" w:type="dxa"/>
            <w:noWrap w:val="0"/>
            <w:vAlign w:val="top"/>
          </w:tcPr>
          <w:p w14:paraId="57F0EDD4">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303" w:type="dxa"/>
            <w:noWrap w:val="0"/>
            <w:vAlign w:val="top"/>
          </w:tcPr>
          <w:p w14:paraId="661FD3C6">
            <w:pPr>
              <w:pStyle w:val="11"/>
              <w:keepNext/>
              <w:spacing w:after="0" w:line="440" w:lineRule="exact"/>
              <w:ind w:left="63" w:right="63"/>
              <w:rPr>
                <w:rFonts w:ascii="等线" w:hAnsi="等线" w:eastAsia="仿宋_GB2312"/>
                <w:color w:val="auto"/>
                <w:kern w:val="2"/>
                <w:sz w:val="24"/>
                <w:szCs w:val="24"/>
                <w:highlight w:val="none"/>
                <w:lang w:val="en-US" w:eastAsia="zh-CN"/>
              </w:rPr>
            </w:pPr>
          </w:p>
        </w:tc>
      </w:tr>
      <w:tr w14:paraId="71218B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4C28555C">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984" w:type="dxa"/>
            <w:noWrap w:val="0"/>
            <w:vAlign w:val="top"/>
          </w:tcPr>
          <w:p w14:paraId="0E6FFA41">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851" w:type="dxa"/>
            <w:noWrap w:val="0"/>
            <w:vAlign w:val="top"/>
          </w:tcPr>
          <w:p w14:paraId="25083982">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774" w:type="dxa"/>
            <w:noWrap w:val="0"/>
            <w:vAlign w:val="top"/>
          </w:tcPr>
          <w:p w14:paraId="5932987B">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352" w:type="dxa"/>
            <w:noWrap w:val="0"/>
            <w:vAlign w:val="top"/>
          </w:tcPr>
          <w:p w14:paraId="5A6AC68E">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418" w:type="dxa"/>
            <w:noWrap w:val="0"/>
            <w:vAlign w:val="top"/>
          </w:tcPr>
          <w:p w14:paraId="386680B7">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303" w:type="dxa"/>
            <w:noWrap w:val="0"/>
            <w:vAlign w:val="top"/>
          </w:tcPr>
          <w:p w14:paraId="7507F4CD">
            <w:pPr>
              <w:pStyle w:val="11"/>
              <w:keepNext/>
              <w:spacing w:after="0" w:line="440" w:lineRule="exact"/>
              <w:ind w:left="63" w:right="63"/>
              <w:rPr>
                <w:rFonts w:ascii="等线" w:hAnsi="等线" w:eastAsia="仿宋_GB2312"/>
                <w:color w:val="auto"/>
                <w:kern w:val="2"/>
                <w:sz w:val="24"/>
                <w:szCs w:val="24"/>
                <w:highlight w:val="none"/>
                <w:lang w:val="en-US" w:eastAsia="zh-CN"/>
              </w:rPr>
            </w:pPr>
          </w:p>
        </w:tc>
      </w:tr>
      <w:tr w14:paraId="56750E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4CD0B142">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984" w:type="dxa"/>
            <w:noWrap w:val="0"/>
            <w:vAlign w:val="top"/>
          </w:tcPr>
          <w:p w14:paraId="7542C92A">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851" w:type="dxa"/>
            <w:noWrap w:val="0"/>
            <w:vAlign w:val="top"/>
          </w:tcPr>
          <w:p w14:paraId="4169F653">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774" w:type="dxa"/>
            <w:noWrap w:val="0"/>
            <w:vAlign w:val="top"/>
          </w:tcPr>
          <w:p w14:paraId="3A18B038">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352" w:type="dxa"/>
            <w:noWrap w:val="0"/>
            <w:vAlign w:val="top"/>
          </w:tcPr>
          <w:p w14:paraId="50AF4787">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418" w:type="dxa"/>
            <w:noWrap w:val="0"/>
            <w:vAlign w:val="top"/>
          </w:tcPr>
          <w:p w14:paraId="43A721D4">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303" w:type="dxa"/>
            <w:noWrap w:val="0"/>
            <w:vAlign w:val="top"/>
          </w:tcPr>
          <w:p w14:paraId="03E7C31C">
            <w:pPr>
              <w:pStyle w:val="11"/>
              <w:keepNext/>
              <w:spacing w:after="0" w:line="440" w:lineRule="exact"/>
              <w:ind w:left="63" w:right="63"/>
              <w:rPr>
                <w:rFonts w:ascii="等线" w:hAnsi="等线" w:eastAsia="仿宋_GB2312"/>
                <w:color w:val="auto"/>
                <w:kern w:val="2"/>
                <w:sz w:val="24"/>
                <w:szCs w:val="24"/>
                <w:highlight w:val="none"/>
                <w:lang w:val="en-US" w:eastAsia="zh-CN"/>
              </w:rPr>
            </w:pPr>
          </w:p>
        </w:tc>
      </w:tr>
      <w:tr w14:paraId="562B23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10755DFE">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984" w:type="dxa"/>
            <w:noWrap w:val="0"/>
            <w:vAlign w:val="top"/>
          </w:tcPr>
          <w:p w14:paraId="6CA4D18F">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851" w:type="dxa"/>
            <w:noWrap w:val="0"/>
            <w:vAlign w:val="top"/>
          </w:tcPr>
          <w:p w14:paraId="1E34BE61">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774" w:type="dxa"/>
            <w:noWrap w:val="0"/>
            <w:vAlign w:val="top"/>
          </w:tcPr>
          <w:p w14:paraId="771739A8">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352" w:type="dxa"/>
            <w:noWrap w:val="0"/>
            <w:vAlign w:val="top"/>
          </w:tcPr>
          <w:p w14:paraId="444165C4">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418" w:type="dxa"/>
            <w:noWrap w:val="0"/>
            <w:vAlign w:val="top"/>
          </w:tcPr>
          <w:p w14:paraId="55466B65">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303" w:type="dxa"/>
            <w:noWrap w:val="0"/>
            <w:vAlign w:val="top"/>
          </w:tcPr>
          <w:p w14:paraId="740D3BA2">
            <w:pPr>
              <w:pStyle w:val="11"/>
              <w:keepNext/>
              <w:spacing w:after="0" w:line="440" w:lineRule="exact"/>
              <w:ind w:left="63" w:right="63"/>
              <w:rPr>
                <w:rFonts w:ascii="等线" w:hAnsi="等线" w:eastAsia="仿宋_GB2312"/>
                <w:color w:val="auto"/>
                <w:kern w:val="2"/>
                <w:sz w:val="24"/>
                <w:szCs w:val="24"/>
                <w:highlight w:val="none"/>
                <w:lang w:val="en-US" w:eastAsia="zh-CN"/>
              </w:rPr>
            </w:pPr>
          </w:p>
        </w:tc>
      </w:tr>
      <w:tr w14:paraId="39C5A8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2BDE9C5F">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984" w:type="dxa"/>
            <w:noWrap w:val="0"/>
            <w:vAlign w:val="top"/>
          </w:tcPr>
          <w:p w14:paraId="15C20279">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851" w:type="dxa"/>
            <w:noWrap w:val="0"/>
            <w:vAlign w:val="top"/>
          </w:tcPr>
          <w:p w14:paraId="30CB6150">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774" w:type="dxa"/>
            <w:noWrap w:val="0"/>
            <w:vAlign w:val="top"/>
          </w:tcPr>
          <w:p w14:paraId="61873696">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352" w:type="dxa"/>
            <w:noWrap w:val="0"/>
            <w:vAlign w:val="top"/>
          </w:tcPr>
          <w:p w14:paraId="2751F132">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418" w:type="dxa"/>
            <w:noWrap w:val="0"/>
            <w:vAlign w:val="top"/>
          </w:tcPr>
          <w:p w14:paraId="381F5C57">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303" w:type="dxa"/>
            <w:noWrap w:val="0"/>
            <w:vAlign w:val="top"/>
          </w:tcPr>
          <w:p w14:paraId="78C40E65">
            <w:pPr>
              <w:pStyle w:val="11"/>
              <w:keepNext/>
              <w:spacing w:after="0" w:line="440" w:lineRule="exact"/>
              <w:ind w:left="63" w:right="63"/>
              <w:rPr>
                <w:rFonts w:ascii="等线" w:hAnsi="等线" w:eastAsia="仿宋_GB2312"/>
                <w:color w:val="auto"/>
                <w:kern w:val="2"/>
                <w:sz w:val="24"/>
                <w:szCs w:val="24"/>
                <w:highlight w:val="none"/>
                <w:lang w:val="en-US" w:eastAsia="zh-CN"/>
              </w:rPr>
            </w:pPr>
          </w:p>
        </w:tc>
      </w:tr>
      <w:tr w14:paraId="2B0F36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2E4248F4">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984" w:type="dxa"/>
            <w:noWrap w:val="0"/>
            <w:vAlign w:val="top"/>
          </w:tcPr>
          <w:p w14:paraId="218D70FE">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851" w:type="dxa"/>
            <w:noWrap w:val="0"/>
            <w:vAlign w:val="top"/>
          </w:tcPr>
          <w:p w14:paraId="2702904B">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774" w:type="dxa"/>
            <w:noWrap w:val="0"/>
            <w:vAlign w:val="top"/>
          </w:tcPr>
          <w:p w14:paraId="79735B1F">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352" w:type="dxa"/>
            <w:noWrap w:val="0"/>
            <w:vAlign w:val="top"/>
          </w:tcPr>
          <w:p w14:paraId="7DF506AA">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418" w:type="dxa"/>
            <w:noWrap w:val="0"/>
            <w:vAlign w:val="top"/>
          </w:tcPr>
          <w:p w14:paraId="083DE9A6">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303" w:type="dxa"/>
            <w:noWrap w:val="0"/>
            <w:vAlign w:val="top"/>
          </w:tcPr>
          <w:p w14:paraId="4C3419A6">
            <w:pPr>
              <w:pStyle w:val="11"/>
              <w:keepNext/>
              <w:spacing w:after="0" w:line="440" w:lineRule="exact"/>
              <w:ind w:left="63" w:right="63"/>
              <w:rPr>
                <w:rFonts w:ascii="等线" w:hAnsi="等线" w:eastAsia="仿宋_GB2312"/>
                <w:color w:val="auto"/>
                <w:kern w:val="2"/>
                <w:sz w:val="24"/>
                <w:szCs w:val="24"/>
                <w:highlight w:val="none"/>
                <w:lang w:val="en-US" w:eastAsia="zh-CN"/>
              </w:rPr>
            </w:pPr>
          </w:p>
        </w:tc>
      </w:tr>
    </w:tbl>
    <w:p w14:paraId="3340D98B">
      <w:pPr>
        <w:spacing w:before="120" w:beforeLines="50" w:after="120" w:afterLines="50" w:line="440" w:lineRule="exact"/>
        <w:rPr>
          <w:rFonts w:hint="eastAsia" w:eastAsia="黑体"/>
          <w:color w:val="auto"/>
          <w:sz w:val="30"/>
          <w:szCs w:val="30"/>
          <w:highlight w:val="none"/>
        </w:rPr>
      </w:pPr>
    </w:p>
    <w:p w14:paraId="4CB3FDD9">
      <w:pPr>
        <w:spacing w:before="120" w:beforeLines="50" w:after="120" w:afterLines="50"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11-2：工程设备暂估价表</w:t>
      </w:r>
    </w:p>
    <w:tbl>
      <w:tblPr>
        <w:tblStyle w:val="29"/>
        <w:tblW w:w="8675"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303"/>
      </w:tblGrid>
      <w:tr w14:paraId="1215E9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noWrap w:val="0"/>
            <w:vAlign w:val="top"/>
          </w:tcPr>
          <w:p w14:paraId="715CF3C9">
            <w:pPr>
              <w:pStyle w:val="11"/>
              <w:keepNext/>
              <w:spacing w:after="0" w:line="440" w:lineRule="exact"/>
              <w:ind w:left="63" w:right="63"/>
              <w:rPr>
                <w:rFonts w:ascii="等线" w:hAnsi="等线" w:eastAsia="仿宋_GB2312"/>
                <w:color w:val="auto"/>
                <w:kern w:val="2"/>
                <w:sz w:val="24"/>
                <w:szCs w:val="24"/>
                <w:highlight w:val="none"/>
                <w:lang w:val="en-US" w:eastAsia="zh-CN"/>
              </w:rPr>
            </w:pPr>
            <w:r>
              <w:rPr>
                <w:rFonts w:ascii="等线" w:hAnsi="等线" w:eastAsia="仿宋_GB2312"/>
                <w:color w:val="auto"/>
                <w:kern w:val="2"/>
                <w:sz w:val="24"/>
                <w:szCs w:val="24"/>
                <w:highlight w:val="none"/>
                <w:lang w:val="en-US" w:eastAsia="zh-CN"/>
              </w:rPr>
              <w:t>序号</w:t>
            </w:r>
          </w:p>
        </w:tc>
        <w:tc>
          <w:tcPr>
            <w:tcW w:w="1984" w:type="dxa"/>
            <w:tcBorders>
              <w:top w:val="single" w:color="auto" w:sz="12" w:space="0"/>
              <w:bottom w:val="double" w:color="auto" w:sz="6" w:space="0"/>
            </w:tcBorders>
            <w:noWrap w:val="0"/>
            <w:vAlign w:val="top"/>
          </w:tcPr>
          <w:p w14:paraId="23BBCDCF">
            <w:pPr>
              <w:pStyle w:val="11"/>
              <w:keepNext/>
              <w:spacing w:after="0" w:line="440" w:lineRule="exact"/>
              <w:ind w:left="63" w:right="63"/>
              <w:rPr>
                <w:rFonts w:ascii="等线" w:hAnsi="等线" w:eastAsia="仿宋_GB2312"/>
                <w:color w:val="auto"/>
                <w:kern w:val="2"/>
                <w:sz w:val="24"/>
                <w:szCs w:val="24"/>
                <w:highlight w:val="none"/>
                <w:lang w:val="en-US" w:eastAsia="zh-CN"/>
              </w:rPr>
            </w:pPr>
            <w:r>
              <w:rPr>
                <w:rFonts w:ascii="等线" w:hAnsi="等线" w:eastAsia="仿宋_GB2312"/>
                <w:color w:val="auto"/>
                <w:kern w:val="2"/>
                <w:sz w:val="24"/>
                <w:szCs w:val="24"/>
                <w:highlight w:val="none"/>
                <w:lang w:val="en-US" w:eastAsia="zh-CN"/>
              </w:rPr>
              <w:t>名称</w:t>
            </w:r>
          </w:p>
        </w:tc>
        <w:tc>
          <w:tcPr>
            <w:tcW w:w="851" w:type="dxa"/>
            <w:tcBorders>
              <w:top w:val="single" w:color="auto" w:sz="12" w:space="0"/>
              <w:bottom w:val="double" w:color="auto" w:sz="6" w:space="0"/>
            </w:tcBorders>
            <w:noWrap w:val="0"/>
            <w:vAlign w:val="top"/>
          </w:tcPr>
          <w:p w14:paraId="7954840E">
            <w:pPr>
              <w:pStyle w:val="11"/>
              <w:keepNext/>
              <w:spacing w:after="0" w:line="440" w:lineRule="exact"/>
              <w:ind w:left="63" w:right="63"/>
              <w:rPr>
                <w:rFonts w:ascii="等线" w:hAnsi="等线" w:eastAsia="仿宋_GB2312"/>
                <w:color w:val="auto"/>
                <w:kern w:val="2"/>
                <w:sz w:val="24"/>
                <w:szCs w:val="24"/>
                <w:highlight w:val="none"/>
                <w:lang w:val="en-US" w:eastAsia="zh-CN"/>
              </w:rPr>
            </w:pPr>
            <w:r>
              <w:rPr>
                <w:rFonts w:ascii="等线" w:hAnsi="等线" w:eastAsia="仿宋_GB2312"/>
                <w:color w:val="auto"/>
                <w:kern w:val="2"/>
                <w:sz w:val="24"/>
                <w:szCs w:val="24"/>
                <w:highlight w:val="none"/>
                <w:lang w:val="en-US" w:eastAsia="zh-CN"/>
              </w:rPr>
              <w:t>单位</w:t>
            </w:r>
          </w:p>
        </w:tc>
        <w:tc>
          <w:tcPr>
            <w:tcW w:w="774" w:type="dxa"/>
            <w:tcBorders>
              <w:top w:val="single" w:color="auto" w:sz="12" w:space="0"/>
              <w:bottom w:val="double" w:color="auto" w:sz="6" w:space="0"/>
            </w:tcBorders>
            <w:noWrap w:val="0"/>
            <w:vAlign w:val="top"/>
          </w:tcPr>
          <w:p w14:paraId="08DE9810">
            <w:pPr>
              <w:pStyle w:val="11"/>
              <w:keepNext/>
              <w:spacing w:after="0" w:line="440" w:lineRule="exact"/>
              <w:ind w:left="63" w:right="63"/>
              <w:rPr>
                <w:rFonts w:ascii="等线" w:hAnsi="等线" w:eastAsia="仿宋_GB2312"/>
                <w:color w:val="auto"/>
                <w:kern w:val="2"/>
                <w:sz w:val="24"/>
                <w:szCs w:val="24"/>
                <w:highlight w:val="none"/>
                <w:lang w:val="en-US" w:eastAsia="zh-CN"/>
              </w:rPr>
            </w:pPr>
            <w:r>
              <w:rPr>
                <w:rFonts w:ascii="等线" w:hAnsi="等线" w:eastAsia="仿宋_GB2312"/>
                <w:color w:val="auto"/>
                <w:kern w:val="2"/>
                <w:sz w:val="24"/>
                <w:szCs w:val="24"/>
                <w:highlight w:val="none"/>
                <w:lang w:val="en-US" w:eastAsia="zh-CN"/>
              </w:rPr>
              <w:t>数量</w:t>
            </w:r>
          </w:p>
        </w:tc>
        <w:tc>
          <w:tcPr>
            <w:tcW w:w="1352" w:type="dxa"/>
            <w:tcBorders>
              <w:top w:val="single" w:color="auto" w:sz="12" w:space="0"/>
              <w:bottom w:val="double" w:color="auto" w:sz="6" w:space="0"/>
            </w:tcBorders>
            <w:noWrap w:val="0"/>
            <w:vAlign w:val="top"/>
          </w:tcPr>
          <w:p w14:paraId="3380DC75">
            <w:pPr>
              <w:pStyle w:val="11"/>
              <w:keepNext/>
              <w:spacing w:after="0" w:line="440" w:lineRule="exact"/>
              <w:ind w:left="63" w:right="63"/>
              <w:rPr>
                <w:rFonts w:ascii="等线" w:hAnsi="等线" w:eastAsia="仿宋_GB2312"/>
                <w:color w:val="auto"/>
                <w:kern w:val="2"/>
                <w:sz w:val="24"/>
                <w:szCs w:val="24"/>
                <w:highlight w:val="none"/>
                <w:lang w:val="en-US" w:eastAsia="zh-CN"/>
              </w:rPr>
            </w:pPr>
            <w:r>
              <w:rPr>
                <w:rFonts w:ascii="等线" w:hAnsi="等线" w:eastAsia="仿宋_GB2312"/>
                <w:color w:val="auto"/>
                <w:kern w:val="2"/>
                <w:sz w:val="24"/>
                <w:szCs w:val="24"/>
                <w:highlight w:val="none"/>
                <w:lang w:val="en-US" w:eastAsia="zh-CN"/>
              </w:rPr>
              <w:t>单价</w:t>
            </w:r>
            <w:r>
              <w:rPr>
                <w:rFonts w:hint="eastAsia" w:ascii="等线" w:hAnsi="等线" w:eastAsia="仿宋_GB2312"/>
                <w:color w:val="auto"/>
                <w:kern w:val="2"/>
                <w:sz w:val="24"/>
                <w:szCs w:val="24"/>
                <w:highlight w:val="none"/>
                <w:lang w:val="en-US" w:eastAsia="zh-CN"/>
              </w:rPr>
              <w:t>（元）</w:t>
            </w:r>
          </w:p>
        </w:tc>
        <w:tc>
          <w:tcPr>
            <w:tcW w:w="1418" w:type="dxa"/>
            <w:tcBorders>
              <w:top w:val="single" w:color="auto" w:sz="12" w:space="0"/>
              <w:bottom w:val="double" w:color="auto" w:sz="6" w:space="0"/>
            </w:tcBorders>
            <w:noWrap w:val="0"/>
            <w:vAlign w:val="top"/>
          </w:tcPr>
          <w:p w14:paraId="469B7C20">
            <w:pPr>
              <w:pStyle w:val="11"/>
              <w:keepNext/>
              <w:spacing w:after="0" w:line="440" w:lineRule="exact"/>
              <w:ind w:left="63" w:right="63"/>
              <w:rPr>
                <w:rFonts w:ascii="等线" w:hAnsi="等线" w:eastAsia="仿宋_GB2312"/>
                <w:color w:val="auto"/>
                <w:kern w:val="2"/>
                <w:sz w:val="24"/>
                <w:szCs w:val="24"/>
                <w:highlight w:val="none"/>
                <w:lang w:val="en-US" w:eastAsia="zh-CN"/>
              </w:rPr>
            </w:pPr>
            <w:r>
              <w:rPr>
                <w:rFonts w:ascii="等线" w:hAnsi="等线" w:eastAsia="仿宋_GB2312"/>
                <w:color w:val="auto"/>
                <w:kern w:val="2"/>
                <w:sz w:val="24"/>
                <w:szCs w:val="24"/>
                <w:highlight w:val="none"/>
                <w:lang w:val="en-US" w:eastAsia="zh-CN"/>
              </w:rPr>
              <w:t>合价</w:t>
            </w:r>
            <w:r>
              <w:rPr>
                <w:rFonts w:hint="eastAsia" w:ascii="等线" w:hAnsi="等线" w:eastAsia="仿宋_GB2312"/>
                <w:color w:val="auto"/>
                <w:kern w:val="2"/>
                <w:sz w:val="24"/>
                <w:szCs w:val="24"/>
                <w:highlight w:val="none"/>
                <w:lang w:val="en-US" w:eastAsia="zh-CN"/>
              </w:rPr>
              <w:t>（元）</w:t>
            </w:r>
          </w:p>
        </w:tc>
        <w:tc>
          <w:tcPr>
            <w:tcW w:w="1303" w:type="dxa"/>
            <w:tcBorders>
              <w:top w:val="single" w:color="auto" w:sz="12" w:space="0"/>
              <w:bottom w:val="double" w:color="auto" w:sz="6" w:space="0"/>
            </w:tcBorders>
            <w:noWrap w:val="0"/>
            <w:vAlign w:val="top"/>
          </w:tcPr>
          <w:p w14:paraId="28089905">
            <w:pPr>
              <w:pStyle w:val="11"/>
              <w:keepNext/>
              <w:spacing w:after="0" w:line="440" w:lineRule="exact"/>
              <w:ind w:left="63" w:right="63"/>
              <w:rPr>
                <w:rFonts w:ascii="等线" w:hAnsi="等线" w:eastAsia="仿宋_GB2312"/>
                <w:color w:val="auto"/>
                <w:kern w:val="2"/>
                <w:sz w:val="24"/>
                <w:szCs w:val="24"/>
                <w:highlight w:val="none"/>
                <w:lang w:val="en-US" w:eastAsia="zh-CN"/>
              </w:rPr>
            </w:pPr>
            <w:r>
              <w:rPr>
                <w:rFonts w:ascii="等线" w:hAnsi="等线" w:eastAsia="仿宋_GB2312"/>
                <w:color w:val="auto"/>
                <w:kern w:val="2"/>
                <w:sz w:val="24"/>
                <w:szCs w:val="24"/>
                <w:highlight w:val="none"/>
                <w:lang w:val="en-US" w:eastAsia="zh-CN"/>
              </w:rPr>
              <w:t>备注</w:t>
            </w:r>
          </w:p>
        </w:tc>
      </w:tr>
      <w:tr w14:paraId="4D874B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bottom w:val="single" w:color="auto" w:sz="6" w:space="0"/>
            </w:tcBorders>
            <w:noWrap w:val="0"/>
            <w:vAlign w:val="top"/>
          </w:tcPr>
          <w:p w14:paraId="530150B6">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984" w:type="dxa"/>
            <w:tcBorders>
              <w:top w:val="double" w:color="auto" w:sz="6" w:space="0"/>
              <w:bottom w:val="single" w:color="auto" w:sz="6" w:space="0"/>
            </w:tcBorders>
            <w:noWrap w:val="0"/>
            <w:vAlign w:val="top"/>
          </w:tcPr>
          <w:p w14:paraId="3C499052">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851" w:type="dxa"/>
            <w:tcBorders>
              <w:top w:val="double" w:color="auto" w:sz="6" w:space="0"/>
              <w:bottom w:val="single" w:color="auto" w:sz="6" w:space="0"/>
            </w:tcBorders>
            <w:noWrap w:val="0"/>
            <w:vAlign w:val="top"/>
          </w:tcPr>
          <w:p w14:paraId="5BB4FA4B">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774" w:type="dxa"/>
            <w:tcBorders>
              <w:top w:val="double" w:color="auto" w:sz="6" w:space="0"/>
              <w:bottom w:val="single" w:color="auto" w:sz="6" w:space="0"/>
            </w:tcBorders>
            <w:noWrap w:val="0"/>
            <w:vAlign w:val="top"/>
          </w:tcPr>
          <w:p w14:paraId="1E33649F">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352" w:type="dxa"/>
            <w:tcBorders>
              <w:top w:val="double" w:color="auto" w:sz="6" w:space="0"/>
              <w:bottom w:val="single" w:color="auto" w:sz="6" w:space="0"/>
            </w:tcBorders>
            <w:noWrap w:val="0"/>
            <w:vAlign w:val="top"/>
          </w:tcPr>
          <w:p w14:paraId="5D6E708B">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418" w:type="dxa"/>
            <w:tcBorders>
              <w:top w:val="double" w:color="auto" w:sz="6" w:space="0"/>
              <w:bottom w:val="single" w:color="auto" w:sz="6" w:space="0"/>
            </w:tcBorders>
            <w:noWrap w:val="0"/>
            <w:vAlign w:val="top"/>
          </w:tcPr>
          <w:p w14:paraId="59A7E339">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303" w:type="dxa"/>
            <w:tcBorders>
              <w:top w:val="double" w:color="auto" w:sz="6" w:space="0"/>
              <w:bottom w:val="single" w:color="auto" w:sz="6" w:space="0"/>
            </w:tcBorders>
            <w:noWrap w:val="0"/>
            <w:vAlign w:val="top"/>
          </w:tcPr>
          <w:p w14:paraId="48FE8D44">
            <w:pPr>
              <w:pStyle w:val="11"/>
              <w:keepNext/>
              <w:spacing w:after="0" w:line="440" w:lineRule="exact"/>
              <w:ind w:left="63" w:right="63"/>
              <w:rPr>
                <w:rFonts w:ascii="等线" w:hAnsi="等线" w:eastAsia="仿宋_GB2312"/>
                <w:color w:val="auto"/>
                <w:kern w:val="2"/>
                <w:sz w:val="24"/>
                <w:szCs w:val="24"/>
                <w:highlight w:val="none"/>
                <w:lang w:val="en-US" w:eastAsia="zh-CN"/>
              </w:rPr>
            </w:pPr>
          </w:p>
        </w:tc>
      </w:tr>
      <w:tr w14:paraId="29E731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noWrap w:val="0"/>
            <w:vAlign w:val="top"/>
          </w:tcPr>
          <w:p w14:paraId="6FE1C69B">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984" w:type="dxa"/>
            <w:tcBorders>
              <w:top w:val="nil"/>
            </w:tcBorders>
            <w:noWrap w:val="0"/>
            <w:vAlign w:val="top"/>
          </w:tcPr>
          <w:p w14:paraId="2E12EA57">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851" w:type="dxa"/>
            <w:tcBorders>
              <w:top w:val="nil"/>
            </w:tcBorders>
            <w:noWrap w:val="0"/>
            <w:vAlign w:val="top"/>
          </w:tcPr>
          <w:p w14:paraId="747F742D">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774" w:type="dxa"/>
            <w:tcBorders>
              <w:top w:val="nil"/>
            </w:tcBorders>
            <w:noWrap w:val="0"/>
            <w:vAlign w:val="top"/>
          </w:tcPr>
          <w:p w14:paraId="0CB2AE39">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352" w:type="dxa"/>
            <w:tcBorders>
              <w:top w:val="nil"/>
            </w:tcBorders>
            <w:noWrap w:val="0"/>
            <w:vAlign w:val="top"/>
          </w:tcPr>
          <w:p w14:paraId="582ACE24">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418" w:type="dxa"/>
            <w:tcBorders>
              <w:top w:val="nil"/>
            </w:tcBorders>
            <w:noWrap w:val="0"/>
            <w:vAlign w:val="top"/>
          </w:tcPr>
          <w:p w14:paraId="4B8D24A5">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303" w:type="dxa"/>
            <w:tcBorders>
              <w:top w:val="nil"/>
            </w:tcBorders>
            <w:noWrap w:val="0"/>
            <w:vAlign w:val="top"/>
          </w:tcPr>
          <w:p w14:paraId="5E0D55A8">
            <w:pPr>
              <w:pStyle w:val="11"/>
              <w:keepNext/>
              <w:spacing w:after="0" w:line="440" w:lineRule="exact"/>
              <w:ind w:left="63" w:right="63"/>
              <w:rPr>
                <w:rFonts w:ascii="等线" w:hAnsi="等线" w:eastAsia="仿宋_GB2312"/>
                <w:color w:val="auto"/>
                <w:kern w:val="2"/>
                <w:sz w:val="24"/>
                <w:szCs w:val="24"/>
                <w:highlight w:val="none"/>
                <w:lang w:val="en-US" w:eastAsia="zh-CN"/>
              </w:rPr>
            </w:pPr>
          </w:p>
        </w:tc>
      </w:tr>
      <w:tr w14:paraId="7A75C8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7FA52566">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984" w:type="dxa"/>
            <w:noWrap w:val="0"/>
            <w:vAlign w:val="top"/>
          </w:tcPr>
          <w:p w14:paraId="3022A799">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851" w:type="dxa"/>
            <w:noWrap w:val="0"/>
            <w:vAlign w:val="top"/>
          </w:tcPr>
          <w:p w14:paraId="4BCF30BF">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774" w:type="dxa"/>
            <w:noWrap w:val="0"/>
            <w:vAlign w:val="top"/>
          </w:tcPr>
          <w:p w14:paraId="3FD50C5D">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352" w:type="dxa"/>
            <w:noWrap w:val="0"/>
            <w:vAlign w:val="top"/>
          </w:tcPr>
          <w:p w14:paraId="22EBF3A3">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418" w:type="dxa"/>
            <w:noWrap w:val="0"/>
            <w:vAlign w:val="top"/>
          </w:tcPr>
          <w:p w14:paraId="58C9B0AA">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303" w:type="dxa"/>
            <w:noWrap w:val="0"/>
            <w:vAlign w:val="top"/>
          </w:tcPr>
          <w:p w14:paraId="14544A4C">
            <w:pPr>
              <w:pStyle w:val="11"/>
              <w:keepNext/>
              <w:spacing w:after="0" w:line="440" w:lineRule="exact"/>
              <w:ind w:left="63" w:right="63"/>
              <w:rPr>
                <w:rFonts w:ascii="等线" w:hAnsi="等线" w:eastAsia="仿宋_GB2312"/>
                <w:color w:val="auto"/>
                <w:kern w:val="2"/>
                <w:sz w:val="24"/>
                <w:szCs w:val="24"/>
                <w:highlight w:val="none"/>
                <w:lang w:val="en-US" w:eastAsia="zh-CN"/>
              </w:rPr>
            </w:pPr>
          </w:p>
        </w:tc>
      </w:tr>
      <w:tr w14:paraId="14EE15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1A4C88A7">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984" w:type="dxa"/>
            <w:noWrap w:val="0"/>
            <w:vAlign w:val="top"/>
          </w:tcPr>
          <w:p w14:paraId="0E577585">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851" w:type="dxa"/>
            <w:noWrap w:val="0"/>
            <w:vAlign w:val="top"/>
          </w:tcPr>
          <w:p w14:paraId="4B18CD35">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774" w:type="dxa"/>
            <w:noWrap w:val="0"/>
            <w:vAlign w:val="top"/>
          </w:tcPr>
          <w:p w14:paraId="429F2117">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352" w:type="dxa"/>
            <w:noWrap w:val="0"/>
            <w:vAlign w:val="top"/>
          </w:tcPr>
          <w:p w14:paraId="0B183E1C">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418" w:type="dxa"/>
            <w:noWrap w:val="0"/>
            <w:vAlign w:val="top"/>
          </w:tcPr>
          <w:p w14:paraId="0686BEDD">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303" w:type="dxa"/>
            <w:noWrap w:val="0"/>
            <w:vAlign w:val="top"/>
          </w:tcPr>
          <w:p w14:paraId="1EC1FB38">
            <w:pPr>
              <w:pStyle w:val="11"/>
              <w:keepNext/>
              <w:spacing w:after="0" w:line="440" w:lineRule="exact"/>
              <w:ind w:left="63" w:right="63"/>
              <w:rPr>
                <w:rFonts w:ascii="等线" w:hAnsi="等线" w:eastAsia="仿宋_GB2312"/>
                <w:color w:val="auto"/>
                <w:kern w:val="2"/>
                <w:sz w:val="24"/>
                <w:szCs w:val="24"/>
                <w:highlight w:val="none"/>
                <w:lang w:val="en-US" w:eastAsia="zh-CN"/>
              </w:rPr>
            </w:pPr>
          </w:p>
        </w:tc>
      </w:tr>
      <w:tr w14:paraId="151C53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1C0C054E">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984" w:type="dxa"/>
            <w:noWrap w:val="0"/>
            <w:vAlign w:val="top"/>
          </w:tcPr>
          <w:p w14:paraId="21D6F6F2">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851" w:type="dxa"/>
            <w:noWrap w:val="0"/>
            <w:vAlign w:val="top"/>
          </w:tcPr>
          <w:p w14:paraId="453E4CE0">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774" w:type="dxa"/>
            <w:noWrap w:val="0"/>
            <w:vAlign w:val="top"/>
          </w:tcPr>
          <w:p w14:paraId="28BF08B3">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352" w:type="dxa"/>
            <w:noWrap w:val="0"/>
            <w:vAlign w:val="top"/>
          </w:tcPr>
          <w:p w14:paraId="3EE41AE2">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418" w:type="dxa"/>
            <w:noWrap w:val="0"/>
            <w:vAlign w:val="top"/>
          </w:tcPr>
          <w:p w14:paraId="5A35AB5D">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303" w:type="dxa"/>
            <w:noWrap w:val="0"/>
            <w:vAlign w:val="top"/>
          </w:tcPr>
          <w:p w14:paraId="5AB8EA85">
            <w:pPr>
              <w:pStyle w:val="11"/>
              <w:keepNext/>
              <w:spacing w:after="0" w:line="440" w:lineRule="exact"/>
              <w:ind w:left="63" w:right="63"/>
              <w:rPr>
                <w:rFonts w:ascii="等线" w:hAnsi="等线" w:eastAsia="仿宋_GB2312"/>
                <w:color w:val="auto"/>
                <w:kern w:val="2"/>
                <w:sz w:val="24"/>
                <w:szCs w:val="24"/>
                <w:highlight w:val="none"/>
                <w:lang w:val="en-US" w:eastAsia="zh-CN"/>
              </w:rPr>
            </w:pPr>
          </w:p>
        </w:tc>
      </w:tr>
      <w:tr w14:paraId="21FA46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5884A7EA">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984" w:type="dxa"/>
            <w:noWrap w:val="0"/>
            <w:vAlign w:val="top"/>
          </w:tcPr>
          <w:p w14:paraId="6B3C195A">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851" w:type="dxa"/>
            <w:noWrap w:val="0"/>
            <w:vAlign w:val="top"/>
          </w:tcPr>
          <w:p w14:paraId="017E7BB3">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774" w:type="dxa"/>
            <w:noWrap w:val="0"/>
            <w:vAlign w:val="top"/>
          </w:tcPr>
          <w:p w14:paraId="225D6F89">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352" w:type="dxa"/>
            <w:noWrap w:val="0"/>
            <w:vAlign w:val="top"/>
          </w:tcPr>
          <w:p w14:paraId="3BE6215A">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418" w:type="dxa"/>
            <w:noWrap w:val="0"/>
            <w:vAlign w:val="top"/>
          </w:tcPr>
          <w:p w14:paraId="217157FD">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303" w:type="dxa"/>
            <w:noWrap w:val="0"/>
            <w:vAlign w:val="top"/>
          </w:tcPr>
          <w:p w14:paraId="6B57C46C">
            <w:pPr>
              <w:pStyle w:val="11"/>
              <w:keepNext/>
              <w:spacing w:after="0" w:line="440" w:lineRule="exact"/>
              <w:ind w:left="63" w:right="63"/>
              <w:rPr>
                <w:rFonts w:ascii="等线" w:hAnsi="等线" w:eastAsia="仿宋_GB2312"/>
                <w:color w:val="auto"/>
                <w:kern w:val="2"/>
                <w:sz w:val="24"/>
                <w:szCs w:val="24"/>
                <w:highlight w:val="none"/>
                <w:lang w:val="en-US" w:eastAsia="zh-CN"/>
              </w:rPr>
            </w:pPr>
          </w:p>
        </w:tc>
      </w:tr>
      <w:tr w14:paraId="108DFF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64CF6929">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984" w:type="dxa"/>
            <w:noWrap w:val="0"/>
            <w:vAlign w:val="top"/>
          </w:tcPr>
          <w:p w14:paraId="60B191B2">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851" w:type="dxa"/>
            <w:noWrap w:val="0"/>
            <w:vAlign w:val="top"/>
          </w:tcPr>
          <w:p w14:paraId="65A8CB1F">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774" w:type="dxa"/>
            <w:noWrap w:val="0"/>
            <w:vAlign w:val="top"/>
          </w:tcPr>
          <w:p w14:paraId="34DC1C99">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352" w:type="dxa"/>
            <w:noWrap w:val="0"/>
            <w:vAlign w:val="top"/>
          </w:tcPr>
          <w:p w14:paraId="79DE6A8E">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418" w:type="dxa"/>
            <w:noWrap w:val="0"/>
            <w:vAlign w:val="top"/>
          </w:tcPr>
          <w:p w14:paraId="11FC7E13">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303" w:type="dxa"/>
            <w:noWrap w:val="0"/>
            <w:vAlign w:val="top"/>
          </w:tcPr>
          <w:p w14:paraId="065710CC">
            <w:pPr>
              <w:pStyle w:val="11"/>
              <w:keepNext/>
              <w:spacing w:after="0" w:line="440" w:lineRule="exact"/>
              <w:ind w:left="63" w:right="63"/>
              <w:rPr>
                <w:rFonts w:ascii="等线" w:hAnsi="等线" w:eastAsia="仿宋_GB2312"/>
                <w:color w:val="auto"/>
                <w:kern w:val="2"/>
                <w:sz w:val="24"/>
                <w:szCs w:val="24"/>
                <w:highlight w:val="none"/>
                <w:lang w:val="en-US" w:eastAsia="zh-CN"/>
              </w:rPr>
            </w:pPr>
          </w:p>
        </w:tc>
      </w:tr>
      <w:tr w14:paraId="0050B2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58DA4D6A">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984" w:type="dxa"/>
            <w:noWrap w:val="0"/>
            <w:vAlign w:val="top"/>
          </w:tcPr>
          <w:p w14:paraId="6A7C0521">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851" w:type="dxa"/>
            <w:noWrap w:val="0"/>
            <w:vAlign w:val="top"/>
          </w:tcPr>
          <w:p w14:paraId="7F0846CB">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774" w:type="dxa"/>
            <w:noWrap w:val="0"/>
            <w:vAlign w:val="top"/>
          </w:tcPr>
          <w:p w14:paraId="3B3647F9">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352" w:type="dxa"/>
            <w:noWrap w:val="0"/>
            <w:vAlign w:val="top"/>
          </w:tcPr>
          <w:p w14:paraId="5F99AF4C">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418" w:type="dxa"/>
            <w:noWrap w:val="0"/>
            <w:vAlign w:val="top"/>
          </w:tcPr>
          <w:p w14:paraId="76DD5218">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303" w:type="dxa"/>
            <w:noWrap w:val="0"/>
            <w:vAlign w:val="top"/>
          </w:tcPr>
          <w:p w14:paraId="5E563224">
            <w:pPr>
              <w:pStyle w:val="11"/>
              <w:keepNext/>
              <w:spacing w:after="0" w:line="440" w:lineRule="exact"/>
              <w:ind w:left="63" w:right="63"/>
              <w:rPr>
                <w:rFonts w:ascii="等线" w:hAnsi="等线" w:eastAsia="仿宋_GB2312"/>
                <w:color w:val="auto"/>
                <w:kern w:val="2"/>
                <w:sz w:val="24"/>
                <w:szCs w:val="24"/>
                <w:highlight w:val="none"/>
                <w:lang w:val="en-US" w:eastAsia="zh-CN"/>
              </w:rPr>
            </w:pPr>
          </w:p>
        </w:tc>
      </w:tr>
      <w:tr w14:paraId="342C3B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334A1858">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984" w:type="dxa"/>
            <w:noWrap w:val="0"/>
            <w:vAlign w:val="top"/>
          </w:tcPr>
          <w:p w14:paraId="65957CCB">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851" w:type="dxa"/>
            <w:noWrap w:val="0"/>
            <w:vAlign w:val="top"/>
          </w:tcPr>
          <w:p w14:paraId="58D2AA41">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774" w:type="dxa"/>
            <w:noWrap w:val="0"/>
            <w:vAlign w:val="top"/>
          </w:tcPr>
          <w:p w14:paraId="15CB98AB">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352" w:type="dxa"/>
            <w:noWrap w:val="0"/>
            <w:vAlign w:val="top"/>
          </w:tcPr>
          <w:p w14:paraId="6C0D2B4A">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418" w:type="dxa"/>
            <w:noWrap w:val="0"/>
            <w:vAlign w:val="top"/>
          </w:tcPr>
          <w:p w14:paraId="32073446">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303" w:type="dxa"/>
            <w:noWrap w:val="0"/>
            <w:vAlign w:val="top"/>
          </w:tcPr>
          <w:p w14:paraId="2876D452">
            <w:pPr>
              <w:pStyle w:val="11"/>
              <w:keepNext/>
              <w:spacing w:after="0" w:line="440" w:lineRule="exact"/>
              <w:ind w:left="63" w:right="63"/>
              <w:rPr>
                <w:rFonts w:ascii="等线" w:hAnsi="等线" w:eastAsia="仿宋_GB2312"/>
                <w:color w:val="auto"/>
                <w:kern w:val="2"/>
                <w:sz w:val="24"/>
                <w:szCs w:val="24"/>
                <w:highlight w:val="none"/>
                <w:lang w:val="en-US" w:eastAsia="zh-CN"/>
              </w:rPr>
            </w:pPr>
          </w:p>
        </w:tc>
      </w:tr>
      <w:tr w14:paraId="1DA8BD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5D8DC95A">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984" w:type="dxa"/>
            <w:noWrap w:val="0"/>
            <w:vAlign w:val="top"/>
          </w:tcPr>
          <w:p w14:paraId="326A370B">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851" w:type="dxa"/>
            <w:noWrap w:val="0"/>
            <w:vAlign w:val="top"/>
          </w:tcPr>
          <w:p w14:paraId="2D9AAF0B">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774" w:type="dxa"/>
            <w:noWrap w:val="0"/>
            <w:vAlign w:val="top"/>
          </w:tcPr>
          <w:p w14:paraId="7627C553">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352" w:type="dxa"/>
            <w:noWrap w:val="0"/>
            <w:vAlign w:val="top"/>
          </w:tcPr>
          <w:p w14:paraId="1078BA8C">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418" w:type="dxa"/>
            <w:noWrap w:val="0"/>
            <w:vAlign w:val="top"/>
          </w:tcPr>
          <w:p w14:paraId="2518EBF0">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303" w:type="dxa"/>
            <w:noWrap w:val="0"/>
            <w:vAlign w:val="top"/>
          </w:tcPr>
          <w:p w14:paraId="05F3806A">
            <w:pPr>
              <w:pStyle w:val="11"/>
              <w:keepNext/>
              <w:spacing w:after="0" w:line="440" w:lineRule="exact"/>
              <w:ind w:left="63" w:right="63"/>
              <w:rPr>
                <w:rFonts w:ascii="等线" w:hAnsi="等线" w:eastAsia="仿宋_GB2312"/>
                <w:color w:val="auto"/>
                <w:kern w:val="2"/>
                <w:sz w:val="24"/>
                <w:szCs w:val="24"/>
                <w:highlight w:val="none"/>
                <w:lang w:val="en-US" w:eastAsia="zh-CN"/>
              </w:rPr>
            </w:pPr>
          </w:p>
        </w:tc>
      </w:tr>
      <w:tr w14:paraId="33DA94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15A81E00">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984" w:type="dxa"/>
            <w:noWrap w:val="0"/>
            <w:vAlign w:val="top"/>
          </w:tcPr>
          <w:p w14:paraId="17E3D889">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851" w:type="dxa"/>
            <w:noWrap w:val="0"/>
            <w:vAlign w:val="top"/>
          </w:tcPr>
          <w:p w14:paraId="409178C9">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774" w:type="dxa"/>
            <w:noWrap w:val="0"/>
            <w:vAlign w:val="top"/>
          </w:tcPr>
          <w:p w14:paraId="0EE37162">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352" w:type="dxa"/>
            <w:noWrap w:val="0"/>
            <w:vAlign w:val="top"/>
          </w:tcPr>
          <w:p w14:paraId="4396E10E">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418" w:type="dxa"/>
            <w:noWrap w:val="0"/>
            <w:vAlign w:val="top"/>
          </w:tcPr>
          <w:p w14:paraId="1B1B263F">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303" w:type="dxa"/>
            <w:noWrap w:val="0"/>
            <w:vAlign w:val="top"/>
          </w:tcPr>
          <w:p w14:paraId="7A6432DB">
            <w:pPr>
              <w:pStyle w:val="11"/>
              <w:keepNext/>
              <w:spacing w:after="0" w:line="440" w:lineRule="exact"/>
              <w:ind w:left="63" w:right="63"/>
              <w:rPr>
                <w:rFonts w:ascii="等线" w:hAnsi="等线" w:eastAsia="仿宋_GB2312"/>
                <w:color w:val="auto"/>
                <w:kern w:val="2"/>
                <w:sz w:val="24"/>
                <w:szCs w:val="24"/>
                <w:highlight w:val="none"/>
                <w:lang w:val="en-US" w:eastAsia="zh-CN"/>
              </w:rPr>
            </w:pPr>
          </w:p>
        </w:tc>
      </w:tr>
      <w:tr w14:paraId="3833A2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5A5E417A">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984" w:type="dxa"/>
            <w:noWrap w:val="0"/>
            <w:vAlign w:val="top"/>
          </w:tcPr>
          <w:p w14:paraId="772D1F00">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851" w:type="dxa"/>
            <w:noWrap w:val="0"/>
            <w:vAlign w:val="top"/>
          </w:tcPr>
          <w:p w14:paraId="0DC3C152">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774" w:type="dxa"/>
            <w:noWrap w:val="0"/>
            <w:vAlign w:val="top"/>
          </w:tcPr>
          <w:p w14:paraId="1FA5C204">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352" w:type="dxa"/>
            <w:noWrap w:val="0"/>
            <w:vAlign w:val="top"/>
          </w:tcPr>
          <w:p w14:paraId="6DEED459">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418" w:type="dxa"/>
            <w:noWrap w:val="0"/>
            <w:vAlign w:val="top"/>
          </w:tcPr>
          <w:p w14:paraId="42DBE7A1">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303" w:type="dxa"/>
            <w:noWrap w:val="0"/>
            <w:vAlign w:val="top"/>
          </w:tcPr>
          <w:p w14:paraId="22569DB4">
            <w:pPr>
              <w:pStyle w:val="11"/>
              <w:keepNext/>
              <w:spacing w:after="0" w:line="440" w:lineRule="exact"/>
              <w:ind w:left="63" w:right="63"/>
              <w:rPr>
                <w:rFonts w:ascii="等线" w:hAnsi="等线" w:eastAsia="仿宋_GB2312"/>
                <w:color w:val="auto"/>
                <w:kern w:val="2"/>
                <w:sz w:val="24"/>
                <w:szCs w:val="24"/>
                <w:highlight w:val="none"/>
                <w:lang w:val="en-US" w:eastAsia="zh-CN"/>
              </w:rPr>
            </w:pPr>
          </w:p>
        </w:tc>
      </w:tr>
      <w:tr w14:paraId="699134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0C160881">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984" w:type="dxa"/>
            <w:noWrap w:val="0"/>
            <w:vAlign w:val="top"/>
          </w:tcPr>
          <w:p w14:paraId="53E2585A">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851" w:type="dxa"/>
            <w:noWrap w:val="0"/>
            <w:vAlign w:val="top"/>
          </w:tcPr>
          <w:p w14:paraId="236605C1">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774" w:type="dxa"/>
            <w:noWrap w:val="0"/>
            <w:vAlign w:val="top"/>
          </w:tcPr>
          <w:p w14:paraId="6B870597">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352" w:type="dxa"/>
            <w:noWrap w:val="0"/>
            <w:vAlign w:val="top"/>
          </w:tcPr>
          <w:p w14:paraId="09A885A2">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418" w:type="dxa"/>
            <w:noWrap w:val="0"/>
            <w:vAlign w:val="top"/>
          </w:tcPr>
          <w:p w14:paraId="608C6A42">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303" w:type="dxa"/>
            <w:noWrap w:val="0"/>
            <w:vAlign w:val="top"/>
          </w:tcPr>
          <w:p w14:paraId="02CDD69A">
            <w:pPr>
              <w:pStyle w:val="11"/>
              <w:keepNext/>
              <w:spacing w:after="0" w:line="440" w:lineRule="exact"/>
              <w:ind w:left="63" w:right="63"/>
              <w:rPr>
                <w:rFonts w:ascii="等线" w:hAnsi="等线" w:eastAsia="仿宋_GB2312"/>
                <w:color w:val="auto"/>
                <w:kern w:val="2"/>
                <w:sz w:val="24"/>
                <w:szCs w:val="24"/>
                <w:highlight w:val="none"/>
                <w:lang w:val="en-US" w:eastAsia="zh-CN"/>
              </w:rPr>
            </w:pPr>
          </w:p>
        </w:tc>
      </w:tr>
      <w:tr w14:paraId="3A62F3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1C0572E3">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984" w:type="dxa"/>
            <w:noWrap w:val="0"/>
            <w:vAlign w:val="top"/>
          </w:tcPr>
          <w:p w14:paraId="1DB5AB67">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851" w:type="dxa"/>
            <w:noWrap w:val="0"/>
            <w:vAlign w:val="top"/>
          </w:tcPr>
          <w:p w14:paraId="458C13AC">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774" w:type="dxa"/>
            <w:noWrap w:val="0"/>
            <w:vAlign w:val="top"/>
          </w:tcPr>
          <w:p w14:paraId="6E27B738">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352" w:type="dxa"/>
            <w:noWrap w:val="0"/>
            <w:vAlign w:val="top"/>
          </w:tcPr>
          <w:p w14:paraId="78BDBC55">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418" w:type="dxa"/>
            <w:noWrap w:val="0"/>
            <w:vAlign w:val="top"/>
          </w:tcPr>
          <w:p w14:paraId="2C957BC9">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303" w:type="dxa"/>
            <w:noWrap w:val="0"/>
            <w:vAlign w:val="top"/>
          </w:tcPr>
          <w:p w14:paraId="05733632">
            <w:pPr>
              <w:pStyle w:val="11"/>
              <w:keepNext/>
              <w:spacing w:after="0" w:line="440" w:lineRule="exact"/>
              <w:ind w:left="63" w:right="63"/>
              <w:rPr>
                <w:rFonts w:ascii="等线" w:hAnsi="等线" w:eastAsia="仿宋_GB2312"/>
                <w:color w:val="auto"/>
                <w:kern w:val="2"/>
                <w:sz w:val="24"/>
                <w:szCs w:val="24"/>
                <w:highlight w:val="none"/>
                <w:lang w:val="en-US" w:eastAsia="zh-CN"/>
              </w:rPr>
            </w:pPr>
          </w:p>
        </w:tc>
      </w:tr>
      <w:tr w14:paraId="54BFF6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35E087C5">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984" w:type="dxa"/>
            <w:noWrap w:val="0"/>
            <w:vAlign w:val="top"/>
          </w:tcPr>
          <w:p w14:paraId="4F18BBED">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851" w:type="dxa"/>
            <w:noWrap w:val="0"/>
            <w:vAlign w:val="top"/>
          </w:tcPr>
          <w:p w14:paraId="3AC5E69D">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774" w:type="dxa"/>
            <w:noWrap w:val="0"/>
            <w:vAlign w:val="top"/>
          </w:tcPr>
          <w:p w14:paraId="1496C701">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352" w:type="dxa"/>
            <w:noWrap w:val="0"/>
            <w:vAlign w:val="top"/>
          </w:tcPr>
          <w:p w14:paraId="058D30F8">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418" w:type="dxa"/>
            <w:noWrap w:val="0"/>
            <w:vAlign w:val="top"/>
          </w:tcPr>
          <w:p w14:paraId="64BA3B42">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303" w:type="dxa"/>
            <w:noWrap w:val="0"/>
            <w:vAlign w:val="top"/>
          </w:tcPr>
          <w:p w14:paraId="7802DADB">
            <w:pPr>
              <w:pStyle w:val="11"/>
              <w:keepNext/>
              <w:spacing w:after="0" w:line="440" w:lineRule="exact"/>
              <w:ind w:left="63" w:right="63"/>
              <w:rPr>
                <w:rFonts w:ascii="等线" w:hAnsi="等线" w:eastAsia="仿宋_GB2312"/>
                <w:color w:val="auto"/>
                <w:kern w:val="2"/>
                <w:sz w:val="24"/>
                <w:szCs w:val="24"/>
                <w:highlight w:val="none"/>
                <w:lang w:val="en-US" w:eastAsia="zh-CN"/>
              </w:rPr>
            </w:pPr>
          </w:p>
        </w:tc>
      </w:tr>
      <w:tr w14:paraId="5D251A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19F79787">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984" w:type="dxa"/>
            <w:noWrap w:val="0"/>
            <w:vAlign w:val="top"/>
          </w:tcPr>
          <w:p w14:paraId="009D19B4">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851" w:type="dxa"/>
            <w:noWrap w:val="0"/>
            <w:vAlign w:val="top"/>
          </w:tcPr>
          <w:p w14:paraId="3F67A368">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774" w:type="dxa"/>
            <w:noWrap w:val="0"/>
            <w:vAlign w:val="top"/>
          </w:tcPr>
          <w:p w14:paraId="26231E0E">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352" w:type="dxa"/>
            <w:noWrap w:val="0"/>
            <w:vAlign w:val="top"/>
          </w:tcPr>
          <w:p w14:paraId="11CC6FFD">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418" w:type="dxa"/>
            <w:noWrap w:val="0"/>
            <w:vAlign w:val="top"/>
          </w:tcPr>
          <w:p w14:paraId="1B7DF329">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303" w:type="dxa"/>
            <w:noWrap w:val="0"/>
            <w:vAlign w:val="top"/>
          </w:tcPr>
          <w:p w14:paraId="2E3D5F67">
            <w:pPr>
              <w:pStyle w:val="11"/>
              <w:keepNext/>
              <w:spacing w:after="0" w:line="440" w:lineRule="exact"/>
              <w:ind w:left="63" w:right="63"/>
              <w:rPr>
                <w:rFonts w:ascii="等线" w:hAnsi="等线" w:eastAsia="仿宋_GB2312"/>
                <w:color w:val="auto"/>
                <w:kern w:val="2"/>
                <w:sz w:val="24"/>
                <w:szCs w:val="24"/>
                <w:highlight w:val="none"/>
                <w:lang w:val="en-US" w:eastAsia="zh-CN"/>
              </w:rPr>
            </w:pPr>
          </w:p>
        </w:tc>
      </w:tr>
      <w:tr w14:paraId="5001D7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08F90608">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984" w:type="dxa"/>
            <w:noWrap w:val="0"/>
            <w:vAlign w:val="top"/>
          </w:tcPr>
          <w:p w14:paraId="0AF9B00F">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851" w:type="dxa"/>
            <w:noWrap w:val="0"/>
            <w:vAlign w:val="top"/>
          </w:tcPr>
          <w:p w14:paraId="56598CB6">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774" w:type="dxa"/>
            <w:noWrap w:val="0"/>
            <w:vAlign w:val="top"/>
          </w:tcPr>
          <w:p w14:paraId="6C0AC4A9">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352" w:type="dxa"/>
            <w:noWrap w:val="0"/>
            <w:vAlign w:val="top"/>
          </w:tcPr>
          <w:p w14:paraId="44733F23">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418" w:type="dxa"/>
            <w:noWrap w:val="0"/>
            <w:vAlign w:val="top"/>
          </w:tcPr>
          <w:p w14:paraId="2F77597A">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303" w:type="dxa"/>
            <w:noWrap w:val="0"/>
            <w:vAlign w:val="top"/>
          </w:tcPr>
          <w:p w14:paraId="28376ABB">
            <w:pPr>
              <w:pStyle w:val="11"/>
              <w:keepNext/>
              <w:spacing w:after="0" w:line="440" w:lineRule="exact"/>
              <w:ind w:left="63" w:right="63"/>
              <w:rPr>
                <w:rFonts w:ascii="等线" w:hAnsi="等线" w:eastAsia="仿宋_GB2312"/>
                <w:color w:val="auto"/>
                <w:kern w:val="2"/>
                <w:sz w:val="24"/>
                <w:szCs w:val="24"/>
                <w:highlight w:val="none"/>
                <w:lang w:val="en-US" w:eastAsia="zh-CN"/>
              </w:rPr>
            </w:pPr>
          </w:p>
        </w:tc>
      </w:tr>
      <w:tr w14:paraId="4FEAB4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51EAAC79">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984" w:type="dxa"/>
            <w:noWrap w:val="0"/>
            <w:vAlign w:val="top"/>
          </w:tcPr>
          <w:p w14:paraId="75B04F64">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851" w:type="dxa"/>
            <w:noWrap w:val="0"/>
            <w:vAlign w:val="top"/>
          </w:tcPr>
          <w:p w14:paraId="31E0665E">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774" w:type="dxa"/>
            <w:noWrap w:val="0"/>
            <w:vAlign w:val="top"/>
          </w:tcPr>
          <w:p w14:paraId="641B24A3">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352" w:type="dxa"/>
            <w:noWrap w:val="0"/>
            <w:vAlign w:val="top"/>
          </w:tcPr>
          <w:p w14:paraId="57CB045C">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418" w:type="dxa"/>
            <w:noWrap w:val="0"/>
            <w:vAlign w:val="top"/>
          </w:tcPr>
          <w:p w14:paraId="02CD1A43">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303" w:type="dxa"/>
            <w:noWrap w:val="0"/>
            <w:vAlign w:val="top"/>
          </w:tcPr>
          <w:p w14:paraId="2BBE8D3F">
            <w:pPr>
              <w:pStyle w:val="11"/>
              <w:keepNext/>
              <w:spacing w:after="0" w:line="440" w:lineRule="exact"/>
              <w:ind w:left="63" w:right="63"/>
              <w:rPr>
                <w:rFonts w:ascii="等线" w:hAnsi="等线" w:eastAsia="仿宋_GB2312"/>
                <w:color w:val="auto"/>
                <w:kern w:val="2"/>
                <w:sz w:val="24"/>
                <w:szCs w:val="24"/>
                <w:highlight w:val="none"/>
                <w:lang w:val="en-US" w:eastAsia="zh-CN"/>
              </w:rPr>
            </w:pPr>
          </w:p>
        </w:tc>
      </w:tr>
      <w:tr w14:paraId="1B1C9E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3D59FA32">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984" w:type="dxa"/>
            <w:noWrap w:val="0"/>
            <w:vAlign w:val="top"/>
          </w:tcPr>
          <w:p w14:paraId="5453F7BB">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851" w:type="dxa"/>
            <w:noWrap w:val="0"/>
            <w:vAlign w:val="top"/>
          </w:tcPr>
          <w:p w14:paraId="650A70BF">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774" w:type="dxa"/>
            <w:noWrap w:val="0"/>
            <w:vAlign w:val="top"/>
          </w:tcPr>
          <w:p w14:paraId="4B2560CD">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352" w:type="dxa"/>
            <w:noWrap w:val="0"/>
            <w:vAlign w:val="top"/>
          </w:tcPr>
          <w:p w14:paraId="67411B63">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418" w:type="dxa"/>
            <w:noWrap w:val="0"/>
            <w:vAlign w:val="top"/>
          </w:tcPr>
          <w:p w14:paraId="0348CC7A">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303" w:type="dxa"/>
            <w:noWrap w:val="0"/>
            <w:vAlign w:val="top"/>
          </w:tcPr>
          <w:p w14:paraId="4FE399FC">
            <w:pPr>
              <w:pStyle w:val="11"/>
              <w:keepNext/>
              <w:spacing w:after="0" w:line="440" w:lineRule="exact"/>
              <w:ind w:left="63" w:right="63"/>
              <w:rPr>
                <w:rFonts w:ascii="等线" w:hAnsi="等线" w:eastAsia="仿宋_GB2312"/>
                <w:color w:val="auto"/>
                <w:kern w:val="2"/>
                <w:sz w:val="24"/>
                <w:szCs w:val="24"/>
                <w:highlight w:val="none"/>
                <w:lang w:val="en-US" w:eastAsia="zh-CN"/>
              </w:rPr>
            </w:pPr>
          </w:p>
        </w:tc>
      </w:tr>
      <w:tr w14:paraId="77E6A6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0CD00BFC">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984" w:type="dxa"/>
            <w:noWrap w:val="0"/>
            <w:vAlign w:val="top"/>
          </w:tcPr>
          <w:p w14:paraId="12017829">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851" w:type="dxa"/>
            <w:noWrap w:val="0"/>
            <w:vAlign w:val="top"/>
          </w:tcPr>
          <w:p w14:paraId="64FEA0C5">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774" w:type="dxa"/>
            <w:noWrap w:val="0"/>
            <w:vAlign w:val="top"/>
          </w:tcPr>
          <w:p w14:paraId="5E965E80">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352" w:type="dxa"/>
            <w:noWrap w:val="0"/>
            <w:vAlign w:val="top"/>
          </w:tcPr>
          <w:p w14:paraId="5D129F97">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418" w:type="dxa"/>
            <w:noWrap w:val="0"/>
            <w:vAlign w:val="top"/>
          </w:tcPr>
          <w:p w14:paraId="24DE5524">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303" w:type="dxa"/>
            <w:noWrap w:val="0"/>
            <w:vAlign w:val="top"/>
          </w:tcPr>
          <w:p w14:paraId="70ACEA2D">
            <w:pPr>
              <w:pStyle w:val="11"/>
              <w:keepNext/>
              <w:spacing w:after="0" w:line="440" w:lineRule="exact"/>
              <w:ind w:left="63" w:right="63"/>
              <w:rPr>
                <w:rFonts w:ascii="等线" w:hAnsi="等线" w:eastAsia="仿宋_GB2312"/>
                <w:color w:val="auto"/>
                <w:kern w:val="2"/>
                <w:sz w:val="24"/>
                <w:szCs w:val="24"/>
                <w:highlight w:val="none"/>
                <w:lang w:val="en-US" w:eastAsia="zh-CN"/>
              </w:rPr>
            </w:pPr>
          </w:p>
        </w:tc>
      </w:tr>
      <w:tr w14:paraId="7C301D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4EDE0298">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984" w:type="dxa"/>
            <w:noWrap w:val="0"/>
            <w:vAlign w:val="top"/>
          </w:tcPr>
          <w:p w14:paraId="69852602">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851" w:type="dxa"/>
            <w:noWrap w:val="0"/>
            <w:vAlign w:val="top"/>
          </w:tcPr>
          <w:p w14:paraId="790230C5">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774" w:type="dxa"/>
            <w:noWrap w:val="0"/>
            <w:vAlign w:val="top"/>
          </w:tcPr>
          <w:p w14:paraId="66AF505D">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352" w:type="dxa"/>
            <w:noWrap w:val="0"/>
            <w:vAlign w:val="top"/>
          </w:tcPr>
          <w:p w14:paraId="07027A6A">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418" w:type="dxa"/>
            <w:noWrap w:val="0"/>
            <w:vAlign w:val="top"/>
          </w:tcPr>
          <w:p w14:paraId="385B0B65">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303" w:type="dxa"/>
            <w:noWrap w:val="0"/>
            <w:vAlign w:val="top"/>
          </w:tcPr>
          <w:p w14:paraId="03BD5D7B">
            <w:pPr>
              <w:pStyle w:val="11"/>
              <w:keepNext/>
              <w:spacing w:after="0" w:line="440" w:lineRule="exact"/>
              <w:ind w:left="63" w:right="63"/>
              <w:rPr>
                <w:rFonts w:ascii="等线" w:hAnsi="等线" w:eastAsia="仿宋_GB2312"/>
                <w:color w:val="auto"/>
                <w:kern w:val="2"/>
                <w:sz w:val="24"/>
                <w:szCs w:val="24"/>
                <w:highlight w:val="none"/>
                <w:lang w:val="en-US" w:eastAsia="zh-CN"/>
              </w:rPr>
            </w:pPr>
          </w:p>
        </w:tc>
      </w:tr>
      <w:tr w14:paraId="25D1DE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5E8A4608">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984" w:type="dxa"/>
            <w:noWrap w:val="0"/>
            <w:vAlign w:val="top"/>
          </w:tcPr>
          <w:p w14:paraId="456EE5DF">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851" w:type="dxa"/>
            <w:noWrap w:val="0"/>
            <w:vAlign w:val="top"/>
          </w:tcPr>
          <w:p w14:paraId="181DC09E">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774" w:type="dxa"/>
            <w:noWrap w:val="0"/>
            <w:vAlign w:val="top"/>
          </w:tcPr>
          <w:p w14:paraId="3E66B39E">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352" w:type="dxa"/>
            <w:noWrap w:val="0"/>
            <w:vAlign w:val="top"/>
          </w:tcPr>
          <w:p w14:paraId="49D52845">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418" w:type="dxa"/>
            <w:noWrap w:val="0"/>
            <w:vAlign w:val="top"/>
          </w:tcPr>
          <w:p w14:paraId="12EB6BF5">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303" w:type="dxa"/>
            <w:noWrap w:val="0"/>
            <w:vAlign w:val="top"/>
          </w:tcPr>
          <w:p w14:paraId="33B2AEF2">
            <w:pPr>
              <w:pStyle w:val="11"/>
              <w:keepNext/>
              <w:spacing w:after="0" w:line="440" w:lineRule="exact"/>
              <w:ind w:left="63" w:right="63"/>
              <w:rPr>
                <w:rFonts w:ascii="等线" w:hAnsi="等线" w:eastAsia="仿宋_GB2312"/>
                <w:color w:val="auto"/>
                <w:kern w:val="2"/>
                <w:sz w:val="24"/>
                <w:szCs w:val="24"/>
                <w:highlight w:val="none"/>
                <w:lang w:val="en-US" w:eastAsia="zh-CN"/>
              </w:rPr>
            </w:pPr>
          </w:p>
        </w:tc>
      </w:tr>
      <w:tr w14:paraId="07B079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13837359">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984" w:type="dxa"/>
            <w:noWrap w:val="0"/>
            <w:vAlign w:val="top"/>
          </w:tcPr>
          <w:p w14:paraId="5E517428">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851" w:type="dxa"/>
            <w:noWrap w:val="0"/>
            <w:vAlign w:val="top"/>
          </w:tcPr>
          <w:p w14:paraId="1A022AAD">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774" w:type="dxa"/>
            <w:noWrap w:val="0"/>
            <w:vAlign w:val="top"/>
          </w:tcPr>
          <w:p w14:paraId="3E243BDE">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352" w:type="dxa"/>
            <w:noWrap w:val="0"/>
            <w:vAlign w:val="top"/>
          </w:tcPr>
          <w:p w14:paraId="30809C1F">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418" w:type="dxa"/>
            <w:noWrap w:val="0"/>
            <w:vAlign w:val="top"/>
          </w:tcPr>
          <w:p w14:paraId="499040FC">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303" w:type="dxa"/>
            <w:noWrap w:val="0"/>
            <w:vAlign w:val="top"/>
          </w:tcPr>
          <w:p w14:paraId="376B4716">
            <w:pPr>
              <w:pStyle w:val="11"/>
              <w:keepNext/>
              <w:spacing w:after="0" w:line="440" w:lineRule="exact"/>
              <w:ind w:left="63" w:right="63"/>
              <w:rPr>
                <w:rFonts w:ascii="等线" w:hAnsi="等线" w:eastAsia="仿宋_GB2312"/>
                <w:color w:val="auto"/>
                <w:kern w:val="2"/>
                <w:sz w:val="24"/>
                <w:szCs w:val="24"/>
                <w:highlight w:val="none"/>
                <w:lang w:val="en-US" w:eastAsia="zh-CN"/>
              </w:rPr>
            </w:pPr>
          </w:p>
        </w:tc>
      </w:tr>
      <w:tr w14:paraId="75373A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5AA21C59">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984" w:type="dxa"/>
            <w:noWrap w:val="0"/>
            <w:vAlign w:val="top"/>
          </w:tcPr>
          <w:p w14:paraId="440A115D">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851" w:type="dxa"/>
            <w:noWrap w:val="0"/>
            <w:vAlign w:val="top"/>
          </w:tcPr>
          <w:p w14:paraId="1CCEF6C5">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774" w:type="dxa"/>
            <w:noWrap w:val="0"/>
            <w:vAlign w:val="top"/>
          </w:tcPr>
          <w:p w14:paraId="2D46D64D">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352" w:type="dxa"/>
            <w:noWrap w:val="0"/>
            <w:vAlign w:val="top"/>
          </w:tcPr>
          <w:p w14:paraId="59B06488">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418" w:type="dxa"/>
            <w:noWrap w:val="0"/>
            <w:vAlign w:val="top"/>
          </w:tcPr>
          <w:p w14:paraId="257FC00C">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303" w:type="dxa"/>
            <w:noWrap w:val="0"/>
            <w:vAlign w:val="top"/>
          </w:tcPr>
          <w:p w14:paraId="5A1E8083">
            <w:pPr>
              <w:pStyle w:val="11"/>
              <w:keepNext/>
              <w:spacing w:after="0" w:line="440" w:lineRule="exact"/>
              <w:ind w:left="63" w:right="63"/>
              <w:rPr>
                <w:rFonts w:ascii="等线" w:hAnsi="等线" w:eastAsia="仿宋_GB2312"/>
                <w:color w:val="auto"/>
                <w:kern w:val="2"/>
                <w:sz w:val="24"/>
                <w:szCs w:val="24"/>
                <w:highlight w:val="none"/>
                <w:lang w:val="en-US" w:eastAsia="zh-CN"/>
              </w:rPr>
            </w:pPr>
          </w:p>
        </w:tc>
      </w:tr>
      <w:tr w14:paraId="05A810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622DD041">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984" w:type="dxa"/>
            <w:noWrap w:val="0"/>
            <w:vAlign w:val="top"/>
          </w:tcPr>
          <w:p w14:paraId="39347ACE">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851" w:type="dxa"/>
            <w:noWrap w:val="0"/>
            <w:vAlign w:val="top"/>
          </w:tcPr>
          <w:p w14:paraId="09B9D46F">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774" w:type="dxa"/>
            <w:noWrap w:val="0"/>
            <w:vAlign w:val="top"/>
          </w:tcPr>
          <w:p w14:paraId="6C069140">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352" w:type="dxa"/>
            <w:noWrap w:val="0"/>
            <w:vAlign w:val="top"/>
          </w:tcPr>
          <w:p w14:paraId="1646A456">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418" w:type="dxa"/>
            <w:noWrap w:val="0"/>
            <w:vAlign w:val="top"/>
          </w:tcPr>
          <w:p w14:paraId="427374ED">
            <w:pPr>
              <w:pStyle w:val="11"/>
              <w:keepNext/>
              <w:spacing w:after="0" w:line="440" w:lineRule="exact"/>
              <w:ind w:left="63" w:right="63"/>
              <w:rPr>
                <w:rFonts w:ascii="等线" w:hAnsi="等线" w:eastAsia="仿宋_GB2312"/>
                <w:color w:val="auto"/>
                <w:kern w:val="2"/>
                <w:sz w:val="24"/>
                <w:szCs w:val="24"/>
                <w:highlight w:val="none"/>
                <w:lang w:val="en-US" w:eastAsia="zh-CN"/>
              </w:rPr>
            </w:pPr>
          </w:p>
        </w:tc>
        <w:tc>
          <w:tcPr>
            <w:tcW w:w="1303" w:type="dxa"/>
            <w:noWrap w:val="0"/>
            <w:vAlign w:val="top"/>
          </w:tcPr>
          <w:p w14:paraId="4721AF12">
            <w:pPr>
              <w:pStyle w:val="11"/>
              <w:keepNext/>
              <w:spacing w:after="0" w:line="440" w:lineRule="exact"/>
              <w:ind w:left="63" w:right="63"/>
              <w:rPr>
                <w:rFonts w:ascii="等线" w:hAnsi="等线" w:eastAsia="仿宋_GB2312"/>
                <w:color w:val="auto"/>
                <w:kern w:val="2"/>
                <w:sz w:val="24"/>
                <w:szCs w:val="24"/>
                <w:highlight w:val="none"/>
                <w:lang w:val="en-US" w:eastAsia="zh-CN"/>
              </w:rPr>
            </w:pPr>
          </w:p>
        </w:tc>
      </w:tr>
    </w:tbl>
    <w:p w14:paraId="785B4E9E">
      <w:pPr>
        <w:spacing w:line="440" w:lineRule="exact"/>
        <w:rPr>
          <w:rFonts w:eastAsia="仿宋_GB2312"/>
          <w:color w:val="auto"/>
          <w:sz w:val="30"/>
          <w:szCs w:val="30"/>
          <w:highlight w:val="none"/>
        </w:rPr>
      </w:pPr>
    </w:p>
    <w:p w14:paraId="0189A88E">
      <w:pPr>
        <w:spacing w:before="120" w:beforeLines="50" w:after="120" w:afterLines="50" w:line="440" w:lineRule="exact"/>
        <w:jc w:val="center"/>
        <w:rPr>
          <w:rFonts w:eastAsia="黑体"/>
          <w:color w:val="auto"/>
          <w:sz w:val="30"/>
          <w:szCs w:val="30"/>
          <w:highlight w:val="none"/>
        </w:rPr>
      </w:pPr>
      <w:r>
        <w:rPr>
          <w:rFonts w:eastAsia="仿宋_GB2312"/>
          <w:color w:val="auto"/>
          <w:sz w:val="30"/>
          <w:szCs w:val="30"/>
          <w:highlight w:val="none"/>
        </w:rPr>
        <w:br w:type="page"/>
      </w:r>
      <w:r>
        <w:rPr>
          <w:rFonts w:hint="eastAsia" w:ascii="宋体" w:hAnsi="宋体" w:eastAsia="宋体" w:cs="宋体"/>
          <w:color w:val="auto"/>
          <w:sz w:val="21"/>
          <w:szCs w:val="21"/>
          <w:highlight w:val="none"/>
        </w:rPr>
        <w:t>11-3：专业工程暂估价表</w:t>
      </w:r>
    </w:p>
    <w:tbl>
      <w:tblPr>
        <w:tblStyle w:val="29"/>
        <w:tblW w:w="8675"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79"/>
        <w:gridCol w:w="1984"/>
        <w:gridCol w:w="4395"/>
        <w:gridCol w:w="1417"/>
      </w:tblGrid>
      <w:tr w14:paraId="7B78DF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single" w:color="auto" w:sz="12" w:space="0"/>
              <w:bottom w:val="double" w:color="auto" w:sz="6" w:space="0"/>
            </w:tcBorders>
            <w:noWrap w:val="0"/>
            <w:vAlign w:val="top"/>
          </w:tcPr>
          <w:p w14:paraId="0A7218BA">
            <w:pPr>
              <w:pStyle w:val="11"/>
              <w:keepNext/>
              <w:spacing w:after="0" w:line="440" w:lineRule="exact"/>
              <w:ind w:left="63" w:right="63"/>
              <w:rPr>
                <w:rFonts w:ascii="等线" w:hAnsi="等线" w:eastAsia="仿宋_GB2312"/>
                <w:color w:val="auto"/>
                <w:kern w:val="2"/>
                <w:sz w:val="24"/>
                <w:szCs w:val="24"/>
                <w:highlight w:val="none"/>
                <w:lang w:val="en-US" w:eastAsia="zh-CN"/>
              </w:rPr>
            </w:pPr>
            <w:r>
              <w:rPr>
                <w:rFonts w:ascii="等线" w:hAnsi="等线" w:eastAsia="仿宋_GB2312"/>
                <w:color w:val="auto"/>
                <w:kern w:val="2"/>
                <w:sz w:val="24"/>
                <w:szCs w:val="24"/>
                <w:highlight w:val="none"/>
                <w:lang w:val="en-US" w:eastAsia="zh-CN"/>
              </w:rPr>
              <w:t>序号</w:t>
            </w:r>
          </w:p>
        </w:tc>
        <w:tc>
          <w:tcPr>
            <w:tcW w:w="1984" w:type="dxa"/>
            <w:tcBorders>
              <w:top w:val="single" w:color="auto" w:sz="12" w:space="0"/>
              <w:bottom w:val="double" w:color="auto" w:sz="6" w:space="0"/>
            </w:tcBorders>
            <w:noWrap w:val="0"/>
            <w:vAlign w:val="top"/>
          </w:tcPr>
          <w:p w14:paraId="35F8DC86">
            <w:pPr>
              <w:pStyle w:val="11"/>
              <w:keepNext/>
              <w:spacing w:after="0" w:line="440" w:lineRule="exact"/>
              <w:ind w:left="63" w:right="63"/>
              <w:rPr>
                <w:rFonts w:ascii="等线" w:hAnsi="等线" w:eastAsia="仿宋_GB2312"/>
                <w:color w:val="auto"/>
                <w:kern w:val="2"/>
                <w:sz w:val="24"/>
                <w:szCs w:val="24"/>
                <w:highlight w:val="none"/>
                <w:lang w:val="en-US" w:eastAsia="zh-CN"/>
              </w:rPr>
            </w:pPr>
            <w:r>
              <w:rPr>
                <w:rFonts w:ascii="等线" w:hAnsi="等线" w:eastAsia="仿宋_GB2312"/>
                <w:color w:val="auto"/>
                <w:kern w:val="2"/>
                <w:sz w:val="24"/>
                <w:szCs w:val="24"/>
                <w:highlight w:val="none"/>
                <w:lang w:val="en-US" w:eastAsia="zh-CN"/>
              </w:rPr>
              <w:t>专业工程名称</w:t>
            </w:r>
          </w:p>
        </w:tc>
        <w:tc>
          <w:tcPr>
            <w:tcW w:w="4395" w:type="dxa"/>
            <w:tcBorders>
              <w:top w:val="single" w:color="auto" w:sz="12" w:space="0"/>
              <w:bottom w:val="double" w:color="auto" w:sz="6" w:space="0"/>
            </w:tcBorders>
            <w:noWrap w:val="0"/>
            <w:vAlign w:val="top"/>
          </w:tcPr>
          <w:p w14:paraId="183E7BE5">
            <w:pPr>
              <w:pStyle w:val="11"/>
              <w:keepNext/>
              <w:spacing w:after="0" w:line="440" w:lineRule="exact"/>
              <w:ind w:left="63" w:right="63"/>
              <w:rPr>
                <w:rFonts w:ascii="等线" w:hAnsi="等线" w:eastAsia="仿宋_GB2312"/>
                <w:color w:val="auto"/>
                <w:kern w:val="2"/>
                <w:sz w:val="24"/>
                <w:szCs w:val="24"/>
                <w:highlight w:val="none"/>
                <w:lang w:val="en-US" w:eastAsia="zh-CN"/>
              </w:rPr>
            </w:pPr>
            <w:r>
              <w:rPr>
                <w:rFonts w:ascii="等线" w:hAnsi="等线" w:eastAsia="仿宋_GB2312"/>
                <w:color w:val="auto"/>
                <w:kern w:val="2"/>
                <w:sz w:val="24"/>
                <w:szCs w:val="24"/>
                <w:highlight w:val="none"/>
                <w:lang w:val="en-US" w:eastAsia="zh-CN"/>
              </w:rPr>
              <w:t>工程内容</w:t>
            </w:r>
          </w:p>
        </w:tc>
        <w:tc>
          <w:tcPr>
            <w:tcW w:w="1417" w:type="dxa"/>
            <w:tcBorders>
              <w:top w:val="single" w:color="auto" w:sz="12" w:space="0"/>
              <w:bottom w:val="double" w:color="auto" w:sz="6" w:space="0"/>
            </w:tcBorders>
            <w:noWrap w:val="0"/>
            <w:vAlign w:val="top"/>
          </w:tcPr>
          <w:p w14:paraId="5088982C">
            <w:pPr>
              <w:pStyle w:val="11"/>
              <w:keepNext/>
              <w:spacing w:after="0" w:line="440" w:lineRule="exact"/>
              <w:ind w:left="63" w:right="63"/>
              <w:rPr>
                <w:rFonts w:ascii="等线" w:hAnsi="等线" w:eastAsia="仿宋_GB2312"/>
                <w:color w:val="auto"/>
                <w:kern w:val="2"/>
                <w:sz w:val="24"/>
                <w:szCs w:val="24"/>
                <w:highlight w:val="none"/>
                <w:lang w:val="en-US" w:eastAsia="zh-CN"/>
              </w:rPr>
            </w:pPr>
            <w:r>
              <w:rPr>
                <w:rFonts w:ascii="等线" w:hAnsi="等线" w:eastAsia="仿宋_GB2312"/>
                <w:color w:val="auto"/>
                <w:kern w:val="2"/>
                <w:sz w:val="24"/>
                <w:szCs w:val="24"/>
                <w:highlight w:val="none"/>
                <w:lang w:val="en-US" w:eastAsia="zh-CN"/>
              </w:rPr>
              <w:t>金额</w:t>
            </w:r>
          </w:p>
        </w:tc>
      </w:tr>
      <w:tr w14:paraId="446B84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double" w:color="auto" w:sz="6" w:space="0"/>
              <w:bottom w:val="single" w:color="auto" w:sz="6" w:space="0"/>
            </w:tcBorders>
            <w:noWrap w:val="0"/>
            <w:vAlign w:val="top"/>
          </w:tcPr>
          <w:p w14:paraId="674CFC70">
            <w:pPr>
              <w:pStyle w:val="11"/>
              <w:keepNext/>
              <w:spacing w:after="0" w:line="440" w:lineRule="exact"/>
              <w:ind w:left="63" w:right="63"/>
              <w:rPr>
                <w:rFonts w:ascii="等线" w:hAnsi="等线"/>
                <w:color w:val="auto"/>
                <w:kern w:val="2"/>
                <w:sz w:val="24"/>
                <w:szCs w:val="24"/>
                <w:highlight w:val="none"/>
                <w:lang w:val="en-US" w:eastAsia="zh-CN"/>
              </w:rPr>
            </w:pPr>
          </w:p>
        </w:tc>
        <w:tc>
          <w:tcPr>
            <w:tcW w:w="1984" w:type="dxa"/>
            <w:tcBorders>
              <w:top w:val="double" w:color="auto" w:sz="6" w:space="0"/>
              <w:bottom w:val="single" w:color="auto" w:sz="6" w:space="0"/>
            </w:tcBorders>
            <w:noWrap w:val="0"/>
            <w:vAlign w:val="top"/>
          </w:tcPr>
          <w:p w14:paraId="369923AA">
            <w:pPr>
              <w:pStyle w:val="11"/>
              <w:keepNext/>
              <w:spacing w:after="0" w:line="440" w:lineRule="exact"/>
              <w:ind w:left="63" w:right="63"/>
              <w:rPr>
                <w:rFonts w:ascii="等线" w:hAnsi="等线"/>
                <w:color w:val="auto"/>
                <w:kern w:val="2"/>
                <w:sz w:val="24"/>
                <w:szCs w:val="24"/>
                <w:highlight w:val="none"/>
                <w:lang w:val="en-US" w:eastAsia="zh-CN"/>
              </w:rPr>
            </w:pPr>
          </w:p>
        </w:tc>
        <w:tc>
          <w:tcPr>
            <w:tcW w:w="4395" w:type="dxa"/>
            <w:tcBorders>
              <w:top w:val="double" w:color="auto" w:sz="6" w:space="0"/>
              <w:bottom w:val="single" w:color="auto" w:sz="6" w:space="0"/>
            </w:tcBorders>
            <w:noWrap w:val="0"/>
            <w:vAlign w:val="top"/>
          </w:tcPr>
          <w:p w14:paraId="67F4F603">
            <w:pPr>
              <w:pStyle w:val="11"/>
              <w:keepNext/>
              <w:spacing w:after="0" w:line="440" w:lineRule="exact"/>
              <w:ind w:left="63" w:right="63"/>
              <w:rPr>
                <w:rFonts w:ascii="等线" w:hAnsi="等线"/>
                <w:color w:val="auto"/>
                <w:kern w:val="2"/>
                <w:sz w:val="24"/>
                <w:szCs w:val="24"/>
                <w:highlight w:val="none"/>
                <w:lang w:val="en-US" w:eastAsia="zh-CN"/>
              </w:rPr>
            </w:pPr>
          </w:p>
        </w:tc>
        <w:tc>
          <w:tcPr>
            <w:tcW w:w="1417" w:type="dxa"/>
            <w:tcBorders>
              <w:top w:val="double" w:color="auto" w:sz="6" w:space="0"/>
              <w:bottom w:val="single" w:color="auto" w:sz="6" w:space="0"/>
            </w:tcBorders>
            <w:noWrap w:val="0"/>
            <w:vAlign w:val="top"/>
          </w:tcPr>
          <w:p w14:paraId="6E5F39B5">
            <w:pPr>
              <w:pStyle w:val="11"/>
              <w:keepNext/>
              <w:spacing w:after="0" w:line="440" w:lineRule="exact"/>
              <w:ind w:left="63" w:right="63"/>
              <w:rPr>
                <w:rFonts w:ascii="等线" w:hAnsi="等线"/>
                <w:color w:val="auto"/>
                <w:kern w:val="2"/>
                <w:sz w:val="24"/>
                <w:szCs w:val="24"/>
                <w:highlight w:val="none"/>
                <w:lang w:val="en-US" w:eastAsia="zh-CN"/>
              </w:rPr>
            </w:pPr>
          </w:p>
        </w:tc>
      </w:tr>
      <w:tr w14:paraId="20C322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nil"/>
            </w:tcBorders>
            <w:noWrap w:val="0"/>
            <w:vAlign w:val="top"/>
          </w:tcPr>
          <w:p w14:paraId="0E348447">
            <w:pPr>
              <w:pStyle w:val="11"/>
              <w:keepNext/>
              <w:spacing w:after="0" w:line="440" w:lineRule="exact"/>
              <w:ind w:left="63" w:right="63"/>
              <w:rPr>
                <w:rFonts w:ascii="等线" w:hAnsi="等线"/>
                <w:color w:val="auto"/>
                <w:kern w:val="2"/>
                <w:sz w:val="24"/>
                <w:szCs w:val="24"/>
                <w:highlight w:val="none"/>
                <w:lang w:val="en-US" w:eastAsia="zh-CN"/>
              </w:rPr>
            </w:pPr>
          </w:p>
        </w:tc>
        <w:tc>
          <w:tcPr>
            <w:tcW w:w="1984" w:type="dxa"/>
            <w:tcBorders>
              <w:top w:val="nil"/>
            </w:tcBorders>
            <w:noWrap w:val="0"/>
            <w:vAlign w:val="top"/>
          </w:tcPr>
          <w:p w14:paraId="4724665D">
            <w:pPr>
              <w:pStyle w:val="11"/>
              <w:keepNext/>
              <w:spacing w:after="0" w:line="440" w:lineRule="exact"/>
              <w:ind w:left="63" w:right="63"/>
              <w:rPr>
                <w:rFonts w:ascii="等线" w:hAnsi="等线"/>
                <w:color w:val="auto"/>
                <w:kern w:val="2"/>
                <w:sz w:val="24"/>
                <w:szCs w:val="24"/>
                <w:highlight w:val="none"/>
                <w:lang w:val="en-US" w:eastAsia="zh-CN"/>
              </w:rPr>
            </w:pPr>
          </w:p>
        </w:tc>
        <w:tc>
          <w:tcPr>
            <w:tcW w:w="4395" w:type="dxa"/>
            <w:tcBorders>
              <w:top w:val="nil"/>
            </w:tcBorders>
            <w:noWrap w:val="0"/>
            <w:vAlign w:val="top"/>
          </w:tcPr>
          <w:p w14:paraId="2B060AAA">
            <w:pPr>
              <w:pStyle w:val="11"/>
              <w:keepNext/>
              <w:spacing w:after="0" w:line="440" w:lineRule="exact"/>
              <w:ind w:left="63" w:right="63"/>
              <w:rPr>
                <w:rFonts w:ascii="等线" w:hAnsi="等线"/>
                <w:color w:val="auto"/>
                <w:kern w:val="2"/>
                <w:sz w:val="24"/>
                <w:szCs w:val="24"/>
                <w:highlight w:val="none"/>
                <w:lang w:val="en-US" w:eastAsia="zh-CN"/>
              </w:rPr>
            </w:pPr>
          </w:p>
        </w:tc>
        <w:tc>
          <w:tcPr>
            <w:tcW w:w="1417" w:type="dxa"/>
            <w:tcBorders>
              <w:top w:val="nil"/>
            </w:tcBorders>
            <w:noWrap w:val="0"/>
            <w:vAlign w:val="top"/>
          </w:tcPr>
          <w:p w14:paraId="7E4A208E">
            <w:pPr>
              <w:pStyle w:val="11"/>
              <w:keepNext/>
              <w:spacing w:after="0" w:line="440" w:lineRule="exact"/>
              <w:ind w:left="63" w:right="63"/>
              <w:rPr>
                <w:rFonts w:ascii="等线" w:hAnsi="等线"/>
                <w:color w:val="auto"/>
                <w:kern w:val="2"/>
                <w:sz w:val="24"/>
                <w:szCs w:val="24"/>
                <w:highlight w:val="none"/>
                <w:lang w:val="en-US" w:eastAsia="zh-CN"/>
              </w:rPr>
            </w:pPr>
          </w:p>
        </w:tc>
      </w:tr>
      <w:tr w14:paraId="4443C0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nil"/>
            </w:tcBorders>
            <w:noWrap w:val="0"/>
            <w:vAlign w:val="top"/>
          </w:tcPr>
          <w:p w14:paraId="61215F07">
            <w:pPr>
              <w:pStyle w:val="11"/>
              <w:keepNext/>
              <w:spacing w:after="0" w:line="440" w:lineRule="exact"/>
              <w:ind w:left="63" w:right="63"/>
              <w:rPr>
                <w:rFonts w:ascii="等线" w:hAnsi="等线"/>
                <w:color w:val="auto"/>
                <w:kern w:val="2"/>
                <w:sz w:val="24"/>
                <w:szCs w:val="24"/>
                <w:highlight w:val="none"/>
                <w:lang w:val="en-US" w:eastAsia="zh-CN"/>
              </w:rPr>
            </w:pPr>
          </w:p>
        </w:tc>
        <w:tc>
          <w:tcPr>
            <w:tcW w:w="1984" w:type="dxa"/>
            <w:tcBorders>
              <w:top w:val="nil"/>
            </w:tcBorders>
            <w:noWrap w:val="0"/>
            <w:vAlign w:val="top"/>
          </w:tcPr>
          <w:p w14:paraId="21265823">
            <w:pPr>
              <w:pStyle w:val="11"/>
              <w:keepNext/>
              <w:spacing w:after="0" w:line="440" w:lineRule="exact"/>
              <w:ind w:left="63" w:right="63"/>
              <w:rPr>
                <w:rFonts w:ascii="等线" w:hAnsi="等线"/>
                <w:color w:val="auto"/>
                <w:kern w:val="2"/>
                <w:sz w:val="24"/>
                <w:szCs w:val="24"/>
                <w:highlight w:val="none"/>
                <w:lang w:val="en-US" w:eastAsia="zh-CN"/>
              </w:rPr>
            </w:pPr>
          </w:p>
        </w:tc>
        <w:tc>
          <w:tcPr>
            <w:tcW w:w="4395" w:type="dxa"/>
            <w:tcBorders>
              <w:top w:val="nil"/>
            </w:tcBorders>
            <w:noWrap w:val="0"/>
            <w:vAlign w:val="top"/>
          </w:tcPr>
          <w:p w14:paraId="30AF359A">
            <w:pPr>
              <w:pStyle w:val="11"/>
              <w:keepNext/>
              <w:spacing w:after="0" w:line="440" w:lineRule="exact"/>
              <w:ind w:left="63" w:right="63"/>
              <w:rPr>
                <w:rFonts w:ascii="等线" w:hAnsi="等线"/>
                <w:color w:val="auto"/>
                <w:kern w:val="2"/>
                <w:sz w:val="24"/>
                <w:szCs w:val="24"/>
                <w:highlight w:val="none"/>
                <w:lang w:val="en-US" w:eastAsia="zh-CN"/>
              </w:rPr>
            </w:pPr>
          </w:p>
        </w:tc>
        <w:tc>
          <w:tcPr>
            <w:tcW w:w="1417" w:type="dxa"/>
            <w:tcBorders>
              <w:top w:val="nil"/>
            </w:tcBorders>
            <w:noWrap w:val="0"/>
            <w:vAlign w:val="top"/>
          </w:tcPr>
          <w:p w14:paraId="244D5FCD">
            <w:pPr>
              <w:pStyle w:val="11"/>
              <w:keepNext/>
              <w:spacing w:after="0" w:line="440" w:lineRule="exact"/>
              <w:ind w:left="63" w:right="63"/>
              <w:rPr>
                <w:rFonts w:ascii="等线" w:hAnsi="等线"/>
                <w:color w:val="auto"/>
                <w:kern w:val="2"/>
                <w:sz w:val="24"/>
                <w:szCs w:val="24"/>
                <w:highlight w:val="none"/>
                <w:lang w:val="en-US" w:eastAsia="zh-CN"/>
              </w:rPr>
            </w:pPr>
          </w:p>
        </w:tc>
      </w:tr>
      <w:tr w14:paraId="3EDC22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6BACA854">
            <w:pPr>
              <w:pStyle w:val="11"/>
              <w:keepNext/>
              <w:spacing w:after="0" w:line="440" w:lineRule="exact"/>
              <w:ind w:left="63" w:right="63"/>
              <w:rPr>
                <w:rFonts w:ascii="等线" w:hAnsi="等线"/>
                <w:color w:val="auto"/>
                <w:kern w:val="2"/>
                <w:sz w:val="24"/>
                <w:szCs w:val="24"/>
                <w:highlight w:val="none"/>
                <w:lang w:val="en-US" w:eastAsia="zh-CN"/>
              </w:rPr>
            </w:pPr>
          </w:p>
        </w:tc>
        <w:tc>
          <w:tcPr>
            <w:tcW w:w="1984" w:type="dxa"/>
            <w:noWrap w:val="0"/>
            <w:vAlign w:val="top"/>
          </w:tcPr>
          <w:p w14:paraId="0E0191E7">
            <w:pPr>
              <w:pStyle w:val="11"/>
              <w:keepNext/>
              <w:spacing w:after="0" w:line="440" w:lineRule="exact"/>
              <w:ind w:left="63" w:right="63"/>
              <w:rPr>
                <w:rFonts w:ascii="等线" w:hAnsi="等线"/>
                <w:color w:val="auto"/>
                <w:kern w:val="2"/>
                <w:sz w:val="24"/>
                <w:szCs w:val="24"/>
                <w:highlight w:val="none"/>
                <w:lang w:val="en-US" w:eastAsia="zh-CN"/>
              </w:rPr>
            </w:pPr>
          </w:p>
        </w:tc>
        <w:tc>
          <w:tcPr>
            <w:tcW w:w="4395" w:type="dxa"/>
            <w:noWrap w:val="0"/>
            <w:vAlign w:val="top"/>
          </w:tcPr>
          <w:p w14:paraId="1DDD7B70">
            <w:pPr>
              <w:pStyle w:val="11"/>
              <w:keepNext/>
              <w:spacing w:after="0" w:line="440" w:lineRule="exact"/>
              <w:ind w:left="63" w:right="63"/>
              <w:rPr>
                <w:rFonts w:ascii="等线" w:hAnsi="等线"/>
                <w:color w:val="auto"/>
                <w:kern w:val="2"/>
                <w:sz w:val="24"/>
                <w:szCs w:val="24"/>
                <w:highlight w:val="none"/>
                <w:lang w:val="en-US" w:eastAsia="zh-CN"/>
              </w:rPr>
            </w:pPr>
          </w:p>
        </w:tc>
        <w:tc>
          <w:tcPr>
            <w:tcW w:w="1417" w:type="dxa"/>
            <w:noWrap w:val="0"/>
            <w:vAlign w:val="top"/>
          </w:tcPr>
          <w:p w14:paraId="260BE13E">
            <w:pPr>
              <w:pStyle w:val="11"/>
              <w:keepNext/>
              <w:spacing w:after="0" w:line="440" w:lineRule="exact"/>
              <w:ind w:left="63" w:right="63"/>
              <w:rPr>
                <w:rFonts w:ascii="等线" w:hAnsi="等线"/>
                <w:color w:val="auto"/>
                <w:kern w:val="2"/>
                <w:sz w:val="24"/>
                <w:szCs w:val="24"/>
                <w:highlight w:val="none"/>
                <w:lang w:val="en-US" w:eastAsia="zh-CN"/>
              </w:rPr>
            </w:pPr>
          </w:p>
        </w:tc>
      </w:tr>
      <w:tr w14:paraId="46312D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54E1F4E3">
            <w:pPr>
              <w:pStyle w:val="11"/>
              <w:keepNext/>
              <w:spacing w:after="0" w:line="440" w:lineRule="exact"/>
              <w:ind w:left="63" w:right="63"/>
              <w:rPr>
                <w:rFonts w:ascii="等线" w:hAnsi="等线"/>
                <w:color w:val="auto"/>
                <w:kern w:val="2"/>
                <w:sz w:val="24"/>
                <w:szCs w:val="24"/>
                <w:highlight w:val="none"/>
                <w:lang w:val="en-US" w:eastAsia="zh-CN"/>
              </w:rPr>
            </w:pPr>
          </w:p>
        </w:tc>
        <w:tc>
          <w:tcPr>
            <w:tcW w:w="1984" w:type="dxa"/>
            <w:noWrap w:val="0"/>
            <w:vAlign w:val="top"/>
          </w:tcPr>
          <w:p w14:paraId="1069431F">
            <w:pPr>
              <w:pStyle w:val="11"/>
              <w:keepNext/>
              <w:spacing w:after="0" w:line="440" w:lineRule="exact"/>
              <w:ind w:left="63" w:right="63"/>
              <w:rPr>
                <w:rFonts w:ascii="等线" w:hAnsi="等线"/>
                <w:color w:val="auto"/>
                <w:kern w:val="2"/>
                <w:sz w:val="24"/>
                <w:szCs w:val="24"/>
                <w:highlight w:val="none"/>
                <w:lang w:val="en-US" w:eastAsia="zh-CN"/>
              </w:rPr>
            </w:pPr>
          </w:p>
        </w:tc>
        <w:tc>
          <w:tcPr>
            <w:tcW w:w="4395" w:type="dxa"/>
            <w:noWrap w:val="0"/>
            <w:vAlign w:val="top"/>
          </w:tcPr>
          <w:p w14:paraId="283C8900">
            <w:pPr>
              <w:pStyle w:val="11"/>
              <w:keepNext/>
              <w:spacing w:after="0" w:line="440" w:lineRule="exact"/>
              <w:ind w:left="63" w:right="63"/>
              <w:rPr>
                <w:rFonts w:ascii="等线" w:hAnsi="等线"/>
                <w:color w:val="auto"/>
                <w:kern w:val="2"/>
                <w:sz w:val="24"/>
                <w:szCs w:val="24"/>
                <w:highlight w:val="none"/>
                <w:lang w:val="en-US" w:eastAsia="zh-CN"/>
              </w:rPr>
            </w:pPr>
          </w:p>
        </w:tc>
        <w:tc>
          <w:tcPr>
            <w:tcW w:w="1417" w:type="dxa"/>
            <w:noWrap w:val="0"/>
            <w:vAlign w:val="top"/>
          </w:tcPr>
          <w:p w14:paraId="79A76F35">
            <w:pPr>
              <w:pStyle w:val="11"/>
              <w:keepNext/>
              <w:spacing w:after="0" w:line="440" w:lineRule="exact"/>
              <w:ind w:left="63" w:right="63"/>
              <w:rPr>
                <w:rFonts w:ascii="等线" w:hAnsi="等线"/>
                <w:color w:val="auto"/>
                <w:kern w:val="2"/>
                <w:sz w:val="24"/>
                <w:szCs w:val="24"/>
                <w:highlight w:val="none"/>
                <w:lang w:val="en-US" w:eastAsia="zh-CN"/>
              </w:rPr>
            </w:pPr>
          </w:p>
        </w:tc>
      </w:tr>
      <w:tr w14:paraId="131D16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2C11E598">
            <w:pPr>
              <w:pStyle w:val="11"/>
              <w:keepNext/>
              <w:spacing w:after="0" w:line="440" w:lineRule="exact"/>
              <w:ind w:left="63" w:right="63"/>
              <w:rPr>
                <w:rFonts w:ascii="等线" w:hAnsi="等线"/>
                <w:color w:val="auto"/>
                <w:kern w:val="2"/>
                <w:sz w:val="24"/>
                <w:szCs w:val="24"/>
                <w:highlight w:val="none"/>
                <w:lang w:val="en-US" w:eastAsia="zh-CN"/>
              </w:rPr>
            </w:pPr>
          </w:p>
        </w:tc>
        <w:tc>
          <w:tcPr>
            <w:tcW w:w="1984" w:type="dxa"/>
            <w:noWrap w:val="0"/>
            <w:vAlign w:val="top"/>
          </w:tcPr>
          <w:p w14:paraId="0012A6FE">
            <w:pPr>
              <w:pStyle w:val="11"/>
              <w:keepNext/>
              <w:spacing w:after="0" w:line="440" w:lineRule="exact"/>
              <w:ind w:left="63" w:right="63"/>
              <w:rPr>
                <w:rFonts w:ascii="等线" w:hAnsi="等线"/>
                <w:color w:val="auto"/>
                <w:kern w:val="2"/>
                <w:sz w:val="24"/>
                <w:szCs w:val="24"/>
                <w:highlight w:val="none"/>
                <w:lang w:val="en-US" w:eastAsia="zh-CN"/>
              </w:rPr>
            </w:pPr>
          </w:p>
        </w:tc>
        <w:tc>
          <w:tcPr>
            <w:tcW w:w="4395" w:type="dxa"/>
            <w:noWrap w:val="0"/>
            <w:vAlign w:val="top"/>
          </w:tcPr>
          <w:p w14:paraId="1AA01B5C">
            <w:pPr>
              <w:pStyle w:val="11"/>
              <w:keepNext/>
              <w:spacing w:after="0" w:line="440" w:lineRule="exact"/>
              <w:ind w:left="63" w:right="63"/>
              <w:rPr>
                <w:rFonts w:ascii="等线" w:hAnsi="等线"/>
                <w:color w:val="auto"/>
                <w:kern w:val="2"/>
                <w:sz w:val="24"/>
                <w:szCs w:val="24"/>
                <w:highlight w:val="none"/>
                <w:lang w:val="en-US" w:eastAsia="zh-CN"/>
              </w:rPr>
            </w:pPr>
          </w:p>
        </w:tc>
        <w:tc>
          <w:tcPr>
            <w:tcW w:w="1417" w:type="dxa"/>
            <w:noWrap w:val="0"/>
            <w:vAlign w:val="top"/>
          </w:tcPr>
          <w:p w14:paraId="45C24FFA">
            <w:pPr>
              <w:pStyle w:val="11"/>
              <w:keepNext/>
              <w:spacing w:after="0" w:line="440" w:lineRule="exact"/>
              <w:ind w:left="63" w:right="63"/>
              <w:rPr>
                <w:rFonts w:ascii="等线" w:hAnsi="等线"/>
                <w:color w:val="auto"/>
                <w:kern w:val="2"/>
                <w:sz w:val="24"/>
                <w:szCs w:val="24"/>
                <w:highlight w:val="none"/>
                <w:lang w:val="en-US" w:eastAsia="zh-CN"/>
              </w:rPr>
            </w:pPr>
          </w:p>
        </w:tc>
      </w:tr>
      <w:tr w14:paraId="3240AD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52FA9485">
            <w:pPr>
              <w:pStyle w:val="11"/>
              <w:keepNext/>
              <w:spacing w:after="0" w:line="440" w:lineRule="exact"/>
              <w:ind w:left="63" w:right="63"/>
              <w:rPr>
                <w:rFonts w:ascii="等线" w:hAnsi="等线"/>
                <w:color w:val="auto"/>
                <w:kern w:val="2"/>
                <w:sz w:val="24"/>
                <w:szCs w:val="24"/>
                <w:highlight w:val="none"/>
                <w:lang w:val="en-US" w:eastAsia="zh-CN"/>
              </w:rPr>
            </w:pPr>
          </w:p>
        </w:tc>
        <w:tc>
          <w:tcPr>
            <w:tcW w:w="1984" w:type="dxa"/>
            <w:noWrap w:val="0"/>
            <w:vAlign w:val="top"/>
          </w:tcPr>
          <w:p w14:paraId="566F7186">
            <w:pPr>
              <w:pStyle w:val="11"/>
              <w:keepNext/>
              <w:spacing w:after="0" w:line="440" w:lineRule="exact"/>
              <w:ind w:left="63" w:right="63"/>
              <w:rPr>
                <w:rFonts w:ascii="等线" w:hAnsi="等线"/>
                <w:color w:val="auto"/>
                <w:kern w:val="2"/>
                <w:sz w:val="24"/>
                <w:szCs w:val="24"/>
                <w:highlight w:val="none"/>
                <w:lang w:val="en-US" w:eastAsia="zh-CN"/>
              </w:rPr>
            </w:pPr>
          </w:p>
        </w:tc>
        <w:tc>
          <w:tcPr>
            <w:tcW w:w="4395" w:type="dxa"/>
            <w:noWrap w:val="0"/>
            <w:vAlign w:val="top"/>
          </w:tcPr>
          <w:p w14:paraId="663E0447">
            <w:pPr>
              <w:pStyle w:val="11"/>
              <w:keepNext/>
              <w:spacing w:after="0" w:line="440" w:lineRule="exact"/>
              <w:ind w:left="63" w:right="63"/>
              <w:rPr>
                <w:rFonts w:ascii="等线" w:hAnsi="等线"/>
                <w:color w:val="auto"/>
                <w:kern w:val="2"/>
                <w:sz w:val="24"/>
                <w:szCs w:val="24"/>
                <w:highlight w:val="none"/>
                <w:lang w:val="en-US" w:eastAsia="zh-CN"/>
              </w:rPr>
            </w:pPr>
          </w:p>
        </w:tc>
        <w:tc>
          <w:tcPr>
            <w:tcW w:w="1417" w:type="dxa"/>
            <w:noWrap w:val="0"/>
            <w:vAlign w:val="top"/>
          </w:tcPr>
          <w:p w14:paraId="6A8E8C65">
            <w:pPr>
              <w:pStyle w:val="11"/>
              <w:keepNext/>
              <w:spacing w:after="0" w:line="440" w:lineRule="exact"/>
              <w:ind w:left="63" w:right="63"/>
              <w:rPr>
                <w:rFonts w:ascii="等线" w:hAnsi="等线"/>
                <w:color w:val="auto"/>
                <w:kern w:val="2"/>
                <w:sz w:val="24"/>
                <w:szCs w:val="24"/>
                <w:highlight w:val="none"/>
                <w:lang w:val="en-US" w:eastAsia="zh-CN"/>
              </w:rPr>
            </w:pPr>
          </w:p>
        </w:tc>
      </w:tr>
      <w:tr w14:paraId="069D78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7088E7F9">
            <w:pPr>
              <w:pStyle w:val="11"/>
              <w:keepNext/>
              <w:spacing w:after="0" w:line="440" w:lineRule="exact"/>
              <w:ind w:left="63" w:right="63"/>
              <w:rPr>
                <w:rFonts w:ascii="等线" w:hAnsi="等线"/>
                <w:color w:val="auto"/>
                <w:kern w:val="2"/>
                <w:sz w:val="24"/>
                <w:szCs w:val="24"/>
                <w:highlight w:val="none"/>
                <w:lang w:val="en-US" w:eastAsia="zh-CN"/>
              </w:rPr>
            </w:pPr>
          </w:p>
        </w:tc>
        <w:tc>
          <w:tcPr>
            <w:tcW w:w="1984" w:type="dxa"/>
            <w:noWrap w:val="0"/>
            <w:vAlign w:val="top"/>
          </w:tcPr>
          <w:p w14:paraId="296D62B4">
            <w:pPr>
              <w:pStyle w:val="11"/>
              <w:keepNext/>
              <w:spacing w:after="0" w:line="440" w:lineRule="exact"/>
              <w:ind w:left="63" w:right="63"/>
              <w:rPr>
                <w:rFonts w:ascii="等线" w:hAnsi="等线"/>
                <w:color w:val="auto"/>
                <w:kern w:val="2"/>
                <w:sz w:val="24"/>
                <w:szCs w:val="24"/>
                <w:highlight w:val="none"/>
                <w:lang w:val="en-US" w:eastAsia="zh-CN"/>
              </w:rPr>
            </w:pPr>
          </w:p>
        </w:tc>
        <w:tc>
          <w:tcPr>
            <w:tcW w:w="4395" w:type="dxa"/>
            <w:noWrap w:val="0"/>
            <w:vAlign w:val="top"/>
          </w:tcPr>
          <w:p w14:paraId="67C1B375">
            <w:pPr>
              <w:pStyle w:val="11"/>
              <w:keepNext/>
              <w:spacing w:after="0" w:line="440" w:lineRule="exact"/>
              <w:ind w:left="63" w:right="63"/>
              <w:rPr>
                <w:rFonts w:ascii="等线" w:hAnsi="等线"/>
                <w:color w:val="auto"/>
                <w:kern w:val="2"/>
                <w:sz w:val="24"/>
                <w:szCs w:val="24"/>
                <w:highlight w:val="none"/>
                <w:lang w:val="en-US" w:eastAsia="zh-CN"/>
              </w:rPr>
            </w:pPr>
          </w:p>
        </w:tc>
        <w:tc>
          <w:tcPr>
            <w:tcW w:w="1417" w:type="dxa"/>
            <w:noWrap w:val="0"/>
            <w:vAlign w:val="top"/>
          </w:tcPr>
          <w:p w14:paraId="7B714DE3">
            <w:pPr>
              <w:pStyle w:val="11"/>
              <w:keepNext/>
              <w:spacing w:after="0" w:line="440" w:lineRule="exact"/>
              <w:ind w:left="63" w:right="63"/>
              <w:rPr>
                <w:rFonts w:ascii="等线" w:hAnsi="等线"/>
                <w:color w:val="auto"/>
                <w:kern w:val="2"/>
                <w:sz w:val="24"/>
                <w:szCs w:val="24"/>
                <w:highlight w:val="none"/>
                <w:lang w:val="en-US" w:eastAsia="zh-CN"/>
              </w:rPr>
            </w:pPr>
          </w:p>
        </w:tc>
      </w:tr>
      <w:tr w14:paraId="63CE98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6AE3A7DB">
            <w:pPr>
              <w:pStyle w:val="11"/>
              <w:keepNext/>
              <w:spacing w:after="0" w:line="440" w:lineRule="exact"/>
              <w:ind w:left="63" w:right="63"/>
              <w:rPr>
                <w:rFonts w:ascii="等线" w:hAnsi="等线"/>
                <w:color w:val="auto"/>
                <w:kern w:val="2"/>
                <w:sz w:val="24"/>
                <w:szCs w:val="24"/>
                <w:highlight w:val="none"/>
                <w:lang w:val="en-US" w:eastAsia="zh-CN"/>
              </w:rPr>
            </w:pPr>
          </w:p>
        </w:tc>
        <w:tc>
          <w:tcPr>
            <w:tcW w:w="1984" w:type="dxa"/>
            <w:noWrap w:val="0"/>
            <w:vAlign w:val="top"/>
          </w:tcPr>
          <w:p w14:paraId="16EFB8F2">
            <w:pPr>
              <w:pStyle w:val="11"/>
              <w:keepNext/>
              <w:spacing w:after="0" w:line="440" w:lineRule="exact"/>
              <w:ind w:left="63" w:right="63"/>
              <w:rPr>
                <w:rFonts w:ascii="等线" w:hAnsi="等线"/>
                <w:color w:val="auto"/>
                <w:kern w:val="2"/>
                <w:sz w:val="24"/>
                <w:szCs w:val="24"/>
                <w:highlight w:val="none"/>
                <w:lang w:val="en-US" w:eastAsia="zh-CN"/>
              </w:rPr>
            </w:pPr>
          </w:p>
        </w:tc>
        <w:tc>
          <w:tcPr>
            <w:tcW w:w="4395" w:type="dxa"/>
            <w:noWrap w:val="0"/>
            <w:vAlign w:val="top"/>
          </w:tcPr>
          <w:p w14:paraId="1FAD2ACD">
            <w:pPr>
              <w:pStyle w:val="11"/>
              <w:keepNext/>
              <w:spacing w:after="0" w:line="440" w:lineRule="exact"/>
              <w:ind w:left="63" w:right="63"/>
              <w:rPr>
                <w:rFonts w:ascii="等线" w:hAnsi="等线"/>
                <w:color w:val="auto"/>
                <w:kern w:val="2"/>
                <w:sz w:val="24"/>
                <w:szCs w:val="24"/>
                <w:highlight w:val="none"/>
                <w:lang w:val="en-US" w:eastAsia="zh-CN"/>
              </w:rPr>
            </w:pPr>
          </w:p>
        </w:tc>
        <w:tc>
          <w:tcPr>
            <w:tcW w:w="1417" w:type="dxa"/>
            <w:noWrap w:val="0"/>
            <w:vAlign w:val="top"/>
          </w:tcPr>
          <w:p w14:paraId="244C6C9A">
            <w:pPr>
              <w:pStyle w:val="11"/>
              <w:keepNext/>
              <w:spacing w:after="0" w:line="440" w:lineRule="exact"/>
              <w:ind w:left="63" w:right="63"/>
              <w:rPr>
                <w:rFonts w:ascii="等线" w:hAnsi="等线"/>
                <w:color w:val="auto"/>
                <w:kern w:val="2"/>
                <w:sz w:val="24"/>
                <w:szCs w:val="24"/>
                <w:highlight w:val="none"/>
                <w:lang w:val="en-US" w:eastAsia="zh-CN"/>
              </w:rPr>
            </w:pPr>
          </w:p>
        </w:tc>
      </w:tr>
      <w:tr w14:paraId="60C40F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1D78DA8A">
            <w:pPr>
              <w:pStyle w:val="11"/>
              <w:keepNext/>
              <w:spacing w:after="0" w:line="440" w:lineRule="exact"/>
              <w:ind w:left="63" w:right="63"/>
              <w:rPr>
                <w:rFonts w:ascii="等线" w:hAnsi="等线"/>
                <w:color w:val="auto"/>
                <w:kern w:val="2"/>
                <w:sz w:val="24"/>
                <w:szCs w:val="24"/>
                <w:highlight w:val="none"/>
                <w:lang w:val="en-US" w:eastAsia="zh-CN"/>
              </w:rPr>
            </w:pPr>
          </w:p>
        </w:tc>
        <w:tc>
          <w:tcPr>
            <w:tcW w:w="1984" w:type="dxa"/>
            <w:noWrap w:val="0"/>
            <w:vAlign w:val="top"/>
          </w:tcPr>
          <w:p w14:paraId="1DDD5836">
            <w:pPr>
              <w:pStyle w:val="11"/>
              <w:keepNext/>
              <w:spacing w:after="0" w:line="440" w:lineRule="exact"/>
              <w:ind w:left="63" w:right="63"/>
              <w:rPr>
                <w:rFonts w:ascii="等线" w:hAnsi="等线"/>
                <w:color w:val="auto"/>
                <w:kern w:val="2"/>
                <w:sz w:val="24"/>
                <w:szCs w:val="24"/>
                <w:highlight w:val="none"/>
                <w:lang w:val="en-US" w:eastAsia="zh-CN"/>
              </w:rPr>
            </w:pPr>
          </w:p>
        </w:tc>
        <w:tc>
          <w:tcPr>
            <w:tcW w:w="4395" w:type="dxa"/>
            <w:noWrap w:val="0"/>
            <w:vAlign w:val="top"/>
          </w:tcPr>
          <w:p w14:paraId="016803C4">
            <w:pPr>
              <w:pStyle w:val="11"/>
              <w:keepNext/>
              <w:spacing w:after="0" w:line="440" w:lineRule="exact"/>
              <w:ind w:left="63" w:right="63"/>
              <w:rPr>
                <w:rFonts w:ascii="等线" w:hAnsi="等线"/>
                <w:color w:val="auto"/>
                <w:kern w:val="2"/>
                <w:sz w:val="24"/>
                <w:szCs w:val="24"/>
                <w:highlight w:val="none"/>
                <w:lang w:val="en-US" w:eastAsia="zh-CN"/>
              </w:rPr>
            </w:pPr>
          </w:p>
        </w:tc>
        <w:tc>
          <w:tcPr>
            <w:tcW w:w="1417" w:type="dxa"/>
            <w:noWrap w:val="0"/>
            <w:vAlign w:val="top"/>
          </w:tcPr>
          <w:p w14:paraId="265BED03">
            <w:pPr>
              <w:pStyle w:val="11"/>
              <w:keepNext/>
              <w:spacing w:after="0" w:line="440" w:lineRule="exact"/>
              <w:ind w:left="63" w:right="63"/>
              <w:rPr>
                <w:rFonts w:ascii="等线" w:hAnsi="等线"/>
                <w:color w:val="auto"/>
                <w:kern w:val="2"/>
                <w:sz w:val="24"/>
                <w:szCs w:val="24"/>
                <w:highlight w:val="none"/>
                <w:lang w:val="en-US" w:eastAsia="zh-CN"/>
              </w:rPr>
            </w:pPr>
          </w:p>
        </w:tc>
      </w:tr>
      <w:tr w14:paraId="1FE89C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35BC0E55">
            <w:pPr>
              <w:pStyle w:val="11"/>
              <w:keepNext/>
              <w:spacing w:after="0" w:line="440" w:lineRule="exact"/>
              <w:ind w:left="63" w:right="63"/>
              <w:rPr>
                <w:rFonts w:ascii="等线" w:hAnsi="等线"/>
                <w:color w:val="auto"/>
                <w:kern w:val="2"/>
                <w:sz w:val="24"/>
                <w:szCs w:val="24"/>
                <w:highlight w:val="none"/>
                <w:lang w:val="en-US" w:eastAsia="zh-CN"/>
              </w:rPr>
            </w:pPr>
          </w:p>
        </w:tc>
        <w:tc>
          <w:tcPr>
            <w:tcW w:w="1984" w:type="dxa"/>
            <w:noWrap w:val="0"/>
            <w:vAlign w:val="top"/>
          </w:tcPr>
          <w:p w14:paraId="5B486CB3">
            <w:pPr>
              <w:pStyle w:val="11"/>
              <w:keepNext/>
              <w:spacing w:after="0" w:line="440" w:lineRule="exact"/>
              <w:ind w:left="63" w:right="63"/>
              <w:rPr>
                <w:rFonts w:ascii="等线" w:hAnsi="等线"/>
                <w:color w:val="auto"/>
                <w:kern w:val="2"/>
                <w:sz w:val="24"/>
                <w:szCs w:val="24"/>
                <w:highlight w:val="none"/>
                <w:lang w:val="en-US" w:eastAsia="zh-CN"/>
              </w:rPr>
            </w:pPr>
          </w:p>
        </w:tc>
        <w:tc>
          <w:tcPr>
            <w:tcW w:w="4395" w:type="dxa"/>
            <w:noWrap w:val="0"/>
            <w:vAlign w:val="top"/>
          </w:tcPr>
          <w:p w14:paraId="7003599A">
            <w:pPr>
              <w:pStyle w:val="11"/>
              <w:keepNext/>
              <w:spacing w:after="0" w:line="440" w:lineRule="exact"/>
              <w:ind w:left="63" w:right="63"/>
              <w:rPr>
                <w:rFonts w:ascii="等线" w:hAnsi="等线"/>
                <w:color w:val="auto"/>
                <w:kern w:val="2"/>
                <w:sz w:val="24"/>
                <w:szCs w:val="24"/>
                <w:highlight w:val="none"/>
                <w:lang w:val="en-US" w:eastAsia="zh-CN"/>
              </w:rPr>
            </w:pPr>
          </w:p>
        </w:tc>
        <w:tc>
          <w:tcPr>
            <w:tcW w:w="1417" w:type="dxa"/>
            <w:noWrap w:val="0"/>
            <w:vAlign w:val="top"/>
          </w:tcPr>
          <w:p w14:paraId="234EA5A7">
            <w:pPr>
              <w:pStyle w:val="11"/>
              <w:keepNext/>
              <w:spacing w:after="0" w:line="440" w:lineRule="exact"/>
              <w:ind w:left="63" w:right="63"/>
              <w:rPr>
                <w:rFonts w:ascii="等线" w:hAnsi="等线"/>
                <w:color w:val="auto"/>
                <w:kern w:val="2"/>
                <w:sz w:val="24"/>
                <w:szCs w:val="24"/>
                <w:highlight w:val="none"/>
                <w:lang w:val="en-US" w:eastAsia="zh-CN"/>
              </w:rPr>
            </w:pPr>
          </w:p>
        </w:tc>
      </w:tr>
      <w:tr w14:paraId="7847F3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7CD73562">
            <w:pPr>
              <w:pStyle w:val="11"/>
              <w:keepNext/>
              <w:spacing w:after="0" w:line="440" w:lineRule="exact"/>
              <w:ind w:left="63" w:right="63"/>
              <w:rPr>
                <w:rFonts w:ascii="等线" w:hAnsi="等线"/>
                <w:color w:val="auto"/>
                <w:kern w:val="2"/>
                <w:sz w:val="24"/>
                <w:szCs w:val="24"/>
                <w:highlight w:val="none"/>
                <w:lang w:val="en-US" w:eastAsia="zh-CN"/>
              </w:rPr>
            </w:pPr>
          </w:p>
        </w:tc>
        <w:tc>
          <w:tcPr>
            <w:tcW w:w="1984" w:type="dxa"/>
            <w:noWrap w:val="0"/>
            <w:vAlign w:val="top"/>
          </w:tcPr>
          <w:p w14:paraId="15472C21">
            <w:pPr>
              <w:pStyle w:val="11"/>
              <w:keepNext/>
              <w:spacing w:after="0" w:line="440" w:lineRule="exact"/>
              <w:ind w:left="63" w:right="63"/>
              <w:rPr>
                <w:rFonts w:ascii="等线" w:hAnsi="等线"/>
                <w:color w:val="auto"/>
                <w:kern w:val="2"/>
                <w:sz w:val="24"/>
                <w:szCs w:val="24"/>
                <w:highlight w:val="none"/>
                <w:lang w:val="en-US" w:eastAsia="zh-CN"/>
              </w:rPr>
            </w:pPr>
          </w:p>
        </w:tc>
        <w:tc>
          <w:tcPr>
            <w:tcW w:w="4395" w:type="dxa"/>
            <w:noWrap w:val="0"/>
            <w:vAlign w:val="top"/>
          </w:tcPr>
          <w:p w14:paraId="71CFBFC2">
            <w:pPr>
              <w:pStyle w:val="11"/>
              <w:keepNext/>
              <w:spacing w:after="0" w:line="440" w:lineRule="exact"/>
              <w:ind w:left="63" w:right="63"/>
              <w:rPr>
                <w:rFonts w:ascii="等线" w:hAnsi="等线"/>
                <w:color w:val="auto"/>
                <w:kern w:val="2"/>
                <w:sz w:val="24"/>
                <w:szCs w:val="24"/>
                <w:highlight w:val="none"/>
                <w:lang w:val="en-US" w:eastAsia="zh-CN"/>
              </w:rPr>
            </w:pPr>
          </w:p>
        </w:tc>
        <w:tc>
          <w:tcPr>
            <w:tcW w:w="1417" w:type="dxa"/>
            <w:noWrap w:val="0"/>
            <w:vAlign w:val="top"/>
          </w:tcPr>
          <w:p w14:paraId="7EF198BC">
            <w:pPr>
              <w:pStyle w:val="11"/>
              <w:keepNext/>
              <w:spacing w:after="0" w:line="440" w:lineRule="exact"/>
              <w:ind w:left="63" w:right="63"/>
              <w:rPr>
                <w:rFonts w:ascii="等线" w:hAnsi="等线"/>
                <w:color w:val="auto"/>
                <w:kern w:val="2"/>
                <w:sz w:val="24"/>
                <w:szCs w:val="24"/>
                <w:highlight w:val="none"/>
                <w:lang w:val="en-US" w:eastAsia="zh-CN"/>
              </w:rPr>
            </w:pPr>
          </w:p>
        </w:tc>
      </w:tr>
      <w:tr w14:paraId="3CE6CD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2080CF65">
            <w:pPr>
              <w:pStyle w:val="11"/>
              <w:keepNext/>
              <w:spacing w:after="0" w:line="440" w:lineRule="exact"/>
              <w:ind w:left="63" w:right="63"/>
              <w:rPr>
                <w:rFonts w:ascii="等线" w:hAnsi="等线"/>
                <w:color w:val="auto"/>
                <w:kern w:val="2"/>
                <w:sz w:val="24"/>
                <w:szCs w:val="24"/>
                <w:highlight w:val="none"/>
                <w:lang w:val="en-US" w:eastAsia="zh-CN"/>
              </w:rPr>
            </w:pPr>
          </w:p>
        </w:tc>
        <w:tc>
          <w:tcPr>
            <w:tcW w:w="1984" w:type="dxa"/>
            <w:noWrap w:val="0"/>
            <w:vAlign w:val="top"/>
          </w:tcPr>
          <w:p w14:paraId="67012738">
            <w:pPr>
              <w:pStyle w:val="11"/>
              <w:keepNext/>
              <w:spacing w:after="0" w:line="440" w:lineRule="exact"/>
              <w:ind w:left="63" w:right="63"/>
              <w:rPr>
                <w:rFonts w:ascii="等线" w:hAnsi="等线"/>
                <w:color w:val="auto"/>
                <w:kern w:val="2"/>
                <w:sz w:val="24"/>
                <w:szCs w:val="24"/>
                <w:highlight w:val="none"/>
                <w:lang w:val="en-US" w:eastAsia="zh-CN"/>
              </w:rPr>
            </w:pPr>
          </w:p>
        </w:tc>
        <w:tc>
          <w:tcPr>
            <w:tcW w:w="4395" w:type="dxa"/>
            <w:noWrap w:val="0"/>
            <w:vAlign w:val="top"/>
          </w:tcPr>
          <w:p w14:paraId="21CC0D76">
            <w:pPr>
              <w:pStyle w:val="11"/>
              <w:keepNext/>
              <w:spacing w:after="0" w:line="440" w:lineRule="exact"/>
              <w:ind w:left="63" w:right="63"/>
              <w:rPr>
                <w:rFonts w:ascii="等线" w:hAnsi="等线"/>
                <w:color w:val="auto"/>
                <w:kern w:val="2"/>
                <w:sz w:val="24"/>
                <w:szCs w:val="24"/>
                <w:highlight w:val="none"/>
                <w:lang w:val="en-US" w:eastAsia="zh-CN"/>
              </w:rPr>
            </w:pPr>
          </w:p>
        </w:tc>
        <w:tc>
          <w:tcPr>
            <w:tcW w:w="1417" w:type="dxa"/>
            <w:noWrap w:val="0"/>
            <w:vAlign w:val="top"/>
          </w:tcPr>
          <w:p w14:paraId="06B0DD16">
            <w:pPr>
              <w:pStyle w:val="11"/>
              <w:keepNext/>
              <w:spacing w:after="0" w:line="440" w:lineRule="exact"/>
              <w:ind w:left="63" w:right="63"/>
              <w:rPr>
                <w:rFonts w:ascii="等线" w:hAnsi="等线"/>
                <w:color w:val="auto"/>
                <w:kern w:val="2"/>
                <w:sz w:val="24"/>
                <w:szCs w:val="24"/>
                <w:highlight w:val="none"/>
                <w:lang w:val="en-US" w:eastAsia="zh-CN"/>
              </w:rPr>
            </w:pPr>
          </w:p>
        </w:tc>
      </w:tr>
      <w:tr w14:paraId="065D75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2BD2B237">
            <w:pPr>
              <w:pStyle w:val="11"/>
              <w:keepNext/>
              <w:spacing w:after="0" w:line="440" w:lineRule="exact"/>
              <w:ind w:left="63" w:right="63"/>
              <w:rPr>
                <w:rFonts w:ascii="等线" w:hAnsi="等线"/>
                <w:color w:val="auto"/>
                <w:kern w:val="2"/>
                <w:sz w:val="24"/>
                <w:szCs w:val="24"/>
                <w:highlight w:val="none"/>
                <w:lang w:val="en-US" w:eastAsia="zh-CN"/>
              </w:rPr>
            </w:pPr>
          </w:p>
        </w:tc>
        <w:tc>
          <w:tcPr>
            <w:tcW w:w="1984" w:type="dxa"/>
            <w:noWrap w:val="0"/>
            <w:vAlign w:val="top"/>
          </w:tcPr>
          <w:p w14:paraId="2512FA8D">
            <w:pPr>
              <w:pStyle w:val="11"/>
              <w:keepNext/>
              <w:spacing w:after="0" w:line="440" w:lineRule="exact"/>
              <w:ind w:left="63" w:right="63"/>
              <w:rPr>
                <w:rFonts w:ascii="等线" w:hAnsi="等线"/>
                <w:color w:val="auto"/>
                <w:kern w:val="2"/>
                <w:sz w:val="24"/>
                <w:szCs w:val="24"/>
                <w:highlight w:val="none"/>
                <w:lang w:val="en-US" w:eastAsia="zh-CN"/>
              </w:rPr>
            </w:pPr>
          </w:p>
        </w:tc>
        <w:tc>
          <w:tcPr>
            <w:tcW w:w="4395" w:type="dxa"/>
            <w:noWrap w:val="0"/>
            <w:vAlign w:val="top"/>
          </w:tcPr>
          <w:p w14:paraId="25FBC83D">
            <w:pPr>
              <w:pStyle w:val="11"/>
              <w:keepNext/>
              <w:spacing w:after="0" w:line="440" w:lineRule="exact"/>
              <w:ind w:left="63" w:right="63"/>
              <w:rPr>
                <w:rFonts w:ascii="等线" w:hAnsi="等线"/>
                <w:color w:val="auto"/>
                <w:kern w:val="2"/>
                <w:sz w:val="24"/>
                <w:szCs w:val="24"/>
                <w:highlight w:val="none"/>
                <w:lang w:val="en-US" w:eastAsia="zh-CN"/>
              </w:rPr>
            </w:pPr>
          </w:p>
        </w:tc>
        <w:tc>
          <w:tcPr>
            <w:tcW w:w="1417" w:type="dxa"/>
            <w:noWrap w:val="0"/>
            <w:vAlign w:val="top"/>
          </w:tcPr>
          <w:p w14:paraId="0C783091">
            <w:pPr>
              <w:pStyle w:val="11"/>
              <w:keepNext/>
              <w:spacing w:after="0" w:line="440" w:lineRule="exact"/>
              <w:ind w:left="63" w:right="63"/>
              <w:rPr>
                <w:rFonts w:ascii="等线" w:hAnsi="等线"/>
                <w:color w:val="auto"/>
                <w:kern w:val="2"/>
                <w:sz w:val="24"/>
                <w:szCs w:val="24"/>
                <w:highlight w:val="none"/>
                <w:lang w:val="en-US" w:eastAsia="zh-CN"/>
              </w:rPr>
            </w:pPr>
          </w:p>
        </w:tc>
      </w:tr>
      <w:tr w14:paraId="135CAF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3DE10FCA">
            <w:pPr>
              <w:pStyle w:val="11"/>
              <w:keepNext/>
              <w:spacing w:after="0" w:line="440" w:lineRule="exact"/>
              <w:ind w:left="63" w:right="63"/>
              <w:rPr>
                <w:rFonts w:ascii="等线" w:hAnsi="等线"/>
                <w:color w:val="auto"/>
                <w:kern w:val="2"/>
                <w:sz w:val="24"/>
                <w:szCs w:val="24"/>
                <w:highlight w:val="none"/>
                <w:lang w:val="en-US" w:eastAsia="zh-CN"/>
              </w:rPr>
            </w:pPr>
          </w:p>
        </w:tc>
        <w:tc>
          <w:tcPr>
            <w:tcW w:w="1984" w:type="dxa"/>
            <w:noWrap w:val="0"/>
            <w:vAlign w:val="top"/>
          </w:tcPr>
          <w:p w14:paraId="78E4CCFD">
            <w:pPr>
              <w:pStyle w:val="11"/>
              <w:keepNext/>
              <w:spacing w:after="0" w:line="440" w:lineRule="exact"/>
              <w:ind w:left="63" w:right="63"/>
              <w:rPr>
                <w:rFonts w:ascii="等线" w:hAnsi="等线"/>
                <w:color w:val="auto"/>
                <w:kern w:val="2"/>
                <w:sz w:val="24"/>
                <w:szCs w:val="24"/>
                <w:highlight w:val="none"/>
                <w:lang w:val="en-US" w:eastAsia="zh-CN"/>
              </w:rPr>
            </w:pPr>
          </w:p>
        </w:tc>
        <w:tc>
          <w:tcPr>
            <w:tcW w:w="4395" w:type="dxa"/>
            <w:noWrap w:val="0"/>
            <w:vAlign w:val="top"/>
          </w:tcPr>
          <w:p w14:paraId="0F986D4E">
            <w:pPr>
              <w:pStyle w:val="11"/>
              <w:keepNext/>
              <w:spacing w:after="0" w:line="440" w:lineRule="exact"/>
              <w:ind w:left="63" w:right="63"/>
              <w:rPr>
                <w:rFonts w:ascii="等线" w:hAnsi="等线"/>
                <w:color w:val="auto"/>
                <w:kern w:val="2"/>
                <w:sz w:val="24"/>
                <w:szCs w:val="24"/>
                <w:highlight w:val="none"/>
                <w:lang w:val="en-US" w:eastAsia="zh-CN"/>
              </w:rPr>
            </w:pPr>
          </w:p>
        </w:tc>
        <w:tc>
          <w:tcPr>
            <w:tcW w:w="1417" w:type="dxa"/>
            <w:noWrap w:val="0"/>
            <w:vAlign w:val="top"/>
          </w:tcPr>
          <w:p w14:paraId="178E511A">
            <w:pPr>
              <w:pStyle w:val="11"/>
              <w:keepNext/>
              <w:spacing w:after="0" w:line="440" w:lineRule="exact"/>
              <w:ind w:left="63" w:right="63"/>
              <w:rPr>
                <w:rFonts w:ascii="等线" w:hAnsi="等线"/>
                <w:color w:val="auto"/>
                <w:kern w:val="2"/>
                <w:sz w:val="24"/>
                <w:szCs w:val="24"/>
                <w:highlight w:val="none"/>
                <w:lang w:val="en-US" w:eastAsia="zh-CN"/>
              </w:rPr>
            </w:pPr>
          </w:p>
        </w:tc>
      </w:tr>
      <w:tr w14:paraId="5FDC93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742ACB5D">
            <w:pPr>
              <w:pStyle w:val="11"/>
              <w:keepNext/>
              <w:spacing w:after="0" w:line="440" w:lineRule="exact"/>
              <w:ind w:left="63" w:right="63"/>
              <w:rPr>
                <w:rFonts w:ascii="等线" w:hAnsi="等线"/>
                <w:color w:val="auto"/>
                <w:kern w:val="2"/>
                <w:sz w:val="24"/>
                <w:szCs w:val="24"/>
                <w:highlight w:val="none"/>
                <w:lang w:val="en-US" w:eastAsia="zh-CN"/>
              </w:rPr>
            </w:pPr>
          </w:p>
        </w:tc>
        <w:tc>
          <w:tcPr>
            <w:tcW w:w="1984" w:type="dxa"/>
            <w:noWrap w:val="0"/>
            <w:vAlign w:val="top"/>
          </w:tcPr>
          <w:p w14:paraId="1540B0F3">
            <w:pPr>
              <w:pStyle w:val="11"/>
              <w:keepNext/>
              <w:spacing w:after="0" w:line="440" w:lineRule="exact"/>
              <w:ind w:left="63" w:right="63"/>
              <w:rPr>
                <w:rFonts w:ascii="等线" w:hAnsi="等线"/>
                <w:color w:val="auto"/>
                <w:kern w:val="2"/>
                <w:sz w:val="24"/>
                <w:szCs w:val="24"/>
                <w:highlight w:val="none"/>
                <w:lang w:val="en-US" w:eastAsia="zh-CN"/>
              </w:rPr>
            </w:pPr>
          </w:p>
        </w:tc>
        <w:tc>
          <w:tcPr>
            <w:tcW w:w="4395" w:type="dxa"/>
            <w:noWrap w:val="0"/>
            <w:vAlign w:val="top"/>
          </w:tcPr>
          <w:p w14:paraId="1C99C54F">
            <w:pPr>
              <w:pStyle w:val="11"/>
              <w:keepNext/>
              <w:spacing w:after="0" w:line="440" w:lineRule="exact"/>
              <w:ind w:left="63" w:right="63"/>
              <w:rPr>
                <w:rFonts w:ascii="等线" w:hAnsi="等线"/>
                <w:color w:val="auto"/>
                <w:kern w:val="2"/>
                <w:sz w:val="24"/>
                <w:szCs w:val="24"/>
                <w:highlight w:val="none"/>
                <w:lang w:val="en-US" w:eastAsia="zh-CN"/>
              </w:rPr>
            </w:pPr>
          </w:p>
        </w:tc>
        <w:tc>
          <w:tcPr>
            <w:tcW w:w="1417" w:type="dxa"/>
            <w:noWrap w:val="0"/>
            <w:vAlign w:val="top"/>
          </w:tcPr>
          <w:p w14:paraId="6B5F3F92">
            <w:pPr>
              <w:pStyle w:val="11"/>
              <w:keepNext/>
              <w:spacing w:after="0" w:line="440" w:lineRule="exact"/>
              <w:ind w:left="63" w:right="63"/>
              <w:rPr>
                <w:rFonts w:ascii="等线" w:hAnsi="等线"/>
                <w:color w:val="auto"/>
                <w:kern w:val="2"/>
                <w:sz w:val="24"/>
                <w:szCs w:val="24"/>
                <w:highlight w:val="none"/>
                <w:lang w:val="en-US" w:eastAsia="zh-CN"/>
              </w:rPr>
            </w:pPr>
          </w:p>
        </w:tc>
      </w:tr>
      <w:tr w14:paraId="0DC029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0AEFE227">
            <w:pPr>
              <w:pStyle w:val="11"/>
              <w:keepNext/>
              <w:spacing w:after="0" w:line="440" w:lineRule="exact"/>
              <w:ind w:left="63" w:right="63"/>
              <w:rPr>
                <w:rFonts w:ascii="等线" w:hAnsi="等线"/>
                <w:color w:val="auto"/>
                <w:kern w:val="2"/>
                <w:sz w:val="24"/>
                <w:szCs w:val="24"/>
                <w:highlight w:val="none"/>
                <w:lang w:val="en-US" w:eastAsia="zh-CN"/>
              </w:rPr>
            </w:pPr>
          </w:p>
        </w:tc>
        <w:tc>
          <w:tcPr>
            <w:tcW w:w="1984" w:type="dxa"/>
            <w:noWrap w:val="0"/>
            <w:vAlign w:val="top"/>
          </w:tcPr>
          <w:p w14:paraId="3E5416E2">
            <w:pPr>
              <w:pStyle w:val="11"/>
              <w:keepNext/>
              <w:spacing w:after="0" w:line="440" w:lineRule="exact"/>
              <w:ind w:left="63" w:right="63"/>
              <w:rPr>
                <w:rFonts w:ascii="等线" w:hAnsi="等线"/>
                <w:color w:val="auto"/>
                <w:kern w:val="2"/>
                <w:sz w:val="24"/>
                <w:szCs w:val="24"/>
                <w:highlight w:val="none"/>
                <w:lang w:val="en-US" w:eastAsia="zh-CN"/>
              </w:rPr>
            </w:pPr>
          </w:p>
        </w:tc>
        <w:tc>
          <w:tcPr>
            <w:tcW w:w="4395" w:type="dxa"/>
            <w:noWrap w:val="0"/>
            <w:vAlign w:val="top"/>
          </w:tcPr>
          <w:p w14:paraId="161249AE">
            <w:pPr>
              <w:pStyle w:val="11"/>
              <w:keepNext/>
              <w:spacing w:after="0" w:line="440" w:lineRule="exact"/>
              <w:ind w:left="63" w:right="63"/>
              <w:rPr>
                <w:rFonts w:ascii="等线" w:hAnsi="等线"/>
                <w:color w:val="auto"/>
                <w:kern w:val="2"/>
                <w:sz w:val="24"/>
                <w:szCs w:val="24"/>
                <w:highlight w:val="none"/>
                <w:lang w:val="en-US" w:eastAsia="zh-CN"/>
              </w:rPr>
            </w:pPr>
          </w:p>
        </w:tc>
        <w:tc>
          <w:tcPr>
            <w:tcW w:w="1417" w:type="dxa"/>
            <w:noWrap w:val="0"/>
            <w:vAlign w:val="top"/>
          </w:tcPr>
          <w:p w14:paraId="517E0E0E">
            <w:pPr>
              <w:pStyle w:val="11"/>
              <w:keepNext/>
              <w:spacing w:after="0" w:line="440" w:lineRule="exact"/>
              <w:ind w:left="63" w:right="63"/>
              <w:rPr>
                <w:rFonts w:ascii="等线" w:hAnsi="等线"/>
                <w:color w:val="auto"/>
                <w:kern w:val="2"/>
                <w:sz w:val="24"/>
                <w:szCs w:val="24"/>
                <w:highlight w:val="none"/>
                <w:lang w:val="en-US" w:eastAsia="zh-CN"/>
              </w:rPr>
            </w:pPr>
          </w:p>
        </w:tc>
      </w:tr>
      <w:tr w14:paraId="3AD775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2B69D1A8">
            <w:pPr>
              <w:pStyle w:val="11"/>
              <w:keepNext/>
              <w:spacing w:after="0" w:line="440" w:lineRule="exact"/>
              <w:ind w:left="63" w:right="63"/>
              <w:rPr>
                <w:rFonts w:ascii="等线" w:hAnsi="等线"/>
                <w:color w:val="auto"/>
                <w:kern w:val="2"/>
                <w:sz w:val="24"/>
                <w:szCs w:val="24"/>
                <w:highlight w:val="none"/>
                <w:lang w:val="en-US" w:eastAsia="zh-CN"/>
              </w:rPr>
            </w:pPr>
          </w:p>
        </w:tc>
        <w:tc>
          <w:tcPr>
            <w:tcW w:w="1984" w:type="dxa"/>
            <w:noWrap w:val="0"/>
            <w:vAlign w:val="top"/>
          </w:tcPr>
          <w:p w14:paraId="57641C90">
            <w:pPr>
              <w:pStyle w:val="11"/>
              <w:keepNext/>
              <w:spacing w:after="0" w:line="440" w:lineRule="exact"/>
              <w:ind w:left="63" w:right="63"/>
              <w:rPr>
                <w:rFonts w:ascii="等线" w:hAnsi="等线"/>
                <w:color w:val="auto"/>
                <w:kern w:val="2"/>
                <w:sz w:val="24"/>
                <w:szCs w:val="24"/>
                <w:highlight w:val="none"/>
                <w:lang w:val="en-US" w:eastAsia="zh-CN"/>
              </w:rPr>
            </w:pPr>
          </w:p>
        </w:tc>
        <w:tc>
          <w:tcPr>
            <w:tcW w:w="4395" w:type="dxa"/>
            <w:noWrap w:val="0"/>
            <w:vAlign w:val="top"/>
          </w:tcPr>
          <w:p w14:paraId="5C9859DF">
            <w:pPr>
              <w:pStyle w:val="11"/>
              <w:keepNext/>
              <w:spacing w:after="0" w:line="440" w:lineRule="exact"/>
              <w:ind w:left="63" w:right="63"/>
              <w:rPr>
                <w:rFonts w:ascii="等线" w:hAnsi="等线"/>
                <w:color w:val="auto"/>
                <w:kern w:val="2"/>
                <w:sz w:val="24"/>
                <w:szCs w:val="24"/>
                <w:highlight w:val="none"/>
                <w:lang w:val="en-US" w:eastAsia="zh-CN"/>
              </w:rPr>
            </w:pPr>
          </w:p>
        </w:tc>
        <w:tc>
          <w:tcPr>
            <w:tcW w:w="1417" w:type="dxa"/>
            <w:noWrap w:val="0"/>
            <w:vAlign w:val="top"/>
          </w:tcPr>
          <w:p w14:paraId="06933FDC">
            <w:pPr>
              <w:pStyle w:val="11"/>
              <w:keepNext/>
              <w:spacing w:after="0" w:line="440" w:lineRule="exact"/>
              <w:ind w:left="63" w:right="63"/>
              <w:rPr>
                <w:rFonts w:ascii="等线" w:hAnsi="等线"/>
                <w:color w:val="auto"/>
                <w:kern w:val="2"/>
                <w:sz w:val="24"/>
                <w:szCs w:val="24"/>
                <w:highlight w:val="none"/>
                <w:lang w:val="en-US" w:eastAsia="zh-CN"/>
              </w:rPr>
            </w:pPr>
          </w:p>
        </w:tc>
      </w:tr>
      <w:tr w14:paraId="2135C2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30C163BE">
            <w:pPr>
              <w:pStyle w:val="11"/>
              <w:keepNext/>
              <w:spacing w:after="0" w:line="440" w:lineRule="exact"/>
              <w:ind w:left="63" w:right="63"/>
              <w:rPr>
                <w:rFonts w:ascii="等线" w:hAnsi="等线"/>
                <w:color w:val="auto"/>
                <w:kern w:val="2"/>
                <w:sz w:val="24"/>
                <w:szCs w:val="24"/>
                <w:highlight w:val="none"/>
                <w:lang w:val="en-US" w:eastAsia="zh-CN"/>
              </w:rPr>
            </w:pPr>
          </w:p>
        </w:tc>
        <w:tc>
          <w:tcPr>
            <w:tcW w:w="1984" w:type="dxa"/>
            <w:noWrap w:val="0"/>
            <w:vAlign w:val="top"/>
          </w:tcPr>
          <w:p w14:paraId="11D15FE0">
            <w:pPr>
              <w:pStyle w:val="11"/>
              <w:keepNext/>
              <w:spacing w:after="0" w:line="440" w:lineRule="exact"/>
              <w:ind w:left="63" w:right="63"/>
              <w:rPr>
                <w:rFonts w:ascii="等线" w:hAnsi="等线"/>
                <w:color w:val="auto"/>
                <w:kern w:val="2"/>
                <w:sz w:val="24"/>
                <w:szCs w:val="24"/>
                <w:highlight w:val="none"/>
                <w:lang w:val="en-US" w:eastAsia="zh-CN"/>
              </w:rPr>
            </w:pPr>
          </w:p>
        </w:tc>
        <w:tc>
          <w:tcPr>
            <w:tcW w:w="4395" w:type="dxa"/>
            <w:noWrap w:val="0"/>
            <w:vAlign w:val="top"/>
          </w:tcPr>
          <w:p w14:paraId="0F9B773F">
            <w:pPr>
              <w:pStyle w:val="11"/>
              <w:keepNext/>
              <w:spacing w:after="0" w:line="440" w:lineRule="exact"/>
              <w:ind w:left="63" w:right="63"/>
              <w:rPr>
                <w:rFonts w:ascii="等线" w:hAnsi="等线"/>
                <w:color w:val="auto"/>
                <w:kern w:val="2"/>
                <w:sz w:val="24"/>
                <w:szCs w:val="24"/>
                <w:highlight w:val="none"/>
                <w:lang w:val="en-US" w:eastAsia="zh-CN"/>
              </w:rPr>
            </w:pPr>
          </w:p>
        </w:tc>
        <w:tc>
          <w:tcPr>
            <w:tcW w:w="1417" w:type="dxa"/>
            <w:noWrap w:val="0"/>
            <w:vAlign w:val="top"/>
          </w:tcPr>
          <w:p w14:paraId="106ACF27">
            <w:pPr>
              <w:pStyle w:val="11"/>
              <w:keepNext/>
              <w:spacing w:after="0" w:line="440" w:lineRule="exact"/>
              <w:ind w:left="63" w:right="63"/>
              <w:rPr>
                <w:rFonts w:ascii="等线" w:hAnsi="等线"/>
                <w:color w:val="auto"/>
                <w:kern w:val="2"/>
                <w:sz w:val="24"/>
                <w:szCs w:val="24"/>
                <w:highlight w:val="none"/>
                <w:lang w:val="en-US" w:eastAsia="zh-CN"/>
              </w:rPr>
            </w:pPr>
          </w:p>
        </w:tc>
      </w:tr>
      <w:tr w14:paraId="046191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6F84C1A3">
            <w:pPr>
              <w:pStyle w:val="11"/>
              <w:keepNext/>
              <w:spacing w:after="0" w:line="440" w:lineRule="exact"/>
              <w:ind w:left="63" w:right="63"/>
              <w:rPr>
                <w:rFonts w:ascii="等线" w:hAnsi="等线"/>
                <w:color w:val="auto"/>
                <w:kern w:val="2"/>
                <w:sz w:val="24"/>
                <w:szCs w:val="24"/>
                <w:highlight w:val="none"/>
                <w:lang w:val="en-US" w:eastAsia="zh-CN"/>
              </w:rPr>
            </w:pPr>
          </w:p>
        </w:tc>
        <w:tc>
          <w:tcPr>
            <w:tcW w:w="1984" w:type="dxa"/>
            <w:noWrap w:val="0"/>
            <w:vAlign w:val="top"/>
          </w:tcPr>
          <w:p w14:paraId="11782B82">
            <w:pPr>
              <w:pStyle w:val="11"/>
              <w:keepNext/>
              <w:spacing w:after="0" w:line="440" w:lineRule="exact"/>
              <w:ind w:left="63" w:right="63"/>
              <w:rPr>
                <w:rFonts w:ascii="等线" w:hAnsi="等线"/>
                <w:color w:val="auto"/>
                <w:kern w:val="2"/>
                <w:sz w:val="24"/>
                <w:szCs w:val="24"/>
                <w:highlight w:val="none"/>
                <w:lang w:val="en-US" w:eastAsia="zh-CN"/>
              </w:rPr>
            </w:pPr>
          </w:p>
        </w:tc>
        <w:tc>
          <w:tcPr>
            <w:tcW w:w="4395" w:type="dxa"/>
            <w:noWrap w:val="0"/>
            <w:vAlign w:val="top"/>
          </w:tcPr>
          <w:p w14:paraId="1133CE18">
            <w:pPr>
              <w:pStyle w:val="11"/>
              <w:keepNext/>
              <w:spacing w:after="0" w:line="440" w:lineRule="exact"/>
              <w:ind w:left="63" w:right="63"/>
              <w:rPr>
                <w:rFonts w:ascii="等线" w:hAnsi="等线"/>
                <w:color w:val="auto"/>
                <w:kern w:val="2"/>
                <w:sz w:val="24"/>
                <w:szCs w:val="24"/>
                <w:highlight w:val="none"/>
                <w:lang w:val="en-US" w:eastAsia="zh-CN"/>
              </w:rPr>
            </w:pPr>
          </w:p>
        </w:tc>
        <w:tc>
          <w:tcPr>
            <w:tcW w:w="1417" w:type="dxa"/>
            <w:noWrap w:val="0"/>
            <w:vAlign w:val="top"/>
          </w:tcPr>
          <w:p w14:paraId="54B7F657">
            <w:pPr>
              <w:pStyle w:val="11"/>
              <w:keepNext/>
              <w:spacing w:after="0" w:line="440" w:lineRule="exact"/>
              <w:ind w:left="63" w:right="63"/>
              <w:rPr>
                <w:rFonts w:ascii="等线" w:hAnsi="等线"/>
                <w:color w:val="auto"/>
                <w:kern w:val="2"/>
                <w:sz w:val="24"/>
                <w:szCs w:val="24"/>
                <w:highlight w:val="none"/>
                <w:lang w:val="en-US" w:eastAsia="zh-CN"/>
              </w:rPr>
            </w:pPr>
          </w:p>
        </w:tc>
      </w:tr>
      <w:tr w14:paraId="07AC90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6D3851AA">
            <w:pPr>
              <w:pStyle w:val="11"/>
              <w:keepNext/>
              <w:spacing w:after="0" w:line="440" w:lineRule="exact"/>
              <w:ind w:left="63" w:right="63"/>
              <w:rPr>
                <w:rFonts w:ascii="等线" w:hAnsi="等线"/>
                <w:color w:val="auto"/>
                <w:kern w:val="2"/>
                <w:sz w:val="24"/>
                <w:szCs w:val="24"/>
                <w:highlight w:val="none"/>
                <w:lang w:val="en-US" w:eastAsia="zh-CN"/>
              </w:rPr>
            </w:pPr>
          </w:p>
        </w:tc>
        <w:tc>
          <w:tcPr>
            <w:tcW w:w="1984" w:type="dxa"/>
            <w:noWrap w:val="0"/>
            <w:vAlign w:val="top"/>
          </w:tcPr>
          <w:p w14:paraId="6AB67BE3">
            <w:pPr>
              <w:pStyle w:val="11"/>
              <w:keepNext/>
              <w:spacing w:after="0" w:line="440" w:lineRule="exact"/>
              <w:ind w:left="63" w:right="63"/>
              <w:rPr>
                <w:rFonts w:ascii="等线" w:hAnsi="等线"/>
                <w:color w:val="auto"/>
                <w:kern w:val="2"/>
                <w:sz w:val="24"/>
                <w:szCs w:val="24"/>
                <w:highlight w:val="none"/>
                <w:lang w:val="en-US" w:eastAsia="zh-CN"/>
              </w:rPr>
            </w:pPr>
          </w:p>
        </w:tc>
        <w:tc>
          <w:tcPr>
            <w:tcW w:w="4395" w:type="dxa"/>
            <w:noWrap w:val="0"/>
            <w:vAlign w:val="top"/>
          </w:tcPr>
          <w:p w14:paraId="0CB2D42F">
            <w:pPr>
              <w:pStyle w:val="11"/>
              <w:keepNext/>
              <w:spacing w:after="0" w:line="440" w:lineRule="exact"/>
              <w:ind w:left="63" w:right="63"/>
              <w:rPr>
                <w:rFonts w:ascii="等线" w:hAnsi="等线"/>
                <w:color w:val="auto"/>
                <w:kern w:val="2"/>
                <w:sz w:val="24"/>
                <w:szCs w:val="24"/>
                <w:highlight w:val="none"/>
                <w:lang w:val="en-US" w:eastAsia="zh-CN"/>
              </w:rPr>
            </w:pPr>
          </w:p>
        </w:tc>
        <w:tc>
          <w:tcPr>
            <w:tcW w:w="1417" w:type="dxa"/>
            <w:noWrap w:val="0"/>
            <w:vAlign w:val="top"/>
          </w:tcPr>
          <w:p w14:paraId="7994566E">
            <w:pPr>
              <w:pStyle w:val="11"/>
              <w:keepNext/>
              <w:spacing w:after="0" w:line="440" w:lineRule="exact"/>
              <w:ind w:left="63" w:right="63"/>
              <w:rPr>
                <w:rFonts w:ascii="等线" w:hAnsi="等线"/>
                <w:color w:val="auto"/>
                <w:kern w:val="2"/>
                <w:sz w:val="24"/>
                <w:szCs w:val="24"/>
                <w:highlight w:val="none"/>
                <w:lang w:val="en-US" w:eastAsia="zh-CN"/>
              </w:rPr>
            </w:pPr>
          </w:p>
        </w:tc>
      </w:tr>
      <w:tr w14:paraId="618494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0C25B01F">
            <w:pPr>
              <w:pStyle w:val="11"/>
              <w:keepNext/>
              <w:spacing w:after="0" w:line="440" w:lineRule="exact"/>
              <w:ind w:left="63" w:right="63"/>
              <w:rPr>
                <w:rFonts w:ascii="等线" w:hAnsi="等线"/>
                <w:color w:val="auto"/>
                <w:kern w:val="2"/>
                <w:sz w:val="24"/>
                <w:szCs w:val="24"/>
                <w:highlight w:val="none"/>
                <w:lang w:val="en-US" w:eastAsia="zh-CN"/>
              </w:rPr>
            </w:pPr>
          </w:p>
        </w:tc>
        <w:tc>
          <w:tcPr>
            <w:tcW w:w="1984" w:type="dxa"/>
            <w:noWrap w:val="0"/>
            <w:vAlign w:val="top"/>
          </w:tcPr>
          <w:p w14:paraId="3B4A08FF">
            <w:pPr>
              <w:pStyle w:val="11"/>
              <w:keepNext/>
              <w:spacing w:after="0" w:line="440" w:lineRule="exact"/>
              <w:ind w:left="63" w:right="63"/>
              <w:rPr>
                <w:rFonts w:ascii="等线" w:hAnsi="等线"/>
                <w:color w:val="auto"/>
                <w:kern w:val="2"/>
                <w:sz w:val="24"/>
                <w:szCs w:val="24"/>
                <w:highlight w:val="none"/>
                <w:lang w:val="en-US" w:eastAsia="zh-CN"/>
              </w:rPr>
            </w:pPr>
          </w:p>
        </w:tc>
        <w:tc>
          <w:tcPr>
            <w:tcW w:w="4395" w:type="dxa"/>
            <w:noWrap w:val="0"/>
            <w:vAlign w:val="top"/>
          </w:tcPr>
          <w:p w14:paraId="5843F134">
            <w:pPr>
              <w:pStyle w:val="11"/>
              <w:keepNext/>
              <w:spacing w:after="0" w:line="440" w:lineRule="exact"/>
              <w:ind w:left="63" w:right="63"/>
              <w:rPr>
                <w:rFonts w:ascii="等线" w:hAnsi="等线"/>
                <w:color w:val="auto"/>
                <w:kern w:val="2"/>
                <w:sz w:val="24"/>
                <w:szCs w:val="24"/>
                <w:highlight w:val="none"/>
                <w:lang w:val="en-US" w:eastAsia="zh-CN"/>
              </w:rPr>
            </w:pPr>
          </w:p>
        </w:tc>
        <w:tc>
          <w:tcPr>
            <w:tcW w:w="1417" w:type="dxa"/>
            <w:noWrap w:val="0"/>
            <w:vAlign w:val="top"/>
          </w:tcPr>
          <w:p w14:paraId="02DB5F27">
            <w:pPr>
              <w:pStyle w:val="11"/>
              <w:keepNext/>
              <w:spacing w:after="0" w:line="440" w:lineRule="exact"/>
              <w:ind w:left="63" w:right="63"/>
              <w:rPr>
                <w:rFonts w:ascii="等线" w:hAnsi="等线"/>
                <w:color w:val="auto"/>
                <w:kern w:val="2"/>
                <w:sz w:val="24"/>
                <w:szCs w:val="24"/>
                <w:highlight w:val="none"/>
                <w:lang w:val="en-US" w:eastAsia="zh-CN"/>
              </w:rPr>
            </w:pPr>
          </w:p>
        </w:tc>
      </w:tr>
      <w:tr w14:paraId="6DDA8C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14B8322C">
            <w:pPr>
              <w:pStyle w:val="11"/>
              <w:keepNext/>
              <w:spacing w:after="0" w:line="440" w:lineRule="exact"/>
              <w:ind w:left="63" w:right="63"/>
              <w:rPr>
                <w:rFonts w:ascii="等线" w:hAnsi="等线"/>
                <w:color w:val="auto"/>
                <w:kern w:val="2"/>
                <w:sz w:val="24"/>
                <w:szCs w:val="24"/>
                <w:highlight w:val="none"/>
                <w:lang w:val="en-US" w:eastAsia="zh-CN"/>
              </w:rPr>
            </w:pPr>
          </w:p>
        </w:tc>
        <w:tc>
          <w:tcPr>
            <w:tcW w:w="1984" w:type="dxa"/>
            <w:noWrap w:val="0"/>
            <w:vAlign w:val="top"/>
          </w:tcPr>
          <w:p w14:paraId="73B4A5FA">
            <w:pPr>
              <w:pStyle w:val="11"/>
              <w:keepNext/>
              <w:spacing w:after="0" w:line="440" w:lineRule="exact"/>
              <w:ind w:left="63" w:right="63"/>
              <w:rPr>
                <w:rFonts w:ascii="等线" w:hAnsi="等线"/>
                <w:color w:val="auto"/>
                <w:kern w:val="2"/>
                <w:sz w:val="24"/>
                <w:szCs w:val="24"/>
                <w:highlight w:val="none"/>
                <w:lang w:val="en-US" w:eastAsia="zh-CN"/>
              </w:rPr>
            </w:pPr>
          </w:p>
        </w:tc>
        <w:tc>
          <w:tcPr>
            <w:tcW w:w="4395" w:type="dxa"/>
            <w:noWrap w:val="0"/>
            <w:vAlign w:val="top"/>
          </w:tcPr>
          <w:p w14:paraId="65F9FB94">
            <w:pPr>
              <w:pStyle w:val="11"/>
              <w:keepNext/>
              <w:spacing w:after="0" w:line="440" w:lineRule="exact"/>
              <w:ind w:left="63" w:right="63"/>
              <w:rPr>
                <w:rFonts w:ascii="等线" w:hAnsi="等线"/>
                <w:color w:val="auto"/>
                <w:kern w:val="2"/>
                <w:sz w:val="24"/>
                <w:szCs w:val="24"/>
                <w:highlight w:val="none"/>
                <w:lang w:val="en-US" w:eastAsia="zh-CN"/>
              </w:rPr>
            </w:pPr>
          </w:p>
        </w:tc>
        <w:tc>
          <w:tcPr>
            <w:tcW w:w="1417" w:type="dxa"/>
            <w:noWrap w:val="0"/>
            <w:vAlign w:val="top"/>
          </w:tcPr>
          <w:p w14:paraId="234780B7">
            <w:pPr>
              <w:pStyle w:val="11"/>
              <w:keepNext/>
              <w:spacing w:after="0" w:line="440" w:lineRule="exact"/>
              <w:ind w:left="63" w:right="63"/>
              <w:rPr>
                <w:rFonts w:ascii="等线" w:hAnsi="等线"/>
                <w:color w:val="auto"/>
                <w:kern w:val="2"/>
                <w:sz w:val="24"/>
                <w:szCs w:val="24"/>
                <w:highlight w:val="none"/>
                <w:lang w:val="en-US" w:eastAsia="zh-CN"/>
              </w:rPr>
            </w:pPr>
          </w:p>
        </w:tc>
      </w:tr>
      <w:tr w14:paraId="3D4981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6B72E2F8">
            <w:pPr>
              <w:pStyle w:val="11"/>
              <w:keepNext/>
              <w:spacing w:after="0" w:line="440" w:lineRule="exact"/>
              <w:ind w:left="63" w:right="63"/>
              <w:rPr>
                <w:rFonts w:ascii="等线" w:hAnsi="等线"/>
                <w:color w:val="auto"/>
                <w:kern w:val="2"/>
                <w:sz w:val="24"/>
                <w:szCs w:val="24"/>
                <w:highlight w:val="none"/>
                <w:lang w:val="en-US" w:eastAsia="zh-CN"/>
              </w:rPr>
            </w:pPr>
          </w:p>
        </w:tc>
        <w:tc>
          <w:tcPr>
            <w:tcW w:w="1984" w:type="dxa"/>
            <w:noWrap w:val="0"/>
            <w:vAlign w:val="top"/>
          </w:tcPr>
          <w:p w14:paraId="3D5204FF">
            <w:pPr>
              <w:pStyle w:val="11"/>
              <w:keepNext/>
              <w:spacing w:after="0" w:line="440" w:lineRule="exact"/>
              <w:ind w:left="63" w:right="63"/>
              <w:rPr>
                <w:rFonts w:ascii="等线" w:hAnsi="等线"/>
                <w:color w:val="auto"/>
                <w:kern w:val="2"/>
                <w:sz w:val="24"/>
                <w:szCs w:val="24"/>
                <w:highlight w:val="none"/>
                <w:lang w:val="en-US" w:eastAsia="zh-CN"/>
              </w:rPr>
            </w:pPr>
          </w:p>
        </w:tc>
        <w:tc>
          <w:tcPr>
            <w:tcW w:w="4395" w:type="dxa"/>
            <w:noWrap w:val="0"/>
            <w:vAlign w:val="top"/>
          </w:tcPr>
          <w:p w14:paraId="3D7952A5">
            <w:pPr>
              <w:pStyle w:val="11"/>
              <w:keepNext/>
              <w:spacing w:after="0" w:line="440" w:lineRule="exact"/>
              <w:ind w:left="63" w:right="63"/>
              <w:rPr>
                <w:rFonts w:ascii="等线" w:hAnsi="等线"/>
                <w:color w:val="auto"/>
                <w:kern w:val="2"/>
                <w:sz w:val="24"/>
                <w:szCs w:val="24"/>
                <w:highlight w:val="none"/>
                <w:lang w:val="en-US" w:eastAsia="zh-CN"/>
              </w:rPr>
            </w:pPr>
          </w:p>
        </w:tc>
        <w:tc>
          <w:tcPr>
            <w:tcW w:w="1417" w:type="dxa"/>
            <w:noWrap w:val="0"/>
            <w:vAlign w:val="top"/>
          </w:tcPr>
          <w:p w14:paraId="3276EC1E">
            <w:pPr>
              <w:pStyle w:val="11"/>
              <w:keepNext/>
              <w:spacing w:after="0" w:line="440" w:lineRule="exact"/>
              <w:ind w:left="63" w:right="63"/>
              <w:rPr>
                <w:rFonts w:ascii="等线" w:hAnsi="等线"/>
                <w:color w:val="auto"/>
                <w:kern w:val="2"/>
                <w:sz w:val="24"/>
                <w:szCs w:val="24"/>
                <w:highlight w:val="none"/>
                <w:lang w:val="en-US" w:eastAsia="zh-CN"/>
              </w:rPr>
            </w:pPr>
          </w:p>
        </w:tc>
      </w:tr>
      <w:tr w14:paraId="25CC05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14C81D93">
            <w:pPr>
              <w:pStyle w:val="11"/>
              <w:keepNext/>
              <w:spacing w:after="0" w:line="440" w:lineRule="exact"/>
              <w:ind w:left="63" w:right="63"/>
              <w:rPr>
                <w:rFonts w:ascii="等线" w:hAnsi="等线"/>
                <w:color w:val="auto"/>
                <w:kern w:val="2"/>
                <w:sz w:val="24"/>
                <w:szCs w:val="24"/>
                <w:highlight w:val="none"/>
                <w:lang w:val="en-US" w:eastAsia="zh-CN"/>
              </w:rPr>
            </w:pPr>
          </w:p>
        </w:tc>
        <w:tc>
          <w:tcPr>
            <w:tcW w:w="1984" w:type="dxa"/>
            <w:noWrap w:val="0"/>
            <w:vAlign w:val="top"/>
          </w:tcPr>
          <w:p w14:paraId="56A6E23F">
            <w:pPr>
              <w:pStyle w:val="11"/>
              <w:keepNext/>
              <w:spacing w:after="0" w:line="440" w:lineRule="exact"/>
              <w:ind w:left="63" w:right="63"/>
              <w:rPr>
                <w:rFonts w:ascii="等线" w:hAnsi="等线"/>
                <w:color w:val="auto"/>
                <w:kern w:val="2"/>
                <w:sz w:val="24"/>
                <w:szCs w:val="24"/>
                <w:highlight w:val="none"/>
                <w:lang w:val="en-US" w:eastAsia="zh-CN"/>
              </w:rPr>
            </w:pPr>
          </w:p>
        </w:tc>
        <w:tc>
          <w:tcPr>
            <w:tcW w:w="4395" w:type="dxa"/>
            <w:noWrap w:val="0"/>
            <w:vAlign w:val="top"/>
          </w:tcPr>
          <w:p w14:paraId="764F152D">
            <w:pPr>
              <w:pStyle w:val="11"/>
              <w:keepNext/>
              <w:spacing w:after="0" w:line="440" w:lineRule="exact"/>
              <w:ind w:left="63" w:right="63"/>
              <w:rPr>
                <w:rFonts w:ascii="等线" w:hAnsi="等线"/>
                <w:color w:val="auto"/>
                <w:kern w:val="2"/>
                <w:sz w:val="24"/>
                <w:szCs w:val="24"/>
                <w:highlight w:val="none"/>
                <w:lang w:val="en-US" w:eastAsia="zh-CN"/>
              </w:rPr>
            </w:pPr>
          </w:p>
        </w:tc>
        <w:tc>
          <w:tcPr>
            <w:tcW w:w="1417" w:type="dxa"/>
            <w:noWrap w:val="0"/>
            <w:vAlign w:val="top"/>
          </w:tcPr>
          <w:p w14:paraId="554756CD">
            <w:pPr>
              <w:pStyle w:val="11"/>
              <w:keepNext/>
              <w:spacing w:after="0" w:line="440" w:lineRule="exact"/>
              <w:ind w:left="63" w:right="63"/>
              <w:rPr>
                <w:rFonts w:ascii="等线" w:hAnsi="等线"/>
                <w:color w:val="auto"/>
                <w:kern w:val="2"/>
                <w:sz w:val="24"/>
                <w:szCs w:val="24"/>
                <w:highlight w:val="none"/>
                <w:lang w:val="en-US" w:eastAsia="zh-CN"/>
              </w:rPr>
            </w:pPr>
          </w:p>
        </w:tc>
      </w:tr>
      <w:tr w14:paraId="3D9AD9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0359E8AC">
            <w:pPr>
              <w:pStyle w:val="11"/>
              <w:keepNext/>
              <w:spacing w:after="0" w:line="440" w:lineRule="exact"/>
              <w:ind w:left="63" w:right="63"/>
              <w:rPr>
                <w:rFonts w:ascii="等线" w:hAnsi="等线"/>
                <w:color w:val="auto"/>
                <w:kern w:val="2"/>
                <w:sz w:val="24"/>
                <w:szCs w:val="24"/>
                <w:highlight w:val="none"/>
                <w:lang w:val="en-US" w:eastAsia="zh-CN"/>
              </w:rPr>
            </w:pPr>
          </w:p>
        </w:tc>
        <w:tc>
          <w:tcPr>
            <w:tcW w:w="1984" w:type="dxa"/>
            <w:noWrap w:val="0"/>
            <w:vAlign w:val="top"/>
          </w:tcPr>
          <w:p w14:paraId="0901FEB5">
            <w:pPr>
              <w:pStyle w:val="11"/>
              <w:keepNext/>
              <w:spacing w:after="0" w:line="440" w:lineRule="exact"/>
              <w:ind w:left="63" w:right="63"/>
              <w:rPr>
                <w:rFonts w:ascii="等线" w:hAnsi="等线"/>
                <w:color w:val="auto"/>
                <w:kern w:val="2"/>
                <w:sz w:val="24"/>
                <w:szCs w:val="24"/>
                <w:highlight w:val="none"/>
                <w:lang w:val="en-US" w:eastAsia="zh-CN"/>
              </w:rPr>
            </w:pPr>
          </w:p>
        </w:tc>
        <w:tc>
          <w:tcPr>
            <w:tcW w:w="4395" w:type="dxa"/>
            <w:noWrap w:val="0"/>
            <w:vAlign w:val="top"/>
          </w:tcPr>
          <w:p w14:paraId="5C95ADAB">
            <w:pPr>
              <w:pStyle w:val="11"/>
              <w:keepNext/>
              <w:spacing w:after="0" w:line="440" w:lineRule="exact"/>
              <w:ind w:left="63" w:right="63"/>
              <w:rPr>
                <w:rFonts w:ascii="等线" w:hAnsi="等线"/>
                <w:color w:val="auto"/>
                <w:kern w:val="2"/>
                <w:sz w:val="24"/>
                <w:szCs w:val="24"/>
                <w:highlight w:val="none"/>
                <w:lang w:val="en-US" w:eastAsia="zh-CN"/>
              </w:rPr>
            </w:pPr>
          </w:p>
        </w:tc>
        <w:tc>
          <w:tcPr>
            <w:tcW w:w="1417" w:type="dxa"/>
            <w:noWrap w:val="0"/>
            <w:vAlign w:val="top"/>
          </w:tcPr>
          <w:p w14:paraId="43909E89">
            <w:pPr>
              <w:pStyle w:val="11"/>
              <w:keepNext/>
              <w:spacing w:after="0" w:line="440" w:lineRule="exact"/>
              <w:ind w:left="63" w:right="63"/>
              <w:rPr>
                <w:rFonts w:ascii="等线" w:hAnsi="等线"/>
                <w:color w:val="auto"/>
                <w:kern w:val="2"/>
                <w:sz w:val="24"/>
                <w:szCs w:val="24"/>
                <w:highlight w:val="none"/>
                <w:lang w:val="en-US" w:eastAsia="zh-CN"/>
              </w:rPr>
            </w:pPr>
          </w:p>
        </w:tc>
      </w:tr>
      <w:tr w14:paraId="48B513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675" w:type="dxa"/>
            <w:gridSpan w:val="4"/>
            <w:noWrap w:val="0"/>
            <w:vAlign w:val="top"/>
          </w:tcPr>
          <w:p w14:paraId="76D658C4">
            <w:pPr>
              <w:pStyle w:val="11"/>
              <w:keepNext/>
              <w:spacing w:after="0" w:line="440" w:lineRule="exact"/>
              <w:ind w:left="63" w:right="63"/>
              <w:rPr>
                <w:rFonts w:ascii="等线" w:hAnsi="等线"/>
                <w:color w:val="auto"/>
                <w:kern w:val="2"/>
                <w:sz w:val="24"/>
                <w:szCs w:val="24"/>
                <w:highlight w:val="none"/>
                <w:lang w:val="en-US" w:eastAsia="zh-CN"/>
              </w:rPr>
            </w:pPr>
            <w:r>
              <w:rPr>
                <w:rFonts w:ascii="等线" w:hAnsi="等线" w:eastAsia="仿宋_GB2312"/>
                <w:color w:val="auto"/>
                <w:kern w:val="2"/>
                <w:sz w:val="24"/>
                <w:szCs w:val="24"/>
                <w:highlight w:val="none"/>
                <w:lang w:val="en-US" w:eastAsia="zh-CN"/>
              </w:rPr>
              <w:t>小计：</w:t>
            </w:r>
          </w:p>
        </w:tc>
      </w:tr>
    </w:tbl>
    <w:p w14:paraId="5B0B076F">
      <w:pPr>
        <w:spacing w:line="480" w:lineRule="auto"/>
        <w:rPr>
          <w:rFonts w:hAnsi="宋体"/>
          <w:color w:val="auto"/>
          <w:highlight w:val="none"/>
        </w:rPr>
      </w:pPr>
    </w:p>
    <w:p w14:paraId="3A0DB6F8">
      <w:pPr>
        <w:pStyle w:val="5"/>
        <w:tabs>
          <w:tab w:val="left" w:pos="567"/>
        </w:tabs>
        <w:ind w:left="0" w:leftChars="0" w:firstLine="0" w:firstLineChars="0"/>
        <w:jc w:val="center"/>
        <w:rPr>
          <w:rFonts w:hint="eastAsia" w:ascii="宋体" w:hAnsi="宋体" w:eastAsia="宋体" w:cs="宋体"/>
          <w:b/>
          <w:bCs/>
          <w:color w:val="auto"/>
          <w:highlight w:val="none"/>
        </w:rPr>
      </w:pPr>
      <w:bookmarkStart w:id="2358" w:name="_Toc32030"/>
      <w:bookmarkStart w:id="2359" w:name="_Toc2274"/>
      <w:r>
        <w:rPr>
          <w:rFonts w:hint="eastAsia" w:ascii="宋体" w:hAnsi="宋体" w:eastAsia="宋体" w:cs="宋体"/>
          <w:b/>
          <w:bCs/>
          <w:color w:val="auto"/>
          <w:kern w:val="44"/>
          <w:sz w:val="32"/>
          <w:szCs w:val="32"/>
          <w:highlight w:val="none"/>
        </w:rPr>
        <w:t xml:space="preserve">第六章  </w:t>
      </w:r>
      <w:bookmarkEnd w:id="145"/>
      <w:bookmarkEnd w:id="146"/>
      <w:bookmarkStart w:id="2360" w:name="_Toc13185"/>
      <w:r>
        <w:rPr>
          <w:rFonts w:hint="eastAsia" w:ascii="宋体" w:hAnsi="宋体" w:eastAsia="宋体" w:cs="宋体"/>
          <w:b/>
          <w:bCs/>
          <w:color w:val="auto"/>
          <w:sz w:val="32"/>
          <w:szCs w:val="32"/>
          <w:highlight w:val="none"/>
        </w:rPr>
        <w:t>响应文件（格式）</w:t>
      </w:r>
      <w:bookmarkEnd w:id="2358"/>
      <w:bookmarkEnd w:id="2359"/>
      <w:bookmarkEnd w:id="2360"/>
    </w:p>
    <w:p w14:paraId="78545847">
      <w:pPr>
        <w:rPr>
          <w:rFonts w:hint="eastAsia" w:ascii="宋体" w:hAnsi="宋体" w:eastAsia="宋体" w:cs="宋体"/>
          <w:color w:val="auto"/>
          <w:highlight w:val="none"/>
        </w:rPr>
      </w:pPr>
    </w:p>
    <w:p w14:paraId="07F5241F">
      <w:pPr>
        <w:pStyle w:val="14"/>
        <w:jc w:val="both"/>
        <w:rPr>
          <w:rFonts w:hint="eastAsia" w:ascii="宋体" w:hAnsi="宋体" w:eastAsia="宋体" w:cs="宋体"/>
          <w:b/>
          <w:color w:val="auto"/>
          <w:sz w:val="32"/>
          <w:highlight w:val="none"/>
          <w:lang w:eastAsia="zh-CN"/>
        </w:rPr>
      </w:pPr>
      <w:bookmarkStart w:id="2361" w:name="_Toc18351"/>
      <w:bookmarkStart w:id="2362" w:name="_Toc497927069"/>
      <w:bookmarkStart w:id="2363" w:name="_Toc21496"/>
      <w:r>
        <w:rPr>
          <w:rFonts w:hint="eastAsia" w:ascii="宋体" w:hAnsi="宋体" w:eastAsia="宋体" w:cs="宋体"/>
          <w:b/>
          <w:color w:val="auto"/>
          <w:sz w:val="32"/>
          <w:highlight w:val="none"/>
          <w:lang w:eastAsia="zh-CN"/>
        </w:rPr>
        <w:t>一、响应文件标记</w:t>
      </w:r>
      <w:bookmarkEnd w:id="2361"/>
      <w:bookmarkEnd w:id="2362"/>
      <w:bookmarkEnd w:id="2363"/>
    </w:p>
    <w:p w14:paraId="68706B62">
      <w:pPr>
        <w:adjustRightInd w:val="0"/>
        <w:snapToGrid w:val="0"/>
        <w:rPr>
          <w:rFonts w:hint="eastAsia" w:ascii="宋体" w:hAnsi="宋体" w:eastAsia="宋体" w:cs="宋体"/>
          <w:b/>
          <w:color w:val="auto"/>
          <w:sz w:val="44"/>
          <w:szCs w:val="44"/>
          <w:highlight w:val="none"/>
        </w:rPr>
      </w:pPr>
    </w:p>
    <w:p w14:paraId="17FE6CEC">
      <w:pPr>
        <w:pStyle w:val="32"/>
        <w:rPr>
          <w:rFonts w:hint="eastAsia" w:ascii="宋体" w:hAnsi="宋体" w:eastAsia="宋体" w:cs="宋体"/>
          <w:color w:val="auto"/>
          <w:highlight w:val="none"/>
        </w:rPr>
      </w:pPr>
    </w:p>
    <w:p w14:paraId="78CC67B6">
      <w:pPr>
        <w:snapToGrid w:val="0"/>
        <w:spacing w:before="156" w:beforeLines="50" w:after="50"/>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响 应 文 件</w:t>
      </w:r>
    </w:p>
    <w:p w14:paraId="253BE24C">
      <w:pPr>
        <w:snapToGrid w:val="0"/>
        <w:spacing w:before="156" w:beforeLines="50" w:after="50"/>
        <w:ind w:firstLine="480" w:firstLineChars="150"/>
        <w:jc w:val="both"/>
        <w:rPr>
          <w:rFonts w:hint="eastAsia" w:ascii="宋体" w:hAnsi="宋体" w:eastAsia="宋体" w:cs="宋体"/>
          <w:b/>
          <w:color w:val="auto"/>
          <w:sz w:val="28"/>
          <w:szCs w:val="28"/>
          <w:highlight w:val="none"/>
        </w:rPr>
      </w:pPr>
      <w:r>
        <w:rPr>
          <w:rFonts w:hint="eastAsia" w:ascii="宋体" w:hAnsi="宋体" w:eastAsia="宋体" w:cs="宋体"/>
          <w:color w:val="auto"/>
          <w:sz w:val="32"/>
          <w:szCs w:val="32"/>
          <w:highlight w:val="none"/>
          <w:lang w:val="en-US" w:eastAsia="zh-CN"/>
        </w:rPr>
        <w:t xml:space="preserve">                       </w:t>
      </w:r>
    </w:p>
    <w:p w14:paraId="37B06442">
      <w:pPr>
        <w:snapToGrid w:val="0"/>
        <w:spacing w:before="156" w:beforeLines="50" w:after="50"/>
        <w:ind w:firstLine="422" w:firstLineChars="150"/>
        <w:rPr>
          <w:rFonts w:hint="eastAsia" w:ascii="宋体" w:hAnsi="宋体" w:eastAsia="宋体" w:cs="宋体"/>
          <w:b/>
          <w:color w:val="auto"/>
          <w:sz w:val="28"/>
          <w:szCs w:val="28"/>
          <w:highlight w:val="none"/>
        </w:rPr>
      </w:pPr>
    </w:p>
    <w:p w14:paraId="2CA0AD95">
      <w:pPr>
        <w:snapToGrid w:val="0"/>
        <w:spacing w:before="156" w:beforeLines="50" w:after="50"/>
        <w:ind w:firstLine="422" w:firstLineChars="150"/>
        <w:rPr>
          <w:rFonts w:hint="eastAsia" w:ascii="宋体" w:hAnsi="宋体" w:eastAsia="宋体" w:cs="宋体"/>
          <w:b/>
          <w:color w:val="auto"/>
          <w:sz w:val="28"/>
          <w:szCs w:val="28"/>
          <w:highlight w:val="none"/>
        </w:rPr>
      </w:pPr>
    </w:p>
    <w:p w14:paraId="7137E2AC">
      <w:pPr>
        <w:snapToGrid w:val="0"/>
        <w:spacing w:before="156" w:beforeLines="50" w:after="50"/>
        <w:ind w:left="4317" w:leftChars="1330" w:hanging="1524" w:hangingChars="542"/>
        <w:rPr>
          <w:rFonts w:hint="eastAsia" w:ascii="宋体" w:hAnsi="宋体" w:eastAsia="宋体" w:cs="宋体"/>
          <w:b/>
          <w:bCs w:val="0"/>
          <w:color w:val="auto"/>
          <w:sz w:val="28"/>
          <w:szCs w:val="28"/>
          <w:highlight w:val="none"/>
          <w:u w:val="single"/>
          <w:lang w:eastAsia="zh-CN"/>
        </w:rPr>
      </w:pPr>
      <w:r>
        <w:rPr>
          <w:rFonts w:hint="eastAsia" w:ascii="宋体" w:hAnsi="宋体" w:eastAsia="宋体" w:cs="宋体"/>
          <w:b/>
          <w:bCs w:val="0"/>
          <w:color w:val="auto"/>
          <w:sz w:val="28"/>
          <w:szCs w:val="28"/>
          <w:highlight w:val="none"/>
        </w:rPr>
        <w:t>项目名称：</w:t>
      </w:r>
      <w:r>
        <w:rPr>
          <w:rFonts w:hint="eastAsia" w:ascii="宋体" w:hAnsi="宋体" w:cs="宋体"/>
          <w:b/>
          <w:bCs/>
          <w:color w:val="auto"/>
          <w:sz w:val="28"/>
          <w:szCs w:val="28"/>
          <w:highlight w:val="none"/>
          <w:u w:val="single"/>
          <w:lang w:val="en-US" w:eastAsia="zh-CN"/>
        </w:rPr>
        <w:t xml:space="preserve">                     </w:t>
      </w:r>
      <w:r>
        <w:rPr>
          <w:rFonts w:hint="eastAsia" w:ascii="宋体" w:hAnsi="宋体" w:eastAsia="宋体" w:cs="宋体"/>
          <w:b/>
          <w:bCs/>
          <w:color w:val="auto"/>
          <w:sz w:val="28"/>
          <w:szCs w:val="28"/>
          <w:highlight w:val="none"/>
          <w:u w:val="single"/>
        </w:rPr>
        <w:t xml:space="preserve">  </w:t>
      </w:r>
      <w:r>
        <w:rPr>
          <w:rFonts w:hint="eastAsia" w:ascii="宋体" w:hAnsi="宋体" w:eastAsia="宋体" w:cs="宋体"/>
          <w:color w:val="auto"/>
          <w:sz w:val="18"/>
          <w:szCs w:val="18"/>
          <w:highlight w:val="none"/>
        </w:rPr>
        <w:t xml:space="preserve">  </w:t>
      </w:r>
    </w:p>
    <w:p w14:paraId="5071E9FB">
      <w:pPr>
        <w:snapToGrid w:val="0"/>
        <w:spacing w:before="156" w:beforeLines="50" w:after="50"/>
        <w:ind w:firstLine="2704" w:firstLineChars="962"/>
        <w:rPr>
          <w:rFonts w:hint="eastAsia" w:ascii="宋体" w:hAnsi="宋体" w:eastAsia="宋体" w:cs="宋体"/>
          <w:b/>
          <w:bCs w:val="0"/>
          <w:color w:val="auto"/>
          <w:sz w:val="28"/>
          <w:szCs w:val="28"/>
          <w:highlight w:val="none"/>
        </w:rPr>
      </w:pPr>
    </w:p>
    <w:p w14:paraId="5AF1676D">
      <w:pPr>
        <w:snapToGrid w:val="0"/>
        <w:spacing w:before="156" w:beforeLines="50" w:after="50"/>
        <w:ind w:firstLine="2704" w:firstLineChars="962"/>
        <w:rPr>
          <w:rFonts w:hint="default" w:ascii="宋体" w:hAnsi="宋体" w:eastAsia="宋体" w:cs="宋体"/>
          <w:b/>
          <w:bCs w:val="0"/>
          <w:color w:val="auto"/>
          <w:sz w:val="28"/>
          <w:szCs w:val="28"/>
          <w:highlight w:val="none"/>
          <w:lang w:val="en-US" w:eastAsia="zh-CN"/>
        </w:rPr>
      </w:pPr>
      <w:r>
        <w:rPr>
          <w:rFonts w:hint="eastAsia" w:ascii="宋体" w:hAnsi="宋体" w:eastAsia="宋体" w:cs="宋体"/>
          <w:b/>
          <w:bCs w:val="0"/>
          <w:color w:val="auto"/>
          <w:sz w:val="28"/>
          <w:szCs w:val="28"/>
          <w:highlight w:val="none"/>
        </w:rPr>
        <w:t>项目编号：</w:t>
      </w:r>
      <w:r>
        <w:rPr>
          <w:rFonts w:hint="eastAsia" w:ascii="宋体" w:hAnsi="宋体" w:cs="宋体"/>
          <w:b/>
          <w:bCs w:val="0"/>
          <w:color w:val="auto"/>
          <w:sz w:val="28"/>
          <w:szCs w:val="28"/>
          <w:highlight w:val="none"/>
          <w:u w:val="single"/>
          <w:lang w:val="en-US" w:eastAsia="zh-CN"/>
        </w:rPr>
        <w:t xml:space="preserve">                       </w:t>
      </w:r>
    </w:p>
    <w:p w14:paraId="2E476E0F">
      <w:pPr>
        <w:rPr>
          <w:rFonts w:hint="eastAsia" w:ascii="宋体" w:hAnsi="宋体" w:eastAsia="宋体" w:cs="宋体"/>
          <w:b/>
          <w:color w:val="auto"/>
          <w:highlight w:val="none"/>
        </w:rPr>
      </w:pPr>
    </w:p>
    <w:p w14:paraId="736447D5">
      <w:pPr>
        <w:spacing w:line="400" w:lineRule="exact"/>
        <w:ind w:firstLine="2704" w:firstLineChars="962"/>
        <w:rPr>
          <w:rFonts w:hint="eastAsia" w:ascii="宋体" w:hAnsi="宋体" w:eastAsia="宋体" w:cs="宋体"/>
          <w:b/>
          <w:color w:val="auto"/>
          <w:sz w:val="28"/>
          <w:szCs w:val="28"/>
          <w:highlight w:val="none"/>
        </w:rPr>
      </w:pPr>
    </w:p>
    <w:p w14:paraId="2AC22697">
      <w:pPr>
        <w:pStyle w:val="32"/>
        <w:rPr>
          <w:rFonts w:hint="eastAsia" w:ascii="宋体" w:hAnsi="宋体" w:eastAsia="宋体" w:cs="宋体"/>
          <w:b/>
          <w:color w:val="auto"/>
          <w:sz w:val="28"/>
          <w:szCs w:val="28"/>
          <w:highlight w:val="none"/>
        </w:rPr>
      </w:pPr>
    </w:p>
    <w:p w14:paraId="4358BBF5">
      <w:pPr>
        <w:pStyle w:val="32"/>
        <w:rPr>
          <w:rFonts w:hint="eastAsia" w:ascii="宋体" w:hAnsi="宋体" w:eastAsia="宋体" w:cs="宋体"/>
          <w:b/>
          <w:color w:val="auto"/>
          <w:sz w:val="28"/>
          <w:szCs w:val="28"/>
          <w:highlight w:val="none"/>
        </w:rPr>
      </w:pPr>
    </w:p>
    <w:p w14:paraId="196B55BC">
      <w:pPr>
        <w:pStyle w:val="32"/>
        <w:rPr>
          <w:rFonts w:hint="eastAsia" w:ascii="宋体" w:hAnsi="宋体" w:eastAsia="宋体" w:cs="宋体"/>
          <w:b/>
          <w:color w:val="auto"/>
          <w:sz w:val="28"/>
          <w:szCs w:val="28"/>
          <w:highlight w:val="none"/>
        </w:rPr>
      </w:pPr>
    </w:p>
    <w:p w14:paraId="7BD91753">
      <w:pPr>
        <w:snapToGrid w:val="0"/>
        <w:spacing w:before="156" w:beforeLines="50" w:after="50"/>
        <w:ind w:firstLine="2704" w:firstLineChars="962"/>
        <w:rPr>
          <w:rFonts w:hint="eastAsia" w:ascii="宋体" w:hAnsi="宋体" w:eastAsia="宋体" w:cs="宋体"/>
          <w:b/>
          <w:color w:val="auto"/>
          <w:sz w:val="28"/>
          <w:szCs w:val="28"/>
          <w:highlight w:val="none"/>
          <w:u w:val="single"/>
        </w:rPr>
      </w:pPr>
      <w:r>
        <w:rPr>
          <w:rFonts w:hint="eastAsia" w:ascii="宋体" w:hAnsi="宋体" w:eastAsia="宋体" w:cs="宋体"/>
          <w:b/>
          <w:color w:val="auto"/>
          <w:sz w:val="28"/>
          <w:szCs w:val="28"/>
          <w:highlight w:val="none"/>
        </w:rPr>
        <w:t>采购代理机构：</w:t>
      </w:r>
      <w:r>
        <w:rPr>
          <w:rFonts w:hint="eastAsia" w:ascii="宋体" w:hAnsi="宋体" w:eastAsia="宋体" w:cs="宋体"/>
          <w:b/>
          <w:color w:val="auto"/>
          <w:sz w:val="28"/>
          <w:szCs w:val="28"/>
          <w:highlight w:val="none"/>
          <w:u w:val="single"/>
        </w:rPr>
        <w:t xml:space="preserve"> </w:t>
      </w:r>
      <w:r>
        <w:rPr>
          <w:rFonts w:hint="eastAsia" w:ascii="宋体" w:hAnsi="宋体" w:cs="宋体"/>
          <w:b/>
          <w:color w:val="auto"/>
          <w:sz w:val="28"/>
          <w:szCs w:val="28"/>
          <w:highlight w:val="none"/>
          <w:u w:val="single"/>
          <w:lang w:eastAsia="zh-CN"/>
        </w:rPr>
        <w:t xml:space="preserve">广西景钲工程咨询有限公司 </w:t>
      </w:r>
      <w:r>
        <w:rPr>
          <w:rFonts w:hint="eastAsia" w:ascii="宋体" w:hAnsi="宋体" w:eastAsia="宋体" w:cs="宋体"/>
          <w:b/>
          <w:color w:val="auto"/>
          <w:sz w:val="28"/>
          <w:szCs w:val="28"/>
          <w:highlight w:val="none"/>
          <w:u w:val="single"/>
        </w:rPr>
        <w:t xml:space="preserve">  </w:t>
      </w:r>
    </w:p>
    <w:p w14:paraId="546715D8">
      <w:pPr>
        <w:pStyle w:val="7"/>
        <w:rPr>
          <w:rFonts w:hint="eastAsia"/>
          <w:color w:val="auto"/>
          <w:highlight w:val="none"/>
        </w:rPr>
      </w:pPr>
    </w:p>
    <w:p w14:paraId="44C7ED07">
      <w:pPr>
        <w:pStyle w:val="12"/>
        <w:keepNext w:val="0"/>
        <w:keepLines w:val="0"/>
        <w:pageBreakBefore w:val="0"/>
        <w:widowControl w:val="0"/>
        <w:kinsoku/>
        <w:wordWrap/>
        <w:overflowPunct/>
        <w:topLinePunct w:val="0"/>
        <w:autoSpaceDE/>
        <w:autoSpaceDN/>
        <w:bidi w:val="0"/>
        <w:adjustRightInd/>
        <w:snapToGrid/>
        <w:spacing w:line="440" w:lineRule="exact"/>
        <w:ind w:left="980" w:hanging="480" w:hangingChars="200"/>
        <w:textAlignment w:val="auto"/>
        <w:rPr>
          <w:rFonts w:hint="eastAsia" w:ascii="宋体" w:hAnsi="宋体" w:eastAsia="宋体" w:cs="宋体"/>
          <w:bCs/>
          <w:color w:val="auto"/>
          <w:sz w:val="24"/>
          <w:szCs w:val="24"/>
          <w:highlight w:val="none"/>
        </w:rPr>
      </w:pPr>
      <w:bookmarkStart w:id="2364" w:name="_Toc4932_WPSOffice_Level2"/>
      <w:bookmarkStart w:id="2365" w:name="_Toc20319_WPSOffice_Level2"/>
      <w:r>
        <w:rPr>
          <w:rFonts w:hint="eastAsia" w:ascii="宋体" w:hAnsi="宋体" w:eastAsia="宋体" w:cs="宋体"/>
          <w:bCs/>
          <w:color w:val="auto"/>
          <w:sz w:val="24"/>
          <w:szCs w:val="24"/>
          <w:highlight w:val="none"/>
          <w:lang w:eastAsia="zh-CN"/>
        </w:rPr>
        <w:t>磋商供应商</w:t>
      </w:r>
      <w:r>
        <w:rPr>
          <w:rFonts w:hint="eastAsia" w:ascii="宋体" w:hAnsi="宋体" w:eastAsia="宋体" w:cs="宋体"/>
          <w:bCs/>
          <w:color w:val="auto"/>
          <w:sz w:val="24"/>
          <w:szCs w:val="24"/>
          <w:highlight w:val="none"/>
          <w:lang w:val="en-US" w:eastAsia="zh-CN"/>
        </w:rPr>
        <w:t>[</w:t>
      </w:r>
      <w:r>
        <w:rPr>
          <w:rFonts w:hint="eastAsia" w:ascii="宋体" w:hAnsi="宋体" w:eastAsia="宋体" w:cs="宋体"/>
          <w:bCs/>
          <w:color w:val="auto"/>
          <w:sz w:val="24"/>
          <w:szCs w:val="24"/>
          <w:highlight w:val="none"/>
        </w:rPr>
        <w:t>公章</w:t>
      </w:r>
      <w:r>
        <w:rPr>
          <w:rFonts w:hint="eastAsia" w:ascii="宋体" w:hAnsi="宋体" w:eastAsia="宋体" w:cs="宋体"/>
          <w:bCs/>
          <w:color w:val="auto"/>
          <w:sz w:val="24"/>
          <w:szCs w:val="24"/>
          <w:highlight w:val="none"/>
          <w:lang w:val="en-US" w:eastAsia="zh-CN"/>
        </w:rPr>
        <w:t>(CA签章)</w:t>
      </w:r>
      <w:r>
        <w:rPr>
          <w:rFonts w:hint="eastAsia" w:ascii="宋体" w:hAnsi="宋体" w:eastAsia="宋体" w:cs="宋体"/>
          <w:bCs/>
          <w:color w:val="auto"/>
          <w:sz w:val="24"/>
          <w:szCs w:val="24"/>
          <w:highlight w:val="none"/>
        </w:rPr>
        <w:t>、自然人除外</w:t>
      </w:r>
      <w:r>
        <w:rPr>
          <w:rFonts w:hint="eastAsia" w:ascii="宋体" w:hAnsi="宋体" w:eastAsia="宋体" w:cs="宋体"/>
          <w:bCs/>
          <w:color w:val="auto"/>
          <w:sz w:val="24"/>
          <w:szCs w:val="24"/>
          <w:highlight w:val="none"/>
          <w:lang w:val="en-US" w:eastAsia="zh-CN"/>
        </w:rPr>
        <w:t>]</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u w:val="single"/>
        </w:rPr>
        <w:t xml:space="preserve">                       </w:t>
      </w:r>
      <w:bookmarkEnd w:id="2364"/>
      <w:bookmarkEnd w:id="2365"/>
      <w:r>
        <w:rPr>
          <w:rFonts w:hint="eastAsia" w:ascii="宋体" w:hAnsi="宋体" w:eastAsia="宋体" w:cs="宋体"/>
          <w:bCs/>
          <w:color w:val="auto"/>
          <w:sz w:val="24"/>
          <w:szCs w:val="24"/>
          <w:highlight w:val="none"/>
          <w:u w:val="single"/>
        </w:rPr>
        <w:t xml:space="preserve">       </w:t>
      </w:r>
    </w:p>
    <w:p w14:paraId="77556007">
      <w:pPr>
        <w:pStyle w:val="14"/>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宋体" w:hAnsi="宋体" w:eastAsia="宋体" w:cs="宋体"/>
          <w:color w:val="auto"/>
          <w:sz w:val="24"/>
          <w:szCs w:val="24"/>
          <w:highlight w:val="none"/>
          <w:lang w:val="en-US" w:eastAsia="zh-CN"/>
        </w:rPr>
      </w:pPr>
      <w:bookmarkStart w:id="2366" w:name="_Toc32056_WPSOffice_Level2"/>
      <w:bookmarkStart w:id="2367" w:name="_Toc9622_WPSOffice_Level2"/>
      <w:r>
        <w:rPr>
          <w:rFonts w:hint="eastAsia" w:ascii="宋体" w:hAnsi="宋体" w:eastAsia="宋体" w:cs="宋体"/>
          <w:color w:val="auto"/>
          <w:sz w:val="24"/>
          <w:szCs w:val="24"/>
          <w:highlight w:val="none"/>
        </w:rPr>
        <w:t>法定代表人、负责人、自然人或相应的委托代理人签字</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或盖章</w:t>
      </w:r>
      <w:r>
        <w:rPr>
          <w:rFonts w:hint="eastAsia" w:ascii="宋体" w:hAnsi="宋体" w:eastAsia="宋体" w:cs="宋体"/>
          <w:color w:val="auto"/>
          <w:sz w:val="24"/>
          <w:szCs w:val="24"/>
          <w:highlight w:val="none"/>
          <w:lang w:val="en-US" w:eastAsia="zh-CN"/>
        </w:rPr>
        <w:t>(CA签章)]</w:t>
      </w:r>
    </w:p>
    <w:p w14:paraId="2151E297">
      <w:pPr>
        <w:pStyle w:val="12"/>
        <w:keepNext w:val="0"/>
        <w:keepLines w:val="0"/>
        <w:pageBreakBefore w:val="0"/>
        <w:widowControl w:val="0"/>
        <w:kinsoku/>
        <w:wordWrap/>
        <w:overflowPunct/>
        <w:topLinePunct w:val="0"/>
        <w:autoSpaceDE/>
        <w:autoSpaceDN/>
        <w:bidi w:val="0"/>
        <w:adjustRightInd/>
        <w:snapToGrid/>
        <w:spacing w:line="440" w:lineRule="exact"/>
        <w:ind w:left="980" w:hanging="480" w:hanging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（属自然人的应在签名处加盖大拇指指印</w:t>
      </w:r>
      <w:r>
        <w:rPr>
          <w:rFonts w:hint="eastAsia" w:ascii="宋体" w:hAnsi="宋体" w:eastAsia="宋体" w:cs="宋体"/>
          <w:color w:val="auto"/>
          <w:sz w:val="24"/>
          <w:szCs w:val="24"/>
          <w:highlight w:val="none"/>
          <w:lang w:eastAsia="zh-CN"/>
        </w:rPr>
        <w:t>或</w:t>
      </w:r>
      <w:r>
        <w:rPr>
          <w:rFonts w:hint="eastAsia" w:ascii="宋体" w:hAnsi="宋体" w:eastAsia="宋体" w:cs="宋体"/>
          <w:color w:val="auto"/>
          <w:sz w:val="24"/>
          <w:szCs w:val="24"/>
          <w:highlight w:val="none"/>
          <w:lang w:val="en-US" w:eastAsia="zh-CN"/>
        </w:rPr>
        <w:t>个人CA签章</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p>
    <w:p w14:paraId="0FB9170A">
      <w:pPr>
        <w:pStyle w:val="12"/>
        <w:keepNext w:val="0"/>
        <w:keepLines w:val="0"/>
        <w:pageBreakBefore w:val="0"/>
        <w:widowControl w:val="0"/>
        <w:kinsoku/>
        <w:wordWrap/>
        <w:overflowPunct/>
        <w:topLinePunct w:val="0"/>
        <w:autoSpaceDE/>
        <w:autoSpaceDN/>
        <w:bidi w:val="0"/>
        <w:adjustRightInd/>
        <w:snapToGrid/>
        <w:spacing w:line="440" w:lineRule="exact"/>
        <w:ind w:left="980" w:hanging="480" w:hangingChars="200"/>
        <w:textAlignment w:val="auto"/>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联系电话：</w:t>
      </w:r>
      <w:bookmarkEnd w:id="2366"/>
      <w:bookmarkEnd w:id="2367"/>
      <w:r>
        <w:rPr>
          <w:rFonts w:hint="eastAsia" w:ascii="宋体" w:hAnsi="宋体" w:eastAsia="宋体" w:cs="宋体"/>
          <w:bCs/>
          <w:color w:val="auto"/>
          <w:sz w:val="24"/>
          <w:szCs w:val="24"/>
          <w:highlight w:val="none"/>
          <w:u w:val="single"/>
        </w:rPr>
        <w:t xml:space="preserve">                                                </w:t>
      </w:r>
    </w:p>
    <w:p w14:paraId="60EF3AB0">
      <w:pPr>
        <w:pStyle w:val="12"/>
        <w:keepNext w:val="0"/>
        <w:keepLines w:val="0"/>
        <w:pageBreakBefore w:val="0"/>
        <w:widowControl w:val="0"/>
        <w:kinsoku/>
        <w:wordWrap/>
        <w:overflowPunct/>
        <w:topLinePunct w:val="0"/>
        <w:autoSpaceDE/>
        <w:autoSpaceDN/>
        <w:bidi w:val="0"/>
        <w:adjustRightInd/>
        <w:snapToGrid/>
        <w:spacing w:line="440" w:lineRule="exact"/>
        <w:ind w:left="980" w:hanging="480" w:hangingChars="200"/>
        <w:textAlignment w:val="auto"/>
        <w:rPr>
          <w:rFonts w:hint="eastAsia" w:ascii="宋体" w:hAnsi="宋体" w:eastAsia="宋体" w:cs="宋体"/>
          <w:bCs/>
          <w:color w:val="auto"/>
          <w:sz w:val="24"/>
          <w:szCs w:val="24"/>
          <w:highlight w:val="none"/>
        </w:rPr>
      </w:pPr>
      <w:bookmarkStart w:id="2368" w:name="_Toc15933_WPSOffice_Level2"/>
      <w:bookmarkStart w:id="2369" w:name="_Toc26465_WPSOffice_Level2"/>
      <w:r>
        <w:rPr>
          <w:rFonts w:hint="eastAsia" w:ascii="宋体" w:hAnsi="宋体" w:eastAsia="宋体" w:cs="宋体"/>
          <w:bCs/>
          <w:color w:val="auto"/>
          <w:sz w:val="24"/>
          <w:szCs w:val="24"/>
          <w:highlight w:val="none"/>
        </w:rPr>
        <w:t>日期：</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年</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月</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日</w:t>
      </w:r>
      <w:bookmarkEnd w:id="2368"/>
      <w:bookmarkEnd w:id="2369"/>
    </w:p>
    <w:p w14:paraId="679E677D">
      <w:pPr>
        <w:pStyle w:val="12"/>
        <w:keepNext w:val="0"/>
        <w:keepLines w:val="0"/>
        <w:pageBreakBefore w:val="0"/>
        <w:widowControl w:val="0"/>
        <w:kinsoku/>
        <w:wordWrap/>
        <w:overflowPunct/>
        <w:topLinePunct w:val="0"/>
        <w:autoSpaceDE/>
        <w:autoSpaceDN/>
        <w:bidi w:val="0"/>
        <w:adjustRightInd/>
        <w:snapToGrid/>
        <w:spacing w:line="440" w:lineRule="exact"/>
        <w:ind w:left="980" w:hanging="480" w:hangingChars="200"/>
        <w:textAlignment w:val="auto"/>
        <w:rPr>
          <w:rFonts w:hint="eastAsia" w:ascii="宋体" w:hAnsi="宋体" w:eastAsia="宋体" w:cs="宋体"/>
          <w:bCs/>
          <w:color w:val="auto"/>
          <w:sz w:val="24"/>
          <w:szCs w:val="24"/>
          <w:highlight w:val="none"/>
        </w:rPr>
      </w:pPr>
    </w:p>
    <w:p w14:paraId="49F8A85B">
      <w:pPr>
        <w:pStyle w:val="12"/>
        <w:keepNext w:val="0"/>
        <w:keepLines w:val="0"/>
        <w:pageBreakBefore w:val="0"/>
        <w:widowControl w:val="0"/>
        <w:kinsoku/>
        <w:wordWrap/>
        <w:overflowPunct/>
        <w:topLinePunct w:val="0"/>
        <w:autoSpaceDE/>
        <w:autoSpaceDN/>
        <w:bidi w:val="0"/>
        <w:adjustRightInd/>
        <w:snapToGrid/>
        <w:spacing w:line="440" w:lineRule="exact"/>
        <w:ind w:left="980" w:hanging="480" w:hangingChars="200"/>
        <w:textAlignment w:val="auto"/>
        <w:rPr>
          <w:rFonts w:hint="eastAsia" w:ascii="宋体" w:hAnsi="宋体" w:eastAsia="宋体" w:cs="宋体"/>
          <w:bCs/>
          <w:color w:val="auto"/>
          <w:sz w:val="24"/>
          <w:szCs w:val="24"/>
          <w:highlight w:val="none"/>
        </w:rPr>
      </w:pPr>
    </w:p>
    <w:p w14:paraId="223C81B5">
      <w:pPr>
        <w:pStyle w:val="12"/>
        <w:keepNext w:val="0"/>
        <w:keepLines w:val="0"/>
        <w:pageBreakBefore w:val="0"/>
        <w:widowControl w:val="0"/>
        <w:kinsoku/>
        <w:wordWrap/>
        <w:overflowPunct/>
        <w:topLinePunct w:val="0"/>
        <w:autoSpaceDE/>
        <w:autoSpaceDN/>
        <w:bidi w:val="0"/>
        <w:adjustRightInd/>
        <w:snapToGrid/>
        <w:spacing w:line="440" w:lineRule="exact"/>
        <w:ind w:left="980" w:hanging="480" w:hangingChars="200"/>
        <w:textAlignment w:val="auto"/>
        <w:rPr>
          <w:rFonts w:hint="eastAsia" w:ascii="宋体" w:hAnsi="宋体" w:eastAsia="宋体" w:cs="宋体"/>
          <w:bCs/>
          <w:color w:val="auto"/>
          <w:sz w:val="24"/>
          <w:szCs w:val="24"/>
          <w:highlight w:val="none"/>
        </w:rPr>
      </w:pPr>
    </w:p>
    <w:p w14:paraId="78696560">
      <w:pPr>
        <w:pStyle w:val="12"/>
        <w:keepNext w:val="0"/>
        <w:keepLines w:val="0"/>
        <w:pageBreakBefore w:val="0"/>
        <w:widowControl w:val="0"/>
        <w:kinsoku/>
        <w:wordWrap/>
        <w:overflowPunct/>
        <w:topLinePunct w:val="0"/>
        <w:autoSpaceDE/>
        <w:autoSpaceDN/>
        <w:bidi w:val="0"/>
        <w:adjustRightInd/>
        <w:snapToGrid/>
        <w:spacing w:line="440" w:lineRule="exact"/>
        <w:ind w:left="980" w:hanging="480" w:hangingChars="200"/>
        <w:textAlignment w:val="auto"/>
        <w:rPr>
          <w:rFonts w:hint="eastAsia" w:ascii="宋体" w:hAnsi="宋体" w:eastAsia="宋体" w:cs="宋体"/>
          <w:bCs/>
          <w:color w:val="auto"/>
          <w:sz w:val="24"/>
          <w:szCs w:val="24"/>
          <w:highlight w:val="none"/>
        </w:rPr>
      </w:pPr>
    </w:p>
    <w:p w14:paraId="7BE1DD93">
      <w:pPr>
        <w:numPr>
          <w:ilvl w:val="0"/>
          <w:numId w:val="14"/>
        </w:numPr>
        <w:rPr>
          <w:rFonts w:hint="eastAsia" w:ascii="宋体" w:hAnsi="宋体" w:eastAsia="宋体" w:cs="宋体"/>
          <w:b/>
          <w:bCs/>
          <w:color w:val="auto"/>
          <w:sz w:val="32"/>
          <w:szCs w:val="32"/>
          <w:highlight w:val="none"/>
        </w:rPr>
      </w:pPr>
      <w:bookmarkStart w:id="2370" w:name="_Toc21615"/>
      <w:bookmarkStart w:id="2371" w:name="_Toc19430"/>
      <w:bookmarkStart w:id="2372" w:name="_Toc497927070"/>
      <w:r>
        <w:rPr>
          <w:rFonts w:hint="eastAsia" w:ascii="宋体" w:hAnsi="宋体" w:eastAsia="宋体" w:cs="宋体"/>
          <w:b/>
          <w:bCs/>
          <w:color w:val="auto"/>
          <w:sz w:val="32"/>
          <w:szCs w:val="32"/>
          <w:highlight w:val="none"/>
        </w:rPr>
        <w:t>响应文件组成</w:t>
      </w:r>
      <w:bookmarkEnd w:id="2370"/>
      <w:bookmarkEnd w:id="2371"/>
      <w:bookmarkEnd w:id="2372"/>
    </w:p>
    <w:p w14:paraId="3F0E0949">
      <w:pPr>
        <w:pStyle w:val="11"/>
        <w:numPr>
          <w:ilvl w:val="0"/>
          <w:numId w:val="0"/>
        </w:numPr>
        <w:rPr>
          <w:rFonts w:hint="eastAsia" w:ascii="宋体" w:hAnsi="宋体" w:eastAsia="宋体" w:cs="宋体"/>
          <w:color w:val="auto"/>
          <w:highlight w:val="none"/>
        </w:rPr>
      </w:pPr>
    </w:p>
    <w:p w14:paraId="52D88783">
      <w:pPr>
        <w:pStyle w:val="11"/>
        <w:numPr>
          <w:ilvl w:val="0"/>
          <w:numId w:val="0"/>
        </w:numPr>
        <w:rPr>
          <w:rFonts w:hint="eastAsia" w:ascii="宋体" w:hAnsi="宋体" w:eastAsia="宋体" w:cs="宋体"/>
          <w:color w:val="auto"/>
          <w:highlight w:val="none"/>
        </w:rPr>
      </w:pPr>
    </w:p>
    <w:p w14:paraId="3C8B6894">
      <w:pPr>
        <w:numPr>
          <w:ilvl w:val="0"/>
          <w:numId w:val="0"/>
        </w:numPr>
        <w:spacing w:line="400" w:lineRule="exact"/>
        <w:rPr>
          <w:rFonts w:hint="eastAsia" w:ascii="宋体" w:hAnsi="宋体" w:eastAsia="宋体" w:cs="宋体"/>
          <w:b/>
          <w:bCs/>
          <w:color w:val="auto"/>
          <w:sz w:val="28"/>
          <w:szCs w:val="28"/>
          <w:highlight w:val="none"/>
        </w:rPr>
      </w:pPr>
    </w:p>
    <w:p w14:paraId="31EF0079">
      <w:pPr>
        <w:pStyle w:val="11"/>
        <w:rPr>
          <w:rFonts w:hint="eastAsia" w:ascii="宋体" w:hAnsi="宋体" w:eastAsia="宋体" w:cs="宋体"/>
          <w:b/>
          <w:bCs/>
          <w:color w:val="auto"/>
          <w:sz w:val="28"/>
          <w:szCs w:val="28"/>
          <w:highlight w:val="none"/>
          <w:lang w:eastAsia="zh-CN"/>
        </w:rPr>
      </w:pPr>
    </w:p>
    <w:p w14:paraId="1A25C67D">
      <w:pPr>
        <w:numPr>
          <w:ilvl w:val="0"/>
          <w:numId w:val="9"/>
        </w:numPr>
        <w:spacing w:line="400" w:lineRule="exact"/>
        <w:ind w:firstLine="568" w:firstLineChars="202"/>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资格性响应证明材料</w:t>
      </w:r>
    </w:p>
    <w:p w14:paraId="5D913A65">
      <w:pPr>
        <w:pStyle w:val="11"/>
        <w:rPr>
          <w:rFonts w:hint="eastAsia" w:ascii="宋体" w:hAnsi="宋体" w:eastAsia="宋体" w:cs="宋体"/>
          <w:b/>
          <w:bCs/>
          <w:color w:val="auto"/>
          <w:sz w:val="28"/>
          <w:szCs w:val="28"/>
          <w:highlight w:val="none"/>
        </w:rPr>
      </w:pPr>
    </w:p>
    <w:p w14:paraId="720219D3">
      <w:pPr>
        <w:pStyle w:val="11"/>
        <w:rPr>
          <w:rFonts w:hint="eastAsia" w:ascii="宋体" w:hAnsi="宋体" w:eastAsia="宋体" w:cs="宋体"/>
          <w:b/>
          <w:bCs/>
          <w:color w:val="auto"/>
          <w:sz w:val="28"/>
          <w:szCs w:val="28"/>
          <w:highlight w:val="none"/>
        </w:rPr>
      </w:pPr>
    </w:p>
    <w:p w14:paraId="7EDE7060">
      <w:pPr>
        <w:numPr>
          <w:ilvl w:val="0"/>
          <w:numId w:val="9"/>
        </w:numPr>
        <w:spacing w:line="400" w:lineRule="exact"/>
        <w:ind w:firstLine="568" w:firstLineChars="202"/>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符合性响应证明材料</w:t>
      </w:r>
    </w:p>
    <w:p w14:paraId="4EFF7E98">
      <w:pPr>
        <w:pStyle w:val="11"/>
        <w:rPr>
          <w:rFonts w:hint="eastAsia" w:ascii="宋体" w:hAnsi="宋体" w:eastAsia="宋体" w:cs="宋体"/>
          <w:b/>
          <w:bCs/>
          <w:color w:val="auto"/>
          <w:sz w:val="28"/>
          <w:szCs w:val="28"/>
          <w:highlight w:val="none"/>
        </w:rPr>
      </w:pPr>
    </w:p>
    <w:p w14:paraId="4831B246">
      <w:pPr>
        <w:pStyle w:val="11"/>
        <w:rPr>
          <w:rFonts w:hint="eastAsia" w:ascii="宋体" w:hAnsi="宋体" w:eastAsia="宋体" w:cs="宋体"/>
          <w:b/>
          <w:bCs/>
          <w:color w:val="auto"/>
          <w:sz w:val="28"/>
          <w:szCs w:val="28"/>
          <w:highlight w:val="none"/>
        </w:rPr>
      </w:pPr>
    </w:p>
    <w:p w14:paraId="592A0EEE">
      <w:pPr>
        <w:numPr>
          <w:ilvl w:val="0"/>
          <w:numId w:val="9"/>
        </w:numPr>
        <w:spacing w:line="400" w:lineRule="exact"/>
        <w:ind w:firstLine="568" w:firstLineChars="202"/>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其</w:t>
      </w:r>
      <w:r>
        <w:rPr>
          <w:rFonts w:hint="eastAsia" w:ascii="宋体" w:hAnsi="宋体" w:eastAsia="宋体" w:cs="宋体"/>
          <w:b/>
          <w:bCs/>
          <w:color w:val="auto"/>
          <w:sz w:val="28"/>
          <w:szCs w:val="28"/>
          <w:highlight w:val="none"/>
          <w:lang w:eastAsia="zh-CN"/>
        </w:rPr>
        <w:t>他</w:t>
      </w:r>
      <w:r>
        <w:rPr>
          <w:rFonts w:hint="eastAsia" w:ascii="宋体" w:hAnsi="宋体" w:eastAsia="宋体" w:cs="宋体"/>
          <w:b/>
          <w:bCs/>
          <w:color w:val="auto"/>
          <w:sz w:val="28"/>
          <w:szCs w:val="28"/>
          <w:highlight w:val="none"/>
        </w:rPr>
        <w:t>有效证明材料</w:t>
      </w:r>
    </w:p>
    <w:p w14:paraId="49DBCEAE">
      <w:pPr>
        <w:pStyle w:val="32"/>
        <w:rPr>
          <w:rFonts w:hint="eastAsia" w:ascii="宋体" w:hAnsi="宋体" w:eastAsia="宋体" w:cs="宋体"/>
          <w:color w:val="auto"/>
          <w:highlight w:val="none"/>
        </w:rPr>
      </w:pPr>
    </w:p>
    <w:p w14:paraId="3D5710D6">
      <w:pPr>
        <w:tabs>
          <w:tab w:val="left" w:pos="5040"/>
        </w:tabs>
        <w:spacing w:line="400" w:lineRule="exact"/>
        <w:rPr>
          <w:rFonts w:hint="eastAsia" w:ascii="宋体" w:hAnsi="宋体" w:eastAsia="宋体" w:cs="宋体"/>
          <w:color w:val="auto"/>
          <w:szCs w:val="21"/>
          <w:highlight w:val="none"/>
        </w:rPr>
      </w:pPr>
    </w:p>
    <w:p w14:paraId="782E0FC3">
      <w:pPr>
        <w:pStyle w:val="11"/>
        <w:rPr>
          <w:rFonts w:hint="eastAsia" w:ascii="宋体" w:hAnsi="宋体" w:eastAsia="宋体" w:cs="宋体"/>
          <w:color w:val="auto"/>
          <w:szCs w:val="21"/>
          <w:highlight w:val="none"/>
        </w:rPr>
      </w:pPr>
    </w:p>
    <w:p w14:paraId="41A38ACC">
      <w:pPr>
        <w:pStyle w:val="11"/>
        <w:rPr>
          <w:rFonts w:hint="eastAsia" w:ascii="宋体" w:hAnsi="宋体" w:eastAsia="宋体" w:cs="宋体"/>
          <w:color w:val="auto"/>
          <w:szCs w:val="21"/>
          <w:highlight w:val="none"/>
        </w:rPr>
      </w:pPr>
    </w:p>
    <w:p w14:paraId="277D6333">
      <w:pPr>
        <w:pStyle w:val="11"/>
        <w:rPr>
          <w:rFonts w:hint="eastAsia" w:ascii="宋体" w:hAnsi="宋体" w:eastAsia="宋体" w:cs="宋体"/>
          <w:color w:val="auto"/>
          <w:szCs w:val="21"/>
          <w:highlight w:val="none"/>
        </w:rPr>
      </w:pPr>
    </w:p>
    <w:p w14:paraId="2848E792">
      <w:pPr>
        <w:pStyle w:val="11"/>
        <w:rPr>
          <w:rFonts w:hint="eastAsia" w:ascii="宋体" w:hAnsi="宋体" w:eastAsia="宋体" w:cs="宋体"/>
          <w:color w:val="auto"/>
          <w:szCs w:val="21"/>
          <w:highlight w:val="none"/>
        </w:rPr>
      </w:pPr>
    </w:p>
    <w:p w14:paraId="2A5D8DC1">
      <w:pPr>
        <w:rPr>
          <w:rFonts w:hint="eastAsia" w:ascii="宋体" w:hAnsi="宋体" w:eastAsia="宋体" w:cs="宋体"/>
          <w:color w:val="auto"/>
          <w:szCs w:val="21"/>
          <w:highlight w:val="none"/>
        </w:rPr>
      </w:pPr>
    </w:p>
    <w:p w14:paraId="09D346BF">
      <w:pPr>
        <w:pStyle w:val="32"/>
        <w:rPr>
          <w:rFonts w:hint="eastAsia" w:ascii="宋体" w:hAnsi="宋体" w:eastAsia="宋体" w:cs="宋体"/>
          <w:color w:val="auto"/>
          <w:szCs w:val="21"/>
          <w:highlight w:val="none"/>
        </w:rPr>
      </w:pPr>
    </w:p>
    <w:p w14:paraId="290ECA66">
      <w:pPr>
        <w:pStyle w:val="32"/>
        <w:rPr>
          <w:rFonts w:hint="eastAsia" w:ascii="宋体" w:hAnsi="宋体" w:eastAsia="宋体" w:cs="宋体"/>
          <w:color w:val="auto"/>
          <w:szCs w:val="21"/>
          <w:highlight w:val="none"/>
        </w:rPr>
      </w:pPr>
    </w:p>
    <w:p w14:paraId="35214495">
      <w:pPr>
        <w:pStyle w:val="32"/>
        <w:rPr>
          <w:rFonts w:hint="eastAsia" w:ascii="宋体" w:hAnsi="宋体" w:eastAsia="宋体" w:cs="宋体"/>
          <w:color w:val="auto"/>
          <w:szCs w:val="21"/>
          <w:highlight w:val="none"/>
        </w:rPr>
      </w:pPr>
    </w:p>
    <w:p w14:paraId="755502A5">
      <w:pPr>
        <w:pStyle w:val="32"/>
        <w:rPr>
          <w:rFonts w:hint="eastAsia" w:ascii="宋体" w:hAnsi="宋体" w:eastAsia="宋体" w:cs="宋体"/>
          <w:color w:val="auto"/>
          <w:szCs w:val="21"/>
          <w:highlight w:val="none"/>
        </w:rPr>
      </w:pPr>
    </w:p>
    <w:p w14:paraId="128318D6">
      <w:pPr>
        <w:pStyle w:val="32"/>
        <w:rPr>
          <w:rFonts w:hint="eastAsia" w:ascii="宋体" w:hAnsi="宋体" w:eastAsia="宋体" w:cs="宋体"/>
          <w:color w:val="auto"/>
          <w:szCs w:val="21"/>
          <w:highlight w:val="none"/>
        </w:rPr>
      </w:pPr>
    </w:p>
    <w:p w14:paraId="4CECF4ED">
      <w:pPr>
        <w:pStyle w:val="32"/>
        <w:rPr>
          <w:rFonts w:hint="eastAsia" w:ascii="宋体" w:hAnsi="宋体" w:eastAsia="宋体" w:cs="宋体"/>
          <w:color w:val="auto"/>
          <w:szCs w:val="21"/>
          <w:highlight w:val="none"/>
        </w:rPr>
      </w:pPr>
    </w:p>
    <w:p w14:paraId="4641547D">
      <w:pPr>
        <w:pStyle w:val="32"/>
        <w:rPr>
          <w:rFonts w:hint="eastAsia" w:ascii="宋体" w:hAnsi="宋体" w:eastAsia="宋体" w:cs="宋体"/>
          <w:color w:val="auto"/>
          <w:szCs w:val="21"/>
          <w:highlight w:val="none"/>
        </w:rPr>
      </w:pPr>
    </w:p>
    <w:p w14:paraId="2B33CA79">
      <w:pPr>
        <w:pStyle w:val="32"/>
        <w:rPr>
          <w:rFonts w:hint="eastAsia" w:ascii="宋体" w:hAnsi="宋体" w:eastAsia="宋体" w:cs="宋体"/>
          <w:color w:val="auto"/>
          <w:szCs w:val="21"/>
          <w:highlight w:val="none"/>
        </w:rPr>
      </w:pPr>
    </w:p>
    <w:p w14:paraId="2EFBC771">
      <w:pPr>
        <w:pStyle w:val="32"/>
        <w:rPr>
          <w:rFonts w:hint="eastAsia" w:ascii="宋体" w:hAnsi="宋体" w:eastAsia="宋体" w:cs="宋体"/>
          <w:color w:val="auto"/>
          <w:szCs w:val="21"/>
          <w:highlight w:val="none"/>
        </w:rPr>
      </w:pPr>
    </w:p>
    <w:p w14:paraId="04CB94DB">
      <w:pPr>
        <w:pStyle w:val="32"/>
        <w:rPr>
          <w:rFonts w:hint="eastAsia" w:ascii="宋体" w:hAnsi="宋体" w:eastAsia="宋体" w:cs="宋体"/>
          <w:color w:val="auto"/>
          <w:szCs w:val="21"/>
          <w:highlight w:val="none"/>
        </w:rPr>
      </w:pPr>
    </w:p>
    <w:p w14:paraId="236AD093">
      <w:pPr>
        <w:pStyle w:val="32"/>
        <w:rPr>
          <w:rFonts w:hint="eastAsia" w:ascii="宋体" w:hAnsi="宋体" w:eastAsia="宋体" w:cs="宋体"/>
          <w:color w:val="auto"/>
          <w:szCs w:val="21"/>
          <w:highlight w:val="none"/>
        </w:rPr>
      </w:pPr>
    </w:p>
    <w:p w14:paraId="686408CB">
      <w:pPr>
        <w:pStyle w:val="32"/>
        <w:rPr>
          <w:rFonts w:hint="eastAsia" w:ascii="宋体" w:hAnsi="宋体" w:eastAsia="宋体" w:cs="宋体"/>
          <w:color w:val="auto"/>
          <w:szCs w:val="21"/>
          <w:highlight w:val="none"/>
        </w:rPr>
      </w:pPr>
    </w:p>
    <w:p w14:paraId="1F65245D">
      <w:pPr>
        <w:pStyle w:val="32"/>
        <w:rPr>
          <w:rFonts w:hint="eastAsia" w:ascii="宋体" w:hAnsi="宋体" w:eastAsia="宋体" w:cs="宋体"/>
          <w:color w:val="auto"/>
          <w:szCs w:val="21"/>
          <w:highlight w:val="none"/>
        </w:rPr>
      </w:pPr>
    </w:p>
    <w:p w14:paraId="07B34096">
      <w:pPr>
        <w:pStyle w:val="32"/>
        <w:rPr>
          <w:rFonts w:hint="eastAsia" w:ascii="宋体" w:hAnsi="宋体" w:eastAsia="宋体" w:cs="宋体"/>
          <w:color w:val="auto"/>
          <w:szCs w:val="21"/>
          <w:highlight w:val="none"/>
        </w:rPr>
      </w:pPr>
    </w:p>
    <w:p w14:paraId="495C6361">
      <w:pPr>
        <w:pStyle w:val="32"/>
        <w:rPr>
          <w:rFonts w:hint="eastAsia" w:ascii="宋体" w:hAnsi="宋体" w:eastAsia="宋体" w:cs="宋体"/>
          <w:color w:val="auto"/>
          <w:szCs w:val="21"/>
          <w:highlight w:val="none"/>
        </w:rPr>
      </w:pPr>
    </w:p>
    <w:p w14:paraId="583B4944">
      <w:pPr>
        <w:pStyle w:val="32"/>
        <w:rPr>
          <w:rFonts w:hint="eastAsia" w:ascii="宋体" w:hAnsi="宋体" w:eastAsia="宋体" w:cs="宋体"/>
          <w:color w:val="auto"/>
          <w:szCs w:val="21"/>
          <w:highlight w:val="none"/>
        </w:rPr>
      </w:pPr>
    </w:p>
    <w:p w14:paraId="38CBFB7B">
      <w:pPr>
        <w:pStyle w:val="32"/>
        <w:rPr>
          <w:rFonts w:hint="eastAsia" w:ascii="宋体" w:hAnsi="宋体" w:eastAsia="宋体" w:cs="宋体"/>
          <w:color w:val="auto"/>
          <w:szCs w:val="21"/>
          <w:highlight w:val="none"/>
        </w:rPr>
      </w:pPr>
    </w:p>
    <w:p w14:paraId="30365872">
      <w:pPr>
        <w:pStyle w:val="32"/>
        <w:rPr>
          <w:rFonts w:hint="eastAsia" w:ascii="宋体" w:hAnsi="宋体" w:eastAsia="宋体" w:cs="宋体"/>
          <w:color w:val="auto"/>
          <w:szCs w:val="21"/>
          <w:highlight w:val="none"/>
        </w:rPr>
      </w:pPr>
    </w:p>
    <w:p w14:paraId="1B7C8B4F">
      <w:pPr>
        <w:pStyle w:val="7"/>
        <w:numPr>
          <w:ilvl w:val="0"/>
          <w:numId w:val="0"/>
        </w:numPr>
        <w:jc w:val="center"/>
        <w:rPr>
          <w:rFonts w:hint="eastAsia" w:ascii="宋体" w:hAnsi="宋体" w:eastAsia="宋体" w:cs="宋体"/>
          <w:color w:val="auto"/>
          <w:sz w:val="32"/>
          <w:szCs w:val="32"/>
          <w:highlight w:val="none"/>
          <w:lang w:eastAsia="zh-CN"/>
        </w:rPr>
      </w:pPr>
      <w:bookmarkStart w:id="2373" w:name="_Toc497927071"/>
      <w:bookmarkStart w:id="2374" w:name="_Toc11067"/>
      <w:bookmarkStart w:id="2375" w:name="_Toc7185"/>
      <w:r>
        <w:rPr>
          <w:rFonts w:hint="eastAsia" w:ascii="宋体" w:hAnsi="宋体" w:eastAsia="宋体" w:cs="宋体"/>
          <w:color w:val="auto"/>
          <w:sz w:val="32"/>
          <w:szCs w:val="32"/>
          <w:highlight w:val="none"/>
          <w:lang w:eastAsia="zh-CN"/>
        </w:rPr>
        <w:t>（</w:t>
      </w:r>
      <w:r>
        <w:rPr>
          <w:rFonts w:hint="eastAsia" w:ascii="宋体" w:hAnsi="宋体" w:cs="宋体"/>
          <w:color w:val="auto"/>
          <w:sz w:val="32"/>
          <w:szCs w:val="32"/>
          <w:highlight w:val="none"/>
          <w:lang w:eastAsia="zh-CN"/>
        </w:rPr>
        <w:t>一</w:t>
      </w: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rPr>
        <w:t>资格性响应证明材料目录</w:t>
      </w:r>
      <w:bookmarkEnd w:id="2373"/>
      <w:bookmarkEnd w:id="2374"/>
      <w:bookmarkEnd w:id="2375"/>
      <w:r>
        <w:rPr>
          <w:rFonts w:hint="eastAsia" w:ascii="宋体" w:hAnsi="宋体" w:eastAsia="宋体" w:cs="宋体"/>
          <w:color w:val="auto"/>
          <w:sz w:val="32"/>
          <w:szCs w:val="32"/>
          <w:highlight w:val="none"/>
          <w:lang w:eastAsia="zh-CN"/>
        </w:rPr>
        <w:t>（根据所提供内容自行编写）</w:t>
      </w:r>
    </w:p>
    <w:p w14:paraId="1EE59C57">
      <w:pPr>
        <w:rPr>
          <w:rFonts w:hint="eastAsia" w:ascii="宋体" w:hAnsi="宋体" w:eastAsia="宋体" w:cs="宋体"/>
          <w:color w:val="auto"/>
          <w:highlight w:val="none"/>
        </w:rPr>
      </w:pPr>
    </w:p>
    <w:p w14:paraId="28ACEFA7">
      <w:pPr>
        <w:keepLines w:val="0"/>
        <w:pageBreakBefore w:val="0"/>
        <w:widowControl w:val="0"/>
        <w:tabs>
          <w:tab w:val="left" w:pos="3570"/>
        </w:tabs>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供应商相应的法定代表人、负责人、自然人身份证正反两面复印件</w:t>
      </w:r>
      <w:r>
        <w:rPr>
          <w:rFonts w:hint="eastAsia" w:ascii="宋体" w:hAnsi="宋体" w:eastAsia="宋体" w:cs="宋体"/>
          <w:b/>
          <w:bCs/>
          <w:color w:val="auto"/>
          <w:sz w:val="21"/>
          <w:szCs w:val="21"/>
          <w:highlight w:val="none"/>
        </w:rPr>
        <w:t>（必须提供）</w:t>
      </w:r>
      <w:r>
        <w:rPr>
          <w:rFonts w:hint="eastAsia" w:ascii="宋体" w:hAnsi="宋体" w:eastAsia="宋体" w:cs="宋体"/>
          <w:color w:val="auto"/>
          <w:sz w:val="21"/>
          <w:szCs w:val="21"/>
          <w:highlight w:val="none"/>
        </w:rPr>
        <w:t>；</w:t>
      </w:r>
    </w:p>
    <w:p w14:paraId="1948D49F">
      <w:pPr>
        <w:keepLines w:val="0"/>
        <w:pageBreakBefore w:val="0"/>
        <w:widowControl w:val="0"/>
        <w:tabs>
          <w:tab w:val="left" w:pos="3570"/>
        </w:tabs>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.供应商的授权委托书</w:t>
      </w:r>
      <w:r>
        <w:rPr>
          <w:rFonts w:hint="eastAsia" w:ascii="宋体" w:hAnsi="宋体" w:eastAsia="宋体" w:cs="宋体"/>
          <w:color w:val="auto"/>
          <w:sz w:val="21"/>
          <w:szCs w:val="21"/>
          <w:highlight w:val="none"/>
          <w:lang w:eastAsia="zh-CN"/>
        </w:rPr>
        <w:t>原件</w:t>
      </w:r>
      <w:r>
        <w:rPr>
          <w:rFonts w:hint="eastAsia" w:ascii="宋体" w:hAnsi="宋体" w:eastAsia="宋体" w:cs="宋体"/>
          <w:color w:val="auto"/>
          <w:sz w:val="21"/>
          <w:szCs w:val="21"/>
          <w:highlight w:val="none"/>
        </w:rPr>
        <w:t>、委托代理人身份证正反面复印件以及由县级以上（含县级）社会养老保险经办机构出具的供应商为委托代理人交纳的响应文件递交截止时间前半年内任意连续三个月社保证明复印件</w:t>
      </w:r>
      <w:r>
        <w:rPr>
          <w:rFonts w:hint="eastAsia" w:ascii="宋体" w:hAnsi="宋体" w:eastAsia="宋体" w:cs="宋体"/>
          <w:color w:val="auto"/>
          <w:sz w:val="21"/>
          <w:szCs w:val="21"/>
          <w:highlight w:val="none"/>
          <w:lang w:eastAsia="zh-CN"/>
        </w:rPr>
        <w:t>（委托代理时必须提供）。</w:t>
      </w:r>
      <w:r>
        <w:rPr>
          <w:rFonts w:hint="eastAsia" w:ascii="宋体" w:hAnsi="宋体" w:eastAsia="宋体" w:cs="宋体"/>
          <w:color w:val="auto"/>
          <w:sz w:val="21"/>
          <w:szCs w:val="21"/>
          <w:highlight w:val="none"/>
        </w:rPr>
        <w:t>除供应商为以下三种情形的：</w:t>
      </w:r>
    </w:p>
    <w:p w14:paraId="67E9CC5C">
      <w:pPr>
        <w:keepLines w:val="0"/>
        <w:pageBreakBefore w:val="0"/>
        <w:widowControl w:val="0"/>
        <w:tabs>
          <w:tab w:val="left" w:pos="3570"/>
        </w:tabs>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如供应商为截标时间前60日以内成立的公司，可以提供供应商与委托代理人签订的劳动合同复印件代替社保证明复印件；</w:t>
      </w:r>
    </w:p>
    <w:p w14:paraId="4D1E82C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（2）如供应商为事业单位，可以提供事业单位机构编制管理证复印件或事业单位机构为其发放工资的工资条复印件代替社保证明复印件；</w:t>
      </w:r>
    </w:p>
    <w:p w14:paraId="76BE9C7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（3）如委托代理人为免缴纳社保人员，提供免缴纳社保的证明材料复印件及供应商与委托代理人签订的劳动合同复印件代替社保证明复印件。</w:t>
      </w:r>
    </w:p>
    <w:p w14:paraId="1EA49770">
      <w:pPr>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eastAsia="zh-CN"/>
        </w:rPr>
        <w:t>属</w:t>
      </w:r>
      <w:r>
        <w:rPr>
          <w:rFonts w:hint="eastAsia" w:ascii="宋体" w:hAnsi="宋体" w:eastAsia="宋体" w:cs="宋体"/>
          <w:b/>
          <w:bCs/>
          <w:color w:val="auto"/>
          <w:sz w:val="21"/>
          <w:szCs w:val="21"/>
          <w:highlight w:val="none"/>
        </w:rPr>
        <w:t>自然人的应提供由县级以上（含县级）社会养老保险经办机构出具的自然人本人及委托代理人所交纳的响应文件递交截止时间前半年内任意连续三个月社保证明复印件</w:t>
      </w:r>
      <w:r>
        <w:rPr>
          <w:rFonts w:hint="eastAsia" w:ascii="宋体" w:hAnsi="宋体" w:eastAsia="宋体" w:cs="宋体"/>
          <w:color w:val="auto"/>
          <w:sz w:val="21"/>
          <w:szCs w:val="21"/>
          <w:highlight w:val="none"/>
        </w:rPr>
        <w:t>】</w:t>
      </w:r>
      <w:r>
        <w:rPr>
          <w:rFonts w:hint="eastAsia" w:ascii="宋体" w:hAnsi="宋体" w:eastAsia="宋体" w:cs="宋体"/>
          <w:b/>
          <w:bCs/>
          <w:color w:val="auto"/>
          <w:sz w:val="21"/>
          <w:szCs w:val="21"/>
          <w:highlight w:val="none"/>
        </w:rPr>
        <w:t>（委托代理时必须提供）</w:t>
      </w:r>
      <w:r>
        <w:rPr>
          <w:rFonts w:hint="eastAsia" w:ascii="宋体" w:hAnsi="宋体" w:eastAsia="宋体" w:cs="宋体"/>
          <w:color w:val="auto"/>
          <w:sz w:val="21"/>
          <w:szCs w:val="21"/>
          <w:highlight w:val="none"/>
          <w:lang w:eastAsia="zh-CN"/>
        </w:rPr>
        <w:t>；</w:t>
      </w:r>
    </w:p>
    <w:p w14:paraId="6B4B3E88">
      <w:pPr>
        <w:keepLines w:val="0"/>
        <w:pageBreakBefore w:val="0"/>
        <w:widowControl w:val="0"/>
        <w:tabs>
          <w:tab w:val="left" w:pos="3570"/>
        </w:tabs>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供应商参加政府采购活动前3年内在经营活动中没有重大违法记录及有关信用信息的书面声明</w:t>
      </w:r>
      <w:r>
        <w:rPr>
          <w:rFonts w:hint="eastAsia" w:ascii="宋体" w:hAnsi="宋体" w:eastAsia="宋体" w:cs="宋体"/>
          <w:b/>
          <w:bCs/>
          <w:color w:val="auto"/>
          <w:sz w:val="21"/>
          <w:szCs w:val="21"/>
          <w:highlight w:val="none"/>
        </w:rPr>
        <w:t>（必须提供）</w:t>
      </w:r>
      <w:r>
        <w:rPr>
          <w:rFonts w:hint="eastAsia" w:ascii="宋体" w:hAnsi="宋体" w:eastAsia="宋体" w:cs="宋体"/>
          <w:color w:val="auto"/>
          <w:sz w:val="21"/>
          <w:szCs w:val="21"/>
          <w:highlight w:val="none"/>
        </w:rPr>
        <w:t>；</w:t>
      </w:r>
    </w:p>
    <w:p w14:paraId="570B76AD">
      <w:pPr>
        <w:numPr>
          <w:ilvl w:val="0"/>
          <w:numId w:val="0"/>
        </w:numPr>
        <w:spacing w:line="360" w:lineRule="auto"/>
        <w:ind w:leftChars="200"/>
        <w:rPr>
          <w:rFonts w:hint="eastAsia" w:ascii="宋体" w:hAnsi="宋体" w:eastAsia="宋体" w:cs="宋体"/>
          <w:bCs/>
          <w:color w:val="auto"/>
          <w:kern w:val="0"/>
          <w:szCs w:val="21"/>
          <w:highlight w:val="none"/>
          <w:lang w:val="en-US" w:eastAsia="zh-CN"/>
        </w:rPr>
      </w:pPr>
      <w:r>
        <w:rPr>
          <w:rFonts w:hint="eastAsia" w:ascii="宋体" w:hAnsi="宋体" w:eastAsia="宋体" w:cs="宋体"/>
          <w:bCs/>
          <w:color w:val="auto"/>
          <w:kern w:val="0"/>
          <w:szCs w:val="21"/>
          <w:highlight w:val="none"/>
          <w:lang w:val="en-US" w:eastAsia="zh-CN"/>
        </w:rPr>
        <w:t>4.</w:t>
      </w:r>
      <w:r>
        <w:rPr>
          <w:rFonts w:hint="eastAsia" w:ascii="宋体" w:hAnsi="宋体" w:eastAsia="宋体" w:cs="宋体"/>
          <w:bCs/>
          <w:color w:val="auto"/>
          <w:kern w:val="0"/>
          <w:szCs w:val="21"/>
          <w:highlight w:val="none"/>
        </w:rPr>
        <w:t>供应商的法人或者其他组织营业执照等证明文件复印件</w:t>
      </w:r>
      <w:r>
        <w:rPr>
          <w:rFonts w:hint="eastAsia" w:ascii="宋体" w:hAnsi="宋体" w:eastAsia="宋体" w:cs="宋体"/>
          <w:b/>
          <w:bCs w:val="0"/>
          <w:color w:val="auto"/>
          <w:kern w:val="0"/>
          <w:szCs w:val="21"/>
          <w:highlight w:val="none"/>
        </w:rPr>
        <w:t>（必须提供，自然人除外）</w:t>
      </w:r>
      <w:r>
        <w:rPr>
          <w:rFonts w:hint="eastAsia" w:ascii="宋体" w:hAnsi="宋体" w:eastAsia="宋体" w:cs="宋体"/>
          <w:bCs/>
          <w:color w:val="auto"/>
          <w:kern w:val="0"/>
          <w:szCs w:val="21"/>
          <w:highlight w:val="none"/>
        </w:rPr>
        <w:t>；</w:t>
      </w:r>
    </w:p>
    <w:p w14:paraId="1B558B02">
      <w:pPr>
        <w:numPr>
          <w:ilvl w:val="0"/>
          <w:numId w:val="0"/>
        </w:numPr>
        <w:spacing w:line="360" w:lineRule="auto"/>
        <w:ind w:leftChars="200"/>
        <w:rPr>
          <w:rFonts w:hint="eastAsia" w:ascii="宋体" w:hAnsi="宋体" w:eastAsia="宋体" w:cs="宋体"/>
          <w:bCs/>
          <w:color w:val="auto"/>
          <w:kern w:val="0"/>
          <w:szCs w:val="21"/>
          <w:highlight w:val="none"/>
          <w:lang w:val="en-US" w:eastAsia="zh-CN"/>
        </w:rPr>
      </w:pPr>
      <w:r>
        <w:rPr>
          <w:rFonts w:hint="eastAsia" w:ascii="宋体" w:hAnsi="宋体" w:eastAsia="宋体" w:cs="宋体"/>
          <w:bCs/>
          <w:color w:val="auto"/>
          <w:kern w:val="0"/>
          <w:szCs w:val="21"/>
          <w:highlight w:val="none"/>
          <w:lang w:val="en-US" w:eastAsia="zh-CN"/>
        </w:rPr>
        <w:t>5.</w:t>
      </w:r>
      <w:r>
        <w:rPr>
          <w:rFonts w:hint="eastAsia" w:ascii="宋体" w:hAnsi="宋体" w:eastAsia="宋体" w:cs="宋体"/>
          <w:bCs/>
          <w:color w:val="auto"/>
          <w:kern w:val="0"/>
          <w:szCs w:val="21"/>
          <w:highlight w:val="none"/>
        </w:rPr>
        <w:t>供应商有效的资质证书复印件</w:t>
      </w:r>
      <w:r>
        <w:rPr>
          <w:rFonts w:hint="eastAsia" w:ascii="宋体" w:hAnsi="宋体" w:eastAsia="宋体" w:cs="宋体"/>
          <w:b/>
          <w:bCs w:val="0"/>
          <w:color w:val="auto"/>
          <w:kern w:val="0"/>
          <w:szCs w:val="21"/>
          <w:highlight w:val="none"/>
          <w:lang w:val="en-US" w:eastAsia="zh-CN"/>
        </w:rPr>
        <w:t>（必须提供）</w:t>
      </w:r>
      <w:r>
        <w:rPr>
          <w:rFonts w:hint="eastAsia" w:ascii="宋体" w:hAnsi="宋体" w:eastAsia="宋体" w:cs="宋体"/>
          <w:bCs/>
          <w:color w:val="auto"/>
          <w:kern w:val="0"/>
          <w:szCs w:val="21"/>
          <w:highlight w:val="none"/>
          <w:lang w:val="en-US" w:eastAsia="zh-CN"/>
        </w:rPr>
        <w:t>；</w:t>
      </w:r>
    </w:p>
    <w:p w14:paraId="03711CAB">
      <w:pPr>
        <w:numPr>
          <w:ilvl w:val="0"/>
          <w:numId w:val="0"/>
        </w:numPr>
        <w:spacing w:line="360" w:lineRule="auto"/>
        <w:ind w:leftChars="200"/>
        <w:rPr>
          <w:rFonts w:hint="eastAsia" w:ascii="宋体" w:hAnsi="宋体" w:cs="宋体"/>
          <w:bCs/>
          <w:color w:val="C00000"/>
          <w:kern w:val="0"/>
          <w:szCs w:val="21"/>
          <w:highlight w:val="none"/>
          <w:lang w:val="en-US" w:eastAsia="zh-CN"/>
        </w:rPr>
      </w:pPr>
      <w:r>
        <w:rPr>
          <w:rFonts w:hint="eastAsia" w:ascii="宋体" w:hAnsi="宋体" w:eastAsia="宋体" w:cs="宋体"/>
          <w:bCs/>
          <w:color w:val="auto"/>
          <w:kern w:val="0"/>
          <w:szCs w:val="21"/>
          <w:highlight w:val="none"/>
          <w:lang w:val="en-US" w:eastAsia="zh-CN"/>
        </w:rPr>
        <w:t>6.</w:t>
      </w:r>
      <w:r>
        <w:rPr>
          <w:rFonts w:hint="eastAsia" w:ascii="宋体" w:hAnsi="宋体" w:eastAsia="宋体" w:cs="宋体"/>
          <w:bCs/>
          <w:color w:val="auto"/>
          <w:kern w:val="0"/>
          <w:sz w:val="21"/>
          <w:szCs w:val="21"/>
          <w:highlight w:val="none"/>
          <w:lang w:val="en-US" w:eastAsia="zh-CN"/>
        </w:rPr>
        <w:t>《中小企业声明函》或《残疾人福利性单位声明函》或省级以上监狱管理局、戒毒管理局（含新疆生产建设兵团）出具的属于监狱企业的证明文件复印件</w:t>
      </w:r>
      <w:r>
        <w:rPr>
          <w:rFonts w:hint="eastAsia" w:ascii="宋体" w:hAnsi="宋体" w:eastAsia="宋体" w:cs="宋体"/>
          <w:b/>
          <w:bCs w:val="0"/>
          <w:color w:val="auto"/>
          <w:kern w:val="0"/>
          <w:sz w:val="21"/>
          <w:szCs w:val="21"/>
          <w:highlight w:val="none"/>
          <w:lang w:val="en-US" w:eastAsia="zh-CN"/>
        </w:rPr>
        <w:t>（必须提供其中一项）</w:t>
      </w:r>
      <w:r>
        <w:rPr>
          <w:rFonts w:hint="eastAsia" w:ascii="宋体" w:hAnsi="宋体" w:eastAsia="宋体" w:cs="宋体"/>
          <w:bCs/>
          <w:color w:val="auto"/>
          <w:kern w:val="0"/>
          <w:szCs w:val="21"/>
          <w:highlight w:val="none"/>
        </w:rPr>
        <w:t>；</w:t>
      </w:r>
    </w:p>
    <w:p w14:paraId="22468BD6">
      <w:pPr>
        <w:numPr>
          <w:ilvl w:val="0"/>
          <w:numId w:val="0"/>
        </w:numPr>
        <w:spacing w:line="360" w:lineRule="auto"/>
        <w:ind w:leftChars="200"/>
        <w:rPr>
          <w:rFonts w:hint="eastAsia" w:ascii="宋体" w:hAnsi="宋体" w:cs="宋体"/>
          <w:color w:val="auto"/>
          <w:sz w:val="21"/>
          <w:szCs w:val="21"/>
          <w:highlight w:val="none"/>
          <w:lang w:val="en-US" w:eastAsia="zh-CN"/>
        </w:rPr>
      </w:pPr>
      <w:r>
        <w:rPr>
          <w:rFonts w:hint="eastAsia" w:ascii="宋体" w:hAnsi="宋体" w:cs="宋体"/>
          <w:bCs/>
          <w:color w:val="auto"/>
          <w:kern w:val="0"/>
          <w:szCs w:val="21"/>
          <w:highlight w:val="none"/>
          <w:lang w:val="en-US" w:eastAsia="zh-CN"/>
        </w:rPr>
        <w:t>7.</w:t>
      </w:r>
      <w:r>
        <w:rPr>
          <w:rFonts w:hint="eastAsia" w:ascii="宋体" w:hAnsi="宋体" w:cs="宋体"/>
          <w:bCs/>
          <w:color w:val="auto"/>
          <w:kern w:val="0"/>
          <w:szCs w:val="21"/>
          <w:highlight w:val="none"/>
        </w:rPr>
        <w:t>供应商有效的安全生产许可证书复印件</w:t>
      </w:r>
      <w:r>
        <w:rPr>
          <w:rFonts w:hint="eastAsia" w:ascii="宋体" w:hAnsi="宋体" w:eastAsia="宋体" w:cs="宋体"/>
          <w:b/>
          <w:bCs/>
          <w:color w:val="auto"/>
          <w:sz w:val="21"/>
          <w:szCs w:val="21"/>
          <w:highlight w:val="none"/>
          <w:lang w:val="en-US" w:eastAsia="zh-CN"/>
        </w:rPr>
        <w:t>（必须提供）</w:t>
      </w:r>
      <w:r>
        <w:rPr>
          <w:rFonts w:hint="eastAsia" w:ascii="宋体" w:hAnsi="宋体" w:eastAsia="宋体" w:cs="宋体"/>
          <w:b w:val="0"/>
          <w:bCs w:val="0"/>
          <w:color w:val="auto"/>
          <w:sz w:val="21"/>
          <w:szCs w:val="21"/>
          <w:highlight w:val="none"/>
          <w:lang w:val="en-US" w:eastAsia="zh-CN"/>
        </w:rPr>
        <w:t>；</w:t>
      </w:r>
    </w:p>
    <w:p w14:paraId="69965AC4">
      <w:pPr>
        <w:numPr>
          <w:ilvl w:val="0"/>
          <w:numId w:val="0"/>
        </w:numPr>
        <w:spacing w:line="360" w:lineRule="auto"/>
        <w:ind w:leftChars="200"/>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8.</w:t>
      </w:r>
      <w:r>
        <w:rPr>
          <w:rFonts w:hint="eastAsia" w:ascii="宋体" w:hAnsi="宋体" w:cs="宋体"/>
          <w:bCs/>
          <w:color w:val="auto"/>
          <w:kern w:val="0"/>
          <w:szCs w:val="21"/>
          <w:highlight w:val="none"/>
          <w:lang w:eastAsia="zh-CN"/>
        </w:rPr>
        <w:t>供应商202</w:t>
      </w:r>
      <w:r>
        <w:rPr>
          <w:rFonts w:hint="eastAsia" w:ascii="宋体" w:hAnsi="宋体" w:cs="宋体"/>
          <w:bCs/>
          <w:color w:val="auto"/>
          <w:kern w:val="0"/>
          <w:szCs w:val="21"/>
          <w:highlight w:val="none"/>
          <w:lang w:val="en-US" w:eastAsia="zh-CN"/>
        </w:rPr>
        <w:t>3或2024年</w:t>
      </w:r>
      <w:r>
        <w:rPr>
          <w:rFonts w:hint="eastAsia" w:ascii="宋体" w:hAnsi="宋体" w:cs="宋体"/>
          <w:bCs/>
          <w:color w:val="auto"/>
          <w:kern w:val="0"/>
          <w:szCs w:val="21"/>
          <w:highlight w:val="none"/>
          <w:lang w:eastAsia="zh-CN"/>
        </w:rPr>
        <w:t>度财务状况报告</w:t>
      </w:r>
      <w:r>
        <w:rPr>
          <w:rFonts w:hint="eastAsia" w:ascii="宋体" w:hAnsi="宋体" w:eastAsia="宋体" w:cs="宋体"/>
          <w:b/>
          <w:bCs/>
          <w:color w:val="auto"/>
          <w:sz w:val="21"/>
          <w:szCs w:val="21"/>
          <w:highlight w:val="none"/>
          <w:lang w:val="en-US" w:eastAsia="zh-CN"/>
        </w:rPr>
        <w:t>（必须提供</w:t>
      </w:r>
      <w:r>
        <w:rPr>
          <w:rFonts w:hint="eastAsia" w:ascii="宋体" w:hAnsi="宋体" w:cs="宋体"/>
          <w:b/>
          <w:bCs/>
          <w:color w:val="auto"/>
          <w:szCs w:val="21"/>
          <w:highlight w:val="none"/>
          <w:lang w:eastAsia="zh-CN"/>
        </w:rPr>
        <w:t>，</w:t>
      </w:r>
      <w:r>
        <w:rPr>
          <w:rFonts w:ascii="宋体" w:hAnsi="宋体" w:cs="宋体"/>
          <w:b/>
          <w:bCs/>
          <w:color w:val="auto"/>
          <w:szCs w:val="21"/>
          <w:highlight w:val="none"/>
        </w:rPr>
        <w:t>可</w:t>
      </w:r>
      <w:r>
        <w:rPr>
          <w:rFonts w:hint="eastAsia" w:ascii="宋体" w:hAnsi="宋体" w:cs="宋体"/>
          <w:b/>
          <w:bCs/>
          <w:color w:val="auto"/>
          <w:szCs w:val="21"/>
          <w:highlight w:val="none"/>
          <w:lang w:eastAsia="zh-CN"/>
        </w:rPr>
        <w:t>以是磋商供应商</w:t>
      </w:r>
      <w:r>
        <w:rPr>
          <w:rFonts w:ascii="宋体" w:hAnsi="宋体" w:cs="宋体"/>
          <w:b/>
          <w:bCs/>
          <w:color w:val="auto"/>
          <w:szCs w:val="21"/>
          <w:highlight w:val="none"/>
        </w:rPr>
        <w:t>自行编制也可</w:t>
      </w:r>
      <w:r>
        <w:rPr>
          <w:rFonts w:hint="eastAsia" w:ascii="宋体" w:hAnsi="宋体" w:cs="宋体"/>
          <w:b/>
          <w:bCs/>
          <w:color w:val="auto"/>
          <w:szCs w:val="21"/>
          <w:highlight w:val="none"/>
          <w:lang w:eastAsia="zh-CN"/>
        </w:rPr>
        <w:t>是</w:t>
      </w:r>
      <w:r>
        <w:rPr>
          <w:rFonts w:ascii="宋体" w:hAnsi="宋体" w:cs="宋体"/>
          <w:b/>
          <w:bCs/>
          <w:color w:val="auto"/>
          <w:szCs w:val="21"/>
          <w:highlight w:val="none"/>
        </w:rPr>
        <w:t>通过</w:t>
      </w:r>
      <w:r>
        <w:rPr>
          <w:rFonts w:hint="eastAsia" w:ascii="宋体" w:hAnsi="宋体" w:cs="宋体"/>
          <w:b/>
          <w:bCs/>
          <w:color w:val="auto"/>
          <w:szCs w:val="21"/>
          <w:highlight w:val="none"/>
          <w:lang w:eastAsia="zh-CN"/>
        </w:rPr>
        <w:t>第三方</w:t>
      </w:r>
      <w:r>
        <w:rPr>
          <w:rFonts w:ascii="宋体" w:hAnsi="宋体" w:cs="宋体"/>
          <w:b/>
          <w:bCs/>
          <w:color w:val="auto"/>
          <w:szCs w:val="21"/>
          <w:highlight w:val="none"/>
        </w:rPr>
        <w:t>审计公司编制，如为自行编制至少须提供现金流量表、负债表及利润表</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b w:val="0"/>
          <w:bCs w:val="0"/>
          <w:color w:val="auto"/>
          <w:sz w:val="21"/>
          <w:szCs w:val="21"/>
          <w:highlight w:val="none"/>
          <w:lang w:val="en-US" w:eastAsia="zh-CN"/>
        </w:rPr>
        <w:t>；</w:t>
      </w:r>
    </w:p>
    <w:p w14:paraId="05F3ECD4">
      <w:pPr>
        <w:numPr>
          <w:ilvl w:val="0"/>
          <w:numId w:val="0"/>
        </w:numPr>
        <w:spacing w:line="360" w:lineRule="auto"/>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sz w:val="21"/>
          <w:szCs w:val="21"/>
          <w:highlight w:val="none"/>
          <w:lang w:val="en-US" w:eastAsia="zh-CN"/>
        </w:rPr>
        <w:t>9.供应商近半年内任意一个月或任一季度依法缴纳税收的证明材料[增值税缴纳发票(税收完税证明)或企业所得税完税证明或税务部门出具的免税证明]复印件</w:t>
      </w:r>
      <w:r>
        <w:rPr>
          <w:rFonts w:hint="eastAsia" w:ascii="宋体" w:hAnsi="宋体" w:eastAsia="宋体" w:cs="宋体"/>
          <w:b/>
          <w:bCs/>
          <w:color w:val="auto"/>
          <w:sz w:val="21"/>
          <w:szCs w:val="21"/>
          <w:highlight w:val="none"/>
          <w:lang w:val="en-US" w:eastAsia="zh-CN"/>
        </w:rPr>
        <w:t>（必须提供）</w:t>
      </w:r>
      <w:r>
        <w:rPr>
          <w:rFonts w:hint="eastAsia" w:ascii="宋体" w:hAnsi="宋体" w:eastAsia="宋体" w:cs="宋体"/>
          <w:b w:val="0"/>
          <w:bCs w:val="0"/>
          <w:color w:val="auto"/>
          <w:sz w:val="21"/>
          <w:szCs w:val="21"/>
          <w:highlight w:val="none"/>
          <w:lang w:val="en-US" w:eastAsia="zh-CN"/>
        </w:rPr>
        <w:t>。</w:t>
      </w:r>
    </w:p>
    <w:p w14:paraId="1DC69EA8">
      <w:pPr>
        <w:spacing w:line="440" w:lineRule="atLeast"/>
        <w:rPr>
          <w:rFonts w:hint="eastAsia" w:ascii="宋体" w:hAnsi="宋体" w:eastAsia="宋体" w:cs="宋体"/>
          <w:b/>
          <w:color w:val="auto"/>
          <w:sz w:val="28"/>
          <w:szCs w:val="28"/>
          <w:highlight w:val="none"/>
          <w:lang w:val="en-US" w:eastAsia="zh-CN"/>
        </w:rPr>
      </w:pPr>
    </w:p>
    <w:p w14:paraId="3ED7229A">
      <w:pPr>
        <w:spacing w:line="440" w:lineRule="atLeast"/>
        <w:rPr>
          <w:rFonts w:hint="eastAsia" w:ascii="宋体" w:hAnsi="宋体" w:eastAsia="宋体" w:cs="宋体"/>
          <w:b/>
          <w:color w:val="auto"/>
          <w:sz w:val="28"/>
          <w:szCs w:val="28"/>
          <w:highlight w:val="none"/>
          <w:lang w:val="en-US" w:eastAsia="zh-CN"/>
        </w:rPr>
      </w:pPr>
    </w:p>
    <w:p w14:paraId="6F9C5381">
      <w:pPr>
        <w:spacing w:line="440" w:lineRule="atLeast"/>
        <w:rPr>
          <w:rFonts w:hint="eastAsia" w:ascii="宋体" w:hAnsi="宋体" w:eastAsia="宋体" w:cs="宋体"/>
          <w:b/>
          <w:color w:val="auto"/>
          <w:sz w:val="28"/>
          <w:szCs w:val="28"/>
          <w:highlight w:val="none"/>
          <w:lang w:val="en-US" w:eastAsia="zh-CN"/>
        </w:rPr>
      </w:pPr>
    </w:p>
    <w:p w14:paraId="2143FD57">
      <w:pP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br w:type="page"/>
      </w:r>
    </w:p>
    <w:p w14:paraId="3A73E0AE">
      <w:pPr>
        <w:numPr>
          <w:ilvl w:val="0"/>
          <w:numId w:val="15"/>
        </w:numPr>
        <w:spacing w:line="440" w:lineRule="atLeas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供应商相应的法定代表人、负责人、自然人身份证正反两面复印件（必须提供）；</w:t>
      </w:r>
    </w:p>
    <w:p w14:paraId="45936465">
      <w:pPr>
        <w:pStyle w:val="5"/>
        <w:numPr>
          <w:ilvl w:val="0"/>
          <w:numId w:val="0"/>
        </w:numPr>
        <w:rPr>
          <w:rFonts w:hint="eastAsia"/>
          <w:color w:val="auto"/>
          <w:highlight w:val="none"/>
        </w:rPr>
      </w:pPr>
    </w:p>
    <w:p w14:paraId="44DA7E30">
      <w:pPr>
        <w:rPr>
          <w:rFonts w:hint="eastAsia"/>
          <w:color w:val="auto"/>
          <w:highlight w:val="none"/>
        </w:rPr>
      </w:pPr>
    </w:p>
    <w:p w14:paraId="7361647A">
      <w:pPr>
        <w:spacing w:line="440" w:lineRule="atLeast"/>
        <w:rPr>
          <w:rFonts w:hint="eastAsia" w:ascii="宋体" w:hAnsi="宋体" w:eastAsia="宋体" w:cs="宋体"/>
          <w:b/>
          <w:color w:val="auto"/>
          <w:sz w:val="28"/>
          <w:szCs w:val="28"/>
          <w:highlight w:val="none"/>
        </w:rPr>
      </w:pPr>
    </w:p>
    <w:p w14:paraId="725E05EF">
      <w:pPr>
        <w:spacing w:line="440" w:lineRule="atLeas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en-US" w:eastAsia="zh-CN"/>
        </w:rPr>
        <w:t>2</w:t>
      </w:r>
      <w:r>
        <w:rPr>
          <w:rFonts w:hint="eastAsia" w:ascii="宋体" w:hAnsi="宋体" w:eastAsia="宋体" w:cs="宋体"/>
          <w:b/>
          <w:color w:val="auto"/>
          <w:sz w:val="28"/>
          <w:szCs w:val="28"/>
          <w:highlight w:val="none"/>
        </w:rPr>
        <w:t>.供应商的授权委托书</w:t>
      </w:r>
      <w:r>
        <w:rPr>
          <w:rFonts w:hint="eastAsia" w:ascii="宋体" w:hAnsi="宋体" w:eastAsia="宋体" w:cs="宋体"/>
          <w:b/>
          <w:color w:val="auto"/>
          <w:sz w:val="28"/>
          <w:szCs w:val="28"/>
          <w:highlight w:val="none"/>
          <w:lang w:eastAsia="zh-CN"/>
        </w:rPr>
        <w:t>原件</w:t>
      </w:r>
      <w:r>
        <w:rPr>
          <w:rFonts w:hint="eastAsia" w:ascii="宋体" w:hAnsi="宋体" w:eastAsia="宋体" w:cs="宋体"/>
          <w:b/>
          <w:color w:val="auto"/>
          <w:sz w:val="28"/>
          <w:szCs w:val="28"/>
          <w:highlight w:val="none"/>
        </w:rPr>
        <w:t>、委托代理人身份证正反面复印件以及由县级以上（含县级）社会养老保险经办机构出具的供应商为委托代理人交纳的响应文件递交截止时间前半年内任意连续三个月社保证明复印件</w:t>
      </w:r>
      <w:r>
        <w:rPr>
          <w:rFonts w:hint="eastAsia" w:ascii="宋体" w:hAnsi="宋体" w:eastAsia="宋体" w:cs="宋体"/>
          <w:b/>
          <w:color w:val="auto"/>
          <w:sz w:val="28"/>
          <w:szCs w:val="28"/>
          <w:highlight w:val="none"/>
          <w:lang w:eastAsia="zh-CN"/>
        </w:rPr>
        <w:t>（委托代理时必须提供）。</w:t>
      </w:r>
      <w:r>
        <w:rPr>
          <w:rFonts w:hint="eastAsia" w:ascii="宋体" w:hAnsi="宋体" w:eastAsia="宋体" w:cs="宋体"/>
          <w:b/>
          <w:color w:val="auto"/>
          <w:sz w:val="28"/>
          <w:szCs w:val="28"/>
          <w:highlight w:val="none"/>
        </w:rPr>
        <w:t>除供应商为以下三种情形的：</w:t>
      </w:r>
    </w:p>
    <w:p w14:paraId="738AE885">
      <w:pPr>
        <w:spacing w:line="440" w:lineRule="atLeas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（1） 如供应商为截标时间前60日以内成立的公司，可以提供供应商与委托代理人签订的劳动合同复印件代替社保证明复印件；</w:t>
      </w:r>
    </w:p>
    <w:p w14:paraId="2BAC3E77">
      <w:pPr>
        <w:spacing w:line="440" w:lineRule="atLeas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（2）如供应商为事业单位，可以提供事业单位机构编制管理证复印件或事业单位机构为其发放工资的工资条复印件代替社保证明复印件；</w:t>
      </w:r>
    </w:p>
    <w:p w14:paraId="1DD414EB">
      <w:pPr>
        <w:spacing w:line="440" w:lineRule="atLeas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（3）如委托代理人为免缴纳社保人员，提供免缴纳社保的证明材料复印件及供应商与委托代理人签订的劳动合同复印件代替社保证明复印件。</w:t>
      </w:r>
    </w:p>
    <w:p w14:paraId="3A51C28F">
      <w:pPr>
        <w:spacing w:line="440" w:lineRule="atLeas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w:t>
      </w:r>
      <w:r>
        <w:rPr>
          <w:rFonts w:hint="eastAsia" w:ascii="宋体" w:hAnsi="宋体" w:eastAsia="宋体" w:cs="宋体"/>
          <w:b/>
          <w:color w:val="auto"/>
          <w:sz w:val="28"/>
          <w:szCs w:val="28"/>
          <w:highlight w:val="none"/>
          <w:lang w:eastAsia="zh-CN"/>
        </w:rPr>
        <w:t>属</w:t>
      </w:r>
      <w:r>
        <w:rPr>
          <w:rFonts w:hint="eastAsia" w:ascii="宋体" w:hAnsi="宋体" w:eastAsia="宋体" w:cs="宋体"/>
          <w:b/>
          <w:color w:val="auto"/>
          <w:sz w:val="28"/>
          <w:szCs w:val="28"/>
          <w:highlight w:val="none"/>
        </w:rPr>
        <w:t>自然人的应提供由县级以上（含县级）社会养老保险经办机构出具的自然人本人及委托代理人所交纳的响应文件递交截止时间前半年内任意连续三个月社保证明复印件】（委托代理时必须提供）</w:t>
      </w:r>
    </w:p>
    <w:p w14:paraId="0C5AC9AD">
      <w:pPr>
        <w:spacing w:line="440" w:lineRule="atLeast"/>
        <w:rPr>
          <w:rFonts w:hint="eastAsia" w:ascii="宋体" w:hAnsi="宋体" w:eastAsia="宋体" w:cs="宋体"/>
          <w:b/>
          <w:color w:val="auto"/>
          <w:sz w:val="28"/>
          <w:szCs w:val="28"/>
          <w:highlight w:val="none"/>
        </w:rPr>
      </w:pPr>
    </w:p>
    <w:p w14:paraId="1AA7DF2A">
      <w:pPr>
        <w:pStyle w:val="14"/>
        <w:rPr>
          <w:rFonts w:hint="eastAsia" w:ascii="宋体" w:hAnsi="宋体" w:eastAsia="宋体" w:cs="宋体"/>
          <w:b/>
          <w:color w:val="auto"/>
          <w:sz w:val="32"/>
          <w:highlight w:val="none"/>
        </w:rPr>
      </w:pPr>
    </w:p>
    <w:p w14:paraId="0263518B">
      <w:pPr>
        <w:rPr>
          <w:rFonts w:hint="eastAsia" w:ascii="宋体" w:hAnsi="宋体" w:eastAsia="宋体" w:cs="宋体"/>
          <w:b/>
          <w:color w:val="auto"/>
          <w:sz w:val="32"/>
          <w:highlight w:val="none"/>
        </w:rPr>
      </w:pPr>
    </w:p>
    <w:p w14:paraId="28D6084F">
      <w:pPr>
        <w:pStyle w:val="5"/>
        <w:tabs>
          <w:tab w:val="left" w:pos="567"/>
        </w:tabs>
        <w:rPr>
          <w:rFonts w:hint="eastAsia"/>
          <w:color w:val="auto"/>
          <w:highlight w:val="none"/>
        </w:rPr>
      </w:pPr>
    </w:p>
    <w:p w14:paraId="2F2EB7B3">
      <w:pPr>
        <w:rPr>
          <w:rFonts w:hint="eastAsia"/>
          <w:color w:val="auto"/>
          <w:highlight w:val="none"/>
        </w:rPr>
      </w:pPr>
    </w:p>
    <w:p w14:paraId="7640893C">
      <w:pPr>
        <w:pStyle w:val="5"/>
        <w:rPr>
          <w:rFonts w:hint="eastAsia"/>
          <w:color w:val="auto"/>
          <w:highlight w:val="none"/>
        </w:rPr>
      </w:pPr>
    </w:p>
    <w:p w14:paraId="1C413971">
      <w:pPr>
        <w:rPr>
          <w:rFonts w:hint="eastAsia"/>
          <w:color w:val="auto"/>
          <w:highlight w:val="none"/>
        </w:rPr>
      </w:pPr>
    </w:p>
    <w:p w14:paraId="15950347">
      <w:pPr>
        <w:pStyle w:val="14"/>
        <w:rPr>
          <w:rFonts w:hint="eastAsia" w:ascii="宋体" w:hAnsi="宋体" w:eastAsia="宋体" w:cs="宋体"/>
          <w:b/>
          <w:color w:val="auto"/>
          <w:sz w:val="32"/>
          <w:highlight w:val="none"/>
        </w:rPr>
      </w:pPr>
    </w:p>
    <w:p w14:paraId="25B6F915">
      <w:pPr>
        <w:pStyle w:val="14"/>
        <w:rPr>
          <w:rFonts w:hint="eastAsia" w:ascii="宋体" w:hAnsi="宋体" w:eastAsia="宋体" w:cs="宋体"/>
          <w:b/>
          <w:color w:val="auto"/>
          <w:sz w:val="32"/>
          <w:highlight w:val="none"/>
        </w:rPr>
      </w:pPr>
    </w:p>
    <w:p w14:paraId="18F61A92">
      <w:pPr>
        <w:pStyle w:val="14"/>
        <w:rPr>
          <w:rFonts w:hint="eastAsia" w:ascii="宋体" w:hAnsi="宋体" w:eastAsia="宋体" w:cs="宋体"/>
          <w:b/>
          <w:color w:val="auto"/>
          <w:sz w:val="32"/>
          <w:highlight w:val="none"/>
        </w:rPr>
      </w:pPr>
    </w:p>
    <w:p w14:paraId="5EC68C9E">
      <w:pPr>
        <w:pStyle w:val="14"/>
        <w:rPr>
          <w:rFonts w:hint="eastAsia" w:ascii="宋体" w:hAnsi="宋体" w:eastAsia="宋体" w:cs="宋体"/>
          <w:b/>
          <w:color w:val="auto"/>
          <w:sz w:val="32"/>
          <w:highlight w:val="none"/>
        </w:rPr>
      </w:pPr>
      <w:r>
        <w:rPr>
          <w:rFonts w:hint="eastAsia" w:ascii="宋体" w:hAnsi="宋体" w:eastAsia="宋体" w:cs="宋体"/>
          <w:b/>
          <w:color w:val="auto"/>
          <w:sz w:val="32"/>
          <w:highlight w:val="none"/>
        </w:rPr>
        <w:t xml:space="preserve">附件：            </w:t>
      </w:r>
    </w:p>
    <w:p w14:paraId="7AD0D28A">
      <w:pPr>
        <w:pStyle w:val="14"/>
        <w:ind w:firstLine="630" w:firstLineChars="196"/>
        <w:jc w:val="center"/>
        <w:rPr>
          <w:rFonts w:hint="eastAsia" w:ascii="宋体" w:hAnsi="宋体" w:eastAsia="宋体" w:cs="宋体"/>
          <w:b/>
          <w:color w:val="auto"/>
          <w:sz w:val="32"/>
          <w:highlight w:val="none"/>
        </w:rPr>
      </w:pPr>
      <w:bookmarkStart w:id="2376" w:name="_Toc5420_WPSOffice_Level1"/>
      <w:bookmarkStart w:id="2377" w:name="_Toc964_WPSOffice_Level1"/>
      <w:r>
        <w:rPr>
          <w:rFonts w:hint="eastAsia" w:ascii="宋体" w:hAnsi="宋体" w:eastAsia="宋体" w:cs="宋体"/>
          <w:b/>
          <w:color w:val="auto"/>
          <w:sz w:val="32"/>
          <w:highlight w:val="none"/>
        </w:rPr>
        <w:t>授权委托书（格式一）</w:t>
      </w:r>
      <w:bookmarkEnd w:id="2376"/>
      <w:bookmarkEnd w:id="2377"/>
    </w:p>
    <w:p w14:paraId="2D8E0DA0">
      <w:pPr>
        <w:pStyle w:val="14"/>
        <w:rPr>
          <w:rFonts w:hint="eastAsia" w:ascii="宋体" w:hAnsi="宋体" w:eastAsia="宋体" w:cs="宋体"/>
          <w:color w:val="auto"/>
          <w:highlight w:val="none"/>
        </w:rPr>
      </w:pPr>
    </w:p>
    <w:p w14:paraId="68EA54F2">
      <w:pPr>
        <w:spacing w:line="400" w:lineRule="exact"/>
        <w:rPr>
          <w:rFonts w:hint="eastAsia" w:ascii="宋体" w:hAnsi="宋体" w:eastAsia="宋体" w:cs="宋体"/>
          <w:color w:val="auto"/>
          <w:highlight w:val="none"/>
        </w:rPr>
      </w:pPr>
      <w:r>
        <w:rPr>
          <w:rFonts w:hint="eastAsia" w:ascii="宋体" w:hAnsi="宋体" w:eastAsia="宋体" w:cs="宋体"/>
          <w:color w:val="auto"/>
          <w:szCs w:val="21"/>
          <w:highlight w:val="none"/>
        </w:rPr>
        <w:t>致：</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eastAsia="zh-CN"/>
        </w:rPr>
        <w:t xml:space="preserve">广西景钲工程咨询有限公司 </w:t>
      </w:r>
    </w:p>
    <w:p w14:paraId="08F4EEBC">
      <w:pPr>
        <w:spacing w:line="400" w:lineRule="exact"/>
        <w:rPr>
          <w:rFonts w:hint="eastAsia" w:ascii="宋体" w:hAnsi="宋体" w:eastAsia="宋体" w:cs="宋体"/>
          <w:color w:val="auto"/>
          <w:szCs w:val="21"/>
          <w:highlight w:val="none"/>
        </w:rPr>
      </w:pPr>
    </w:p>
    <w:p w14:paraId="210790B4">
      <w:pPr>
        <w:pStyle w:val="14"/>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kern w:val="0"/>
          <w:highlight w:val="none"/>
        </w:rPr>
        <w:t>我</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（姓名）系</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（供应商名称）的法定代表人（负责人），现授权委托本单位在职职工</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（姓 名）以我公司名义参加</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highlight w:val="none"/>
          <w:u w:val="single"/>
        </w:rPr>
        <w:t xml:space="preserve">（项目名称及项目编号）        </w:t>
      </w:r>
      <w:r>
        <w:rPr>
          <w:rFonts w:hint="eastAsia" w:ascii="宋体" w:hAnsi="宋体" w:eastAsia="宋体" w:cs="宋体"/>
          <w:color w:val="auto"/>
          <w:highlight w:val="none"/>
        </w:rPr>
        <w:t>项目的磋商活动，并代表我方全权办理针对上述项目的磋商、签约等具体事务和签署相关文件。</w:t>
      </w:r>
    </w:p>
    <w:p w14:paraId="41E3715F">
      <w:pPr>
        <w:pStyle w:val="14"/>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我方对被授权人的签字事项负全部责任。</w:t>
      </w:r>
    </w:p>
    <w:p w14:paraId="71DABD04">
      <w:pPr>
        <w:pStyle w:val="14"/>
        <w:spacing w:line="400" w:lineRule="exact"/>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rPr>
        <w:t>授权委托代理期限：从</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月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日起至</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月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日止。</w:t>
      </w:r>
    </w:p>
    <w:p w14:paraId="02A7A177">
      <w:pPr>
        <w:pStyle w:val="14"/>
        <w:spacing w:line="400" w:lineRule="exact"/>
        <w:rPr>
          <w:rFonts w:hint="eastAsia" w:ascii="宋体" w:hAnsi="宋体" w:eastAsia="宋体" w:cs="宋体"/>
          <w:color w:val="auto"/>
          <w:highlight w:val="none"/>
          <w:u w:val="single"/>
        </w:rPr>
      </w:pPr>
      <w:r>
        <w:rPr>
          <w:rFonts w:hint="eastAsia" w:ascii="宋体" w:hAnsi="宋体" w:eastAsia="宋体" w:cs="宋体"/>
          <w:color w:val="auto"/>
          <w:highlight w:val="none"/>
        </w:rPr>
        <w:t xml:space="preserve">                                                                                             </w:t>
      </w:r>
    </w:p>
    <w:p w14:paraId="433F2340">
      <w:pPr>
        <w:spacing w:line="400" w:lineRule="exact"/>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 xml:space="preserve">代理人无转委托权,特此委托。 </w:t>
      </w:r>
    </w:p>
    <w:p w14:paraId="7230757D">
      <w:pPr>
        <w:spacing w:line="400" w:lineRule="exact"/>
        <w:ind w:firstLine="420" w:firstLineChars="200"/>
        <w:rPr>
          <w:rFonts w:hint="eastAsia" w:ascii="宋体" w:hAnsi="宋体" w:eastAsia="宋体" w:cs="宋体"/>
          <w:color w:val="auto"/>
          <w:kern w:val="0"/>
          <w:highlight w:val="none"/>
        </w:rPr>
      </w:pPr>
    </w:p>
    <w:p w14:paraId="7C6385BA">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我已在下面签字，以资证明。</w:t>
      </w:r>
    </w:p>
    <w:p w14:paraId="77E1367A">
      <w:pPr>
        <w:spacing w:line="400" w:lineRule="exact"/>
        <w:ind w:firstLine="420" w:firstLineChars="200"/>
        <w:rPr>
          <w:rFonts w:hint="eastAsia" w:ascii="宋体" w:hAnsi="宋体" w:eastAsia="宋体" w:cs="宋体"/>
          <w:color w:val="auto"/>
          <w:szCs w:val="21"/>
          <w:highlight w:val="none"/>
        </w:rPr>
      </w:pPr>
    </w:p>
    <w:p w14:paraId="1083F84E">
      <w:pPr>
        <w:spacing w:line="400" w:lineRule="exact"/>
        <w:ind w:firstLine="420" w:firstLineChars="200"/>
        <w:rPr>
          <w:rFonts w:hint="eastAsia" w:ascii="宋体" w:hAnsi="宋体" w:eastAsia="宋体" w:cs="宋体"/>
          <w:color w:val="auto"/>
          <w:szCs w:val="21"/>
          <w:highlight w:val="none"/>
        </w:rPr>
      </w:pPr>
    </w:p>
    <w:p w14:paraId="667AA0BE">
      <w:pPr>
        <w:snapToGrid w:val="0"/>
        <w:spacing w:line="400" w:lineRule="exact"/>
        <w:ind w:firstLine="42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lang w:eastAsia="zh-CN"/>
        </w:rPr>
        <w:t>磋商供应商</w:t>
      </w:r>
      <w:r>
        <w:rPr>
          <w:rFonts w:hint="eastAsia" w:ascii="宋体" w:hAnsi="宋体" w:eastAsia="宋体" w:cs="宋体"/>
          <w:color w:val="auto"/>
          <w:szCs w:val="21"/>
          <w:highlight w:val="none"/>
          <w:lang w:val="en-US" w:eastAsia="zh-CN"/>
        </w:rPr>
        <w:t>[公章</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CA签章</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p>
    <w:p w14:paraId="52BF8269">
      <w:pPr>
        <w:snapToGrid w:val="0"/>
        <w:spacing w:line="400" w:lineRule="exact"/>
        <w:ind w:firstLine="420"/>
        <w:rPr>
          <w:rFonts w:hint="eastAsia" w:ascii="宋体" w:hAnsi="宋体" w:eastAsia="宋体" w:cs="宋体"/>
          <w:color w:val="auto"/>
          <w:szCs w:val="21"/>
          <w:highlight w:val="none"/>
        </w:rPr>
      </w:pPr>
    </w:p>
    <w:p w14:paraId="78D92B5A">
      <w:pPr>
        <w:snapToGrid w:val="0"/>
        <w:spacing w:line="400" w:lineRule="exact"/>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法定代表人（负责人）签字（或</w:t>
      </w:r>
      <w:r>
        <w:rPr>
          <w:rFonts w:hint="eastAsia" w:ascii="宋体" w:hAnsi="宋体" w:eastAsia="宋体" w:cs="宋体"/>
          <w:color w:val="auto"/>
          <w:szCs w:val="21"/>
          <w:highlight w:val="none"/>
          <w:lang w:eastAsia="zh-CN"/>
        </w:rPr>
        <w:t>个人</w:t>
      </w:r>
      <w:r>
        <w:rPr>
          <w:rFonts w:hint="eastAsia" w:ascii="宋体" w:hAnsi="宋体" w:eastAsia="宋体" w:cs="宋体"/>
          <w:color w:val="auto"/>
          <w:szCs w:val="21"/>
          <w:highlight w:val="none"/>
          <w:lang w:val="en-US" w:eastAsia="zh-CN"/>
        </w:rPr>
        <w:t>CA签章</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14:paraId="6713D989">
      <w:pPr>
        <w:snapToGrid w:val="0"/>
        <w:spacing w:line="400" w:lineRule="exact"/>
        <w:ind w:firstLine="420"/>
        <w:rPr>
          <w:rFonts w:hint="eastAsia" w:ascii="宋体" w:hAnsi="宋体" w:eastAsia="宋体" w:cs="宋体"/>
          <w:color w:val="auto"/>
          <w:szCs w:val="21"/>
          <w:highlight w:val="none"/>
        </w:rPr>
      </w:pPr>
    </w:p>
    <w:p w14:paraId="7BC461AB">
      <w:pPr>
        <w:pStyle w:val="11"/>
        <w:rPr>
          <w:rFonts w:hint="eastAsia" w:ascii="宋体" w:hAnsi="宋体" w:eastAsia="宋体" w:cs="宋体"/>
          <w:color w:val="auto"/>
          <w:highlight w:val="none"/>
        </w:rPr>
      </w:pPr>
    </w:p>
    <w:p w14:paraId="5FA9023B">
      <w:pPr>
        <w:spacing w:line="440" w:lineRule="atLeas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附：供应商的授权委托书</w:t>
      </w:r>
      <w:r>
        <w:rPr>
          <w:rFonts w:hint="eastAsia" w:ascii="宋体" w:hAnsi="宋体" w:eastAsia="宋体" w:cs="宋体"/>
          <w:b/>
          <w:color w:val="auto"/>
          <w:szCs w:val="21"/>
          <w:highlight w:val="none"/>
          <w:lang w:eastAsia="zh-CN"/>
        </w:rPr>
        <w:t>原件</w:t>
      </w:r>
      <w:r>
        <w:rPr>
          <w:rFonts w:hint="eastAsia" w:ascii="宋体" w:hAnsi="宋体" w:eastAsia="宋体" w:cs="宋体"/>
          <w:b/>
          <w:color w:val="auto"/>
          <w:szCs w:val="21"/>
          <w:highlight w:val="none"/>
        </w:rPr>
        <w:t>、委托代理人身份证正反面复印件以及由县级以上（含县级）社会养老保险经办机构出具的供应商为委托代理人交纳的响应文件递交截止时间前半年内任意连续三个月社保证明复印件</w:t>
      </w:r>
      <w:r>
        <w:rPr>
          <w:rFonts w:hint="eastAsia" w:ascii="宋体" w:hAnsi="宋体" w:eastAsia="宋体" w:cs="宋体"/>
          <w:b/>
          <w:color w:val="auto"/>
          <w:szCs w:val="21"/>
          <w:highlight w:val="none"/>
          <w:lang w:eastAsia="zh-CN"/>
        </w:rPr>
        <w:t>，</w:t>
      </w:r>
      <w:r>
        <w:rPr>
          <w:rFonts w:hint="eastAsia" w:ascii="宋体" w:hAnsi="宋体" w:eastAsia="宋体" w:cs="宋体"/>
          <w:b/>
          <w:color w:val="auto"/>
          <w:szCs w:val="21"/>
          <w:highlight w:val="none"/>
        </w:rPr>
        <w:t>除供应商为以下三种情形的：</w:t>
      </w:r>
    </w:p>
    <w:p w14:paraId="42CA92AF">
      <w:pPr>
        <w:spacing w:line="440" w:lineRule="atLeas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 如供应商为截标时间前60日以内成立的公司，可以提供供应商与委托代理人签订的劳动合同复印件代替社保证明复印件；</w:t>
      </w:r>
    </w:p>
    <w:p w14:paraId="31588902">
      <w:pPr>
        <w:spacing w:line="440" w:lineRule="atLeas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（2）如供应商为事业单位，可以提供事业单位机构编制管理证复印件或事业单位机构为其发放工资的工资条复印件代替社保证明复印件；</w:t>
      </w:r>
    </w:p>
    <w:p w14:paraId="45E18693">
      <w:pPr>
        <w:spacing w:line="440" w:lineRule="atLeas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（3）如委托代理人为免缴纳社保人员，提供免缴纳社保的证明材料复印件及供应商与委托代理人签订的劳动合同复印件代替社保证明复印件。</w:t>
      </w:r>
    </w:p>
    <w:p w14:paraId="2F59DEFD">
      <w:pPr>
        <w:pStyle w:val="14"/>
        <w:spacing w:line="340" w:lineRule="exact"/>
        <w:ind w:firstLine="420" w:firstLineChars="200"/>
        <w:rPr>
          <w:rFonts w:hint="eastAsia" w:ascii="宋体" w:hAnsi="宋体" w:eastAsia="宋体" w:cs="宋体"/>
          <w:color w:val="auto"/>
          <w:highlight w:val="none"/>
        </w:rPr>
      </w:pPr>
    </w:p>
    <w:p w14:paraId="2D371223">
      <w:pPr>
        <w:pStyle w:val="9"/>
        <w:rPr>
          <w:rFonts w:hint="eastAsia"/>
          <w:color w:val="auto"/>
          <w:highlight w:val="none"/>
        </w:rPr>
      </w:pPr>
    </w:p>
    <w:p w14:paraId="435164CD">
      <w:pPr>
        <w:pStyle w:val="14"/>
        <w:jc w:val="center"/>
        <w:rPr>
          <w:rFonts w:hint="eastAsia" w:ascii="宋体" w:hAnsi="宋体" w:eastAsia="宋体" w:cs="宋体"/>
          <w:b/>
          <w:color w:val="auto"/>
          <w:sz w:val="32"/>
          <w:highlight w:val="none"/>
        </w:rPr>
      </w:pPr>
      <w:bookmarkStart w:id="2378" w:name="_Toc21370_WPSOffice_Level1"/>
      <w:bookmarkStart w:id="2379" w:name="_Toc6975_WPSOffice_Level1"/>
      <w:r>
        <w:rPr>
          <w:rFonts w:hint="eastAsia" w:ascii="宋体" w:hAnsi="宋体" w:eastAsia="宋体" w:cs="宋体"/>
          <w:b/>
          <w:color w:val="auto"/>
          <w:sz w:val="32"/>
          <w:highlight w:val="none"/>
        </w:rPr>
        <w:t>授权委托书（格式二）</w:t>
      </w:r>
      <w:bookmarkEnd w:id="2378"/>
      <w:bookmarkEnd w:id="2379"/>
    </w:p>
    <w:p w14:paraId="602A875C">
      <w:pPr>
        <w:pStyle w:val="14"/>
        <w:jc w:val="both"/>
        <w:rPr>
          <w:rFonts w:hint="eastAsia" w:ascii="宋体" w:hAnsi="宋体" w:eastAsia="宋体" w:cs="宋体"/>
          <w:b/>
          <w:color w:val="auto"/>
          <w:sz w:val="32"/>
          <w:highlight w:val="none"/>
        </w:rPr>
      </w:pPr>
    </w:p>
    <w:p w14:paraId="3A76416A">
      <w:pPr>
        <w:pStyle w:val="14"/>
        <w:jc w:val="both"/>
        <w:rPr>
          <w:rFonts w:hint="eastAsia" w:ascii="宋体" w:hAnsi="宋体" w:eastAsia="宋体" w:cs="宋体"/>
          <w:color w:val="auto"/>
          <w:szCs w:val="21"/>
          <w:highlight w:val="none"/>
          <w:u w:val="single"/>
        </w:rPr>
      </w:pPr>
      <w:r>
        <w:rPr>
          <w:rFonts w:hint="eastAsia" w:ascii="宋体" w:hAnsi="宋体" w:eastAsia="宋体" w:cs="宋体"/>
          <w:b/>
          <w:color w:val="auto"/>
          <w:szCs w:val="21"/>
          <w:highlight w:val="none"/>
        </w:rPr>
        <w:t>致</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r>
        <w:rPr>
          <w:rFonts w:hint="eastAsia" w:hAnsi="宋体" w:cs="宋体"/>
          <w:color w:val="auto"/>
          <w:szCs w:val="21"/>
          <w:highlight w:val="none"/>
          <w:u w:val="single"/>
          <w:lang w:eastAsia="zh-CN"/>
        </w:rPr>
        <w:t xml:space="preserve">广西景钲工程咨询有限公司 </w:t>
      </w:r>
    </w:p>
    <w:p w14:paraId="0BD08FCE">
      <w:pPr>
        <w:rPr>
          <w:rFonts w:hint="eastAsia" w:ascii="宋体" w:hAnsi="宋体" w:eastAsia="宋体" w:cs="宋体"/>
          <w:color w:val="auto"/>
          <w:highlight w:val="none"/>
        </w:rPr>
      </w:pPr>
    </w:p>
    <w:p w14:paraId="31387E31">
      <w:pPr>
        <w:pStyle w:val="14"/>
        <w:spacing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kern w:val="0"/>
          <w:highlight w:val="none"/>
        </w:rPr>
        <w:t>我</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（姓名）系自然人，现授权委托</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（姓 名）以本人名义参加</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highlight w:val="none"/>
          <w:u w:val="single"/>
        </w:rPr>
        <w:t xml:space="preserve">（项目名称及项目编号）        </w:t>
      </w:r>
      <w:r>
        <w:rPr>
          <w:rFonts w:hint="eastAsia" w:ascii="宋体" w:hAnsi="宋体" w:eastAsia="宋体" w:cs="宋体"/>
          <w:color w:val="auto"/>
          <w:highlight w:val="none"/>
        </w:rPr>
        <w:t>项目的磋商活动，并代表本人全权办理针对上述项目的磋商、签约等具体事务和签署相关文件。</w:t>
      </w:r>
    </w:p>
    <w:p w14:paraId="699CABA3">
      <w:pPr>
        <w:pStyle w:val="14"/>
        <w:spacing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本人对被授权人的签字事项负全部责任。</w:t>
      </w:r>
    </w:p>
    <w:p w14:paraId="6071657B">
      <w:pPr>
        <w:pStyle w:val="14"/>
        <w:spacing w:line="340" w:lineRule="exact"/>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rPr>
        <w:t>授权委托代理期限：从</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月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日起至</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月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日止。</w:t>
      </w:r>
    </w:p>
    <w:p w14:paraId="724435D3">
      <w:pPr>
        <w:pStyle w:val="14"/>
        <w:spacing w:line="340" w:lineRule="exact"/>
        <w:rPr>
          <w:rFonts w:hint="eastAsia" w:ascii="宋体" w:hAnsi="宋体" w:eastAsia="宋体" w:cs="宋体"/>
          <w:color w:val="auto"/>
          <w:highlight w:val="none"/>
          <w:u w:val="single"/>
        </w:rPr>
      </w:pPr>
      <w:r>
        <w:rPr>
          <w:rFonts w:hint="eastAsia" w:ascii="宋体" w:hAnsi="宋体" w:eastAsia="宋体" w:cs="宋体"/>
          <w:color w:val="auto"/>
          <w:highlight w:val="none"/>
        </w:rPr>
        <w:t xml:space="preserve">                                                                                             </w:t>
      </w:r>
    </w:p>
    <w:p w14:paraId="0AF566A0">
      <w:pPr>
        <w:spacing w:line="340" w:lineRule="exact"/>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 xml:space="preserve">代理人无转委托权,特此委托。 </w:t>
      </w:r>
    </w:p>
    <w:p w14:paraId="79A1C587">
      <w:pPr>
        <w:spacing w:line="340" w:lineRule="exact"/>
        <w:ind w:firstLine="420" w:firstLineChars="200"/>
        <w:rPr>
          <w:rFonts w:hint="eastAsia" w:ascii="宋体" w:hAnsi="宋体" w:eastAsia="宋体" w:cs="宋体"/>
          <w:color w:val="auto"/>
          <w:kern w:val="0"/>
          <w:highlight w:val="none"/>
        </w:rPr>
      </w:pPr>
    </w:p>
    <w:p w14:paraId="638405FD">
      <w:pPr>
        <w:spacing w:line="3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我已在下面签字，以资证明。</w:t>
      </w:r>
    </w:p>
    <w:p w14:paraId="3B623110">
      <w:pPr>
        <w:spacing w:line="340" w:lineRule="exact"/>
        <w:ind w:firstLine="420" w:firstLineChars="200"/>
        <w:rPr>
          <w:rFonts w:hint="eastAsia" w:ascii="宋体" w:hAnsi="宋体" w:eastAsia="宋体" w:cs="宋体"/>
          <w:color w:val="auto"/>
          <w:szCs w:val="21"/>
          <w:highlight w:val="none"/>
        </w:rPr>
      </w:pPr>
    </w:p>
    <w:p w14:paraId="0697B667">
      <w:pPr>
        <w:snapToGrid w:val="0"/>
        <w:spacing w:line="340" w:lineRule="exact"/>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自然人签字并在签名处加盖大拇指指印</w:t>
      </w:r>
      <w:r>
        <w:rPr>
          <w:rFonts w:hint="eastAsia" w:ascii="宋体" w:hAnsi="宋体" w:eastAsia="宋体" w:cs="宋体"/>
          <w:color w:val="auto"/>
          <w:szCs w:val="21"/>
          <w:highlight w:val="none"/>
          <w:lang w:eastAsia="zh-CN"/>
        </w:rPr>
        <w:t>或个人</w:t>
      </w:r>
      <w:r>
        <w:rPr>
          <w:rFonts w:hint="eastAsia" w:ascii="宋体" w:hAnsi="宋体" w:eastAsia="宋体" w:cs="宋体"/>
          <w:color w:val="auto"/>
          <w:szCs w:val="21"/>
          <w:highlight w:val="none"/>
          <w:lang w:val="en-US" w:eastAsia="zh-CN"/>
        </w:rPr>
        <w:t>CA签章</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14:paraId="7512AE29">
      <w:pPr>
        <w:pStyle w:val="14"/>
        <w:spacing w:line="400" w:lineRule="exact"/>
        <w:ind w:left="420" w:leftChars="200"/>
        <w:rPr>
          <w:rFonts w:hint="eastAsia" w:ascii="宋体" w:hAnsi="宋体" w:eastAsia="宋体" w:cs="宋体"/>
          <w:color w:val="auto"/>
          <w:szCs w:val="21"/>
          <w:highlight w:val="none"/>
        </w:rPr>
      </w:pPr>
    </w:p>
    <w:p w14:paraId="5341B4D2">
      <w:pPr>
        <w:pStyle w:val="14"/>
        <w:spacing w:line="40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附：委托代理人身份证正反面复印件</w:t>
      </w:r>
    </w:p>
    <w:p w14:paraId="449E6D84">
      <w:pPr>
        <w:rPr>
          <w:rFonts w:hint="eastAsia" w:ascii="宋体" w:hAnsi="宋体" w:eastAsia="宋体" w:cs="宋体"/>
          <w:b/>
          <w:color w:val="auto"/>
          <w:szCs w:val="21"/>
          <w:highlight w:val="none"/>
        </w:rPr>
      </w:pPr>
    </w:p>
    <w:p w14:paraId="4BC32C31">
      <w:pPr>
        <w:pStyle w:val="11"/>
        <w:rPr>
          <w:rFonts w:hint="eastAsia" w:ascii="宋体" w:hAnsi="宋体" w:eastAsia="宋体" w:cs="宋体"/>
          <w:b/>
          <w:color w:val="auto"/>
          <w:szCs w:val="21"/>
          <w:highlight w:val="none"/>
        </w:rPr>
      </w:pPr>
    </w:p>
    <w:p w14:paraId="38893006">
      <w:pPr>
        <w:pStyle w:val="11"/>
        <w:rPr>
          <w:rFonts w:hint="eastAsia" w:ascii="宋体" w:hAnsi="宋体" w:eastAsia="宋体" w:cs="宋体"/>
          <w:b/>
          <w:color w:val="auto"/>
          <w:szCs w:val="21"/>
          <w:highlight w:val="none"/>
        </w:rPr>
      </w:pPr>
    </w:p>
    <w:p w14:paraId="5459813B">
      <w:pPr>
        <w:pStyle w:val="11"/>
        <w:rPr>
          <w:rFonts w:hint="eastAsia" w:ascii="宋体" w:hAnsi="宋体" w:eastAsia="宋体" w:cs="宋体"/>
          <w:b/>
          <w:color w:val="auto"/>
          <w:szCs w:val="21"/>
          <w:highlight w:val="none"/>
        </w:rPr>
      </w:pPr>
    </w:p>
    <w:p w14:paraId="368775DA">
      <w:pPr>
        <w:pStyle w:val="11"/>
        <w:rPr>
          <w:rFonts w:hint="eastAsia" w:ascii="宋体" w:hAnsi="宋体" w:eastAsia="宋体" w:cs="宋体"/>
          <w:b/>
          <w:color w:val="auto"/>
          <w:szCs w:val="21"/>
          <w:highlight w:val="none"/>
        </w:rPr>
      </w:pPr>
    </w:p>
    <w:p w14:paraId="59EABC84">
      <w:pPr>
        <w:pStyle w:val="11"/>
        <w:rPr>
          <w:rFonts w:hint="eastAsia" w:ascii="宋体" w:hAnsi="宋体" w:eastAsia="宋体" w:cs="宋体"/>
          <w:b/>
          <w:color w:val="auto"/>
          <w:szCs w:val="21"/>
          <w:highlight w:val="none"/>
        </w:rPr>
      </w:pPr>
    </w:p>
    <w:p w14:paraId="623E485A">
      <w:pPr>
        <w:pStyle w:val="11"/>
        <w:rPr>
          <w:rFonts w:hint="eastAsia" w:ascii="宋体" w:hAnsi="宋体" w:eastAsia="宋体" w:cs="宋体"/>
          <w:b/>
          <w:color w:val="auto"/>
          <w:szCs w:val="21"/>
          <w:highlight w:val="none"/>
        </w:rPr>
      </w:pPr>
    </w:p>
    <w:p w14:paraId="0E439544">
      <w:pPr>
        <w:pStyle w:val="11"/>
        <w:rPr>
          <w:rFonts w:hint="eastAsia" w:ascii="宋体" w:hAnsi="宋体" w:eastAsia="宋体" w:cs="宋体"/>
          <w:b/>
          <w:color w:val="auto"/>
          <w:szCs w:val="21"/>
          <w:highlight w:val="none"/>
        </w:rPr>
      </w:pPr>
    </w:p>
    <w:p w14:paraId="570E9629">
      <w:pPr>
        <w:pStyle w:val="11"/>
        <w:rPr>
          <w:rFonts w:hint="eastAsia" w:ascii="宋体" w:hAnsi="宋体" w:eastAsia="宋体" w:cs="宋体"/>
          <w:b/>
          <w:color w:val="auto"/>
          <w:szCs w:val="21"/>
          <w:highlight w:val="none"/>
        </w:rPr>
      </w:pPr>
    </w:p>
    <w:p w14:paraId="0FAA5882">
      <w:pPr>
        <w:pStyle w:val="11"/>
        <w:rPr>
          <w:rFonts w:hint="eastAsia" w:ascii="宋体" w:hAnsi="宋体" w:eastAsia="宋体" w:cs="宋体"/>
          <w:b/>
          <w:color w:val="auto"/>
          <w:szCs w:val="21"/>
          <w:highlight w:val="none"/>
        </w:rPr>
      </w:pPr>
    </w:p>
    <w:p w14:paraId="56780FF2">
      <w:pPr>
        <w:pStyle w:val="11"/>
        <w:rPr>
          <w:rFonts w:hint="eastAsia" w:ascii="宋体" w:hAnsi="宋体" w:eastAsia="宋体" w:cs="宋体"/>
          <w:b/>
          <w:color w:val="auto"/>
          <w:szCs w:val="21"/>
          <w:highlight w:val="none"/>
        </w:rPr>
      </w:pPr>
    </w:p>
    <w:p w14:paraId="5E88FA70">
      <w:pPr>
        <w:pStyle w:val="11"/>
        <w:rPr>
          <w:rFonts w:hint="eastAsia" w:ascii="宋体" w:hAnsi="宋体" w:eastAsia="宋体" w:cs="宋体"/>
          <w:b/>
          <w:color w:val="auto"/>
          <w:szCs w:val="21"/>
          <w:highlight w:val="none"/>
        </w:rPr>
      </w:pPr>
    </w:p>
    <w:p w14:paraId="37FF4A01">
      <w:pPr>
        <w:pStyle w:val="11"/>
        <w:rPr>
          <w:rFonts w:hint="eastAsia" w:ascii="宋体" w:hAnsi="宋体" w:eastAsia="宋体" w:cs="宋体"/>
          <w:b/>
          <w:color w:val="auto"/>
          <w:szCs w:val="21"/>
          <w:highlight w:val="none"/>
        </w:rPr>
      </w:pPr>
    </w:p>
    <w:p w14:paraId="364B781C">
      <w:pPr>
        <w:pStyle w:val="11"/>
        <w:rPr>
          <w:rFonts w:hint="eastAsia" w:ascii="宋体" w:hAnsi="宋体" w:eastAsia="宋体" w:cs="宋体"/>
          <w:b/>
          <w:color w:val="auto"/>
          <w:szCs w:val="21"/>
          <w:highlight w:val="none"/>
        </w:rPr>
      </w:pPr>
    </w:p>
    <w:p w14:paraId="0DDD2C5A">
      <w:pPr>
        <w:pStyle w:val="11"/>
        <w:rPr>
          <w:rFonts w:hint="eastAsia" w:ascii="宋体" w:hAnsi="宋体" w:eastAsia="宋体" w:cs="宋体"/>
          <w:b/>
          <w:color w:val="auto"/>
          <w:szCs w:val="21"/>
          <w:highlight w:val="none"/>
        </w:rPr>
      </w:pPr>
    </w:p>
    <w:p w14:paraId="7EB16F31">
      <w:pPr>
        <w:rPr>
          <w:rFonts w:hint="eastAsia" w:ascii="宋体" w:hAnsi="宋体" w:eastAsia="宋体" w:cs="宋体"/>
          <w:b/>
          <w:color w:val="auto"/>
          <w:szCs w:val="21"/>
          <w:highlight w:val="none"/>
        </w:rPr>
      </w:pPr>
    </w:p>
    <w:p w14:paraId="092D991B">
      <w:pPr>
        <w:pStyle w:val="5"/>
        <w:rPr>
          <w:rFonts w:hint="eastAsia"/>
          <w:color w:val="auto"/>
          <w:highlight w:val="none"/>
        </w:rPr>
      </w:pPr>
    </w:p>
    <w:p w14:paraId="5567D0DD">
      <w:pPr>
        <w:pStyle w:val="11"/>
        <w:rPr>
          <w:rFonts w:hint="eastAsia" w:ascii="宋体" w:hAnsi="宋体" w:eastAsia="宋体" w:cs="宋体"/>
          <w:b/>
          <w:color w:val="auto"/>
          <w:szCs w:val="21"/>
          <w:highlight w:val="none"/>
        </w:rPr>
      </w:pPr>
    </w:p>
    <w:p w14:paraId="5778D015">
      <w:pPr>
        <w:spacing w:line="440" w:lineRule="atLeas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en-US" w:eastAsia="zh-CN"/>
        </w:rPr>
        <w:t>3</w:t>
      </w:r>
      <w:r>
        <w:rPr>
          <w:rFonts w:hint="eastAsia" w:ascii="宋体" w:hAnsi="宋体" w:eastAsia="宋体" w:cs="宋体"/>
          <w:b/>
          <w:color w:val="auto"/>
          <w:sz w:val="28"/>
          <w:szCs w:val="28"/>
          <w:highlight w:val="none"/>
        </w:rPr>
        <w:t>.供应商参加政府采购活动前3年内在经营活动中没有重大违法记录及有关信用信息的书面声明（必须提供）；</w:t>
      </w:r>
    </w:p>
    <w:p w14:paraId="59A4B2D8">
      <w:pPr>
        <w:pStyle w:val="14"/>
        <w:spacing w:line="400" w:lineRule="exact"/>
        <w:ind w:left="420" w:leftChars="200" w:firstLine="157" w:firstLineChars="4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 xml:space="preserve">                       </w:t>
      </w:r>
    </w:p>
    <w:p w14:paraId="62FC42B7">
      <w:pPr>
        <w:pStyle w:val="14"/>
        <w:spacing w:line="400" w:lineRule="exact"/>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附件：</w:t>
      </w:r>
    </w:p>
    <w:p w14:paraId="0DE53E1C">
      <w:pPr>
        <w:pStyle w:val="14"/>
        <w:spacing w:line="400" w:lineRule="exact"/>
        <w:jc w:val="center"/>
        <w:rPr>
          <w:rFonts w:hint="eastAsia" w:ascii="宋体" w:hAnsi="宋体" w:eastAsia="宋体" w:cs="宋体"/>
          <w:b/>
          <w:color w:val="auto"/>
          <w:sz w:val="32"/>
          <w:szCs w:val="32"/>
          <w:highlight w:val="none"/>
        </w:rPr>
      </w:pPr>
      <w:bookmarkStart w:id="2380" w:name="_Toc30304_WPSOffice_Level1"/>
      <w:bookmarkStart w:id="2381" w:name="_Toc30890_WPSOffice_Level1"/>
      <w:r>
        <w:rPr>
          <w:rFonts w:hint="eastAsia" w:ascii="宋体" w:hAnsi="宋体" w:eastAsia="宋体" w:cs="宋体"/>
          <w:b/>
          <w:color w:val="auto"/>
          <w:sz w:val="32"/>
          <w:szCs w:val="32"/>
          <w:highlight w:val="none"/>
        </w:rPr>
        <w:t>声   明</w:t>
      </w:r>
      <w:bookmarkEnd w:id="2380"/>
      <w:bookmarkEnd w:id="2381"/>
    </w:p>
    <w:p w14:paraId="67598BA7">
      <w:pPr>
        <w:pStyle w:val="14"/>
        <w:spacing w:line="400" w:lineRule="exact"/>
        <w:jc w:val="both"/>
        <w:rPr>
          <w:rFonts w:hint="eastAsia" w:ascii="宋体" w:hAnsi="宋体" w:eastAsia="宋体" w:cs="宋体"/>
          <w:b/>
          <w:color w:val="auto"/>
          <w:sz w:val="32"/>
          <w:szCs w:val="32"/>
          <w:highlight w:val="none"/>
        </w:rPr>
      </w:pPr>
    </w:p>
    <w:p w14:paraId="5A0FFF26">
      <w:pPr>
        <w:pStyle w:val="14"/>
        <w:spacing w:line="400" w:lineRule="exact"/>
        <w:jc w:val="both"/>
        <w:rPr>
          <w:rFonts w:hint="eastAsia" w:ascii="宋体" w:hAnsi="宋体" w:eastAsia="宋体" w:cs="宋体"/>
          <w:color w:val="auto"/>
          <w:szCs w:val="21"/>
          <w:highlight w:val="none"/>
          <w:u w:val="single"/>
        </w:rPr>
      </w:pPr>
      <w:r>
        <w:rPr>
          <w:rFonts w:hint="eastAsia" w:ascii="宋体" w:hAnsi="宋体" w:eastAsia="宋体" w:cs="宋体"/>
          <w:b/>
          <w:color w:val="auto"/>
          <w:szCs w:val="21"/>
          <w:highlight w:val="none"/>
        </w:rPr>
        <w:t>致</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r>
        <w:rPr>
          <w:rFonts w:hint="eastAsia" w:hAnsi="宋体" w:cs="宋体"/>
          <w:color w:val="auto"/>
          <w:szCs w:val="21"/>
          <w:highlight w:val="none"/>
          <w:u w:val="single"/>
          <w:lang w:eastAsia="zh-CN"/>
        </w:rPr>
        <w:t xml:space="preserve">广西景钲工程咨询有限公司 </w:t>
      </w:r>
    </w:p>
    <w:p w14:paraId="08AE8774">
      <w:pPr>
        <w:rPr>
          <w:rFonts w:hint="eastAsia" w:ascii="宋体" w:hAnsi="宋体" w:eastAsia="宋体" w:cs="宋体"/>
          <w:color w:val="auto"/>
          <w:szCs w:val="21"/>
          <w:highlight w:val="none"/>
          <w:u w:val="single"/>
        </w:rPr>
      </w:pPr>
    </w:p>
    <w:p w14:paraId="14517971">
      <w:pPr>
        <w:pStyle w:val="11"/>
        <w:rPr>
          <w:rFonts w:hint="eastAsia" w:ascii="宋体" w:hAnsi="宋体" w:eastAsia="宋体" w:cs="宋体"/>
          <w:color w:val="auto"/>
          <w:highlight w:val="none"/>
        </w:rPr>
      </w:pPr>
    </w:p>
    <w:p w14:paraId="1AD96EA0">
      <w:pPr>
        <w:pStyle w:val="14"/>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我（公司）郑重声明，在参加本项目政府采购活动前3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5C9D24A3">
      <w:pPr>
        <w:rPr>
          <w:rFonts w:hint="eastAsia" w:ascii="宋体" w:hAnsi="宋体" w:eastAsia="宋体" w:cs="宋体"/>
          <w:color w:val="auto"/>
          <w:highlight w:val="none"/>
        </w:rPr>
      </w:pPr>
    </w:p>
    <w:p w14:paraId="1432FC8C">
      <w:pPr>
        <w:snapToGrid w:val="0"/>
        <w:spacing w:line="400" w:lineRule="exact"/>
        <w:ind w:firstLine="1890" w:firstLineChars="900"/>
        <w:rPr>
          <w:rFonts w:hint="eastAsia" w:ascii="宋体" w:hAnsi="宋体" w:eastAsia="宋体" w:cs="宋体"/>
          <w:color w:val="auto"/>
          <w:highlight w:val="none"/>
        </w:rPr>
      </w:pPr>
      <w:r>
        <w:rPr>
          <w:rFonts w:hint="eastAsia" w:ascii="宋体" w:hAnsi="宋体" w:eastAsia="宋体" w:cs="宋体"/>
          <w:color w:val="auto"/>
          <w:szCs w:val="21"/>
          <w:highlight w:val="none"/>
          <w:lang w:eastAsia="zh-CN"/>
        </w:rPr>
        <w:t>磋商供应商</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公章</w:t>
      </w:r>
      <w:r>
        <w:rPr>
          <w:rFonts w:hint="eastAsia" w:ascii="宋体" w:hAnsi="宋体" w:eastAsia="宋体" w:cs="宋体"/>
          <w:color w:val="auto"/>
          <w:szCs w:val="21"/>
          <w:highlight w:val="none"/>
          <w:lang w:val="en-US" w:eastAsia="zh-CN"/>
        </w:rPr>
        <w:t>(CA签章)</w:t>
      </w:r>
      <w:r>
        <w:rPr>
          <w:rFonts w:hint="eastAsia" w:ascii="宋体" w:hAnsi="宋体" w:eastAsia="宋体" w:cs="宋体"/>
          <w:color w:val="auto"/>
          <w:szCs w:val="21"/>
          <w:highlight w:val="none"/>
        </w:rPr>
        <w:t>，自然人</w:t>
      </w:r>
      <w:r>
        <w:rPr>
          <w:rFonts w:hint="eastAsia" w:ascii="宋体" w:hAnsi="宋体" w:eastAsia="宋体" w:cs="宋体"/>
          <w:color w:val="auto"/>
          <w:szCs w:val="21"/>
          <w:highlight w:val="none"/>
          <w:lang w:eastAsia="zh-CN"/>
        </w:rPr>
        <w:t>签字或个人</w:t>
      </w:r>
      <w:r>
        <w:rPr>
          <w:rFonts w:hint="eastAsia" w:ascii="宋体" w:hAnsi="宋体" w:eastAsia="宋体" w:cs="宋体"/>
          <w:color w:val="auto"/>
          <w:szCs w:val="21"/>
          <w:highlight w:val="none"/>
          <w:lang w:val="en-US" w:eastAsia="zh-CN"/>
        </w:rPr>
        <w:t>CA签章]</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p>
    <w:p w14:paraId="082FCD67">
      <w:pPr>
        <w:pStyle w:val="14"/>
        <w:ind w:firstLine="3990" w:firstLineChars="1900"/>
        <w:rPr>
          <w:rFonts w:hint="eastAsia" w:ascii="宋体" w:hAnsi="宋体" w:eastAsia="宋体" w:cs="宋体"/>
          <w:color w:val="auto"/>
          <w:highlight w:val="none"/>
        </w:rPr>
      </w:pPr>
    </w:p>
    <w:p w14:paraId="713A8853">
      <w:pPr>
        <w:pStyle w:val="14"/>
        <w:ind w:firstLine="3990" w:firstLineChars="1900"/>
        <w:rPr>
          <w:rFonts w:hint="eastAsia" w:ascii="宋体" w:hAnsi="宋体" w:eastAsia="宋体" w:cs="宋体"/>
          <w:color w:val="auto"/>
          <w:highlight w:val="none"/>
          <w:u w:val="single"/>
        </w:rPr>
      </w:pPr>
      <w:r>
        <w:rPr>
          <w:rFonts w:hint="eastAsia" w:ascii="宋体" w:hAnsi="宋体" w:eastAsia="宋体" w:cs="宋体"/>
          <w:color w:val="auto"/>
          <w:highlight w:val="none"/>
        </w:rPr>
        <w:t>日          期：</w:t>
      </w:r>
      <w:r>
        <w:rPr>
          <w:rFonts w:hint="eastAsia" w:ascii="宋体" w:hAnsi="宋体" w:eastAsia="宋体" w:cs="宋体"/>
          <w:color w:val="auto"/>
          <w:highlight w:val="none"/>
          <w:u w:val="single"/>
        </w:rPr>
        <w:t xml:space="preserve">                            </w:t>
      </w:r>
    </w:p>
    <w:p w14:paraId="70E457CD">
      <w:pPr>
        <w:pStyle w:val="14"/>
        <w:spacing w:line="340" w:lineRule="exact"/>
        <w:rPr>
          <w:rFonts w:hint="eastAsia" w:ascii="宋体" w:hAnsi="宋体" w:eastAsia="宋体" w:cs="宋体"/>
          <w:b/>
          <w:color w:val="auto"/>
          <w:sz w:val="28"/>
          <w:szCs w:val="28"/>
          <w:highlight w:val="none"/>
        </w:rPr>
      </w:pPr>
    </w:p>
    <w:p w14:paraId="45AF9CBE">
      <w:pPr>
        <w:pStyle w:val="14"/>
        <w:spacing w:line="340" w:lineRule="exact"/>
        <w:rPr>
          <w:rFonts w:hint="eastAsia" w:ascii="宋体" w:hAnsi="宋体" w:eastAsia="宋体" w:cs="宋体"/>
          <w:b/>
          <w:color w:val="auto"/>
          <w:sz w:val="28"/>
          <w:szCs w:val="28"/>
          <w:highlight w:val="none"/>
          <w:lang w:val="en-US" w:eastAsia="zh-CN"/>
        </w:rPr>
      </w:pPr>
    </w:p>
    <w:p w14:paraId="692184B7">
      <w:pPr>
        <w:pStyle w:val="14"/>
        <w:spacing w:line="340" w:lineRule="exact"/>
        <w:rPr>
          <w:rFonts w:hint="eastAsia" w:ascii="宋体" w:hAnsi="宋体" w:eastAsia="宋体" w:cs="宋体"/>
          <w:b/>
          <w:color w:val="auto"/>
          <w:sz w:val="28"/>
          <w:szCs w:val="28"/>
          <w:highlight w:val="none"/>
          <w:lang w:val="en-US" w:eastAsia="zh-CN"/>
        </w:rPr>
      </w:pPr>
    </w:p>
    <w:p w14:paraId="3BBB0645">
      <w:pPr>
        <w:pStyle w:val="14"/>
        <w:spacing w:line="340" w:lineRule="exac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en-US" w:eastAsia="zh-CN"/>
        </w:rPr>
        <w:t>4</w:t>
      </w:r>
      <w:r>
        <w:rPr>
          <w:rFonts w:hint="eastAsia" w:ascii="宋体" w:hAnsi="宋体" w:eastAsia="宋体" w:cs="宋体"/>
          <w:b/>
          <w:color w:val="auto"/>
          <w:sz w:val="28"/>
          <w:szCs w:val="28"/>
          <w:highlight w:val="none"/>
        </w:rPr>
        <w:t>.供应商的法人或者其他组织营业执照等证明文件复印件（必须提供，自然人除外）；</w:t>
      </w:r>
    </w:p>
    <w:p w14:paraId="3A7BDEBE">
      <w:pPr>
        <w:tabs>
          <w:tab w:val="left" w:pos="1305"/>
        </w:tabs>
        <w:spacing w:line="340" w:lineRule="exact"/>
        <w:rPr>
          <w:rFonts w:hint="eastAsia" w:ascii="宋体" w:hAnsi="宋体" w:eastAsia="宋体" w:cs="宋体"/>
          <w:b/>
          <w:color w:val="auto"/>
          <w:szCs w:val="21"/>
          <w:highlight w:val="none"/>
        </w:rPr>
      </w:pPr>
    </w:p>
    <w:p w14:paraId="5BBF4C8E">
      <w:pPr>
        <w:tabs>
          <w:tab w:val="left" w:pos="1305"/>
        </w:tabs>
        <w:spacing w:line="40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或“营业执照</w:t>
      </w:r>
      <w:r>
        <w:rPr>
          <w:rFonts w:hint="eastAsia" w:ascii="宋体" w:hAnsi="宋体" w:eastAsia="宋体" w:cs="宋体"/>
          <w:b/>
          <w:color w:val="auto"/>
          <w:szCs w:val="21"/>
          <w:highlight w:val="none"/>
          <w:lang w:eastAsia="zh-CN"/>
        </w:rPr>
        <w:t>”</w:t>
      </w:r>
      <w:r>
        <w:rPr>
          <w:rFonts w:hint="eastAsia" w:ascii="宋体" w:hAnsi="宋体" w:eastAsia="宋体" w:cs="宋体"/>
          <w:b/>
          <w:color w:val="auto"/>
          <w:szCs w:val="21"/>
          <w:highlight w:val="none"/>
        </w:rPr>
        <w:t>；供应商为事业单位，应提供有效的“事业单位法人证书”；供应商为非企业专业服务机构的，应提供执业许可证等证明文件；供应商为个体工商户，应提供有效的“个体工商户营业执照”。</w:t>
      </w:r>
    </w:p>
    <w:p w14:paraId="3B1E4311">
      <w:pPr>
        <w:rPr>
          <w:rFonts w:hint="eastAsia" w:ascii="宋体" w:hAnsi="宋体" w:eastAsia="宋体" w:cs="宋体"/>
          <w:b/>
          <w:bCs/>
          <w:color w:val="auto"/>
          <w:sz w:val="28"/>
          <w:szCs w:val="28"/>
          <w:highlight w:val="none"/>
        </w:rPr>
      </w:pPr>
    </w:p>
    <w:p w14:paraId="62A0CCE4">
      <w:pPr>
        <w:pStyle w:val="14"/>
        <w:numPr>
          <w:ilvl w:val="0"/>
          <w:numId w:val="0"/>
        </w:numPr>
        <w:spacing w:line="340" w:lineRule="exact"/>
        <w:rPr>
          <w:rFonts w:hint="eastAsia" w:ascii="宋体" w:hAnsi="宋体" w:eastAsia="宋体" w:cs="宋体"/>
          <w:b/>
          <w:color w:val="auto"/>
          <w:sz w:val="28"/>
          <w:szCs w:val="28"/>
          <w:highlight w:val="none"/>
          <w:lang w:val="en-US" w:eastAsia="zh-CN"/>
        </w:rPr>
      </w:pPr>
    </w:p>
    <w:p w14:paraId="0F774EBB">
      <w:pPr>
        <w:pStyle w:val="14"/>
        <w:numPr>
          <w:ilvl w:val="0"/>
          <w:numId w:val="0"/>
        </w:numPr>
        <w:spacing w:line="340" w:lineRule="exact"/>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t>5.供应商有效的资质证书复印件（必须提供）；</w:t>
      </w:r>
    </w:p>
    <w:p w14:paraId="3CB24827">
      <w:pPr>
        <w:pStyle w:val="9"/>
        <w:numPr>
          <w:ilvl w:val="0"/>
          <w:numId w:val="0"/>
        </w:numPr>
        <w:ind w:leftChars="200"/>
        <w:rPr>
          <w:rFonts w:hint="eastAsia"/>
          <w:color w:val="auto"/>
          <w:highlight w:val="none"/>
          <w:lang w:val="en-US" w:eastAsia="zh-CN"/>
        </w:rPr>
      </w:pPr>
    </w:p>
    <w:p w14:paraId="12640ABF">
      <w:pPr>
        <w:pStyle w:val="14"/>
        <w:spacing w:line="340" w:lineRule="exact"/>
        <w:rPr>
          <w:rFonts w:hint="eastAsia" w:ascii="宋体" w:hAnsi="宋体" w:eastAsia="宋体" w:cs="宋体"/>
          <w:b/>
          <w:color w:val="auto"/>
          <w:sz w:val="28"/>
          <w:szCs w:val="28"/>
          <w:highlight w:val="none"/>
          <w:lang w:val="en-US" w:eastAsia="zh-CN"/>
        </w:rPr>
      </w:pPr>
    </w:p>
    <w:p w14:paraId="2E3F52E2">
      <w:pPr>
        <w:pStyle w:val="14"/>
        <w:spacing w:line="340" w:lineRule="exact"/>
        <w:rPr>
          <w:rFonts w:hint="eastAsia" w:ascii="宋体" w:hAnsi="宋体" w:eastAsia="宋体" w:cs="宋体"/>
          <w:b/>
          <w:color w:val="auto"/>
          <w:sz w:val="28"/>
          <w:szCs w:val="28"/>
          <w:highlight w:val="none"/>
          <w:lang w:val="en-US" w:eastAsia="zh-CN"/>
        </w:rPr>
      </w:pPr>
    </w:p>
    <w:p w14:paraId="16146162">
      <w:pPr>
        <w:pStyle w:val="14"/>
        <w:spacing w:line="340" w:lineRule="exact"/>
        <w:rPr>
          <w:rFonts w:hint="eastAsia" w:ascii="宋体" w:hAnsi="宋体" w:eastAsia="宋体" w:cs="宋体"/>
          <w:b/>
          <w:color w:val="auto"/>
          <w:sz w:val="28"/>
          <w:szCs w:val="28"/>
          <w:highlight w:val="none"/>
          <w:lang w:val="en-US" w:eastAsia="zh-CN"/>
        </w:rPr>
      </w:pPr>
    </w:p>
    <w:p w14:paraId="3C26DADC">
      <w:pPr>
        <w:pStyle w:val="14"/>
        <w:spacing w:line="340" w:lineRule="exact"/>
        <w:rPr>
          <w:rFonts w:hint="eastAsia" w:ascii="宋体" w:hAnsi="宋体" w:eastAsia="宋体" w:cs="宋体"/>
          <w:b/>
          <w:color w:val="auto"/>
          <w:sz w:val="28"/>
          <w:szCs w:val="28"/>
          <w:highlight w:val="none"/>
          <w:lang w:val="en-US" w:eastAsia="zh-CN"/>
        </w:rPr>
      </w:pPr>
    </w:p>
    <w:p w14:paraId="49766706">
      <w:pPr>
        <w:pStyle w:val="14"/>
        <w:spacing w:line="340" w:lineRule="exact"/>
        <w:rPr>
          <w:rFonts w:hint="eastAsia" w:ascii="宋体" w:hAnsi="宋体" w:eastAsia="宋体" w:cs="宋体"/>
          <w:b/>
          <w:color w:val="auto"/>
          <w:sz w:val="28"/>
          <w:szCs w:val="28"/>
          <w:highlight w:val="none"/>
          <w:lang w:val="en-US" w:eastAsia="zh-CN"/>
        </w:rPr>
      </w:pPr>
    </w:p>
    <w:p w14:paraId="3878B9D1">
      <w:pPr>
        <w:spacing w:line="240" w:lineRule="auto"/>
        <w:rPr>
          <w:rFonts w:hint="eastAsia" w:ascii="宋体" w:hAnsi="宋体" w:eastAsia="宋体" w:cs="宋体"/>
          <w:b/>
          <w:bCs/>
          <w:iCs/>
          <w:color w:val="auto"/>
          <w:kern w:val="2"/>
          <w:sz w:val="28"/>
          <w:szCs w:val="28"/>
          <w:highlight w:val="none"/>
          <w:lang w:val="en-US" w:eastAsia="zh-CN" w:bidi="ar-SA"/>
        </w:rPr>
      </w:pPr>
      <w:r>
        <w:rPr>
          <w:rFonts w:hint="eastAsia" w:ascii="宋体" w:hAnsi="宋体" w:eastAsia="宋体" w:cs="宋体"/>
          <w:b/>
          <w:bCs/>
          <w:iCs/>
          <w:color w:val="auto"/>
          <w:kern w:val="2"/>
          <w:sz w:val="28"/>
          <w:szCs w:val="28"/>
          <w:highlight w:val="none"/>
          <w:lang w:val="en-US" w:eastAsia="zh-CN" w:bidi="ar-SA"/>
        </w:rPr>
        <w:t>6.《中小企业声明函》或《残疾人福利性单位声明函》或省级以上监狱管理局、戒毒管理局（含新疆生产建设兵团）出具的属于监狱企业的证明文件复印件（必须提供其中一项）；</w:t>
      </w:r>
    </w:p>
    <w:p w14:paraId="66676F97">
      <w:pPr>
        <w:jc w:val="center"/>
        <w:outlineLvl w:val="9"/>
        <w:rPr>
          <w:rStyle w:val="49"/>
          <w:rFonts w:ascii="宋体" w:hAnsi="宋体" w:cs="宋体"/>
          <w:b/>
          <w:bCs/>
          <w:color w:val="auto"/>
          <w:kern w:val="0"/>
          <w:sz w:val="21"/>
          <w:szCs w:val="21"/>
          <w:highlight w:val="none"/>
        </w:rPr>
      </w:pPr>
    </w:p>
    <w:p w14:paraId="39C2B098">
      <w:pPr>
        <w:jc w:val="center"/>
        <w:outlineLvl w:val="9"/>
        <w:rPr>
          <w:rStyle w:val="49"/>
          <w:rFonts w:ascii="宋体" w:hAnsi="宋体" w:cs="宋体"/>
          <w:b/>
          <w:bCs/>
          <w:color w:val="auto"/>
          <w:kern w:val="0"/>
          <w:sz w:val="24"/>
          <w:szCs w:val="24"/>
          <w:highlight w:val="none"/>
        </w:rPr>
      </w:pPr>
      <w:r>
        <w:rPr>
          <w:rStyle w:val="49"/>
          <w:rFonts w:hint="eastAsia" w:ascii="宋体" w:hAnsi="宋体" w:cs="宋体"/>
          <w:b/>
          <w:bCs/>
          <w:color w:val="auto"/>
          <w:kern w:val="0"/>
          <w:sz w:val="24"/>
          <w:szCs w:val="24"/>
          <w:highlight w:val="none"/>
          <w:lang w:eastAsia="zh-CN"/>
        </w:rPr>
        <w:t>（</w:t>
      </w:r>
      <w:r>
        <w:rPr>
          <w:rStyle w:val="49"/>
          <w:rFonts w:hint="eastAsia" w:ascii="宋体" w:hAnsi="宋体" w:cs="宋体"/>
          <w:b/>
          <w:bCs/>
          <w:color w:val="auto"/>
          <w:kern w:val="0"/>
          <w:sz w:val="24"/>
          <w:szCs w:val="24"/>
          <w:highlight w:val="none"/>
          <w:lang w:val="en-US" w:eastAsia="zh-CN"/>
        </w:rPr>
        <w:t>1</w:t>
      </w:r>
      <w:r>
        <w:rPr>
          <w:rStyle w:val="49"/>
          <w:rFonts w:hint="eastAsia" w:ascii="宋体" w:hAnsi="宋体" w:cs="宋体"/>
          <w:b/>
          <w:bCs/>
          <w:color w:val="auto"/>
          <w:kern w:val="0"/>
          <w:sz w:val="24"/>
          <w:szCs w:val="24"/>
          <w:highlight w:val="none"/>
          <w:lang w:eastAsia="zh-CN"/>
        </w:rPr>
        <w:t>）</w:t>
      </w:r>
      <w:r>
        <w:rPr>
          <w:rStyle w:val="49"/>
          <w:rFonts w:ascii="宋体" w:hAnsi="宋体" w:cs="宋体"/>
          <w:b/>
          <w:bCs/>
          <w:color w:val="auto"/>
          <w:kern w:val="0"/>
          <w:sz w:val="24"/>
          <w:szCs w:val="24"/>
          <w:highlight w:val="none"/>
        </w:rPr>
        <w:t>中小企业声明函（</w:t>
      </w:r>
      <w:r>
        <w:rPr>
          <w:rStyle w:val="49"/>
          <w:rFonts w:hint="eastAsia" w:ascii="宋体" w:hAnsi="宋体" w:cs="宋体"/>
          <w:b/>
          <w:bCs/>
          <w:color w:val="auto"/>
          <w:kern w:val="0"/>
          <w:sz w:val="24"/>
          <w:szCs w:val="24"/>
          <w:highlight w:val="none"/>
        </w:rPr>
        <w:t>工程</w:t>
      </w:r>
      <w:r>
        <w:rPr>
          <w:rStyle w:val="49"/>
          <w:rFonts w:ascii="宋体" w:hAnsi="宋体" w:cs="宋体"/>
          <w:b/>
          <w:bCs/>
          <w:color w:val="auto"/>
          <w:kern w:val="0"/>
          <w:sz w:val="24"/>
          <w:szCs w:val="24"/>
          <w:highlight w:val="none"/>
        </w:rPr>
        <w:t>）</w:t>
      </w:r>
    </w:p>
    <w:p w14:paraId="60531EDA">
      <w:pPr>
        <w:pStyle w:val="2"/>
        <w:ind w:left="63" w:right="63"/>
        <w:rPr>
          <w:color w:val="auto"/>
          <w:sz w:val="21"/>
          <w:szCs w:val="21"/>
          <w:highlight w:val="none"/>
        </w:rPr>
      </w:pPr>
    </w:p>
    <w:p w14:paraId="41EF8555">
      <w:pPr>
        <w:keepNext w:val="0"/>
        <w:keepLines w:val="0"/>
        <w:pageBreakBefore w:val="0"/>
        <w:widowControl w:val="0"/>
        <w:kinsoku/>
        <w:wordWrap/>
        <w:overflowPunct/>
        <w:topLinePunct w:val="0"/>
        <w:autoSpaceDE/>
        <w:autoSpaceDN/>
        <w:bidi w:val="0"/>
        <w:adjustRightInd/>
        <w:snapToGrid/>
        <w:spacing w:line="360" w:lineRule="exact"/>
        <w:ind w:firstLine="482"/>
        <w:jc w:val="left"/>
        <w:textAlignment w:val="auto"/>
        <w:rPr>
          <w:rStyle w:val="49"/>
          <w:rFonts w:ascii="宋体" w:hAnsi="宋体"/>
          <w:color w:val="auto"/>
          <w:kern w:val="0"/>
          <w:sz w:val="21"/>
          <w:szCs w:val="21"/>
          <w:highlight w:val="none"/>
        </w:rPr>
      </w:pPr>
      <w:r>
        <w:rPr>
          <w:rStyle w:val="49"/>
          <w:rFonts w:ascii="宋体" w:hAnsi="宋体"/>
          <w:color w:val="auto"/>
          <w:kern w:val="0"/>
          <w:sz w:val="21"/>
          <w:szCs w:val="21"/>
          <w:highlight w:val="none"/>
        </w:rPr>
        <w:t>本公司郑重声明，根据《政府采购促进中小企业发展管理办法》（财库﹝2020﹞46 号）的规定，本公司参加</w:t>
      </w:r>
      <w:r>
        <w:rPr>
          <w:rStyle w:val="49"/>
          <w:rFonts w:ascii="宋体" w:hAnsi="宋体"/>
          <w:color w:val="auto"/>
          <w:kern w:val="0"/>
          <w:sz w:val="21"/>
          <w:szCs w:val="21"/>
          <w:highlight w:val="none"/>
          <w:u w:val="single" w:color="000000"/>
        </w:rPr>
        <w:t>（单位名称）</w:t>
      </w:r>
      <w:r>
        <w:rPr>
          <w:rStyle w:val="49"/>
          <w:rFonts w:ascii="宋体" w:hAnsi="宋体"/>
          <w:color w:val="auto"/>
          <w:kern w:val="0"/>
          <w:sz w:val="21"/>
          <w:szCs w:val="21"/>
          <w:highlight w:val="none"/>
        </w:rPr>
        <w:t>的</w:t>
      </w:r>
      <w:r>
        <w:rPr>
          <w:rStyle w:val="49"/>
          <w:rFonts w:ascii="宋体" w:hAnsi="宋体"/>
          <w:color w:val="auto"/>
          <w:kern w:val="0"/>
          <w:sz w:val="21"/>
          <w:szCs w:val="21"/>
          <w:highlight w:val="none"/>
          <w:u w:val="single" w:color="000000"/>
        </w:rPr>
        <w:t>（项目名称）</w:t>
      </w:r>
      <w:r>
        <w:rPr>
          <w:rStyle w:val="49"/>
          <w:rFonts w:ascii="宋体" w:hAnsi="宋体"/>
          <w:color w:val="auto"/>
          <w:kern w:val="0"/>
          <w:sz w:val="21"/>
          <w:szCs w:val="21"/>
          <w:highlight w:val="none"/>
        </w:rPr>
        <w:t>采购活动，</w:t>
      </w:r>
      <w:r>
        <w:rPr>
          <w:rStyle w:val="49"/>
          <w:rFonts w:hint="eastAsia" w:ascii="宋体" w:hAnsi="宋体" w:eastAsia="宋体"/>
          <w:color w:val="auto"/>
          <w:kern w:val="0"/>
          <w:sz w:val="21"/>
          <w:szCs w:val="21"/>
          <w:highlight w:val="none"/>
          <w:lang w:val="en-US" w:eastAsia="zh-CN"/>
        </w:rPr>
        <w:t>工程的施工单位</w:t>
      </w:r>
      <w:r>
        <w:rPr>
          <w:rStyle w:val="49"/>
          <w:rFonts w:ascii="宋体" w:hAnsi="宋体"/>
          <w:color w:val="auto"/>
          <w:kern w:val="0"/>
          <w:sz w:val="21"/>
          <w:szCs w:val="21"/>
          <w:highlight w:val="none"/>
        </w:rPr>
        <w:t>全部</w:t>
      </w:r>
      <w:r>
        <w:rPr>
          <w:rStyle w:val="49"/>
          <w:rFonts w:hint="eastAsia" w:ascii="宋体" w:hAnsi="宋体" w:eastAsia="宋体"/>
          <w:color w:val="auto"/>
          <w:kern w:val="0"/>
          <w:sz w:val="21"/>
          <w:szCs w:val="21"/>
          <w:highlight w:val="none"/>
          <w:lang w:val="en-US" w:eastAsia="zh-CN"/>
        </w:rPr>
        <w:t>为</w:t>
      </w:r>
      <w:r>
        <w:rPr>
          <w:rStyle w:val="49"/>
          <w:rFonts w:ascii="宋体" w:hAnsi="宋体"/>
          <w:color w:val="auto"/>
          <w:kern w:val="0"/>
          <w:sz w:val="21"/>
          <w:szCs w:val="21"/>
          <w:highlight w:val="none"/>
        </w:rPr>
        <w:t>符合政策要求的中小企业。相关企业（含联合体中的中小企业、签订分包意向协议的中小企业）的具体情况如下：</w:t>
      </w:r>
    </w:p>
    <w:p w14:paraId="31C23630">
      <w:pPr>
        <w:keepNext w:val="0"/>
        <w:keepLines w:val="0"/>
        <w:pageBreakBefore w:val="0"/>
        <w:widowControl w:val="0"/>
        <w:kinsoku/>
        <w:wordWrap/>
        <w:overflowPunct/>
        <w:topLinePunct w:val="0"/>
        <w:autoSpaceDE/>
        <w:autoSpaceDN/>
        <w:bidi w:val="0"/>
        <w:adjustRightInd/>
        <w:snapToGrid/>
        <w:spacing w:line="360" w:lineRule="exact"/>
        <w:ind w:firstLine="482"/>
        <w:jc w:val="left"/>
        <w:textAlignment w:val="auto"/>
        <w:rPr>
          <w:rStyle w:val="49"/>
          <w:rFonts w:ascii="宋体" w:hAnsi="宋体"/>
          <w:color w:val="auto"/>
          <w:kern w:val="0"/>
          <w:sz w:val="21"/>
          <w:szCs w:val="21"/>
          <w:highlight w:val="none"/>
        </w:rPr>
      </w:pPr>
      <w:r>
        <w:rPr>
          <w:rStyle w:val="49"/>
          <w:rFonts w:ascii="宋体" w:hAnsi="宋体"/>
          <w:color w:val="auto"/>
          <w:kern w:val="0"/>
          <w:sz w:val="21"/>
          <w:szCs w:val="21"/>
          <w:highlight w:val="none"/>
        </w:rPr>
        <w:t xml:space="preserve">1. </w:t>
      </w:r>
      <w:r>
        <w:rPr>
          <w:rStyle w:val="49"/>
          <w:rFonts w:ascii="宋体" w:hAnsi="宋体"/>
          <w:color w:val="auto"/>
          <w:kern w:val="0"/>
          <w:sz w:val="21"/>
          <w:szCs w:val="21"/>
          <w:highlight w:val="none"/>
          <w:u w:val="single" w:color="000000"/>
        </w:rPr>
        <w:t xml:space="preserve">（标的名称） </w:t>
      </w:r>
      <w:r>
        <w:rPr>
          <w:rStyle w:val="49"/>
          <w:rFonts w:ascii="宋体" w:hAnsi="宋体"/>
          <w:color w:val="auto"/>
          <w:kern w:val="0"/>
          <w:sz w:val="21"/>
          <w:szCs w:val="21"/>
          <w:highlight w:val="none"/>
        </w:rPr>
        <w:t xml:space="preserve">，属于 </w:t>
      </w:r>
      <w:r>
        <w:rPr>
          <w:rStyle w:val="49"/>
          <w:rFonts w:ascii="宋体" w:hAnsi="宋体"/>
          <w:color w:val="auto"/>
          <w:kern w:val="0"/>
          <w:sz w:val="21"/>
          <w:szCs w:val="21"/>
          <w:highlight w:val="none"/>
          <w:u w:val="single" w:color="000000"/>
        </w:rPr>
        <w:t>（</w:t>
      </w:r>
      <w:r>
        <w:rPr>
          <w:rStyle w:val="49"/>
          <w:rFonts w:hint="eastAsia" w:ascii="宋体" w:hAnsi="宋体"/>
          <w:color w:val="auto"/>
          <w:kern w:val="0"/>
          <w:sz w:val="21"/>
          <w:szCs w:val="21"/>
          <w:highlight w:val="none"/>
          <w:u w:val="single" w:color="000000"/>
        </w:rPr>
        <w:t>招标</w:t>
      </w:r>
      <w:r>
        <w:rPr>
          <w:rStyle w:val="49"/>
          <w:rFonts w:ascii="宋体" w:hAnsi="宋体"/>
          <w:color w:val="auto"/>
          <w:kern w:val="0"/>
          <w:sz w:val="21"/>
          <w:szCs w:val="21"/>
          <w:highlight w:val="none"/>
          <w:u w:val="single" w:color="000000"/>
        </w:rPr>
        <w:t xml:space="preserve">文件中明确的所属行业） </w:t>
      </w:r>
      <w:r>
        <w:rPr>
          <w:rStyle w:val="49"/>
          <w:rFonts w:ascii="宋体" w:hAnsi="宋体"/>
          <w:color w:val="auto"/>
          <w:kern w:val="0"/>
          <w:sz w:val="21"/>
          <w:szCs w:val="21"/>
          <w:highlight w:val="none"/>
        </w:rPr>
        <w:t>； 承接企业为</w:t>
      </w:r>
      <w:r>
        <w:rPr>
          <w:rStyle w:val="49"/>
          <w:rFonts w:ascii="宋体" w:hAnsi="宋体"/>
          <w:color w:val="auto"/>
          <w:kern w:val="0"/>
          <w:sz w:val="21"/>
          <w:szCs w:val="21"/>
          <w:highlight w:val="none"/>
          <w:u w:val="single" w:color="000000"/>
        </w:rPr>
        <w:t>（企业名称）</w:t>
      </w:r>
      <w:r>
        <w:rPr>
          <w:rStyle w:val="49"/>
          <w:rFonts w:ascii="宋体" w:hAnsi="宋体"/>
          <w:color w:val="auto"/>
          <w:kern w:val="0"/>
          <w:sz w:val="21"/>
          <w:szCs w:val="21"/>
          <w:highlight w:val="none"/>
        </w:rPr>
        <w:t>，从业人员</w:t>
      </w:r>
      <w:r>
        <w:rPr>
          <w:rStyle w:val="49"/>
          <w:rFonts w:ascii="宋体" w:hAnsi="宋体"/>
          <w:color w:val="auto"/>
          <w:kern w:val="0"/>
          <w:sz w:val="21"/>
          <w:szCs w:val="21"/>
          <w:highlight w:val="none"/>
          <w:u w:val="single" w:color="000000"/>
        </w:rPr>
        <w:t xml:space="preserve">    </w:t>
      </w:r>
      <w:r>
        <w:rPr>
          <w:rStyle w:val="49"/>
          <w:rFonts w:ascii="宋体" w:hAnsi="宋体"/>
          <w:color w:val="auto"/>
          <w:kern w:val="0"/>
          <w:sz w:val="21"/>
          <w:szCs w:val="21"/>
          <w:highlight w:val="none"/>
        </w:rPr>
        <w:t>人，营业收入为</w:t>
      </w:r>
      <w:r>
        <w:rPr>
          <w:rStyle w:val="49"/>
          <w:rFonts w:ascii="宋体" w:hAnsi="宋体"/>
          <w:color w:val="auto"/>
          <w:kern w:val="0"/>
          <w:sz w:val="21"/>
          <w:szCs w:val="21"/>
          <w:highlight w:val="none"/>
          <w:u w:val="single" w:color="000000"/>
        </w:rPr>
        <w:t xml:space="preserve">    </w:t>
      </w:r>
      <w:r>
        <w:rPr>
          <w:rStyle w:val="49"/>
          <w:rFonts w:ascii="宋体" w:hAnsi="宋体"/>
          <w:color w:val="auto"/>
          <w:kern w:val="0"/>
          <w:sz w:val="21"/>
          <w:szCs w:val="21"/>
          <w:highlight w:val="none"/>
        </w:rPr>
        <w:t>万元，资产总额为</w:t>
      </w:r>
      <w:r>
        <w:rPr>
          <w:rStyle w:val="49"/>
          <w:rFonts w:ascii="宋体" w:hAnsi="宋体"/>
          <w:color w:val="auto"/>
          <w:kern w:val="0"/>
          <w:sz w:val="21"/>
          <w:szCs w:val="21"/>
          <w:highlight w:val="none"/>
          <w:u w:val="single" w:color="000000"/>
        </w:rPr>
        <w:t xml:space="preserve">    </w:t>
      </w:r>
      <w:r>
        <w:rPr>
          <w:rStyle w:val="49"/>
          <w:rFonts w:ascii="宋体" w:hAnsi="宋体"/>
          <w:color w:val="auto"/>
          <w:kern w:val="0"/>
          <w:sz w:val="21"/>
          <w:szCs w:val="21"/>
          <w:highlight w:val="none"/>
        </w:rPr>
        <w:t>万元，属于</w:t>
      </w:r>
      <w:r>
        <w:rPr>
          <w:rStyle w:val="49"/>
          <w:rFonts w:ascii="宋体" w:hAnsi="宋体"/>
          <w:color w:val="auto"/>
          <w:kern w:val="0"/>
          <w:sz w:val="21"/>
          <w:szCs w:val="21"/>
          <w:highlight w:val="none"/>
          <w:u w:val="single" w:color="000000"/>
        </w:rPr>
        <w:t>（中型企业、 小型企业、微型企业）</w:t>
      </w:r>
      <w:r>
        <w:rPr>
          <w:rStyle w:val="49"/>
          <w:rFonts w:ascii="宋体" w:hAnsi="宋体"/>
          <w:color w:val="auto"/>
          <w:kern w:val="0"/>
          <w:sz w:val="21"/>
          <w:szCs w:val="21"/>
          <w:highlight w:val="none"/>
        </w:rPr>
        <w:t xml:space="preserve">； </w:t>
      </w:r>
    </w:p>
    <w:p w14:paraId="30E02665">
      <w:pPr>
        <w:keepNext w:val="0"/>
        <w:keepLines w:val="0"/>
        <w:pageBreakBefore w:val="0"/>
        <w:widowControl w:val="0"/>
        <w:kinsoku/>
        <w:wordWrap/>
        <w:overflowPunct/>
        <w:topLinePunct w:val="0"/>
        <w:autoSpaceDE/>
        <w:autoSpaceDN/>
        <w:bidi w:val="0"/>
        <w:adjustRightInd/>
        <w:snapToGrid/>
        <w:spacing w:line="360" w:lineRule="exact"/>
        <w:ind w:firstLine="482"/>
        <w:jc w:val="left"/>
        <w:textAlignment w:val="auto"/>
        <w:rPr>
          <w:rStyle w:val="49"/>
          <w:rFonts w:ascii="宋体" w:hAnsi="宋体"/>
          <w:color w:val="auto"/>
          <w:kern w:val="0"/>
          <w:sz w:val="21"/>
          <w:szCs w:val="21"/>
          <w:highlight w:val="none"/>
        </w:rPr>
      </w:pPr>
      <w:r>
        <w:rPr>
          <w:rStyle w:val="49"/>
          <w:rFonts w:ascii="宋体" w:hAnsi="宋体"/>
          <w:color w:val="auto"/>
          <w:kern w:val="0"/>
          <w:sz w:val="21"/>
          <w:szCs w:val="21"/>
          <w:highlight w:val="none"/>
        </w:rPr>
        <w:t>以上企业，不属于大企业的分支机构，不存在控股股东 为大企业的情形，也不存在与大企业的负责人为同一人的情形。</w:t>
      </w:r>
    </w:p>
    <w:p w14:paraId="3A9810F4">
      <w:pPr>
        <w:keepNext w:val="0"/>
        <w:keepLines w:val="0"/>
        <w:pageBreakBefore w:val="0"/>
        <w:widowControl w:val="0"/>
        <w:kinsoku/>
        <w:wordWrap/>
        <w:overflowPunct/>
        <w:topLinePunct w:val="0"/>
        <w:autoSpaceDE/>
        <w:autoSpaceDN/>
        <w:bidi w:val="0"/>
        <w:adjustRightInd/>
        <w:snapToGrid/>
        <w:spacing w:line="360" w:lineRule="exact"/>
        <w:ind w:firstLine="482"/>
        <w:jc w:val="left"/>
        <w:textAlignment w:val="auto"/>
        <w:rPr>
          <w:rStyle w:val="49"/>
          <w:rFonts w:ascii="宋体" w:hAnsi="宋体"/>
          <w:color w:val="auto"/>
          <w:kern w:val="0"/>
          <w:sz w:val="21"/>
          <w:szCs w:val="21"/>
          <w:highlight w:val="none"/>
        </w:rPr>
      </w:pPr>
      <w:r>
        <w:rPr>
          <w:rStyle w:val="49"/>
          <w:rFonts w:ascii="宋体" w:hAnsi="宋体"/>
          <w:color w:val="auto"/>
          <w:kern w:val="0"/>
          <w:sz w:val="21"/>
          <w:szCs w:val="21"/>
          <w:highlight w:val="none"/>
        </w:rPr>
        <w:t xml:space="preserve">本企业对上述声明内容的真实性负责。如有虚假，将依法承担相应责任。 </w:t>
      </w:r>
    </w:p>
    <w:p w14:paraId="39D6C2F7">
      <w:pPr>
        <w:keepNext w:val="0"/>
        <w:keepLines w:val="0"/>
        <w:pageBreakBefore w:val="0"/>
        <w:widowControl w:val="0"/>
        <w:kinsoku/>
        <w:wordWrap/>
        <w:overflowPunct/>
        <w:topLinePunct w:val="0"/>
        <w:autoSpaceDE/>
        <w:autoSpaceDN/>
        <w:bidi w:val="0"/>
        <w:adjustRightInd/>
        <w:snapToGrid/>
        <w:spacing w:line="360" w:lineRule="exact"/>
        <w:ind w:firstLine="482"/>
        <w:jc w:val="left"/>
        <w:textAlignment w:val="auto"/>
        <w:rPr>
          <w:rStyle w:val="49"/>
          <w:rFonts w:ascii="宋体" w:hAnsi="宋体"/>
          <w:color w:val="auto"/>
          <w:kern w:val="0"/>
          <w:sz w:val="21"/>
          <w:szCs w:val="21"/>
          <w:highlight w:val="none"/>
        </w:rPr>
      </w:pPr>
    </w:p>
    <w:p w14:paraId="31C30182">
      <w:pPr>
        <w:widowControl/>
        <w:ind w:firstLine="2310" w:firstLineChars="11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磋商供应商</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公章</w:t>
      </w:r>
      <w:r>
        <w:rPr>
          <w:rFonts w:hint="eastAsia" w:ascii="宋体" w:hAnsi="宋体" w:eastAsia="宋体" w:cs="宋体"/>
          <w:color w:val="auto"/>
          <w:szCs w:val="21"/>
          <w:highlight w:val="none"/>
          <w:lang w:val="en-US" w:eastAsia="zh-CN"/>
        </w:rPr>
        <w:t>(CA签章)]</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p>
    <w:p w14:paraId="68557B83">
      <w:pPr>
        <w:pStyle w:val="14"/>
        <w:spacing w:line="300" w:lineRule="exact"/>
        <w:ind w:left="2940" w:leftChars="1400" w:firstLine="630" w:firstLineChars="300"/>
        <w:rPr>
          <w:rFonts w:hint="eastAsia" w:ascii="宋体" w:hAnsi="宋体" w:eastAsia="宋体" w:cs="宋体"/>
          <w:color w:val="auto"/>
          <w:highlight w:val="none"/>
        </w:rPr>
      </w:pPr>
    </w:p>
    <w:p w14:paraId="425F396F">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420" w:leftChars="0"/>
        <w:jc w:val="center"/>
        <w:textAlignment w:val="auto"/>
        <w:rPr>
          <w:rFonts w:hint="eastAsia"/>
          <w:color w:val="auto"/>
          <w:highlight w:val="none"/>
        </w:rPr>
      </w:pPr>
      <w:r>
        <w:rPr>
          <w:rFonts w:hint="eastAsia" w:ascii="宋体" w:hAnsi="宋体" w:eastAsia="宋体" w:cs="宋体"/>
          <w:color w:val="auto"/>
          <w:highlight w:val="none"/>
        </w:rPr>
        <w:t>日          期：</w:t>
      </w:r>
      <w:r>
        <w:rPr>
          <w:rFonts w:hint="eastAsia" w:ascii="宋体" w:hAnsi="宋体" w:eastAsia="宋体" w:cs="宋体"/>
          <w:color w:val="auto"/>
          <w:highlight w:val="none"/>
          <w:u w:val="single"/>
        </w:rPr>
        <w:t xml:space="preserve">                         </w:t>
      </w:r>
    </w:p>
    <w:p w14:paraId="682EFC2A">
      <w:pPr>
        <w:keepNext w:val="0"/>
        <w:keepLines w:val="0"/>
        <w:pageBreakBefore w:val="0"/>
        <w:widowControl w:val="0"/>
        <w:kinsoku/>
        <w:wordWrap/>
        <w:overflowPunct/>
        <w:topLinePunct w:val="0"/>
        <w:autoSpaceDE/>
        <w:autoSpaceDN/>
        <w:bidi w:val="0"/>
        <w:adjustRightInd/>
        <w:snapToGrid/>
        <w:spacing w:line="360" w:lineRule="exact"/>
        <w:ind w:firstLine="482"/>
        <w:jc w:val="left"/>
        <w:textAlignment w:val="auto"/>
        <w:rPr>
          <w:rStyle w:val="49"/>
          <w:rFonts w:ascii="宋体" w:hAnsi="宋体"/>
          <w:color w:val="auto"/>
          <w:kern w:val="0"/>
          <w:sz w:val="21"/>
          <w:szCs w:val="21"/>
          <w:highlight w:val="none"/>
        </w:rPr>
      </w:pPr>
    </w:p>
    <w:p w14:paraId="5729D9BB">
      <w:pPr>
        <w:pStyle w:val="19"/>
        <w:rPr>
          <w:rFonts w:hint="eastAsia" w:ascii="宋体" w:hAnsi="宋体" w:eastAsia="宋体" w:cs="宋体"/>
          <w:b/>
          <w:color w:val="auto"/>
          <w:sz w:val="21"/>
          <w:szCs w:val="21"/>
          <w:highlight w:val="none"/>
        </w:rPr>
      </w:pPr>
    </w:p>
    <w:p w14:paraId="111FFD3F">
      <w:pPr>
        <w:pStyle w:val="19"/>
        <w:rPr>
          <w:rFonts w:hint="eastAsia" w:ascii="宋体" w:hAnsi="宋体" w:eastAsia="宋体" w:cs="宋体"/>
          <w:b/>
          <w:bCs/>
          <w:color w:val="auto"/>
          <w:highlight w:val="none"/>
        </w:rPr>
      </w:pPr>
      <w:r>
        <w:rPr>
          <w:rFonts w:hint="eastAsia" w:ascii="宋体" w:hAnsi="宋体" w:eastAsia="宋体" w:cs="宋体"/>
          <w:b/>
          <w:color w:val="auto"/>
          <w:sz w:val="21"/>
          <w:szCs w:val="21"/>
          <w:highlight w:val="none"/>
        </w:rPr>
        <w:t>备注：供应商应按照</w:t>
      </w:r>
      <w:r>
        <w:rPr>
          <w:rFonts w:hint="eastAsia" w:ascii="宋体" w:hAnsi="宋体" w:eastAsia="宋体" w:cs="宋体"/>
          <w:b/>
          <w:color w:val="auto"/>
          <w:sz w:val="21"/>
          <w:szCs w:val="21"/>
          <w:highlight w:val="none"/>
          <w:lang w:val="en-US" w:eastAsia="zh-CN"/>
        </w:rPr>
        <w:t>中小微型企业划分标准按照《国家统计局关于印发《统计上大中小微型企业划分办法〔2017〕》的通知》（国统字〔2017〕213号）</w:t>
      </w:r>
      <w:r>
        <w:rPr>
          <w:rFonts w:hint="eastAsia" w:ascii="宋体" w:hAnsi="宋体" w:eastAsia="宋体" w:cs="宋体"/>
          <w:b/>
          <w:color w:val="auto"/>
          <w:sz w:val="21"/>
          <w:szCs w:val="21"/>
          <w:highlight w:val="none"/>
        </w:rPr>
        <w:t>的划分标准进行如实申明，如提供虚假申明应依法承担相应法律责任。如成交人为小型和微型企业的，</w:t>
      </w:r>
      <w:r>
        <w:rPr>
          <w:rFonts w:hint="eastAsia" w:eastAsia="宋体" w:cs="宋体"/>
          <w:b/>
          <w:color w:val="auto"/>
          <w:sz w:val="21"/>
          <w:szCs w:val="21"/>
          <w:highlight w:val="none"/>
          <w:lang w:val="en-US" w:eastAsia="zh-CN"/>
        </w:rPr>
        <w:t>成交</w:t>
      </w:r>
      <w:r>
        <w:rPr>
          <w:rFonts w:hint="eastAsia" w:ascii="宋体" w:hAnsi="宋体" w:eastAsia="宋体" w:cs="宋体"/>
          <w:b/>
          <w:color w:val="auto"/>
          <w:sz w:val="21"/>
          <w:szCs w:val="21"/>
          <w:highlight w:val="none"/>
        </w:rPr>
        <w:t>结果将同时公告（或成交人的《中小企业声明函》，接受社会监督。</w:t>
      </w:r>
    </w:p>
    <w:p w14:paraId="1D04B7AE">
      <w:pPr>
        <w:spacing w:line="360" w:lineRule="auto"/>
        <w:rPr>
          <w:rFonts w:hint="eastAsia" w:ascii="宋体" w:hAnsi="宋体" w:eastAsia="宋体" w:cs="宋体"/>
          <w:b/>
          <w:color w:val="auto"/>
          <w:kern w:val="0"/>
          <w:sz w:val="28"/>
          <w:szCs w:val="28"/>
          <w:highlight w:val="none"/>
        </w:rPr>
      </w:pPr>
    </w:p>
    <w:p w14:paraId="7DF02632">
      <w:pPr>
        <w:spacing w:line="460" w:lineRule="exact"/>
        <w:rPr>
          <w:rFonts w:hint="eastAsia" w:ascii="宋体" w:hAnsi="宋体" w:eastAsia="宋体" w:cs="宋体"/>
          <w:b/>
          <w:color w:val="auto"/>
          <w:kern w:val="0"/>
          <w:sz w:val="28"/>
          <w:szCs w:val="28"/>
          <w:highlight w:val="none"/>
        </w:rPr>
      </w:pPr>
    </w:p>
    <w:p w14:paraId="7E37EE7B">
      <w:pPr>
        <w:pStyle w:val="11"/>
        <w:rPr>
          <w:rFonts w:hint="eastAsia" w:ascii="宋体" w:hAnsi="宋体" w:eastAsia="宋体" w:cs="宋体"/>
          <w:b/>
          <w:color w:val="auto"/>
          <w:kern w:val="0"/>
          <w:sz w:val="28"/>
          <w:szCs w:val="28"/>
          <w:highlight w:val="none"/>
        </w:rPr>
      </w:pPr>
    </w:p>
    <w:p w14:paraId="042E9C3C">
      <w:pPr>
        <w:rPr>
          <w:rFonts w:hint="eastAsia"/>
          <w:color w:val="auto"/>
          <w:highlight w:val="none"/>
        </w:rPr>
      </w:pPr>
    </w:p>
    <w:p w14:paraId="134FEC86">
      <w:pPr>
        <w:rPr>
          <w:rStyle w:val="49"/>
          <w:rFonts w:ascii="宋体" w:hAnsi="宋体" w:cs="宋体"/>
          <w:b/>
          <w:bCs/>
          <w:color w:val="auto"/>
          <w:sz w:val="30"/>
          <w:szCs w:val="30"/>
          <w:highlight w:val="none"/>
        </w:rPr>
      </w:pPr>
    </w:p>
    <w:p w14:paraId="425C93BA">
      <w:pPr>
        <w:rPr>
          <w:rStyle w:val="49"/>
          <w:rFonts w:ascii="宋体" w:hAnsi="宋体" w:cs="宋体"/>
          <w:b/>
          <w:bCs/>
          <w:color w:val="auto"/>
          <w:sz w:val="30"/>
          <w:szCs w:val="30"/>
          <w:highlight w:val="none"/>
        </w:rPr>
      </w:pPr>
    </w:p>
    <w:p w14:paraId="2BE92D44">
      <w:pPr>
        <w:rPr>
          <w:rStyle w:val="49"/>
          <w:rFonts w:ascii="宋体" w:hAnsi="宋体" w:cs="宋体"/>
          <w:b/>
          <w:bCs/>
          <w:color w:val="auto"/>
          <w:sz w:val="30"/>
          <w:szCs w:val="30"/>
          <w:highlight w:val="none"/>
        </w:rPr>
      </w:pPr>
    </w:p>
    <w:p w14:paraId="0A6FA9B2">
      <w:pPr>
        <w:rPr>
          <w:rStyle w:val="49"/>
          <w:rFonts w:ascii="宋体" w:hAnsi="宋体" w:cs="宋体"/>
          <w:b/>
          <w:bCs/>
          <w:color w:val="auto"/>
          <w:sz w:val="30"/>
          <w:szCs w:val="30"/>
          <w:highlight w:val="none"/>
        </w:rPr>
      </w:pPr>
    </w:p>
    <w:p w14:paraId="1AAEDF64">
      <w:pPr>
        <w:rPr>
          <w:rStyle w:val="49"/>
          <w:rFonts w:ascii="宋体" w:hAnsi="宋体" w:cs="宋体"/>
          <w:b/>
          <w:bCs/>
          <w:color w:val="auto"/>
          <w:sz w:val="30"/>
          <w:szCs w:val="30"/>
          <w:highlight w:val="none"/>
        </w:rPr>
      </w:pPr>
    </w:p>
    <w:p w14:paraId="22C9129D">
      <w:pPr>
        <w:rPr>
          <w:rStyle w:val="49"/>
          <w:rFonts w:ascii="宋体" w:hAnsi="宋体" w:cs="宋体"/>
          <w:b/>
          <w:bCs/>
          <w:color w:val="auto"/>
          <w:sz w:val="30"/>
          <w:szCs w:val="30"/>
          <w:highlight w:val="none"/>
        </w:rPr>
      </w:pPr>
    </w:p>
    <w:p w14:paraId="28625AD6">
      <w:pPr>
        <w:rPr>
          <w:rStyle w:val="49"/>
          <w:rFonts w:ascii="宋体" w:hAnsi="宋体" w:cs="宋体"/>
          <w:b/>
          <w:bCs/>
          <w:color w:val="auto"/>
          <w:sz w:val="30"/>
          <w:szCs w:val="30"/>
          <w:highlight w:val="none"/>
        </w:rPr>
      </w:pPr>
    </w:p>
    <w:p w14:paraId="2F863A6D">
      <w:pPr>
        <w:rPr>
          <w:rStyle w:val="49"/>
          <w:rFonts w:ascii="宋体" w:hAnsi="宋体" w:cs="宋体"/>
          <w:b/>
          <w:bCs/>
          <w:color w:val="auto"/>
          <w:sz w:val="30"/>
          <w:szCs w:val="30"/>
          <w:highlight w:val="none"/>
        </w:rPr>
      </w:pPr>
      <w:r>
        <w:rPr>
          <w:rStyle w:val="49"/>
          <w:rFonts w:ascii="宋体" w:hAnsi="宋体" w:cs="宋体"/>
          <w:b/>
          <w:bCs/>
          <w:color w:val="auto"/>
          <w:sz w:val="30"/>
          <w:szCs w:val="30"/>
          <w:highlight w:val="none"/>
        </w:rPr>
        <w:br w:type="page"/>
      </w:r>
    </w:p>
    <w:p w14:paraId="5677F754">
      <w:pPr>
        <w:rPr>
          <w:rStyle w:val="49"/>
          <w:rFonts w:ascii="宋体" w:hAnsi="宋体" w:cs="宋体"/>
          <w:b/>
          <w:bCs/>
          <w:color w:val="auto"/>
          <w:highlight w:val="none"/>
        </w:rPr>
      </w:pPr>
      <w:r>
        <w:rPr>
          <w:rStyle w:val="49"/>
          <w:rFonts w:ascii="宋体" w:hAnsi="宋体" w:cs="宋体"/>
          <w:b/>
          <w:bCs/>
          <w:color w:val="auto"/>
          <w:sz w:val="30"/>
          <w:szCs w:val="30"/>
          <w:highlight w:val="none"/>
        </w:rPr>
        <w:t>附表</w:t>
      </w:r>
    </w:p>
    <w:p w14:paraId="4E6CDC12">
      <w:pPr>
        <w:spacing w:before="120" w:after="120" w:line="400" w:lineRule="exact"/>
        <w:jc w:val="center"/>
        <w:rPr>
          <w:rStyle w:val="49"/>
          <w:rFonts w:ascii="宋体" w:hAnsi="宋体" w:cs="宋体"/>
          <w:b/>
          <w:bCs/>
          <w:color w:val="auto"/>
          <w:kern w:val="0"/>
          <w:sz w:val="30"/>
          <w:szCs w:val="30"/>
          <w:highlight w:val="none"/>
        </w:rPr>
      </w:pPr>
      <w:r>
        <w:rPr>
          <w:rStyle w:val="49"/>
          <w:rFonts w:ascii="宋体" w:hAnsi="宋体" w:cs="宋体"/>
          <w:b/>
          <w:bCs/>
          <w:color w:val="auto"/>
          <w:kern w:val="0"/>
          <w:sz w:val="30"/>
          <w:szCs w:val="30"/>
          <w:highlight w:val="none"/>
        </w:rPr>
        <w:t>统计上大中小微型企业划分标准</w:t>
      </w:r>
    </w:p>
    <w:tbl>
      <w:tblPr>
        <w:tblStyle w:val="29"/>
        <w:tblW w:w="9435"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13"/>
        <w:gridCol w:w="1369"/>
        <w:gridCol w:w="709"/>
        <w:gridCol w:w="1125"/>
        <w:gridCol w:w="1701"/>
        <w:gridCol w:w="1426"/>
        <w:gridCol w:w="992"/>
      </w:tblGrid>
      <w:tr w14:paraId="7CD1C6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tblHeader/>
        </w:trPr>
        <w:tc>
          <w:tcPr>
            <w:tcW w:w="2113" w:type="dxa"/>
            <w:tcBorders>
              <w:top w:val="single" w:color="000000" w:sz="4" w:space="0"/>
              <w:left w:val="single" w:color="000000" w:sz="4" w:space="0"/>
              <w:bottom w:val="single" w:color="000000" w:sz="4" w:space="0"/>
              <w:right w:val="single" w:color="000000" w:sz="4" w:space="0"/>
            </w:tcBorders>
            <w:shd w:val="clear" w:color="auto" w:fill="8DB3E2"/>
            <w:noWrap w:val="0"/>
            <w:vAlign w:val="center"/>
          </w:tcPr>
          <w:p w14:paraId="0FE5BF30">
            <w:pPr>
              <w:spacing w:line="240" w:lineRule="exact"/>
              <w:jc w:val="center"/>
              <w:rPr>
                <w:rStyle w:val="49"/>
                <w:rFonts w:ascii="宋体" w:hAnsi="宋体" w:cs="宋体"/>
                <w:b/>
                <w:bCs/>
                <w:color w:val="auto"/>
                <w:kern w:val="0"/>
                <w:sz w:val="18"/>
                <w:szCs w:val="21"/>
                <w:highlight w:val="none"/>
              </w:rPr>
            </w:pPr>
            <w:r>
              <w:rPr>
                <w:rStyle w:val="49"/>
                <w:rFonts w:ascii="宋体" w:hAnsi="宋体" w:cs="宋体"/>
                <w:b/>
                <w:bCs/>
                <w:color w:val="auto"/>
                <w:kern w:val="0"/>
                <w:sz w:val="18"/>
                <w:szCs w:val="21"/>
                <w:highlight w:val="none"/>
              </w:rPr>
              <w:t>行业名称</w:t>
            </w:r>
          </w:p>
        </w:tc>
        <w:tc>
          <w:tcPr>
            <w:tcW w:w="1369" w:type="dxa"/>
            <w:tcBorders>
              <w:top w:val="single" w:color="000000" w:sz="4" w:space="0"/>
              <w:left w:val="single" w:color="000000" w:sz="4" w:space="0"/>
              <w:bottom w:val="single" w:color="000000" w:sz="4" w:space="0"/>
              <w:right w:val="single" w:color="000000" w:sz="4" w:space="0"/>
            </w:tcBorders>
            <w:shd w:val="clear" w:color="auto" w:fill="8DB3E2"/>
            <w:noWrap w:val="0"/>
            <w:vAlign w:val="center"/>
          </w:tcPr>
          <w:p w14:paraId="2D55CC59">
            <w:pPr>
              <w:jc w:val="center"/>
              <w:rPr>
                <w:rStyle w:val="49"/>
                <w:rFonts w:ascii="宋体" w:hAnsi="宋体" w:cs="宋体"/>
                <w:b/>
                <w:bCs/>
                <w:color w:val="auto"/>
                <w:kern w:val="0"/>
                <w:sz w:val="18"/>
                <w:szCs w:val="18"/>
                <w:highlight w:val="none"/>
              </w:rPr>
            </w:pPr>
            <w:r>
              <w:rPr>
                <w:rStyle w:val="49"/>
                <w:rFonts w:ascii="宋体" w:hAnsi="宋体" w:cs="宋体"/>
                <w:b/>
                <w:bCs/>
                <w:color w:val="auto"/>
                <w:kern w:val="0"/>
                <w:sz w:val="18"/>
                <w:szCs w:val="18"/>
                <w:highlight w:val="none"/>
              </w:rPr>
              <w:t>指标名称</w:t>
            </w:r>
          </w:p>
        </w:tc>
        <w:tc>
          <w:tcPr>
            <w:tcW w:w="709" w:type="dxa"/>
            <w:tcBorders>
              <w:top w:val="single" w:color="000000" w:sz="4" w:space="0"/>
              <w:left w:val="single" w:color="000000" w:sz="4" w:space="0"/>
              <w:bottom w:val="single" w:color="000000" w:sz="4" w:space="0"/>
              <w:right w:val="single" w:color="000000" w:sz="4" w:space="0"/>
            </w:tcBorders>
            <w:shd w:val="clear" w:color="auto" w:fill="8DB3E2"/>
            <w:noWrap w:val="0"/>
            <w:vAlign w:val="center"/>
          </w:tcPr>
          <w:p w14:paraId="6E85A36D">
            <w:pPr>
              <w:jc w:val="center"/>
              <w:rPr>
                <w:rStyle w:val="49"/>
                <w:rFonts w:hint="eastAsia" w:ascii="宋体" w:hAnsi="宋体" w:eastAsia="宋体" w:cs="宋体"/>
                <w:b/>
                <w:bCs/>
                <w:color w:val="auto"/>
                <w:kern w:val="0"/>
                <w:sz w:val="18"/>
                <w:szCs w:val="18"/>
                <w:highlight w:val="none"/>
                <w:lang w:eastAsia="zh-CN"/>
              </w:rPr>
            </w:pPr>
            <w:r>
              <w:rPr>
                <w:rStyle w:val="49"/>
                <w:rFonts w:ascii="宋体" w:hAnsi="宋体" w:cs="宋体"/>
                <w:b/>
                <w:bCs/>
                <w:color w:val="auto"/>
                <w:kern w:val="0"/>
                <w:sz w:val="18"/>
                <w:szCs w:val="18"/>
                <w:highlight w:val="none"/>
              </w:rPr>
              <w:t>计量</w:t>
            </w:r>
          </w:p>
          <w:p w14:paraId="02C37948">
            <w:pPr>
              <w:jc w:val="center"/>
              <w:rPr>
                <w:rStyle w:val="49"/>
                <w:rFonts w:ascii="宋体" w:hAnsi="宋体" w:cs="宋体"/>
                <w:b/>
                <w:bCs/>
                <w:color w:val="auto"/>
                <w:kern w:val="0"/>
                <w:sz w:val="18"/>
                <w:szCs w:val="18"/>
                <w:highlight w:val="none"/>
              </w:rPr>
            </w:pPr>
            <w:r>
              <w:rPr>
                <w:rStyle w:val="49"/>
                <w:rFonts w:ascii="宋体" w:hAnsi="宋体" w:cs="宋体"/>
                <w:b/>
                <w:bCs/>
                <w:color w:val="auto"/>
                <w:kern w:val="0"/>
                <w:sz w:val="18"/>
                <w:szCs w:val="18"/>
                <w:highlight w:val="none"/>
              </w:rPr>
              <w:t>单位</w:t>
            </w:r>
          </w:p>
        </w:tc>
        <w:tc>
          <w:tcPr>
            <w:tcW w:w="1125" w:type="dxa"/>
            <w:tcBorders>
              <w:top w:val="single" w:color="000000" w:sz="4" w:space="0"/>
              <w:left w:val="single" w:color="000000" w:sz="4" w:space="0"/>
              <w:bottom w:val="single" w:color="000000" w:sz="4" w:space="0"/>
              <w:right w:val="single" w:color="000000" w:sz="4" w:space="0"/>
            </w:tcBorders>
            <w:shd w:val="clear" w:color="auto" w:fill="8DB3E2"/>
            <w:noWrap w:val="0"/>
            <w:vAlign w:val="center"/>
          </w:tcPr>
          <w:p w14:paraId="4A5F4F0C">
            <w:pPr>
              <w:jc w:val="center"/>
              <w:rPr>
                <w:rStyle w:val="49"/>
                <w:rFonts w:ascii="宋体" w:hAnsi="宋体" w:cs="宋体"/>
                <w:b/>
                <w:bCs/>
                <w:color w:val="auto"/>
                <w:kern w:val="0"/>
                <w:sz w:val="18"/>
                <w:szCs w:val="18"/>
                <w:highlight w:val="none"/>
              </w:rPr>
            </w:pPr>
            <w:r>
              <w:rPr>
                <w:rStyle w:val="49"/>
                <w:rFonts w:ascii="宋体" w:hAnsi="宋体" w:cs="宋体"/>
                <w:b/>
                <w:bCs/>
                <w:color w:val="auto"/>
                <w:kern w:val="0"/>
                <w:sz w:val="18"/>
                <w:szCs w:val="18"/>
                <w:highlight w:val="none"/>
              </w:rPr>
              <w:t>大型</w:t>
            </w:r>
          </w:p>
        </w:tc>
        <w:tc>
          <w:tcPr>
            <w:tcW w:w="1701" w:type="dxa"/>
            <w:tcBorders>
              <w:top w:val="single" w:color="000000" w:sz="4" w:space="0"/>
              <w:left w:val="single" w:color="000000" w:sz="4" w:space="0"/>
              <w:bottom w:val="single" w:color="000000" w:sz="4" w:space="0"/>
              <w:right w:val="single" w:color="000000" w:sz="4" w:space="0"/>
            </w:tcBorders>
            <w:shd w:val="clear" w:color="auto" w:fill="8DB3E2"/>
            <w:noWrap w:val="0"/>
            <w:vAlign w:val="center"/>
          </w:tcPr>
          <w:p w14:paraId="3BA3C8D8">
            <w:pPr>
              <w:jc w:val="center"/>
              <w:rPr>
                <w:rStyle w:val="49"/>
                <w:rFonts w:ascii="宋体" w:hAnsi="宋体" w:cs="宋体"/>
                <w:b/>
                <w:bCs/>
                <w:color w:val="auto"/>
                <w:kern w:val="0"/>
                <w:sz w:val="18"/>
                <w:szCs w:val="18"/>
                <w:highlight w:val="none"/>
              </w:rPr>
            </w:pPr>
            <w:r>
              <w:rPr>
                <w:rStyle w:val="49"/>
                <w:rFonts w:ascii="宋体" w:hAnsi="宋体" w:cs="宋体"/>
                <w:b/>
                <w:bCs/>
                <w:color w:val="auto"/>
                <w:kern w:val="0"/>
                <w:sz w:val="18"/>
                <w:szCs w:val="18"/>
                <w:highlight w:val="none"/>
              </w:rPr>
              <w:t>中型</w:t>
            </w:r>
          </w:p>
        </w:tc>
        <w:tc>
          <w:tcPr>
            <w:tcW w:w="1426" w:type="dxa"/>
            <w:tcBorders>
              <w:top w:val="single" w:color="000000" w:sz="4" w:space="0"/>
              <w:left w:val="single" w:color="000000" w:sz="4" w:space="0"/>
              <w:bottom w:val="single" w:color="000000" w:sz="4" w:space="0"/>
              <w:right w:val="single" w:color="000000" w:sz="4" w:space="0"/>
            </w:tcBorders>
            <w:shd w:val="clear" w:color="auto" w:fill="8DB3E2"/>
            <w:noWrap w:val="0"/>
            <w:vAlign w:val="center"/>
          </w:tcPr>
          <w:p w14:paraId="68FB4C40">
            <w:pPr>
              <w:jc w:val="center"/>
              <w:rPr>
                <w:rStyle w:val="49"/>
                <w:rFonts w:ascii="宋体" w:hAnsi="宋体" w:cs="宋体"/>
                <w:b/>
                <w:bCs/>
                <w:color w:val="auto"/>
                <w:kern w:val="0"/>
                <w:sz w:val="18"/>
                <w:szCs w:val="18"/>
                <w:highlight w:val="none"/>
              </w:rPr>
            </w:pPr>
            <w:r>
              <w:rPr>
                <w:rStyle w:val="49"/>
                <w:rFonts w:ascii="宋体" w:hAnsi="宋体" w:cs="宋体"/>
                <w:b/>
                <w:bCs/>
                <w:color w:val="auto"/>
                <w:kern w:val="0"/>
                <w:sz w:val="18"/>
                <w:szCs w:val="18"/>
                <w:highlight w:val="none"/>
              </w:rPr>
              <w:t>小型</w:t>
            </w:r>
          </w:p>
        </w:tc>
        <w:tc>
          <w:tcPr>
            <w:tcW w:w="992" w:type="dxa"/>
            <w:tcBorders>
              <w:top w:val="single" w:color="000000" w:sz="4" w:space="0"/>
              <w:left w:val="single" w:color="000000" w:sz="4" w:space="0"/>
              <w:bottom w:val="single" w:color="000000" w:sz="4" w:space="0"/>
              <w:right w:val="single" w:color="000000" w:sz="4" w:space="0"/>
            </w:tcBorders>
            <w:shd w:val="clear" w:color="auto" w:fill="8DB3E2"/>
            <w:noWrap w:val="0"/>
            <w:vAlign w:val="center"/>
          </w:tcPr>
          <w:p w14:paraId="0F246613">
            <w:pPr>
              <w:jc w:val="center"/>
              <w:rPr>
                <w:rStyle w:val="49"/>
                <w:rFonts w:ascii="宋体" w:hAnsi="宋体" w:cs="宋体"/>
                <w:b/>
                <w:bCs/>
                <w:color w:val="auto"/>
                <w:kern w:val="0"/>
                <w:sz w:val="18"/>
                <w:szCs w:val="18"/>
                <w:highlight w:val="none"/>
              </w:rPr>
            </w:pPr>
            <w:r>
              <w:rPr>
                <w:rStyle w:val="49"/>
                <w:rFonts w:ascii="宋体" w:hAnsi="宋体" w:cs="宋体"/>
                <w:b/>
                <w:bCs/>
                <w:color w:val="auto"/>
                <w:kern w:val="0"/>
                <w:sz w:val="18"/>
                <w:szCs w:val="18"/>
                <w:highlight w:val="none"/>
              </w:rPr>
              <w:t>微型</w:t>
            </w:r>
          </w:p>
        </w:tc>
      </w:tr>
      <w:tr w14:paraId="164113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113" w:type="dxa"/>
            <w:tcBorders>
              <w:top w:val="single" w:color="000000" w:sz="4" w:space="0"/>
              <w:left w:val="single" w:color="000000" w:sz="4" w:space="0"/>
              <w:bottom w:val="single" w:color="000000" w:sz="4" w:space="0"/>
              <w:right w:val="single" w:color="000000" w:sz="4" w:space="0"/>
            </w:tcBorders>
            <w:noWrap w:val="0"/>
            <w:vAlign w:val="center"/>
          </w:tcPr>
          <w:p w14:paraId="44513319">
            <w:pPr>
              <w:spacing w:line="240" w:lineRule="exact"/>
              <w:jc w:val="left"/>
              <w:rPr>
                <w:rStyle w:val="49"/>
                <w:rFonts w:ascii="宋体" w:hAnsi="宋体"/>
                <w:color w:val="auto"/>
                <w:kern w:val="0"/>
                <w:sz w:val="18"/>
                <w:szCs w:val="18"/>
                <w:highlight w:val="none"/>
              </w:rPr>
            </w:pPr>
            <w:r>
              <w:rPr>
                <w:rStyle w:val="49"/>
                <w:rFonts w:ascii="宋体" w:hAnsi="宋体"/>
                <w:color w:val="auto"/>
                <w:kern w:val="0"/>
                <w:sz w:val="18"/>
                <w:szCs w:val="18"/>
                <w:highlight w:val="none"/>
              </w:rPr>
              <w:t>农、林、牧、渔业</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5ADA3B9D">
            <w:pPr>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营业收入(Y)</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1BB31CC">
            <w:pPr>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万元</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6A1D3E4A">
            <w:pPr>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Y≥20000</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2CDF1D4E">
            <w:pPr>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500≤Y＜20000</w:t>
            </w:r>
          </w:p>
        </w:tc>
        <w:tc>
          <w:tcPr>
            <w:tcW w:w="1426" w:type="dxa"/>
            <w:tcBorders>
              <w:top w:val="single" w:color="000000" w:sz="4" w:space="0"/>
              <w:left w:val="single" w:color="000000" w:sz="4" w:space="0"/>
              <w:bottom w:val="single" w:color="000000" w:sz="4" w:space="0"/>
              <w:right w:val="single" w:color="000000" w:sz="4" w:space="0"/>
            </w:tcBorders>
            <w:noWrap w:val="0"/>
            <w:vAlign w:val="center"/>
          </w:tcPr>
          <w:p w14:paraId="695447E7">
            <w:pPr>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50≤Y＜500</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1553C05D">
            <w:pPr>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Y＜50</w:t>
            </w:r>
          </w:p>
        </w:tc>
      </w:tr>
      <w:tr w14:paraId="5DB756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113" w:type="dxa"/>
            <w:vMerge w:val="restart"/>
            <w:tcBorders>
              <w:top w:val="single" w:color="000000" w:sz="4" w:space="0"/>
              <w:left w:val="single" w:color="000000" w:sz="4" w:space="0"/>
              <w:bottom w:val="single" w:color="000000" w:sz="4" w:space="0"/>
              <w:right w:val="single" w:color="000000" w:sz="4" w:space="0"/>
            </w:tcBorders>
            <w:noWrap w:val="0"/>
            <w:vAlign w:val="center"/>
          </w:tcPr>
          <w:p w14:paraId="53522FDD">
            <w:pPr>
              <w:spacing w:line="240" w:lineRule="exact"/>
              <w:jc w:val="left"/>
              <w:rPr>
                <w:rStyle w:val="49"/>
                <w:rFonts w:ascii="宋体" w:hAnsi="宋体"/>
                <w:color w:val="auto"/>
                <w:kern w:val="0"/>
                <w:sz w:val="18"/>
                <w:szCs w:val="18"/>
                <w:highlight w:val="none"/>
              </w:rPr>
            </w:pPr>
            <w:r>
              <w:rPr>
                <w:rStyle w:val="49"/>
                <w:rFonts w:ascii="宋体" w:hAnsi="宋体"/>
                <w:color w:val="auto"/>
                <w:kern w:val="0"/>
                <w:sz w:val="18"/>
                <w:szCs w:val="18"/>
                <w:highlight w:val="none"/>
              </w:rPr>
              <w:t>工业 *</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452F738D">
            <w:pPr>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从业人员(X)</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DA0B23C">
            <w:pPr>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人</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06A094B0">
            <w:pPr>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X≥1000</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5DD715E1">
            <w:pPr>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300≤X＜1000</w:t>
            </w:r>
          </w:p>
        </w:tc>
        <w:tc>
          <w:tcPr>
            <w:tcW w:w="1426" w:type="dxa"/>
            <w:tcBorders>
              <w:top w:val="single" w:color="000000" w:sz="4" w:space="0"/>
              <w:left w:val="single" w:color="000000" w:sz="4" w:space="0"/>
              <w:bottom w:val="single" w:color="000000" w:sz="4" w:space="0"/>
              <w:right w:val="single" w:color="000000" w:sz="4" w:space="0"/>
            </w:tcBorders>
            <w:noWrap w:val="0"/>
            <w:vAlign w:val="center"/>
          </w:tcPr>
          <w:p w14:paraId="768CA6A1">
            <w:pPr>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20≤X＜300</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0571F9F6">
            <w:pPr>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X＜20</w:t>
            </w:r>
          </w:p>
        </w:tc>
      </w:tr>
      <w:tr w14:paraId="7B28DB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11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60C949F">
            <w:pPr>
              <w:jc w:val="left"/>
              <w:rPr>
                <w:rStyle w:val="49"/>
                <w:rFonts w:ascii="宋体" w:hAnsi="宋体"/>
                <w:color w:val="auto"/>
                <w:kern w:val="0"/>
                <w:sz w:val="18"/>
                <w:szCs w:val="18"/>
                <w:highlight w:val="none"/>
              </w:rPr>
            </w:pP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240BE8DB">
            <w:pPr>
              <w:spacing w:line="240" w:lineRule="exact"/>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营业收入(Y)</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0A031CDB">
            <w:pPr>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万元</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44F25654">
            <w:pPr>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Y≥40000</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5A2B966C">
            <w:pPr>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2000≤Y＜40000</w:t>
            </w:r>
          </w:p>
        </w:tc>
        <w:tc>
          <w:tcPr>
            <w:tcW w:w="1426" w:type="dxa"/>
            <w:tcBorders>
              <w:top w:val="single" w:color="000000" w:sz="4" w:space="0"/>
              <w:left w:val="single" w:color="000000" w:sz="4" w:space="0"/>
              <w:bottom w:val="single" w:color="000000" w:sz="4" w:space="0"/>
              <w:right w:val="single" w:color="000000" w:sz="4" w:space="0"/>
            </w:tcBorders>
            <w:noWrap w:val="0"/>
            <w:vAlign w:val="center"/>
          </w:tcPr>
          <w:p w14:paraId="3500137F">
            <w:pPr>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300≤Y＜2000</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20DDAE83">
            <w:pPr>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Y＜300</w:t>
            </w:r>
          </w:p>
        </w:tc>
      </w:tr>
      <w:tr w14:paraId="78E293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113" w:type="dxa"/>
            <w:vMerge w:val="restart"/>
            <w:tcBorders>
              <w:top w:val="single" w:color="000000" w:sz="4" w:space="0"/>
              <w:left w:val="single" w:color="000000" w:sz="4" w:space="0"/>
              <w:bottom w:val="single" w:color="000000" w:sz="4" w:space="0"/>
              <w:right w:val="single" w:color="000000" w:sz="4" w:space="0"/>
            </w:tcBorders>
            <w:noWrap w:val="0"/>
            <w:vAlign w:val="center"/>
          </w:tcPr>
          <w:p w14:paraId="44672EC0">
            <w:pPr>
              <w:spacing w:line="240" w:lineRule="exact"/>
              <w:jc w:val="left"/>
              <w:rPr>
                <w:rStyle w:val="49"/>
                <w:rFonts w:ascii="宋体" w:hAnsi="宋体"/>
                <w:color w:val="auto"/>
                <w:kern w:val="0"/>
                <w:sz w:val="18"/>
                <w:szCs w:val="18"/>
                <w:highlight w:val="none"/>
              </w:rPr>
            </w:pPr>
            <w:r>
              <w:rPr>
                <w:rStyle w:val="49"/>
                <w:rFonts w:ascii="宋体" w:hAnsi="宋体"/>
                <w:color w:val="auto"/>
                <w:kern w:val="0"/>
                <w:sz w:val="18"/>
                <w:szCs w:val="18"/>
                <w:highlight w:val="none"/>
              </w:rPr>
              <w:t>建筑业</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748A19E4">
            <w:pPr>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营业收入(Y)</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FF8533B">
            <w:pPr>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万元</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296FEE71">
            <w:pPr>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Y≥80000</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35FC40A2">
            <w:pPr>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6000≤Y＜80000</w:t>
            </w:r>
          </w:p>
        </w:tc>
        <w:tc>
          <w:tcPr>
            <w:tcW w:w="1426" w:type="dxa"/>
            <w:tcBorders>
              <w:top w:val="single" w:color="000000" w:sz="4" w:space="0"/>
              <w:left w:val="single" w:color="000000" w:sz="4" w:space="0"/>
              <w:bottom w:val="single" w:color="000000" w:sz="4" w:space="0"/>
              <w:right w:val="single" w:color="000000" w:sz="4" w:space="0"/>
            </w:tcBorders>
            <w:noWrap w:val="0"/>
            <w:vAlign w:val="center"/>
          </w:tcPr>
          <w:p w14:paraId="105B33F7">
            <w:pPr>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300≤Y＜6000</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48605BCE">
            <w:pPr>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Y＜300</w:t>
            </w:r>
          </w:p>
        </w:tc>
      </w:tr>
      <w:tr w14:paraId="4DBA9F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11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A72544E">
            <w:pPr>
              <w:jc w:val="left"/>
              <w:rPr>
                <w:rStyle w:val="49"/>
                <w:rFonts w:ascii="宋体" w:hAnsi="宋体"/>
                <w:color w:val="auto"/>
                <w:kern w:val="0"/>
                <w:sz w:val="18"/>
                <w:szCs w:val="18"/>
                <w:highlight w:val="none"/>
              </w:rPr>
            </w:pP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28C65579">
            <w:pPr>
              <w:spacing w:line="240" w:lineRule="exact"/>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资产总额(Z)</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8E11BFC">
            <w:pPr>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万元</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17AFFFBF">
            <w:pPr>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Z≥80000</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6C247D08">
            <w:pPr>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5000≤Z＜80000</w:t>
            </w:r>
          </w:p>
        </w:tc>
        <w:tc>
          <w:tcPr>
            <w:tcW w:w="1426" w:type="dxa"/>
            <w:tcBorders>
              <w:top w:val="single" w:color="000000" w:sz="4" w:space="0"/>
              <w:left w:val="single" w:color="000000" w:sz="4" w:space="0"/>
              <w:bottom w:val="single" w:color="000000" w:sz="4" w:space="0"/>
              <w:right w:val="single" w:color="000000" w:sz="4" w:space="0"/>
            </w:tcBorders>
            <w:noWrap w:val="0"/>
            <w:vAlign w:val="center"/>
          </w:tcPr>
          <w:p w14:paraId="5B0964C0">
            <w:pPr>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300≤Z＜5000</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075D72F5">
            <w:pPr>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Z＜300</w:t>
            </w:r>
          </w:p>
        </w:tc>
      </w:tr>
      <w:tr w14:paraId="5B19C4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113" w:type="dxa"/>
            <w:vMerge w:val="restart"/>
            <w:tcBorders>
              <w:top w:val="single" w:color="000000" w:sz="4" w:space="0"/>
              <w:left w:val="single" w:color="000000" w:sz="4" w:space="0"/>
              <w:bottom w:val="single" w:color="000000" w:sz="4" w:space="0"/>
              <w:right w:val="single" w:color="000000" w:sz="4" w:space="0"/>
            </w:tcBorders>
            <w:noWrap w:val="0"/>
            <w:vAlign w:val="center"/>
          </w:tcPr>
          <w:p w14:paraId="567AF1D3">
            <w:pPr>
              <w:spacing w:line="240" w:lineRule="exact"/>
              <w:jc w:val="left"/>
              <w:rPr>
                <w:rStyle w:val="49"/>
                <w:rFonts w:ascii="宋体" w:hAnsi="宋体"/>
                <w:color w:val="auto"/>
                <w:kern w:val="0"/>
                <w:sz w:val="18"/>
                <w:szCs w:val="18"/>
                <w:highlight w:val="none"/>
              </w:rPr>
            </w:pPr>
            <w:r>
              <w:rPr>
                <w:rStyle w:val="49"/>
                <w:rFonts w:ascii="宋体" w:hAnsi="宋体"/>
                <w:color w:val="auto"/>
                <w:kern w:val="0"/>
                <w:sz w:val="18"/>
                <w:szCs w:val="18"/>
                <w:highlight w:val="none"/>
              </w:rPr>
              <w:t>批发业</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5A0B7A0B">
            <w:pPr>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从业人员(X)</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1155ED2">
            <w:pPr>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人</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06BC696A">
            <w:pPr>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X≥200</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1DD51444">
            <w:pPr>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20≤X＜200</w:t>
            </w:r>
          </w:p>
        </w:tc>
        <w:tc>
          <w:tcPr>
            <w:tcW w:w="1426" w:type="dxa"/>
            <w:tcBorders>
              <w:top w:val="single" w:color="000000" w:sz="4" w:space="0"/>
              <w:left w:val="single" w:color="000000" w:sz="4" w:space="0"/>
              <w:bottom w:val="single" w:color="000000" w:sz="4" w:space="0"/>
              <w:right w:val="single" w:color="000000" w:sz="4" w:space="0"/>
            </w:tcBorders>
            <w:noWrap w:val="0"/>
            <w:vAlign w:val="center"/>
          </w:tcPr>
          <w:p w14:paraId="49F76AC4">
            <w:pPr>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5≤X＜20</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371CB762">
            <w:pPr>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X＜5</w:t>
            </w:r>
          </w:p>
        </w:tc>
      </w:tr>
      <w:tr w14:paraId="6D6EB9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11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0EC4ABD">
            <w:pPr>
              <w:jc w:val="left"/>
              <w:rPr>
                <w:rStyle w:val="49"/>
                <w:rFonts w:ascii="宋体" w:hAnsi="宋体"/>
                <w:color w:val="auto"/>
                <w:kern w:val="0"/>
                <w:sz w:val="18"/>
                <w:szCs w:val="18"/>
                <w:highlight w:val="none"/>
              </w:rPr>
            </w:pP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13EE0F8B">
            <w:pPr>
              <w:spacing w:line="240" w:lineRule="exact"/>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营业收入(Y)</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0E98BA0A">
            <w:pPr>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万元</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5EC10EF2">
            <w:pPr>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Y≥40000</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2AFBFDDC">
            <w:pPr>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5000≤Y＜40000</w:t>
            </w:r>
          </w:p>
        </w:tc>
        <w:tc>
          <w:tcPr>
            <w:tcW w:w="1426" w:type="dxa"/>
            <w:tcBorders>
              <w:top w:val="single" w:color="000000" w:sz="4" w:space="0"/>
              <w:left w:val="single" w:color="000000" w:sz="4" w:space="0"/>
              <w:bottom w:val="single" w:color="000000" w:sz="4" w:space="0"/>
              <w:right w:val="single" w:color="000000" w:sz="4" w:space="0"/>
            </w:tcBorders>
            <w:noWrap w:val="0"/>
            <w:vAlign w:val="center"/>
          </w:tcPr>
          <w:p w14:paraId="088E7C7B">
            <w:pPr>
              <w:ind w:left="-1" w:leftChars="-1" w:hanging="1"/>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1000≤Y＜5000</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5209A2F8">
            <w:pPr>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Y＜1000</w:t>
            </w:r>
          </w:p>
        </w:tc>
      </w:tr>
      <w:tr w14:paraId="4874AA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113" w:type="dxa"/>
            <w:vMerge w:val="restart"/>
            <w:tcBorders>
              <w:top w:val="single" w:color="000000" w:sz="4" w:space="0"/>
              <w:left w:val="single" w:color="000000" w:sz="4" w:space="0"/>
              <w:bottom w:val="single" w:color="000000" w:sz="4" w:space="0"/>
              <w:right w:val="single" w:color="000000" w:sz="4" w:space="0"/>
            </w:tcBorders>
            <w:noWrap w:val="0"/>
            <w:vAlign w:val="center"/>
          </w:tcPr>
          <w:p w14:paraId="7E3D6FF9">
            <w:pPr>
              <w:spacing w:line="240" w:lineRule="exact"/>
              <w:jc w:val="left"/>
              <w:rPr>
                <w:rStyle w:val="49"/>
                <w:rFonts w:ascii="宋体" w:hAnsi="宋体"/>
                <w:color w:val="auto"/>
                <w:kern w:val="0"/>
                <w:sz w:val="18"/>
                <w:szCs w:val="18"/>
                <w:highlight w:val="none"/>
              </w:rPr>
            </w:pPr>
            <w:r>
              <w:rPr>
                <w:rStyle w:val="49"/>
                <w:rFonts w:ascii="宋体" w:hAnsi="宋体"/>
                <w:color w:val="auto"/>
                <w:kern w:val="0"/>
                <w:sz w:val="18"/>
                <w:szCs w:val="18"/>
                <w:highlight w:val="none"/>
              </w:rPr>
              <w:t>零售业</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5838800D">
            <w:pPr>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从业人员(X)</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68767AAD">
            <w:pPr>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人</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6E8BBBD7">
            <w:pPr>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X≥300</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549B6D9D">
            <w:pPr>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50≤X＜300</w:t>
            </w:r>
          </w:p>
        </w:tc>
        <w:tc>
          <w:tcPr>
            <w:tcW w:w="1426" w:type="dxa"/>
            <w:tcBorders>
              <w:top w:val="single" w:color="000000" w:sz="4" w:space="0"/>
              <w:left w:val="single" w:color="000000" w:sz="4" w:space="0"/>
              <w:bottom w:val="single" w:color="000000" w:sz="4" w:space="0"/>
              <w:right w:val="single" w:color="000000" w:sz="4" w:space="0"/>
            </w:tcBorders>
            <w:noWrap w:val="0"/>
            <w:vAlign w:val="center"/>
          </w:tcPr>
          <w:p w14:paraId="61570B54">
            <w:pPr>
              <w:ind w:left="-1" w:leftChars="-1" w:hanging="1"/>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 xml:space="preserve">10≤X＜50 </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098CCEA8">
            <w:pPr>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X＜10</w:t>
            </w:r>
          </w:p>
        </w:tc>
      </w:tr>
      <w:tr w14:paraId="65251A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11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2B3B64B">
            <w:pPr>
              <w:jc w:val="left"/>
              <w:rPr>
                <w:rStyle w:val="49"/>
                <w:rFonts w:ascii="宋体" w:hAnsi="宋体"/>
                <w:color w:val="auto"/>
                <w:kern w:val="0"/>
                <w:sz w:val="18"/>
                <w:szCs w:val="18"/>
                <w:highlight w:val="none"/>
              </w:rPr>
            </w:pP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038F55D7">
            <w:pPr>
              <w:spacing w:line="240" w:lineRule="exact"/>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营业收入(Y)</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39DB25F">
            <w:pPr>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万元</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6549810D">
            <w:pPr>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Y≥20000</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77BC07F6">
            <w:pPr>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500≤Y＜20000</w:t>
            </w:r>
          </w:p>
        </w:tc>
        <w:tc>
          <w:tcPr>
            <w:tcW w:w="1426" w:type="dxa"/>
            <w:tcBorders>
              <w:top w:val="single" w:color="000000" w:sz="4" w:space="0"/>
              <w:left w:val="single" w:color="000000" w:sz="4" w:space="0"/>
              <w:bottom w:val="single" w:color="000000" w:sz="4" w:space="0"/>
              <w:right w:val="single" w:color="000000" w:sz="4" w:space="0"/>
            </w:tcBorders>
            <w:noWrap w:val="0"/>
            <w:vAlign w:val="center"/>
          </w:tcPr>
          <w:p w14:paraId="19D6F1C0">
            <w:pPr>
              <w:ind w:left="-1" w:leftChars="-1" w:hanging="1"/>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100≤Y＜500</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5E66D967">
            <w:pPr>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Y＜100</w:t>
            </w:r>
          </w:p>
        </w:tc>
      </w:tr>
      <w:tr w14:paraId="143623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113" w:type="dxa"/>
            <w:vMerge w:val="restart"/>
            <w:tcBorders>
              <w:top w:val="single" w:color="000000" w:sz="4" w:space="0"/>
              <w:left w:val="single" w:color="000000" w:sz="4" w:space="0"/>
              <w:bottom w:val="single" w:color="000000" w:sz="4" w:space="0"/>
              <w:right w:val="single" w:color="000000" w:sz="4" w:space="0"/>
            </w:tcBorders>
            <w:noWrap w:val="0"/>
            <w:vAlign w:val="center"/>
          </w:tcPr>
          <w:p w14:paraId="1F40569F">
            <w:pPr>
              <w:spacing w:line="240" w:lineRule="exact"/>
              <w:jc w:val="left"/>
              <w:rPr>
                <w:rStyle w:val="49"/>
                <w:rFonts w:ascii="宋体" w:hAnsi="宋体"/>
                <w:color w:val="auto"/>
                <w:kern w:val="0"/>
                <w:sz w:val="18"/>
                <w:szCs w:val="18"/>
                <w:highlight w:val="none"/>
              </w:rPr>
            </w:pPr>
            <w:r>
              <w:rPr>
                <w:rStyle w:val="49"/>
                <w:rFonts w:ascii="宋体" w:hAnsi="宋体"/>
                <w:color w:val="auto"/>
                <w:kern w:val="0"/>
                <w:sz w:val="18"/>
                <w:szCs w:val="18"/>
                <w:highlight w:val="none"/>
              </w:rPr>
              <w:t>交通运输业 *</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7B204BD2">
            <w:pPr>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从业人员(X)</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0AA6977F">
            <w:pPr>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人</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34575437">
            <w:pPr>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X≥1000</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3131709D">
            <w:pPr>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300≤X＜1000</w:t>
            </w:r>
          </w:p>
        </w:tc>
        <w:tc>
          <w:tcPr>
            <w:tcW w:w="1426" w:type="dxa"/>
            <w:tcBorders>
              <w:top w:val="single" w:color="000000" w:sz="4" w:space="0"/>
              <w:left w:val="single" w:color="000000" w:sz="4" w:space="0"/>
              <w:bottom w:val="single" w:color="000000" w:sz="4" w:space="0"/>
              <w:right w:val="single" w:color="000000" w:sz="4" w:space="0"/>
            </w:tcBorders>
            <w:noWrap w:val="0"/>
            <w:vAlign w:val="center"/>
          </w:tcPr>
          <w:p w14:paraId="1673F433">
            <w:pPr>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20≤X＜300</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042F16D9">
            <w:pPr>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X＜20</w:t>
            </w:r>
          </w:p>
        </w:tc>
      </w:tr>
      <w:tr w14:paraId="1CF3BA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11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CC2640A">
            <w:pPr>
              <w:jc w:val="left"/>
              <w:rPr>
                <w:rStyle w:val="49"/>
                <w:rFonts w:ascii="宋体" w:hAnsi="宋体"/>
                <w:color w:val="auto"/>
                <w:kern w:val="0"/>
                <w:sz w:val="18"/>
                <w:szCs w:val="18"/>
                <w:highlight w:val="none"/>
              </w:rPr>
            </w:pP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5CD735C4">
            <w:pPr>
              <w:spacing w:line="240" w:lineRule="exact"/>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营业收入(Y)</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708235B">
            <w:pPr>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万元</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37053A78">
            <w:pPr>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Y≥30000</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7B283D4F">
            <w:pPr>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3000≤Y＜30000</w:t>
            </w:r>
          </w:p>
        </w:tc>
        <w:tc>
          <w:tcPr>
            <w:tcW w:w="1426" w:type="dxa"/>
            <w:tcBorders>
              <w:top w:val="single" w:color="000000" w:sz="4" w:space="0"/>
              <w:left w:val="single" w:color="000000" w:sz="4" w:space="0"/>
              <w:bottom w:val="single" w:color="000000" w:sz="4" w:space="0"/>
              <w:right w:val="single" w:color="000000" w:sz="4" w:space="0"/>
            </w:tcBorders>
            <w:noWrap w:val="0"/>
            <w:vAlign w:val="center"/>
          </w:tcPr>
          <w:p w14:paraId="764E3A63">
            <w:pPr>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200≤Y＜3000</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43E557CA">
            <w:pPr>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Y＜200</w:t>
            </w:r>
          </w:p>
        </w:tc>
      </w:tr>
      <w:tr w14:paraId="4B1114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113" w:type="dxa"/>
            <w:vMerge w:val="restart"/>
            <w:tcBorders>
              <w:top w:val="single" w:color="000000" w:sz="4" w:space="0"/>
              <w:left w:val="single" w:color="000000" w:sz="4" w:space="0"/>
              <w:bottom w:val="single" w:color="000000" w:sz="4" w:space="0"/>
              <w:right w:val="single" w:color="000000" w:sz="4" w:space="0"/>
            </w:tcBorders>
            <w:noWrap w:val="0"/>
            <w:vAlign w:val="center"/>
          </w:tcPr>
          <w:p w14:paraId="0DC15C25">
            <w:pPr>
              <w:spacing w:line="240" w:lineRule="exact"/>
              <w:jc w:val="left"/>
              <w:rPr>
                <w:rStyle w:val="49"/>
                <w:rFonts w:ascii="宋体" w:hAnsi="宋体"/>
                <w:color w:val="auto"/>
                <w:kern w:val="0"/>
                <w:sz w:val="18"/>
                <w:szCs w:val="18"/>
                <w:highlight w:val="none"/>
              </w:rPr>
            </w:pPr>
            <w:r>
              <w:rPr>
                <w:rStyle w:val="49"/>
                <w:rFonts w:ascii="宋体" w:hAnsi="宋体"/>
                <w:color w:val="auto"/>
                <w:kern w:val="0"/>
                <w:sz w:val="18"/>
                <w:szCs w:val="18"/>
                <w:highlight w:val="none"/>
              </w:rPr>
              <w:t>仓储业*</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70C67559">
            <w:pPr>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从业人员(X)</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B700E85">
            <w:pPr>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人</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71B4723F">
            <w:pPr>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X≥200</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019A151C">
            <w:pPr>
              <w:ind w:left="1" w:leftChars="-51" w:hanging="108"/>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100≤X＜200</w:t>
            </w:r>
          </w:p>
        </w:tc>
        <w:tc>
          <w:tcPr>
            <w:tcW w:w="1426" w:type="dxa"/>
            <w:tcBorders>
              <w:top w:val="single" w:color="000000" w:sz="4" w:space="0"/>
              <w:left w:val="single" w:color="000000" w:sz="4" w:space="0"/>
              <w:bottom w:val="single" w:color="000000" w:sz="4" w:space="0"/>
              <w:right w:val="single" w:color="000000" w:sz="4" w:space="0"/>
            </w:tcBorders>
            <w:noWrap w:val="0"/>
            <w:vAlign w:val="center"/>
          </w:tcPr>
          <w:p w14:paraId="1E19F06D">
            <w:pPr>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20≤X＜100</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38F073C7">
            <w:pPr>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X＜20</w:t>
            </w:r>
          </w:p>
        </w:tc>
      </w:tr>
      <w:tr w14:paraId="5A7898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11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6D37D0A">
            <w:pPr>
              <w:jc w:val="left"/>
              <w:rPr>
                <w:rStyle w:val="49"/>
                <w:rFonts w:ascii="宋体" w:hAnsi="宋体"/>
                <w:color w:val="auto"/>
                <w:kern w:val="0"/>
                <w:sz w:val="18"/>
                <w:szCs w:val="18"/>
                <w:highlight w:val="none"/>
              </w:rPr>
            </w:pP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5EEF6BFC">
            <w:pPr>
              <w:spacing w:line="240" w:lineRule="exact"/>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营业收入(Y)</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3B9F3A0C">
            <w:pPr>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万元</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62D9F987">
            <w:pPr>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Y≥30000</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6833A9DA">
            <w:pPr>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1000≤Y＜30000</w:t>
            </w:r>
          </w:p>
        </w:tc>
        <w:tc>
          <w:tcPr>
            <w:tcW w:w="1426" w:type="dxa"/>
            <w:tcBorders>
              <w:top w:val="single" w:color="000000" w:sz="4" w:space="0"/>
              <w:left w:val="single" w:color="000000" w:sz="4" w:space="0"/>
              <w:bottom w:val="single" w:color="000000" w:sz="4" w:space="0"/>
              <w:right w:val="single" w:color="000000" w:sz="4" w:space="0"/>
            </w:tcBorders>
            <w:noWrap w:val="0"/>
            <w:vAlign w:val="center"/>
          </w:tcPr>
          <w:p w14:paraId="424C1785">
            <w:pPr>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100≤Y＜1000</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4EADFDA9">
            <w:pPr>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Y＜100</w:t>
            </w:r>
          </w:p>
        </w:tc>
      </w:tr>
      <w:tr w14:paraId="154FCB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113" w:type="dxa"/>
            <w:vMerge w:val="restart"/>
            <w:tcBorders>
              <w:top w:val="single" w:color="000000" w:sz="4" w:space="0"/>
              <w:left w:val="single" w:color="000000" w:sz="4" w:space="0"/>
              <w:bottom w:val="single" w:color="000000" w:sz="4" w:space="0"/>
              <w:right w:val="single" w:color="000000" w:sz="4" w:space="0"/>
            </w:tcBorders>
            <w:noWrap w:val="0"/>
            <w:vAlign w:val="center"/>
          </w:tcPr>
          <w:p w14:paraId="45804B9E">
            <w:pPr>
              <w:spacing w:line="240" w:lineRule="exact"/>
              <w:jc w:val="left"/>
              <w:rPr>
                <w:rStyle w:val="49"/>
                <w:rFonts w:ascii="宋体" w:hAnsi="宋体"/>
                <w:color w:val="auto"/>
                <w:kern w:val="0"/>
                <w:sz w:val="18"/>
                <w:szCs w:val="18"/>
                <w:highlight w:val="none"/>
              </w:rPr>
            </w:pPr>
            <w:r>
              <w:rPr>
                <w:rStyle w:val="49"/>
                <w:rFonts w:ascii="宋体" w:hAnsi="宋体"/>
                <w:color w:val="auto"/>
                <w:kern w:val="0"/>
                <w:sz w:val="18"/>
                <w:szCs w:val="18"/>
                <w:highlight w:val="none"/>
              </w:rPr>
              <w:t>邮政业</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6B21D71C">
            <w:pPr>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从业人员(X)</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002D71F">
            <w:pPr>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人</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7A67122E">
            <w:pPr>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X≥1000</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4A845AD7">
            <w:pPr>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300≤X＜1000</w:t>
            </w:r>
          </w:p>
        </w:tc>
        <w:tc>
          <w:tcPr>
            <w:tcW w:w="1426" w:type="dxa"/>
            <w:tcBorders>
              <w:top w:val="single" w:color="000000" w:sz="4" w:space="0"/>
              <w:left w:val="single" w:color="000000" w:sz="4" w:space="0"/>
              <w:bottom w:val="single" w:color="000000" w:sz="4" w:space="0"/>
              <w:right w:val="single" w:color="000000" w:sz="4" w:space="0"/>
            </w:tcBorders>
            <w:noWrap w:val="0"/>
            <w:vAlign w:val="center"/>
          </w:tcPr>
          <w:p w14:paraId="50D1C8D4">
            <w:pPr>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20≤X＜300</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0B130C63">
            <w:pPr>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X＜20</w:t>
            </w:r>
          </w:p>
        </w:tc>
      </w:tr>
      <w:tr w14:paraId="13228A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11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A7E0AB2">
            <w:pPr>
              <w:jc w:val="left"/>
              <w:rPr>
                <w:rStyle w:val="49"/>
                <w:rFonts w:ascii="宋体" w:hAnsi="宋体"/>
                <w:color w:val="auto"/>
                <w:kern w:val="0"/>
                <w:sz w:val="18"/>
                <w:szCs w:val="18"/>
                <w:highlight w:val="none"/>
              </w:rPr>
            </w:pP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444B5D13">
            <w:pPr>
              <w:spacing w:line="240" w:lineRule="exact"/>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营业收入(Y)</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060C664D">
            <w:pPr>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万元</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1CACCA1C">
            <w:pPr>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Y≥30000</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786D1AA1">
            <w:pPr>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2000≤Y＜30000</w:t>
            </w:r>
          </w:p>
        </w:tc>
        <w:tc>
          <w:tcPr>
            <w:tcW w:w="1426" w:type="dxa"/>
            <w:tcBorders>
              <w:top w:val="single" w:color="000000" w:sz="4" w:space="0"/>
              <w:left w:val="single" w:color="000000" w:sz="4" w:space="0"/>
              <w:bottom w:val="single" w:color="000000" w:sz="4" w:space="0"/>
              <w:right w:val="single" w:color="000000" w:sz="4" w:space="0"/>
            </w:tcBorders>
            <w:noWrap w:val="0"/>
            <w:vAlign w:val="center"/>
          </w:tcPr>
          <w:p w14:paraId="00EB77C1">
            <w:pPr>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100≤Y＜2000</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178E206A">
            <w:pPr>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Y＜100</w:t>
            </w:r>
          </w:p>
        </w:tc>
      </w:tr>
      <w:tr w14:paraId="313D2D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113" w:type="dxa"/>
            <w:vMerge w:val="restart"/>
            <w:tcBorders>
              <w:top w:val="single" w:color="000000" w:sz="4" w:space="0"/>
              <w:left w:val="single" w:color="000000" w:sz="4" w:space="0"/>
              <w:bottom w:val="single" w:color="000000" w:sz="4" w:space="0"/>
              <w:right w:val="single" w:color="000000" w:sz="4" w:space="0"/>
            </w:tcBorders>
            <w:noWrap w:val="0"/>
            <w:vAlign w:val="center"/>
          </w:tcPr>
          <w:p w14:paraId="1EE7B56A">
            <w:pPr>
              <w:spacing w:line="240" w:lineRule="exact"/>
              <w:jc w:val="left"/>
              <w:rPr>
                <w:rStyle w:val="49"/>
                <w:rFonts w:ascii="宋体" w:hAnsi="宋体"/>
                <w:color w:val="auto"/>
                <w:kern w:val="0"/>
                <w:sz w:val="18"/>
                <w:szCs w:val="18"/>
                <w:highlight w:val="none"/>
              </w:rPr>
            </w:pPr>
            <w:r>
              <w:rPr>
                <w:rStyle w:val="49"/>
                <w:rFonts w:ascii="宋体" w:hAnsi="宋体"/>
                <w:color w:val="auto"/>
                <w:kern w:val="0"/>
                <w:sz w:val="18"/>
                <w:szCs w:val="18"/>
                <w:highlight w:val="none"/>
              </w:rPr>
              <w:t>住宿业</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2BD957C9">
            <w:pPr>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从业人员(X)</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D525394">
            <w:pPr>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人</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7F213F5E">
            <w:pPr>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X≥300</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215D276E">
            <w:pPr>
              <w:ind w:left="1" w:leftChars="-51" w:hanging="108"/>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100≤X＜300</w:t>
            </w:r>
          </w:p>
        </w:tc>
        <w:tc>
          <w:tcPr>
            <w:tcW w:w="1426" w:type="dxa"/>
            <w:tcBorders>
              <w:top w:val="single" w:color="000000" w:sz="4" w:space="0"/>
              <w:left w:val="single" w:color="000000" w:sz="4" w:space="0"/>
              <w:bottom w:val="single" w:color="000000" w:sz="4" w:space="0"/>
              <w:right w:val="single" w:color="000000" w:sz="4" w:space="0"/>
            </w:tcBorders>
            <w:noWrap w:val="0"/>
            <w:vAlign w:val="center"/>
          </w:tcPr>
          <w:p w14:paraId="562F48AF">
            <w:pPr>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10≤X＜100</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6471B2B7">
            <w:pPr>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X＜10</w:t>
            </w:r>
          </w:p>
        </w:tc>
      </w:tr>
      <w:tr w14:paraId="085B12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11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257F93F">
            <w:pPr>
              <w:jc w:val="left"/>
              <w:rPr>
                <w:rStyle w:val="49"/>
                <w:rFonts w:ascii="宋体" w:hAnsi="宋体"/>
                <w:color w:val="auto"/>
                <w:kern w:val="0"/>
                <w:sz w:val="18"/>
                <w:szCs w:val="18"/>
                <w:highlight w:val="none"/>
              </w:rPr>
            </w:pP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4385E74C">
            <w:pPr>
              <w:spacing w:line="240" w:lineRule="exact"/>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营业收入(Y)</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F2A43D3">
            <w:pPr>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万元</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49E3FDCE">
            <w:pPr>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Y≥10000</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482DC847">
            <w:pPr>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2000≤Y＜10000</w:t>
            </w:r>
          </w:p>
        </w:tc>
        <w:tc>
          <w:tcPr>
            <w:tcW w:w="1426" w:type="dxa"/>
            <w:tcBorders>
              <w:top w:val="single" w:color="000000" w:sz="4" w:space="0"/>
              <w:left w:val="single" w:color="000000" w:sz="4" w:space="0"/>
              <w:bottom w:val="single" w:color="000000" w:sz="4" w:space="0"/>
              <w:right w:val="single" w:color="000000" w:sz="4" w:space="0"/>
            </w:tcBorders>
            <w:noWrap w:val="0"/>
            <w:vAlign w:val="center"/>
          </w:tcPr>
          <w:p w14:paraId="34317974">
            <w:pPr>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100≤Y＜2000</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679F0DFD">
            <w:pPr>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Y＜100</w:t>
            </w:r>
          </w:p>
        </w:tc>
      </w:tr>
      <w:tr w14:paraId="3CD817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113" w:type="dxa"/>
            <w:vMerge w:val="restart"/>
            <w:tcBorders>
              <w:top w:val="single" w:color="000000" w:sz="4" w:space="0"/>
              <w:left w:val="single" w:color="000000" w:sz="4" w:space="0"/>
              <w:bottom w:val="single" w:color="000000" w:sz="4" w:space="0"/>
              <w:right w:val="single" w:color="000000" w:sz="4" w:space="0"/>
            </w:tcBorders>
            <w:noWrap w:val="0"/>
            <w:vAlign w:val="center"/>
          </w:tcPr>
          <w:p w14:paraId="49BC6E6C">
            <w:pPr>
              <w:spacing w:line="240" w:lineRule="exact"/>
              <w:jc w:val="left"/>
              <w:rPr>
                <w:rStyle w:val="49"/>
                <w:rFonts w:ascii="宋体" w:hAnsi="宋体"/>
                <w:color w:val="auto"/>
                <w:kern w:val="0"/>
                <w:sz w:val="18"/>
                <w:szCs w:val="18"/>
                <w:highlight w:val="none"/>
              </w:rPr>
            </w:pPr>
            <w:r>
              <w:rPr>
                <w:rStyle w:val="49"/>
                <w:rFonts w:ascii="宋体" w:hAnsi="宋体"/>
                <w:color w:val="auto"/>
                <w:kern w:val="0"/>
                <w:sz w:val="18"/>
                <w:szCs w:val="18"/>
                <w:highlight w:val="none"/>
              </w:rPr>
              <w:t>餐饮业</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0194A6F0">
            <w:pPr>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从业人员(X)</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8FB5E6F">
            <w:pPr>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人</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36BFDB33">
            <w:pPr>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X≥300</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1A0E820B">
            <w:pPr>
              <w:ind w:left="1" w:leftChars="-51" w:hanging="108"/>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 xml:space="preserve">100≤X＜300 </w:t>
            </w:r>
          </w:p>
        </w:tc>
        <w:tc>
          <w:tcPr>
            <w:tcW w:w="1426" w:type="dxa"/>
            <w:tcBorders>
              <w:top w:val="single" w:color="000000" w:sz="4" w:space="0"/>
              <w:left w:val="single" w:color="000000" w:sz="4" w:space="0"/>
              <w:bottom w:val="single" w:color="000000" w:sz="4" w:space="0"/>
              <w:right w:val="single" w:color="000000" w:sz="4" w:space="0"/>
            </w:tcBorders>
            <w:noWrap w:val="0"/>
            <w:vAlign w:val="center"/>
          </w:tcPr>
          <w:p w14:paraId="45BCA51D">
            <w:pPr>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10≤X＜100</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10184208">
            <w:pPr>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X＜10</w:t>
            </w:r>
          </w:p>
        </w:tc>
      </w:tr>
      <w:tr w14:paraId="47ACA8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11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362644A">
            <w:pPr>
              <w:jc w:val="left"/>
              <w:rPr>
                <w:rStyle w:val="49"/>
                <w:rFonts w:ascii="宋体" w:hAnsi="宋体"/>
                <w:color w:val="auto"/>
                <w:kern w:val="0"/>
                <w:sz w:val="18"/>
                <w:szCs w:val="18"/>
                <w:highlight w:val="none"/>
              </w:rPr>
            </w:pP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5D0009FD">
            <w:pPr>
              <w:spacing w:line="240" w:lineRule="exact"/>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营业收入(Y)</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D1BCE50">
            <w:pPr>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万元</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14FB9B6B">
            <w:pPr>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Y≥10000</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385059B1">
            <w:pPr>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2000≤Y＜10000</w:t>
            </w:r>
          </w:p>
        </w:tc>
        <w:tc>
          <w:tcPr>
            <w:tcW w:w="1426" w:type="dxa"/>
            <w:tcBorders>
              <w:top w:val="single" w:color="000000" w:sz="4" w:space="0"/>
              <w:left w:val="single" w:color="000000" w:sz="4" w:space="0"/>
              <w:bottom w:val="single" w:color="000000" w:sz="4" w:space="0"/>
              <w:right w:val="single" w:color="000000" w:sz="4" w:space="0"/>
            </w:tcBorders>
            <w:noWrap w:val="0"/>
            <w:vAlign w:val="center"/>
          </w:tcPr>
          <w:p w14:paraId="3118956B">
            <w:pPr>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100≤Y＜2000</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180519B9">
            <w:pPr>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Y＜100</w:t>
            </w:r>
          </w:p>
        </w:tc>
      </w:tr>
      <w:tr w14:paraId="2A2727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113" w:type="dxa"/>
            <w:vMerge w:val="restart"/>
            <w:tcBorders>
              <w:top w:val="single" w:color="000000" w:sz="4" w:space="0"/>
              <w:left w:val="single" w:color="000000" w:sz="4" w:space="0"/>
              <w:bottom w:val="single" w:color="000000" w:sz="4" w:space="0"/>
              <w:right w:val="single" w:color="000000" w:sz="4" w:space="0"/>
            </w:tcBorders>
            <w:noWrap w:val="0"/>
            <w:vAlign w:val="center"/>
          </w:tcPr>
          <w:p w14:paraId="0C5C73A4">
            <w:pPr>
              <w:spacing w:line="240" w:lineRule="exact"/>
              <w:jc w:val="left"/>
              <w:rPr>
                <w:rStyle w:val="49"/>
                <w:rFonts w:ascii="宋体" w:hAnsi="宋体"/>
                <w:color w:val="auto"/>
                <w:kern w:val="0"/>
                <w:sz w:val="18"/>
                <w:szCs w:val="18"/>
                <w:highlight w:val="none"/>
              </w:rPr>
            </w:pPr>
            <w:r>
              <w:rPr>
                <w:rStyle w:val="49"/>
                <w:rFonts w:ascii="宋体" w:hAnsi="宋体"/>
                <w:color w:val="auto"/>
                <w:kern w:val="0"/>
                <w:sz w:val="18"/>
                <w:szCs w:val="18"/>
                <w:highlight w:val="none"/>
              </w:rPr>
              <w:t>信息传输业 *</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7529C159">
            <w:pPr>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从业人员(X)</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CB973EA">
            <w:pPr>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人</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6BF1B71C">
            <w:pPr>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X≥2000</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008452AB">
            <w:pPr>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100≤X＜2000</w:t>
            </w:r>
          </w:p>
        </w:tc>
        <w:tc>
          <w:tcPr>
            <w:tcW w:w="1426" w:type="dxa"/>
            <w:tcBorders>
              <w:top w:val="single" w:color="000000" w:sz="4" w:space="0"/>
              <w:left w:val="single" w:color="000000" w:sz="4" w:space="0"/>
              <w:bottom w:val="single" w:color="000000" w:sz="4" w:space="0"/>
              <w:right w:val="single" w:color="000000" w:sz="4" w:space="0"/>
            </w:tcBorders>
            <w:noWrap w:val="0"/>
            <w:vAlign w:val="center"/>
          </w:tcPr>
          <w:p w14:paraId="1A15483D">
            <w:pPr>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10≤X＜100</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79F0523A">
            <w:pPr>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X＜10</w:t>
            </w:r>
          </w:p>
        </w:tc>
      </w:tr>
      <w:tr w14:paraId="5A9789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11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D44A79F">
            <w:pPr>
              <w:jc w:val="left"/>
              <w:rPr>
                <w:rStyle w:val="49"/>
                <w:rFonts w:ascii="宋体" w:hAnsi="宋体"/>
                <w:color w:val="auto"/>
                <w:kern w:val="0"/>
                <w:sz w:val="18"/>
                <w:szCs w:val="18"/>
                <w:highlight w:val="none"/>
              </w:rPr>
            </w:pP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3D6689A0">
            <w:pPr>
              <w:spacing w:line="240" w:lineRule="exact"/>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营业收入(Y)</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FB854FE">
            <w:pPr>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万元</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22E23951">
            <w:pPr>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Y≥100000</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39A0E193">
            <w:pPr>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1000≤Y＜100000</w:t>
            </w:r>
          </w:p>
        </w:tc>
        <w:tc>
          <w:tcPr>
            <w:tcW w:w="1426" w:type="dxa"/>
            <w:tcBorders>
              <w:top w:val="single" w:color="000000" w:sz="4" w:space="0"/>
              <w:left w:val="single" w:color="000000" w:sz="4" w:space="0"/>
              <w:bottom w:val="single" w:color="000000" w:sz="4" w:space="0"/>
              <w:right w:val="single" w:color="000000" w:sz="4" w:space="0"/>
            </w:tcBorders>
            <w:noWrap w:val="0"/>
            <w:vAlign w:val="center"/>
          </w:tcPr>
          <w:p w14:paraId="7A1BB494">
            <w:pPr>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100≤Y＜1000</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18D244AA">
            <w:pPr>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Y＜100</w:t>
            </w:r>
          </w:p>
        </w:tc>
      </w:tr>
      <w:tr w14:paraId="4F8D5B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2113" w:type="dxa"/>
            <w:vMerge w:val="restart"/>
            <w:tcBorders>
              <w:top w:val="single" w:color="000000" w:sz="4" w:space="0"/>
              <w:left w:val="single" w:color="000000" w:sz="4" w:space="0"/>
              <w:bottom w:val="single" w:color="000000" w:sz="4" w:space="0"/>
              <w:right w:val="single" w:color="000000" w:sz="4" w:space="0"/>
            </w:tcBorders>
            <w:noWrap w:val="0"/>
            <w:vAlign w:val="center"/>
          </w:tcPr>
          <w:p w14:paraId="3B5611E5">
            <w:pPr>
              <w:spacing w:line="240" w:lineRule="exact"/>
              <w:jc w:val="left"/>
              <w:rPr>
                <w:rStyle w:val="49"/>
                <w:rFonts w:ascii="宋体" w:hAnsi="宋体"/>
                <w:color w:val="auto"/>
                <w:spacing w:val="-12"/>
                <w:kern w:val="0"/>
                <w:sz w:val="18"/>
                <w:szCs w:val="18"/>
                <w:highlight w:val="none"/>
              </w:rPr>
            </w:pPr>
            <w:r>
              <w:rPr>
                <w:rStyle w:val="49"/>
                <w:rFonts w:ascii="宋体" w:hAnsi="宋体"/>
                <w:color w:val="auto"/>
                <w:spacing w:val="-12"/>
                <w:kern w:val="0"/>
                <w:sz w:val="18"/>
                <w:szCs w:val="18"/>
                <w:highlight w:val="none"/>
              </w:rPr>
              <w:t>软件和信息技术服</w:t>
            </w:r>
            <w:r>
              <w:rPr>
                <w:rStyle w:val="49"/>
                <w:rFonts w:ascii="宋体" w:hAnsi="宋体"/>
                <w:color w:val="auto"/>
                <w:kern w:val="0"/>
                <w:sz w:val="18"/>
                <w:szCs w:val="18"/>
                <w:highlight w:val="none"/>
              </w:rPr>
              <w:t>务业</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1C048FF4">
            <w:pPr>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从业人员(X)</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BDD9413">
            <w:pPr>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人</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2687BB7B">
            <w:pPr>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X≥300</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3AD355C6">
            <w:pPr>
              <w:ind w:left="1" w:leftChars="-51" w:hanging="108"/>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 xml:space="preserve">100≤X＜300 </w:t>
            </w:r>
          </w:p>
        </w:tc>
        <w:tc>
          <w:tcPr>
            <w:tcW w:w="1426" w:type="dxa"/>
            <w:tcBorders>
              <w:top w:val="single" w:color="000000" w:sz="4" w:space="0"/>
              <w:left w:val="single" w:color="000000" w:sz="4" w:space="0"/>
              <w:bottom w:val="single" w:color="000000" w:sz="4" w:space="0"/>
              <w:right w:val="single" w:color="000000" w:sz="4" w:space="0"/>
            </w:tcBorders>
            <w:noWrap w:val="0"/>
            <w:vAlign w:val="center"/>
          </w:tcPr>
          <w:p w14:paraId="70879A5B">
            <w:pPr>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10≤X＜100</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3E5A56D4">
            <w:pPr>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X＜10</w:t>
            </w:r>
          </w:p>
        </w:tc>
      </w:tr>
      <w:tr w14:paraId="3B88DF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211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F9DC679">
            <w:pPr>
              <w:jc w:val="left"/>
              <w:rPr>
                <w:rStyle w:val="49"/>
                <w:rFonts w:ascii="宋体" w:hAnsi="宋体"/>
                <w:color w:val="auto"/>
                <w:spacing w:val="-12"/>
                <w:kern w:val="0"/>
                <w:sz w:val="18"/>
                <w:szCs w:val="18"/>
                <w:highlight w:val="none"/>
              </w:rPr>
            </w:pP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07213983">
            <w:pPr>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营业收入(Y)</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6AAF529A">
            <w:pPr>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万元</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52251D09">
            <w:pPr>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Y≥10000</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7A0EEA38">
            <w:pPr>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1000≤Y＜10000</w:t>
            </w:r>
          </w:p>
        </w:tc>
        <w:tc>
          <w:tcPr>
            <w:tcW w:w="1426" w:type="dxa"/>
            <w:tcBorders>
              <w:top w:val="single" w:color="000000" w:sz="4" w:space="0"/>
              <w:left w:val="single" w:color="000000" w:sz="4" w:space="0"/>
              <w:bottom w:val="single" w:color="000000" w:sz="4" w:space="0"/>
              <w:right w:val="single" w:color="000000" w:sz="4" w:space="0"/>
            </w:tcBorders>
            <w:noWrap w:val="0"/>
            <w:vAlign w:val="center"/>
          </w:tcPr>
          <w:p w14:paraId="283014CB">
            <w:pPr>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50≤Y＜1000</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36FFAA52">
            <w:pPr>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Y＜50</w:t>
            </w:r>
          </w:p>
        </w:tc>
      </w:tr>
      <w:tr w14:paraId="2700E5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2113" w:type="dxa"/>
            <w:vMerge w:val="restart"/>
            <w:tcBorders>
              <w:top w:val="single" w:color="000000" w:sz="4" w:space="0"/>
              <w:left w:val="single" w:color="000000" w:sz="4" w:space="0"/>
              <w:bottom w:val="single" w:color="000000" w:sz="4" w:space="0"/>
              <w:right w:val="single" w:color="000000" w:sz="4" w:space="0"/>
            </w:tcBorders>
            <w:noWrap w:val="0"/>
            <w:vAlign w:val="center"/>
          </w:tcPr>
          <w:p w14:paraId="4CE15E2E">
            <w:pPr>
              <w:spacing w:line="240" w:lineRule="exact"/>
              <w:jc w:val="left"/>
              <w:rPr>
                <w:rStyle w:val="49"/>
                <w:rFonts w:ascii="宋体" w:hAnsi="宋体"/>
                <w:color w:val="auto"/>
                <w:kern w:val="0"/>
                <w:sz w:val="18"/>
                <w:szCs w:val="18"/>
                <w:highlight w:val="none"/>
              </w:rPr>
            </w:pPr>
            <w:r>
              <w:rPr>
                <w:rStyle w:val="49"/>
                <w:rFonts w:ascii="宋体" w:hAnsi="宋体"/>
                <w:color w:val="auto"/>
                <w:kern w:val="0"/>
                <w:sz w:val="18"/>
                <w:szCs w:val="18"/>
                <w:highlight w:val="none"/>
              </w:rPr>
              <w:t>房地产开发经营</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1EAE3B62">
            <w:pPr>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营业收入(Y)</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5A6BB58">
            <w:pPr>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万元</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173BA208">
            <w:pPr>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Y≥200000</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43C0551B">
            <w:pPr>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1000≤Y＜200000</w:t>
            </w:r>
          </w:p>
        </w:tc>
        <w:tc>
          <w:tcPr>
            <w:tcW w:w="1426" w:type="dxa"/>
            <w:tcBorders>
              <w:top w:val="single" w:color="000000" w:sz="4" w:space="0"/>
              <w:left w:val="single" w:color="000000" w:sz="4" w:space="0"/>
              <w:bottom w:val="single" w:color="000000" w:sz="4" w:space="0"/>
              <w:right w:val="single" w:color="000000" w:sz="4" w:space="0"/>
            </w:tcBorders>
            <w:noWrap w:val="0"/>
            <w:vAlign w:val="center"/>
          </w:tcPr>
          <w:p w14:paraId="43901ECE">
            <w:pPr>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100≤Y＜1000</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735555F0">
            <w:pPr>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Y＜100</w:t>
            </w:r>
          </w:p>
        </w:tc>
      </w:tr>
      <w:tr w14:paraId="184A24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211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DC4A657">
            <w:pPr>
              <w:jc w:val="left"/>
              <w:rPr>
                <w:rStyle w:val="49"/>
                <w:rFonts w:ascii="宋体" w:hAnsi="宋体"/>
                <w:color w:val="auto"/>
                <w:kern w:val="0"/>
                <w:sz w:val="18"/>
                <w:szCs w:val="18"/>
                <w:highlight w:val="none"/>
              </w:rPr>
            </w:pP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5DE79A42">
            <w:pPr>
              <w:spacing w:line="240" w:lineRule="exact"/>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资产总额(Z)</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E2B7F6B">
            <w:pPr>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万元</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0B187800">
            <w:pPr>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Z≥10000</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28A375AD">
            <w:pPr>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5000≤Z＜10000</w:t>
            </w:r>
          </w:p>
        </w:tc>
        <w:tc>
          <w:tcPr>
            <w:tcW w:w="1426" w:type="dxa"/>
            <w:tcBorders>
              <w:top w:val="single" w:color="000000" w:sz="4" w:space="0"/>
              <w:left w:val="single" w:color="000000" w:sz="4" w:space="0"/>
              <w:bottom w:val="single" w:color="000000" w:sz="4" w:space="0"/>
              <w:right w:val="single" w:color="000000" w:sz="4" w:space="0"/>
            </w:tcBorders>
            <w:noWrap w:val="0"/>
            <w:vAlign w:val="center"/>
          </w:tcPr>
          <w:p w14:paraId="2CC0F1B5">
            <w:pPr>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2000≤Z＜5000</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4603037C">
            <w:pPr>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Z＜2000</w:t>
            </w:r>
          </w:p>
        </w:tc>
      </w:tr>
      <w:tr w14:paraId="286E8D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2113" w:type="dxa"/>
            <w:vMerge w:val="restart"/>
            <w:tcBorders>
              <w:top w:val="single" w:color="000000" w:sz="4" w:space="0"/>
              <w:left w:val="single" w:color="000000" w:sz="4" w:space="0"/>
              <w:bottom w:val="single" w:color="000000" w:sz="4" w:space="0"/>
              <w:right w:val="single" w:color="000000" w:sz="4" w:space="0"/>
            </w:tcBorders>
            <w:noWrap w:val="0"/>
            <w:vAlign w:val="center"/>
          </w:tcPr>
          <w:p w14:paraId="603A1620">
            <w:pPr>
              <w:spacing w:line="240" w:lineRule="exact"/>
              <w:jc w:val="left"/>
              <w:rPr>
                <w:rStyle w:val="49"/>
                <w:rFonts w:ascii="宋体" w:hAnsi="宋体"/>
                <w:color w:val="auto"/>
                <w:kern w:val="0"/>
                <w:sz w:val="18"/>
                <w:szCs w:val="18"/>
                <w:highlight w:val="none"/>
              </w:rPr>
            </w:pPr>
            <w:r>
              <w:rPr>
                <w:rStyle w:val="49"/>
                <w:rFonts w:ascii="宋体" w:hAnsi="宋体"/>
                <w:color w:val="auto"/>
                <w:kern w:val="0"/>
                <w:sz w:val="18"/>
                <w:szCs w:val="18"/>
                <w:highlight w:val="none"/>
              </w:rPr>
              <w:t>物业管理</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56F15B4D">
            <w:pPr>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从业人员(X)</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32DA298">
            <w:pPr>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人</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42B75FC2">
            <w:pPr>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X≥1000</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14902D00">
            <w:pPr>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300≤X＜1000</w:t>
            </w:r>
          </w:p>
        </w:tc>
        <w:tc>
          <w:tcPr>
            <w:tcW w:w="1426" w:type="dxa"/>
            <w:tcBorders>
              <w:top w:val="single" w:color="000000" w:sz="4" w:space="0"/>
              <w:left w:val="single" w:color="000000" w:sz="4" w:space="0"/>
              <w:bottom w:val="single" w:color="000000" w:sz="4" w:space="0"/>
              <w:right w:val="single" w:color="000000" w:sz="4" w:space="0"/>
            </w:tcBorders>
            <w:noWrap w:val="0"/>
            <w:vAlign w:val="center"/>
          </w:tcPr>
          <w:p w14:paraId="04724DF1">
            <w:pPr>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100≤X＜300</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30D4DB73">
            <w:pPr>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X＜100</w:t>
            </w:r>
          </w:p>
        </w:tc>
      </w:tr>
      <w:tr w14:paraId="679A7A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211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A8DCD27">
            <w:pPr>
              <w:jc w:val="left"/>
              <w:rPr>
                <w:rStyle w:val="49"/>
                <w:rFonts w:ascii="宋体" w:hAnsi="宋体"/>
                <w:color w:val="auto"/>
                <w:kern w:val="0"/>
                <w:sz w:val="18"/>
                <w:szCs w:val="18"/>
                <w:highlight w:val="none"/>
              </w:rPr>
            </w:pP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4568A8E1">
            <w:pPr>
              <w:spacing w:line="240" w:lineRule="exact"/>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营业收入(Y)</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CA23DDC">
            <w:pPr>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万元</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341F2CFA">
            <w:pPr>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Y≥5000</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5464B08D">
            <w:pPr>
              <w:ind w:left="1" w:leftChars="-51" w:hanging="108"/>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1000≤Y＜5000</w:t>
            </w:r>
          </w:p>
        </w:tc>
        <w:tc>
          <w:tcPr>
            <w:tcW w:w="1426" w:type="dxa"/>
            <w:tcBorders>
              <w:top w:val="single" w:color="000000" w:sz="4" w:space="0"/>
              <w:left w:val="single" w:color="000000" w:sz="4" w:space="0"/>
              <w:bottom w:val="single" w:color="000000" w:sz="4" w:space="0"/>
              <w:right w:val="single" w:color="000000" w:sz="4" w:space="0"/>
            </w:tcBorders>
            <w:noWrap w:val="0"/>
            <w:vAlign w:val="center"/>
          </w:tcPr>
          <w:p w14:paraId="6F36122A">
            <w:pPr>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500≤Y＜1000</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12A47DE3">
            <w:pPr>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Y＜500</w:t>
            </w:r>
          </w:p>
        </w:tc>
      </w:tr>
      <w:tr w14:paraId="677C87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2113" w:type="dxa"/>
            <w:vMerge w:val="restart"/>
            <w:tcBorders>
              <w:top w:val="single" w:color="000000" w:sz="4" w:space="0"/>
              <w:left w:val="single" w:color="000000" w:sz="4" w:space="0"/>
              <w:bottom w:val="single" w:color="000000" w:sz="4" w:space="0"/>
              <w:right w:val="single" w:color="000000" w:sz="4" w:space="0"/>
            </w:tcBorders>
            <w:noWrap w:val="0"/>
            <w:vAlign w:val="center"/>
          </w:tcPr>
          <w:p w14:paraId="2EA1509B">
            <w:pPr>
              <w:spacing w:line="240" w:lineRule="exact"/>
              <w:jc w:val="left"/>
              <w:rPr>
                <w:rStyle w:val="49"/>
                <w:rFonts w:ascii="宋体" w:hAnsi="宋体"/>
                <w:color w:val="auto"/>
                <w:kern w:val="0"/>
                <w:sz w:val="18"/>
                <w:szCs w:val="18"/>
                <w:highlight w:val="none"/>
              </w:rPr>
            </w:pPr>
            <w:r>
              <w:rPr>
                <w:rStyle w:val="49"/>
                <w:rFonts w:ascii="宋体" w:hAnsi="宋体"/>
                <w:color w:val="auto"/>
                <w:kern w:val="0"/>
                <w:sz w:val="18"/>
                <w:szCs w:val="18"/>
                <w:highlight w:val="none"/>
              </w:rPr>
              <w:t>租赁和商务服务业</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164C8CC1">
            <w:pPr>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从业人员(X)</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39EB99EE">
            <w:pPr>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人</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61A86AA8">
            <w:pPr>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X≥300</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6A260C05">
            <w:pPr>
              <w:ind w:left="1" w:leftChars="-51" w:hanging="108"/>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100≤X＜300</w:t>
            </w:r>
          </w:p>
        </w:tc>
        <w:tc>
          <w:tcPr>
            <w:tcW w:w="1426" w:type="dxa"/>
            <w:tcBorders>
              <w:top w:val="single" w:color="000000" w:sz="4" w:space="0"/>
              <w:left w:val="single" w:color="000000" w:sz="4" w:space="0"/>
              <w:bottom w:val="single" w:color="000000" w:sz="4" w:space="0"/>
              <w:right w:val="single" w:color="000000" w:sz="4" w:space="0"/>
            </w:tcBorders>
            <w:noWrap w:val="0"/>
            <w:vAlign w:val="center"/>
          </w:tcPr>
          <w:p w14:paraId="50215247">
            <w:pPr>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10≤X＜100</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79BA9610">
            <w:pPr>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X＜10</w:t>
            </w:r>
          </w:p>
        </w:tc>
      </w:tr>
      <w:tr w14:paraId="53209D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211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638127F">
            <w:pPr>
              <w:jc w:val="left"/>
              <w:rPr>
                <w:rStyle w:val="49"/>
                <w:rFonts w:ascii="宋体" w:hAnsi="宋体"/>
                <w:color w:val="auto"/>
                <w:kern w:val="0"/>
                <w:sz w:val="18"/>
                <w:szCs w:val="18"/>
                <w:highlight w:val="none"/>
              </w:rPr>
            </w:pP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37F8E0C2">
            <w:pPr>
              <w:spacing w:line="240" w:lineRule="exact"/>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资产总额(Z)</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DC1D456">
            <w:pPr>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万元</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2FADB55C">
            <w:pPr>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Z≥120000</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410E5612">
            <w:pPr>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8000≤Z＜120000</w:t>
            </w:r>
          </w:p>
        </w:tc>
        <w:tc>
          <w:tcPr>
            <w:tcW w:w="1426" w:type="dxa"/>
            <w:tcBorders>
              <w:top w:val="single" w:color="000000" w:sz="4" w:space="0"/>
              <w:left w:val="single" w:color="000000" w:sz="4" w:space="0"/>
              <w:bottom w:val="single" w:color="000000" w:sz="4" w:space="0"/>
              <w:right w:val="single" w:color="000000" w:sz="4" w:space="0"/>
            </w:tcBorders>
            <w:noWrap w:val="0"/>
            <w:vAlign w:val="center"/>
          </w:tcPr>
          <w:p w14:paraId="67187482">
            <w:pPr>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100≤Z＜8000</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131B9F36">
            <w:pPr>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Z＜100</w:t>
            </w:r>
          </w:p>
        </w:tc>
      </w:tr>
      <w:tr w14:paraId="52535A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113" w:type="dxa"/>
            <w:tcBorders>
              <w:top w:val="single" w:color="000000" w:sz="4" w:space="0"/>
              <w:left w:val="single" w:color="000000" w:sz="4" w:space="0"/>
              <w:bottom w:val="single" w:color="000000" w:sz="4" w:space="0"/>
              <w:right w:val="single" w:color="000000" w:sz="4" w:space="0"/>
            </w:tcBorders>
            <w:noWrap w:val="0"/>
            <w:vAlign w:val="center"/>
          </w:tcPr>
          <w:p w14:paraId="76433455">
            <w:pPr>
              <w:spacing w:line="240" w:lineRule="exact"/>
              <w:jc w:val="left"/>
              <w:rPr>
                <w:rStyle w:val="49"/>
                <w:rFonts w:ascii="宋体" w:hAnsi="宋体"/>
                <w:color w:val="auto"/>
                <w:kern w:val="0"/>
                <w:sz w:val="18"/>
                <w:szCs w:val="18"/>
                <w:highlight w:val="none"/>
              </w:rPr>
            </w:pPr>
            <w:r>
              <w:rPr>
                <w:rStyle w:val="49"/>
                <w:rFonts w:ascii="宋体" w:hAnsi="宋体"/>
                <w:color w:val="auto"/>
                <w:kern w:val="0"/>
                <w:sz w:val="18"/>
                <w:szCs w:val="18"/>
                <w:highlight w:val="none"/>
              </w:rPr>
              <w:t>其他未列明行业 *</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033A8073">
            <w:pPr>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从业人员(X)</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8635A75">
            <w:pPr>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人</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77931EBB">
            <w:pPr>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X≥300</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03682AA7">
            <w:pPr>
              <w:ind w:left="1" w:leftChars="-51" w:hanging="108"/>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100≤X＜300</w:t>
            </w:r>
          </w:p>
        </w:tc>
        <w:tc>
          <w:tcPr>
            <w:tcW w:w="1426" w:type="dxa"/>
            <w:tcBorders>
              <w:top w:val="single" w:color="000000" w:sz="4" w:space="0"/>
              <w:left w:val="single" w:color="000000" w:sz="4" w:space="0"/>
              <w:bottom w:val="single" w:color="000000" w:sz="4" w:space="0"/>
              <w:right w:val="single" w:color="000000" w:sz="4" w:space="0"/>
            </w:tcBorders>
            <w:noWrap w:val="0"/>
            <w:vAlign w:val="center"/>
          </w:tcPr>
          <w:p w14:paraId="6859F9E4">
            <w:pPr>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10≤X＜100</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464F1AB6">
            <w:pPr>
              <w:jc w:val="center"/>
              <w:rPr>
                <w:rStyle w:val="49"/>
                <w:rFonts w:ascii="宋体" w:hAnsi="宋体"/>
                <w:color w:val="auto"/>
                <w:kern w:val="0"/>
                <w:sz w:val="18"/>
                <w:szCs w:val="18"/>
                <w:highlight w:val="none"/>
              </w:rPr>
            </w:pPr>
            <w:r>
              <w:rPr>
                <w:rStyle w:val="49"/>
                <w:rFonts w:ascii="宋体" w:hAnsi="宋体"/>
                <w:color w:val="auto"/>
                <w:kern w:val="0"/>
                <w:sz w:val="18"/>
                <w:szCs w:val="18"/>
                <w:highlight w:val="none"/>
              </w:rPr>
              <w:t>X＜10</w:t>
            </w:r>
          </w:p>
        </w:tc>
      </w:tr>
    </w:tbl>
    <w:p w14:paraId="46308210">
      <w:pPr>
        <w:spacing w:line="540" w:lineRule="exact"/>
        <w:rPr>
          <w:rStyle w:val="49"/>
          <w:rFonts w:ascii="宋体" w:hAnsi="宋体"/>
          <w:color w:val="auto"/>
          <w:spacing w:val="8"/>
          <w:kern w:val="0"/>
          <w:szCs w:val="21"/>
          <w:highlight w:val="none"/>
        </w:rPr>
      </w:pPr>
    </w:p>
    <w:p w14:paraId="1609D56A">
      <w:pPr>
        <w:spacing w:line="540" w:lineRule="exact"/>
        <w:rPr>
          <w:rStyle w:val="49"/>
          <w:rFonts w:ascii="宋体" w:hAnsi="宋体"/>
          <w:color w:val="auto"/>
          <w:spacing w:val="8"/>
          <w:kern w:val="0"/>
          <w:szCs w:val="21"/>
          <w:highlight w:val="none"/>
        </w:rPr>
      </w:pPr>
      <w:r>
        <w:rPr>
          <w:rStyle w:val="49"/>
          <w:rFonts w:ascii="宋体" w:hAnsi="宋体"/>
          <w:color w:val="auto"/>
          <w:spacing w:val="8"/>
          <w:kern w:val="0"/>
          <w:szCs w:val="21"/>
          <w:highlight w:val="none"/>
        </w:rPr>
        <w:t>说明：</w:t>
      </w:r>
    </w:p>
    <w:p w14:paraId="2668F2F9">
      <w:pPr>
        <w:pStyle w:val="50"/>
        <w:spacing w:line="380" w:lineRule="exact"/>
        <w:ind w:firstLine="452" w:firstLineChars="200"/>
        <w:rPr>
          <w:rStyle w:val="49"/>
          <w:rFonts w:hAnsi="宋体"/>
          <w:color w:val="auto"/>
          <w:spacing w:val="8"/>
          <w:szCs w:val="21"/>
          <w:highlight w:val="none"/>
        </w:rPr>
      </w:pPr>
      <w:r>
        <w:rPr>
          <w:rStyle w:val="49"/>
          <w:rFonts w:hAnsi="宋体"/>
          <w:color w:val="auto"/>
          <w:spacing w:val="8"/>
          <w:szCs w:val="21"/>
          <w:highlight w:val="none"/>
        </w:rPr>
        <w:t>1.大型、中型和小型企业须同时满足所列指标的下限，否则下划一档；微型企业只须满足所列指标中的一项即可。</w:t>
      </w:r>
    </w:p>
    <w:p w14:paraId="15C3549B">
      <w:pPr>
        <w:pStyle w:val="50"/>
        <w:spacing w:line="380" w:lineRule="exact"/>
        <w:ind w:firstLine="452" w:firstLineChars="200"/>
        <w:rPr>
          <w:rStyle w:val="49"/>
          <w:rFonts w:hAnsi="宋体"/>
          <w:color w:val="auto"/>
          <w:spacing w:val="8"/>
          <w:szCs w:val="21"/>
          <w:highlight w:val="none"/>
        </w:rPr>
      </w:pPr>
      <w:r>
        <w:rPr>
          <w:rStyle w:val="49"/>
          <w:rFonts w:hAnsi="宋体"/>
          <w:color w:val="auto"/>
          <w:spacing w:val="8"/>
          <w:szCs w:val="21"/>
          <w:highlight w:val="none"/>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27537E1B">
      <w:pPr>
        <w:pStyle w:val="14"/>
        <w:spacing w:line="340" w:lineRule="exact"/>
        <w:rPr>
          <w:rFonts w:hint="eastAsia" w:ascii="宋体" w:hAnsi="宋体" w:eastAsia="宋体" w:cs="宋体"/>
          <w:b/>
          <w:color w:val="auto"/>
          <w:sz w:val="28"/>
          <w:szCs w:val="28"/>
          <w:highlight w:val="none"/>
          <w:lang w:val="en-US" w:eastAsia="zh-CN"/>
        </w:rPr>
      </w:pPr>
      <w:r>
        <w:rPr>
          <w:rStyle w:val="49"/>
          <w:rFonts w:hAnsi="宋体"/>
          <w:color w:val="auto"/>
          <w:spacing w:val="8"/>
          <w:szCs w:val="21"/>
          <w:highlight w:val="none"/>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7ED9950F">
      <w:pPr>
        <w:pStyle w:val="14"/>
        <w:spacing w:line="340" w:lineRule="exact"/>
        <w:rPr>
          <w:rFonts w:hint="eastAsia" w:ascii="宋体" w:hAnsi="宋体" w:eastAsia="宋体" w:cs="宋体"/>
          <w:b/>
          <w:color w:val="auto"/>
          <w:sz w:val="28"/>
          <w:szCs w:val="28"/>
          <w:highlight w:val="none"/>
          <w:lang w:val="en-US" w:eastAsia="zh-CN"/>
        </w:rPr>
      </w:pPr>
    </w:p>
    <w:p w14:paraId="3B7CDBDC">
      <w:pPr>
        <w:pStyle w:val="7"/>
        <w:rPr>
          <w:rFonts w:hint="eastAsia" w:hAnsi="宋体" w:eastAsia="宋体" w:cs="宋体"/>
          <w:b/>
          <w:color w:val="auto"/>
          <w:sz w:val="28"/>
          <w:szCs w:val="28"/>
          <w:highlight w:val="none"/>
          <w:lang w:val="en-US" w:eastAsia="zh-CN"/>
        </w:rPr>
      </w:pPr>
    </w:p>
    <w:p w14:paraId="4EE8F675">
      <w:pPr>
        <w:rPr>
          <w:rFonts w:hint="eastAsia"/>
          <w:color w:val="auto"/>
          <w:highlight w:val="none"/>
          <w:lang w:val="en-US" w:eastAsia="zh-CN"/>
        </w:rPr>
      </w:pPr>
    </w:p>
    <w:p w14:paraId="47451E38">
      <w:pPr>
        <w:rPr>
          <w:rFonts w:hint="eastAsia" w:hAnsi="宋体" w:eastAsia="宋体" w:cs="宋体"/>
          <w:b/>
          <w:color w:val="auto"/>
          <w:sz w:val="28"/>
          <w:szCs w:val="28"/>
          <w:highlight w:val="none"/>
          <w:lang w:val="en-US" w:eastAsia="zh-CN"/>
        </w:rPr>
      </w:pPr>
      <w:r>
        <w:rPr>
          <w:rFonts w:hint="eastAsia" w:hAnsi="宋体" w:eastAsia="宋体" w:cs="宋体"/>
          <w:b/>
          <w:color w:val="auto"/>
          <w:sz w:val="28"/>
          <w:szCs w:val="28"/>
          <w:highlight w:val="none"/>
          <w:lang w:val="en-US" w:eastAsia="zh-CN"/>
        </w:rPr>
        <w:br w:type="page"/>
      </w:r>
    </w:p>
    <w:p w14:paraId="64DCA17F">
      <w:pPr>
        <w:spacing w:line="588" w:lineRule="exact"/>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lang w:eastAsia="zh-CN"/>
        </w:rPr>
        <w:t>（</w:t>
      </w:r>
      <w:r>
        <w:rPr>
          <w:rFonts w:hint="eastAsia" w:ascii="宋体" w:hAnsi="宋体" w:eastAsia="宋体" w:cs="宋体"/>
          <w:b/>
          <w:color w:val="auto"/>
          <w:kern w:val="0"/>
          <w:sz w:val="21"/>
          <w:szCs w:val="21"/>
          <w:highlight w:val="none"/>
          <w:lang w:val="en-US" w:eastAsia="zh-CN"/>
        </w:rPr>
        <w:t>2</w:t>
      </w:r>
      <w:r>
        <w:rPr>
          <w:rFonts w:hint="eastAsia" w:ascii="宋体" w:hAnsi="宋体" w:eastAsia="宋体" w:cs="宋体"/>
          <w:b/>
          <w:color w:val="auto"/>
          <w:kern w:val="0"/>
          <w:sz w:val="21"/>
          <w:szCs w:val="21"/>
          <w:highlight w:val="none"/>
          <w:lang w:eastAsia="zh-CN"/>
        </w:rPr>
        <w:t>）</w:t>
      </w:r>
      <w:r>
        <w:rPr>
          <w:rFonts w:hint="eastAsia" w:ascii="宋体" w:hAnsi="宋体" w:eastAsia="宋体" w:cs="宋体"/>
          <w:b/>
          <w:color w:val="auto"/>
          <w:kern w:val="0"/>
          <w:sz w:val="21"/>
          <w:szCs w:val="21"/>
          <w:highlight w:val="none"/>
        </w:rPr>
        <w:t>残疾人福利性单位声明函（格式）</w:t>
      </w:r>
    </w:p>
    <w:p w14:paraId="538A5537">
      <w:pPr>
        <w:spacing w:line="588" w:lineRule="exact"/>
        <w:rPr>
          <w:rFonts w:hint="eastAsia" w:ascii="宋体" w:hAnsi="宋体" w:eastAsia="宋体" w:cs="宋体"/>
          <w:b/>
          <w:color w:val="auto"/>
          <w:kern w:val="0"/>
          <w:sz w:val="21"/>
          <w:szCs w:val="21"/>
          <w:highlight w:val="none"/>
        </w:rPr>
      </w:pPr>
    </w:p>
    <w:p w14:paraId="61E48A27">
      <w:pPr>
        <w:spacing w:line="588" w:lineRule="exact"/>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37BB158">
      <w:pPr>
        <w:spacing w:line="588" w:lineRule="exact"/>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本单位对上述声明的真实性负责。如有虚假，将依法承担相应责任。</w:t>
      </w:r>
    </w:p>
    <w:p w14:paraId="69D31172">
      <w:pPr>
        <w:spacing w:line="588" w:lineRule="exact"/>
        <w:ind w:firstLine="420" w:firstLineChars="200"/>
        <w:rPr>
          <w:rFonts w:hint="eastAsia" w:ascii="宋体" w:hAnsi="宋体" w:eastAsia="宋体" w:cs="宋体"/>
          <w:color w:val="auto"/>
          <w:kern w:val="0"/>
          <w:sz w:val="21"/>
          <w:szCs w:val="21"/>
          <w:highlight w:val="none"/>
        </w:rPr>
      </w:pPr>
    </w:p>
    <w:p w14:paraId="70808E1E">
      <w:pPr>
        <w:widowControl/>
        <w:ind w:firstLine="2310" w:firstLineChars="11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sz w:val="21"/>
          <w:szCs w:val="21"/>
          <w:highlight w:val="none"/>
          <w:lang w:eastAsia="zh-CN"/>
        </w:rPr>
        <w:t>磋商供应商</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公章</w:t>
      </w:r>
      <w:r>
        <w:rPr>
          <w:rFonts w:hint="eastAsia" w:ascii="宋体" w:hAnsi="宋体" w:eastAsia="宋体" w:cs="宋体"/>
          <w:color w:val="auto"/>
          <w:sz w:val="21"/>
          <w:szCs w:val="21"/>
          <w:highlight w:val="none"/>
          <w:lang w:val="en-US" w:eastAsia="zh-CN"/>
        </w:rPr>
        <w:t>(CA签章)]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66BBA03E">
      <w:pPr>
        <w:pStyle w:val="14"/>
        <w:spacing w:line="300" w:lineRule="exact"/>
        <w:ind w:left="2940" w:leftChars="1400" w:firstLine="630" w:firstLineChars="300"/>
        <w:rPr>
          <w:rFonts w:hint="eastAsia" w:ascii="宋体" w:hAnsi="宋体" w:eastAsia="宋体" w:cs="宋体"/>
          <w:color w:val="auto"/>
          <w:sz w:val="21"/>
          <w:szCs w:val="21"/>
          <w:highlight w:val="none"/>
        </w:rPr>
      </w:pPr>
    </w:p>
    <w:p w14:paraId="704B65CB">
      <w:pPr>
        <w:ind w:firstLine="4200" w:firstLineChars="20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7E832B89">
      <w:pPr>
        <w:pStyle w:val="5"/>
        <w:rPr>
          <w:rFonts w:hint="eastAsia" w:ascii="宋体" w:hAnsi="宋体" w:eastAsia="宋体" w:cs="宋体"/>
          <w:color w:val="auto"/>
          <w:sz w:val="21"/>
          <w:szCs w:val="21"/>
          <w:highlight w:val="none"/>
          <w:u w:val="single"/>
        </w:rPr>
      </w:pPr>
    </w:p>
    <w:p w14:paraId="47A2D4EE">
      <w:pPr>
        <w:rPr>
          <w:rFonts w:hint="eastAsia" w:ascii="宋体" w:hAnsi="宋体" w:eastAsia="宋体" w:cs="宋体"/>
          <w:color w:val="auto"/>
          <w:sz w:val="21"/>
          <w:szCs w:val="21"/>
          <w:highlight w:val="none"/>
          <w:u w:val="single"/>
        </w:rPr>
      </w:pPr>
    </w:p>
    <w:p w14:paraId="02AEE87B">
      <w:pPr>
        <w:pStyle w:val="5"/>
        <w:rPr>
          <w:rFonts w:hint="eastAsia" w:ascii="宋体" w:hAnsi="宋体" w:eastAsia="宋体" w:cs="宋体"/>
          <w:color w:val="auto"/>
          <w:sz w:val="21"/>
          <w:szCs w:val="21"/>
          <w:highlight w:val="none"/>
          <w:u w:val="single"/>
        </w:rPr>
      </w:pPr>
    </w:p>
    <w:p w14:paraId="2B10AAA2">
      <w:pPr>
        <w:rPr>
          <w:rFonts w:hint="eastAsia" w:ascii="宋体" w:hAnsi="宋体" w:eastAsia="宋体" w:cs="宋体"/>
          <w:color w:val="auto"/>
          <w:sz w:val="21"/>
          <w:szCs w:val="21"/>
          <w:highlight w:val="none"/>
          <w:u w:val="single"/>
        </w:rPr>
      </w:pPr>
    </w:p>
    <w:p w14:paraId="003115FF">
      <w:pPr>
        <w:pStyle w:val="5"/>
        <w:rPr>
          <w:rFonts w:hint="eastAsia" w:ascii="宋体" w:hAnsi="宋体" w:eastAsia="宋体" w:cs="宋体"/>
          <w:b/>
          <w:bCs w:val="0"/>
          <w:color w:val="auto"/>
          <w:kern w:val="0"/>
          <w:sz w:val="21"/>
          <w:szCs w:val="21"/>
          <w:highlight w:val="none"/>
          <w:lang w:val="en-US" w:eastAsia="zh-CN" w:bidi="ar-SA"/>
        </w:rPr>
      </w:pPr>
      <w:bookmarkStart w:id="2382" w:name="_Toc5077"/>
      <w:r>
        <w:rPr>
          <w:rFonts w:hint="eastAsia" w:ascii="宋体" w:hAnsi="宋体" w:eastAsia="宋体" w:cs="宋体"/>
          <w:b/>
          <w:bCs w:val="0"/>
          <w:color w:val="auto"/>
          <w:kern w:val="0"/>
          <w:sz w:val="21"/>
          <w:szCs w:val="21"/>
          <w:highlight w:val="none"/>
          <w:lang w:val="en-US" w:eastAsia="zh-CN" w:bidi="ar-SA"/>
        </w:rPr>
        <w:t>（3）监狱企业的证明文件复印件[供应商如为监狱企业的，应当提供由省级以上监狱管理局、戒毒管理局（含新疆生产建设兵团）出具的属于监狱企业的证明文件, 否则不予享受优惠政策]</w:t>
      </w:r>
      <w:bookmarkEnd w:id="2382"/>
    </w:p>
    <w:p w14:paraId="4A0D9081">
      <w:pPr>
        <w:pStyle w:val="5"/>
        <w:rPr>
          <w:rFonts w:hint="eastAsia" w:ascii="宋体" w:hAnsi="宋体" w:eastAsia="宋体" w:cs="宋体"/>
          <w:color w:val="auto"/>
          <w:sz w:val="21"/>
          <w:szCs w:val="21"/>
          <w:highlight w:val="none"/>
          <w:u w:val="single"/>
        </w:rPr>
      </w:pPr>
    </w:p>
    <w:p w14:paraId="5BAE039E">
      <w:pPr>
        <w:rPr>
          <w:rFonts w:hint="eastAsia" w:ascii="宋体" w:hAnsi="宋体" w:eastAsia="宋体" w:cs="宋体"/>
          <w:color w:val="auto"/>
          <w:sz w:val="21"/>
          <w:szCs w:val="21"/>
          <w:highlight w:val="none"/>
          <w:u w:val="single"/>
        </w:rPr>
      </w:pPr>
    </w:p>
    <w:p w14:paraId="468EE64C">
      <w:pPr>
        <w:pStyle w:val="5"/>
        <w:rPr>
          <w:rFonts w:hint="eastAsia" w:ascii="宋体" w:hAnsi="宋体" w:eastAsia="宋体" w:cs="宋体"/>
          <w:color w:val="auto"/>
          <w:sz w:val="21"/>
          <w:szCs w:val="21"/>
          <w:highlight w:val="none"/>
          <w:u w:val="single"/>
        </w:rPr>
      </w:pPr>
    </w:p>
    <w:p w14:paraId="6C0F8E51">
      <w:pPr>
        <w:rPr>
          <w:rFonts w:hint="eastAsia" w:ascii="宋体" w:hAnsi="宋体" w:eastAsia="宋体" w:cs="宋体"/>
          <w:color w:val="auto"/>
          <w:sz w:val="21"/>
          <w:szCs w:val="21"/>
          <w:highlight w:val="none"/>
          <w:u w:val="single"/>
        </w:rPr>
      </w:pPr>
    </w:p>
    <w:p w14:paraId="7A22DA28">
      <w:pPr>
        <w:pStyle w:val="5"/>
        <w:rPr>
          <w:rFonts w:hint="eastAsia" w:ascii="宋体" w:hAnsi="宋体" w:eastAsia="宋体" w:cs="宋体"/>
          <w:color w:val="auto"/>
          <w:sz w:val="21"/>
          <w:szCs w:val="21"/>
          <w:highlight w:val="none"/>
          <w:u w:val="single"/>
        </w:rPr>
      </w:pPr>
    </w:p>
    <w:p w14:paraId="641DAB76">
      <w:pPr>
        <w:rPr>
          <w:rFonts w:hint="eastAsia" w:ascii="宋体" w:hAnsi="宋体" w:eastAsia="宋体" w:cs="宋体"/>
          <w:color w:val="auto"/>
          <w:sz w:val="21"/>
          <w:szCs w:val="21"/>
          <w:highlight w:val="none"/>
          <w:u w:val="single"/>
        </w:rPr>
      </w:pPr>
    </w:p>
    <w:p w14:paraId="7258607B">
      <w:pPr>
        <w:rPr>
          <w:rFonts w:hint="eastAsia"/>
          <w:color w:val="auto"/>
          <w:highlight w:val="none"/>
          <w:lang w:val="en-US" w:eastAsia="zh-CN"/>
        </w:rPr>
      </w:pPr>
      <w:r>
        <w:rPr>
          <w:rFonts w:hint="eastAsia"/>
          <w:color w:val="auto"/>
          <w:highlight w:val="none"/>
          <w:lang w:val="en-US" w:eastAsia="zh-CN"/>
        </w:rPr>
        <w:br w:type="page"/>
      </w:r>
    </w:p>
    <w:p w14:paraId="5E866397">
      <w:pPr>
        <w:pStyle w:val="14"/>
        <w:spacing w:line="340" w:lineRule="exact"/>
        <w:rPr>
          <w:rFonts w:hint="default" w:ascii="宋体" w:hAnsi="宋体" w:eastAsia="宋体" w:cs="宋体"/>
          <w:b/>
          <w:color w:val="auto"/>
          <w:sz w:val="28"/>
          <w:szCs w:val="28"/>
          <w:highlight w:val="none"/>
          <w:lang w:val="en-US" w:eastAsia="zh-CN"/>
        </w:rPr>
      </w:pPr>
      <w:r>
        <w:rPr>
          <w:rFonts w:hint="eastAsia" w:hAnsi="宋体" w:eastAsia="宋体" w:cs="宋体"/>
          <w:b/>
          <w:color w:val="auto"/>
          <w:sz w:val="28"/>
          <w:szCs w:val="28"/>
          <w:highlight w:val="none"/>
          <w:lang w:val="en-US" w:eastAsia="zh-CN"/>
        </w:rPr>
        <w:t>7</w:t>
      </w:r>
      <w:r>
        <w:rPr>
          <w:rFonts w:hint="eastAsia" w:ascii="宋体" w:hAnsi="宋体" w:eastAsia="宋体" w:cs="宋体"/>
          <w:b/>
          <w:color w:val="auto"/>
          <w:sz w:val="28"/>
          <w:szCs w:val="28"/>
          <w:highlight w:val="none"/>
          <w:lang w:val="en-US" w:eastAsia="zh-CN"/>
        </w:rPr>
        <w:t>.供应商有效的安全生产许可证书复印件（必须提供）；</w:t>
      </w:r>
    </w:p>
    <w:p w14:paraId="71D802C9">
      <w:pPr>
        <w:pStyle w:val="14"/>
        <w:spacing w:line="340" w:lineRule="exact"/>
        <w:rPr>
          <w:rFonts w:hint="eastAsia" w:ascii="宋体" w:hAnsi="宋体" w:eastAsia="宋体" w:cs="宋体"/>
          <w:b/>
          <w:color w:val="auto"/>
          <w:sz w:val="28"/>
          <w:szCs w:val="28"/>
          <w:highlight w:val="none"/>
          <w:lang w:val="en-US" w:eastAsia="zh-CN"/>
        </w:rPr>
      </w:pPr>
    </w:p>
    <w:p w14:paraId="58D30EEC">
      <w:pPr>
        <w:rPr>
          <w:rFonts w:hint="eastAsia"/>
          <w:color w:val="auto"/>
          <w:highlight w:val="none"/>
          <w:lang w:val="en-US" w:eastAsia="zh-CN"/>
        </w:rPr>
      </w:pPr>
    </w:p>
    <w:p w14:paraId="32FCB274">
      <w:pPr>
        <w:pStyle w:val="14"/>
        <w:spacing w:line="340" w:lineRule="exact"/>
        <w:rPr>
          <w:rFonts w:hint="eastAsia" w:hAnsi="宋体" w:eastAsia="宋体" w:cs="宋体"/>
          <w:b/>
          <w:color w:val="auto"/>
          <w:sz w:val="28"/>
          <w:szCs w:val="28"/>
          <w:highlight w:val="none"/>
          <w:lang w:val="en-US" w:eastAsia="zh-CN"/>
        </w:rPr>
      </w:pPr>
    </w:p>
    <w:p w14:paraId="18A5674E">
      <w:pPr>
        <w:pStyle w:val="14"/>
        <w:spacing w:line="340" w:lineRule="exact"/>
        <w:rPr>
          <w:rFonts w:hint="eastAsia" w:ascii="宋体" w:hAnsi="宋体" w:eastAsia="宋体" w:cs="宋体"/>
          <w:b/>
          <w:color w:val="auto"/>
          <w:sz w:val="28"/>
          <w:szCs w:val="28"/>
          <w:highlight w:val="none"/>
          <w:lang w:val="en-US" w:eastAsia="zh-CN"/>
        </w:rPr>
      </w:pPr>
      <w:r>
        <w:rPr>
          <w:rFonts w:hint="eastAsia" w:hAnsi="宋体" w:eastAsia="宋体" w:cs="宋体"/>
          <w:b/>
          <w:color w:val="auto"/>
          <w:sz w:val="28"/>
          <w:szCs w:val="28"/>
          <w:highlight w:val="none"/>
          <w:lang w:val="en-US" w:eastAsia="zh-CN"/>
        </w:rPr>
        <w:t>8</w:t>
      </w:r>
      <w:r>
        <w:rPr>
          <w:rFonts w:hint="eastAsia" w:ascii="宋体" w:hAnsi="宋体" w:eastAsia="宋体" w:cs="宋体"/>
          <w:b/>
          <w:color w:val="auto"/>
          <w:sz w:val="28"/>
          <w:szCs w:val="28"/>
          <w:highlight w:val="none"/>
          <w:lang w:val="en-US" w:eastAsia="zh-CN"/>
        </w:rPr>
        <w:t>.</w:t>
      </w:r>
      <w:r>
        <w:rPr>
          <w:rFonts w:hint="eastAsia" w:hAnsi="宋体" w:cs="宋体"/>
          <w:b/>
          <w:color w:val="auto"/>
          <w:sz w:val="28"/>
          <w:szCs w:val="28"/>
          <w:highlight w:val="none"/>
          <w:lang w:val="en-US" w:eastAsia="zh-CN"/>
        </w:rPr>
        <w:t>供应商2023或2024年</w:t>
      </w:r>
      <w:r>
        <w:rPr>
          <w:rFonts w:hint="eastAsia" w:hAnsi="宋体" w:cs="宋体"/>
          <w:b/>
          <w:color w:val="auto"/>
          <w:sz w:val="28"/>
          <w:szCs w:val="28"/>
          <w:highlight w:val="none"/>
          <w:lang w:val="en-US" w:eastAsia="zh-CN"/>
        </w:rPr>
        <w:t>度财务状况报告</w:t>
      </w:r>
      <w:r>
        <w:rPr>
          <w:rFonts w:hint="eastAsia" w:ascii="宋体" w:hAnsi="宋体" w:eastAsia="宋体" w:cs="宋体"/>
          <w:b/>
          <w:color w:val="auto"/>
          <w:sz w:val="28"/>
          <w:szCs w:val="28"/>
          <w:highlight w:val="none"/>
          <w:lang w:val="en-US" w:eastAsia="zh-CN"/>
        </w:rPr>
        <w:t>（必须提供，可以是磋商供应商自行编制也可是通过第三方审计公司编制，如为自行编制至少须提供现金流量表、负债表及利润表）；</w:t>
      </w:r>
    </w:p>
    <w:p w14:paraId="4CCDC1F8">
      <w:pPr>
        <w:pStyle w:val="9"/>
        <w:numPr>
          <w:ilvl w:val="0"/>
          <w:numId w:val="0"/>
        </w:numPr>
        <w:rPr>
          <w:rFonts w:hint="eastAsia" w:ascii="宋体" w:hAnsi="宋体" w:eastAsia="宋体" w:cs="宋体"/>
          <w:b/>
          <w:color w:val="auto"/>
          <w:sz w:val="28"/>
          <w:szCs w:val="28"/>
          <w:highlight w:val="none"/>
          <w:lang w:val="en-US" w:eastAsia="zh-CN"/>
        </w:rPr>
      </w:pPr>
    </w:p>
    <w:p w14:paraId="58D893E1">
      <w:pPr>
        <w:pStyle w:val="11"/>
        <w:rPr>
          <w:rFonts w:hint="eastAsia"/>
          <w:color w:val="auto"/>
          <w:highlight w:val="none"/>
          <w:lang w:val="en-US" w:eastAsia="zh-CN"/>
        </w:rPr>
      </w:pPr>
    </w:p>
    <w:p w14:paraId="09C5474E">
      <w:pPr>
        <w:pStyle w:val="9"/>
        <w:numPr>
          <w:ilvl w:val="0"/>
          <w:numId w:val="0"/>
        </w:numPr>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t>9.供应商在磋商当天前近半年内任意一个月或任一季度依法缴纳税收的证明材料（增值税发票(税收完税证明)或企业所得税完税证明或税务部门出具的免税证明）复印件（必须提供）。</w:t>
      </w:r>
    </w:p>
    <w:p w14:paraId="29370534">
      <w:pPr>
        <w:numPr>
          <w:ilvl w:val="0"/>
          <w:numId w:val="0"/>
        </w:numPr>
        <w:ind w:left="420" w:leftChars="0"/>
        <w:jc w:val="center"/>
        <w:rPr>
          <w:rFonts w:hint="eastAsia" w:ascii="宋体" w:hAnsi="宋体" w:cs="宋体"/>
          <w:b/>
          <w:bCs/>
          <w:color w:val="auto"/>
          <w:sz w:val="32"/>
          <w:szCs w:val="32"/>
          <w:highlight w:val="none"/>
          <w:lang w:eastAsia="zh-CN"/>
        </w:rPr>
      </w:pPr>
    </w:p>
    <w:p w14:paraId="475CF419">
      <w:pPr>
        <w:numPr>
          <w:ilvl w:val="0"/>
          <w:numId w:val="0"/>
        </w:numPr>
        <w:ind w:left="420" w:leftChars="0"/>
        <w:jc w:val="center"/>
        <w:rPr>
          <w:rFonts w:hint="eastAsia" w:ascii="宋体" w:hAnsi="宋体" w:cs="宋体"/>
          <w:b/>
          <w:bCs/>
          <w:color w:val="auto"/>
          <w:sz w:val="32"/>
          <w:szCs w:val="32"/>
          <w:highlight w:val="none"/>
          <w:lang w:eastAsia="zh-CN"/>
        </w:rPr>
      </w:pPr>
    </w:p>
    <w:p w14:paraId="577D6033">
      <w:pPr>
        <w:numPr>
          <w:ilvl w:val="0"/>
          <w:numId w:val="0"/>
        </w:numPr>
        <w:jc w:val="center"/>
        <w:rPr>
          <w:rFonts w:hint="eastAsia" w:ascii="宋体" w:hAnsi="宋体" w:cs="宋体"/>
          <w:b/>
          <w:bCs/>
          <w:color w:val="auto"/>
          <w:sz w:val="32"/>
          <w:szCs w:val="32"/>
          <w:highlight w:val="none"/>
          <w:lang w:eastAsia="zh-CN"/>
        </w:rPr>
      </w:pPr>
      <w:bookmarkStart w:id="2433" w:name="_GoBack"/>
      <w:bookmarkEnd w:id="2433"/>
    </w:p>
    <w:p w14:paraId="42D96264">
      <w:pPr>
        <w:rPr>
          <w:rFonts w:hint="eastAsia" w:ascii="宋体" w:hAnsi="宋体" w:cs="宋体"/>
          <w:b/>
          <w:bCs/>
          <w:color w:val="auto"/>
          <w:sz w:val="32"/>
          <w:szCs w:val="32"/>
          <w:highlight w:val="none"/>
          <w:lang w:eastAsia="zh-CN"/>
        </w:rPr>
      </w:pPr>
      <w:r>
        <w:rPr>
          <w:rFonts w:hint="eastAsia" w:ascii="宋体" w:hAnsi="宋体" w:cs="宋体"/>
          <w:b/>
          <w:bCs/>
          <w:color w:val="auto"/>
          <w:sz w:val="32"/>
          <w:szCs w:val="32"/>
          <w:highlight w:val="none"/>
          <w:lang w:eastAsia="zh-CN"/>
        </w:rPr>
        <w:br w:type="page"/>
      </w:r>
    </w:p>
    <w:p w14:paraId="5130B121">
      <w:pPr>
        <w:numPr>
          <w:ilvl w:val="0"/>
          <w:numId w:val="0"/>
        </w:numPr>
        <w:jc w:val="center"/>
        <w:rPr>
          <w:rFonts w:hint="eastAsia" w:ascii="宋体" w:hAnsi="宋体" w:eastAsia="宋体" w:cs="宋体"/>
          <w:b/>
          <w:bCs/>
          <w:color w:val="auto"/>
          <w:sz w:val="32"/>
          <w:szCs w:val="32"/>
          <w:highlight w:val="none"/>
        </w:rPr>
      </w:pPr>
      <w:r>
        <w:rPr>
          <w:rFonts w:hint="eastAsia" w:ascii="宋体" w:hAnsi="宋体" w:cs="宋体"/>
          <w:b/>
          <w:bCs/>
          <w:color w:val="auto"/>
          <w:sz w:val="32"/>
          <w:szCs w:val="32"/>
          <w:highlight w:val="none"/>
          <w:lang w:eastAsia="zh-CN"/>
        </w:rPr>
        <w:t>（二）</w:t>
      </w:r>
      <w:r>
        <w:rPr>
          <w:rFonts w:hint="eastAsia" w:ascii="宋体" w:hAnsi="宋体" w:eastAsia="宋体" w:cs="宋体"/>
          <w:b/>
          <w:bCs/>
          <w:color w:val="auto"/>
          <w:sz w:val="32"/>
          <w:szCs w:val="32"/>
          <w:highlight w:val="none"/>
        </w:rPr>
        <w:t>符合性响应证明材料目录</w:t>
      </w:r>
    </w:p>
    <w:p w14:paraId="37E0E372">
      <w:pPr>
        <w:numPr>
          <w:ilvl w:val="0"/>
          <w:numId w:val="0"/>
        </w:numPr>
        <w:spacing w:line="360" w:lineRule="auto"/>
        <w:ind w:left="420" w:leftChars="0"/>
        <w:rPr>
          <w:rFonts w:hint="eastAsia" w:ascii="宋体" w:hAnsi="宋体" w:eastAsia="宋体" w:cs="宋体"/>
          <w:color w:val="auto"/>
          <w:sz w:val="24"/>
          <w:highlight w:val="none"/>
          <w:lang w:val="en-US" w:eastAsia="zh-CN"/>
        </w:rPr>
      </w:pPr>
    </w:p>
    <w:p w14:paraId="7AF969D4">
      <w:pPr>
        <w:numPr>
          <w:ilvl w:val="0"/>
          <w:numId w:val="0"/>
        </w:numPr>
        <w:spacing w:line="360" w:lineRule="auto"/>
        <w:ind w:left="420" w:leftChars="200" w:firstLine="0" w:firstLineChars="0"/>
        <w:rPr>
          <w:rFonts w:hint="eastAsia" w:ascii="宋体" w:hAnsi="宋体" w:eastAsia="宋体" w:cs="宋体"/>
          <w:b/>
          <w:bCs/>
          <w:color w:val="auto"/>
          <w:sz w:val="24"/>
          <w:highlight w:val="none"/>
          <w:lang w:eastAsia="zh-CN"/>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响应函</w:t>
      </w:r>
      <w:r>
        <w:rPr>
          <w:rFonts w:hint="eastAsia" w:ascii="宋体" w:hAnsi="宋体" w:eastAsia="宋体" w:cs="宋体"/>
          <w:b/>
          <w:bCs/>
          <w:color w:val="auto"/>
          <w:sz w:val="24"/>
          <w:highlight w:val="none"/>
        </w:rPr>
        <w:t>（格式见附件）（必须提供</w:t>
      </w:r>
      <w:r>
        <w:rPr>
          <w:color w:val="auto"/>
          <w:highlight w:val="none"/>
        </w:rPr>
        <w:t>）</w:t>
      </w:r>
      <w:r>
        <w:rPr>
          <w:rFonts w:hint="eastAsia" w:ascii="宋体" w:hAnsi="宋体" w:eastAsia="宋体" w:cs="宋体"/>
          <w:b/>
          <w:bCs/>
          <w:color w:val="auto"/>
          <w:sz w:val="24"/>
          <w:highlight w:val="none"/>
          <w:lang w:eastAsia="zh-CN"/>
        </w:rPr>
        <w:t>；</w:t>
      </w:r>
    </w:p>
    <w:p w14:paraId="5B39752E">
      <w:pPr>
        <w:numPr>
          <w:ilvl w:val="0"/>
          <w:numId w:val="0"/>
        </w:numPr>
        <w:spacing w:line="360" w:lineRule="auto"/>
        <w:ind w:left="420" w:leftChars="200" w:firstLine="0" w:firstLineChars="0"/>
        <w:rPr>
          <w:rFonts w:hint="eastAsia" w:ascii="宋体" w:hAnsi="宋体" w:eastAsia="宋体" w:cs="宋体"/>
          <w:color w:val="auto"/>
          <w:sz w:val="24"/>
          <w:highlight w:val="none"/>
          <w:lang w:val="en-US" w:eastAsia="zh-CN"/>
        </w:rPr>
      </w:pPr>
    </w:p>
    <w:p w14:paraId="774D976E">
      <w:pPr>
        <w:numPr>
          <w:ilvl w:val="0"/>
          <w:numId w:val="0"/>
        </w:numPr>
        <w:spacing w:line="360" w:lineRule="auto"/>
        <w:ind w:leftChars="0" w:firstLine="480" w:firstLineChars="200"/>
        <w:rPr>
          <w:rFonts w:hint="eastAsia" w:ascii="宋体" w:hAnsi="宋体" w:eastAsia="宋体" w:cs="宋体"/>
          <w:b/>
          <w:bCs/>
          <w:color w:val="auto"/>
          <w:sz w:val="24"/>
          <w:highlight w:val="none"/>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 xml:space="preserve"> 磋商报价汇总表</w:t>
      </w:r>
      <w:r>
        <w:rPr>
          <w:rFonts w:hint="eastAsia" w:ascii="宋体" w:hAnsi="宋体" w:eastAsia="宋体" w:cs="宋体"/>
          <w:b/>
          <w:bCs/>
          <w:color w:val="auto"/>
          <w:sz w:val="24"/>
          <w:highlight w:val="none"/>
        </w:rPr>
        <w:t>（格式见附件）（必须提供）；</w:t>
      </w:r>
    </w:p>
    <w:p w14:paraId="3FAC0A72">
      <w:pPr>
        <w:numPr>
          <w:ilvl w:val="0"/>
          <w:numId w:val="0"/>
        </w:numPr>
        <w:spacing w:line="360" w:lineRule="auto"/>
        <w:ind w:leftChars="0" w:firstLine="480" w:firstLineChars="200"/>
        <w:rPr>
          <w:rFonts w:hint="eastAsia" w:ascii="宋体" w:hAnsi="宋体" w:eastAsia="宋体" w:cs="宋体"/>
          <w:color w:val="auto"/>
          <w:sz w:val="24"/>
          <w:highlight w:val="none"/>
          <w:lang w:val="en-US" w:eastAsia="zh-CN"/>
        </w:rPr>
      </w:pPr>
    </w:p>
    <w:p w14:paraId="64730C52">
      <w:pPr>
        <w:numPr>
          <w:ilvl w:val="0"/>
          <w:numId w:val="0"/>
        </w:numPr>
        <w:spacing w:line="360" w:lineRule="auto"/>
        <w:ind w:leftChars="0" w:firstLine="480" w:firstLineChars="20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3.标价工程量清单</w:t>
      </w:r>
      <w:r>
        <w:rPr>
          <w:rFonts w:hint="eastAsia" w:ascii="宋体" w:hAnsi="宋体" w:eastAsia="宋体" w:cs="宋体"/>
          <w:b/>
          <w:bCs/>
          <w:color w:val="auto"/>
          <w:sz w:val="24"/>
          <w:highlight w:val="none"/>
          <w:lang w:val="en-US" w:eastAsia="zh-CN"/>
        </w:rPr>
        <w:t>（必须提供）</w:t>
      </w:r>
      <w:r>
        <w:rPr>
          <w:rFonts w:hint="eastAsia" w:ascii="宋体" w:hAnsi="宋体" w:eastAsia="宋体" w:cs="宋体"/>
          <w:b w:val="0"/>
          <w:bCs w:val="0"/>
          <w:color w:val="auto"/>
          <w:sz w:val="24"/>
          <w:highlight w:val="none"/>
          <w:lang w:val="en-US" w:eastAsia="zh-CN"/>
        </w:rPr>
        <w:t>；</w:t>
      </w:r>
    </w:p>
    <w:p w14:paraId="37B2A89F">
      <w:pPr>
        <w:pStyle w:val="11"/>
        <w:rPr>
          <w:rFonts w:hint="eastAsia" w:ascii="宋体" w:hAnsi="宋体" w:eastAsia="宋体" w:cs="宋体"/>
          <w:color w:val="auto"/>
          <w:highlight w:val="none"/>
        </w:rPr>
      </w:pPr>
    </w:p>
    <w:p w14:paraId="17C7720C">
      <w:pPr>
        <w:numPr>
          <w:ilvl w:val="0"/>
          <w:numId w:val="0"/>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b w:val="0"/>
          <w:bCs w:val="0"/>
          <w:color w:val="auto"/>
          <w:sz w:val="24"/>
          <w:highlight w:val="none"/>
          <w:lang w:val="en-US" w:eastAsia="zh-CN"/>
        </w:rPr>
        <w:t>4.</w:t>
      </w:r>
      <w:r>
        <w:rPr>
          <w:rFonts w:hint="eastAsia" w:ascii="宋体" w:hAnsi="宋体" w:eastAsia="宋体" w:cs="宋体"/>
          <w:b w:val="0"/>
          <w:bCs w:val="0"/>
          <w:color w:val="auto"/>
          <w:sz w:val="24"/>
          <w:highlight w:val="none"/>
        </w:rPr>
        <w:t>拟投入本工程主要施工管理人员表</w:t>
      </w:r>
      <w:r>
        <w:rPr>
          <w:rFonts w:hint="eastAsia" w:ascii="宋体" w:hAnsi="宋体" w:eastAsia="宋体" w:cs="宋体"/>
          <w:b/>
          <w:bCs/>
          <w:color w:val="auto"/>
          <w:sz w:val="24"/>
          <w:highlight w:val="none"/>
        </w:rPr>
        <w:t>（必须提供）；</w:t>
      </w:r>
    </w:p>
    <w:p w14:paraId="7B45793C">
      <w:pPr>
        <w:pageBreakBefore w:val="0"/>
        <w:widowControl w:val="0"/>
        <w:kinsoku/>
        <w:wordWrap/>
        <w:overflowPunct/>
        <w:topLinePunct w:val="0"/>
        <w:bidi w:val="0"/>
        <w:spacing w:line="440" w:lineRule="exact"/>
        <w:ind w:firstLine="422" w:firstLineChars="200"/>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并一起提供由县级以上（含县级）社会养老保险经办机构出具的供应商为项目实施人员交纳的响应文件递交截止时间前半年内任意连续三个月社保证明复印件</w:t>
      </w:r>
      <w:r>
        <w:rPr>
          <w:rFonts w:hint="eastAsia" w:ascii="宋体" w:hAnsi="宋体" w:eastAsia="宋体" w:cs="宋体"/>
          <w:b w:val="0"/>
          <w:bCs w:val="0"/>
          <w:color w:val="auto"/>
          <w:szCs w:val="21"/>
          <w:highlight w:val="none"/>
        </w:rPr>
        <w:t>；</w:t>
      </w:r>
    </w:p>
    <w:p w14:paraId="2DE29151">
      <w:pPr>
        <w:pStyle w:val="11"/>
        <w:rPr>
          <w:rFonts w:hint="eastAsia" w:ascii="宋体" w:hAnsi="宋体" w:eastAsia="宋体" w:cs="宋体"/>
          <w:color w:val="auto"/>
          <w:highlight w:val="none"/>
        </w:rPr>
      </w:pPr>
    </w:p>
    <w:p w14:paraId="4D84B0AC">
      <w:pPr>
        <w:numPr>
          <w:ilvl w:val="0"/>
          <w:numId w:val="0"/>
        </w:numPr>
        <w:spacing w:line="360" w:lineRule="auto"/>
        <w:ind w:left="420" w:leftChars="0"/>
        <w:rPr>
          <w:rFonts w:hint="eastAsia" w:ascii="宋体" w:hAnsi="宋体" w:eastAsia="宋体" w:cs="宋体"/>
          <w:color w:val="auto"/>
          <w:sz w:val="24"/>
          <w:highlight w:val="none"/>
          <w:lang w:eastAsia="zh-CN"/>
        </w:rPr>
      </w:pPr>
      <w:r>
        <w:rPr>
          <w:rFonts w:hint="eastAsia" w:ascii="宋体" w:hAnsi="宋体" w:eastAsia="宋体" w:cs="宋体"/>
          <w:b w:val="0"/>
          <w:bCs w:val="0"/>
          <w:color w:val="auto"/>
          <w:sz w:val="24"/>
          <w:highlight w:val="none"/>
          <w:lang w:val="en-US" w:eastAsia="zh-CN"/>
        </w:rPr>
        <w:t>5.</w:t>
      </w:r>
      <w:r>
        <w:rPr>
          <w:rFonts w:hint="eastAsia" w:ascii="宋体" w:hAnsi="宋体" w:eastAsia="宋体" w:cs="宋体"/>
          <w:b w:val="0"/>
          <w:bCs w:val="0"/>
          <w:color w:val="auto"/>
          <w:sz w:val="24"/>
          <w:highlight w:val="none"/>
          <w:lang w:eastAsia="zh-CN"/>
        </w:rPr>
        <w:t>担任本工程的项目经理简历表（应附相关证书、身份证复印件）</w:t>
      </w:r>
      <w:r>
        <w:rPr>
          <w:rFonts w:hint="eastAsia" w:ascii="宋体" w:hAnsi="宋体" w:eastAsia="宋体" w:cs="宋体"/>
          <w:b/>
          <w:bCs/>
          <w:color w:val="auto"/>
          <w:sz w:val="24"/>
          <w:highlight w:val="none"/>
          <w:lang w:eastAsia="zh-CN"/>
        </w:rPr>
        <w:t>（必须提供）</w:t>
      </w:r>
      <w:r>
        <w:rPr>
          <w:rFonts w:hint="eastAsia" w:ascii="宋体" w:hAnsi="宋体" w:eastAsia="宋体" w:cs="宋体"/>
          <w:color w:val="auto"/>
          <w:sz w:val="24"/>
          <w:highlight w:val="none"/>
          <w:lang w:eastAsia="zh-CN"/>
        </w:rPr>
        <w:t>；</w:t>
      </w:r>
    </w:p>
    <w:p w14:paraId="699D6077">
      <w:pPr>
        <w:numPr>
          <w:ilvl w:val="0"/>
          <w:numId w:val="0"/>
        </w:numPr>
        <w:spacing w:line="360" w:lineRule="auto"/>
        <w:ind w:left="420" w:leftChars="0"/>
        <w:rPr>
          <w:rFonts w:hint="eastAsia" w:ascii="宋体" w:hAnsi="宋体" w:eastAsia="宋体" w:cs="宋体"/>
          <w:color w:val="auto"/>
          <w:sz w:val="24"/>
          <w:highlight w:val="none"/>
          <w:lang w:eastAsia="zh-CN"/>
        </w:rPr>
      </w:pPr>
    </w:p>
    <w:p w14:paraId="1E1BF7B8">
      <w:pPr>
        <w:numPr>
          <w:ilvl w:val="0"/>
          <w:numId w:val="0"/>
        </w:numPr>
        <w:spacing w:line="360" w:lineRule="auto"/>
        <w:ind w:left="420" w:leftChars="0"/>
        <w:rPr>
          <w:rFonts w:hint="default"/>
          <w:b w:val="0"/>
          <w:bCs w:val="0"/>
          <w:color w:val="auto"/>
          <w:highlight w:val="none"/>
          <w:lang w:val="en-US" w:eastAsia="zh-CN"/>
        </w:rPr>
      </w:pPr>
      <w:r>
        <w:rPr>
          <w:rFonts w:hint="eastAsia" w:ascii="宋体" w:hAnsi="宋体" w:eastAsia="宋体" w:cs="宋体"/>
          <w:b w:val="0"/>
          <w:bCs w:val="0"/>
          <w:color w:val="auto"/>
          <w:sz w:val="24"/>
          <w:highlight w:val="none"/>
          <w:lang w:val="en-US" w:eastAsia="zh-CN"/>
        </w:rPr>
        <w:t>6.</w:t>
      </w:r>
      <w:r>
        <w:rPr>
          <w:rFonts w:hint="eastAsia" w:ascii="宋体" w:hAnsi="宋体" w:eastAsia="宋体" w:cs="宋体"/>
          <w:b w:val="0"/>
          <w:bCs w:val="0"/>
          <w:color w:val="auto"/>
          <w:sz w:val="24"/>
          <w:highlight w:val="none"/>
          <w:lang w:eastAsia="zh-CN"/>
        </w:rPr>
        <w:t>施工组织设计方案</w:t>
      </w:r>
      <w:r>
        <w:rPr>
          <w:rFonts w:hint="eastAsia" w:ascii="宋体" w:hAnsi="宋体" w:eastAsia="宋体" w:cs="宋体"/>
          <w:b/>
          <w:bCs/>
          <w:color w:val="auto"/>
          <w:sz w:val="24"/>
          <w:highlight w:val="none"/>
          <w:lang w:eastAsia="zh-CN"/>
        </w:rPr>
        <w:t>（必须提供）</w:t>
      </w:r>
      <w:r>
        <w:rPr>
          <w:rFonts w:hint="eastAsia" w:ascii="宋体" w:hAnsi="宋体" w:eastAsia="宋体" w:cs="宋体"/>
          <w:color w:val="auto"/>
          <w:sz w:val="24"/>
          <w:highlight w:val="none"/>
          <w:lang w:eastAsia="zh-CN"/>
        </w:rPr>
        <w:t>；</w:t>
      </w:r>
    </w:p>
    <w:p w14:paraId="4E867BF9">
      <w:pPr>
        <w:numPr>
          <w:ilvl w:val="0"/>
          <w:numId w:val="0"/>
        </w:numPr>
        <w:spacing w:line="360" w:lineRule="auto"/>
        <w:ind w:left="420" w:leftChars="0"/>
        <w:rPr>
          <w:rFonts w:hint="eastAsia" w:ascii="宋体" w:hAnsi="宋体" w:eastAsia="宋体" w:cs="宋体"/>
          <w:color w:val="auto"/>
          <w:sz w:val="24"/>
          <w:highlight w:val="none"/>
          <w:lang w:eastAsia="zh-CN"/>
        </w:rPr>
      </w:pPr>
    </w:p>
    <w:p w14:paraId="446246AA">
      <w:pPr>
        <w:numPr>
          <w:ilvl w:val="0"/>
          <w:numId w:val="0"/>
        </w:numPr>
        <w:spacing w:line="360" w:lineRule="auto"/>
        <w:ind w:left="420" w:leftChars="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7.工程完工服务承诺书</w:t>
      </w:r>
      <w:r>
        <w:rPr>
          <w:rFonts w:hint="eastAsia" w:ascii="宋体" w:hAnsi="宋体" w:eastAsia="宋体" w:cs="宋体"/>
          <w:b/>
          <w:bCs/>
          <w:color w:val="auto"/>
          <w:sz w:val="24"/>
          <w:highlight w:val="none"/>
          <w:lang w:val="en-US" w:eastAsia="zh-CN"/>
        </w:rPr>
        <w:t>（必须提供）</w:t>
      </w:r>
      <w:r>
        <w:rPr>
          <w:rFonts w:hint="eastAsia" w:ascii="宋体" w:hAnsi="宋体" w:eastAsia="宋体" w:cs="宋体"/>
          <w:b w:val="0"/>
          <w:bCs w:val="0"/>
          <w:color w:val="auto"/>
          <w:sz w:val="24"/>
          <w:highlight w:val="none"/>
          <w:lang w:val="en-US" w:eastAsia="zh-CN"/>
        </w:rPr>
        <w:t>；</w:t>
      </w:r>
    </w:p>
    <w:p w14:paraId="4E15D1B7">
      <w:pPr>
        <w:pStyle w:val="5"/>
        <w:numPr>
          <w:ilvl w:val="0"/>
          <w:numId w:val="0"/>
        </w:numPr>
        <w:ind w:left="420" w:leftChars="0"/>
        <w:rPr>
          <w:rFonts w:hint="eastAsia" w:ascii="宋体" w:hAnsi="宋体" w:eastAsia="宋体" w:cs="宋体"/>
          <w:b/>
          <w:bCs/>
          <w:color w:val="auto"/>
          <w:kern w:val="2"/>
          <w:sz w:val="24"/>
          <w:szCs w:val="24"/>
          <w:highlight w:val="none"/>
          <w:lang w:val="en-US" w:eastAsia="zh-CN" w:bidi="ar-SA"/>
        </w:rPr>
      </w:pPr>
      <w:bookmarkStart w:id="2383" w:name="_Toc6633"/>
      <w:bookmarkStart w:id="2384" w:name="_Toc32505"/>
      <w:bookmarkStart w:id="2385" w:name="_Toc1014"/>
      <w:r>
        <w:rPr>
          <w:rFonts w:hint="eastAsia" w:ascii="宋体" w:hAnsi="宋体" w:eastAsia="宋体" w:cs="宋体"/>
          <w:b w:val="0"/>
          <w:bCs w:val="0"/>
          <w:color w:val="auto"/>
          <w:kern w:val="2"/>
          <w:sz w:val="24"/>
          <w:szCs w:val="24"/>
          <w:highlight w:val="none"/>
          <w:lang w:val="en-US" w:eastAsia="zh-CN" w:bidi="ar-SA"/>
        </w:rPr>
        <w:t>8.农民工工资保障金交纳与使用承诺书</w:t>
      </w:r>
      <w:r>
        <w:rPr>
          <w:rFonts w:hint="eastAsia" w:ascii="宋体" w:hAnsi="宋体" w:eastAsia="宋体" w:cs="宋体"/>
          <w:b/>
          <w:bCs/>
          <w:color w:val="auto"/>
          <w:kern w:val="2"/>
          <w:sz w:val="24"/>
          <w:szCs w:val="24"/>
          <w:highlight w:val="none"/>
          <w:lang w:val="en-US" w:eastAsia="zh-CN" w:bidi="ar-SA"/>
        </w:rPr>
        <w:t>（必须提供）</w:t>
      </w:r>
      <w:r>
        <w:rPr>
          <w:rFonts w:hint="eastAsia" w:ascii="宋体" w:hAnsi="宋体" w:eastAsia="宋体" w:cs="宋体"/>
          <w:b w:val="0"/>
          <w:bCs w:val="0"/>
          <w:color w:val="auto"/>
          <w:kern w:val="2"/>
          <w:sz w:val="24"/>
          <w:szCs w:val="24"/>
          <w:highlight w:val="none"/>
          <w:lang w:val="en-US" w:eastAsia="zh-CN" w:bidi="ar-SA"/>
        </w:rPr>
        <w:t>；</w:t>
      </w:r>
      <w:bookmarkEnd w:id="2383"/>
      <w:bookmarkEnd w:id="2384"/>
      <w:bookmarkEnd w:id="2385"/>
    </w:p>
    <w:p w14:paraId="4B139E12">
      <w:pPr>
        <w:pStyle w:val="5"/>
        <w:numPr>
          <w:ilvl w:val="0"/>
          <w:numId w:val="0"/>
        </w:numPr>
        <w:ind w:left="420" w:leftChars="0"/>
        <w:rPr>
          <w:rFonts w:hint="default"/>
          <w:color w:val="auto"/>
          <w:highlight w:val="none"/>
          <w:lang w:val="en-US" w:eastAsia="zh-CN"/>
        </w:rPr>
      </w:pPr>
      <w:bookmarkStart w:id="2386" w:name="_Toc13958"/>
      <w:bookmarkStart w:id="2387" w:name="_Toc9702"/>
      <w:bookmarkStart w:id="2388" w:name="_Toc6752"/>
      <w:r>
        <w:rPr>
          <w:rFonts w:hint="eastAsia" w:ascii="宋体" w:hAnsi="宋体" w:eastAsia="宋体" w:cs="宋体"/>
          <w:b w:val="0"/>
          <w:bCs w:val="0"/>
          <w:color w:val="auto"/>
          <w:kern w:val="2"/>
          <w:sz w:val="24"/>
          <w:szCs w:val="24"/>
          <w:highlight w:val="none"/>
          <w:lang w:val="en-US" w:eastAsia="zh-CN" w:bidi="ar-SA"/>
        </w:rPr>
        <w:t>9.城乡清洁工程渣土清运承诺书</w:t>
      </w:r>
      <w:r>
        <w:rPr>
          <w:rFonts w:hint="eastAsia" w:ascii="宋体" w:hAnsi="宋体" w:eastAsia="宋体" w:cs="宋体"/>
          <w:b/>
          <w:bCs/>
          <w:color w:val="auto"/>
          <w:kern w:val="2"/>
          <w:sz w:val="24"/>
          <w:szCs w:val="24"/>
          <w:highlight w:val="none"/>
          <w:lang w:val="en-US" w:eastAsia="zh-CN" w:bidi="ar-SA"/>
        </w:rPr>
        <w:t>（必须提供）</w:t>
      </w:r>
      <w:bookmarkEnd w:id="2386"/>
      <w:bookmarkEnd w:id="2387"/>
      <w:bookmarkEnd w:id="2388"/>
      <w:r>
        <w:rPr>
          <w:rFonts w:hint="eastAsia" w:ascii="宋体" w:hAnsi="宋体" w:cs="宋体"/>
          <w:b w:val="0"/>
          <w:bCs w:val="0"/>
          <w:color w:val="auto"/>
          <w:kern w:val="2"/>
          <w:sz w:val="24"/>
          <w:szCs w:val="24"/>
          <w:highlight w:val="none"/>
          <w:lang w:val="en-US" w:eastAsia="zh-CN" w:bidi="ar-SA"/>
        </w:rPr>
        <w:t>；</w:t>
      </w:r>
    </w:p>
    <w:p w14:paraId="056BFF7B">
      <w:pPr>
        <w:pStyle w:val="32"/>
        <w:rPr>
          <w:rFonts w:hint="eastAsia" w:ascii="宋体" w:hAnsi="宋体" w:eastAsia="宋体" w:cs="宋体"/>
          <w:color w:val="auto"/>
          <w:highlight w:val="none"/>
        </w:rPr>
      </w:pPr>
    </w:p>
    <w:p w14:paraId="6D029114">
      <w:pPr>
        <w:pStyle w:val="32"/>
        <w:rPr>
          <w:rFonts w:hint="eastAsia" w:ascii="宋体" w:hAnsi="宋体" w:eastAsia="宋体" w:cs="宋体"/>
          <w:color w:val="auto"/>
          <w:highlight w:val="none"/>
        </w:rPr>
      </w:pPr>
    </w:p>
    <w:p w14:paraId="2C3CABB1">
      <w:pPr>
        <w:pStyle w:val="32"/>
        <w:rPr>
          <w:rFonts w:hint="eastAsia" w:ascii="宋体" w:hAnsi="宋体" w:eastAsia="宋体" w:cs="宋体"/>
          <w:color w:val="auto"/>
          <w:highlight w:val="none"/>
        </w:rPr>
      </w:pPr>
    </w:p>
    <w:p w14:paraId="3697E132">
      <w:pPr>
        <w:pStyle w:val="32"/>
        <w:rPr>
          <w:rFonts w:hint="eastAsia" w:ascii="宋体" w:hAnsi="宋体" w:eastAsia="宋体" w:cs="宋体"/>
          <w:color w:val="auto"/>
          <w:highlight w:val="none"/>
        </w:rPr>
      </w:pPr>
    </w:p>
    <w:p w14:paraId="77CF7F6C">
      <w:pPr>
        <w:pStyle w:val="11"/>
        <w:rPr>
          <w:rFonts w:hint="eastAsia" w:ascii="宋体" w:hAnsi="宋体" w:eastAsia="宋体" w:cs="宋体"/>
          <w:color w:val="auto"/>
          <w:highlight w:val="none"/>
        </w:rPr>
      </w:pPr>
    </w:p>
    <w:p w14:paraId="1EE548A0">
      <w:pPr>
        <w:rPr>
          <w:rFonts w:hint="eastAsia" w:ascii="宋体" w:hAnsi="宋体" w:cs="宋体"/>
          <w:b/>
          <w:bCs/>
          <w:color w:val="auto"/>
          <w:sz w:val="28"/>
          <w:szCs w:val="28"/>
          <w:highlight w:val="none"/>
          <w:lang w:val="en-US" w:eastAsia="zh-CN"/>
        </w:rPr>
      </w:pPr>
      <w:bookmarkStart w:id="2389" w:name="_Toc17617"/>
      <w:bookmarkStart w:id="2390" w:name="_Toc12920"/>
      <w:bookmarkStart w:id="2391" w:name="_Toc497927072"/>
      <w:r>
        <w:rPr>
          <w:rFonts w:hint="eastAsia" w:ascii="宋体" w:hAnsi="宋体" w:cs="宋体"/>
          <w:b/>
          <w:bCs/>
          <w:color w:val="auto"/>
          <w:sz w:val="28"/>
          <w:szCs w:val="28"/>
          <w:highlight w:val="none"/>
          <w:lang w:val="en-US" w:eastAsia="zh-CN"/>
        </w:rPr>
        <w:br w:type="page"/>
      </w:r>
    </w:p>
    <w:p w14:paraId="693C34B5">
      <w:pPr>
        <w:numPr>
          <w:ilvl w:val="0"/>
          <w:numId w:val="0"/>
        </w:numPr>
        <w:spacing w:line="400" w:lineRule="exact"/>
        <w:rPr>
          <w:rFonts w:hint="eastAsia" w:ascii="宋体" w:hAnsi="宋体" w:eastAsia="宋体" w:cs="宋体"/>
          <w:b/>
          <w:bCs/>
          <w:color w:val="auto"/>
          <w:sz w:val="28"/>
          <w:szCs w:val="28"/>
          <w:highlight w:val="none"/>
        </w:rPr>
      </w:pPr>
      <w:r>
        <w:rPr>
          <w:rFonts w:hint="eastAsia" w:ascii="宋体" w:hAnsi="宋体" w:cs="宋体"/>
          <w:b/>
          <w:bCs/>
          <w:color w:val="auto"/>
          <w:sz w:val="28"/>
          <w:szCs w:val="28"/>
          <w:highlight w:val="none"/>
          <w:lang w:val="en-US" w:eastAsia="zh-CN"/>
        </w:rPr>
        <w:t>1.</w:t>
      </w:r>
      <w:r>
        <w:rPr>
          <w:rFonts w:hint="eastAsia" w:ascii="宋体" w:hAnsi="宋体" w:eastAsia="宋体" w:cs="宋体"/>
          <w:b/>
          <w:bCs/>
          <w:color w:val="auto"/>
          <w:sz w:val="28"/>
          <w:szCs w:val="28"/>
          <w:highlight w:val="none"/>
        </w:rPr>
        <w:t>响应函（格式见附件）（必须提供）</w:t>
      </w:r>
      <w:bookmarkEnd w:id="2389"/>
      <w:bookmarkEnd w:id="2390"/>
      <w:bookmarkEnd w:id="2391"/>
    </w:p>
    <w:p w14:paraId="1D3487F4">
      <w:pPr>
        <w:pStyle w:val="32"/>
        <w:rPr>
          <w:rFonts w:hint="eastAsia" w:ascii="宋体" w:hAnsi="宋体" w:eastAsia="宋体" w:cs="宋体"/>
          <w:color w:val="auto"/>
          <w:highlight w:val="none"/>
        </w:rPr>
      </w:pPr>
    </w:p>
    <w:p w14:paraId="3E435E44">
      <w:pPr>
        <w:pStyle w:val="14"/>
        <w:rPr>
          <w:rFonts w:hint="eastAsia" w:ascii="宋体" w:hAnsi="宋体" w:eastAsia="宋体" w:cs="宋体"/>
          <w:b/>
          <w:color w:val="auto"/>
          <w:sz w:val="32"/>
          <w:highlight w:val="none"/>
        </w:rPr>
      </w:pPr>
      <w:r>
        <w:rPr>
          <w:rFonts w:hint="eastAsia" w:ascii="宋体" w:hAnsi="宋体" w:eastAsia="宋体" w:cs="宋体"/>
          <w:b/>
          <w:color w:val="auto"/>
          <w:sz w:val="32"/>
          <w:highlight w:val="none"/>
        </w:rPr>
        <w:t>附件：</w:t>
      </w:r>
    </w:p>
    <w:p w14:paraId="79A595DE">
      <w:pPr>
        <w:pStyle w:val="14"/>
        <w:ind w:firstLine="803" w:firstLineChars="250"/>
        <w:jc w:val="center"/>
        <w:rPr>
          <w:rFonts w:hint="eastAsia" w:ascii="宋体" w:hAnsi="宋体" w:eastAsia="宋体" w:cs="宋体"/>
          <w:b/>
          <w:color w:val="auto"/>
          <w:sz w:val="32"/>
          <w:highlight w:val="none"/>
        </w:rPr>
      </w:pPr>
      <w:bookmarkStart w:id="2392" w:name="_Toc7273_WPSOffice_Level1"/>
      <w:bookmarkStart w:id="2393" w:name="_Toc17832_WPSOffice_Level1"/>
      <w:r>
        <w:rPr>
          <w:rFonts w:hint="eastAsia" w:ascii="宋体" w:hAnsi="宋体" w:eastAsia="宋体" w:cs="宋体"/>
          <w:b/>
          <w:color w:val="auto"/>
          <w:sz w:val="32"/>
          <w:highlight w:val="none"/>
        </w:rPr>
        <w:t>响 应 函 （格 式）</w:t>
      </w:r>
      <w:bookmarkEnd w:id="2392"/>
      <w:bookmarkEnd w:id="2393"/>
    </w:p>
    <w:p w14:paraId="23213848">
      <w:pPr>
        <w:spacing w:line="240" w:lineRule="exact"/>
        <w:jc w:val="center"/>
        <w:rPr>
          <w:rFonts w:hint="eastAsia" w:ascii="宋体" w:hAnsi="宋体" w:eastAsia="宋体" w:cs="宋体"/>
          <w:color w:val="auto"/>
          <w:sz w:val="32"/>
          <w:highlight w:val="none"/>
        </w:rPr>
      </w:pPr>
    </w:p>
    <w:p w14:paraId="6D3B7E51">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致</w:t>
      </w:r>
      <w:r>
        <w:rPr>
          <w:rFonts w:hint="eastAsia" w:ascii="宋体" w:hAnsi="宋体" w:eastAsia="宋体" w:cs="宋体"/>
          <w:color w:val="auto"/>
          <w:szCs w:val="21"/>
          <w:highlight w:val="none"/>
          <w:u w:val="single"/>
        </w:rPr>
        <w:t>：</w:t>
      </w:r>
      <w:r>
        <w:rPr>
          <w:rFonts w:hint="eastAsia" w:ascii="宋体" w:hAnsi="宋体" w:cs="宋体"/>
          <w:color w:val="auto"/>
          <w:szCs w:val="21"/>
          <w:highlight w:val="none"/>
          <w:u w:val="single"/>
          <w:lang w:eastAsia="zh-CN"/>
        </w:rPr>
        <w:t>广西景钲工程咨询有限公司</w:t>
      </w:r>
    </w:p>
    <w:p w14:paraId="58A1CCE3">
      <w:pPr>
        <w:pStyle w:val="14"/>
        <w:spacing w:line="360" w:lineRule="exact"/>
        <w:ind w:firstLine="420"/>
        <w:rPr>
          <w:rFonts w:hint="eastAsia" w:ascii="宋体" w:hAnsi="宋体" w:eastAsia="宋体" w:cs="宋体"/>
          <w:color w:val="auto"/>
          <w:highlight w:val="none"/>
          <w:lang w:eastAsia="zh-CN"/>
        </w:rPr>
      </w:pPr>
      <w:r>
        <w:rPr>
          <w:rFonts w:hint="eastAsia" w:ascii="宋体" w:hAnsi="宋体" w:eastAsia="宋体" w:cs="宋体"/>
          <w:color w:val="auto"/>
          <w:highlight w:val="none"/>
        </w:rPr>
        <w:t>根据贵方</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项目竞争性磋商文件，项目编号：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，签字代表</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（姓名）经正式授权并代表供应商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供应商单位名称），提交</w:t>
      </w:r>
      <w:r>
        <w:rPr>
          <w:rFonts w:hint="eastAsia" w:ascii="宋体" w:hAnsi="宋体" w:eastAsia="宋体" w:cs="宋体"/>
          <w:color w:val="auto"/>
          <w:highlight w:val="none"/>
          <w:lang w:eastAsia="zh-CN"/>
        </w:rPr>
        <w:t>电子</w:t>
      </w:r>
      <w:r>
        <w:rPr>
          <w:rFonts w:hint="eastAsia" w:ascii="宋体" w:hAnsi="宋体" w:eastAsia="宋体" w:cs="宋体"/>
          <w:color w:val="auto"/>
          <w:highlight w:val="none"/>
        </w:rPr>
        <w:t>响应文件</w:t>
      </w:r>
      <w:r>
        <w:rPr>
          <w:rFonts w:hint="eastAsia" w:ascii="宋体" w:hAnsi="宋体" w:eastAsia="宋体" w:cs="宋体"/>
          <w:color w:val="auto"/>
          <w:highlight w:val="none"/>
          <w:lang w:eastAsia="zh-CN"/>
        </w:rPr>
        <w:t>。</w:t>
      </w:r>
    </w:p>
    <w:p w14:paraId="5160A907">
      <w:pPr>
        <w:pStyle w:val="14"/>
        <w:spacing w:line="36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据此函，签字代表宣布同意如下：</w:t>
      </w:r>
    </w:p>
    <w:p w14:paraId="4ABD850D">
      <w:pPr>
        <w:pStyle w:val="14"/>
        <w:spacing w:line="36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1. 按磋商文件采购需求和磋商报价表：</w:t>
      </w:r>
    </w:p>
    <w:p w14:paraId="4355430C">
      <w:pPr>
        <w:pStyle w:val="14"/>
        <w:spacing w:line="360" w:lineRule="exact"/>
        <w:ind w:firstLine="420"/>
        <w:rPr>
          <w:rFonts w:hint="eastAsia" w:ascii="宋体" w:hAnsi="宋体" w:eastAsia="宋体" w:cs="宋体"/>
          <w:color w:val="auto"/>
          <w:highlight w:val="none"/>
        </w:rPr>
      </w:pPr>
      <w:r>
        <w:rPr>
          <w:rFonts w:hint="eastAsia" w:ascii="宋体" w:hAnsi="宋体" w:cs="宋体"/>
          <w:color w:val="auto"/>
          <w:sz w:val="21"/>
          <w:szCs w:val="21"/>
          <w:highlight w:val="none"/>
        </w:rPr>
        <w:t>按采购项目内容和报价表，</w:t>
      </w:r>
      <w:r>
        <w:rPr>
          <w:rFonts w:hint="eastAsia" w:hAnsi="宋体" w:cs="宋体"/>
          <w:color w:val="auto"/>
          <w:sz w:val="21"/>
          <w:szCs w:val="21"/>
          <w:highlight w:val="none"/>
          <w:lang w:eastAsia="zh-CN"/>
        </w:rPr>
        <w:t>磋商</w:t>
      </w:r>
      <w:r>
        <w:rPr>
          <w:rFonts w:hint="eastAsia" w:ascii="宋体" w:hAnsi="宋体" w:cs="宋体"/>
          <w:color w:val="auto"/>
          <w:sz w:val="21"/>
          <w:szCs w:val="21"/>
          <w:highlight w:val="none"/>
        </w:rPr>
        <w:t>报价为(大写)</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元(￥</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)；工程完工期：</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none"/>
        </w:rPr>
        <w:t>；</w:t>
      </w:r>
      <w:r>
        <w:rPr>
          <w:rFonts w:hint="eastAsia" w:ascii="宋体" w:hAnsi="宋体" w:cs="宋体"/>
          <w:color w:val="auto"/>
          <w:sz w:val="21"/>
          <w:szCs w:val="21"/>
          <w:highlight w:val="none"/>
        </w:rPr>
        <w:t>质量</w:t>
      </w:r>
      <w:r>
        <w:rPr>
          <w:rFonts w:hint="eastAsia" w:hAnsi="宋体" w:cs="宋体"/>
          <w:color w:val="auto"/>
          <w:sz w:val="21"/>
          <w:szCs w:val="21"/>
          <w:highlight w:val="none"/>
          <w:lang w:val="en-US" w:eastAsia="zh-CN"/>
        </w:rPr>
        <w:t>标准</w:t>
      </w:r>
      <w:r>
        <w:rPr>
          <w:rFonts w:hint="eastAsia" w:ascii="宋体" w:hAnsi="宋体" w:cs="宋体"/>
          <w:color w:val="auto"/>
          <w:sz w:val="21"/>
          <w:szCs w:val="21"/>
          <w:highlight w:val="none"/>
          <w:u w:val="none"/>
        </w:rPr>
        <w:t>:</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 xml:space="preserve"> 。</w:t>
      </w:r>
    </w:p>
    <w:p w14:paraId="15759D3F">
      <w:pPr>
        <w:pStyle w:val="14"/>
        <w:spacing w:line="36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2.我方承诺已具备磋商文件规定的供应商资格条件。</w:t>
      </w:r>
    </w:p>
    <w:p w14:paraId="04199B0A">
      <w:pPr>
        <w:pStyle w:val="14"/>
        <w:spacing w:line="36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3.我方已详细审核磋商文件，包括修改文件（如有的话）和有关附件，将自行承担因对全部磋商文件理解不正确或误解而产生的相应后果。</w:t>
      </w:r>
    </w:p>
    <w:p w14:paraId="0156637D">
      <w:pPr>
        <w:pStyle w:val="14"/>
        <w:spacing w:line="36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4. 响应文件有效期为</w:t>
      </w:r>
      <w:r>
        <w:rPr>
          <w:rFonts w:hint="eastAsia" w:ascii="宋体" w:hAnsi="宋体" w:eastAsia="宋体" w:cs="宋体"/>
          <w:color w:val="auto"/>
          <w:szCs w:val="21"/>
          <w:highlight w:val="none"/>
        </w:rPr>
        <w:t>响应文件递交截止时间之日起90天。</w:t>
      </w:r>
    </w:p>
    <w:p w14:paraId="05EB327D">
      <w:pPr>
        <w:pStyle w:val="14"/>
        <w:spacing w:line="36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5. 如我方成交：</w:t>
      </w:r>
    </w:p>
    <w:p w14:paraId="686815C7">
      <w:pPr>
        <w:pStyle w:val="14"/>
        <w:spacing w:line="36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（1）我方承诺在收到成交通知书后，在成交通知书规定的期限内与采购人签订合同。</w:t>
      </w:r>
    </w:p>
    <w:p w14:paraId="327D2ED2">
      <w:pPr>
        <w:pStyle w:val="14"/>
        <w:spacing w:line="36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（2）我方承诺按照磋商文件规定递交履约担保。</w:t>
      </w:r>
    </w:p>
    <w:p w14:paraId="220DAF6D">
      <w:pPr>
        <w:pStyle w:val="14"/>
        <w:spacing w:line="36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（3）我方承诺本响应文件至本项目合同履行完毕止均保持有效，按磋商文件及政府采购法律、法规的规定履行合同责任和义务。</w:t>
      </w:r>
    </w:p>
    <w:p w14:paraId="7D4B12E7">
      <w:pPr>
        <w:pStyle w:val="14"/>
        <w:spacing w:line="36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与本项目有关的正式通讯地址为：</w:t>
      </w:r>
    </w:p>
    <w:p w14:paraId="7C489CD6">
      <w:pPr>
        <w:rPr>
          <w:rFonts w:hint="eastAsia" w:ascii="宋体" w:hAnsi="宋体" w:eastAsia="宋体" w:cs="宋体"/>
          <w:color w:val="auto"/>
          <w:sz w:val="21"/>
          <w:szCs w:val="21"/>
          <w:highlight w:val="none"/>
        </w:rPr>
      </w:pPr>
    </w:p>
    <w:p w14:paraId="088F569F">
      <w:pPr>
        <w:pStyle w:val="14"/>
        <w:spacing w:line="320" w:lineRule="exact"/>
        <w:ind w:firstLine="42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邮编：</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电话、传真：</w:t>
      </w:r>
      <w:r>
        <w:rPr>
          <w:rFonts w:hint="eastAsia" w:ascii="宋体" w:hAnsi="宋体" w:eastAsia="宋体" w:cs="宋体"/>
          <w:color w:val="auto"/>
          <w:sz w:val="21"/>
          <w:szCs w:val="21"/>
          <w:highlight w:val="none"/>
          <w:u w:val="single"/>
        </w:rPr>
        <w:t xml:space="preserve">            </w:t>
      </w:r>
    </w:p>
    <w:p w14:paraId="691DB07B">
      <w:pPr>
        <w:pStyle w:val="14"/>
        <w:spacing w:line="32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开户名称：</w:t>
      </w:r>
      <w:r>
        <w:rPr>
          <w:rFonts w:hint="eastAsia" w:ascii="宋体" w:hAnsi="宋体" w:eastAsia="宋体" w:cs="宋体"/>
          <w:color w:val="auto"/>
          <w:sz w:val="21"/>
          <w:szCs w:val="21"/>
          <w:highlight w:val="none"/>
          <w:u w:val="single"/>
        </w:rPr>
        <w:t xml:space="preserve">                                        </w:t>
      </w:r>
    </w:p>
    <w:p w14:paraId="79DD0BB0">
      <w:pPr>
        <w:pStyle w:val="14"/>
        <w:spacing w:line="32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w:t>
      </w:r>
      <w:r>
        <w:rPr>
          <w:rFonts w:hint="eastAsia" w:ascii="宋体" w:hAnsi="宋体" w:eastAsia="宋体" w:cs="宋体"/>
          <w:color w:val="auto"/>
          <w:sz w:val="21"/>
          <w:szCs w:val="21"/>
          <w:highlight w:val="none"/>
          <w:u w:val="single"/>
        </w:rPr>
        <w:t xml:space="preserve">                               　       </w:t>
      </w:r>
    </w:p>
    <w:p w14:paraId="243034A1">
      <w:pPr>
        <w:pStyle w:val="14"/>
        <w:spacing w:line="32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账号：</w:t>
      </w:r>
      <w:r>
        <w:rPr>
          <w:rFonts w:hint="eastAsia" w:ascii="宋体" w:hAnsi="宋体" w:eastAsia="宋体" w:cs="宋体"/>
          <w:color w:val="auto"/>
          <w:sz w:val="21"/>
          <w:szCs w:val="21"/>
          <w:highlight w:val="none"/>
          <w:u w:val="single"/>
        </w:rPr>
        <w:t xml:space="preserve">                                   　　　   </w:t>
      </w:r>
    </w:p>
    <w:p w14:paraId="084A7878">
      <w:pPr>
        <w:pStyle w:val="14"/>
        <w:spacing w:line="320" w:lineRule="exact"/>
        <w:ind w:firstLine="420"/>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lang w:val="en-US" w:eastAsia="zh-CN"/>
        </w:rPr>
        <w:t>供应商[</w:t>
      </w:r>
      <w:r>
        <w:rPr>
          <w:rFonts w:hint="eastAsia" w:ascii="宋体" w:hAnsi="宋体" w:eastAsia="宋体" w:cs="宋体"/>
          <w:bCs/>
          <w:color w:val="auto"/>
          <w:sz w:val="21"/>
          <w:szCs w:val="21"/>
          <w:highlight w:val="none"/>
        </w:rPr>
        <w:t>公章</w:t>
      </w:r>
      <w:r>
        <w:rPr>
          <w:rFonts w:hint="eastAsia" w:ascii="宋体" w:hAnsi="宋体" w:eastAsia="宋体" w:cs="宋体"/>
          <w:bCs/>
          <w:color w:val="auto"/>
          <w:sz w:val="21"/>
          <w:szCs w:val="21"/>
          <w:highlight w:val="none"/>
          <w:lang w:val="en-US" w:eastAsia="zh-CN"/>
        </w:rPr>
        <w:t>(CA签章)</w:t>
      </w:r>
      <w:r>
        <w:rPr>
          <w:rFonts w:hint="eastAsia" w:ascii="宋体" w:hAnsi="宋体" w:eastAsia="宋体" w:cs="宋体"/>
          <w:bCs/>
          <w:color w:val="auto"/>
          <w:sz w:val="21"/>
          <w:szCs w:val="21"/>
          <w:highlight w:val="none"/>
        </w:rPr>
        <w:t>、自然人除外</w:t>
      </w:r>
      <w:r>
        <w:rPr>
          <w:rFonts w:hint="eastAsia" w:ascii="宋体" w:hAnsi="宋体" w:eastAsia="宋体" w:cs="宋体"/>
          <w:bCs/>
          <w:color w:val="auto"/>
          <w:sz w:val="21"/>
          <w:szCs w:val="21"/>
          <w:highlight w:val="none"/>
          <w:lang w:val="en-US" w:eastAsia="zh-CN"/>
        </w:rPr>
        <w:t>]</w:t>
      </w: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u w:val="single"/>
        </w:rPr>
        <w:t xml:space="preserve">                              </w:t>
      </w:r>
    </w:p>
    <w:p w14:paraId="4F192490">
      <w:pPr>
        <w:pStyle w:val="14"/>
        <w:spacing w:line="320" w:lineRule="exact"/>
        <w:ind w:firstLine="42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法定代表人、负责人、自然人或相应的委托代理人签字</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或盖章</w:t>
      </w:r>
      <w:r>
        <w:rPr>
          <w:rFonts w:hint="eastAsia" w:ascii="宋体" w:hAnsi="宋体" w:eastAsia="宋体" w:cs="宋体"/>
          <w:color w:val="auto"/>
          <w:sz w:val="21"/>
          <w:szCs w:val="21"/>
          <w:highlight w:val="none"/>
          <w:lang w:val="en-US" w:eastAsia="zh-CN"/>
        </w:rPr>
        <w:t>(CA签章)]</w:t>
      </w:r>
      <w:r>
        <w:rPr>
          <w:rFonts w:hint="eastAsia" w:ascii="宋体" w:hAnsi="宋体" w:eastAsia="宋体" w:cs="宋体"/>
          <w:color w:val="auto"/>
          <w:sz w:val="21"/>
          <w:szCs w:val="21"/>
          <w:highlight w:val="none"/>
        </w:rPr>
        <w:t>（属自然人的应在签名处加盖大拇指指印</w:t>
      </w:r>
      <w:r>
        <w:rPr>
          <w:rFonts w:hint="eastAsia" w:ascii="宋体" w:hAnsi="宋体" w:eastAsia="宋体" w:cs="宋体"/>
          <w:color w:val="auto"/>
          <w:sz w:val="21"/>
          <w:szCs w:val="21"/>
          <w:highlight w:val="none"/>
          <w:lang w:eastAsia="zh-CN"/>
        </w:rPr>
        <w:t>或</w:t>
      </w:r>
      <w:r>
        <w:rPr>
          <w:rFonts w:hint="eastAsia" w:ascii="宋体" w:hAnsi="宋体" w:eastAsia="宋体" w:cs="宋体"/>
          <w:color w:val="auto"/>
          <w:sz w:val="21"/>
          <w:szCs w:val="21"/>
          <w:highlight w:val="none"/>
          <w:lang w:val="en-US" w:eastAsia="zh-CN"/>
        </w:rPr>
        <w:t>个人CA签章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499E3C1A">
      <w:pPr>
        <w:pStyle w:val="14"/>
        <w:spacing w:line="320" w:lineRule="exact"/>
        <w:ind w:firstLine="420"/>
        <w:rPr>
          <w:rFonts w:hint="eastAsia" w:ascii="宋体" w:hAnsi="宋体" w:eastAsia="宋体" w:cs="宋体"/>
          <w:color w:val="auto"/>
          <w:sz w:val="21"/>
          <w:szCs w:val="21"/>
          <w:highlight w:val="none"/>
          <w:u w:val="single"/>
        </w:rPr>
      </w:pPr>
      <w:r>
        <w:rPr>
          <w:rFonts w:hint="eastAsia" w:ascii="宋体" w:hAnsi="宋体" w:eastAsia="宋体" w:cs="宋体"/>
          <w:bCs/>
          <w:color w:val="auto"/>
          <w:sz w:val="21"/>
          <w:szCs w:val="21"/>
          <w:highlight w:val="none"/>
        </w:rPr>
        <w:t>响应</w:t>
      </w:r>
      <w:r>
        <w:rPr>
          <w:rFonts w:hint="eastAsia" w:ascii="宋体" w:hAnsi="宋体" w:eastAsia="宋体" w:cs="宋体"/>
          <w:color w:val="auto"/>
          <w:sz w:val="21"/>
          <w:szCs w:val="21"/>
          <w:highlight w:val="none"/>
        </w:rPr>
        <w:t>日期：</w:t>
      </w:r>
      <w:r>
        <w:rPr>
          <w:rFonts w:hint="eastAsia" w:ascii="宋体" w:hAnsi="宋体" w:eastAsia="宋体" w:cs="宋体"/>
          <w:color w:val="auto"/>
          <w:sz w:val="21"/>
          <w:szCs w:val="21"/>
          <w:highlight w:val="none"/>
          <w:u w:val="single"/>
        </w:rPr>
        <w:t xml:space="preserve">                               </w:t>
      </w:r>
    </w:p>
    <w:p w14:paraId="20B31FF8">
      <w:pPr>
        <w:pStyle w:val="9"/>
        <w:rPr>
          <w:rFonts w:hint="eastAsia" w:ascii="宋体" w:hAnsi="宋体" w:eastAsia="宋体" w:cs="宋体"/>
          <w:color w:val="auto"/>
          <w:sz w:val="21"/>
          <w:szCs w:val="21"/>
          <w:highlight w:val="none"/>
          <w:u w:val="single"/>
        </w:rPr>
      </w:pPr>
    </w:p>
    <w:p w14:paraId="6793419A">
      <w:pPr>
        <w:rPr>
          <w:rFonts w:hint="eastAsia" w:ascii="宋体" w:hAnsi="宋体" w:eastAsia="宋体" w:cs="宋体"/>
          <w:color w:val="auto"/>
          <w:sz w:val="21"/>
          <w:szCs w:val="21"/>
          <w:highlight w:val="none"/>
          <w:u w:val="single"/>
        </w:rPr>
      </w:pPr>
    </w:p>
    <w:p w14:paraId="46EE3829">
      <w:pPr>
        <w:pStyle w:val="9"/>
        <w:rPr>
          <w:rFonts w:hint="eastAsia"/>
          <w:color w:val="auto"/>
          <w:highlight w:val="none"/>
          <w:lang w:val="en-US" w:eastAsia="zh-CN"/>
        </w:rPr>
      </w:pPr>
    </w:p>
    <w:p w14:paraId="34849614">
      <w:pPr>
        <w:rPr>
          <w:rFonts w:hint="eastAsia"/>
          <w:color w:val="auto"/>
          <w:highlight w:val="none"/>
          <w:lang w:val="en-US" w:eastAsia="zh-CN"/>
        </w:rPr>
      </w:pPr>
    </w:p>
    <w:p w14:paraId="1BC71B60">
      <w:pPr>
        <w:rPr>
          <w:rFonts w:hint="eastAsia"/>
          <w:color w:val="auto"/>
          <w:highlight w:val="none"/>
          <w:lang w:val="en-US" w:eastAsia="zh-CN"/>
        </w:rPr>
      </w:pPr>
    </w:p>
    <w:p w14:paraId="06E386F1">
      <w:pPr>
        <w:pStyle w:val="14"/>
        <w:numPr>
          <w:ilvl w:val="0"/>
          <w:numId w:val="0"/>
        </w:numPr>
        <w:spacing w:line="340" w:lineRule="exact"/>
        <w:rPr>
          <w:rFonts w:hint="eastAsia" w:hAnsi="宋体" w:cs="宋体"/>
          <w:b/>
          <w:color w:val="auto"/>
          <w:sz w:val="28"/>
          <w:szCs w:val="28"/>
          <w:highlight w:val="none"/>
          <w:lang w:val="en-US" w:eastAsia="zh-CN"/>
        </w:rPr>
      </w:pPr>
    </w:p>
    <w:p w14:paraId="3F59EFE1">
      <w:pPr>
        <w:pStyle w:val="14"/>
        <w:numPr>
          <w:ilvl w:val="0"/>
          <w:numId w:val="0"/>
        </w:numPr>
        <w:spacing w:line="340" w:lineRule="exact"/>
        <w:rPr>
          <w:rFonts w:hint="eastAsia" w:hAnsi="宋体" w:cs="宋体"/>
          <w:b/>
          <w:color w:val="auto"/>
          <w:sz w:val="28"/>
          <w:szCs w:val="28"/>
          <w:highlight w:val="none"/>
          <w:lang w:val="en-US" w:eastAsia="zh-CN"/>
        </w:rPr>
      </w:pPr>
    </w:p>
    <w:p w14:paraId="4FE43DF5">
      <w:pPr>
        <w:pStyle w:val="9"/>
        <w:rPr>
          <w:rFonts w:hint="eastAsia"/>
          <w:lang w:val="en-US" w:eastAsia="zh-CN"/>
        </w:rPr>
      </w:pPr>
    </w:p>
    <w:p w14:paraId="4A480C14">
      <w:pPr>
        <w:pStyle w:val="7"/>
        <w:rPr>
          <w:rFonts w:hint="eastAsia"/>
          <w:color w:val="auto"/>
          <w:highlight w:val="none"/>
          <w:lang w:val="en-US" w:eastAsia="zh-CN"/>
        </w:rPr>
      </w:pPr>
    </w:p>
    <w:p w14:paraId="7D25CB23">
      <w:pPr>
        <w:pStyle w:val="14"/>
        <w:numPr>
          <w:ilvl w:val="0"/>
          <w:numId w:val="0"/>
        </w:numPr>
        <w:spacing w:line="340" w:lineRule="exact"/>
        <w:rPr>
          <w:rFonts w:hint="eastAsia" w:ascii="宋体" w:hAnsi="宋体" w:eastAsia="宋体" w:cs="宋体"/>
          <w:color w:val="auto"/>
          <w:highlight w:val="none"/>
        </w:rPr>
      </w:pPr>
      <w:r>
        <w:rPr>
          <w:rFonts w:hint="eastAsia" w:hAnsi="宋体" w:cs="宋体"/>
          <w:b/>
          <w:color w:val="auto"/>
          <w:sz w:val="28"/>
          <w:szCs w:val="28"/>
          <w:highlight w:val="none"/>
          <w:lang w:val="en-US" w:eastAsia="zh-CN"/>
        </w:rPr>
        <w:t>2</w:t>
      </w:r>
      <w:r>
        <w:rPr>
          <w:rFonts w:hint="eastAsia" w:ascii="宋体" w:hAnsi="宋体" w:eastAsia="宋体" w:cs="宋体"/>
          <w:b/>
          <w:color w:val="auto"/>
          <w:sz w:val="28"/>
          <w:szCs w:val="28"/>
          <w:highlight w:val="none"/>
          <w:lang w:val="en-US" w:eastAsia="zh-CN"/>
        </w:rPr>
        <w:t>. 磋商报价汇总表</w:t>
      </w:r>
      <w:r>
        <w:rPr>
          <w:rFonts w:hint="eastAsia" w:ascii="宋体" w:hAnsi="宋体" w:eastAsia="宋体" w:cs="宋体"/>
          <w:b/>
          <w:color w:val="auto"/>
          <w:sz w:val="28"/>
          <w:szCs w:val="28"/>
          <w:highlight w:val="none"/>
        </w:rPr>
        <w:t>（必须提供）；</w:t>
      </w:r>
    </w:p>
    <w:p w14:paraId="5FA6EE3D">
      <w:pPr>
        <w:pStyle w:val="14"/>
        <w:spacing w:line="320" w:lineRule="exact"/>
        <w:jc w:val="left"/>
        <w:rPr>
          <w:rFonts w:hint="eastAsia" w:ascii="宋体" w:hAnsi="宋体" w:eastAsia="宋体" w:cs="宋体"/>
          <w:b/>
          <w:color w:val="auto"/>
          <w:sz w:val="28"/>
          <w:szCs w:val="28"/>
          <w:highlight w:val="none"/>
        </w:rPr>
      </w:pPr>
    </w:p>
    <w:p w14:paraId="7032C0D6">
      <w:pPr>
        <w:spacing w:line="500" w:lineRule="exact"/>
        <w:ind w:right="420"/>
        <w:jc w:val="center"/>
        <w:rPr>
          <w:rFonts w:ascii="宋体" w:hAnsi="宋体" w:cs="宋体"/>
          <w:b/>
          <w:color w:val="auto"/>
          <w:sz w:val="30"/>
          <w:szCs w:val="30"/>
        </w:rPr>
      </w:pPr>
      <w:r>
        <w:rPr>
          <w:rFonts w:hint="eastAsia" w:ascii="宋体" w:hAnsi="宋体" w:cs="宋体"/>
          <w:b/>
          <w:color w:val="auto"/>
          <w:sz w:val="30"/>
          <w:szCs w:val="30"/>
        </w:rPr>
        <w:t>磋商报价汇总表</w:t>
      </w:r>
    </w:p>
    <w:p w14:paraId="4EC63E5C">
      <w:pPr>
        <w:spacing w:line="500" w:lineRule="exact"/>
        <w:rPr>
          <w:rFonts w:ascii="宋体" w:hAnsi="宋体" w:cs="宋体"/>
          <w:b/>
          <w:bCs/>
          <w:color w:val="auto"/>
          <w:w w:val="99"/>
          <w:kern w:val="0"/>
          <w:sz w:val="30"/>
          <w:szCs w:val="32"/>
        </w:rPr>
      </w:pPr>
    </w:p>
    <w:tbl>
      <w:tblPr>
        <w:tblStyle w:val="29"/>
        <w:tblW w:w="0" w:type="auto"/>
        <w:tblInd w:w="108" w:type="dxa"/>
        <w:tblBorders>
          <w:top w:val="single" w:color="000000" w:sz="2" w:space="0"/>
          <w:left w:val="single" w:color="000000" w:sz="2" w:space="0"/>
          <w:bottom w:val="none" w:color="auto" w:sz="0" w:space="0"/>
          <w:right w:val="single" w:color="000000" w:sz="2" w:space="0"/>
          <w:insideH w:val="none" w:color="auto" w:sz="0" w:space="0"/>
          <w:insideV w:val="none" w:color="auto" w:sz="0" w:space="0"/>
        </w:tblBorders>
        <w:tblLayout w:type="fixed"/>
        <w:tblCellMar>
          <w:top w:w="0" w:type="dxa"/>
          <w:left w:w="108" w:type="dxa"/>
          <w:bottom w:w="0" w:type="dxa"/>
          <w:right w:w="108" w:type="dxa"/>
        </w:tblCellMar>
      </w:tblPr>
      <w:tblGrid>
        <w:gridCol w:w="737"/>
        <w:gridCol w:w="6202"/>
        <w:gridCol w:w="2636"/>
      </w:tblGrid>
      <w:tr w14:paraId="1A2B9A6E">
        <w:tblPrEx>
          <w:tblBorders>
            <w:top w:val="single" w:color="000000" w:sz="2" w:space="0"/>
            <w:left w:val="single" w:color="000000" w:sz="2" w:space="0"/>
            <w:bottom w:val="none" w:color="auto" w:sz="0" w:space="0"/>
            <w:right w:val="single" w:color="000000" w:sz="2" w:space="0"/>
            <w:insideH w:val="none" w:color="auto" w:sz="0" w:space="0"/>
            <w:insideV w:val="none" w:color="auto" w:sz="0" w:space="0"/>
          </w:tblBorders>
          <w:tblCellMar>
            <w:top w:w="0" w:type="dxa"/>
            <w:left w:w="108" w:type="dxa"/>
            <w:bottom w:w="0" w:type="dxa"/>
            <w:right w:w="108" w:type="dxa"/>
          </w:tblCellMar>
        </w:tblPrEx>
        <w:trPr>
          <w:cantSplit/>
          <w:trHeight w:val="538" w:hRule="atLeast"/>
        </w:trPr>
        <w:tc>
          <w:tcPr>
            <w:tcW w:w="9575" w:type="dxa"/>
            <w:gridSpan w:val="3"/>
            <w:tcBorders>
              <w:top w:val="nil"/>
              <w:left w:val="nil"/>
              <w:bottom w:val="nil"/>
              <w:right w:val="single" w:color="000000" w:sz="2" w:space="0"/>
            </w:tcBorders>
            <w:noWrap w:val="0"/>
            <w:vAlign w:val="center"/>
          </w:tcPr>
          <w:p w14:paraId="6FDF4B57">
            <w:pPr>
              <w:autoSpaceDE w:val="0"/>
              <w:autoSpaceDN w:val="0"/>
              <w:rPr>
                <w:rFonts w:ascii="宋体" w:cs="宋体"/>
                <w:color w:val="auto"/>
                <w:kern w:val="0"/>
                <w:szCs w:val="21"/>
              </w:rPr>
            </w:pPr>
            <w:r>
              <w:rPr>
                <w:rFonts w:hint="eastAsia" w:ascii="宋体" w:cs="宋体"/>
                <w:color w:val="auto"/>
                <w:kern w:val="0"/>
                <w:szCs w:val="21"/>
              </w:rPr>
              <w:t>项目名称：</w:t>
            </w:r>
          </w:p>
        </w:tc>
      </w:tr>
      <w:tr w14:paraId="7CCEC293">
        <w:tblPrEx>
          <w:tblBorders>
            <w:top w:val="none" w:color="auto" w:sz="0" w:space="0"/>
            <w:left w:val="single" w:color="000000" w:sz="2" w:space="0"/>
            <w:bottom w:val="none" w:color="auto" w:sz="0" w:space="0"/>
            <w:right w:val="single" w:color="000000" w:sz="2" w:space="0"/>
            <w:insideH w:val="none" w:color="auto" w:sz="0" w:space="0"/>
            <w:insideV w:val="none" w:color="auto" w:sz="0" w:space="0"/>
          </w:tblBorders>
          <w:tblCellMar>
            <w:top w:w="0" w:type="dxa"/>
            <w:left w:w="108" w:type="dxa"/>
            <w:bottom w:w="0" w:type="dxa"/>
            <w:right w:w="108" w:type="dxa"/>
          </w:tblCellMar>
        </w:tblPrEx>
        <w:trPr>
          <w:cantSplit/>
          <w:trHeight w:val="538" w:hRule="atLeast"/>
        </w:trPr>
        <w:tc>
          <w:tcPr>
            <w:tcW w:w="9575" w:type="dxa"/>
            <w:gridSpan w:val="3"/>
            <w:tcBorders>
              <w:top w:val="nil"/>
              <w:left w:val="nil"/>
              <w:bottom w:val="single" w:color="000000" w:sz="6" w:space="0"/>
              <w:right w:val="single" w:color="000000" w:sz="2" w:space="0"/>
            </w:tcBorders>
            <w:noWrap w:val="0"/>
            <w:vAlign w:val="center"/>
          </w:tcPr>
          <w:p w14:paraId="1A05EB09">
            <w:pPr>
              <w:autoSpaceDE w:val="0"/>
              <w:autoSpaceDN w:val="0"/>
              <w:rPr>
                <w:rFonts w:ascii="宋体" w:cs="宋体"/>
                <w:color w:val="auto"/>
                <w:kern w:val="0"/>
                <w:szCs w:val="21"/>
              </w:rPr>
            </w:pPr>
            <w:r>
              <w:rPr>
                <w:rFonts w:hint="eastAsia" w:ascii="宋体" w:cs="宋体"/>
                <w:color w:val="auto"/>
                <w:kern w:val="0"/>
                <w:szCs w:val="21"/>
              </w:rPr>
              <w:t>建设规模：                                                  币种：人民币</w:t>
            </w:r>
          </w:p>
        </w:tc>
      </w:tr>
      <w:tr w14:paraId="0680C5F8">
        <w:tblPrEx>
          <w:tblBorders>
            <w:top w:val="none" w:color="auto" w:sz="0" w:space="0"/>
            <w:left w:val="single" w:color="000000" w:sz="2" w:space="0"/>
            <w:bottom w:val="none" w:color="auto" w:sz="0" w:space="0"/>
            <w:right w:val="single" w:color="000000" w:sz="2" w:space="0"/>
            <w:insideH w:val="none" w:color="auto" w:sz="0" w:space="0"/>
            <w:insideV w:val="none" w:color="auto" w:sz="0" w:space="0"/>
          </w:tblBorders>
          <w:tblCellMar>
            <w:top w:w="0" w:type="dxa"/>
            <w:left w:w="108" w:type="dxa"/>
            <w:bottom w:w="0" w:type="dxa"/>
            <w:right w:w="108" w:type="dxa"/>
          </w:tblCellMar>
        </w:tblPrEx>
        <w:trPr>
          <w:cantSplit/>
          <w:trHeight w:val="617" w:hRule="atLeast"/>
        </w:trPr>
        <w:tc>
          <w:tcPr>
            <w:tcW w:w="737" w:type="dxa"/>
            <w:tcBorders>
              <w:top w:val="nil"/>
              <w:left w:val="single" w:color="auto" w:sz="4" w:space="0"/>
              <w:bottom w:val="single" w:color="000000" w:sz="2" w:space="0"/>
              <w:right w:val="single" w:color="000000" w:sz="2" w:space="0"/>
            </w:tcBorders>
            <w:noWrap w:val="0"/>
            <w:vAlign w:val="center"/>
          </w:tcPr>
          <w:p w14:paraId="06FEC913">
            <w:pPr>
              <w:autoSpaceDE w:val="0"/>
              <w:autoSpaceDN w:val="0"/>
              <w:jc w:val="center"/>
              <w:rPr>
                <w:rFonts w:ascii="宋体" w:cs="宋体"/>
                <w:color w:val="auto"/>
                <w:kern w:val="0"/>
                <w:szCs w:val="21"/>
              </w:rPr>
            </w:pPr>
            <w:r>
              <w:rPr>
                <w:rFonts w:hint="eastAsia" w:ascii="宋体" w:cs="宋体"/>
                <w:color w:val="auto"/>
                <w:kern w:val="0"/>
                <w:szCs w:val="21"/>
              </w:rPr>
              <w:t>一</w:t>
            </w:r>
          </w:p>
        </w:tc>
        <w:tc>
          <w:tcPr>
            <w:tcW w:w="6202" w:type="dxa"/>
            <w:tcBorders>
              <w:top w:val="nil"/>
              <w:left w:val="nil"/>
              <w:bottom w:val="single" w:color="000000" w:sz="2" w:space="0"/>
              <w:right w:val="single" w:color="000000" w:sz="2" w:space="0"/>
            </w:tcBorders>
            <w:noWrap w:val="0"/>
            <w:vAlign w:val="center"/>
          </w:tcPr>
          <w:p w14:paraId="74C2E8C4">
            <w:pPr>
              <w:autoSpaceDE w:val="0"/>
              <w:autoSpaceDN w:val="0"/>
              <w:rPr>
                <w:rFonts w:ascii="宋体" w:cs="宋体"/>
                <w:color w:val="auto"/>
                <w:kern w:val="0"/>
                <w:szCs w:val="21"/>
              </w:rPr>
            </w:pPr>
            <w:r>
              <w:rPr>
                <w:rFonts w:hint="eastAsia" w:ascii="宋体" w:cs="宋体"/>
                <w:color w:val="auto"/>
                <w:kern w:val="0"/>
                <w:szCs w:val="21"/>
              </w:rPr>
              <w:t>磋商报价</w:t>
            </w:r>
          </w:p>
        </w:tc>
        <w:tc>
          <w:tcPr>
            <w:tcW w:w="2636" w:type="dxa"/>
            <w:tcBorders>
              <w:top w:val="nil"/>
              <w:left w:val="nil"/>
              <w:bottom w:val="single" w:color="000000" w:sz="2" w:space="0"/>
              <w:right w:val="single" w:color="000000" w:sz="6" w:space="0"/>
            </w:tcBorders>
            <w:noWrap w:val="0"/>
            <w:vAlign w:val="top"/>
          </w:tcPr>
          <w:p w14:paraId="4837F508">
            <w:pPr>
              <w:autoSpaceDE w:val="0"/>
              <w:autoSpaceDN w:val="0"/>
              <w:jc w:val="center"/>
              <w:rPr>
                <w:rFonts w:ascii="宋体" w:cs="宋体"/>
                <w:color w:val="auto"/>
                <w:kern w:val="0"/>
                <w:szCs w:val="21"/>
              </w:rPr>
            </w:pPr>
            <w:r>
              <w:rPr>
                <w:rFonts w:hint="eastAsia" w:ascii="宋体" w:cs="宋体"/>
                <w:color w:val="auto"/>
                <w:kern w:val="0"/>
                <w:szCs w:val="21"/>
              </w:rPr>
              <w:t>（元）</w:t>
            </w:r>
          </w:p>
        </w:tc>
      </w:tr>
      <w:tr w14:paraId="2B2A87B1">
        <w:tblPrEx>
          <w:tblBorders>
            <w:top w:val="none" w:color="auto" w:sz="0" w:space="0"/>
            <w:left w:val="single" w:color="000000" w:sz="2" w:space="0"/>
            <w:bottom w:val="none" w:color="auto" w:sz="0" w:space="0"/>
            <w:right w:val="single" w:color="000000" w:sz="2" w:space="0"/>
            <w:insideH w:val="none" w:color="auto" w:sz="0" w:space="0"/>
            <w:insideV w:val="none" w:color="auto" w:sz="0" w:space="0"/>
          </w:tblBorders>
          <w:tblCellMar>
            <w:top w:w="0" w:type="dxa"/>
            <w:left w:w="108" w:type="dxa"/>
            <w:bottom w:w="0" w:type="dxa"/>
            <w:right w:w="108" w:type="dxa"/>
          </w:tblCellMar>
        </w:tblPrEx>
        <w:trPr>
          <w:cantSplit/>
          <w:trHeight w:val="617" w:hRule="atLeast"/>
        </w:trPr>
        <w:tc>
          <w:tcPr>
            <w:tcW w:w="737" w:type="dxa"/>
            <w:tcBorders>
              <w:top w:val="nil"/>
              <w:left w:val="single" w:color="auto" w:sz="4" w:space="0"/>
              <w:bottom w:val="single" w:color="000000" w:sz="2" w:space="0"/>
              <w:right w:val="single" w:color="000000" w:sz="2" w:space="0"/>
            </w:tcBorders>
            <w:noWrap w:val="0"/>
            <w:vAlign w:val="center"/>
          </w:tcPr>
          <w:p w14:paraId="49971221">
            <w:pPr>
              <w:autoSpaceDE w:val="0"/>
              <w:autoSpaceDN w:val="0"/>
              <w:jc w:val="center"/>
              <w:rPr>
                <w:rFonts w:hint="eastAsia" w:ascii="宋体" w:cs="宋体"/>
                <w:color w:val="auto"/>
                <w:kern w:val="0"/>
                <w:szCs w:val="21"/>
              </w:rPr>
            </w:pPr>
            <w:r>
              <w:rPr>
                <w:rFonts w:hint="eastAsia" w:ascii="宋体" w:cs="宋体"/>
                <w:color w:val="auto"/>
                <w:kern w:val="0"/>
                <w:szCs w:val="21"/>
              </w:rPr>
              <w:t>二</w:t>
            </w:r>
          </w:p>
        </w:tc>
        <w:tc>
          <w:tcPr>
            <w:tcW w:w="6202" w:type="dxa"/>
            <w:tcBorders>
              <w:top w:val="nil"/>
              <w:left w:val="nil"/>
              <w:bottom w:val="single" w:color="000000" w:sz="2" w:space="0"/>
              <w:right w:val="single" w:color="000000" w:sz="2" w:space="0"/>
            </w:tcBorders>
            <w:noWrap w:val="0"/>
            <w:vAlign w:val="center"/>
          </w:tcPr>
          <w:p w14:paraId="472D401E">
            <w:pPr>
              <w:autoSpaceDE w:val="0"/>
              <w:autoSpaceDN w:val="0"/>
              <w:rPr>
                <w:rFonts w:hint="eastAsia" w:ascii="宋体" w:cs="宋体"/>
                <w:color w:val="auto"/>
                <w:kern w:val="0"/>
                <w:szCs w:val="21"/>
              </w:rPr>
            </w:pPr>
            <w:r>
              <w:rPr>
                <w:rFonts w:hint="eastAsia" w:ascii="宋体" w:cs="宋体"/>
                <w:color w:val="auto"/>
                <w:kern w:val="0"/>
                <w:szCs w:val="21"/>
              </w:rPr>
              <w:t>承诺工期</w:t>
            </w:r>
          </w:p>
        </w:tc>
        <w:tc>
          <w:tcPr>
            <w:tcW w:w="2636" w:type="dxa"/>
            <w:tcBorders>
              <w:top w:val="nil"/>
              <w:left w:val="nil"/>
              <w:bottom w:val="single" w:color="000000" w:sz="2" w:space="0"/>
              <w:right w:val="single" w:color="000000" w:sz="6" w:space="0"/>
            </w:tcBorders>
            <w:noWrap w:val="0"/>
            <w:vAlign w:val="top"/>
          </w:tcPr>
          <w:p w14:paraId="7234E40D">
            <w:pPr>
              <w:autoSpaceDE w:val="0"/>
              <w:autoSpaceDN w:val="0"/>
              <w:jc w:val="center"/>
              <w:rPr>
                <w:rFonts w:hint="eastAsia" w:ascii="宋体" w:cs="宋体"/>
                <w:color w:val="auto"/>
                <w:kern w:val="0"/>
                <w:szCs w:val="21"/>
              </w:rPr>
            </w:pPr>
            <w:r>
              <w:rPr>
                <w:rFonts w:hint="eastAsia" w:ascii="宋体" w:cs="宋体"/>
                <w:color w:val="auto"/>
                <w:kern w:val="0"/>
                <w:szCs w:val="21"/>
              </w:rPr>
              <w:t>天（日历日）</w:t>
            </w:r>
          </w:p>
        </w:tc>
      </w:tr>
      <w:tr w14:paraId="45CBDB6D">
        <w:tblPrEx>
          <w:tblBorders>
            <w:top w:val="none" w:color="auto" w:sz="0" w:space="0"/>
            <w:left w:val="single" w:color="000000" w:sz="2" w:space="0"/>
            <w:bottom w:val="none" w:color="auto" w:sz="0" w:space="0"/>
            <w:right w:val="single" w:color="000000" w:sz="2" w:space="0"/>
            <w:insideH w:val="none" w:color="auto" w:sz="0" w:space="0"/>
            <w:insideV w:val="none" w:color="auto" w:sz="0" w:space="0"/>
          </w:tblBorders>
          <w:tblCellMar>
            <w:top w:w="0" w:type="dxa"/>
            <w:left w:w="108" w:type="dxa"/>
            <w:bottom w:w="0" w:type="dxa"/>
            <w:right w:w="108" w:type="dxa"/>
          </w:tblCellMar>
        </w:tblPrEx>
        <w:trPr>
          <w:cantSplit/>
          <w:trHeight w:val="617" w:hRule="atLeast"/>
        </w:trPr>
        <w:tc>
          <w:tcPr>
            <w:tcW w:w="737" w:type="dxa"/>
            <w:tcBorders>
              <w:top w:val="nil"/>
              <w:left w:val="single" w:color="auto" w:sz="4" w:space="0"/>
              <w:bottom w:val="single" w:color="000000" w:sz="2" w:space="0"/>
              <w:right w:val="single" w:color="000000" w:sz="2" w:space="0"/>
            </w:tcBorders>
            <w:noWrap w:val="0"/>
            <w:vAlign w:val="center"/>
          </w:tcPr>
          <w:p w14:paraId="601BCFB8">
            <w:pPr>
              <w:autoSpaceDE w:val="0"/>
              <w:autoSpaceDN w:val="0"/>
              <w:jc w:val="center"/>
              <w:rPr>
                <w:rFonts w:hint="eastAsia" w:ascii="宋体" w:cs="宋体"/>
                <w:color w:val="auto"/>
                <w:kern w:val="0"/>
                <w:szCs w:val="21"/>
              </w:rPr>
            </w:pPr>
            <w:r>
              <w:rPr>
                <w:rFonts w:hint="eastAsia" w:ascii="宋体" w:cs="宋体"/>
                <w:color w:val="auto"/>
                <w:kern w:val="0"/>
                <w:szCs w:val="21"/>
              </w:rPr>
              <w:t>三</w:t>
            </w:r>
          </w:p>
        </w:tc>
        <w:tc>
          <w:tcPr>
            <w:tcW w:w="6202" w:type="dxa"/>
            <w:tcBorders>
              <w:top w:val="nil"/>
              <w:left w:val="nil"/>
              <w:bottom w:val="single" w:color="000000" w:sz="2" w:space="0"/>
              <w:right w:val="single" w:color="000000" w:sz="2" w:space="0"/>
            </w:tcBorders>
            <w:noWrap w:val="0"/>
            <w:vAlign w:val="center"/>
          </w:tcPr>
          <w:p w14:paraId="5B2F032B">
            <w:pPr>
              <w:autoSpaceDE w:val="0"/>
              <w:autoSpaceDN w:val="0"/>
              <w:rPr>
                <w:rFonts w:hint="eastAsia" w:ascii="宋体" w:cs="宋体"/>
                <w:color w:val="auto"/>
                <w:kern w:val="0"/>
                <w:szCs w:val="21"/>
              </w:rPr>
            </w:pPr>
            <w:r>
              <w:rPr>
                <w:rFonts w:hint="eastAsia" w:ascii="宋体" w:cs="宋体"/>
                <w:color w:val="auto"/>
                <w:kern w:val="0"/>
                <w:szCs w:val="21"/>
              </w:rPr>
              <w:t>承诺质量等级</w:t>
            </w:r>
          </w:p>
        </w:tc>
        <w:tc>
          <w:tcPr>
            <w:tcW w:w="2636" w:type="dxa"/>
            <w:tcBorders>
              <w:top w:val="nil"/>
              <w:left w:val="nil"/>
              <w:bottom w:val="single" w:color="000000" w:sz="2" w:space="0"/>
              <w:right w:val="single" w:color="000000" w:sz="6" w:space="0"/>
            </w:tcBorders>
            <w:noWrap w:val="0"/>
            <w:vAlign w:val="top"/>
          </w:tcPr>
          <w:p w14:paraId="7FAB3865">
            <w:pPr>
              <w:autoSpaceDE w:val="0"/>
              <w:autoSpaceDN w:val="0"/>
              <w:jc w:val="center"/>
              <w:rPr>
                <w:rFonts w:hint="eastAsia" w:ascii="宋体" w:cs="宋体"/>
                <w:color w:val="auto"/>
                <w:kern w:val="0"/>
                <w:szCs w:val="21"/>
              </w:rPr>
            </w:pPr>
          </w:p>
        </w:tc>
      </w:tr>
      <w:tr w14:paraId="160EA3CE">
        <w:tblPrEx>
          <w:tblBorders>
            <w:top w:val="none" w:color="auto" w:sz="0" w:space="0"/>
            <w:left w:val="single" w:color="000000" w:sz="2" w:space="0"/>
            <w:bottom w:val="single" w:color="000000" w:sz="2" w:space="0"/>
            <w:right w:val="single" w:color="000000" w:sz="2" w:space="0"/>
            <w:insideH w:val="none" w:color="auto" w:sz="0" w:space="0"/>
            <w:insideV w:val="none" w:color="auto" w:sz="0" w:space="0"/>
          </w:tblBorders>
          <w:tblCellMar>
            <w:top w:w="0" w:type="dxa"/>
            <w:left w:w="108" w:type="dxa"/>
            <w:bottom w:w="0" w:type="dxa"/>
            <w:right w:w="108" w:type="dxa"/>
          </w:tblCellMar>
        </w:tblPrEx>
        <w:trPr>
          <w:cantSplit/>
          <w:trHeight w:val="1298" w:hRule="atLeast"/>
        </w:trPr>
        <w:tc>
          <w:tcPr>
            <w:tcW w:w="9575" w:type="dxa"/>
            <w:gridSpan w:val="3"/>
            <w:tcBorders>
              <w:top w:val="nil"/>
              <w:left w:val="nil"/>
              <w:bottom w:val="nil"/>
              <w:right w:val="nil"/>
            </w:tcBorders>
            <w:noWrap w:val="0"/>
            <w:vAlign w:val="top"/>
          </w:tcPr>
          <w:p w14:paraId="748BC607">
            <w:pPr>
              <w:autoSpaceDE w:val="0"/>
              <w:autoSpaceDN w:val="0"/>
              <w:jc w:val="left"/>
              <w:rPr>
                <w:rFonts w:ascii="宋体" w:cs="宋体"/>
                <w:color w:val="auto"/>
                <w:kern w:val="0"/>
                <w:sz w:val="24"/>
              </w:rPr>
            </w:pPr>
          </w:p>
          <w:p w14:paraId="6D5003E8">
            <w:pPr>
              <w:autoSpaceDE w:val="0"/>
              <w:autoSpaceDN w:val="0"/>
              <w:jc w:val="left"/>
              <w:rPr>
                <w:rFonts w:ascii="宋体" w:cs="宋体"/>
                <w:color w:val="auto"/>
                <w:kern w:val="0"/>
                <w:sz w:val="24"/>
              </w:rPr>
            </w:pPr>
          </w:p>
          <w:p w14:paraId="20F9D292">
            <w:pPr>
              <w:autoSpaceDE w:val="0"/>
              <w:autoSpaceDN w:val="0"/>
              <w:jc w:val="left"/>
              <w:rPr>
                <w:rFonts w:ascii="宋体" w:cs="宋体"/>
                <w:color w:val="auto"/>
                <w:kern w:val="0"/>
                <w:sz w:val="24"/>
              </w:rPr>
            </w:pPr>
          </w:p>
          <w:p w14:paraId="31B1FAE0">
            <w:pPr>
              <w:spacing w:line="340" w:lineRule="exact"/>
              <w:jc w:val="left"/>
              <w:rPr>
                <w:rFonts w:hint="eastAsia" w:ascii="宋体" w:hAnsi="宋体" w:cs="宋体"/>
                <w:color w:val="auto"/>
                <w:szCs w:val="21"/>
                <w:u w:val="single"/>
              </w:rPr>
            </w:pPr>
            <w:r>
              <w:rPr>
                <w:rFonts w:hint="eastAsia" w:ascii="宋体" w:hAnsi="宋体" w:cs="宋体"/>
                <w:color w:val="auto"/>
                <w:szCs w:val="21"/>
              </w:rPr>
              <w:t>磋商供应商（CA签章，自然人除外）：</w:t>
            </w:r>
            <w:r>
              <w:rPr>
                <w:rFonts w:hint="eastAsia" w:ascii="宋体" w:hAnsi="宋体" w:cs="宋体"/>
                <w:color w:val="auto"/>
                <w:szCs w:val="21"/>
                <w:u w:val="single"/>
              </w:rPr>
              <w:t xml:space="preserve">                                        </w:t>
            </w:r>
          </w:p>
          <w:p w14:paraId="50079912">
            <w:pPr>
              <w:autoSpaceDE w:val="0"/>
              <w:autoSpaceDN w:val="0"/>
              <w:spacing w:line="400" w:lineRule="exact"/>
              <w:jc w:val="left"/>
              <w:rPr>
                <w:rFonts w:ascii="宋体" w:cs="宋体"/>
                <w:color w:val="auto"/>
                <w:kern w:val="0"/>
                <w:sz w:val="24"/>
              </w:rPr>
            </w:pPr>
            <w:r>
              <w:rPr>
                <w:rFonts w:hint="eastAsia" w:ascii="宋体" w:hAnsi="宋体" w:cs="宋体"/>
                <w:color w:val="auto"/>
              </w:rPr>
              <w:t>法定代表人、负责人、自然人或相应的委托代理人签字或个人CA签章（属自然人的应在签名处加盖食指指印或个人CA签章）：</w:t>
            </w:r>
          </w:p>
        </w:tc>
      </w:tr>
    </w:tbl>
    <w:p w14:paraId="2136B8A2">
      <w:pPr>
        <w:spacing w:line="340" w:lineRule="exact"/>
        <w:rPr>
          <w:rFonts w:hint="eastAsia" w:ascii="宋体" w:hAnsi="宋体" w:eastAsia="宋体" w:cs="宋体"/>
          <w:color w:val="auto"/>
          <w:szCs w:val="21"/>
          <w:highlight w:val="none"/>
        </w:rPr>
      </w:pPr>
    </w:p>
    <w:p w14:paraId="38228B69">
      <w:pPr>
        <w:tabs>
          <w:tab w:val="left" w:pos="1305"/>
        </w:tabs>
        <w:spacing w:line="340" w:lineRule="exact"/>
        <w:rPr>
          <w:rFonts w:hint="eastAsia" w:ascii="宋体" w:hAnsi="宋体" w:eastAsia="宋体" w:cs="宋体"/>
          <w:bCs/>
          <w:color w:val="auto"/>
          <w:sz w:val="21"/>
          <w:szCs w:val="21"/>
          <w:highlight w:val="none"/>
        </w:rPr>
      </w:pPr>
    </w:p>
    <w:p w14:paraId="6C506939">
      <w:pPr>
        <w:pStyle w:val="14"/>
        <w:numPr>
          <w:ilvl w:val="0"/>
          <w:numId w:val="0"/>
        </w:numPr>
        <w:spacing w:line="340" w:lineRule="exact"/>
        <w:rPr>
          <w:rFonts w:hint="eastAsia" w:hAnsi="宋体" w:cs="宋体"/>
          <w:b/>
          <w:color w:val="auto"/>
          <w:sz w:val="28"/>
          <w:szCs w:val="28"/>
          <w:highlight w:val="none"/>
          <w:lang w:val="en-US" w:eastAsia="zh-CN"/>
        </w:rPr>
      </w:pPr>
    </w:p>
    <w:p w14:paraId="6A6C1888">
      <w:pPr>
        <w:pStyle w:val="14"/>
        <w:numPr>
          <w:ilvl w:val="0"/>
          <w:numId w:val="0"/>
        </w:numPr>
        <w:spacing w:line="340" w:lineRule="exact"/>
        <w:rPr>
          <w:rFonts w:hint="eastAsia" w:hAnsi="宋体" w:cs="宋体"/>
          <w:b/>
          <w:color w:val="auto"/>
          <w:sz w:val="28"/>
          <w:szCs w:val="28"/>
          <w:highlight w:val="none"/>
          <w:lang w:val="en-US" w:eastAsia="zh-CN"/>
        </w:rPr>
      </w:pPr>
    </w:p>
    <w:p w14:paraId="715DFE49">
      <w:pPr>
        <w:pStyle w:val="14"/>
        <w:numPr>
          <w:ilvl w:val="0"/>
          <w:numId w:val="0"/>
        </w:numPr>
        <w:spacing w:line="340" w:lineRule="exact"/>
        <w:rPr>
          <w:rFonts w:hint="eastAsia" w:hAnsi="宋体" w:cs="宋体"/>
          <w:b/>
          <w:color w:val="auto"/>
          <w:sz w:val="28"/>
          <w:szCs w:val="28"/>
          <w:highlight w:val="none"/>
          <w:lang w:val="en-US" w:eastAsia="zh-CN"/>
        </w:rPr>
      </w:pPr>
    </w:p>
    <w:p w14:paraId="0070DE61">
      <w:pPr>
        <w:pStyle w:val="14"/>
        <w:numPr>
          <w:ilvl w:val="0"/>
          <w:numId w:val="0"/>
        </w:numPr>
        <w:spacing w:line="340" w:lineRule="exact"/>
        <w:rPr>
          <w:rFonts w:hint="eastAsia" w:hAnsi="宋体" w:cs="宋体"/>
          <w:b/>
          <w:color w:val="auto"/>
          <w:sz w:val="28"/>
          <w:szCs w:val="28"/>
          <w:highlight w:val="none"/>
          <w:lang w:val="en-US" w:eastAsia="zh-CN"/>
        </w:rPr>
      </w:pPr>
    </w:p>
    <w:p w14:paraId="78E6A72E">
      <w:pPr>
        <w:pStyle w:val="14"/>
        <w:numPr>
          <w:ilvl w:val="0"/>
          <w:numId w:val="0"/>
        </w:numPr>
        <w:spacing w:line="340" w:lineRule="exact"/>
        <w:rPr>
          <w:rFonts w:hint="eastAsia" w:hAnsi="宋体" w:cs="宋体"/>
          <w:b/>
          <w:color w:val="auto"/>
          <w:sz w:val="28"/>
          <w:szCs w:val="28"/>
          <w:highlight w:val="none"/>
          <w:lang w:val="en-US" w:eastAsia="zh-CN"/>
        </w:rPr>
      </w:pPr>
    </w:p>
    <w:p w14:paraId="6D830E3A">
      <w:pPr>
        <w:pStyle w:val="14"/>
        <w:numPr>
          <w:ilvl w:val="0"/>
          <w:numId w:val="0"/>
        </w:numPr>
        <w:spacing w:line="340" w:lineRule="exact"/>
        <w:rPr>
          <w:rFonts w:hint="eastAsia" w:hAnsi="宋体" w:cs="宋体"/>
          <w:b/>
          <w:color w:val="auto"/>
          <w:sz w:val="28"/>
          <w:szCs w:val="28"/>
          <w:highlight w:val="none"/>
          <w:lang w:val="en-US" w:eastAsia="zh-CN"/>
        </w:rPr>
      </w:pPr>
    </w:p>
    <w:p w14:paraId="2F4B8892">
      <w:pPr>
        <w:pStyle w:val="14"/>
        <w:numPr>
          <w:ilvl w:val="0"/>
          <w:numId w:val="0"/>
        </w:numPr>
        <w:spacing w:line="340" w:lineRule="exact"/>
        <w:rPr>
          <w:rFonts w:hint="eastAsia" w:hAnsi="宋体" w:cs="宋体"/>
          <w:b/>
          <w:color w:val="auto"/>
          <w:sz w:val="28"/>
          <w:szCs w:val="28"/>
          <w:highlight w:val="none"/>
          <w:lang w:val="en-US" w:eastAsia="zh-CN"/>
        </w:rPr>
      </w:pPr>
    </w:p>
    <w:p w14:paraId="42C06AD5">
      <w:pPr>
        <w:pStyle w:val="14"/>
        <w:numPr>
          <w:ilvl w:val="0"/>
          <w:numId w:val="0"/>
        </w:numPr>
        <w:spacing w:line="340" w:lineRule="exact"/>
        <w:rPr>
          <w:rFonts w:hint="eastAsia" w:hAnsi="宋体" w:cs="宋体"/>
          <w:b/>
          <w:color w:val="auto"/>
          <w:sz w:val="28"/>
          <w:szCs w:val="28"/>
          <w:highlight w:val="none"/>
          <w:lang w:val="en-US" w:eastAsia="zh-CN"/>
        </w:rPr>
      </w:pPr>
    </w:p>
    <w:p w14:paraId="1A677336">
      <w:pPr>
        <w:pStyle w:val="14"/>
        <w:numPr>
          <w:ilvl w:val="0"/>
          <w:numId w:val="0"/>
        </w:numPr>
        <w:spacing w:line="340" w:lineRule="exact"/>
        <w:rPr>
          <w:rFonts w:hint="eastAsia" w:hAnsi="宋体" w:cs="宋体"/>
          <w:b/>
          <w:color w:val="auto"/>
          <w:sz w:val="28"/>
          <w:szCs w:val="28"/>
          <w:highlight w:val="none"/>
          <w:lang w:val="en-US" w:eastAsia="zh-CN"/>
        </w:rPr>
      </w:pPr>
    </w:p>
    <w:p w14:paraId="71F6A609">
      <w:pPr>
        <w:pStyle w:val="14"/>
        <w:numPr>
          <w:ilvl w:val="0"/>
          <w:numId w:val="0"/>
        </w:numPr>
        <w:spacing w:line="340" w:lineRule="exact"/>
        <w:rPr>
          <w:rFonts w:hint="eastAsia" w:hAnsi="宋体" w:cs="宋体"/>
          <w:b/>
          <w:color w:val="auto"/>
          <w:sz w:val="28"/>
          <w:szCs w:val="28"/>
          <w:highlight w:val="none"/>
          <w:lang w:val="en-US" w:eastAsia="zh-CN"/>
        </w:rPr>
      </w:pPr>
    </w:p>
    <w:p w14:paraId="1D96FC6D">
      <w:pPr>
        <w:pStyle w:val="14"/>
        <w:numPr>
          <w:ilvl w:val="0"/>
          <w:numId w:val="0"/>
        </w:numPr>
        <w:spacing w:line="340" w:lineRule="exact"/>
        <w:rPr>
          <w:rFonts w:hint="eastAsia" w:hAnsi="宋体" w:cs="宋体"/>
          <w:b/>
          <w:color w:val="auto"/>
          <w:sz w:val="28"/>
          <w:szCs w:val="28"/>
          <w:highlight w:val="none"/>
          <w:lang w:val="en-US" w:eastAsia="zh-CN"/>
        </w:rPr>
      </w:pPr>
    </w:p>
    <w:p w14:paraId="623A91BA">
      <w:pPr>
        <w:pStyle w:val="7"/>
        <w:rPr>
          <w:rFonts w:hint="eastAsia"/>
          <w:color w:val="auto"/>
          <w:highlight w:val="none"/>
          <w:lang w:val="en-US" w:eastAsia="zh-CN"/>
        </w:rPr>
      </w:pPr>
    </w:p>
    <w:p w14:paraId="7A908DCC">
      <w:pPr>
        <w:rPr>
          <w:rFonts w:hint="eastAsia"/>
          <w:color w:val="auto"/>
          <w:highlight w:val="none"/>
          <w:lang w:val="en-US" w:eastAsia="zh-CN"/>
        </w:rPr>
      </w:pPr>
    </w:p>
    <w:p w14:paraId="5B2A5053">
      <w:pPr>
        <w:pStyle w:val="2"/>
        <w:rPr>
          <w:rFonts w:hint="eastAsia"/>
          <w:color w:val="auto"/>
          <w:highlight w:val="none"/>
          <w:lang w:val="en-US" w:eastAsia="zh-CN"/>
        </w:rPr>
      </w:pPr>
    </w:p>
    <w:p w14:paraId="5563E310">
      <w:pPr>
        <w:pStyle w:val="3"/>
        <w:rPr>
          <w:rFonts w:hint="eastAsia"/>
          <w:lang w:val="en-US" w:eastAsia="zh-CN"/>
        </w:rPr>
      </w:pPr>
    </w:p>
    <w:p w14:paraId="5EAB90C1">
      <w:pPr>
        <w:pStyle w:val="14"/>
        <w:numPr>
          <w:ilvl w:val="0"/>
          <w:numId w:val="0"/>
        </w:numPr>
        <w:spacing w:line="340" w:lineRule="exact"/>
        <w:rPr>
          <w:rFonts w:hint="eastAsia" w:hAnsi="宋体" w:cs="宋体"/>
          <w:b/>
          <w:color w:val="auto"/>
          <w:sz w:val="28"/>
          <w:szCs w:val="28"/>
          <w:highlight w:val="none"/>
          <w:lang w:val="en-US" w:eastAsia="zh-CN"/>
        </w:rPr>
      </w:pPr>
    </w:p>
    <w:p w14:paraId="74A6E6D6">
      <w:pPr>
        <w:pStyle w:val="14"/>
        <w:numPr>
          <w:ilvl w:val="0"/>
          <w:numId w:val="0"/>
        </w:numPr>
        <w:spacing w:line="340" w:lineRule="exact"/>
        <w:rPr>
          <w:rFonts w:hint="eastAsia" w:hAnsi="宋体" w:cs="宋体"/>
          <w:b/>
          <w:color w:val="auto"/>
          <w:sz w:val="28"/>
          <w:szCs w:val="28"/>
          <w:highlight w:val="none"/>
          <w:lang w:val="en-US" w:eastAsia="zh-CN"/>
        </w:rPr>
      </w:pPr>
    </w:p>
    <w:p w14:paraId="724D70DE">
      <w:pPr>
        <w:pStyle w:val="14"/>
        <w:numPr>
          <w:ilvl w:val="0"/>
          <w:numId w:val="0"/>
        </w:numPr>
        <w:spacing w:line="340" w:lineRule="exact"/>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t>3.</w:t>
      </w:r>
      <w:r>
        <w:rPr>
          <w:rFonts w:hint="eastAsia" w:hAnsi="宋体" w:eastAsia="宋体" w:cs="宋体"/>
          <w:b/>
          <w:color w:val="auto"/>
          <w:sz w:val="28"/>
          <w:szCs w:val="28"/>
          <w:highlight w:val="none"/>
          <w:lang w:val="en-US" w:eastAsia="zh-CN"/>
        </w:rPr>
        <w:t>已</w:t>
      </w:r>
      <w:r>
        <w:rPr>
          <w:rFonts w:hint="eastAsia" w:ascii="宋体" w:hAnsi="宋体" w:eastAsia="宋体" w:cs="宋体"/>
          <w:b/>
          <w:color w:val="auto"/>
          <w:sz w:val="28"/>
          <w:szCs w:val="28"/>
          <w:highlight w:val="none"/>
          <w:lang w:val="en-US" w:eastAsia="zh-CN"/>
        </w:rPr>
        <w:t>标价工程量清单（必须提供）</w:t>
      </w:r>
    </w:p>
    <w:p w14:paraId="4F6ADA08">
      <w:pPr>
        <w:snapToGrid w:val="0"/>
        <w:spacing w:line="240" w:lineRule="auto"/>
        <w:ind w:firstLine="420"/>
        <w:jc w:val="right"/>
        <w:rPr>
          <w:rFonts w:hint="eastAsia" w:ascii="宋体" w:hAnsi="宋体" w:eastAsia="宋体" w:cs="宋体"/>
          <w:color w:val="auto"/>
          <w:highlight w:val="none"/>
        </w:rPr>
      </w:pPr>
    </w:p>
    <w:p w14:paraId="34E80C9E">
      <w:pPr>
        <w:pStyle w:val="7"/>
        <w:spacing w:line="240" w:lineRule="auto"/>
        <w:jc w:val="center"/>
        <w:rPr>
          <w:rFonts w:hint="eastAsia" w:ascii="宋体" w:hAnsi="宋体" w:eastAsia="宋体" w:cs="宋体"/>
          <w:color w:val="auto"/>
          <w:sz w:val="24"/>
          <w:szCs w:val="24"/>
          <w:highlight w:val="none"/>
        </w:rPr>
      </w:pPr>
      <w:bookmarkStart w:id="2394" w:name="_Toc446943082"/>
      <w:bookmarkStart w:id="2395" w:name="_Toc271557289"/>
      <w:bookmarkStart w:id="2396" w:name="_Toc394929435"/>
      <w:bookmarkStart w:id="2397" w:name="_Toc234659851"/>
      <w:r>
        <w:rPr>
          <w:rFonts w:hint="eastAsia" w:ascii="宋体" w:hAnsi="宋体" w:eastAsia="宋体" w:cs="宋体"/>
          <w:color w:val="auto"/>
          <w:sz w:val="24"/>
          <w:szCs w:val="24"/>
          <w:highlight w:val="none"/>
        </w:rPr>
        <w:t>已标价工程量清单</w:t>
      </w:r>
      <w:bookmarkEnd w:id="2394"/>
      <w:bookmarkEnd w:id="2395"/>
      <w:bookmarkEnd w:id="2396"/>
      <w:bookmarkEnd w:id="2397"/>
    </w:p>
    <w:p w14:paraId="728D9CC1">
      <w:pPr>
        <w:spacing w:line="240" w:lineRule="auto"/>
        <w:ind w:firstLine="420"/>
        <w:jc w:val="center"/>
        <w:rPr>
          <w:rFonts w:hint="eastAsia" w:ascii="宋体" w:hAnsi="宋体" w:eastAsia="宋体" w:cs="宋体"/>
          <w:color w:val="auto"/>
          <w:highlight w:val="none"/>
        </w:rPr>
      </w:pPr>
    </w:p>
    <w:p w14:paraId="2F601279">
      <w:pPr>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应按照第</w:t>
      </w:r>
      <w:r>
        <w:rPr>
          <w:rFonts w:hint="eastAsia" w:ascii="宋体" w:hAnsi="宋体" w:eastAsia="宋体" w:cs="宋体"/>
          <w:color w:val="auto"/>
          <w:szCs w:val="21"/>
          <w:highlight w:val="none"/>
          <w:lang w:eastAsia="zh-CN"/>
        </w:rPr>
        <w:t>三</w:t>
      </w:r>
      <w:r>
        <w:rPr>
          <w:rFonts w:hint="eastAsia" w:ascii="宋体" w:hAnsi="宋体" w:eastAsia="宋体" w:cs="宋体"/>
          <w:color w:val="auto"/>
          <w:szCs w:val="21"/>
          <w:highlight w:val="none"/>
        </w:rPr>
        <w:t>章“工程量清单”的要求逐项填报工程量清单，包括工程量清单说明、</w:t>
      </w:r>
      <w:r>
        <w:rPr>
          <w:rFonts w:hint="eastAsia" w:ascii="宋体" w:hAnsi="宋体" w:eastAsia="宋体" w:cs="宋体"/>
          <w:color w:val="auto"/>
          <w:szCs w:val="21"/>
          <w:highlight w:val="none"/>
          <w:lang w:eastAsia="zh-CN"/>
        </w:rPr>
        <w:t>磋商报价</w:t>
      </w:r>
      <w:r>
        <w:rPr>
          <w:rFonts w:hint="eastAsia" w:ascii="宋体" w:hAnsi="宋体" w:eastAsia="宋体" w:cs="宋体"/>
          <w:color w:val="auto"/>
          <w:szCs w:val="21"/>
          <w:highlight w:val="none"/>
        </w:rPr>
        <w:t>说明及工程量清单各项表格</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eastAsia="zh-CN"/>
        </w:rPr>
        <w:t>采购人</w:t>
      </w:r>
      <w:r>
        <w:rPr>
          <w:rFonts w:hint="eastAsia" w:ascii="宋体" w:hAnsi="宋体" w:eastAsia="宋体" w:cs="宋体"/>
          <w:b/>
          <w:bCs/>
          <w:color w:val="auto"/>
          <w:highlight w:val="none"/>
        </w:rPr>
        <w:t>提供的工程量清单</w:t>
      </w:r>
      <w:r>
        <w:rPr>
          <w:rFonts w:hint="eastAsia" w:ascii="宋体" w:hAnsi="宋体" w:eastAsia="宋体" w:cs="宋体"/>
          <w:b/>
          <w:bCs/>
          <w:color w:val="auto"/>
          <w:szCs w:val="21"/>
          <w:highlight w:val="none"/>
        </w:rPr>
        <w:t>）。</w:t>
      </w:r>
    </w:p>
    <w:p w14:paraId="652F5CEA">
      <w:pPr>
        <w:spacing w:line="340" w:lineRule="exact"/>
        <w:rPr>
          <w:rFonts w:hint="eastAsia" w:ascii="宋体" w:hAnsi="宋体" w:eastAsia="宋体" w:cs="宋体"/>
          <w:color w:val="auto"/>
          <w:szCs w:val="21"/>
          <w:highlight w:val="none"/>
        </w:rPr>
      </w:pPr>
    </w:p>
    <w:p w14:paraId="24CDA908">
      <w:pPr>
        <w:spacing w:line="400" w:lineRule="exact"/>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注：</w:t>
      </w:r>
      <w:r>
        <w:rPr>
          <w:rFonts w:hint="eastAsia" w:ascii="宋体" w:hAnsi="宋体" w:eastAsia="宋体" w:cs="宋体"/>
          <w:b/>
          <w:color w:val="auto"/>
          <w:sz w:val="24"/>
          <w:highlight w:val="none"/>
        </w:rPr>
        <w:t>当本</w:t>
      </w:r>
      <w:r>
        <w:rPr>
          <w:rFonts w:hint="eastAsia" w:ascii="宋体" w:hAnsi="宋体" w:eastAsia="宋体" w:cs="宋体"/>
          <w:b/>
          <w:color w:val="auto"/>
          <w:sz w:val="24"/>
          <w:highlight w:val="none"/>
          <w:lang w:eastAsia="zh-CN"/>
        </w:rPr>
        <w:t>清单</w:t>
      </w:r>
      <w:r>
        <w:rPr>
          <w:rFonts w:hint="eastAsia" w:ascii="宋体" w:hAnsi="宋体" w:eastAsia="宋体" w:cs="宋体"/>
          <w:b/>
          <w:color w:val="auto"/>
          <w:sz w:val="24"/>
          <w:highlight w:val="none"/>
        </w:rPr>
        <w:t>由多页构成时，需逐页加盖</w:t>
      </w:r>
      <w:r>
        <w:rPr>
          <w:rFonts w:hint="eastAsia" w:ascii="宋体" w:hAnsi="宋体" w:eastAsia="宋体" w:cs="宋体"/>
          <w:b/>
          <w:color w:val="auto"/>
          <w:sz w:val="24"/>
          <w:highlight w:val="none"/>
          <w:lang w:eastAsia="zh-CN"/>
        </w:rPr>
        <w:t>磋商供应商</w:t>
      </w:r>
      <w:r>
        <w:rPr>
          <w:rFonts w:hint="eastAsia" w:ascii="宋体" w:hAnsi="宋体" w:eastAsia="宋体" w:cs="宋体"/>
          <w:b/>
          <w:color w:val="auto"/>
          <w:sz w:val="24"/>
          <w:highlight w:val="none"/>
        </w:rPr>
        <w:t>公章</w:t>
      </w:r>
      <w:r>
        <w:rPr>
          <w:rFonts w:hint="eastAsia" w:ascii="宋体" w:hAnsi="宋体" w:eastAsia="宋体" w:cs="宋体"/>
          <w:b/>
          <w:color w:val="auto"/>
          <w:sz w:val="24"/>
          <w:highlight w:val="none"/>
          <w:lang w:eastAsia="zh-CN"/>
        </w:rPr>
        <w:t>（</w:t>
      </w:r>
      <w:r>
        <w:rPr>
          <w:rFonts w:hint="eastAsia" w:ascii="宋体" w:hAnsi="宋体" w:eastAsia="宋体" w:cs="宋体"/>
          <w:b/>
          <w:color w:val="auto"/>
          <w:sz w:val="24"/>
          <w:highlight w:val="none"/>
          <w:lang w:val="en-US" w:eastAsia="zh-CN"/>
        </w:rPr>
        <w:t>CA签章</w:t>
      </w:r>
      <w:r>
        <w:rPr>
          <w:rFonts w:hint="eastAsia" w:ascii="宋体" w:hAnsi="宋体" w:eastAsia="宋体" w:cs="宋体"/>
          <w:b/>
          <w:color w:val="auto"/>
          <w:sz w:val="24"/>
          <w:highlight w:val="none"/>
          <w:lang w:eastAsia="zh-CN"/>
        </w:rPr>
        <w:t>）</w:t>
      </w:r>
      <w:r>
        <w:rPr>
          <w:rFonts w:hint="eastAsia" w:ascii="宋体" w:hAnsi="宋体" w:eastAsia="宋体" w:cs="宋体"/>
          <w:b/>
          <w:color w:val="auto"/>
          <w:sz w:val="24"/>
          <w:highlight w:val="none"/>
        </w:rPr>
        <w:t>（属自然人的须逐页签字</w:t>
      </w:r>
      <w:r>
        <w:rPr>
          <w:rFonts w:hint="eastAsia" w:ascii="宋体" w:hAnsi="宋体" w:eastAsia="宋体" w:cs="宋体"/>
          <w:b/>
          <w:color w:val="auto"/>
          <w:sz w:val="24"/>
          <w:highlight w:val="none"/>
          <w:lang w:eastAsia="zh-CN"/>
        </w:rPr>
        <w:t>或</w:t>
      </w:r>
      <w:r>
        <w:rPr>
          <w:rFonts w:hint="eastAsia" w:ascii="宋体" w:hAnsi="宋体" w:eastAsia="宋体" w:cs="宋体"/>
          <w:b/>
          <w:color w:val="auto"/>
          <w:sz w:val="24"/>
          <w:highlight w:val="none"/>
          <w:lang w:val="en-US" w:eastAsia="zh-CN"/>
        </w:rPr>
        <w:t>个人CA签章</w:t>
      </w:r>
      <w:r>
        <w:rPr>
          <w:rFonts w:hint="eastAsia" w:ascii="宋体" w:hAnsi="宋体" w:eastAsia="宋体" w:cs="宋体"/>
          <w:b/>
          <w:color w:val="auto"/>
          <w:sz w:val="24"/>
          <w:highlight w:val="none"/>
        </w:rPr>
        <w:t>）。</w:t>
      </w:r>
    </w:p>
    <w:p w14:paraId="2E2638E9">
      <w:pPr>
        <w:pStyle w:val="11"/>
        <w:rPr>
          <w:rFonts w:hint="eastAsia" w:ascii="宋体" w:hAnsi="宋体" w:eastAsia="宋体" w:cs="宋体"/>
          <w:color w:val="auto"/>
          <w:highlight w:val="none"/>
        </w:rPr>
      </w:pPr>
    </w:p>
    <w:p w14:paraId="652F55AD">
      <w:pPr>
        <w:pStyle w:val="11"/>
        <w:rPr>
          <w:rFonts w:hint="eastAsia" w:ascii="宋体" w:hAnsi="宋体" w:eastAsia="宋体" w:cs="宋体"/>
          <w:color w:val="auto"/>
          <w:highlight w:val="none"/>
        </w:rPr>
      </w:pPr>
    </w:p>
    <w:p w14:paraId="36974D96">
      <w:pPr>
        <w:pStyle w:val="11"/>
        <w:rPr>
          <w:rFonts w:hint="eastAsia" w:ascii="宋体" w:hAnsi="宋体" w:eastAsia="宋体" w:cs="宋体"/>
          <w:color w:val="auto"/>
          <w:highlight w:val="none"/>
        </w:rPr>
      </w:pPr>
    </w:p>
    <w:p w14:paraId="2722AA5A">
      <w:pPr>
        <w:pStyle w:val="11"/>
        <w:rPr>
          <w:rFonts w:hint="eastAsia" w:ascii="宋体" w:hAnsi="宋体" w:eastAsia="宋体" w:cs="宋体"/>
          <w:color w:val="auto"/>
          <w:highlight w:val="none"/>
        </w:rPr>
      </w:pPr>
    </w:p>
    <w:p w14:paraId="728D9486">
      <w:pPr>
        <w:pStyle w:val="11"/>
        <w:rPr>
          <w:rFonts w:hint="eastAsia" w:ascii="宋体" w:hAnsi="宋体" w:eastAsia="宋体" w:cs="宋体"/>
          <w:color w:val="auto"/>
          <w:highlight w:val="none"/>
        </w:rPr>
      </w:pPr>
    </w:p>
    <w:p w14:paraId="7F39F43C">
      <w:pPr>
        <w:pStyle w:val="11"/>
        <w:rPr>
          <w:rFonts w:hint="eastAsia" w:ascii="宋体" w:hAnsi="宋体" w:eastAsia="宋体" w:cs="宋体"/>
          <w:color w:val="auto"/>
          <w:highlight w:val="none"/>
        </w:rPr>
      </w:pPr>
    </w:p>
    <w:p w14:paraId="66682E68">
      <w:pPr>
        <w:pStyle w:val="11"/>
        <w:rPr>
          <w:rFonts w:hint="eastAsia" w:ascii="宋体" w:hAnsi="宋体" w:eastAsia="宋体" w:cs="宋体"/>
          <w:color w:val="auto"/>
          <w:highlight w:val="none"/>
        </w:rPr>
      </w:pPr>
    </w:p>
    <w:p w14:paraId="14EAEC8E">
      <w:pPr>
        <w:rPr>
          <w:rFonts w:hint="eastAsia" w:ascii="宋体" w:hAnsi="宋体" w:eastAsia="宋体" w:cs="宋体"/>
          <w:color w:val="auto"/>
          <w:highlight w:val="none"/>
        </w:rPr>
      </w:pPr>
    </w:p>
    <w:p w14:paraId="60C5ACFA">
      <w:pPr>
        <w:pStyle w:val="32"/>
        <w:rPr>
          <w:rFonts w:hint="eastAsia" w:ascii="宋体" w:hAnsi="宋体" w:eastAsia="宋体" w:cs="宋体"/>
          <w:color w:val="auto"/>
          <w:highlight w:val="none"/>
        </w:rPr>
      </w:pPr>
    </w:p>
    <w:p w14:paraId="3C56BBDC">
      <w:pPr>
        <w:pStyle w:val="32"/>
        <w:rPr>
          <w:rFonts w:hint="eastAsia" w:ascii="宋体" w:hAnsi="宋体" w:eastAsia="宋体" w:cs="宋体"/>
          <w:color w:val="auto"/>
          <w:highlight w:val="none"/>
        </w:rPr>
      </w:pPr>
    </w:p>
    <w:p w14:paraId="41738D20">
      <w:pPr>
        <w:pStyle w:val="32"/>
        <w:rPr>
          <w:rFonts w:hint="eastAsia" w:ascii="宋体" w:hAnsi="宋体" w:eastAsia="宋体" w:cs="宋体"/>
          <w:color w:val="auto"/>
          <w:highlight w:val="none"/>
        </w:rPr>
      </w:pPr>
    </w:p>
    <w:p w14:paraId="5D29EC1F">
      <w:pPr>
        <w:pStyle w:val="32"/>
        <w:rPr>
          <w:rFonts w:hint="eastAsia" w:ascii="宋体" w:hAnsi="宋体" w:eastAsia="宋体" w:cs="宋体"/>
          <w:color w:val="auto"/>
          <w:highlight w:val="none"/>
        </w:rPr>
      </w:pPr>
    </w:p>
    <w:p w14:paraId="3042467D">
      <w:pPr>
        <w:pStyle w:val="32"/>
        <w:rPr>
          <w:rFonts w:hint="eastAsia" w:ascii="宋体" w:hAnsi="宋体" w:eastAsia="宋体" w:cs="宋体"/>
          <w:color w:val="auto"/>
          <w:highlight w:val="none"/>
        </w:rPr>
      </w:pPr>
    </w:p>
    <w:p w14:paraId="3B30DC9D">
      <w:pPr>
        <w:pStyle w:val="32"/>
        <w:rPr>
          <w:rFonts w:hint="eastAsia" w:ascii="宋体" w:hAnsi="宋体" w:eastAsia="宋体" w:cs="宋体"/>
          <w:color w:val="auto"/>
          <w:highlight w:val="none"/>
        </w:rPr>
      </w:pPr>
    </w:p>
    <w:p w14:paraId="55F7CB4A">
      <w:pPr>
        <w:pStyle w:val="32"/>
        <w:rPr>
          <w:rFonts w:hint="eastAsia" w:ascii="宋体" w:hAnsi="宋体" w:eastAsia="宋体" w:cs="宋体"/>
          <w:color w:val="auto"/>
          <w:highlight w:val="none"/>
        </w:rPr>
      </w:pPr>
    </w:p>
    <w:p w14:paraId="4E8C9AB2">
      <w:pPr>
        <w:pStyle w:val="11"/>
        <w:rPr>
          <w:rFonts w:hint="eastAsia" w:ascii="宋体" w:hAnsi="宋体" w:eastAsia="宋体" w:cs="宋体"/>
          <w:color w:val="auto"/>
          <w:highlight w:val="none"/>
        </w:rPr>
      </w:pPr>
    </w:p>
    <w:p w14:paraId="18532404">
      <w:pPr>
        <w:rPr>
          <w:rFonts w:hint="eastAsia" w:ascii="宋体" w:hAnsi="宋体" w:eastAsia="宋体" w:cs="宋体"/>
          <w:color w:val="auto"/>
          <w:highlight w:val="none"/>
        </w:rPr>
      </w:pPr>
    </w:p>
    <w:p w14:paraId="1B0DB8CF">
      <w:pPr>
        <w:rPr>
          <w:rFonts w:hint="eastAsia" w:ascii="宋体" w:hAnsi="宋体" w:eastAsia="宋体" w:cs="宋体"/>
          <w:color w:val="auto"/>
          <w:highlight w:val="none"/>
        </w:rPr>
      </w:pPr>
    </w:p>
    <w:p w14:paraId="51C273CF">
      <w:pPr>
        <w:pStyle w:val="15"/>
        <w:rPr>
          <w:rFonts w:hint="eastAsia" w:ascii="宋体" w:hAnsi="宋体" w:eastAsia="宋体" w:cs="宋体"/>
          <w:color w:val="auto"/>
          <w:highlight w:val="none"/>
        </w:rPr>
      </w:pPr>
    </w:p>
    <w:p w14:paraId="369B5195">
      <w:pPr>
        <w:pStyle w:val="15"/>
        <w:rPr>
          <w:rFonts w:hint="eastAsia" w:ascii="宋体" w:hAnsi="宋体" w:eastAsia="宋体" w:cs="宋体"/>
          <w:color w:val="auto"/>
          <w:highlight w:val="none"/>
        </w:rPr>
      </w:pPr>
    </w:p>
    <w:p w14:paraId="726C3837">
      <w:pPr>
        <w:pStyle w:val="15"/>
        <w:rPr>
          <w:rFonts w:hint="eastAsia" w:ascii="宋体" w:hAnsi="宋体" w:eastAsia="宋体" w:cs="宋体"/>
          <w:color w:val="auto"/>
          <w:highlight w:val="none"/>
        </w:rPr>
      </w:pPr>
    </w:p>
    <w:p w14:paraId="4E75F714">
      <w:pPr>
        <w:pStyle w:val="15"/>
        <w:rPr>
          <w:rFonts w:hint="eastAsia" w:ascii="宋体" w:hAnsi="宋体" w:eastAsia="宋体" w:cs="宋体"/>
          <w:color w:val="auto"/>
          <w:highlight w:val="none"/>
        </w:rPr>
      </w:pPr>
    </w:p>
    <w:p w14:paraId="534C506E">
      <w:pPr>
        <w:pStyle w:val="15"/>
        <w:rPr>
          <w:rFonts w:hint="eastAsia" w:ascii="宋体" w:hAnsi="宋体" w:eastAsia="宋体" w:cs="宋体"/>
          <w:color w:val="auto"/>
          <w:highlight w:val="none"/>
        </w:rPr>
      </w:pPr>
    </w:p>
    <w:p w14:paraId="35F54C6F">
      <w:pPr>
        <w:pStyle w:val="15"/>
        <w:rPr>
          <w:rFonts w:hint="eastAsia" w:ascii="宋体" w:hAnsi="宋体" w:eastAsia="宋体" w:cs="宋体"/>
          <w:color w:val="auto"/>
          <w:highlight w:val="none"/>
        </w:rPr>
      </w:pPr>
    </w:p>
    <w:p w14:paraId="7EF68145">
      <w:pPr>
        <w:pStyle w:val="15"/>
        <w:rPr>
          <w:rFonts w:hint="eastAsia" w:ascii="宋体" w:hAnsi="宋体" w:eastAsia="宋体" w:cs="宋体"/>
          <w:color w:val="auto"/>
          <w:highlight w:val="none"/>
        </w:rPr>
      </w:pPr>
    </w:p>
    <w:p w14:paraId="5E0F90B3">
      <w:pPr>
        <w:pStyle w:val="15"/>
        <w:rPr>
          <w:rFonts w:hint="eastAsia" w:ascii="宋体" w:hAnsi="宋体" w:eastAsia="宋体" w:cs="宋体"/>
          <w:color w:val="auto"/>
          <w:highlight w:val="none"/>
        </w:rPr>
      </w:pPr>
    </w:p>
    <w:p w14:paraId="418FBE4F">
      <w:pPr>
        <w:pStyle w:val="15"/>
        <w:rPr>
          <w:rFonts w:hint="eastAsia" w:ascii="宋体" w:hAnsi="宋体" w:eastAsia="宋体" w:cs="宋体"/>
          <w:color w:val="auto"/>
          <w:highlight w:val="none"/>
        </w:rPr>
      </w:pPr>
    </w:p>
    <w:p w14:paraId="316F6308">
      <w:pPr>
        <w:pStyle w:val="15"/>
        <w:rPr>
          <w:rFonts w:hint="eastAsia" w:ascii="宋体" w:hAnsi="宋体" w:eastAsia="宋体" w:cs="宋体"/>
          <w:color w:val="auto"/>
          <w:highlight w:val="none"/>
        </w:rPr>
      </w:pPr>
    </w:p>
    <w:p w14:paraId="13E7DC2D">
      <w:pPr>
        <w:pStyle w:val="15"/>
        <w:rPr>
          <w:rFonts w:hint="eastAsia" w:ascii="宋体" w:hAnsi="宋体" w:eastAsia="宋体" w:cs="宋体"/>
          <w:color w:val="auto"/>
          <w:highlight w:val="none"/>
        </w:rPr>
      </w:pPr>
    </w:p>
    <w:p w14:paraId="6F5CFD3A">
      <w:pPr>
        <w:pStyle w:val="15"/>
        <w:rPr>
          <w:rFonts w:hint="eastAsia" w:ascii="宋体" w:hAnsi="宋体" w:eastAsia="宋体" w:cs="宋体"/>
          <w:color w:val="auto"/>
          <w:highlight w:val="none"/>
        </w:rPr>
      </w:pPr>
    </w:p>
    <w:p w14:paraId="7C95076B">
      <w:pPr>
        <w:pStyle w:val="15"/>
        <w:rPr>
          <w:rFonts w:hint="eastAsia" w:ascii="宋体" w:hAnsi="宋体" w:eastAsia="宋体" w:cs="宋体"/>
          <w:color w:val="auto"/>
          <w:highlight w:val="none"/>
        </w:rPr>
      </w:pPr>
    </w:p>
    <w:p w14:paraId="0DA9AD19">
      <w:pPr>
        <w:pStyle w:val="15"/>
        <w:rPr>
          <w:rFonts w:hint="eastAsia" w:ascii="宋体" w:hAnsi="宋体" w:eastAsia="宋体" w:cs="宋体"/>
          <w:color w:val="auto"/>
          <w:highlight w:val="none"/>
        </w:rPr>
      </w:pPr>
    </w:p>
    <w:p w14:paraId="6CECFF7D">
      <w:pPr>
        <w:pStyle w:val="11"/>
        <w:rPr>
          <w:rFonts w:hint="eastAsia" w:ascii="宋体" w:hAnsi="宋体" w:eastAsia="宋体" w:cs="宋体"/>
          <w:color w:val="auto"/>
          <w:highlight w:val="none"/>
        </w:rPr>
      </w:pPr>
    </w:p>
    <w:p w14:paraId="2E3DB86F">
      <w:pPr>
        <w:rPr>
          <w:rFonts w:hint="eastAsia" w:ascii="宋体" w:hAnsi="宋体" w:eastAsia="宋体" w:cs="宋体"/>
          <w:color w:val="auto"/>
          <w:highlight w:val="none"/>
        </w:rPr>
      </w:pPr>
    </w:p>
    <w:p w14:paraId="63C157A7">
      <w:pPr>
        <w:pStyle w:val="13"/>
        <w:rPr>
          <w:rFonts w:hint="eastAsia"/>
          <w:color w:val="auto"/>
          <w:highlight w:val="none"/>
        </w:rPr>
      </w:pPr>
    </w:p>
    <w:p w14:paraId="3DEC53E2">
      <w:pPr>
        <w:spacing w:line="240" w:lineRule="auto"/>
        <w:rPr>
          <w:rFonts w:hint="eastAsia" w:ascii="宋体" w:hAnsi="宋体" w:eastAsia="宋体" w:cs="宋体"/>
          <w:b/>
          <w:bCs/>
          <w:iCs/>
          <w:color w:val="auto"/>
          <w:kern w:val="2"/>
          <w:sz w:val="28"/>
          <w:szCs w:val="28"/>
          <w:highlight w:val="none"/>
          <w:lang w:val="en-US" w:eastAsia="zh-CN" w:bidi="ar-SA"/>
        </w:rPr>
      </w:pPr>
      <w:r>
        <w:rPr>
          <w:rFonts w:hint="eastAsia" w:hAnsi="宋体" w:cs="宋体"/>
          <w:b/>
          <w:color w:val="auto"/>
          <w:sz w:val="28"/>
          <w:szCs w:val="28"/>
          <w:highlight w:val="none"/>
          <w:lang w:val="en-US" w:eastAsia="zh-CN"/>
        </w:rPr>
        <w:t>4</w:t>
      </w:r>
      <w:r>
        <w:rPr>
          <w:rFonts w:hint="eastAsia" w:ascii="宋体" w:hAnsi="宋体" w:eastAsia="宋体" w:cs="宋体"/>
          <w:b/>
          <w:color w:val="auto"/>
          <w:sz w:val="28"/>
          <w:szCs w:val="28"/>
          <w:highlight w:val="none"/>
          <w:lang w:val="en-US" w:eastAsia="zh-CN"/>
        </w:rPr>
        <w:t xml:space="preserve">. </w:t>
      </w:r>
      <w:r>
        <w:rPr>
          <w:rFonts w:hint="eastAsia" w:ascii="宋体" w:hAnsi="宋体" w:eastAsia="宋体" w:cs="宋体"/>
          <w:b/>
          <w:bCs/>
          <w:iCs/>
          <w:color w:val="auto"/>
          <w:kern w:val="2"/>
          <w:sz w:val="28"/>
          <w:szCs w:val="28"/>
          <w:highlight w:val="none"/>
          <w:lang w:val="en-US" w:eastAsia="zh-CN" w:bidi="ar-SA"/>
        </w:rPr>
        <w:t>拟投入本工程主要施工管理人员表（必须提供）；</w:t>
      </w:r>
    </w:p>
    <w:p w14:paraId="75F99849">
      <w:pPr>
        <w:spacing w:line="500" w:lineRule="exact"/>
        <w:jc w:val="center"/>
        <w:rPr>
          <w:rFonts w:hint="eastAsia" w:ascii="宋体" w:hAnsi="宋体" w:eastAsia="宋体" w:cs="宋体"/>
          <w:b/>
          <w:color w:val="auto"/>
          <w:sz w:val="24"/>
          <w:szCs w:val="24"/>
          <w:highlight w:val="none"/>
          <w:lang w:val="en-US" w:eastAsia="zh-CN"/>
        </w:rPr>
      </w:pPr>
    </w:p>
    <w:p w14:paraId="45A7E2B7">
      <w:pPr>
        <w:spacing w:line="50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主要施工管理人员表</w:t>
      </w:r>
    </w:p>
    <w:p w14:paraId="030E7015">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工程名称：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tbl>
      <w:tblPr>
        <w:tblStyle w:val="29"/>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50"/>
        <w:gridCol w:w="793"/>
        <w:gridCol w:w="792"/>
        <w:gridCol w:w="1447"/>
        <w:gridCol w:w="3672"/>
      </w:tblGrid>
      <w:tr w14:paraId="425EE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150" w:type="dxa"/>
            <w:tcBorders>
              <w:top w:val="single" w:color="auto" w:sz="4" w:space="0"/>
              <w:left w:val="single" w:color="auto" w:sz="4" w:space="0"/>
              <w:bottom w:val="single" w:color="auto" w:sz="4" w:space="0"/>
              <w:right w:val="single" w:color="auto" w:sz="4" w:space="0"/>
            </w:tcBorders>
            <w:noWrap w:val="0"/>
            <w:vAlign w:val="center"/>
          </w:tcPr>
          <w:p w14:paraId="6B57346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   称</w:t>
            </w:r>
          </w:p>
        </w:tc>
        <w:tc>
          <w:tcPr>
            <w:tcW w:w="793" w:type="dxa"/>
            <w:tcBorders>
              <w:top w:val="single" w:color="auto" w:sz="4" w:space="0"/>
              <w:left w:val="single" w:color="auto" w:sz="4" w:space="0"/>
              <w:bottom w:val="single" w:color="auto" w:sz="4" w:space="0"/>
              <w:right w:val="single" w:color="auto" w:sz="4" w:space="0"/>
            </w:tcBorders>
            <w:noWrap w:val="0"/>
            <w:vAlign w:val="center"/>
          </w:tcPr>
          <w:p w14:paraId="39F7A25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姓名</w:t>
            </w:r>
          </w:p>
        </w:tc>
        <w:tc>
          <w:tcPr>
            <w:tcW w:w="792" w:type="dxa"/>
            <w:tcBorders>
              <w:top w:val="single" w:color="auto" w:sz="4" w:space="0"/>
              <w:left w:val="single" w:color="auto" w:sz="4" w:space="0"/>
              <w:bottom w:val="single" w:color="auto" w:sz="4" w:space="0"/>
              <w:right w:val="single" w:color="auto" w:sz="4" w:space="0"/>
            </w:tcBorders>
            <w:noWrap w:val="0"/>
            <w:vAlign w:val="center"/>
          </w:tcPr>
          <w:p w14:paraId="7039309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职务</w:t>
            </w:r>
          </w:p>
        </w:tc>
        <w:tc>
          <w:tcPr>
            <w:tcW w:w="1447" w:type="dxa"/>
            <w:tcBorders>
              <w:top w:val="single" w:color="auto" w:sz="4" w:space="0"/>
              <w:left w:val="single" w:color="auto" w:sz="4" w:space="0"/>
              <w:bottom w:val="single" w:color="auto" w:sz="4" w:space="0"/>
              <w:right w:val="single" w:color="auto" w:sz="4" w:space="0"/>
            </w:tcBorders>
            <w:noWrap w:val="0"/>
            <w:vAlign w:val="center"/>
          </w:tcPr>
          <w:p w14:paraId="5565842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资质/职称</w:t>
            </w:r>
          </w:p>
        </w:tc>
        <w:tc>
          <w:tcPr>
            <w:tcW w:w="3672" w:type="dxa"/>
            <w:tcBorders>
              <w:top w:val="single" w:color="auto" w:sz="4" w:space="0"/>
              <w:left w:val="single" w:color="auto" w:sz="4" w:space="0"/>
              <w:bottom w:val="single" w:color="auto" w:sz="4" w:space="0"/>
              <w:right w:val="single" w:color="auto" w:sz="4" w:space="0"/>
            </w:tcBorders>
            <w:noWrap w:val="0"/>
            <w:vAlign w:val="center"/>
          </w:tcPr>
          <w:p w14:paraId="55355D4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执业资格证号/上岗证号</w:t>
            </w:r>
          </w:p>
        </w:tc>
      </w:tr>
      <w:tr w14:paraId="522C6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150" w:type="dxa"/>
            <w:tcBorders>
              <w:top w:val="single" w:color="auto" w:sz="4" w:space="0"/>
              <w:left w:val="single" w:color="auto" w:sz="4" w:space="0"/>
              <w:bottom w:val="single" w:color="auto" w:sz="4" w:space="0"/>
              <w:right w:val="single" w:color="auto" w:sz="4" w:space="0"/>
            </w:tcBorders>
            <w:noWrap w:val="0"/>
            <w:vAlign w:val="center"/>
          </w:tcPr>
          <w:p w14:paraId="70BE2FBE">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一、总部</w:t>
            </w:r>
          </w:p>
        </w:tc>
        <w:tc>
          <w:tcPr>
            <w:tcW w:w="793" w:type="dxa"/>
            <w:tcBorders>
              <w:top w:val="single" w:color="auto" w:sz="4" w:space="0"/>
              <w:left w:val="single" w:color="auto" w:sz="4" w:space="0"/>
              <w:bottom w:val="single" w:color="auto" w:sz="4" w:space="0"/>
              <w:right w:val="single" w:color="auto" w:sz="4" w:space="0"/>
            </w:tcBorders>
            <w:noWrap w:val="0"/>
            <w:vAlign w:val="center"/>
          </w:tcPr>
          <w:p w14:paraId="2D3334F7">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792" w:type="dxa"/>
            <w:tcBorders>
              <w:top w:val="single" w:color="auto" w:sz="4" w:space="0"/>
              <w:left w:val="single" w:color="auto" w:sz="4" w:space="0"/>
              <w:bottom w:val="single" w:color="auto" w:sz="4" w:space="0"/>
              <w:right w:val="single" w:color="auto" w:sz="4" w:space="0"/>
            </w:tcBorders>
            <w:noWrap w:val="0"/>
            <w:vAlign w:val="center"/>
          </w:tcPr>
          <w:p w14:paraId="2A02654F">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1447" w:type="dxa"/>
            <w:tcBorders>
              <w:top w:val="single" w:color="auto" w:sz="4" w:space="0"/>
              <w:left w:val="single" w:color="auto" w:sz="4" w:space="0"/>
              <w:bottom w:val="single" w:color="auto" w:sz="4" w:space="0"/>
              <w:right w:val="single" w:color="auto" w:sz="4" w:space="0"/>
            </w:tcBorders>
            <w:noWrap w:val="0"/>
            <w:vAlign w:val="center"/>
          </w:tcPr>
          <w:p w14:paraId="454AFAA8">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3672" w:type="dxa"/>
            <w:tcBorders>
              <w:top w:val="single" w:color="auto" w:sz="4" w:space="0"/>
              <w:left w:val="single" w:color="auto" w:sz="4" w:space="0"/>
              <w:bottom w:val="single" w:color="auto" w:sz="4" w:space="0"/>
              <w:right w:val="single" w:color="auto" w:sz="4" w:space="0"/>
            </w:tcBorders>
            <w:noWrap w:val="0"/>
            <w:vAlign w:val="center"/>
          </w:tcPr>
          <w:p w14:paraId="2D366CE7">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r>
      <w:tr w14:paraId="0D552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150" w:type="dxa"/>
            <w:tcBorders>
              <w:top w:val="single" w:color="auto" w:sz="4" w:space="0"/>
              <w:left w:val="single" w:color="auto" w:sz="4" w:space="0"/>
              <w:bottom w:val="single" w:color="auto" w:sz="4" w:space="0"/>
              <w:right w:val="single" w:color="auto" w:sz="4" w:space="0"/>
            </w:tcBorders>
            <w:noWrap w:val="0"/>
            <w:vAlign w:val="center"/>
          </w:tcPr>
          <w:p w14:paraId="4084B704">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1.项目主管</w:t>
            </w:r>
          </w:p>
        </w:tc>
        <w:tc>
          <w:tcPr>
            <w:tcW w:w="793" w:type="dxa"/>
            <w:tcBorders>
              <w:top w:val="single" w:color="auto" w:sz="4" w:space="0"/>
              <w:left w:val="single" w:color="auto" w:sz="4" w:space="0"/>
              <w:bottom w:val="single" w:color="auto" w:sz="4" w:space="0"/>
              <w:right w:val="single" w:color="auto" w:sz="4" w:space="0"/>
            </w:tcBorders>
            <w:noWrap w:val="0"/>
            <w:vAlign w:val="center"/>
          </w:tcPr>
          <w:p w14:paraId="288D84F0">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792" w:type="dxa"/>
            <w:tcBorders>
              <w:top w:val="single" w:color="auto" w:sz="4" w:space="0"/>
              <w:left w:val="single" w:color="auto" w:sz="4" w:space="0"/>
              <w:bottom w:val="single" w:color="auto" w:sz="4" w:space="0"/>
              <w:right w:val="single" w:color="auto" w:sz="4" w:space="0"/>
            </w:tcBorders>
            <w:noWrap w:val="0"/>
            <w:vAlign w:val="center"/>
          </w:tcPr>
          <w:p w14:paraId="2C0D86CB">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1447" w:type="dxa"/>
            <w:tcBorders>
              <w:top w:val="single" w:color="auto" w:sz="4" w:space="0"/>
              <w:left w:val="single" w:color="auto" w:sz="4" w:space="0"/>
              <w:bottom w:val="single" w:color="auto" w:sz="4" w:space="0"/>
              <w:right w:val="single" w:color="auto" w:sz="4" w:space="0"/>
            </w:tcBorders>
            <w:noWrap w:val="0"/>
            <w:vAlign w:val="center"/>
          </w:tcPr>
          <w:p w14:paraId="2B20B400">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3672" w:type="dxa"/>
            <w:tcBorders>
              <w:top w:val="single" w:color="auto" w:sz="4" w:space="0"/>
              <w:left w:val="single" w:color="auto" w:sz="4" w:space="0"/>
              <w:bottom w:val="single" w:color="auto" w:sz="4" w:space="0"/>
              <w:right w:val="single" w:color="auto" w:sz="4" w:space="0"/>
            </w:tcBorders>
            <w:noWrap w:val="0"/>
            <w:vAlign w:val="center"/>
          </w:tcPr>
          <w:p w14:paraId="415AEAF7">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r>
      <w:tr w14:paraId="77140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150" w:type="dxa"/>
            <w:tcBorders>
              <w:top w:val="single" w:color="auto" w:sz="4" w:space="0"/>
              <w:left w:val="single" w:color="auto" w:sz="4" w:space="0"/>
              <w:bottom w:val="single" w:color="auto" w:sz="4" w:space="0"/>
              <w:right w:val="single" w:color="auto" w:sz="4" w:space="0"/>
            </w:tcBorders>
            <w:noWrap w:val="0"/>
            <w:vAlign w:val="center"/>
          </w:tcPr>
          <w:p w14:paraId="625D9DB0">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2.其他人员</w:t>
            </w:r>
          </w:p>
        </w:tc>
        <w:tc>
          <w:tcPr>
            <w:tcW w:w="793" w:type="dxa"/>
            <w:tcBorders>
              <w:top w:val="single" w:color="auto" w:sz="4" w:space="0"/>
              <w:left w:val="single" w:color="auto" w:sz="4" w:space="0"/>
              <w:bottom w:val="single" w:color="auto" w:sz="4" w:space="0"/>
              <w:right w:val="single" w:color="auto" w:sz="4" w:space="0"/>
            </w:tcBorders>
            <w:noWrap w:val="0"/>
            <w:vAlign w:val="center"/>
          </w:tcPr>
          <w:p w14:paraId="16BE5893">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792" w:type="dxa"/>
            <w:tcBorders>
              <w:top w:val="single" w:color="auto" w:sz="4" w:space="0"/>
              <w:left w:val="single" w:color="auto" w:sz="4" w:space="0"/>
              <w:bottom w:val="single" w:color="auto" w:sz="4" w:space="0"/>
              <w:right w:val="single" w:color="auto" w:sz="4" w:space="0"/>
            </w:tcBorders>
            <w:noWrap w:val="0"/>
            <w:vAlign w:val="center"/>
          </w:tcPr>
          <w:p w14:paraId="17B4CB88">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1447" w:type="dxa"/>
            <w:tcBorders>
              <w:top w:val="single" w:color="auto" w:sz="4" w:space="0"/>
              <w:left w:val="single" w:color="auto" w:sz="4" w:space="0"/>
              <w:bottom w:val="single" w:color="auto" w:sz="4" w:space="0"/>
              <w:right w:val="single" w:color="auto" w:sz="4" w:space="0"/>
            </w:tcBorders>
            <w:noWrap w:val="0"/>
            <w:vAlign w:val="center"/>
          </w:tcPr>
          <w:p w14:paraId="7CECD7FF">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3672" w:type="dxa"/>
            <w:tcBorders>
              <w:top w:val="single" w:color="auto" w:sz="4" w:space="0"/>
              <w:left w:val="single" w:color="auto" w:sz="4" w:space="0"/>
              <w:bottom w:val="single" w:color="auto" w:sz="4" w:space="0"/>
              <w:right w:val="single" w:color="auto" w:sz="4" w:space="0"/>
            </w:tcBorders>
            <w:noWrap w:val="0"/>
            <w:vAlign w:val="center"/>
          </w:tcPr>
          <w:p w14:paraId="4FE19758">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r>
      <w:tr w14:paraId="1A7E1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exact"/>
          <w:jc w:val="center"/>
        </w:trPr>
        <w:tc>
          <w:tcPr>
            <w:tcW w:w="3150" w:type="dxa"/>
            <w:tcBorders>
              <w:top w:val="single" w:color="auto" w:sz="4" w:space="0"/>
              <w:left w:val="single" w:color="auto" w:sz="4" w:space="0"/>
              <w:bottom w:val="single" w:color="auto" w:sz="4" w:space="0"/>
              <w:right w:val="single" w:color="auto" w:sz="4" w:space="0"/>
            </w:tcBorders>
            <w:noWrap w:val="0"/>
            <w:vAlign w:val="center"/>
          </w:tcPr>
          <w:p w14:paraId="52593993">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793" w:type="dxa"/>
            <w:tcBorders>
              <w:top w:val="single" w:color="auto" w:sz="4" w:space="0"/>
              <w:left w:val="single" w:color="auto" w:sz="4" w:space="0"/>
              <w:bottom w:val="single" w:color="auto" w:sz="4" w:space="0"/>
              <w:right w:val="single" w:color="auto" w:sz="4" w:space="0"/>
            </w:tcBorders>
            <w:noWrap w:val="0"/>
            <w:vAlign w:val="center"/>
          </w:tcPr>
          <w:p w14:paraId="5EE0FA92">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792" w:type="dxa"/>
            <w:tcBorders>
              <w:top w:val="single" w:color="auto" w:sz="4" w:space="0"/>
              <w:left w:val="single" w:color="auto" w:sz="4" w:space="0"/>
              <w:bottom w:val="single" w:color="auto" w:sz="4" w:space="0"/>
              <w:right w:val="single" w:color="auto" w:sz="4" w:space="0"/>
            </w:tcBorders>
            <w:noWrap w:val="0"/>
            <w:vAlign w:val="center"/>
          </w:tcPr>
          <w:p w14:paraId="5ADC3C37">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1447" w:type="dxa"/>
            <w:tcBorders>
              <w:top w:val="single" w:color="auto" w:sz="4" w:space="0"/>
              <w:left w:val="single" w:color="auto" w:sz="4" w:space="0"/>
              <w:bottom w:val="single" w:color="auto" w:sz="4" w:space="0"/>
              <w:right w:val="single" w:color="auto" w:sz="4" w:space="0"/>
            </w:tcBorders>
            <w:noWrap w:val="0"/>
            <w:vAlign w:val="center"/>
          </w:tcPr>
          <w:p w14:paraId="148A5B65">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3672" w:type="dxa"/>
            <w:tcBorders>
              <w:top w:val="single" w:color="auto" w:sz="4" w:space="0"/>
              <w:left w:val="single" w:color="auto" w:sz="4" w:space="0"/>
              <w:bottom w:val="single" w:color="auto" w:sz="4" w:space="0"/>
              <w:right w:val="single" w:color="auto" w:sz="4" w:space="0"/>
            </w:tcBorders>
            <w:noWrap w:val="0"/>
            <w:vAlign w:val="center"/>
          </w:tcPr>
          <w:p w14:paraId="7474B185">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r>
      <w:tr w14:paraId="172CC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150" w:type="dxa"/>
            <w:tcBorders>
              <w:top w:val="single" w:color="auto" w:sz="4" w:space="0"/>
              <w:left w:val="single" w:color="auto" w:sz="4" w:space="0"/>
              <w:bottom w:val="single" w:color="auto" w:sz="4" w:space="0"/>
              <w:right w:val="single" w:color="auto" w:sz="4" w:space="0"/>
            </w:tcBorders>
            <w:noWrap w:val="0"/>
            <w:vAlign w:val="center"/>
          </w:tcPr>
          <w:p w14:paraId="2D0E7173">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二、现场</w:t>
            </w:r>
          </w:p>
        </w:tc>
        <w:tc>
          <w:tcPr>
            <w:tcW w:w="793" w:type="dxa"/>
            <w:tcBorders>
              <w:top w:val="single" w:color="auto" w:sz="4" w:space="0"/>
              <w:left w:val="single" w:color="auto" w:sz="4" w:space="0"/>
              <w:bottom w:val="single" w:color="auto" w:sz="4" w:space="0"/>
              <w:right w:val="single" w:color="auto" w:sz="4" w:space="0"/>
            </w:tcBorders>
            <w:noWrap w:val="0"/>
            <w:vAlign w:val="center"/>
          </w:tcPr>
          <w:p w14:paraId="35ADAECE">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792" w:type="dxa"/>
            <w:tcBorders>
              <w:top w:val="single" w:color="auto" w:sz="4" w:space="0"/>
              <w:left w:val="single" w:color="auto" w:sz="4" w:space="0"/>
              <w:bottom w:val="single" w:color="auto" w:sz="4" w:space="0"/>
              <w:right w:val="single" w:color="auto" w:sz="4" w:space="0"/>
            </w:tcBorders>
            <w:noWrap w:val="0"/>
            <w:vAlign w:val="center"/>
          </w:tcPr>
          <w:p w14:paraId="1CFBE348">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1447" w:type="dxa"/>
            <w:tcBorders>
              <w:top w:val="single" w:color="auto" w:sz="4" w:space="0"/>
              <w:left w:val="single" w:color="auto" w:sz="4" w:space="0"/>
              <w:bottom w:val="single" w:color="auto" w:sz="4" w:space="0"/>
              <w:right w:val="single" w:color="auto" w:sz="4" w:space="0"/>
            </w:tcBorders>
            <w:noWrap w:val="0"/>
            <w:vAlign w:val="center"/>
          </w:tcPr>
          <w:p w14:paraId="12F913C6">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3672" w:type="dxa"/>
            <w:tcBorders>
              <w:top w:val="single" w:color="auto" w:sz="4" w:space="0"/>
              <w:left w:val="single" w:color="auto" w:sz="4" w:space="0"/>
              <w:bottom w:val="single" w:color="auto" w:sz="4" w:space="0"/>
              <w:right w:val="single" w:color="auto" w:sz="4" w:space="0"/>
            </w:tcBorders>
            <w:noWrap w:val="0"/>
            <w:vAlign w:val="center"/>
          </w:tcPr>
          <w:p w14:paraId="4B067471">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r>
      <w:tr w14:paraId="08263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150" w:type="dxa"/>
            <w:tcBorders>
              <w:top w:val="single" w:color="auto" w:sz="4" w:space="0"/>
              <w:left w:val="single" w:color="auto" w:sz="4" w:space="0"/>
              <w:bottom w:val="single" w:color="auto" w:sz="4" w:space="0"/>
              <w:right w:val="single" w:color="auto" w:sz="4" w:space="0"/>
            </w:tcBorders>
            <w:noWrap w:val="0"/>
            <w:vAlign w:val="center"/>
          </w:tcPr>
          <w:p w14:paraId="42FA60DD">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项目经理</w:t>
            </w:r>
          </w:p>
        </w:tc>
        <w:tc>
          <w:tcPr>
            <w:tcW w:w="793" w:type="dxa"/>
            <w:tcBorders>
              <w:top w:val="single" w:color="auto" w:sz="4" w:space="0"/>
              <w:left w:val="single" w:color="auto" w:sz="4" w:space="0"/>
              <w:bottom w:val="single" w:color="auto" w:sz="4" w:space="0"/>
              <w:right w:val="single" w:color="auto" w:sz="4" w:space="0"/>
            </w:tcBorders>
            <w:noWrap w:val="0"/>
            <w:vAlign w:val="center"/>
          </w:tcPr>
          <w:p w14:paraId="28D5B79E">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792" w:type="dxa"/>
            <w:tcBorders>
              <w:top w:val="single" w:color="auto" w:sz="4" w:space="0"/>
              <w:left w:val="single" w:color="auto" w:sz="4" w:space="0"/>
              <w:bottom w:val="single" w:color="auto" w:sz="4" w:space="0"/>
              <w:right w:val="single" w:color="auto" w:sz="4" w:space="0"/>
            </w:tcBorders>
            <w:noWrap w:val="0"/>
            <w:vAlign w:val="center"/>
          </w:tcPr>
          <w:p w14:paraId="12B2147C">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1447" w:type="dxa"/>
            <w:tcBorders>
              <w:top w:val="single" w:color="auto" w:sz="4" w:space="0"/>
              <w:left w:val="single" w:color="auto" w:sz="4" w:space="0"/>
              <w:bottom w:val="single" w:color="auto" w:sz="4" w:space="0"/>
              <w:right w:val="single" w:color="auto" w:sz="4" w:space="0"/>
            </w:tcBorders>
            <w:noWrap w:val="0"/>
            <w:vAlign w:val="center"/>
          </w:tcPr>
          <w:p w14:paraId="4C334A68">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3672" w:type="dxa"/>
            <w:tcBorders>
              <w:top w:val="single" w:color="auto" w:sz="4" w:space="0"/>
              <w:left w:val="single" w:color="auto" w:sz="4" w:space="0"/>
              <w:bottom w:val="single" w:color="auto" w:sz="4" w:space="0"/>
              <w:right w:val="single" w:color="auto" w:sz="4" w:space="0"/>
            </w:tcBorders>
            <w:noWrap w:val="0"/>
            <w:vAlign w:val="center"/>
          </w:tcPr>
          <w:p w14:paraId="4B9FC3B3">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r>
      <w:tr w14:paraId="34079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150" w:type="dxa"/>
            <w:tcBorders>
              <w:top w:val="single" w:color="auto" w:sz="4" w:space="0"/>
              <w:left w:val="single" w:color="auto" w:sz="4" w:space="0"/>
              <w:bottom w:val="single" w:color="auto" w:sz="4" w:space="0"/>
              <w:right w:val="single" w:color="auto" w:sz="4" w:space="0"/>
            </w:tcBorders>
            <w:noWrap w:val="0"/>
            <w:vAlign w:val="center"/>
          </w:tcPr>
          <w:p w14:paraId="52419241">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2.项目副经理（如有）</w:t>
            </w:r>
          </w:p>
        </w:tc>
        <w:tc>
          <w:tcPr>
            <w:tcW w:w="793" w:type="dxa"/>
            <w:tcBorders>
              <w:top w:val="single" w:color="auto" w:sz="4" w:space="0"/>
              <w:left w:val="single" w:color="auto" w:sz="4" w:space="0"/>
              <w:bottom w:val="single" w:color="auto" w:sz="4" w:space="0"/>
              <w:right w:val="single" w:color="auto" w:sz="4" w:space="0"/>
            </w:tcBorders>
            <w:noWrap w:val="0"/>
            <w:vAlign w:val="center"/>
          </w:tcPr>
          <w:p w14:paraId="016FC617">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792" w:type="dxa"/>
            <w:tcBorders>
              <w:top w:val="single" w:color="auto" w:sz="4" w:space="0"/>
              <w:left w:val="single" w:color="auto" w:sz="4" w:space="0"/>
              <w:bottom w:val="single" w:color="auto" w:sz="4" w:space="0"/>
              <w:right w:val="single" w:color="auto" w:sz="4" w:space="0"/>
            </w:tcBorders>
            <w:noWrap w:val="0"/>
            <w:vAlign w:val="center"/>
          </w:tcPr>
          <w:p w14:paraId="530DC84D">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1447" w:type="dxa"/>
            <w:tcBorders>
              <w:top w:val="single" w:color="auto" w:sz="4" w:space="0"/>
              <w:left w:val="single" w:color="auto" w:sz="4" w:space="0"/>
              <w:bottom w:val="single" w:color="auto" w:sz="4" w:space="0"/>
              <w:right w:val="single" w:color="auto" w:sz="4" w:space="0"/>
            </w:tcBorders>
            <w:noWrap w:val="0"/>
            <w:vAlign w:val="center"/>
          </w:tcPr>
          <w:p w14:paraId="334ED80E">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3672" w:type="dxa"/>
            <w:tcBorders>
              <w:top w:val="single" w:color="auto" w:sz="4" w:space="0"/>
              <w:left w:val="single" w:color="auto" w:sz="4" w:space="0"/>
              <w:bottom w:val="single" w:color="auto" w:sz="4" w:space="0"/>
              <w:right w:val="single" w:color="auto" w:sz="4" w:space="0"/>
            </w:tcBorders>
            <w:noWrap w:val="0"/>
            <w:vAlign w:val="center"/>
          </w:tcPr>
          <w:p w14:paraId="685E4FB5">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r>
      <w:tr w14:paraId="511BA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150" w:type="dxa"/>
            <w:tcBorders>
              <w:top w:val="single" w:color="auto" w:sz="4" w:space="0"/>
              <w:left w:val="single" w:color="auto" w:sz="4" w:space="0"/>
              <w:bottom w:val="single" w:color="auto" w:sz="4" w:space="0"/>
              <w:right w:val="single" w:color="auto" w:sz="4" w:space="0"/>
            </w:tcBorders>
            <w:noWrap w:val="0"/>
            <w:vAlign w:val="center"/>
          </w:tcPr>
          <w:p w14:paraId="71B93432">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3.技术负责人</w:t>
            </w:r>
          </w:p>
        </w:tc>
        <w:tc>
          <w:tcPr>
            <w:tcW w:w="793" w:type="dxa"/>
            <w:tcBorders>
              <w:top w:val="single" w:color="auto" w:sz="4" w:space="0"/>
              <w:left w:val="single" w:color="auto" w:sz="4" w:space="0"/>
              <w:bottom w:val="single" w:color="auto" w:sz="4" w:space="0"/>
              <w:right w:val="single" w:color="auto" w:sz="4" w:space="0"/>
            </w:tcBorders>
            <w:noWrap w:val="0"/>
            <w:vAlign w:val="center"/>
          </w:tcPr>
          <w:p w14:paraId="723C697E">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792" w:type="dxa"/>
            <w:tcBorders>
              <w:top w:val="single" w:color="auto" w:sz="4" w:space="0"/>
              <w:left w:val="single" w:color="auto" w:sz="4" w:space="0"/>
              <w:bottom w:val="single" w:color="auto" w:sz="4" w:space="0"/>
              <w:right w:val="single" w:color="auto" w:sz="4" w:space="0"/>
            </w:tcBorders>
            <w:noWrap w:val="0"/>
            <w:vAlign w:val="center"/>
          </w:tcPr>
          <w:p w14:paraId="19835A16">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1447" w:type="dxa"/>
            <w:tcBorders>
              <w:top w:val="single" w:color="auto" w:sz="4" w:space="0"/>
              <w:left w:val="single" w:color="auto" w:sz="4" w:space="0"/>
              <w:bottom w:val="single" w:color="auto" w:sz="4" w:space="0"/>
              <w:right w:val="single" w:color="auto" w:sz="4" w:space="0"/>
            </w:tcBorders>
            <w:noWrap w:val="0"/>
            <w:vAlign w:val="center"/>
          </w:tcPr>
          <w:p w14:paraId="6A23600E">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3672" w:type="dxa"/>
            <w:tcBorders>
              <w:top w:val="single" w:color="auto" w:sz="4" w:space="0"/>
              <w:left w:val="single" w:color="auto" w:sz="4" w:space="0"/>
              <w:bottom w:val="single" w:color="auto" w:sz="4" w:space="0"/>
              <w:right w:val="single" w:color="auto" w:sz="4" w:space="0"/>
            </w:tcBorders>
            <w:noWrap w:val="0"/>
            <w:vAlign w:val="center"/>
          </w:tcPr>
          <w:p w14:paraId="7FAAB0B9">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r>
      <w:tr w14:paraId="12896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150" w:type="dxa"/>
            <w:tcBorders>
              <w:top w:val="single" w:color="auto" w:sz="4" w:space="0"/>
              <w:left w:val="single" w:color="auto" w:sz="4" w:space="0"/>
              <w:bottom w:val="single" w:color="auto" w:sz="4" w:space="0"/>
              <w:right w:val="single" w:color="auto" w:sz="4" w:space="0"/>
            </w:tcBorders>
            <w:noWrap w:val="0"/>
            <w:vAlign w:val="center"/>
          </w:tcPr>
          <w:p w14:paraId="417A3867">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4.施工员</w:t>
            </w:r>
          </w:p>
        </w:tc>
        <w:tc>
          <w:tcPr>
            <w:tcW w:w="793" w:type="dxa"/>
            <w:tcBorders>
              <w:top w:val="single" w:color="auto" w:sz="4" w:space="0"/>
              <w:left w:val="single" w:color="auto" w:sz="4" w:space="0"/>
              <w:bottom w:val="single" w:color="auto" w:sz="4" w:space="0"/>
              <w:right w:val="single" w:color="auto" w:sz="4" w:space="0"/>
            </w:tcBorders>
            <w:noWrap w:val="0"/>
            <w:vAlign w:val="center"/>
          </w:tcPr>
          <w:p w14:paraId="3D43FAB2">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792" w:type="dxa"/>
            <w:tcBorders>
              <w:top w:val="single" w:color="auto" w:sz="4" w:space="0"/>
              <w:left w:val="single" w:color="auto" w:sz="4" w:space="0"/>
              <w:bottom w:val="single" w:color="auto" w:sz="4" w:space="0"/>
              <w:right w:val="single" w:color="auto" w:sz="4" w:space="0"/>
            </w:tcBorders>
            <w:noWrap w:val="0"/>
            <w:vAlign w:val="center"/>
          </w:tcPr>
          <w:p w14:paraId="3EE88515">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1447" w:type="dxa"/>
            <w:tcBorders>
              <w:top w:val="single" w:color="auto" w:sz="4" w:space="0"/>
              <w:left w:val="single" w:color="auto" w:sz="4" w:space="0"/>
              <w:bottom w:val="single" w:color="auto" w:sz="4" w:space="0"/>
              <w:right w:val="single" w:color="auto" w:sz="4" w:space="0"/>
            </w:tcBorders>
            <w:noWrap w:val="0"/>
            <w:vAlign w:val="center"/>
          </w:tcPr>
          <w:p w14:paraId="2476BFDA">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3672" w:type="dxa"/>
            <w:tcBorders>
              <w:top w:val="single" w:color="auto" w:sz="4" w:space="0"/>
              <w:left w:val="single" w:color="auto" w:sz="4" w:space="0"/>
              <w:bottom w:val="single" w:color="auto" w:sz="4" w:space="0"/>
              <w:right w:val="single" w:color="auto" w:sz="4" w:space="0"/>
            </w:tcBorders>
            <w:noWrap w:val="0"/>
            <w:vAlign w:val="center"/>
          </w:tcPr>
          <w:p w14:paraId="5B024391">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r>
      <w:tr w14:paraId="2B1A3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150" w:type="dxa"/>
            <w:tcBorders>
              <w:top w:val="single" w:color="auto" w:sz="4" w:space="0"/>
              <w:left w:val="single" w:color="auto" w:sz="4" w:space="0"/>
              <w:bottom w:val="single" w:color="auto" w:sz="4" w:space="0"/>
              <w:right w:val="single" w:color="auto" w:sz="4" w:space="0"/>
            </w:tcBorders>
            <w:noWrap w:val="0"/>
            <w:vAlign w:val="center"/>
          </w:tcPr>
          <w:p w14:paraId="55F8277F">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5.质检</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量</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员</w:t>
            </w:r>
          </w:p>
        </w:tc>
        <w:tc>
          <w:tcPr>
            <w:tcW w:w="793" w:type="dxa"/>
            <w:tcBorders>
              <w:top w:val="single" w:color="auto" w:sz="4" w:space="0"/>
              <w:left w:val="single" w:color="auto" w:sz="4" w:space="0"/>
              <w:bottom w:val="single" w:color="auto" w:sz="4" w:space="0"/>
              <w:right w:val="single" w:color="auto" w:sz="4" w:space="0"/>
            </w:tcBorders>
            <w:noWrap w:val="0"/>
            <w:vAlign w:val="center"/>
          </w:tcPr>
          <w:p w14:paraId="43BF2535">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792" w:type="dxa"/>
            <w:tcBorders>
              <w:top w:val="single" w:color="auto" w:sz="4" w:space="0"/>
              <w:left w:val="single" w:color="auto" w:sz="4" w:space="0"/>
              <w:bottom w:val="single" w:color="auto" w:sz="4" w:space="0"/>
              <w:right w:val="single" w:color="auto" w:sz="4" w:space="0"/>
            </w:tcBorders>
            <w:noWrap w:val="0"/>
            <w:vAlign w:val="center"/>
          </w:tcPr>
          <w:p w14:paraId="0FC01FBD">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1447" w:type="dxa"/>
            <w:tcBorders>
              <w:top w:val="single" w:color="auto" w:sz="4" w:space="0"/>
              <w:left w:val="single" w:color="auto" w:sz="4" w:space="0"/>
              <w:bottom w:val="single" w:color="auto" w:sz="4" w:space="0"/>
              <w:right w:val="single" w:color="auto" w:sz="4" w:space="0"/>
            </w:tcBorders>
            <w:noWrap w:val="0"/>
            <w:vAlign w:val="center"/>
          </w:tcPr>
          <w:p w14:paraId="74ECE3C8">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3672" w:type="dxa"/>
            <w:tcBorders>
              <w:top w:val="single" w:color="auto" w:sz="4" w:space="0"/>
              <w:left w:val="single" w:color="auto" w:sz="4" w:space="0"/>
              <w:bottom w:val="single" w:color="auto" w:sz="4" w:space="0"/>
              <w:right w:val="single" w:color="auto" w:sz="4" w:space="0"/>
            </w:tcBorders>
            <w:noWrap w:val="0"/>
            <w:vAlign w:val="center"/>
          </w:tcPr>
          <w:p w14:paraId="3257412D">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r>
      <w:tr w14:paraId="2B187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150" w:type="dxa"/>
            <w:tcBorders>
              <w:top w:val="single" w:color="auto" w:sz="4" w:space="0"/>
              <w:left w:val="single" w:color="auto" w:sz="4" w:space="0"/>
              <w:bottom w:val="single" w:color="auto" w:sz="4" w:space="0"/>
              <w:right w:val="single" w:color="auto" w:sz="4" w:space="0"/>
            </w:tcBorders>
            <w:noWrap w:val="0"/>
            <w:vAlign w:val="center"/>
          </w:tcPr>
          <w:p w14:paraId="7335E004">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6.专职安全生产管理人员</w:t>
            </w:r>
          </w:p>
        </w:tc>
        <w:tc>
          <w:tcPr>
            <w:tcW w:w="793" w:type="dxa"/>
            <w:tcBorders>
              <w:top w:val="single" w:color="auto" w:sz="4" w:space="0"/>
              <w:left w:val="single" w:color="auto" w:sz="4" w:space="0"/>
              <w:bottom w:val="single" w:color="auto" w:sz="4" w:space="0"/>
              <w:right w:val="single" w:color="auto" w:sz="4" w:space="0"/>
            </w:tcBorders>
            <w:noWrap w:val="0"/>
            <w:vAlign w:val="center"/>
          </w:tcPr>
          <w:p w14:paraId="691373B4">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792" w:type="dxa"/>
            <w:tcBorders>
              <w:top w:val="single" w:color="auto" w:sz="4" w:space="0"/>
              <w:left w:val="single" w:color="auto" w:sz="4" w:space="0"/>
              <w:bottom w:val="single" w:color="auto" w:sz="4" w:space="0"/>
              <w:right w:val="single" w:color="auto" w:sz="4" w:space="0"/>
            </w:tcBorders>
            <w:noWrap w:val="0"/>
            <w:vAlign w:val="center"/>
          </w:tcPr>
          <w:p w14:paraId="272CCA54">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1447" w:type="dxa"/>
            <w:tcBorders>
              <w:top w:val="single" w:color="auto" w:sz="4" w:space="0"/>
              <w:left w:val="single" w:color="auto" w:sz="4" w:space="0"/>
              <w:bottom w:val="single" w:color="auto" w:sz="4" w:space="0"/>
              <w:right w:val="single" w:color="auto" w:sz="4" w:space="0"/>
            </w:tcBorders>
            <w:noWrap w:val="0"/>
            <w:vAlign w:val="center"/>
          </w:tcPr>
          <w:p w14:paraId="4C1B983E">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3672" w:type="dxa"/>
            <w:tcBorders>
              <w:top w:val="single" w:color="auto" w:sz="4" w:space="0"/>
              <w:left w:val="single" w:color="auto" w:sz="4" w:space="0"/>
              <w:bottom w:val="single" w:color="auto" w:sz="4" w:space="0"/>
              <w:right w:val="single" w:color="auto" w:sz="4" w:space="0"/>
            </w:tcBorders>
            <w:noWrap w:val="0"/>
            <w:vAlign w:val="center"/>
          </w:tcPr>
          <w:p w14:paraId="6CF95E98">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r>
      <w:tr w14:paraId="63FED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150" w:type="dxa"/>
            <w:tcBorders>
              <w:top w:val="single" w:color="auto" w:sz="4" w:space="0"/>
              <w:left w:val="single" w:color="auto" w:sz="4" w:space="0"/>
              <w:bottom w:val="single" w:color="auto" w:sz="4" w:space="0"/>
              <w:right w:val="single" w:color="auto" w:sz="4" w:space="0"/>
            </w:tcBorders>
            <w:noWrap w:val="0"/>
            <w:vAlign w:val="center"/>
          </w:tcPr>
          <w:p w14:paraId="7FF5E2C3">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7.材料员</w:t>
            </w:r>
          </w:p>
        </w:tc>
        <w:tc>
          <w:tcPr>
            <w:tcW w:w="793" w:type="dxa"/>
            <w:tcBorders>
              <w:top w:val="single" w:color="auto" w:sz="4" w:space="0"/>
              <w:left w:val="single" w:color="auto" w:sz="4" w:space="0"/>
              <w:bottom w:val="single" w:color="auto" w:sz="4" w:space="0"/>
              <w:right w:val="single" w:color="auto" w:sz="4" w:space="0"/>
            </w:tcBorders>
            <w:noWrap w:val="0"/>
            <w:vAlign w:val="center"/>
          </w:tcPr>
          <w:p w14:paraId="4F1FE649">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792" w:type="dxa"/>
            <w:tcBorders>
              <w:top w:val="single" w:color="auto" w:sz="4" w:space="0"/>
              <w:left w:val="single" w:color="auto" w:sz="4" w:space="0"/>
              <w:bottom w:val="single" w:color="auto" w:sz="4" w:space="0"/>
              <w:right w:val="single" w:color="auto" w:sz="4" w:space="0"/>
            </w:tcBorders>
            <w:noWrap w:val="0"/>
            <w:vAlign w:val="center"/>
          </w:tcPr>
          <w:p w14:paraId="2E4E83DA">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1447" w:type="dxa"/>
            <w:tcBorders>
              <w:top w:val="single" w:color="auto" w:sz="4" w:space="0"/>
              <w:left w:val="single" w:color="auto" w:sz="4" w:space="0"/>
              <w:bottom w:val="single" w:color="auto" w:sz="4" w:space="0"/>
              <w:right w:val="single" w:color="auto" w:sz="4" w:space="0"/>
            </w:tcBorders>
            <w:noWrap w:val="0"/>
            <w:vAlign w:val="center"/>
          </w:tcPr>
          <w:p w14:paraId="0F8FD74A">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3672" w:type="dxa"/>
            <w:tcBorders>
              <w:top w:val="single" w:color="auto" w:sz="4" w:space="0"/>
              <w:left w:val="single" w:color="auto" w:sz="4" w:space="0"/>
              <w:bottom w:val="single" w:color="auto" w:sz="4" w:space="0"/>
              <w:right w:val="single" w:color="auto" w:sz="4" w:space="0"/>
            </w:tcBorders>
            <w:noWrap w:val="0"/>
            <w:vAlign w:val="center"/>
          </w:tcPr>
          <w:p w14:paraId="622B299E">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r>
      <w:tr w14:paraId="298F4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150" w:type="dxa"/>
            <w:tcBorders>
              <w:top w:val="single" w:color="auto" w:sz="4" w:space="0"/>
              <w:left w:val="single" w:color="auto" w:sz="4" w:space="0"/>
              <w:bottom w:val="single" w:color="auto" w:sz="4" w:space="0"/>
              <w:right w:val="single" w:color="auto" w:sz="4" w:space="0"/>
            </w:tcBorders>
            <w:noWrap w:val="0"/>
            <w:vAlign w:val="center"/>
          </w:tcPr>
          <w:p w14:paraId="57882C75">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p>
        </w:tc>
        <w:tc>
          <w:tcPr>
            <w:tcW w:w="793" w:type="dxa"/>
            <w:tcBorders>
              <w:top w:val="single" w:color="auto" w:sz="4" w:space="0"/>
              <w:left w:val="single" w:color="auto" w:sz="4" w:space="0"/>
              <w:bottom w:val="single" w:color="auto" w:sz="4" w:space="0"/>
              <w:right w:val="single" w:color="auto" w:sz="4" w:space="0"/>
            </w:tcBorders>
            <w:noWrap w:val="0"/>
            <w:vAlign w:val="center"/>
          </w:tcPr>
          <w:p w14:paraId="19C4413D">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792" w:type="dxa"/>
            <w:tcBorders>
              <w:top w:val="single" w:color="auto" w:sz="4" w:space="0"/>
              <w:left w:val="single" w:color="auto" w:sz="4" w:space="0"/>
              <w:bottom w:val="single" w:color="auto" w:sz="4" w:space="0"/>
              <w:right w:val="single" w:color="auto" w:sz="4" w:space="0"/>
            </w:tcBorders>
            <w:noWrap w:val="0"/>
            <w:vAlign w:val="center"/>
          </w:tcPr>
          <w:p w14:paraId="28906B65">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1447" w:type="dxa"/>
            <w:tcBorders>
              <w:top w:val="single" w:color="auto" w:sz="4" w:space="0"/>
              <w:left w:val="single" w:color="auto" w:sz="4" w:space="0"/>
              <w:bottom w:val="single" w:color="auto" w:sz="4" w:space="0"/>
              <w:right w:val="single" w:color="auto" w:sz="4" w:space="0"/>
            </w:tcBorders>
            <w:noWrap w:val="0"/>
            <w:vAlign w:val="center"/>
          </w:tcPr>
          <w:p w14:paraId="4B4A42E6">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3672" w:type="dxa"/>
            <w:tcBorders>
              <w:top w:val="single" w:color="auto" w:sz="4" w:space="0"/>
              <w:left w:val="single" w:color="auto" w:sz="4" w:space="0"/>
              <w:bottom w:val="single" w:color="auto" w:sz="4" w:space="0"/>
              <w:right w:val="single" w:color="auto" w:sz="4" w:space="0"/>
            </w:tcBorders>
            <w:noWrap w:val="0"/>
            <w:vAlign w:val="center"/>
          </w:tcPr>
          <w:p w14:paraId="5965F399">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r>
    </w:tbl>
    <w:p w14:paraId="4B5FC81E">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pacing w:val="-2"/>
          <w:kern w:val="0"/>
          <w:sz w:val="21"/>
          <w:szCs w:val="21"/>
          <w:highlight w:val="none"/>
        </w:rPr>
      </w:pPr>
      <w:r>
        <w:rPr>
          <w:rFonts w:hint="eastAsia" w:ascii="宋体" w:hAnsi="宋体" w:eastAsia="宋体" w:cs="宋体"/>
          <w:bCs/>
          <w:color w:val="auto"/>
          <w:spacing w:val="-2"/>
          <w:sz w:val="21"/>
          <w:szCs w:val="21"/>
          <w:highlight w:val="none"/>
        </w:rPr>
        <w:t>注：</w:t>
      </w:r>
      <w:r>
        <w:rPr>
          <w:rFonts w:hint="eastAsia" w:ascii="宋体" w:hAnsi="宋体" w:cs="宋体"/>
          <w:color w:val="auto"/>
          <w:spacing w:val="-2"/>
          <w:kern w:val="0"/>
          <w:sz w:val="21"/>
          <w:szCs w:val="21"/>
          <w:highlight w:val="none"/>
          <w:lang w:eastAsia="zh-CN"/>
        </w:rPr>
        <w:t>项目经理至少应附身份证复印件、责任工程师证书复印件、中级（含）以上职称证复印件</w:t>
      </w:r>
      <w:r>
        <w:rPr>
          <w:rFonts w:hint="eastAsia" w:ascii="宋体" w:hAnsi="宋体" w:eastAsia="宋体" w:cs="宋体"/>
          <w:color w:val="auto"/>
          <w:spacing w:val="-2"/>
          <w:kern w:val="0"/>
          <w:sz w:val="21"/>
          <w:szCs w:val="21"/>
          <w:highlight w:val="none"/>
        </w:rPr>
        <w:t>；技术负责人应附身份证复印件、职称证复印件</w:t>
      </w:r>
      <w:r>
        <w:rPr>
          <w:rFonts w:hint="eastAsia" w:ascii="宋体" w:hAnsi="宋体" w:cs="宋体"/>
          <w:color w:val="auto"/>
          <w:spacing w:val="-2"/>
          <w:kern w:val="0"/>
          <w:sz w:val="21"/>
          <w:szCs w:val="21"/>
          <w:highlight w:val="none"/>
          <w:lang w:eastAsia="zh-CN"/>
        </w:rPr>
        <w:t>（</w:t>
      </w:r>
      <w:r>
        <w:rPr>
          <w:rFonts w:hint="eastAsia" w:ascii="宋体" w:hAnsi="宋体" w:cs="宋体"/>
          <w:color w:val="auto"/>
          <w:spacing w:val="-2"/>
          <w:kern w:val="0"/>
          <w:sz w:val="21"/>
          <w:szCs w:val="21"/>
          <w:highlight w:val="none"/>
          <w:lang w:val="en-US" w:eastAsia="zh-CN"/>
        </w:rPr>
        <w:t>如有</w:t>
      </w:r>
      <w:r>
        <w:rPr>
          <w:rFonts w:hint="eastAsia" w:ascii="宋体" w:hAnsi="宋体" w:cs="宋体"/>
          <w:color w:val="auto"/>
          <w:spacing w:val="-2"/>
          <w:kern w:val="0"/>
          <w:sz w:val="21"/>
          <w:szCs w:val="21"/>
          <w:highlight w:val="none"/>
          <w:lang w:eastAsia="zh-CN"/>
        </w:rPr>
        <w:t>）</w:t>
      </w:r>
      <w:r>
        <w:rPr>
          <w:rFonts w:hint="eastAsia" w:ascii="宋体" w:hAnsi="宋体" w:eastAsia="宋体" w:cs="宋体"/>
          <w:color w:val="auto"/>
          <w:spacing w:val="-2"/>
          <w:kern w:val="0"/>
          <w:sz w:val="21"/>
          <w:szCs w:val="21"/>
          <w:highlight w:val="none"/>
        </w:rPr>
        <w:t>；专职安全生产管理人员至少应附身份证复印件、专职安全员安全生产考核合格证书（C类）复印件；其他主要人员（施工员、质检</w:t>
      </w:r>
      <w:r>
        <w:rPr>
          <w:rFonts w:hint="eastAsia" w:ascii="宋体" w:hAnsi="宋体" w:eastAsia="宋体" w:cs="宋体"/>
          <w:color w:val="auto"/>
          <w:spacing w:val="-2"/>
          <w:kern w:val="0"/>
          <w:sz w:val="21"/>
          <w:szCs w:val="21"/>
          <w:highlight w:val="none"/>
          <w:lang w:eastAsia="zh-CN"/>
        </w:rPr>
        <w:t>（</w:t>
      </w:r>
      <w:r>
        <w:rPr>
          <w:rFonts w:hint="eastAsia" w:ascii="宋体" w:hAnsi="宋体" w:eastAsia="宋体" w:cs="宋体"/>
          <w:color w:val="auto"/>
          <w:spacing w:val="-2"/>
          <w:kern w:val="0"/>
          <w:sz w:val="21"/>
          <w:szCs w:val="21"/>
          <w:highlight w:val="none"/>
          <w:lang w:val="en-US" w:eastAsia="zh-CN"/>
        </w:rPr>
        <w:t>量</w:t>
      </w:r>
      <w:r>
        <w:rPr>
          <w:rFonts w:hint="eastAsia" w:ascii="宋体" w:hAnsi="宋体" w:eastAsia="宋体" w:cs="宋体"/>
          <w:color w:val="auto"/>
          <w:spacing w:val="-2"/>
          <w:kern w:val="0"/>
          <w:sz w:val="21"/>
          <w:szCs w:val="21"/>
          <w:highlight w:val="none"/>
          <w:lang w:eastAsia="zh-CN"/>
        </w:rPr>
        <w:t>）</w:t>
      </w:r>
      <w:r>
        <w:rPr>
          <w:rFonts w:hint="eastAsia" w:ascii="宋体" w:hAnsi="宋体" w:eastAsia="宋体" w:cs="宋体"/>
          <w:color w:val="auto"/>
          <w:spacing w:val="-2"/>
          <w:kern w:val="0"/>
          <w:sz w:val="21"/>
          <w:szCs w:val="21"/>
          <w:highlight w:val="none"/>
        </w:rPr>
        <w:t>员、材料员）应附执业证或上岗证书复印件。</w:t>
      </w:r>
      <w:r>
        <w:rPr>
          <w:rFonts w:hint="eastAsia" w:ascii="宋体" w:hAnsi="宋体" w:eastAsia="宋体" w:cs="宋体"/>
          <w:color w:val="auto"/>
          <w:kern w:val="0"/>
          <w:sz w:val="21"/>
          <w:szCs w:val="21"/>
          <w:highlight w:val="none"/>
        </w:rPr>
        <w:t>同时还需提供社保部门出具</w:t>
      </w:r>
      <w:r>
        <w:rPr>
          <w:rFonts w:hint="eastAsia" w:ascii="宋体" w:hAnsi="宋体" w:eastAsia="宋体" w:cs="宋体"/>
          <w:color w:val="auto"/>
          <w:kern w:val="0"/>
          <w:sz w:val="21"/>
          <w:szCs w:val="21"/>
          <w:highlight w:val="none"/>
          <w:lang w:val="en-US" w:eastAsia="zh-CN"/>
        </w:rPr>
        <w:t>供应商</w:t>
      </w:r>
      <w:r>
        <w:rPr>
          <w:rFonts w:hint="eastAsia" w:ascii="宋体" w:hAnsi="宋体" w:eastAsia="宋体" w:cs="宋体"/>
          <w:color w:val="auto"/>
          <w:kern w:val="0"/>
          <w:sz w:val="21"/>
          <w:szCs w:val="21"/>
          <w:highlight w:val="none"/>
        </w:rPr>
        <w:t>为项目管理机构成员（包含项目经理、技术负责人、专职安全员、施工员、质检</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量</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员、材料员）缴纳的响应文件递交截止时间前半年内任意连续三个月社保证明复印件。若为近期新聘员工的，以提供劳动合同证明材料复印件</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若</w:t>
      </w:r>
      <w:r>
        <w:rPr>
          <w:rFonts w:hint="eastAsia" w:ascii="宋体" w:hAnsi="宋体" w:eastAsia="宋体" w:cs="宋体"/>
          <w:color w:val="auto"/>
          <w:kern w:val="0"/>
          <w:sz w:val="21"/>
          <w:szCs w:val="21"/>
          <w:highlight w:val="none"/>
          <w:lang w:val="en-US" w:eastAsia="zh-CN"/>
        </w:rPr>
        <w:t>为退休员工则需提供退休证明及劳动合同</w:t>
      </w:r>
      <w:r>
        <w:rPr>
          <w:rFonts w:hint="eastAsia" w:ascii="宋体" w:hAnsi="宋体" w:eastAsia="宋体" w:cs="宋体"/>
          <w:color w:val="auto"/>
          <w:kern w:val="0"/>
          <w:sz w:val="21"/>
          <w:szCs w:val="21"/>
          <w:highlight w:val="none"/>
        </w:rPr>
        <w:t>为准</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spacing w:val="-2"/>
          <w:kern w:val="0"/>
          <w:sz w:val="21"/>
          <w:szCs w:val="21"/>
          <w:highlight w:val="none"/>
        </w:rPr>
        <w:t>上述复印件均需加盖</w:t>
      </w:r>
      <w:r>
        <w:rPr>
          <w:rFonts w:hint="eastAsia" w:ascii="宋体" w:hAnsi="宋体" w:eastAsia="宋体" w:cs="宋体"/>
          <w:color w:val="auto"/>
          <w:spacing w:val="-2"/>
          <w:kern w:val="0"/>
          <w:sz w:val="21"/>
          <w:szCs w:val="21"/>
          <w:highlight w:val="none"/>
          <w:lang w:val="en-US" w:eastAsia="zh-CN"/>
        </w:rPr>
        <w:t>供应商</w:t>
      </w:r>
      <w:r>
        <w:rPr>
          <w:rFonts w:hint="eastAsia" w:ascii="宋体" w:hAnsi="宋体" w:eastAsia="宋体" w:cs="宋体"/>
          <w:color w:val="auto"/>
          <w:spacing w:val="-2"/>
          <w:kern w:val="0"/>
          <w:sz w:val="21"/>
          <w:szCs w:val="21"/>
          <w:highlight w:val="none"/>
        </w:rPr>
        <w:t>公章。</w:t>
      </w:r>
    </w:p>
    <w:p w14:paraId="04AD9C4C">
      <w:pPr>
        <w:pStyle w:val="14"/>
        <w:spacing w:line="340" w:lineRule="exact"/>
        <w:jc w:val="center"/>
        <w:rPr>
          <w:rFonts w:hint="eastAsia" w:ascii="宋体" w:hAnsi="宋体" w:eastAsia="宋体" w:cs="宋体"/>
          <w:b/>
          <w:color w:val="auto"/>
          <w:sz w:val="32"/>
          <w:szCs w:val="32"/>
          <w:highlight w:val="none"/>
        </w:rPr>
      </w:pPr>
    </w:p>
    <w:p w14:paraId="0088D70E">
      <w:pPr>
        <w:pStyle w:val="9"/>
        <w:rPr>
          <w:rFonts w:hint="eastAsia"/>
          <w:color w:val="auto"/>
          <w:highlight w:val="none"/>
        </w:rPr>
      </w:pPr>
    </w:p>
    <w:p w14:paraId="71D2E9F3">
      <w:pPr>
        <w:keepNext w:val="0"/>
        <w:keepLines w:val="0"/>
        <w:pageBreakBefore w:val="0"/>
        <w:widowControl w:val="0"/>
        <w:kinsoku/>
        <w:wordWrap/>
        <w:overflowPunct/>
        <w:topLinePunct w:val="0"/>
        <w:autoSpaceDE/>
        <w:autoSpaceDN/>
        <w:bidi w:val="0"/>
        <w:adjustRightInd/>
        <w:snapToGrid w:val="0"/>
        <w:spacing w:line="360" w:lineRule="auto"/>
        <w:ind w:firstLine="1890" w:firstLineChars="9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磋商供应商</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公章</w:t>
      </w:r>
      <w:r>
        <w:rPr>
          <w:rFonts w:hint="eastAsia" w:ascii="宋体" w:hAnsi="宋体" w:eastAsia="宋体" w:cs="宋体"/>
          <w:color w:val="auto"/>
          <w:szCs w:val="21"/>
          <w:highlight w:val="none"/>
          <w:lang w:val="en-US" w:eastAsia="zh-CN"/>
        </w:rPr>
        <w:t>(CA签章)</w:t>
      </w:r>
      <w:r>
        <w:rPr>
          <w:rFonts w:hint="eastAsia" w:ascii="宋体" w:hAnsi="宋体" w:eastAsia="宋体" w:cs="宋体"/>
          <w:color w:val="auto"/>
          <w:szCs w:val="21"/>
          <w:highlight w:val="none"/>
        </w:rPr>
        <w:t>，自然人</w:t>
      </w:r>
      <w:r>
        <w:rPr>
          <w:rFonts w:hint="eastAsia" w:ascii="宋体" w:hAnsi="宋体" w:eastAsia="宋体" w:cs="宋体"/>
          <w:color w:val="auto"/>
          <w:szCs w:val="21"/>
          <w:highlight w:val="none"/>
          <w:lang w:eastAsia="zh-CN"/>
        </w:rPr>
        <w:t>签字或个人</w:t>
      </w:r>
      <w:r>
        <w:rPr>
          <w:rFonts w:hint="eastAsia" w:ascii="宋体" w:hAnsi="宋体" w:eastAsia="宋体" w:cs="宋体"/>
          <w:color w:val="auto"/>
          <w:szCs w:val="21"/>
          <w:highlight w:val="none"/>
          <w:lang w:val="en-US" w:eastAsia="zh-CN"/>
        </w:rPr>
        <w:t>CA签章]</w:t>
      </w:r>
      <w:r>
        <w:rPr>
          <w:rFonts w:hint="eastAsia" w:ascii="宋体" w:hAnsi="宋体" w:eastAsia="宋体" w:cs="宋体"/>
          <w:color w:val="auto"/>
          <w:szCs w:val="21"/>
          <w:highlight w:val="none"/>
        </w:rPr>
        <w:t>：</w:t>
      </w:r>
      <w:r>
        <w:rPr>
          <w:rFonts w:hint="eastAsia" w:ascii="宋体" w:hAnsi="宋体" w:eastAsia="宋体" w:cs="宋体"/>
          <w:color w:val="auto"/>
          <w:highlight w:val="none"/>
          <w:u w:val="single"/>
        </w:rPr>
        <w:t xml:space="preserve">               </w:t>
      </w:r>
    </w:p>
    <w:p w14:paraId="3EAE39F9">
      <w:pPr>
        <w:keepNext w:val="0"/>
        <w:keepLines w:val="0"/>
        <w:pageBreakBefore w:val="0"/>
        <w:widowControl w:val="0"/>
        <w:kinsoku/>
        <w:wordWrap/>
        <w:overflowPunct/>
        <w:topLinePunct w:val="0"/>
        <w:autoSpaceDE/>
        <w:autoSpaceDN/>
        <w:bidi w:val="0"/>
        <w:adjustRightInd/>
        <w:snapToGrid w:val="0"/>
        <w:spacing w:line="360" w:lineRule="auto"/>
        <w:ind w:firstLine="1890" w:firstLineChars="900"/>
        <w:textAlignment w:val="auto"/>
        <w:rPr>
          <w:rFonts w:hint="eastAsia" w:ascii="宋体" w:hAnsi="宋体" w:eastAsia="宋体" w:cs="宋体"/>
          <w:b/>
          <w:bCs/>
          <w:color w:val="auto"/>
          <w:szCs w:val="21"/>
          <w:highlight w:val="none"/>
        </w:rPr>
      </w:pPr>
      <w:r>
        <w:rPr>
          <w:rFonts w:hint="eastAsia" w:ascii="宋体" w:hAnsi="宋体" w:eastAsia="宋体" w:cs="宋体"/>
          <w:color w:val="auto"/>
          <w:highlight w:val="none"/>
          <w:lang w:eastAsia="zh-CN"/>
        </w:rPr>
        <w:t>日</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期：</w:t>
      </w:r>
      <w:r>
        <w:rPr>
          <w:rFonts w:hint="eastAsia" w:ascii="宋体" w:hAnsi="宋体" w:eastAsia="宋体" w:cs="宋体"/>
          <w:color w:val="auto"/>
          <w:highlight w:val="none"/>
          <w:u w:val="single"/>
        </w:rPr>
        <w:t xml:space="preserve">                            </w:t>
      </w:r>
    </w:p>
    <w:p w14:paraId="3C552F99">
      <w:pPr>
        <w:pStyle w:val="11"/>
        <w:rPr>
          <w:rFonts w:hint="eastAsia" w:ascii="宋体" w:hAnsi="宋体" w:eastAsia="宋体" w:cs="宋体"/>
          <w:b/>
          <w:bCs/>
          <w:color w:val="auto"/>
          <w:szCs w:val="21"/>
          <w:highlight w:val="none"/>
        </w:rPr>
      </w:pPr>
    </w:p>
    <w:p w14:paraId="6C71A33E">
      <w:pPr>
        <w:pStyle w:val="11"/>
        <w:rPr>
          <w:rFonts w:hint="eastAsia" w:ascii="宋体" w:hAnsi="宋体" w:eastAsia="宋体" w:cs="宋体"/>
          <w:b/>
          <w:bCs/>
          <w:color w:val="auto"/>
          <w:szCs w:val="21"/>
          <w:highlight w:val="none"/>
        </w:rPr>
      </w:pPr>
    </w:p>
    <w:p w14:paraId="1A24E051">
      <w:pPr>
        <w:pStyle w:val="11"/>
        <w:rPr>
          <w:rFonts w:hint="eastAsia" w:ascii="宋体" w:hAnsi="宋体" w:eastAsia="宋体" w:cs="宋体"/>
          <w:b/>
          <w:bCs/>
          <w:color w:val="auto"/>
          <w:szCs w:val="21"/>
          <w:highlight w:val="none"/>
        </w:rPr>
      </w:pPr>
    </w:p>
    <w:p w14:paraId="33944E09">
      <w:pPr>
        <w:pStyle w:val="52"/>
        <w:rPr>
          <w:rFonts w:hint="eastAsia"/>
          <w:color w:val="auto"/>
          <w:highlight w:val="none"/>
        </w:rPr>
      </w:pPr>
    </w:p>
    <w:p w14:paraId="0D305D1B">
      <w:pPr>
        <w:pStyle w:val="11"/>
        <w:rPr>
          <w:rFonts w:hint="eastAsia" w:ascii="宋体" w:hAnsi="宋体" w:eastAsia="宋体" w:cs="宋体"/>
          <w:b/>
          <w:bCs/>
          <w:color w:val="auto"/>
          <w:szCs w:val="21"/>
          <w:highlight w:val="none"/>
        </w:rPr>
      </w:pPr>
    </w:p>
    <w:p w14:paraId="0A81181E">
      <w:pPr>
        <w:pStyle w:val="14"/>
        <w:numPr>
          <w:ilvl w:val="0"/>
          <w:numId w:val="0"/>
        </w:numPr>
        <w:spacing w:line="340" w:lineRule="exact"/>
        <w:ind w:left="0" w:firstLine="0"/>
        <w:rPr>
          <w:rFonts w:hint="eastAsia" w:ascii="宋体" w:hAnsi="宋体" w:eastAsia="宋体" w:cs="宋体"/>
          <w:b/>
          <w:color w:val="auto"/>
          <w:sz w:val="28"/>
          <w:szCs w:val="28"/>
          <w:highlight w:val="none"/>
        </w:rPr>
      </w:pPr>
      <w:r>
        <w:rPr>
          <w:rFonts w:hint="eastAsia" w:hAnsi="宋体" w:cs="宋体"/>
          <w:b/>
          <w:color w:val="auto"/>
          <w:sz w:val="28"/>
          <w:szCs w:val="28"/>
          <w:highlight w:val="none"/>
          <w:lang w:val="en-US" w:eastAsia="zh-CN"/>
        </w:rPr>
        <w:t>5</w:t>
      </w:r>
      <w:r>
        <w:rPr>
          <w:rFonts w:hint="eastAsia" w:ascii="宋体" w:hAnsi="宋体" w:eastAsia="宋体" w:cs="宋体"/>
          <w:b/>
          <w:color w:val="auto"/>
          <w:sz w:val="28"/>
          <w:szCs w:val="28"/>
          <w:highlight w:val="none"/>
          <w:lang w:val="en-US" w:eastAsia="zh-CN"/>
        </w:rPr>
        <w:t>.担任本工程的</w:t>
      </w:r>
      <w:r>
        <w:rPr>
          <w:rFonts w:hint="eastAsia" w:hAnsi="宋体" w:eastAsia="宋体" w:cs="宋体"/>
          <w:b/>
          <w:color w:val="auto"/>
          <w:sz w:val="28"/>
          <w:szCs w:val="28"/>
          <w:highlight w:val="none"/>
          <w:lang w:val="en-US" w:eastAsia="zh-CN"/>
        </w:rPr>
        <w:t>项目经理</w:t>
      </w:r>
      <w:r>
        <w:rPr>
          <w:rFonts w:hint="eastAsia" w:ascii="宋体" w:hAnsi="宋体" w:eastAsia="宋体" w:cs="宋体"/>
          <w:b/>
          <w:color w:val="auto"/>
          <w:sz w:val="28"/>
          <w:szCs w:val="28"/>
          <w:highlight w:val="none"/>
          <w:lang w:val="en-US" w:eastAsia="zh-CN"/>
        </w:rPr>
        <w:t>简历表（应附相关证书、身份证复印件）（必须提供）</w:t>
      </w:r>
      <w:r>
        <w:rPr>
          <w:rFonts w:hint="eastAsia" w:ascii="宋体" w:hAnsi="宋体" w:eastAsia="宋体" w:cs="宋体"/>
          <w:b/>
          <w:color w:val="auto"/>
          <w:sz w:val="28"/>
          <w:szCs w:val="28"/>
          <w:highlight w:val="none"/>
        </w:rPr>
        <w:t>；</w:t>
      </w:r>
    </w:p>
    <w:p w14:paraId="2CAC1F84">
      <w:pPr>
        <w:rPr>
          <w:rFonts w:hint="eastAsia" w:ascii="宋体" w:hAnsi="宋体" w:eastAsia="宋体" w:cs="宋体"/>
          <w:color w:val="auto"/>
          <w:highlight w:val="none"/>
        </w:rPr>
      </w:pPr>
    </w:p>
    <w:p w14:paraId="377C70CF">
      <w:pPr>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担任本工程的项目经理简历表</w:t>
      </w:r>
    </w:p>
    <w:p w14:paraId="41F40548">
      <w:pPr>
        <w:jc w:val="center"/>
        <w:rPr>
          <w:rFonts w:hint="eastAsia" w:ascii="宋体" w:hAnsi="宋体" w:cs="宋体"/>
          <w:b/>
          <w:color w:val="auto"/>
          <w:sz w:val="32"/>
          <w:highlight w:val="none"/>
        </w:rPr>
      </w:pPr>
    </w:p>
    <w:tbl>
      <w:tblPr>
        <w:tblStyle w:val="29"/>
        <w:tblW w:w="8416"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0"/>
        <w:gridCol w:w="1608"/>
        <w:gridCol w:w="1072"/>
        <w:gridCol w:w="28"/>
        <w:gridCol w:w="508"/>
        <w:gridCol w:w="536"/>
        <w:gridCol w:w="1072"/>
        <w:gridCol w:w="268"/>
        <w:gridCol w:w="496"/>
        <w:gridCol w:w="442"/>
        <w:gridCol w:w="1206"/>
      </w:tblGrid>
      <w:tr w14:paraId="05F98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Borders>
              <w:top w:val="single" w:color="auto" w:sz="8" w:space="0"/>
              <w:left w:val="single" w:color="auto" w:sz="8" w:space="0"/>
            </w:tcBorders>
            <w:noWrap w:val="0"/>
            <w:vAlign w:val="top"/>
          </w:tcPr>
          <w:p w14:paraId="3F9EC9BD">
            <w:pPr>
              <w:spacing w:line="440" w:lineRule="exact"/>
              <w:jc w:val="center"/>
              <w:rPr>
                <w:rFonts w:hint="eastAsia" w:ascii="宋体" w:hAnsi="宋体" w:cs="宋体"/>
                <w:color w:val="auto"/>
                <w:highlight w:val="none"/>
              </w:rPr>
            </w:pPr>
            <w:r>
              <w:rPr>
                <w:rFonts w:hint="eastAsia" w:ascii="宋体" w:hAnsi="宋体" w:cs="宋体"/>
                <w:color w:val="auto"/>
                <w:highlight w:val="none"/>
              </w:rPr>
              <w:t>姓  名</w:t>
            </w:r>
          </w:p>
        </w:tc>
        <w:tc>
          <w:tcPr>
            <w:tcW w:w="1608" w:type="dxa"/>
            <w:tcBorders>
              <w:top w:val="single" w:color="auto" w:sz="8" w:space="0"/>
            </w:tcBorders>
            <w:noWrap w:val="0"/>
            <w:vAlign w:val="top"/>
          </w:tcPr>
          <w:p w14:paraId="7A90E699">
            <w:pPr>
              <w:spacing w:line="440" w:lineRule="exact"/>
              <w:jc w:val="center"/>
              <w:rPr>
                <w:rFonts w:hint="eastAsia" w:ascii="宋体" w:hAnsi="宋体" w:cs="宋体"/>
                <w:color w:val="auto"/>
                <w:highlight w:val="none"/>
              </w:rPr>
            </w:pPr>
          </w:p>
        </w:tc>
        <w:tc>
          <w:tcPr>
            <w:tcW w:w="1072" w:type="dxa"/>
            <w:tcBorders>
              <w:top w:val="single" w:color="auto" w:sz="8" w:space="0"/>
            </w:tcBorders>
            <w:noWrap w:val="0"/>
            <w:vAlign w:val="top"/>
          </w:tcPr>
          <w:p w14:paraId="445AC4C5">
            <w:pPr>
              <w:spacing w:line="440" w:lineRule="exact"/>
              <w:jc w:val="center"/>
              <w:rPr>
                <w:rFonts w:hint="eastAsia" w:ascii="宋体" w:hAnsi="宋体" w:cs="宋体"/>
                <w:color w:val="auto"/>
                <w:highlight w:val="none"/>
              </w:rPr>
            </w:pPr>
            <w:r>
              <w:rPr>
                <w:rFonts w:hint="eastAsia" w:ascii="宋体" w:hAnsi="宋体" w:cs="宋体"/>
                <w:color w:val="auto"/>
                <w:highlight w:val="none"/>
              </w:rPr>
              <w:t>性  别</w:t>
            </w:r>
          </w:p>
        </w:tc>
        <w:tc>
          <w:tcPr>
            <w:tcW w:w="1072" w:type="dxa"/>
            <w:gridSpan w:val="3"/>
            <w:tcBorders>
              <w:top w:val="single" w:color="auto" w:sz="8" w:space="0"/>
            </w:tcBorders>
            <w:noWrap w:val="0"/>
            <w:vAlign w:val="top"/>
          </w:tcPr>
          <w:p w14:paraId="3B9C2874">
            <w:pPr>
              <w:spacing w:line="440" w:lineRule="exact"/>
              <w:jc w:val="center"/>
              <w:rPr>
                <w:rFonts w:hint="eastAsia" w:ascii="宋体" w:hAnsi="宋体" w:cs="宋体"/>
                <w:color w:val="auto"/>
                <w:highlight w:val="none"/>
              </w:rPr>
            </w:pPr>
          </w:p>
        </w:tc>
        <w:tc>
          <w:tcPr>
            <w:tcW w:w="1340" w:type="dxa"/>
            <w:gridSpan w:val="2"/>
            <w:tcBorders>
              <w:top w:val="single" w:color="auto" w:sz="8" w:space="0"/>
            </w:tcBorders>
            <w:noWrap w:val="0"/>
            <w:vAlign w:val="top"/>
          </w:tcPr>
          <w:p w14:paraId="6B7FEDB4">
            <w:pPr>
              <w:spacing w:line="440" w:lineRule="exact"/>
              <w:jc w:val="center"/>
              <w:rPr>
                <w:rFonts w:hint="eastAsia" w:ascii="宋体" w:hAnsi="宋体" w:cs="宋体"/>
                <w:color w:val="auto"/>
                <w:highlight w:val="none"/>
              </w:rPr>
            </w:pPr>
            <w:r>
              <w:rPr>
                <w:rFonts w:hint="eastAsia" w:ascii="宋体" w:hAnsi="宋体" w:cs="宋体"/>
                <w:color w:val="auto"/>
                <w:highlight w:val="none"/>
              </w:rPr>
              <w:t>年  龄</w:t>
            </w:r>
          </w:p>
        </w:tc>
        <w:tc>
          <w:tcPr>
            <w:tcW w:w="2144" w:type="dxa"/>
            <w:gridSpan w:val="3"/>
            <w:tcBorders>
              <w:top w:val="single" w:color="auto" w:sz="8" w:space="0"/>
              <w:right w:val="single" w:color="auto" w:sz="8" w:space="0"/>
            </w:tcBorders>
            <w:noWrap w:val="0"/>
            <w:vAlign w:val="top"/>
          </w:tcPr>
          <w:p w14:paraId="29D43C58">
            <w:pPr>
              <w:spacing w:line="440" w:lineRule="exact"/>
              <w:jc w:val="center"/>
              <w:rPr>
                <w:rFonts w:hint="eastAsia" w:ascii="宋体" w:hAnsi="宋体" w:cs="宋体"/>
                <w:color w:val="auto"/>
                <w:highlight w:val="none"/>
              </w:rPr>
            </w:pPr>
          </w:p>
        </w:tc>
      </w:tr>
      <w:tr w14:paraId="229F9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Borders>
              <w:left w:val="single" w:color="auto" w:sz="8" w:space="0"/>
            </w:tcBorders>
            <w:noWrap w:val="0"/>
            <w:vAlign w:val="top"/>
          </w:tcPr>
          <w:p w14:paraId="2A799E15">
            <w:pPr>
              <w:spacing w:line="440" w:lineRule="exact"/>
              <w:jc w:val="center"/>
              <w:rPr>
                <w:rFonts w:hint="eastAsia" w:ascii="宋体" w:hAnsi="宋体" w:cs="宋体"/>
                <w:color w:val="auto"/>
                <w:highlight w:val="none"/>
              </w:rPr>
            </w:pPr>
            <w:r>
              <w:rPr>
                <w:rFonts w:hint="eastAsia" w:ascii="宋体" w:hAnsi="宋体" w:cs="宋体"/>
                <w:color w:val="auto"/>
                <w:highlight w:val="none"/>
              </w:rPr>
              <w:t>职  务</w:t>
            </w:r>
          </w:p>
        </w:tc>
        <w:tc>
          <w:tcPr>
            <w:tcW w:w="1608" w:type="dxa"/>
            <w:noWrap w:val="0"/>
            <w:vAlign w:val="top"/>
          </w:tcPr>
          <w:p w14:paraId="48C58E00">
            <w:pPr>
              <w:spacing w:line="440" w:lineRule="exact"/>
              <w:jc w:val="center"/>
              <w:rPr>
                <w:rFonts w:hint="eastAsia" w:ascii="宋体" w:hAnsi="宋体" w:cs="宋体"/>
                <w:color w:val="auto"/>
                <w:highlight w:val="none"/>
              </w:rPr>
            </w:pPr>
          </w:p>
        </w:tc>
        <w:tc>
          <w:tcPr>
            <w:tcW w:w="1072" w:type="dxa"/>
            <w:noWrap w:val="0"/>
            <w:vAlign w:val="top"/>
          </w:tcPr>
          <w:p w14:paraId="06BA5F72">
            <w:pPr>
              <w:spacing w:line="440" w:lineRule="exact"/>
              <w:jc w:val="center"/>
              <w:rPr>
                <w:rFonts w:hint="eastAsia" w:ascii="宋体" w:hAnsi="宋体" w:cs="宋体"/>
                <w:color w:val="auto"/>
                <w:highlight w:val="none"/>
              </w:rPr>
            </w:pPr>
            <w:r>
              <w:rPr>
                <w:rFonts w:hint="eastAsia" w:ascii="宋体" w:hAnsi="宋体" w:cs="宋体"/>
                <w:color w:val="auto"/>
                <w:highlight w:val="none"/>
              </w:rPr>
              <w:t>职  称</w:t>
            </w:r>
          </w:p>
        </w:tc>
        <w:tc>
          <w:tcPr>
            <w:tcW w:w="1072" w:type="dxa"/>
            <w:gridSpan w:val="3"/>
            <w:noWrap w:val="0"/>
            <w:vAlign w:val="top"/>
          </w:tcPr>
          <w:p w14:paraId="4D54404C">
            <w:pPr>
              <w:spacing w:line="440" w:lineRule="exact"/>
              <w:jc w:val="center"/>
              <w:rPr>
                <w:rFonts w:hint="eastAsia" w:ascii="宋体" w:hAnsi="宋体" w:cs="宋体"/>
                <w:color w:val="auto"/>
                <w:highlight w:val="none"/>
              </w:rPr>
            </w:pPr>
          </w:p>
        </w:tc>
        <w:tc>
          <w:tcPr>
            <w:tcW w:w="1340" w:type="dxa"/>
            <w:gridSpan w:val="2"/>
            <w:noWrap w:val="0"/>
            <w:vAlign w:val="top"/>
          </w:tcPr>
          <w:p w14:paraId="76519A27">
            <w:pPr>
              <w:spacing w:line="440" w:lineRule="exact"/>
              <w:jc w:val="center"/>
              <w:rPr>
                <w:rFonts w:hint="eastAsia" w:ascii="宋体" w:hAnsi="宋体" w:cs="宋体"/>
                <w:color w:val="auto"/>
                <w:highlight w:val="none"/>
              </w:rPr>
            </w:pPr>
            <w:r>
              <w:rPr>
                <w:rFonts w:hint="eastAsia" w:ascii="宋体" w:hAnsi="宋体" w:cs="宋体"/>
                <w:color w:val="auto"/>
                <w:highlight w:val="none"/>
              </w:rPr>
              <w:t>学  历</w:t>
            </w:r>
          </w:p>
        </w:tc>
        <w:tc>
          <w:tcPr>
            <w:tcW w:w="2144" w:type="dxa"/>
            <w:gridSpan w:val="3"/>
            <w:tcBorders>
              <w:right w:val="single" w:color="auto" w:sz="8" w:space="0"/>
            </w:tcBorders>
            <w:noWrap w:val="0"/>
            <w:vAlign w:val="top"/>
          </w:tcPr>
          <w:p w14:paraId="385D058A">
            <w:pPr>
              <w:spacing w:line="440" w:lineRule="exact"/>
              <w:jc w:val="center"/>
              <w:rPr>
                <w:rFonts w:hint="eastAsia" w:ascii="宋体" w:hAnsi="宋体" w:cs="宋体"/>
                <w:color w:val="auto"/>
                <w:highlight w:val="none"/>
              </w:rPr>
            </w:pPr>
          </w:p>
        </w:tc>
      </w:tr>
      <w:tr w14:paraId="1C822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80" w:type="dxa"/>
            <w:tcBorders>
              <w:left w:val="single" w:color="auto" w:sz="8" w:space="0"/>
            </w:tcBorders>
            <w:noWrap w:val="0"/>
            <w:vAlign w:val="top"/>
          </w:tcPr>
          <w:p w14:paraId="53F4B46D">
            <w:pPr>
              <w:spacing w:line="440" w:lineRule="exact"/>
              <w:jc w:val="center"/>
              <w:rPr>
                <w:rFonts w:hint="eastAsia" w:ascii="宋体" w:hAnsi="宋体" w:cs="宋体"/>
                <w:color w:val="auto"/>
                <w:highlight w:val="none"/>
              </w:rPr>
            </w:pPr>
            <w:r>
              <w:rPr>
                <w:rFonts w:hint="eastAsia" w:ascii="宋体" w:hAnsi="宋体" w:cs="宋体"/>
                <w:color w:val="auto"/>
                <w:highlight w:val="none"/>
              </w:rPr>
              <w:t>专  业</w:t>
            </w:r>
          </w:p>
        </w:tc>
        <w:tc>
          <w:tcPr>
            <w:tcW w:w="2708" w:type="dxa"/>
            <w:gridSpan w:val="3"/>
            <w:noWrap w:val="0"/>
            <w:vAlign w:val="top"/>
          </w:tcPr>
          <w:p w14:paraId="244A9FE3">
            <w:pPr>
              <w:spacing w:line="440" w:lineRule="exact"/>
              <w:rPr>
                <w:rFonts w:hint="eastAsia" w:ascii="宋体" w:hAnsi="宋体" w:cs="宋体"/>
                <w:color w:val="auto"/>
                <w:highlight w:val="none"/>
              </w:rPr>
            </w:pPr>
          </w:p>
        </w:tc>
        <w:tc>
          <w:tcPr>
            <w:tcW w:w="2880" w:type="dxa"/>
            <w:gridSpan w:val="5"/>
            <w:noWrap w:val="0"/>
            <w:vAlign w:val="top"/>
          </w:tcPr>
          <w:p w14:paraId="736E5D7C">
            <w:pPr>
              <w:spacing w:line="440" w:lineRule="exact"/>
              <w:rPr>
                <w:rFonts w:hint="eastAsia" w:ascii="宋体" w:hAnsi="宋体" w:cs="宋体"/>
                <w:color w:val="auto"/>
                <w:highlight w:val="none"/>
              </w:rPr>
            </w:pPr>
            <w:r>
              <w:rPr>
                <w:rFonts w:hint="eastAsia" w:ascii="宋体" w:hAnsi="宋体" w:cs="宋体"/>
                <w:color w:val="auto"/>
                <w:highlight w:val="none"/>
              </w:rPr>
              <w:t>从事项目经理或建造师年限</w:t>
            </w:r>
          </w:p>
        </w:tc>
        <w:tc>
          <w:tcPr>
            <w:tcW w:w="1648" w:type="dxa"/>
            <w:gridSpan w:val="2"/>
            <w:tcBorders>
              <w:right w:val="single" w:color="auto" w:sz="8" w:space="0"/>
            </w:tcBorders>
            <w:noWrap w:val="0"/>
            <w:vAlign w:val="top"/>
          </w:tcPr>
          <w:p w14:paraId="148713C5">
            <w:pPr>
              <w:spacing w:line="440" w:lineRule="exact"/>
              <w:jc w:val="center"/>
              <w:rPr>
                <w:rFonts w:hint="eastAsia" w:ascii="宋体" w:hAnsi="宋体" w:cs="宋体"/>
                <w:color w:val="auto"/>
                <w:highlight w:val="none"/>
              </w:rPr>
            </w:pPr>
            <w:r>
              <w:rPr>
                <w:rFonts w:hint="eastAsia" w:ascii="宋体" w:hAnsi="宋体" w:cs="宋体"/>
                <w:color w:val="auto"/>
                <w:highlight w:val="none"/>
              </w:rPr>
              <w:t xml:space="preserve">         (年)</w:t>
            </w:r>
          </w:p>
        </w:tc>
      </w:tr>
      <w:tr w14:paraId="593B1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416" w:type="dxa"/>
            <w:gridSpan w:val="11"/>
            <w:tcBorders>
              <w:left w:val="single" w:color="auto" w:sz="8" w:space="0"/>
              <w:right w:val="single" w:color="auto" w:sz="8" w:space="0"/>
            </w:tcBorders>
            <w:noWrap w:val="0"/>
            <w:vAlign w:val="top"/>
          </w:tcPr>
          <w:p w14:paraId="274B45E7">
            <w:pPr>
              <w:spacing w:line="440" w:lineRule="exact"/>
              <w:jc w:val="center"/>
              <w:rPr>
                <w:rFonts w:hint="eastAsia" w:ascii="宋体" w:hAnsi="宋体" w:cs="宋体"/>
                <w:color w:val="auto"/>
                <w:highlight w:val="none"/>
              </w:rPr>
            </w:pPr>
            <w:r>
              <w:rPr>
                <w:rFonts w:hint="eastAsia" w:ascii="宋体" w:hAnsi="宋体" w:cs="宋体"/>
                <w:color w:val="auto"/>
                <w:highlight w:val="none"/>
              </w:rPr>
              <w:t>已完工程项目情况</w:t>
            </w:r>
          </w:p>
        </w:tc>
      </w:tr>
      <w:tr w14:paraId="45A26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Borders>
              <w:left w:val="single" w:color="auto" w:sz="8" w:space="0"/>
            </w:tcBorders>
            <w:noWrap w:val="0"/>
            <w:vAlign w:val="top"/>
          </w:tcPr>
          <w:p w14:paraId="57902E3E">
            <w:pPr>
              <w:spacing w:line="440" w:lineRule="exact"/>
              <w:jc w:val="center"/>
              <w:rPr>
                <w:rFonts w:hint="eastAsia" w:ascii="宋体" w:hAnsi="宋体" w:cs="宋体"/>
                <w:color w:val="auto"/>
                <w:highlight w:val="none"/>
              </w:rPr>
            </w:pPr>
            <w:r>
              <w:rPr>
                <w:rFonts w:hint="eastAsia" w:ascii="宋体" w:hAnsi="宋体" w:cs="宋体"/>
                <w:color w:val="auto"/>
                <w:highlight w:val="none"/>
              </w:rPr>
              <w:t>建设单位</w:t>
            </w:r>
          </w:p>
        </w:tc>
        <w:tc>
          <w:tcPr>
            <w:tcW w:w="1608" w:type="dxa"/>
            <w:noWrap w:val="0"/>
            <w:vAlign w:val="top"/>
          </w:tcPr>
          <w:p w14:paraId="19CC7A94">
            <w:pPr>
              <w:spacing w:line="440" w:lineRule="exact"/>
              <w:jc w:val="center"/>
              <w:rPr>
                <w:rFonts w:hint="eastAsia" w:ascii="宋体" w:hAnsi="宋体" w:cs="宋体"/>
                <w:color w:val="auto"/>
                <w:highlight w:val="none"/>
              </w:rPr>
            </w:pPr>
            <w:r>
              <w:rPr>
                <w:rFonts w:hint="eastAsia" w:ascii="宋体" w:hAnsi="宋体" w:cs="宋体"/>
                <w:color w:val="auto"/>
                <w:highlight w:val="none"/>
              </w:rPr>
              <w:t>项目名称</w:t>
            </w:r>
          </w:p>
        </w:tc>
        <w:tc>
          <w:tcPr>
            <w:tcW w:w="1608" w:type="dxa"/>
            <w:gridSpan w:val="3"/>
            <w:noWrap w:val="0"/>
            <w:vAlign w:val="top"/>
          </w:tcPr>
          <w:p w14:paraId="3B9B9D1F">
            <w:pPr>
              <w:spacing w:line="440" w:lineRule="exact"/>
              <w:jc w:val="center"/>
              <w:rPr>
                <w:rFonts w:hint="eastAsia" w:ascii="宋体" w:hAnsi="宋体" w:cs="宋体"/>
                <w:color w:val="auto"/>
                <w:highlight w:val="none"/>
              </w:rPr>
            </w:pPr>
            <w:r>
              <w:rPr>
                <w:rFonts w:hint="eastAsia" w:ascii="宋体" w:hAnsi="宋体" w:cs="宋体"/>
                <w:color w:val="auto"/>
                <w:highlight w:val="none"/>
              </w:rPr>
              <w:t>建设规模</w:t>
            </w:r>
          </w:p>
        </w:tc>
        <w:tc>
          <w:tcPr>
            <w:tcW w:w="1608" w:type="dxa"/>
            <w:gridSpan w:val="2"/>
            <w:noWrap w:val="0"/>
            <w:vAlign w:val="top"/>
          </w:tcPr>
          <w:p w14:paraId="0D3C9A8F">
            <w:pPr>
              <w:spacing w:line="440" w:lineRule="exact"/>
              <w:jc w:val="center"/>
              <w:rPr>
                <w:rFonts w:hint="eastAsia" w:ascii="宋体" w:hAnsi="宋体" w:cs="宋体"/>
                <w:color w:val="auto"/>
                <w:highlight w:val="none"/>
              </w:rPr>
            </w:pPr>
            <w:r>
              <w:rPr>
                <w:rFonts w:hint="eastAsia" w:ascii="宋体" w:hAnsi="宋体" w:cs="宋体"/>
                <w:color w:val="auto"/>
                <w:highlight w:val="none"/>
              </w:rPr>
              <w:t>开、竣工日期</w:t>
            </w:r>
          </w:p>
        </w:tc>
        <w:tc>
          <w:tcPr>
            <w:tcW w:w="1206" w:type="dxa"/>
            <w:gridSpan w:val="3"/>
            <w:noWrap w:val="0"/>
            <w:vAlign w:val="top"/>
          </w:tcPr>
          <w:p w14:paraId="13151F7A">
            <w:pPr>
              <w:spacing w:line="440" w:lineRule="exact"/>
              <w:jc w:val="center"/>
              <w:rPr>
                <w:rFonts w:hint="eastAsia" w:ascii="宋体" w:hAnsi="宋体" w:cs="宋体"/>
                <w:color w:val="auto"/>
                <w:highlight w:val="none"/>
              </w:rPr>
            </w:pPr>
            <w:r>
              <w:rPr>
                <w:rFonts w:hint="eastAsia" w:ascii="宋体" w:hAnsi="宋体" w:cs="宋体"/>
                <w:color w:val="auto"/>
                <w:highlight w:val="none"/>
              </w:rPr>
              <w:t>工程质量</w:t>
            </w:r>
          </w:p>
        </w:tc>
        <w:tc>
          <w:tcPr>
            <w:tcW w:w="1206" w:type="dxa"/>
            <w:tcBorders>
              <w:right w:val="single" w:color="auto" w:sz="8" w:space="0"/>
            </w:tcBorders>
            <w:noWrap w:val="0"/>
            <w:vAlign w:val="top"/>
          </w:tcPr>
          <w:p w14:paraId="7A5AB2F7">
            <w:pPr>
              <w:spacing w:line="440" w:lineRule="exact"/>
              <w:jc w:val="center"/>
              <w:rPr>
                <w:rFonts w:hint="eastAsia" w:ascii="宋体" w:hAnsi="宋体" w:cs="宋体"/>
                <w:color w:val="auto"/>
                <w:highlight w:val="none"/>
              </w:rPr>
            </w:pPr>
            <w:r>
              <w:rPr>
                <w:rFonts w:hint="eastAsia" w:ascii="宋体" w:hAnsi="宋体" w:cs="宋体"/>
                <w:color w:val="auto"/>
                <w:highlight w:val="none"/>
              </w:rPr>
              <w:t>受奖情况</w:t>
            </w:r>
          </w:p>
        </w:tc>
      </w:tr>
      <w:tr w14:paraId="76496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Borders>
              <w:left w:val="single" w:color="auto" w:sz="8" w:space="0"/>
            </w:tcBorders>
            <w:noWrap w:val="0"/>
            <w:vAlign w:val="top"/>
          </w:tcPr>
          <w:p w14:paraId="095CB788">
            <w:pPr>
              <w:spacing w:line="440" w:lineRule="exact"/>
              <w:jc w:val="center"/>
              <w:rPr>
                <w:rFonts w:hint="eastAsia" w:ascii="宋体" w:hAnsi="宋体" w:cs="宋体"/>
                <w:color w:val="auto"/>
                <w:highlight w:val="none"/>
              </w:rPr>
            </w:pPr>
          </w:p>
        </w:tc>
        <w:tc>
          <w:tcPr>
            <w:tcW w:w="1608" w:type="dxa"/>
            <w:noWrap w:val="0"/>
            <w:vAlign w:val="top"/>
          </w:tcPr>
          <w:p w14:paraId="62D1225B">
            <w:pPr>
              <w:spacing w:line="440" w:lineRule="exact"/>
              <w:jc w:val="center"/>
              <w:rPr>
                <w:rFonts w:hint="eastAsia" w:ascii="宋体" w:hAnsi="宋体" w:cs="宋体"/>
                <w:color w:val="auto"/>
                <w:highlight w:val="none"/>
              </w:rPr>
            </w:pPr>
          </w:p>
        </w:tc>
        <w:tc>
          <w:tcPr>
            <w:tcW w:w="1608" w:type="dxa"/>
            <w:gridSpan w:val="3"/>
            <w:noWrap w:val="0"/>
            <w:vAlign w:val="top"/>
          </w:tcPr>
          <w:p w14:paraId="0356086D">
            <w:pPr>
              <w:spacing w:line="440" w:lineRule="exact"/>
              <w:jc w:val="center"/>
              <w:rPr>
                <w:rFonts w:hint="eastAsia" w:ascii="宋体" w:hAnsi="宋体" w:cs="宋体"/>
                <w:color w:val="auto"/>
                <w:highlight w:val="none"/>
              </w:rPr>
            </w:pPr>
          </w:p>
        </w:tc>
        <w:tc>
          <w:tcPr>
            <w:tcW w:w="1608" w:type="dxa"/>
            <w:gridSpan w:val="2"/>
            <w:noWrap w:val="0"/>
            <w:vAlign w:val="top"/>
          </w:tcPr>
          <w:p w14:paraId="70C6F095">
            <w:pPr>
              <w:spacing w:line="440" w:lineRule="exact"/>
              <w:jc w:val="center"/>
              <w:rPr>
                <w:rFonts w:hint="eastAsia" w:ascii="宋体" w:hAnsi="宋体" w:cs="宋体"/>
                <w:color w:val="auto"/>
                <w:highlight w:val="none"/>
              </w:rPr>
            </w:pPr>
          </w:p>
        </w:tc>
        <w:tc>
          <w:tcPr>
            <w:tcW w:w="1206" w:type="dxa"/>
            <w:gridSpan w:val="3"/>
            <w:noWrap w:val="0"/>
            <w:vAlign w:val="top"/>
          </w:tcPr>
          <w:p w14:paraId="50A955C3">
            <w:pPr>
              <w:spacing w:line="440" w:lineRule="exact"/>
              <w:jc w:val="center"/>
              <w:rPr>
                <w:rFonts w:hint="eastAsia" w:ascii="宋体" w:hAnsi="宋体" w:cs="宋体"/>
                <w:color w:val="auto"/>
                <w:highlight w:val="none"/>
              </w:rPr>
            </w:pPr>
          </w:p>
        </w:tc>
        <w:tc>
          <w:tcPr>
            <w:tcW w:w="1206" w:type="dxa"/>
            <w:tcBorders>
              <w:right w:val="single" w:color="auto" w:sz="8" w:space="0"/>
            </w:tcBorders>
            <w:noWrap w:val="0"/>
            <w:vAlign w:val="top"/>
          </w:tcPr>
          <w:p w14:paraId="77285365">
            <w:pPr>
              <w:spacing w:line="440" w:lineRule="exact"/>
              <w:jc w:val="center"/>
              <w:rPr>
                <w:rFonts w:hint="eastAsia" w:ascii="宋体" w:hAnsi="宋体" w:cs="宋体"/>
                <w:color w:val="auto"/>
                <w:highlight w:val="none"/>
              </w:rPr>
            </w:pPr>
          </w:p>
        </w:tc>
      </w:tr>
      <w:tr w14:paraId="4298B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Borders>
              <w:left w:val="single" w:color="auto" w:sz="8" w:space="0"/>
            </w:tcBorders>
            <w:noWrap w:val="0"/>
            <w:vAlign w:val="top"/>
          </w:tcPr>
          <w:p w14:paraId="69F259B6">
            <w:pPr>
              <w:spacing w:line="440" w:lineRule="exact"/>
              <w:jc w:val="center"/>
              <w:rPr>
                <w:rFonts w:hint="eastAsia" w:ascii="宋体" w:hAnsi="宋体" w:cs="宋体"/>
                <w:color w:val="auto"/>
                <w:highlight w:val="none"/>
              </w:rPr>
            </w:pPr>
          </w:p>
        </w:tc>
        <w:tc>
          <w:tcPr>
            <w:tcW w:w="1608" w:type="dxa"/>
            <w:noWrap w:val="0"/>
            <w:vAlign w:val="top"/>
          </w:tcPr>
          <w:p w14:paraId="1E7703B5">
            <w:pPr>
              <w:spacing w:line="440" w:lineRule="exact"/>
              <w:jc w:val="center"/>
              <w:rPr>
                <w:rFonts w:hint="eastAsia" w:ascii="宋体" w:hAnsi="宋体" w:cs="宋体"/>
                <w:color w:val="auto"/>
                <w:highlight w:val="none"/>
              </w:rPr>
            </w:pPr>
          </w:p>
        </w:tc>
        <w:tc>
          <w:tcPr>
            <w:tcW w:w="1608" w:type="dxa"/>
            <w:gridSpan w:val="3"/>
            <w:noWrap w:val="0"/>
            <w:vAlign w:val="top"/>
          </w:tcPr>
          <w:p w14:paraId="15832395">
            <w:pPr>
              <w:spacing w:line="440" w:lineRule="exact"/>
              <w:jc w:val="center"/>
              <w:rPr>
                <w:rFonts w:hint="eastAsia" w:ascii="宋体" w:hAnsi="宋体" w:cs="宋体"/>
                <w:color w:val="auto"/>
                <w:highlight w:val="none"/>
              </w:rPr>
            </w:pPr>
          </w:p>
        </w:tc>
        <w:tc>
          <w:tcPr>
            <w:tcW w:w="1608" w:type="dxa"/>
            <w:gridSpan w:val="2"/>
            <w:noWrap w:val="0"/>
            <w:vAlign w:val="top"/>
          </w:tcPr>
          <w:p w14:paraId="0868FEDC">
            <w:pPr>
              <w:spacing w:line="440" w:lineRule="exact"/>
              <w:jc w:val="center"/>
              <w:rPr>
                <w:rFonts w:hint="eastAsia" w:ascii="宋体" w:hAnsi="宋体" w:cs="宋体"/>
                <w:color w:val="auto"/>
                <w:highlight w:val="none"/>
              </w:rPr>
            </w:pPr>
          </w:p>
        </w:tc>
        <w:tc>
          <w:tcPr>
            <w:tcW w:w="1206" w:type="dxa"/>
            <w:gridSpan w:val="3"/>
            <w:noWrap w:val="0"/>
            <w:vAlign w:val="top"/>
          </w:tcPr>
          <w:p w14:paraId="5F1B1ACB">
            <w:pPr>
              <w:spacing w:line="440" w:lineRule="exact"/>
              <w:jc w:val="center"/>
              <w:rPr>
                <w:rFonts w:hint="eastAsia" w:ascii="宋体" w:hAnsi="宋体" w:cs="宋体"/>
                <w:color w:val="auto"/>
                <w:highlight w:val="none"/>
              </w:rPr>
            </w:pPr>
          </w:p>
        </w:tc>
        <w:tc>
          <w:tcPr>
            <w:tcW w:w="1206" w:type="dxa"/>
            <w:tcBorders>
              <w:right w:val="single" w:color="auto" w:sz="8" w:space="0"/>
            </w:tcBorders>
            <w:noWrap w:val="0"/>
            <w:vAlign w:val="top"/>
          </w:tcPr>
          <w:p w14:paraId="2C1B39C0">
            <w:pPr>
              <w:spacing w:line="440" w:lineRule="exact"/>
              <w:jc w:val="center"/>
              <w:rPr>
                <w:rFonts w:hint="eastAsia" w:ascii="宋体" w:hAnsi="宋体" w:cs="宋体"/>
                <w:color w:val="auto"/>
                <w:highlight w:val="none"/>
              </w:rPr>
            </w:pPr>
          </w:p>
        </w:tc>
      </w:tr>
      <w:tr w14:paraId="232F9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Borders>
              <w:left w:val="single" w:color="auto" w:sz="8" w:space="0"/>
            </w:tcBorders>
            <w:noWrap w:val="0"/>
            <w:vAlign w:val="top"/>
          </w:tcPr>
          <w:p w14:paraId="1CB728CE">
            <w:pPr>
              <w:spacing w:line="440" w:lineRule="exact"/>
              <w:jc w:val="center"/>
              <w:rPr>
                <w:rFonts w:hint="eastAsia" w:ascii="宋体" w:hAnsi="宋体" w:cs="宋体"/>
                <w:color w:val="auto"/>
                <w:highlight w:val="none"/>
              </w:rPr>
            </w:pPr>
          </w:p>
        </w:tc>
        <w:tc>
          <w:tcPr>
            <w:tcW w:w="1608" w:type="dxa"/>
            <w:noWrap w:val="0"/>
            <w:vAlign w:val="top"/>
          </w:tcPr>
          <w:p w14:paraId="696252BE">
            <w:pPr>
              <w:spacing w:line="440" w:lineRule="exact"/>
              <w:jc w:val="center"/>
              <w:rPr>
                <w:rFonts w:hint="eastAsia" w:ascii="宋体" w:hAnsi="宋体" w:cs="宋体"/>
                <w:color w:val="auto"/>
                <w:highlight w:val="none"/>
              </w:rPr>
            </w:pPr>
          </w:p>
        </w:tc>
        <w:tc>
          <w:tcPr>
            <w:tcW w:w="1608" w:type="dxa"/>
            <w:gridSpan w:val="3"/>
            <w:noWrap w:val="0"/>
            <w:vAlign w:val="top"/>
          </w:tcPr>
          <w:p w14:paraId="4126DB89">
            <w:pPr>
              <w:spacing w:line="440" w:lineRule="exact"/>
              <w:jc w:val="center"/>
              <w:rPr>
                <w:rFonts w:hint="eastAsia" w:ascii="宋体" w:hAnsi="宋体" w:cs="宋体"/>
                <w:color w:val="auto"/>
                <w:highlight w:val="none"/>
              </w:rPr>
            </w:pPr>
          </w:p>
        </w:tc>
        <w:tc>
          <w:tcPr>
            <w:tcW w:w="1608" w:type="dxa"/>
            <w:gridSpan w:val="2"/>
            <w:noWrap w:val="0"/>
            <w:vAlign w:val="top"/>
          </w:tcPr>
          <w:p w14:paraId="41E0736B">
            <w:pPr>
              <w:spacing w:line="440" w:lineRule="exact"/>
              <w:jc w:val="center"/>
              <w:rPr>
                <w:rFonts w:hint="eastAsia" w:ascii="宋体" w:hAnsi="宋体" w:cs="宋体"/>
                <w:color w:val="auto"/>
                <w:highlight w:val="none"/>
              </w:rPr>
            </w:pPr>
          </w:p>
        </w:tc>
        <w:tc>
          <w:tcPr>
            <w:tcW w:w="1206" w:type="dxa"/>
            <w:gridSpan w:val="3"/>
            <w:noWrap w:val="0"/>
            <w:vAlign w:val="top"/>
          </w:tcPr>
          <w:p w14:paraId="056DAF75">
            <w:pPr>
              <w:spacing w:line="440" w:lineRule="exact"/>
              <w:jc w:val="center"/>
              <w:rPr>
                <w:rFonts w:hint="eastAsia" w:ascii="宋体" w:hAnsi="宋体" w:cs="宋体"/>
                <w:color w:val="auto"/>
                <w:highlight w:val="none"/>
              </w:rPr>
            </w:pPr>
          </w:p>
        </w:tc>
        <w:tc>
          <w:tcPr>
            <w:tcW w:w="1206" w:type="dxa"/>
            <w:tcBorders>
              <w:right w:val="single" w:color="auto" w:sz="8" w:space="0"/>
            </w:tcBorders>
            <w:noWrap w:val="0"/>
            <w:vAlign w:val="top"/>
          </w:tcPr>
          <w:p w14:paraId="4E25AC8A">
            <w:pPr>
              <w:spacing w:line="440" w:lineRule="exact"/>
              <w:jc w:val="center"/>
              <w:rPr>
                <w:rFonts w:hint="eastAsia" w:ascii="宋体" w:hAnsi="宋体" w:cs="宋体"/>
                <w:color w:val="auto"/>
                <w:highlight w:val="none"/>
              </w:rPr>
            </w:pPr>
          </w:p>
        </w:tc>
      </w:tr>
      <w:tr w14:paraId="3E5CD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Borders>
              <w:left w:val="single" w:color="auto" w:sz="8" w:space="0"/>
            </w:tcBorders>
            <w:noWrap w:val="0"/>
            <w:vAlign w:val="top"/>
          </w:tcPr>
          <w:p w14:paraId="3AEC68F4">
            <w:pPr>
              <w:spacing w:line="440" w:lineRule="exact"/>
              <w:jc w:val="center"/>
              <w:rPr>
                <w:rFonts w:hint="eastAsia" w:ascii="宋体" w:hAnsi="宋体" w:cs="宋体"/>
                <w:color w:val="auto"/>
                <w:highlight w:val="none"/>
              </w:rPr>
            </w:pPr>
          </w:p>
        </w:tc>
        <w:tc>
          <w:tcPr>
            <w:tcW w:w="1608" w:type="dxa"/>
            <w:noWrap w:val="0"/>
            <w:vAlign w:val="top"/>
          </w:tcPr>
          <w:p w14:paraId="5B8D8FBE">
            <w:pPr>
              <w:spacing w:line="440" w:lineRule="exact"/>
              <w:jc w:val="center"/>
              <w:rPr>
                <w:rFonts w:hint="eastAsia" w:ascii="宋体" w:hAnsi="宋体" w:cs="宋体"/>
                <w:color w:val="auto"/>
                <w:highlight w:val="none"/>
              </w:rPr>
            </w:pPr>
          </w:p>
        </w:tc>
        <w:tc>
          <w:tcPr>
            <w:tcW w:w="1608" w:type="dxa"/>
            <w:gridSpan w:val="3"/>
            <w:noWrap w:val="0"/>
            <w:vAlign w:val="top"/>
          </w:tcPr>
          <w:p w14:paraId="585D20E3">
            <w:pPr>
              <w:spacing w:line="440" w:lineRule="exact"/>
              <w:jc w:val="center"/>
              <w:rPr>
                <w:rFonts w:hint="eastAsia" w:ascii="宋体" w:hAnsi="宋体" w:cs="宋体"/>
                <w:color w:val="auto"/>
                <w:highlight w:val="none"/>
              </w:rPr>
            </w:pPr>
          </w:p>
        </w:tc>
        <w:tc>
          <w:tcPr>
            <w:tcW w:w="1608" w:type="dxa"/>
            <w:gridSpan w:val="2"/>
            <w:noWrap w:val="0"/>
            <w:vAlign w:val="top"/>
          </w:tcPr>
          <w:p w14:paraId="7B2C214D">
            <w:pPr>
              <w:spacing w:line="440" w:lineRule="exact"/>
              <w:jc w:val="center"/>
              <w:rPr>
                <w:rFonts w:hint="eastAsia" w:ascii="宋体" w:hAnsi="宋体" w:cs="宋体"/>
                <w:color w:val="auto"/>
                <w:highlight w:val="none"/>
              </w:rPr>
            </w:pPr>
          </w:p>
        </w:tc>
        <w:tc>
          <w:tcPr>
            <w:tcW w:w="1206" w:type="dxa"/>
            <w:gridSpan w:val="3"/>
            <w:noWrap w:val="0"/>
            <w:vAlign w:val="top"/>
          </w:tcPr>
          <w:p w14:paraId="6318ACC4">
            <w:pPr>
              <w:spacing w:line="440" w:lineRule="exact"/>
              <w:jc w:val="center"/>
              <w:rPr>
                <w:rFonts w:hint="eastAsia" w:ascii="宋体" w:hAnsi="宋体" w:cs="宋体"/>
                <w:color w:val="auto"/>
                <w:highlight w:val="none"/>
              </w:rPr>
            </w:pPr>
          </w:p>
        </w:tc>
        <w:tc>
          <w:tcPr>
            <w:tcW w:w="1206" w:type="dxa"/>
            <w:tcBorders>
              <w:right w:val="single" w:color="auto" w:sz="8" w:space="0"/>
            </w:tcBorders>
            <w:noWrap w:val="0"/>
            <w:vAlign w:val="top"/>
          </w:tcPr>
          <w:p w14:paraId="1F5BEEB2">
            <w:pPr>
              <w:spacing w:line="440" w:lineRule="exact"/>
              <w:jc w:val="center"/>
              <w:rPr>
                <w:rFonts w:hint="eastAsia" w:ascii="宋体" w:hAnsi="宋体" w:cs="宋体"/>
                <w:color w:val="auto"/>
                <w:highlight w:val="none"/>
              </w:rPr>
            </w:pPr>
          </w:p>
        </w:tc>
      </w:tr>
      <w:tr w14:paraId="4DC05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Borders>
              <w:left w:val="single" w:color="auto" w:sz="8" w:space="0"/>
            </w:tcBorders>
            <w:noWrap w:val="0"/>
            <w:vAlign w:val="top"/>
          </w:tcPr>
          <w:p w14:paraId="1F380E7F">
            <w:pPr>
              <w:spacing w:line="440" w:lineRule="exact"/>
              <w:jc w:val="center"/>
              <w:rPr>
                <w:rFonts w:hint="eastAsia" w:ascii="宋体" w:hAnsi="宋体" w:cs="宋体"/>
                <w:color w:val="auto"/>
                <w:highlight w:val="none"/>
              </w:rPr>
            </w:pPr>
          </w:p>
        </w:tc>
        <w:tc>
          <w:tcPr>
            <w:tcW w:w="1608" w:type="dxa"/>
            <w:noWrap w:val="0"/>
            <w:vAlign w:val="top"/>
          </w:tcPr>
          <w:p w14:paraId="0C9B39D9">
            <w:pPr>
              <w:spacing w:line="440" w:lineRule="exact"/>
              <w:jc w:val="center"/>
              <w:rPr>
                <w:rFonts w:hint="eastAsia" w:ascii="宋体" w:hAnsi="宋体" w:cs="宋体"/>
                <w:color w:val="auto"/>
                <w:highlight w:val="none"/>
              </w:rPr>
            </w:pPr>
          </w:p>
        </w:tc>
        <w:tc>
          <w:tcPr>
            <w:tcW w:w="1608" w:type="dxa"/>
            <w:gridSpan w:val="3"/>
            <w:noWrap w:val="0"/>
            <w:vAlign w:val="top"/>
          </w:tcPr>
          <w:p w14:paraId="0D20EC80">
            <w:pPr>
              <w:spacing w:line="440" w:lineRule="exact"/>
              <w:jc w:val="center"/>
              <w:rPr>
                <w:rFonts w:hint="eastAsia" w:ascii="宋体" w:hAnsi="宋体" w:cs="宋体"/>
                <w:color w:val="auto"/>
                <w:highlight w:val="none"/>
              </w:rPr>
            </w:pPr>
          </w:p>
        </w:tc>
        <w:tc>
          <w:tcPr>
            <w:tcW w:w="1608" w:type="dxa"/>
            <w:gridSpan w:val="2"/>
            <w:noWrap w:val="0"/>
            <w:vAlign w:val="top"/>
          </w:tcPr>
          <w:p w14:paraId="37CA5DEA">
            <w:pPr>
              <w:spacing w:line="440" w:lineRule="exact"/>
              <w:jc w:val="center"/>
              <w:rPr>
                <w:rFonts w:hint="eastAsia" w:ascii="宋体" w:hAnsi="宋体" w:cs="宋体"/>
                <w:color w:val="auto"/>
                <w:highlight w:val="none"/>
              </w:rPr>
            </w:pPr>
          </w:p>
        </w:tc>
        <w:tc>
          <w:tcPr>
            <w:tcW w:w="1206" w:type="dxa"/>
            <w:gridSpan w:val="3"/>
            <w:noWrap w:val="0"/>
            <w:vAlign w:val="top"/>
          </w:tcPr>
          <w:p w14:paraId="77F37908">
            <w:pPr>
              <w:spacing w:line="440" w:lineRule="exact"/>
              <w:jc w:val="center"/>
              <w:rPr>
                <w:rFonts w:hint="eastAsia" w:ascii="宋体" w:hAnsi="宋体" w:cs="宋体"/>
                <w:color w:val="auto"/>
                <w:highlight w:val="none"/>
              </w:rPr>
            </w:pPr>
          </w:p>
        </w:tc>
        <w:tc>
          <w:tcPr>
            <w:tcW w:w="1206" w:type="dxa"/>
            <w:tcBorders>
              <w:right w:val="single" w:color="auto" w:sz="8" w:space="0"/>
            </w:tcBorders>
            <w:noWrap w:val="0"/>
            <w:vAlign w:val="top"/>
          </w:tcPr>
          <w:p w14:paraId="505D9844">
            <w:pPr>
              <w:spacing w:line="440" w:lineRule="exact"/>
              <w:jc w:val="center"/>
              <w:rPr>
                <w:rFonts w:hint="eastAsia" w:ascii="宋体" w:hAnsi="宋体" w:cs="宋体"/>
                <w:color w:val="auto"/>
                <w:highlight w:val="none"/>
              </w:rPr>
            </w:pPr>
          </w:p>
        </w:tc>
      </w:tr>
      <w:tr w14:paraId="61D0C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Borders>
              <w:left w:val="single" w:color="auto" w:sz="8" w:space="0"/>
            </w:tcBorders>
            <w:noWrap w:val="0"/>
            <w:vAlign w:val="top"/>
          </w:tcPr>
          <w:p w14:paraId="55B6EF28">
            <w:pPr>
              <w:spacing w:line="440" w:lineRule="exact"/>
              <w:jc w:val="center"/>
              <w:rPr>
                <w:rFonts w:hint="eastAsia" w:ascii="宋体" w:hAnsi="宋体" w:cs="宋体"/>
                <w:color w:val="auto"/>
                <w:highlight w:val="none"/>
              </w:rPr>
            </w:pPr>
          </w:p>
        </w:tc>
        <w:tc>
          <w:tcPr>
            <w:tcW w:w="1608" w:type="dxa"/>
            <w:noWrap w:val="0"/>
            <w:vAlign w:val="top"/>
          </w:tcPr>
          <w:p w14:paraId="5E2D7504">
            <w:pPr>
              <w:spacing w:line="440" w:lineRule="exact"/>
              <w:jc w:val="center"/>
              <w:rPr>
                <w:rFonts w:hint="eastAsia" w:ascii="宋体" w:hAnsi="宋体" w:cs="宋体"/>
                <w:color w:val="auto"/>
                <w:highlight w:val="none"/>
              </w:rPr>
            </w:pPr>
          </w:p>
        </w:tc>
        <w:tc>
          <w:tcPr>
            <w:tcW w:w="1608" w:type="dxa"/>
            <w:gridSpan w:val="3"/>
            <w:noWrap w:val="0"/>
            <w:vAlign w:val="top"/>
          </w:tcPr>
          <w:p w14:paraId="27F0EF3B">
            <w:pPr>
              <w:spacing w:line="440" w:lineRule="exact"/>
              <w:jc w:val="center"/>
              <w:rPr>
                <w:rFonts w:hint="eastAsia" w:ascii="宋体" w:hAnsi="宋体" w:cs="宋体"/>
                <w:color w:val="auto"/>
                <w:highlight w:val="none"/>
              </w:rPr>
            </w:pPr>
          </w:p>
        </w:tc>
        <w:tc>
          <w:tcPr>
            <w:tcW w:w="1608" w:type="dxa"/>
            <w:gridSpan w:val="2"/>
            <w:noWrap w:val="0"/>
            <w:vAlign w:val="top"/>
          </w:tcPr>
          <w:p w14:paraId="5B32D40B">
            <w:pPr>
              <w:spacing w:line="440" w:lineRule="exact"/>
              <w:jc w:val="center"/>
              <w:rPr>
                <w:rFonts w:hint="eastAsia" w:ascii="宋体" w:hAnsi="宋体" w:cs="宋体"/>
                <w:color w:val="auto"/>
                <w:highlight w:val="none"/>
              </w:rPr>
            </w:pPr>
          </w:p>
        </w:tc>
        <w:tc>
          <w:tcPr>
            <w:tcW w:w="1206" w:type="dxa"/>
            <w:gridSpan w:val="3"/>
            <w:noWrap w:val="0"/>
            <w:vAlign w:val="top"/>
          </w:tcPr>
          <w:p w14:paraId="392A0E6D">
            <w:pPr>
              <w:spacing w:line="440" w:lineRule="exact"/>
              <w:jc w:val="center"/>
              <w:rPr>
                <w:rFonts w:hint="eastAsia" w:ascii="宋体" w:hAnsi="宋体" w:cs="宋体"/>
                <w:color w:val="auto"/>
                <w:highlight w:val="none"/>
              </w:rPr>
            </w:pPr>
          </w:p>
        </w:tc>
        <w:tc>
          <w:tcPr>
            <w:tcW w:w="1206" w:type="dxa"/>
            <w:tcBorders>
              <w:right w:val="single" w:color="auto" w:sz="8" w:space="0"/>
            </w:tcBorders>
            <w:noWrap w:val="0"/>
            <w:vAlign w:val="top"/>
          </w:tcPr>
          <w:p w14:paraId="0F90BDB4">
            <w:pPr>
              <w:spacing w:line="440" w:lineRule="exact"/>
              <w:jc w:val="center"/>
              <w:rPr>
                <w:rFonts w:hint="eastAsia" w:ascii="宋体" w:hAnsi="宋体" w:cs="宋体"/>
                <w:color w:val="auto"/>
                <w:highlight w:val="none"/>
              </w:rPr>
            </w:pPr>
          </w:p>
        </w:tc>
      </w:tr>
      <w:tr w14:paraId="0778D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Borders>
              <w:left w:val="single" w:color="auto" w:sz="8" w:space="0"/>
            </w:tcBorders>
            <w:noWrap w:val="0"/>
            <w:vAlign w:val="top"/>
          </w:tcPr>
          <w:p w14:paraId="1E378CA3">
            <w:pPr>
              <w:spacing w:line="440" w:lineRule="exact"/>
              <w:jc w:val="center"/>
              <w:rPr>
                <w:rFonts w:hint="eastAsia" w:ascii="宋体" w:hAnsi="宋体" w:cs="宋体"/>
                <w:color w:val="auto"/>
                <w:highlight w:val="none"/>
              </w:rPr>
            </w:pPr>
          </w:p>
        </w:tc>
        <w:tc>
          <w:tcPr>
            <w:tcW w:w="1608" w:type="dxa"/>
            <w:noWrap w:val="0"/>
            <w:vAlign w:val="top"/>
          </w:tcPr>
          <w:p w14:paraId="59F058F9">
            <w:pPr>
              <w:spacing w:line="440" w:lineRule="exact"/>
              <w:jc w:val="center"/>
              <w:rPr>
                <w:rFonts w:hint="eastAsia" w:ascii="宋体" w:hAnsi="宋体" w:cs="宋体"/>
                <w:color w:val="auto"/>
                <w:highlight w:val="none"/>
              </w:rPr>
            </w:pPr>
          </w:p>
        </w:tc>
        <w:tc>
          <w:tcPr>
            <w:tcW w:w="1608" w:type="dxa"/>
            <w:gridSpan w:val="3"/>
            <w:noWrap w:val="0"/>
            <w:vAlign w:val="top"/>
          </w:tcPr>
          <w:p w14:paraId="53C25835">
            <w:pPr>
              <w:spacing w:line="440" w:lineRule="exact"/>
              <w:jc w:val="center"/>
              <w:rPr>
                <w:rFonts w:hint="eastAsia" w:ascii="宋体" w:hAnsi="宋体" w:cs="宋体"/>
                <w:color w:val="auto"/>
                <w:highlight w:val="none"/>
              </w:rPr>
            </w:pPr>
          </w:p>
        </w:tc>
        <w:tc>
          <w:tcPr>
            <w:tcW w:w="1608" w:type="dxa"/>
            <w:gridSpan w:val="2"/>
            <w:noWrap w:val="0"/>
            <w:vAlign w:val="top"/>
          </w:tcPr>
          <w:p w14:paraId="79891716">
            <w:pPr>
              <w:spacing w:line="440" w:lineRule="exact"/>
              <w:jc w:val="center"/>
              <w:rPr>
                <w:rFonts w:hint="eastAsia" w:ascii="宋体" w:hAnsi="宋体" w:cs="宋体"/>
                <w:color w:val="auto"/>
                <w:highlight w:val="none"/>
              </w:rPr>
            </w:pPr>
          </w:p>
        </w:tc>
        <w:tc>
          <w:tcPr>
            <w:tcW w:w="1206" w:type="dxa"/>
            <w:gridSpan w:val="3"/>
            <w:noWrap w:val="0"/>
            <w:vAlign w:val="top"/>
          </w:tcPr>
          <w:p w14:paraId="64DF6879">
            <w:pPr>
              <w:spacing w:line="440" w:lineRule="exact"/>
              <w:jc w:val="center"/>
              <w:rPr>
                <w:rFonts w:hint="eastAsia" w:ascii="宋体" w:hAnsi="宋体" w:cs="宋体"/>
                <w:color w:val="auto"/>
                <w:highlight w:val="none"/>
              </w:rPr>
            </w:pPr>
          </w:p>
        </w:tc>
        <w:tc>
          <w:tcPr>
            <w:tcW w:w="1206" w:type="dxa"/>
            <w:tcBorders>
              <w:right w:val="single" w:color="auto" w:sz="8" w:space="0"/>
            </w:tcBorders>
            <w:noWrap w:val="0"/>
            <w:vAlign w:val="top"/>
          </w:tcPr>
          <w:p w14:paraId="5445302C">
            <w:pPr>
              <w:spacing w:line="440" w:lineRule="exact"/>
              <w:jc w:val="center"/>
              <w:rPr>
                <w:rFonts w:hint="eastAsia" w:ascii="宋体" w:hAnsi="宋体" w:cs="宋体"/>
                <w:color w:val="auto"/>
                <w:highlight w:val="none"/>
              </w:rPr>
            </w:pPr>
          </w:p>
        </w:tc>
      </w:tr>
      <w:tr w14:paraId="61321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Borders>
              <w:left w:val="single" w:color="auto" w:sz="8" w:space="0"/>
              <w:bottom w:val="single" w:color="auto" w:sz="8" w:space="0"/>
            </w:tcBorders>
            <w:noWrap w:val="0"/>
            <w:vAlign w:val="top"/>
          </w:tcPr>
          <w:p w14:paraId="70434652">
            <w:pPr>
              <w:spacing w:line="440" w:lineRule="exact"/>
              <w:jc w:val="center"/>
              <w:rPr>
                <w:rFonts w:hint="eastAsia" w:ascii="宋体" w:hAnsi="宋体" w:cs="宋体"/>
                <w:color w:val="auto"/>
                <w:highlight w:val="none"/>
              </w:rPr>
            </w:pPr>
          </w:p>
        </w:tc>
        <w:tc>
          <w:tcPr>
            <w:tcW w:w="1608" w:type="dxa"/>
            <w:tcBorders>
              <w:bottom w:val="single" w:color="auto" w:sz="8" w:space="0"/>
            </w:tcBorders>
            <w:noWrap w:val="0"/>
            <w:vAlign w:val="top"/>
          </w:tcPr>
          <w:p w14:paraId="3E015D39">
            <w:pPr>
              <w:spacing w:line="440" w:lineRule="exact"/>
              <w:jc w:val="center"/>
              <w:rPr>
                <w:rFonts w:hint="eastAsia" w:ascii="宋体" w:hAnsi="宋体" w:cs="宋体"/>
                <w:color w:val="auto"/>
                <w:highlight w:val="none"/>
              </w:rPr>
            </w:pPr>
          </w:p>
        </w:tc>
        <w:tc>
          <w:tcPr>
            <w:tcW w:w="1608" w:type="dxa"/>
            <w:gridSpan w:val="3"/>
            <w:tcBorders>
              <w:bottom w:val="single" w:color="auto" w:sz="8" w:space="0"/>
            </w:tcBorders>
            <w:noWrap w:val="0"/>
            <w:vAlign w:val="top"/>
          </w:tcPr>
          <w:p w14:paraId="03721B30">
            <w:pPr>
              <w:spacing w:line="440" w:lineRule="exact"/>
              <w:jc w:val="center"/>
              <w:rPr>
                <w:rFonts w:hint="eastAsia" w:ascii="宋体" w:hAnsi="宋体" w:cs="宋体"/>
                <w:color w:val="auto"/>
                <w:highlight w:val="none"/>
              </w:rPr>
            </w:pPr>
          </w:p>
        </w:tc>
        <w:tc>
          <w:tcPr>
            <w:tcW w:w="1608" w:type="dxa"/>
            <w:gridSpan w:val="2"/>
            <w:tcBorders>
              <w:bottom w:val="single" w:color="auto" w:sz="8" w:space="0"/>
            </w:tcBorders>
            <w:noWrap w:val="0"/>
            <w:vAlign w:val="top"/>
          </w:tcPr>
          <w:p w14:paraId="6043A3E1">
            <w:pPr>
              <w:spacing w:line="440" w:lineRule="exact"/>
              <w:jc w:val="center"/>
              <w:rPr>
                <w:rFonts w:hint="eastAsia" w:ascii="宋体" w:hAnsi="宋体" w:cs="宋体"/>
                <w:color w:val="auto"/>
                <w:highlight w:val="none"/>
              </w:rPr>
            </w:pPr>
          </w:p>
        </w:tc>
        <w:tc>
          <w:tcPr>
            <w:tcW w:w="1206" w:type="dxa"/>
            <w:gridSpan w:val="3"/>
            <w:tcBorders>
              <w:bottom w:val="single" w:color="auto" w:sz="8" w:space="0"/>
            </w:tcBorders>
            <w:noWrap w:val="0"/>
            <w:vAlign w:val="top"/>
          </w:tcPr>
          <w:p w14:paraId="21319BD2">
            <w:pPr>
              <w:spacing w:line="440" w:lineRule="exact"/>
              <w:jc w:val="center"/>
              <w:rPr>
                <w:rFonts w:hint="eastAsia" w:ascii="宋体" w:hAnsi="宋体" w:cs="宋体"/>
                <w:color w:val="auto"/>
                <w:highlight w:val="none"/>
              </w:rPr>
            </w:pPr>
          </w:p>
        </w:tc>
        <w:tc>
          <w:tcPr>
            <w:tcW w:w="1206" w:type="dxa"/>
            <w:tcBorders>
              <w:bottom w:val="single" w:color="auto" w:sz="8" w:space="0"/>
              <w:right w:val="single" w:color="auto" w:sz="8" w:space="0"/>
            </w:tcBorders>
            <w:noWrap w:val="0"/>
            <w:vAlign w:val="top"/>
          </w:tcPr>
          <w:p w14:paraId="1B4A3A43">
            <w:pPr>
              <w:spacing w:line="440" w:lineRule="exact"/>
              <w:jc w:val="center"/>
              <w:rPr>
                <w:rFonts w:hint="eastAsia" w:ascii="宋体" w:hAnsi="宋体" w:cs="宋体"/>
                <w:color w:val="auto"/>
                <w:highlight w:val="none"/>
              </w:rPr>
            </w:pPr>
          </w:p>
        </w:tc>
      </w:tr>
    </w:tbl>
    <w:p w14:paraId="540C9FFE">
      <w:pPr>
        <w:snapToGrid w:val="0"/>
        <w:spacing w:line="400" w:lineRule="exact"/>
        <w:outlineLvl w:val="4"/>
        <w:rPr>
          <w:rFonts w:hint="eastAsia" w:ascii="宋体" w:hAnsi="宋体" w:cs="宋体"/>
          <w:b/>
          <w:color w:val="auto"/>
          <w:sz w:val="24"/>
          <w:highlight w:val="none"/>
        </w:rPr>
      </w:pPr>
    </w:p>
    <w:p w14:paraId="16EE8BCC">
      <w:pPr>
        <w:widowControl/>
        <w:ind w:firstLine="3092" w:firstLineChars="1100"/>
        <w:jc w:val="left"/>
        <w:rPr>
          <w:rFonts w:hint="eastAsia" w:ascii="宋体" w:hAnsi="宋体" w:eastAsia="宋体" w:cs="宋体"/>
          <w:b/>
          <w:color w:val="auto"/>
          <w:kern w:val="0"/>
          <w:sz w:val="28"/>
          <w:szCs w:val="28"/>
          <w:highlight w:val="none"/>
        </w:rPr>
      </w:pPr>
    </w:p>
    <w:p w14:paraId="0D48DD7F">
      <w:pPr>
        <w:widowControl/>
        <w:ind w:firstLine="1470" w:firstLineChars="7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磋商供应商</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公章</w:t>
      </w:r>
      <w:r>
        <w:rPr>
          <w:rFonts w:hint="eastAsia" w:ascii="宋体" w:hAnsi="宋体" w:eastAsia="宋体" w:cs="宋体"/>
          <w:color w:val="auto"/>
          <w:szCs w:val="21"/>
          <w:highlight w:val="none"/>
          <w:lang w:val="en-US" w:eastAsia="zh-CN"/>
        </w:rPr>
        <w:t>(CA签章)</w:t>
      </w:r>
      <w:r>
        <w:rPr>
          <w:rFonts w:hint="eastAsia" w:ascii="宋体" w:hAnsi="宋体" w:eastAsia="宋体" w:cs="宋体"/>
          <w:color w:val="auto"/>
          <w:szCs w:val="21"/>
          <w:highlight w:val="none"/>
        </w:rPr>
        <w:t>，自然人</w:t>
      </w:r>
      <w:r>
        <w:rPr>
          <w:rFonts w:hint="eastAsia" w:ascii="宋体" w:hAnsi="宋体" w:eastAsia="宋体" w:cs="宋体"/>
          <w:color w:val="auto"/>
          <w:szCs w:val="21"/>
          <w:highlight w:val="none"/>
          <w:lang w:eastAsia="zh-CN"/>
        </w:rPr>
        <w:t>签字或个人</w:t>
      </w:r>
      <w:r>
        <w:rPr>
          <w:rFonts w:hint="eastAsia" w:ascii="宋体" w:hAnsi="宋体" w:eastAsia="宋体" w:cs="宋体"/>
          <w:color w:val="auto"/>
          <w:szCs w:val="21"/>
          <w:highlight w:val="none"/>
          <w:lang w:val="en-US" w:eastAsia="zh-CN"/>
        </w:rPr>
        <w:t>CA签章]</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p>
    <w:p w14:paraId="22120DEE">
      <w:pPr>
        <w:pStyle w:val="14"/>
        <w:spacing w:line="300" w:lineRule="exact"/>
        <w:ind w:left="2940" w:leftChars="1400" w:firstLine="630" w:firstLineChars="300"/>
        <w:rPr>
          <w:rFonts w:hint="eastAsia" w:ascii="宋体" w:hAnsi="宋体" w:eastAsia="宋体" w:cs="宋体"/>
          <w:color w:val="auto"/>
          <w:highlight w:val="none"/>
        </w:rPr>
      </w:pPr>
    </w:p>
    <w:p w14:paraId="33F33AC6">
      <w:pPr>
        <w:pStyle w:val="14"/>
        <w:spacing w:line="300" w:lineRule="exact"/>
        <w:ind w:firstLine="4638" w:firstLineChars="165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 xml:space="preserve"> </w:t>
      </w:r>
    </w:p>
    <w:p w14:paraId="066E16E9">
      <w:pPr>
        <w:pStyle w:val="14"/>
        <w:spacing w:line="300" w:lineRule="exact"/>
        <w:rPr>
          <w:rFonts w:hint="eastAsia" w:ascii="宋体" w:hAnsi="宋体" w:eastAsia="宋体" w:cs="宋体"/>
          <w:b/>
          <w:color w:val="auto"/>
          <w:sz w:val="28"/>
          <w:szCs w:val="28"/>
          <w:highlight w:val="none"/>
        </w:rPr>
      </w:pPr>
    </w:p>
    <w:p w14:paraId="0574510D">
      <w:pPr>
        <w:snapToGrid w:val="0"/>
        <w:spacing w:line="300" w:lineRule="exact"/>
        <w:ind w:firstLine="4830" w:firstLineChars="2300"/>
        <w:rPr>
          <w:rFonts w:hint="eastAsia" w:ascii="宋体" w:hAnsi="宋体" w:eastAsia="宋体" w:cs="宋体"/>
          <w:color w:val="auto"/>
          <w:highlight w:val="none"/>
          <w:u w:val="single"/>
        </w:rPr>
      </w:pPr>
      <w:r>
        <w:rPr>
          <w:rFonts w:hint="eastAsia" w:ascii="宋体" w:hAnsi="宋体" w:eastAsia="宋体" w:cs="宋体"/>
          <w:color w:val="auto"/>
          <w:highlight w:val="none"/>
        </w:rPr>
        <w:t>日          期：</w:t>
      </w:r>
      <w:r>
        <w:rPr>
          <w:rFonts w:hint="eastAsia" w:ascii="宋体" w:hAnsi="宋体" w:eastAsia="宋体" w:cs="宋体"/>
          <w:color w:val="auto"/>
          <w:highlight w:val="none"/>
          <w:u w:val="single"/>
        </w:rPr>
        <w:t xml:space="preserve">                              </w:t>
      </w:r>
    </w:p>
    <w:p w14:paraId="66C30742">
      <w:pPr>
        <w:snapToGrid w:val="0"/>
        <w:spacing w:line="300" w:lineRule="exact"/>
        <w:ind w:firstLine="3570" w:firstLineChars="1700"/>
        <w:rPr>
          <w:rFonts w:hint="eastAsia" w:ascii="宋体" w:hAnsi="宋体" w:eastAsia="宋体" w:cs="宋体"/>
          <w:color w:val="auto"/>
          <w:highlight w:val="none"/>
          <w:u w:val="single"/>
        </w:rPr>
      </w:pPr>
    </w:p>
    <w:p w14:paraId="461F2A90">
      <w:pPr>
        <w:pStyle w:val="11"/>
        <w:rPr>
          <w:rFonts w:hint="eastAsia" w:ascii="宋体" w:hAnsi="宋体" w:eastAsia="宋体" w:cs="宋体"/>
          <w:color w:val="auto"/>
          <w:highlight w:val="none"/>
          <w:u w:val="single"/>
        </w:rPr>
      </w:pPr>
    </w:p>
    <w:p w14:paraId="388D35C0">
      <w:pPr>
        <w:pStyle w:val="11"/>
        <w:rPr>
          <w:rFonts w:hint="eastAsia" w:ascii="宋体" w:hAnsi="宋体" w:eastAsia="宋体" w:cs="宋体"/>
          <w:color w:val="auto"/>
          <w:highlight w:val="none"/>
          <w:u w:val="single"/>
        </w:rPr>
      </w:pPr>
    </w:p>
    <w:p w14:paraId="3A703131">
      <w:pPr>
        <w:pStyle w:val="11"/>
        <w:rPr>
          <w:rFonts w:hint="eastAsia" w:ascii="宋体" w:hAnsi="宋体" w:eastAsia="宋体" w:cs="宋体"/>
          <w:b/>
          <w:bCs/>
          <w:color w:val="auto"/>
          <w:szCs w:val="21"/>
          <w:highlight w:val="none"/>
        </w:rPr>
      </w:pPr>
    </w:p>
    <w:p w14:paraId="749332FD">
      <w:pPr>
        <w:pStyle w:val="11"/>
        <w:rPr>
          <w:rFonts w:hint="eastAsia" w:ascii="宋体" w:hAnsi="宋体" w:eastAsia="宋体" w:cs="宋体"/>
          <w:b/>
          <w:bCs/>
          <w:color w:val="auto"/>
          <w:szCs w:val="21"/>
          <w:highlight w:val="none"/>
        </w:rPr>
      </w:pPr>
    </w:p>
    <w:p w14:paraId="6D35A05D">
      <w:pPr>
        <w:pStyle w:val="11"/>
        <w:rPr>
          <w:rFonts w:hint="eastAsia" w:ascii="宋体" w:hAnsi="宋体" w:eastAsia="宋体" w:cs="宋体"/>
          <w:b/>
          <w:bCs/>
          <w:color w:val="auto"/>
          <w:szCs w:val="21"/>
          <w:highlight w:val="none"/>
        </w:rPr>
      </w:pPr>
    </w:p>
    <w:p w14:paraId="4DC572B5">
      <w:pPr>
        <w:pStyle w:val="11"/>
        <w:rPr>
          <w:rFonts w:hint="eastAsia" w:ascii="宋体" w:hAnsi="宋体" w:eastAsia="宋体" w:cs="宋体"/>
          <w:b/>
          <w:bCs/>
          <w:color w:val="auto"/>
          <w:szCs w:val="21"/>
          <w:highlight w:val="none"/>
        </w:rPr>
      </w:pPr>
    </w:p>
    <w:p w14:paraId="3D7B4A2D">
      <w:pPr>
        <w:pStyle w:val="11"/>
        <w:rPr>
          <w:rFonts w:hint="eastAsia" w:ascii="宋体" w:hAnsi="宋体" w:eastAsia="宋体" w:cs="宋体"/>
          <w:b/>
          <w:bCs/>
          <w:color w:val="auto"/>
          <w:szCs w:val="21"/>
          <w:highlight w:val="none"/>
        </w:rPr>
      </w:pPr>
    </w:p>
    <w:p w14:paraId="2C3C5833">
      <w:pPr>
        <w:pStyle w:val="11"/>
        <w:rPr>
          <w:rFonts w:hint="eastAsia" w:ascii="宋体" w:hAnsi="宋体" w:eastAsia="宋体" w:cs="宋体"/>
          <w:b/>
          <w:bCs/>
          <w:color w:val="auto"/>
          <w:szCs w:val="21"/>
          <w:highlight w:val="none"/>
        </w:rPr>
      </w:pPr>
    </w:p>
    <w:p w14:paraId="6FCAEDD0">
      <w:pPr>
        <w:pStyle w:val="11"/>
        <w:rPr>
          <w:rFonts w:hint="eastAsia" w:ascii="宋体" w:hAnsi="宋体" w:eastAsia="宋体" w:cs="宋体"/>
          <w:b/>
          <w:bCs/>
          <w:color w:val="auto"/>
          <w:szCs w:val="21"/>
          <w:highlight w:val="none"/>
        </w:rPr>
      </w:pPr>
    </w:p>
    <w:p w14:paraId="43C92AB4">
      <w:pPr>
        <w:pStyle w:val="11"/>
        <w:rPr>
          <w:rFonts w:hint="eastAsia" w:ascii="宋体" w:hAnsi="宋体" w:eastAsia="宋体" w:cs="宋体"/>
          <w:b/>
          <w:bCs/>
          <w:color w:val="auto"/>
          <w:szCs w:val="21"/>
          <w:highlight w:val="none"/>
        </w:rPr>
      </w:pPr>
    </w:p>
    <w:p w14:paraId="56A573E5">
      <w:pPr>
        <w:pStyle w:val="14"/>
        <w:numPr>
          <w:ilvl w:val="0"/>
          <w:numId w:val="0"/>
        </w:numPr>
        <w:spacing w:line="340" w:lineRule="exac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en-US" w:eastAsia="zh-CN"/>
        </w:rPr>
        <w:t>6.施工组织设计方案（必须提供）</w:t>
      </w:r>
      <w:r>
        <w:rPr>
          <w:rFonts w:hint="eastAsia" w:ascii="宋体" w:hAnsi="宋体" w:eastAsia="宋体" w:cs="宋体"/>
          <w:b/>
          <w:color w:val="auto"/>
          <w:sz w:val="28"/>
          <w:szCs w:val="28"/>
          <w:highlight w:val="none"/>
        </w:rPr>
        <w:t>；</w:t>
      </w:r>
    </w:p>
    <w:p w14:paraId="3E9EDF6D">
      <w:pPr>
        <w:snapToGrid w:val="0"/>
        <w:spacing w:line="400" w:lineRule="exact"/>
        <w:jc w:val="center"/>
        <w:outlineLvl w:val="4"/>
        <w:rPr>
          <w:rFonts w:hint="eastAsia" w:ascii="宋体" w:hAnsi="宋体" w:cs="宋体"/>
          <w:b/>
          <w:color w:val="auto"/>
          <w:sz w:val="24"/>
          <w:szCs w:val="24"/>
          <w:highlight w:val="none"/>
          <w:lang w:val="en-US" w:eastAsia="zh-CN"/>
        </w:rPr>
      </w:pPr>
    </w:p>
    <w:p w14:paraId="7C495889">
      <w:pPr>
        <w:snapToGrid w:val="0"/>
        <w:spacing w:line="400" w:lineRule="exact"/>
        <w:jc w:val="center"/>
        <w:outlineLvl w:val="4"/>
        <w:rPr>
          <w:rFonts w:hint="eastAsia" w:ascii="宋体" w:hAnsi="宋体" w:eastAsia="宋体" w:cs="宋体"/>
          <w:b/>
          <w:color w:val="auto"/>
          <w:sz w:val="28"/>
          <w:szCs w:val="28"/>
          <w:highlight w:val="none"/>
          <w:lang w:eastAsia="zh-CN"/>
        </w:rPr>
      </w:pPr>
      <w:r>
        <w:rPr>
          <w:rFonts w:hint="eastAsia" w:ascii="宋体" w:hAnsi="宋体" w:cs="宋体"/>
          <w:b/>
          <w:color w:val="auto"/>
          <w:sz w:val="24"/>
          <w:szCs w:val="24"/>
          <w:highlight w:val="none"/>
          <w:lang w:val="en-US" w:eastAsia="zh-CN"/>
        </w:rPr>
        <w:t>施工组织设计方案</w:t>
      </w:r>
      <w:r>
        <w:rPr>
          <w:rFonts w:hint="eastAsia" w:ascii="宋体" w:hAnsi="宋体" w:cs="宋体"/>
          <w:b/>
          <w:color w:val="auto"/>
          <w:sz w:val="24"/>
          <w:szCs w:val="24"/>
          <w:highlight w:val="none"/>
          <w:lang w:eastAsia="zh-CN"/>
        </w:rPr>
        <w:t>（</w:t>
      </w:r>
      <w:r>
        <w:rPr>
          <w:rFonts w:hint="eastAsia" w:ascii="宋体" w:hAnsi="宋体" w:cs="宋体"/>
          <w:b/>
          <w:color w:val="auto"/>
          <w:sz w:val="24"/>
          <w:szCs w:val="24"/>
          <w:highlight w:val="none"/>
          <w:lang w:val="en-US" w:eastAsia="zh-CN"/>
        </w:rPr>
        <w:t>格式</w:t>
      </w:r>
      <w:r>
        <w:rPr>
          <w:rFonts w:hint="eastAsia" w:ascii="宋体" w:hAnsi="宋体" w:cs="宋体"/>
          <w:b/>
          <w:color w:val="auto"/>
          <w:sz w:val="24"/>
          <w:szCs w:val="24"/>
          <w:highlight w:val="none"/>
          <w:lang w:eastAsia="zh-CN"/>
        </w:rPr>
        <w:t>）</w:t>
      </w:r>
    </w:p>
    <w:p w14:paraId="3885E12A">
      <w:pPr>
        <w:snapToGrid w:val="0"/>
        <w:spacing w:line="400" w:lineRule="exact"/>
        <w:jc w:val="center"/>
        <w:outlineLvl w:val="4"/>
        <w:rPr>
          <w:rFonts w:hint="eastAsia" w:ascii="宋体" w:hAnsi="宋体" w:cs="宋体"/>
          <w:b/>
          <w:color w:val="auto"/>
          <w:sz w:val="28"/>
          <w:szCs w:val="28"/>
          <w:highlight w:val="none"/>
        </w:rPr>
      </w:pPr>
    </w:p>
    <w:p w14:paraId="3A79E2B0">
      <w:pPr>
        <w:pStyle w:val="36"/>
        <w:spacing w:line="300" w:lineRule="exact"/>
        <w:ind w:firstLine="425"/>
        <w:rPr>
          <w:rFonts w:hint="eastAsia" w:ascii="宋体" w:hAnsi="宋体" w:eastAsia="宋体" w:cs="宋体"/>
          <w:color w:val="auto"/>
          <w:highlight w:val="none"/>
        </w:rPr>
      </w:pPr>
    </w:p>
    <w:p w14:paraId="0860B188">
      <w:pPr>
        <w:pStyle w:val="36"/>
        <w:spacing w:line="300" w:lineRule="exact"/>
        <w:ind w:firstLine="425"/>
        <w:rPr>
          <w:rFonts w:hint="eastAsia" w:ascii="宋体" w:hAnsi="宋体" w:eastAsia="宋体" w:cs="宋体"/>
          <w:color w:val="auto"/>
          <w:highlight w:val="none"/>
        </w:rPr>
      </w:pPr>
      <w:r>
        <w:rPr>
          <w:rFonts w:hint="eastAsia" w:ascii="宋体" w:hAnsi="宋体" w:eastAsia="宋体" w:cs="宋体"/>
          <w:color w:val="auto"/>
          <w:highlight w:val="none"/>
        </w:rPr>
        <w:t xml:space="preserve">1.  </w:t>
      </w:r>
      <w:r>
        <w:rPr>
          <w:rFonts w:hint="eastAsia" w:ascii="宋体" w:hAnsi="宋体" w:eastAsia="宋体" w:cs="宋体"/>
          <w:color w:val="auto"/>
          <w:highlight w:val="none"/>
          <w:lang w:val="en-US" w:eastAsia="zh-CN"/>
        </w:rPr>
        <w:t>供应商</w:t>
      </w:r>
      <w:r>
        <w:rPr>
          <w:rFonts w:hint="eastAsia" w:ascii="宋体" w:hAnsi="宋体" w:eastAsia="宋体" w:cs="宋体"/>
          <w:color w:val="auto"/>
          <w:highlight w:val="none"/>
        </w:rPr>
        <w:t>编制施工组织设计的要求：</w:t>
      </w:r>
    </w:p>
    <w:p w14:paraId="095EA128">
      <w:pPr>
        <w:pStyle w:val="36"/>
        <w:spacing w:line="300" w:lineRule="exact"/>
        <w:ind w:firstLine="425"/>
        <w:rPr>
          <w:rFonts w:hint="eastAsia" w:ascii="宋体" w:hAnsi="宋体" w:eastAsia="宋体" w:cs="宋体"/>
          <w:color w:val="auto"/>
          <w:highlight w:val="none"/>
        </w:rPr>
      </w:pPr>
      <w:r>
        <w:rPr>
          <w:rFonts w:hint="eastAsia" w:ascii="宋体" w:hAnsi="宋体" w:eastAsia="宋体" w:cs="宋体"/>
          <w:color w:val="auto"/>
          <w:highlight w:val="none"/>
        </w:rPr>
        <w:t>编制时应按以下章顺序采用文字并结合图表形式进行说明：</w:t>
      </w:r>
    </w:p>
    <w:p w14:paraId="134E2F51">
      <w:pPr>
        <w:pStyle w:val="36"/>
        <w:numPr>
          <w:ilvl w:val="0"/>
          <w:numId w:val="16"/>
        </w:numPr>
        <w:spacing w:line="300" w:lineRule="exact"/>
        <w:ind w:firstLine="425"/>
        <w:jc w:val="left"/>
        <w:rPr>
          <w:rFonts w:hint="eastAsia" w:ascii="宋体" w:hAnsi="宋体" w:eastAsia="宋体" w:cs="宋体"/>
          <w:color w:val="auto"/>
          <w:highlight w:val="none"/>
        </w:rPr>
      </w:pPr>
      <w:r>
        <w:rPr>
          <w:rFonts w:hint="eastAsia" w:ascii="宋体" w:hAnsi="宋体" w:eastAsia="宋体" w:cs="宋体"/>
          <w:color w:val="auto"/>
          <w:highlight w:val="none"/>
        </w:rPr>
        <w:t>总体概述；</w:t>
      </w:r>
    </w:p>
    <w:p w14:paraId="3FAFDB34">
      <w:pPr>
        <w:pStyle w:val="36"/>
        <w:numPr>
          <w:ilvl w:val="0"/>
          <w:numId w:val="16"/>
        </w:numPr>
        <w:spacing w:line="300" w:lineRule="exact"/>
        <w:ind w:firstLine="425"/>
        <w:jc w:val="left"/>
        <w:rPr>
          <w:rFonts w:hint="eastAsia" w:ascii="宋体" w:hAnsi="宋体" w:eastAsia="宋体" w:cs="宋体"/>
          <w:color w:val="auto"/>
          <w:highlight w:val="none"/>
        </w:rPr>
      </w:pPr>
      <w:r>
        <w:rPr>
          <w:rFonts w:hint="eastAsia" w:ascii="宋体" w:hAnsi="宋体" w:eastAsia="宋体" w:cs="宋体"/>
          <w:color w:val="auto"/>
          <w:highlight w:val="none"/>
        </w:rPr>
        <w:t>主要施工方法；</w:t>
      </w:r>
    </w:p>
    <w:p w14:paraId="5261DEA4">
      <w:pPr>
        <w:pStyle w:val="36"/>
        <w:numPr>
          <w:ilvl w:val="0"/>
          <w:numId w:val="16"/>
        </w:numPr>
        <w:spacing w:line="300" w:lineRule="exact"/>
        <w:ind w:firstLine="425"/>
        <w:jc w:val="left"/>
        <w:rPr>
          <w:rFonts w:hint="eastAsia" w:ascii="宋体" w:hAnsi="宋体" w:eastAsia="宋体" w:cs="宋体"/>
          <w:color w:val="auto"/>
          <w:highlight w:val="none"/>
        </w:rPr>
      </w:pPr>
      <w:r>
        <w:rPr>
          <w:rFonts w:hint="eastAsia" w:ascii="宋体" w:hAnsi="宋体" w:eastAsia="宋体" w:cs="宋体"/>
          <w:color w:val="auto"/>
          <w:highlight w:val="none"/>
        </w:rPr>
        <w:t>施工进度、施工进度计划和各阶段进度的保证措施；</w:t>
      </w:r>
    </w:p>
    <w:p w14:paraId="57D781EA">
      <w:pPr>
        <w:pStyle w:val="36"/>
        <w:numPr>
          <w:ilvl w:val="0"/>
          <w:numId w:val="16"/>
        </w:numPr>
        <w:spacing w:line="300" w:lineRule="exact"/>
        <w:ind w:firstLine="425"/>
        <w:jc w:val="left"/>
        <w:rPr>
          <w:rFonts w:hint="eastAsia" w:ascii="宋体" w:hAnsi="宋体" w:eastAsia="宋体" w:cs="宋体"/>
          <w:color w:val="auto"/>
          <w:highlight w:val="none"/>
        </w:rPr>
      </w:pPr>
      <w:r>
        <w:rPr>
          <w:rFonts w:hint="eastAsia" w:ascii="宋体" w:hAnsi="宋体" w:eastAsia="宋体" w:cs="宋体"/>
          <w:color w:val="auto"/>
          <w:highlight w:val="none"/>
        </w:rPr>
        <w:t>劳动力和材料投入计划及其保证措施；</w:t>
      </w:r>
    </w:p>
    <w:p w14:paraId="5F8C31BA">
      <w:pPr>
        <w:pStyle w:val="36"/>
        <w:numPr>
          <w:ilvl w:val="0"/>
          <w:numId w:val="16"/>
        </w:numPr>
        <w:spacing w:line="300" w:lineRule="exact"/>
        <w:ind w:firstLine="425"/>
        <w:jc w:val="left"/>
        <w:rPr>
          <w:rFonts w:hint="eastAsia" w:ascii="宋体" w:hAnsi="宋体" w:eastAsia="宋体" w:cs="宋体"/>
          <w:color w:val="auto"/>
          <w:highlight w:val="none"/>
        </w:rPr>
      </w:pPr>
      <w:r>
        <w:rPr>
          <w:rFonts w:hint="eastAsia" w:ascii="宋体" w:hAnsi="宋体" w:eastAsia="宋体" w:cs="宋体"/>
          <w:color w:val="auto"/>
          <w:highlight w:val="none"/>
        </w:rPr>
        <w:t>施工平面布置和临时设施布置；</w:t>
      </w:r>
    </w:p>
    <w:p w14:paraId="17040E49">
      <w:pPr>
        <w:pStyle w:val="36"/>
        <w:numPr>
          <w:ilvl w:val="0"/>
          <w:numId w:val="16"/>
        </w:numPr>
        <w:spacing w:line="300" w:lineRule="exact"/>
        <w:ind w:firstLine="425"/>
        <w:jc w:val="left"/>
        <w:rPr>
          <w:rFonts w:hint="eastAsia" w:ascii="宋体" w:hAnsi="宋体" w:eastAsia="宋体" w:cs="宋体"/>
          <w:color w:val="auto"/>
          <w:highlight w:val="none"/>
        </w:rPr>
      </w:pPr>
      <w:r>
        <w:rPr>
          <w:rFonts w:hint="eastAsia" w:ascii="宋体" w:hAnsi="宋体" w:eastAsia="宋体" w:cs="宋体"/>
          <w:color w:val="auto"/>
          <w:highlight w:val="none"/>
        </w:rPr>
        <w:t>关键施工技术、工艺及工程实施的重点、难点和解决方案；</w:t>
      </w:r>
    </w:p>
    <w:p w14:paraId="0BAF7DD1">
      <w:pPr>
        <w:pStyle w:val="36"/>
        <w:numPr>
          <w:ilvl w:val="0"/>
          <w:numId w:val="16"/>
        </w:numPr>
        <w:spacing w:line="300" w:lineRule="exact"/>
        <w:ind w:firstLine="425"/>
        <w:jc w:val="left"/>
        <w:rPr>
          <w:rFonts w:hint="eastAsia" w:ascii="宋体" w:hAnsi="宋体" w:eastAsia="宋体" w:cs="宋体"/>
          <w:color w:val="auto"/>
          <w:highlight w:val="none"/>
        </w:rPr>
      </w:pPr>
      <w:r>
        <w:rPr>
          <w:rFonts w:hint="eastAsia" w:ascii="宋体" w:hAnsi="宋体" w:eastAsia="宋体" w:cs="宋体"/>
          <w:color w:val="auto"/>
          <w:highlight w:val="none"/>
        </w:rPr>
        <w:t>安全文明施工措施；</w:t>
      </w:r>
    </w:p>
    <w:p w14:paraId="08769267">
      <w:pPr>
        <w:pStyle w:val="36"/>
        <w:numPr>
          <w:ilvl w:val="0"/>
          <w:numId w:val="16"/>
        </w:numPr>
        <w:spacing w:line="300" w:lineRule="exact"/>
        <w:ind w:firstLine="425"/>
        <w:jc w:val="left"/>
        <w:rPr>
          <w:rFonts w:hint="eastAsia" w:ascii="宋体" w:hAnsi="宋体" w:eastAsia="宋体" w:cs="宋体"/>
          <w:color w:val="auto"/>
          <w:highlight w:val="none"/>
        </w:rPr>
      </w:pPr>
      <w:r>
        <w:rPr>
          <w:rFonts w:hint="eastAsia" w:ascii="宋体" w:hAnsi="宋体" w:eastAsia="宋体" w:cs="宋体"/>
          <w:color w:val="auto"/>
          <w:highlight w:val="none"/>
          <w:lang w:eastAsia="zh-CN"/>
        </w:rPr>
        <w:t>质量保证与承诺；</w:t>
      </w:r>
    </w:p>
    <w:p w14:paraId="1F02775E">
      <w:pPr>
        <w:pStyle w:val="36"/>
        <w:numPr>
          <w:ilvl w:val="0"/>
          <w:numId w:val="16"/>
        </w:numPr>
        <w:spacing w:line="300" w:lineRule="exact"/>
        <w:ind w:firstLine="425"/>
        <w:jc w:val="left"/>
        <w:rPr>
          <w:rFonts w:hint="eastAsia" w:ascii="宋体" w:hAnsi="宋体" w:eastAsia="宋体" w:cs="宋体"/>
          <w:color w:val="auto"/>
          <w:highlight w:val="none"/>
        </w:rPr>
      </w:pPr>
      <w:r>
        <w:rPr>
          <w:rFonts w:hint="eastAsia" w:ascii="宋体" w:hAnsi="宋体" w:eastAsia="宋体" w:cs="宋体"/>
          <w:color w:val="auto"/>
          <w:highlight w:val="none"/>
        </w:rPr>
        <w:t>新技术应用与承诺</w:t>
      </w:r>
    </w:p>
    <w:p w14:paraId="28298BF9">
      <w:pPr>
        <w:pStyle w:val="36"/>
        <w:spacing w:line="300" w:lineRule="exact"/>
        <w:ind w:firstLine="425"/>
        <w:rPr>
          <w:rFonts w:hint="eastAsia" w:ascii="宋体" w:hAnsi="宋体" w:eastAsia="宋体" w:cs="宋体"/>
          <w:color w:val="auto"/>
          <w:highlight w:val="none"/>
        </w:rPr>
      </w:pPr>
      <w:r>
        <w:rPr>
          <w:rFonts w:hint="eastAsia" w:ascii="宋体" w:hAnsi="宋体" w:eastAsia="宋体" w:cs="宋体"/>
          <w:color w:val="auto"/>
          <w:highlight w:val="none"/>
        </w:rPr>
        <w:t xml:space="preserve">2.  </w:t>
      </w:r>
      <w:r>
        <w:rPr>
          <w:rFonts w:hint="eastAsia" w:ascii="宋体" w:hAnsi="宋体" w:eastAsia="宋体" w:cs="宋体"/>
          <w:color w:val="auto"/>
          <w:spacing w:val="-15"/>
          <w:highlight w:val="none"/>
        </w:rPr>
        <w:t xml:space="preserve"> </w:t>
      </w:r>
      <w:r>
        <w:rPr>
          <w:rFonts w:hint="eastAsia" w:ascii="宋体" w:hAnsi="宋体" w:eastAsia="宋体" w:cs="宋体"/>
          <w:color w:val="auto"/>
          <w:highlight w:val="none"/>
        </w:rPr>
        <w:t>施工组织设计除采用文字表述外可附下列图表，图表及格式要求附后。</w:t>
      </w:r>
    </w:p>
    <w:p w14:paraId="2420F348">
      <w:pPr>
        <w:pStyle w:val="36"/>
        <w:spacing w:line="300" w:lineRule="exact"/>
        <w:ind w:firstLine="425"/>
        <w:rPr>
          <w:rFonts w:hint="eastAsia" w:ascii="宋体" w:hAnsi="宋体" w:eastAsia="宋体" w:cs="宋体"/>
          <w:color w:val="auto"/>
          <w:highlight w:val="none"/>
        </w:rPr>
      </w:pPr>
      <w:r>
        <w:rPr>
          <w:rFonts w:hint="eastAsia" w:ascii="宋体" w:hAnsi="宋体" w:eastAsia="宋体" w:cs="宋体"/>
          <w:color w:val="auto"/>
          <w:highlight w:val="none"/>
        </w:rPr>
        <w:t>附表一</w:t>
      </w:r>
      <w:r>
        <w:rPr>
          <w:rFonts w:hint="eastAsia" w:ascii="宋体" w:hAnsi="宋体" w:eastAsia="宋体" w:cs="宋体"/>
          <w:color w:val="auto"/>
          <w:highlight w:val="none"/>
        </w:rPr>
        <w:tab/>
      </w:r>
      <w:r>
        <w:rPr>
          <w:rFonts w:hint="eastAsia" w:ascii="宋体" w:hAnsi="宋体" w:eastAsia="宋体" w:cs="宋体"/>
          <w:color w:val="auto"/>
          <w:spacing w:val="-1"/>
          <w:highlight w:val="none"/>
        </w:rPr>
        <w:t>拟</w:t>
      </w:r>
      <w:r>
        <w:rPr>
          <w:rFonts w:hint="eastAsia" w:ascii="宋体" w:hAnsi="宋体" w:eastAsia="宋体" w:cs="宋体"/>
          <w:color w:val="auto"/>
          <w:highlight w:val="none"/>
        </w:rPr>
        <w:t>投入本项目的主要施工设备表</w:t>
      </w:r>
    </w:p>
    <w:p w14:paraId="0CA3D6C4">
      <w:pPr>
        <w:pStyle w:val="36"/>
        <w:spacing w:line="300" w:lineRule="exact"/>
        <w:ind w:firstLine="425"/>
        <w:rPr>
          <w:rFonts w:hint="eastAsia" w:ascii="宋体" w:hAnsi="宋体" w:eastAsia="宋体" w:cs="宋体"/>
          <w:color w:val="auto"/>
          <w:highlight w:val="none"/>
        </w:rPr>
      </w:pPr>
      <w:r>
        <w:rPr>
          <w:rFonts w:hint="eastAsia" w:ascii="宋体" w:hAnsi="宋体" w:eastAsia="宋体" w:cs="宋体"/>
          <w:color w:val="auto"/>
          <w:highlight w:val="none"/>
        </w:rPr>
        <w:t>附表二</w:t>
      </w:r>
      <w:r>
        <w:rPr>
          <w:rFonts w:hint="eastAsia" w:ascii="宋体" w:hAnsi="宋体" w:eastAsia="宋体" w:cs="宋体"/>
          <w:color w:val="auto"/>
          <w:highlight w:val="none"/>
        </w:rPr>
        <w:tab/>
      </w:r>
      <w:r>
        <w:rPr>
          <w:rFonts w:hint="eastAsia" w:ascii="宋体" w:hAnsi="宋体" w:eastAsia="宋体" w:cs="宋体"/>
          <w:color w:val="auto"/>
          <w:spacing w:val="-1"/>
          <w:highlight w:val="none"/>
        </w:rPr>
        <w:t>拟</w:t>
      </w:r>
      <w:r>
        <w:rPr>
          <w:rFonts w:hint="eastAsia" w:ascii="宋体" w:hAnsi="宋体" w:eastAsia="宋体" w:cs="宋体"/>
          <w:color w:val="auto"/>
          <w:highlight w:val="none"/>
        </w:rPr>
        <w:t>配备本项目的试验和检测仪器设备表</w:t>
      </w:r>
    </w:p>
    <w:p w14:paraId="59CA2DE1">
      <w:pPr>
        <w:pStyle w:val="36"/>
        <w:spacing w:line="300" w:lineRule="exact"/>
        <w:ind w:firstLine="425"/>
        <w:rPr>
          <w:rFonts w:hint="eastAsia" w:ascii="宋体" w:hAnsi="宋体" w:eastAsia="宋体" w:cs="宋体"/>
          <w:color w:val="auto"/>
          <w:highlight w:val="none"/>
        </w:rPr>
      </w:pPr>
      <w:r>
        <w:rPr>
          <w:rFonts w:hint="eastAsia" w:ascii="宋体" w:hAnsi="宋体" w:eastAsia="宋体" w:cs="宋体"/>
          <w:color w:val="auto"/>
          <w:highlight w:val="none"/>
        </w:rPr>
        <w:t>附表三</w:t>
      </w:r>
      <w:r>
        <w:rPr>
          <w:rFonts w:hint="eastAsia" w:ascii="宋体" w:hAnsi="宋体" w:eastAsia="宋体" w:cs="宋体"/>
          <w:color w:val="auto"/>
          <w:highlight w:val="none"/>
        </w:rPr>
        <w:tab/>
      </w:r>
      <w:r>
        <w:rPr>
          <w:rFonts w:hint="eastAsia" w:ascii="宋体" w:hAnsi="宋体" w:eastAsia="宋体" w:cs="宋体"/>
          <w:color w:val="auto"/>
          <w:spacing w:val="-1"/>
          <w:highlight w:val="none"/>
        </w:rPr>
        <w:t>劳</w:t>
      </w:r>
      <w:r>
        <w:rPr>
          <w:rFonts w:hint="eastAsia" w:ascii="宋体" w:hAnsi="宋体" w:eastAsia="宋体" w:cs="宋体"/>
          <w:color w:val="auto"/>
          <w:highlight w:val="none"/>
        </w:rPr>
        <w:t>动力计划表</w:t>
      </w:r>
    </w:p>
    <w:p w14:paraId="2F619C3D">
      <w:pPr>
        <w:pStyle w:val="36"/>
        <w:spacing w:line="300" w:lineRule="exact"/>
        <w:ind w:firstLine="425"/>
        <w:rPr>
          <w:rFonts w:hint="eastAsia" w:ascii="宋体" w:hAnsi="宋体" w:eastAsia="宋体" w:cs="宋体"/>
          <w:color w:val="auto"/>
          <w:highlight w:val="none"/>
        </w:rPr>
      </w:pPr>
      <w:r>
        <w:rPr>
          <w:rFonts w:hint="eastAsia" w:ascii="宋体" w:hAnsi="宋体" w:eastAsia="宋体" w:cs="宋体"/>
          <w:color w:val="auto"/>
          <w:highlight w:val="none"/>
        </w:rPr>
        <w:t>附表四</w:t>
      </w:r>
      <w:r>
        <w:rPr>
          <w:rFonts w:hint="eastAsia" w:ascii="宋体" w:hAnsi="宋体" w:eastAsia="宋体" w:cs="宋体"/>
          <w:color w:val="auto"/>
          <w:highlight w:val="none"/>
        </w:rPr>
        <w:tab/>
      </w:r>
      <w:r>
        <w:rPr>
          <w:rFonts w:hint="eastAsia" w:ascii="宋体" w:hAnsi="宋体" w:eastAsia="宋体" w:cs="宋体"/>
          <w:color w:val="auto"/>
          <w:highlight w:val="none"/>
        </w:rPr>
        <w:t>计划开、竣工日期和施工进度网络图</w:t>
      </w:r>
      <w:r>
        <w:rPr>
          <w:rFonts w:hint="eastAsia" w:ascii="宋体" w:hAnsi="宋体" w:eastAsia="宋体" w:cs="宋体"/>
          <w:color w:val="auto"/>
          <w:highlight w:val="none"/>
          <w:lang w:val="en-US" w:eastAsia="zh-CN"/>
        </w:rPr>
        <w:t>或</w:t>
      </w:r>
      <w:r>
        <w:rPr>
          <w:rFonts w:hint="eastAsia" w:ascii="宋体" w:hAnsi="宋体" w:eastAsia="宋体" w:cs="宋体"/>
          <w:color w:val="auto"/>
          <w:highlight w:val="none"/>
        </w:rPr>
        <w:t>横道图</w:t>
      </w:r>
    </w:p>
    <w:p w14:paraId="4CA47BBC">
      <w:pPr>
        <w:pStyle w:val="36"/>
        <w:spacing w:line="300" w:lineRule="exact"/>
        <w:ind w:firstLine="425"/>
        <w:rPr>
          <w:rFonts w:hint="eastAsia" w:ascii="宋体" w:hAnsi="宋体" w:eastAsia="宋体" w:cs="宋体"/>
          <w:color w:val="auto"/>
          <w:highlight w:val="none"/>
        </w:rPr>
      </w:pPr>
      <w:r>
        <w:rPr>
          <w:rFonts w:hint="eastAsia" w:ascii="宋体" w:hAnsi="宋体" w:eastAsia="宋体" w:cs="宋体"/>
          <w:color w:val="auto"/>
          <w:highlight w:val="none"/>
        </w:rPr>
        <w:t>附表五</w:t>
      </w:r>
      <w:r>
        <w:rPr>
          <w:rFonts w:hint="eastAsia" w:ascii="宋体" w:hAnsi="宋体" w:eastAsia="宋体" w:cs="宋体"/>
          <w:color w:val="auto"/>
          <w:highlight w:val="none"/>
        </w:rPr>
        <w:tab/>
      </w:r>
      <w:r>
        <w:rPr>
          <w:rFonts w:hint="eastAsia" w:ascii="宋体" w:hAnsi="宋体" w:eastAsia="宋体" w:cs="宋体"/>
          <w:color w:val="auto"/>
          <w:spacing w:val="-1"/>
          <w:highlight w:val="none"/>
        </w:rPr>
        <w:t>施</w:t>
      </w:r>
      <w:r>
        <w:rPr>
          <w:rFonts w:hint="eastAsia" w:ascii="宋体" w:hAnsi="宋体" w:eastAsia="宋体" w:cs="宋体"/>
          <w:color w:val="auto"/>
          <w:highlight w:val="none"/>
        </w:rPr>
        <w:t>工总平面图</w:t>
      </w:r>
    </w:p>
    <w:p w14:paraId="2CA78469">
      <w:pPr>
        <w:pStyle w:val="36"/>
        <w:spacing w:line="300" w:lineRule="exact"/>
        <w:ind w:firstLine="425"/>
        <w:rPr>
          <w:rFonts w:hint="eastAsia" w:ascii="宋体" w:hAnsi="宋体" w:eastAsia="宋体" w:cs="宋体"/>
          <w:color w:val="auto"/>
          <w:highlight w:val="none"/>
        </w:rPr>
      </w:pPr>
      <w:r>
        <w:rPr>
          <w:rFonts w:hint="eastAsia" w:ascii="宋体" w:hAnsi="宋体" w:eastAsia="宋体" w:cs="宋体"/>
          <w:color w:val="auto"/>
          <w:position w:val="-2"/>
          <w:highlight w:val="none"/>
        </w:rPr>
        <w:t>附表六</w:t>
      </w:r>
      <w:r>
        <w:rPr>
          <w:rFonts w:hint="eastAsia" w:ascii="宋体" w:hAnsi="宋体" w:eastAsia="宋体" w:cs="宋体"/>
          <w:color w:val="auto"/>
          <w:position w:val="-2"/>
          <w:highlight w:val="none"/>
        </w:rPr>
        <w:tab/>
      </w:r>
      <w:r>
        <w:rPr>
          <w:rFonts w:hint="eastAsia" w:ascii="宋体" w:hAnsi="宋体" w:eastAsia="宋体" w:cs="宋体"/>
          <w:color w:val="auto"/>
          <w:spacing w:val="-1"/>
          <w:position w:val="-2"/>
          <w:highlight w:val="none"/>
        </w:rPr>
        <w:t>临</w:t>
      </w:r>
      <w:r>
        <w:rPr>
          <w:rFonts w:hint="eastAsia" w:ascii="宋体" w:hAnsi="宋体" w:eastAsia="宋体" w:cs="宋体"/>
          <w:color w:val="auto"/>
          <w:position w:val="-2"/>
          <w:highlight w:val="none"/>
        </w:rPr>
        <w:t>时用地表</w:t>
      </w:r>
    </w:p>
    <w:p w14:paraId="4E893647">
      <w:pPr>
        <w:rPr>
          <w:rFonts w:hint="eastAsia" w:ascii="宋体" w:hAnsi="宋体" w:eastAsia="宋体" w:cs="宋体"/>
          <w:color w:val="auto"/>
          <w:highlight w:val="none"/>
        </w:rPr>
      </w:pPr>
      <w:bookmarkStart w:id="2398" w:name="_Toc418751905"/>
      <w:bookmarkStart w:id="2399" w:name="_Toc418752351"/>
      <w:bookmarkStart w:id="2400" w:name="_Toc483317224"/>
    </w:p>
    <w:p w14:paraId="0ED911CB">
      <w:pPr>
        <w:rPr>
          <w:rFonts w:hint="eastAsia" w:ascii="宋体" w:hAnsi="宋体" w:eastAsia="宋体" w:cs="宋体"/>
          <w:b/>
          <w:color w:val="auto"/>
          <w:highlight w:val="none"/>
        </w:rPr>
      </w:pPr>
      <w:r>
        <w:rPr>
          <w:rFonts w:hint="eastAsia" w:ascii="宋体" w:hAnsi="宋体" w:eastAsia="宋体" w:cs="宋体"/>
          <w:b/>
          <w:color w:val="auto"/>
          <w:highlight w:val="none"/>
        </w:rPr>
        <w:t>附表一：拟投入本项目的主要施工设备表</w:t>
      </w:r>
      <w:bookmarkEnd w:id="2398"/>
      <w:bookmarkEnd w:id="2399"/>
      <w:bookmarkEnd w:id="2400"/>
    </w:p>
    <w:tbl>
      <w:tblPr>
        <w:tblStyle w:val="29"/>
        <w:tblW w:w="9648" w:type="dxa"/>
        <w:tblInd w:w="-5" w:type="dxa"/>
        <w:tblLayout w:type="fixed"/>
        <w:tblCellMar>
          <w:top w:w="0" w:type="dxa"/>
          <w:left w:w="0" w:type="dxa"/>
          <w:bottom w:w="0" w:type="dxa"/>
          <w:right w:w="0" w:type="dxa"/>
        </w:tblCellMar>
      </w:tblPr>
      <w:tblGrid>
        <w:gridCol w:w="734"/>
        <w:gridCol w:w="1198"/>
        <w:gridCol w:w="839"/>
        <w:gridCol w:w="1092"/>
        <w:gridCol w:w="741"/>
        <w:gridCol w:w="814"/>
        <w:gridCol w:w="1337"/>
        <w:gridCol w:w="965"/>
        <w:gridCol w:w="1164"/>
        <w:gridCol w:w="764"/>
      </w:tblGrid>
      <w:tr w14:paraId="480B1B1F">
        <w:tblPrEx>
          <w:tblCellMar>
            <w:top w:w="0" w:type="dxa"/>
            <w:left w:w="0" w:type="dxa"/>
            <w:bottom w:w="0" w:type="dxa"/>
            <w:right w:w="0" w:type="dxa"/>
          </w:tblCellMar>
        </w:tblPrEx>
        <w:trPr>
          <w:trHeight w:val="827" w:hRule="atLeast"/>
        </w:trPr>
        <w:tc>
          <w:tcPr>
            <w:tcW w:w="734" w:type="dxa"/>
            <w:tcBorders>
              <w:top w:val="single" w:color="000000" w:sz="4" w:space="0"/>
              <w:left w:val="single" w:color="000000" w:sz="4" w:space="0"/>
              <w:bottom w:val="single" w:color="000000" w:sz="4" w:space="0"/>
              <w:right w:val="single" w:color="000000" w:sz="4" w:space="0"/>
            </w:tcBorders>
            <w:noWrap w:val="0"/>
            <w:vAlign w:val="center"/>
          </w:tcPr>
          <w:p w14:paraId="4FEDBEC3">
            <w:pPr>
              <w:pStyle w:val="36"/>
              <w:jc w:val="center"/>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1198" w:type="dxa"/>
            <w:tcBorders>
              <w:top w:val="single" w:color="000000" w:sz="4" w:space="0"/>
              <w:left w:val="nil"/>
              <w:bottom w:val="single" w:color="000000" w:sz="4" w:space="0"/>
              <w:right w:val="single" w:color="000000" w:sz="4" w:space="0"/>
            </w:tcBorders>
            <w:noWrap w:val="0"/>
            <w:vAlign w:val="center"/>
          </w:tcPr>
          <w:p w14:paraId="5D6C9957">
            <w:pPr>
              <w:pStyle w:val="36"/>
              <w:jc w:val="center"/>
              <w:rPr>
                <w:rFonts w:hint="eastAsia" w:ascii="宋体" w:hAnsi="宋体" w:eastAsia="宋体" w:cs="宋体"/>
                <w:color w:val="auto"/>
                <w:highlight w:val="none"/>
              </w:rPr>
            </w:pPr>
            <w:r>
              <w:rPr>
                <w:rFonts w:hint="eastAsia" w:ascii="宋体" w:hAnsi="宋体" w:eastAsia="宋体" w:cs="宋体"/>
                <w:color w:val="auto"/>
                <w:highlight w:val="none"/>
              </w:rPr>
              <w:t>设备名称</w:t>
            </w:r>
          </w:p>
        </w:tc>
        <w:tc>
          <w:tcPr>
            <w:tcW w:w="839" w:type="dxa"/>
            <w:tcBorders>
              <w:top w:val="single" w:color="000000" w:sz="4" w:space="0"/>
              <w:left w:val="nil"/>
              <w:bottom w:val="single" w:color="000000" w:sz="4" w:space="0"/>
              <w:right w:val="single" w:color="000000" w:sz="4" w:space="0"/>
            </w:tcBorders>
            <w:noWrap w:val="0"/>
            <w:vAlign w:val="center"/>
          </w:tcPr>
          <w:p w14:paraId="01E1A826">
            <w:pPr>
              <w:pStyle w:val="36"/>
              <w:jc w:val="center"/>
              <w:rPr>
                <w:rFonts w:hint="eastAsia" w:ascii="宋体" w:hAnsi="宋体" w:eastAsia="宋体" w:cs="宋体"/>
                <w:color w:val="auto"/>
                <w:highlight w:val="none"/>
              </w:rPr>
            </w:pPr>
            <w:r>
              <w:rPr>
                <w:rFonts w:hint="eastAsia" w:ascii="宋体" w:hAnsi="宋体" w:eastAsia="宋体" w:cs="宋体"/>
                <w:color w:val="auto"/>
                <w:highlight w:val="none"/>
              </w:rPr>
              <w:t>型号</w:t>
            </w:r>
          </w:p>
          <w:p w14:paraId="7AAAD8F3">
            <w:pPr>
              <w:pStyle w:val="36"/>
              <w:jc w:val="center"/>
              <w:rPr>
                <w:rFonts w:hint="eastAsia" w:ascii="宋体" w:hAnsi="宋体" w:eastAsia="宋体" w:cs="宋体"/>
                <w:color w:val="auto"/>
                <w:highlight w:val="none"/>
              </w:rPr>
            </w:pPr>
            <w:r>
              <w:rPr>
                <w:rFonts w:hint="eastAsia" w:ascii="宋体" w:hAnsi="宋体" w:eastAsia="宋体" w:cs="宋体"/>
                <w:color w:val="auto"/>
                <w:highlight w:val="none"/>
              </w:rPr>
              <w:t>规格</w:t>
            </w:r>
          </w:p>
        </w:tc>
        <w:tc>
          <w:tcPr>
            <w:tcW w:w="1092" w:type="dxa"/>
            <w:tcBorders>
              <w:top w:val="single" w:color="000000" w:sz="4" w:space="0"/>
              <w:left w:val="nil"/>
              <w:bottom w:val="single" w:color="000000" w:sz="4" w:space="0"/>
              <w:right w:val="single" w:color="000000" w:sz="4" w:space="0"/>
            </w:tcBorders>
            <w:noWrap w:val="0"/>
            <w:vAlign w:val="center"/>
          </w:tcPr>
          <w:p w14:paraId="0F18D077">
            <w:pPr>
              <w:pStyle w:val="36"/>
              <w:jc w:val="center"/>
              <w:rPr>
                <w:rFonts w:hint="eastAsia" w:ascii="宋体" w:hAnsi="宋体" w:eastAsia="宋体" w:cs="宋体"/>
                <w:color w:val="auto"/>
                <w:highlight w:val="none"/>
              </w:rPr>
            </w:pPr>
            <w:r>
              <w:rPr>
                <w:rFonts w:hint="eastAsia" w:ascii="宋体" w:hAnsi="宋体" w:eastAsia="宋体" w:cs="宋体"/>
                <w:color w:val="auto"/>
                <w:highlight w:val="none"/>
              </w:rPr>
              <w:t>数量</w:t>
            </w:r>
          </w:p>
        </w:tc>
        <w:tc>
          <w:tcPr>
            <w:tcW w:w="741" w:type="dxa"/>
            <w:tcBorders>
              <w:top w:val="single" w:color="000000" w:sz="4" w:space="0"/>
              <w:left w:val="nil"/>
              <w:bottom w:val="single" w:color="000000" w:sz="4" w:space="0"/>
              <w:right w:val="single" w:color="000000" w:sz="4" w:space="0"/>
            </w:tcBorders>
            <w:noWrap w:val="0"/>
            <w:vAlign w:val="center"/>
          </w:tcPr>
          <w:p w14:paraId="04F4B807">
            <w:pPr>
              <w:pStyle w:val="36"/>
              <w:jc w:val="center"/>
              <w:rPr>
                <w:rFonts w:hint="eastAsia" w:ascii="宋体" w:hAnsi="宋体" w:eastAsia="宋体" w:cs="宋体"/>
                <w:color w:val="auto"/>
                <w:highlight w:val="none"/>
              </w:rPr>
            </w:pPr>
            <w:r>
              <w:rPr>
                <w:rFonts w:hint="eastAsia" w:ascii="宋体" w:hAnsi="宋体" w:eastAsia="宋体" w:cs="宋体"/>
                <w:color w:val="auto"/>
                <w:highlight w:val="none"/>
              </w:rPr>
              <w:t>国别</w:t>
            </w:r>
          </w:p>
          <w:p w14:paraId="5138900A">
            <w:pPr>
              <w:pStyle w:val="36"/>
              <w:jc w:val="center"/>
              <w:rPr>
                <w:rFonts w:hint="eastAsia" w:ascii="宋体" w:hAnsi="宋体" w:eastAsia="宋体" w:cs="宋体"/>
                <w:color w:val="auto"/>
                <w:highlight w:val="none"/>
              </w:rPr>
            </w:pPr>
            <w:r>
              <w:rPr>
                <w:rFonts w:hint="eastAsia" w:ascii="宋体" w:hAnsi="宋体" w:eastAsia="宋体" w:cs="宋体"/>
                <w:color w:val="auto"/>
                <w:highlight w:val="none"/>
              </w:rPr>
              <w:t>产地</w:t>
            </w:r>
          </w:p>
        </w:tc>
        <w:tc>
          <w:tcPr>
            <w:tcW w:w="814" w:type="dxa"/>
            <w:tcBorders>
              <w:top w:val="single" w:color="000000" w:sz="4" w:space="0"/>
              <w:left w:val="nil"/>
              <w:bottom w:val="single" w:color="000000" w:sz="4" w:space="0"/>
              <w:right w:val="single" w:color="000000" w:sz="4" w:space="0"/>
            </w:tcBorders>
            <w:noWrap w:val="0"/>
            <w:vAlign w:val="center"/>
          </w:tcPr>
          <w:p w14:paraId="4C0400B2">
            <w:pPr>
              <w:pStyle w:val="36"/>
              <w:jc w:val="center"/>
              <w:rPr>
                <w:rFonts w:hint="eastAsia" w:ascii="宋体" w:hAnsi="宋体" w:eastAsia="宋体" w:cs="宋体"/>
                <w:color w:val="auto"/>
                <w:highlight w:val="none"/>
              </w:rPr>
            </w:pPr>
            <w:r>
              <w:rPr>
                <w:rFonts w:hint="eastAsia" w:ascii="宋体" w:hAnsi="宋体" w:eastAsia="宋体" w:cs="宋体"/>
                <w:color w:val="auto"/>
                <w:highlight w:val="none"/>
              </w:rPr>
              <w:t>制造</w:t>
            </w:r>
          </w:p>
          <w:p w14:paraId="0CB7C6D2">
            <w:pPr>
              <w:pStyle w:val="36"/>
              <w:jc w:val="center"/>
              <w:rPr>
                <w:rFonts w:hint="eastAsia" w:ascii="宋体" w:hAnsi="宋体" w:eastAsia="宋体" w:cs="宋体"/>
                <w:color w:val="auto"/>
                <w:highlight w:val="none"/>
              </w:rPr>
            </w:pPr>
            <w:r>
              <w:rPr>
                <w:rFonts w:hint="eastAsia" w:ascii="宋体" w:hAnsi="宋体" w:eastAsia="宋体" w:cs="宋体"/>
                <w:color w:val="auto"/>
                <w:highlight w:val="none"/>
              </w:rPr>
              <w:t>年份</w:t>
            </w:r>
          </w:p>
        </w:tc>
        <w:tc>
          <w:tcPr>
            <w:tcW w:w="1337" w:type="dxa"/>
            <w:tcBorders>
              <w:top w:val="single" w:color="000000" w:sz="4" w:space="0"/>
              <w:left w:val="nil"/>
              <w:bottom w:val="single" w:color="000000" w:sz="4" w:space="0"/>
              <w:right w:val="single" w:color="000000" w:sz="4" w:space="0"/>
            </w:tcBorders>
            <w:noWrap w:val="0"/>
            <w:vAlign w:val="center"/>
          </w:tcPr>
          <w:p w14:paraId="3818E239">
            <w:pPr>
              <w:pStyle w:val="36"/>
              <w:jc w:val="center"/>
              <w:rPr>
                <w:rFonts w:hint="eastAsia" w:ascii="宋体" w:hAnsi="宋体" w:eastAsia="宋体" w:cs="宋体"/>
                <w:color w:val="auto"/>
                <w:highlight w:val="none"/>
              </w:rPr>
            </w:pPr>
            <w:r>
              <w:rPr>
                <w:rFonts w:hint="eastAsia" w:ascii="宋体" w:hAnsi="宋体" w:eastAsia="宋体" w:cs="宋体"/>
                <w:color w:val="auto"/>
                <w:highlight w:val="none"/>
              </w:rPr>
              <w:t>额定功率</w:t>
            </w:r>
          </w:p>
          <w:p w14:paraId="3F06A142">
            <w:pPr>
              <w:pStyle w:val="36"/>
              <w:jc w:val="center"/>
              <w:rPr>
                <w:rFonts w:hint="eastAsia" w:ascii="宋体" w:hAnsi="宋体" w:eastAsia="宋体" w:cs="宋体"/>
                <w:color w:val="auto"/>
                <w:highlight w:val="none"/>
              </w:rPr>
            </w:pPr>
            <w:r>
              <w:rPr>
                <w:rFonts w:hint="eastAsia" w:ascii="宋体" w:hAnsi="宋体" w:eastAsia="宋体" w:cs="宋体"/>
                <w:color w:val="auto"/>
                <w:highlight w:val="none"/>
              </w:rPr>
              <w:t>（KW）</w:t>
            </w:r>
          </w:p>
        </w:tc>
        <w:tc>
          <w:tcPr>
            <w:tcW w:w="965" w:type="dxa"/>
            <w:tcBorders>
              <w:top w:val="single" w:color="000000" w:sz="4" w:space="0"/>
              <w:left w:val="nil"/>
              <w:bottom w:val="single" w:color="000000" w:sz="4" w:space="0"/>
              <w:right w:val="single" w:color="000000" w:sz="4" w:space="0"/>
            </w:tcBorders>
            <w:noWrap w:val="0"/>
            <w:vAlign w:val="center"/>
          </w:tcPr>
          <w:p w14:paraId="12BD6109">
            <w:pPr>
              <w:pStyle w:val="36"/>
              <w:jc w:val="center"/>
              <w:rPr>
                <w:rFonts w:hint="eastAsia" w:ascii="宋体" w:hAnsi="宋体" w:eastAsia="宋体" w:cs="宋体"/>
                <w:color w:val="auto"/>
                <w:highlight w:val="none"/>
              </w:rPr>
            </w:pPr>
            <w:r>
              <w:rPr>
                <w:rFonts w:hint="eastAsia" w:ascii="宋体" w:hAnsi="宋体" w:eastAsia="宋体" w:cs="宋体"/>
                <w:color w:val="auto"/>
                <w:highlight w:val="none"/>
              </w:rPr>
              <w:t>生产</w:t>
            </w:r>
          </w:p>
          <w:p w14:paraId="0B4CC69D">
            <w:pPr>
              <w:pStyle w:val="36"/>
              <w:jc w:val="center"/>
              <w:rPr>
                <w:rFonts w:hint="eastAsia" w:ascii="宋体" w:hAnsi="宋体" w:eastAsia="宋体" w:cs="宋体"/>
                <w:color w:val="auto"/>
                <w:highlight w:val="none"/>
              </w:rPr>
            </w:pPr>
            <w:r>
              <w:rPr>
                <w:rFonts w:hint="eastAsia" w:ascii="宋体" w:hAnsi="宋体" w:eastAsia="宋体" w:cs="宋体"/>
                <w:color w:val="auto"/>
                <w:highlight w:val="none"/>
              </w:rPr>
              <w:t>能力</w:t>
            </w:r>
          </w:p>
        </w:tc>
        <w:tc>
          <w:tcPr>
            <w:tcW w:w="1164" w:type="dxa"/>
            <w:tcBorders>
              <w:top w:val="single" w:color="000000" w:sz="4" w:space="0"/>
              <w:left w:val="nil"/>
              <w:bottom w:val="single" w:color="000000" w:sz="4" w:space="0"/>
              <w:right w:val="single" w:color="000000" w:sz="4" w:space="0"/>
            </w:tcBorders>
            <w:noWrap w:val="0"/>
            <w:vAlign w:val="center"/>
          </w:tcPr>
          <w:p w14:paraId="24A37E35">
            <w:pPr>
              <w:pStyle w:val="36"/>
              <w:jc w:val="center"/>
              <w:rPr>
                <w:rFonts w:hint="eastAsia" w:ascii="宋体" w:hAnsi="宋体" w:eastAsia="宋体" w:cs="宋体"/>
                <w:color w:val="auto"/>
                <w:highlight w:val="none"/>
              </w:rPr>
            </w:pPr>
            <w:r>
              <w:rPr>
                <w:rFonts w:hint="eastAsia" w:ascii="宋体" w:hAnsi="宋体" w:eastAsia="宋体" w:cs="宋体"/>
                <w:color w:val="auto"/>
                <w:highlight w:val="none"/>
              </w:rPr>
              <w:t>用于施</w:t>
            </w:r>
          </w:p>
          <w:p w14:paraId="2BDEA6BE">
            <w:pPr>
              <w:pStyle w:val="36"/>
              <w:jc w:val="center"/>
              <w:rPr>
                <w:rFonts w:hint="eastAsia" w:ascii="宋体" w:hAnsi="宋体" w:eastAsia="宋体" w:cs="宋体"/>
                <w:color w:val="auto"/>
                <w:highlight w:val="none"/>
              </w:rPr>
            </w:pPr>
            <w:r>
              <w:rPr>
                <w:rFonts w:hint="eastAsia" w:ascii="宋体" w:hAnsi="宋体" w:eastAsia="宋体" w:cs="宋体"/>
                <w:color w:val="auto"/>
                <w:highlight w:val="none"/>
              </w:rPr>
              <w:t>工部位</w:t>
            </w:r>
          </w:p>
        </w:tc>
        <w:tc>
          <w:tcPr>
            <w:tcW w:w="764" w:type="dxa"/>
            <w:tcBorders>
              <w:top w:val="single" w:color="000000" w:sz="4" w:space="0"/>
              <w:left w:val="nil"/>
              <w:bottom w:val="single" w:color="000000" w:sz="4" w:space="0"/>
              <w:right w:val="single" w:color="000000" w:sz="4" w:space="0"/>
            </w:tcBorders>
            <w:noWrap w:val="0"/>
            <w:vAlign w:val="center"/>
          </w:tcPr>
          <w:p w14:paraId="1A8FCEC1">
            <w:pPr>
              <w:pStyle w:val="36"/>
              <w:jc w:val="center"/>
              <w:rPr>
                <w:rFonts w:hint="eastAsia" w:ascii="宋体" w:hAnsi="宋体" w:eastAsia="宋体" w:cs="宋体"/>
                <w:color w:val="auto"/>
                <w:highlight w:val="none"/>
              </w:rPr>
            </w:pPr>
            <w:r>
              <w:rPr>
                <w:rFonts w:hint="eastAsia" w:ascii="宋体" w:hAnsi="宋体" w:eastAsia="宋体" w:cs="宋体"/>
                <w:color w:val="auto"/>
                <w:highlight w:val="none"/>
              </w:rPr>
              <w:t>备注</w:t>
            </w:r>
          </w:p>
        </w:tc>
      </w:tr>
      <w:tr w14:paraId="0B668679">
        <w:tblPrEx>
          <w:tblCellMar>
            <w:top w:w="0" w:type="dxa"/>
            <w:left w:w="0" w:type="dxa"/>
            <w:bottom w:w="0" w:type="dxa"/>
            <w:right w:w="0" w:type="dxa"/>
          </w:tblCellMar>
        </w:tblPrEx>
        <w:trPr>
          <w:trHeight w:val="450" w:hRule="atLeast"/>
        </w:trPr>
        <w:tc>
          <w:tcPr>
            <w:tcW w:w="734" w:type="dxa"/>
            <w:tcBorders>
              <w:top w:val="single" w:color="000000" w:sz="4" w:space="0"/>
              <w:left w:val="single" w:color="000000" w:sz="4" w:space="0"/>
              <w:bottom w:val="single" w:color="000000" w:sz="4" w:space="0"/>
              <w:right w:val="single" w:color="000000" w:sz="4" w:space="0"/>
            </w:tcBorders>
            <w:noWrap w:val="0"/>
            <w:vAlign w:val="top"/>
          </w:tcPr>
          <w:p w14:paraId="48C7C447">
            <w:pPr>
              <w:pStyle w:val="36"/>
              <w:rPr>
                <w:rFonts w:hint="eastAsia" w:ascii="宋体" w:hAnsi="宋体" w:eastAsia="宋体" w:cs="宋体"/>
                <w:color w:val="auto"/>
                <w:highlight w:val="none"/>
              </w:rPr>
            </w:pPr>
          </w:p>
        </w:tc>
        <w:tc>
          <w:tcPr>
            <w:tcW w:w="1198" w:type="dxa"/>
            <w:tcBorders>
              <w:top w:val="single" w:color="000000" w:sz="4" w:space="0"/>
              <w:left w:val="nil"/>
              <w:bottom w:val="single" w:color="000000" w:sz="4" w:space="0"/>
              <w:right w:val="single" w:color="000000" w:sz="4" w:space="0"/>
            </w:tcBorders>
            <w:noWrap w:val="0"/>
            <w:vAlign w:val="top"/>
          </w:tcPr>
          <w:p w14:paraId="475152FB">
            <w:pPr>
              <w:pStyle w:val="36"/>
              <w:rPr>
                <w:rFonts w:hint="eastAsia" w:ascii="宋体" w:hAnsi="宋体" w:eastAsia="宋体" w:cs="宋体"/>
                <w:color w:val="auto"/>
                <w:highlight w:val="none"/>
              </w:rPr>
            </w:pPr>
          </w:p>
        </w:tc>
        <w:tc>
          <w:tcPr>
            <w:tcW w:w="839" w:type="dxa"/>
            <w:tcBorders>
              <w:top w:val="single" w:color="000000" w:sz="4" w:space="0"/>
              <w:left w:val="nil"/>
              <w:bottom w:val="single" w:color="000000" w:sz="4" w:space="0"/>
              <w:right w:val="single" w:color="000000" w:sz="4" w:space="0"/>
            </w:tcBorders>
            <w:noWrap w:val="0"/>
            <w:vAlign w:val="top"/>
          </w:tcPr>
          <w:p w14:paraId="7D4D9C90">
            <w:pPr>
              <w:pStyle w:val="36"/>
              <w:rPr>
                <w:rFonts w:hint="eastAsia" w:ascii="宋体" w:hAnsi="宋体" w:eastAsia="宋体" w:cs="宋体"/>
                <w:color w:val="auto"/>
                <w:highlight w:val="none"/>
              </w:rPr>
            </w:pPr>
          </w:p>
        </w:tc>
        <w:tc>
          <w:tcPr>
            <w:tcW w:w="1092" w:type="dxa"/>
            <w:tcBorders>
              <w:top w:val="single" w:color="000000" w:sz="4" w:space="0"/>
              <w:left w:val="nil"/>
              <w:bottom w:val="single" w:color="000000" w:sz="4" w:space="0"/>
              <w:right w:val="single" w:color="000000" w:sz="4" w:space="0"/>
            </w:tcBorders>
            <w:noWrap w:val="0"/>
            <w:vAlign w:val="top"/>
          </w:tcPr>
          <w:p w14:paraId="16ED4638">
            <w:pPr>
              <w:pStyle w:val="36"/>
              <w:rPr>
                <w:rFonts w:hint="eastAsia" w:ascii="宋体" w:hAnsi="宋体" w:eastAsia="宋体" w:cs="宋体"/>
                <w:color w:val="auto"/>
                <w:highlight w:val="none"/>
              </w:rPr>
            </w:pPr>
          </w:p>
        </w:tc>
        <w:tc>
          <w:tcPr>
            <w:tcW w:w="741" w:type="dxa"/>
            <w:tcBorders>
              <w:top w:val="single" w:color="000000" w:sz="4" w:space="0"/>
              <w:left w:val="nil"/>
              <w:bottom w:val="single" w:color="000000" w:sz="4" w:space="0"/>
              <w:right w:val="single" w:color="000000" w:sz="4" w:space="0"/>
            </w:tcBorders>
            <w:noWrap w:val="0"/>
            <w:vAlign w:val="top"/>
          </w:tcPr>
          <w:p w14:paraId="1E63CC4F">
            <w:pPr>
              <w:pStyle w:val="36"/>
              <w:rPr>
                <w:rFonts w:hint="eastAsia" w:ascii="宋体" w:hAnsi="宋体" w:eastAsia="宋体" w:cs="宋体"/>
                <w:color w:val="auto"/>
                <w:highlight w:val="none"/>
              </w:rPr>
            </w:pPr>
          </w:p>
        </w:tc>
        <w:tc>
          <w:tcPr>
            <w:tcW w:w="814" w:type="dxa"/>
            <w:tcBorders>
              <w:top w:val="single" w:color="000000" w:sz="4" w:space="0"/>
              <w:left w:val="nil"/>
              <w:bottom w:val="single" w:color="000000" w:sz="4" w:space="0"/>
              <w:right w:val="single" w:color="000000" w:sz="4" w:space="0"/>
            </w:tcBorders>
            <w:noWrap w:val="0"/>
            <w:vAlign w:val="top"/>
          </w:tcPr>
          <w:p w14:paraId="3DC193E4">
            <w:pPr>
              <w:pStyle w:val="36"/>
              <w:rPr>
                <w:rFonts w:hint="eastAsia" w:ascii="宋体" w:hAnsi="宋体" w:eastAsia="宋体" w:cs="宋体"/>
                <w:color w:val="auto"/>
                <w:highlight w:val="none"/>
              </w:rPr>
            </w:pPr>
          </w:p>
        </w:tc>
        <w:tc>
          <w:tcPr>
            <w:tcW w:w="1337" w:type="dxa"/>
            <w:tcBorders>
              <w:top w:val="single" w:color="000000" w:sz="4" w:space="0"/>
              <w:left w:val="nil"/>
              <w:bottom w:val="single" w:color="000000" w:sz="4" w:space="0"/>
              <w:right w:val="single" w:color="000000" w:sz="4" w:space="0"/>
            </w:tcBorders>
            <w:noWrap w:val="0"/>
            <w:vAlign w:val="top"/>
          </w:tcPr>
          <w:p w14:paraId="30C00843">
            <w:pPr>
              <w:pStyle w:val="36"/>
              <w:rPr>
                <w:rFonts w:hint="eastAsia" w:ascii="宋体" w:hAnsi="宋体" w:eastAsia="宋体" w:cs="宋体"/>
                <w:color w:val="auto"/>
                <w:highlight w:val="none"/>
              </w:rPr>
            </w:pPr>
          </w:p>
        </w:tc>
        <w:tc>
          <w:tcPr>
            <w:tcW w:w="965" w:type="dxa"/>
            <w:tcBorders>
              <w:top w:val="single" w:color="000000" w:sz="4" w:space="0"/>
              <w:left w:val="nil"/>
              <w:bottom w:val="single" w:color="000000" w:sz="4" w:space="0"/>
              <w:right w:val="single" w:color="000000" w:sz="4" w:space="0"/>
            </w:tcBorders>
            <w:noWrap w:val="0"/>
            <w:vAlign w:val="top"/>
          </w:tcPr>
          <w:p w14:paraId="70E7CD62">
            <w:pPr>
              <w:pStyle w:val="36"/>
              <w:rPr>
                <w:rFonts w:hint="eastAsia" w:ascii="宋体" w:hAnsi="宋体" w:eastAsia="宋体" w:cs="宋体"/>
                <w:color w:val="auto"/>
                <w:highlight w:val="none"/>
              </w:rPr>
            </w:pPr>
          </w:p>
        </w:tc>
        <w:tc>
          <w:tcPr>
            <w:tcW w:w="1164" w:type="dxa"/>
            <w:tcBorders>
              <w:top w:val="single" w:color="000000" w:sz="4" w:space="0"/>
              <w:left w:val="nil"/>
              <w:bottom w:val="single" w:color="000000" w:sz="4" w:space="0"/>
              <w:right w:val="single" w:color="000000" w:sz="4" w:space="0"/>
            </w:tcBorders>
            <w:noWrap w:val="0"/>
            <w:vAlign w:val="top"/>
          </w:tcPr>
          <w:p w14:paraId="172FE672">
            <w:pPr>
              <w:pStyle w:val="36"/>
              <w:rPr>
                <w:rFonts w:hint="eastAsia" w:ascii="宋体" w:hAnsi="宋体" w:eastAsia="宋体" w:cs="宋体"/>
                <w:color w:val="auto"/>
                <w:highlight w:val="none"/>
              </w:rPr>
            </w:pPr>
          </w:p>
        </w:tc>
        <w:tc>
          <w:tcPr>
            <w:tcW w:w="764" w:type="dxa"/>
            <w:tcBorders>
              <w:top w:val="single" w:color="000000" w:sz="4" w:space="0"/>
              <w:left w:val="nil"/>
              <w:bottom w:val="single" w:color="000000" w:sz="4" w:space="0"/>
              <w:right w:val="single" w:color="000000" w:sz="4" w:space="0"/>
            </w:tcBorders>
            <w:noWrap w:val="0"/>
            <w:vAlign w:val="top"/>
          </w:tcPr>
          <w:p w14:paraId="7FDC189C">
            <w:pPr>
              <w:pStyle w:val="36"/>
              <w:rPr>
                <w:rFonts w:hint="eastAsia" w:ascii="宋体" w:hAnsi="宋体" w:eastAsia="宋体" w:cs="宋体"/>
                <w:color w:val="auto"/>
                <w:highlight w:val="none"/>
              </w:rPr>
            </w:pPr>
          </w:p>
        </w:tc>
      </w:tr>
      <w:tr w14:paraId="7854B239">
        <w:tblPrEx>
          <w:tblCellMar>
            <w:top w:w="0" w:type="dxa"/>
            <w:left w:w="0" w:type="dxa"/>
            <w:bottom w:w="0" w:type="dxa"/>
            <w:right w:w="0" w:type="dxa"/>
          </w:tblCellMar>
        </w:tblPrEx>
        <w:trPr>
          <w:trHeight w:val="450" w:hRule="atLeast"/>
        </w:trPr>
        <w:tc>
          <w:tcPr>
            <w:tcW w:w="734" w:type="dxa"/>
            <w:tcBorders>
              <w:top w:val="single" w:color="000000" w:sz="4" w:space="0"/>
              <w:left w:val="single" w:color="000000" w:sz="4" w:space="0"/>
              <w:bottom w:val="single" w:color="000000" w:sz="4" w:space="0"/>
              <w:right w:val="single" w:color="000000" w:sz="4" w:space="0"/>
            </w:tcBorders>
            <w:noWrap w:val="0"/>
            <w:vAlign w:val="top"/>
          </w:tcPr>
          <w:p w14:paraId="401E38D4">
            <w:pPr>
              <w:pStyle w:val="36"/>
              <w:rPr>
                <w:rFonts w:hint="eastAsia" w:ascii="宋体" w:hAnsi="宋体" w:eastAsia="宋体" w:cs="宋体"/>
                <w:color w:val="auto"/>
                <w:highlight w:val="none"/>
              </w:rPr>
            </w:pPr>
          </w:p>
        </w:tc>
        <w:tc>
          <w:tcPr>
            <w:tcW w:w="1198" w:type="dxa"/>
            <w:tcBorders>
              <w:top w:val="single" w:color="000000" w:sz="4" w:space="0"/>
              <w:left w:val="nil"/>
              <w:bottom w:val="single" w:color="000000" w:sz="4" w:space="0"/>
              <w:right w:val="single" w:color="000000" w:sz="4" w:space="0"/>
            </w:tcBorders>
            <w:noWrap w:val="0"/>
            <w:vAlign w:val="top"/>
          </w:tcPr>
          <w:p w14:paraId="37A38E39">
            <w:pPr>
              <w:pStyle w:val="36"/>
              <w:rPr>
                <w:rFonts w:hint="eastAsia" w:ascii="宋体" w:hAnsi="宋体" w:eastAsia="宋体" w:cs="宋体"/>
                <w:color w:val="auto"/>
                <w:highlight w:val="none"/>
              </w:rPr>
            </w:pPr>
          </w:p>
        </w:tc>
        <w:tc>
          <w:tcPr>
            <w:tcW w:w="839" w:type="dxa"/>
            <w:tcBorders>
              <w:top w:val="single" w:color="000000" w:sz="4" w:space="0"/>
              <w:left w:val="nil"/>
              <w:bottom w:val="single" w:color="000000" w:sz="4" w:space="0"/>
              <w:right w:val="single" w:color="000000" w:sz="4" w:space="0"/>
            </w:tcBorders>
            <w:noWrap w:val="0"/>
            <w:vAlign w:val="top"/>
          </w:tcPr>
          <w:p w14:paraId="65AA8500">
            <w:pPr>
              <w:pStyle w:val="36"/>
              <w:rPr>
                <w:rFonts w:hint="eastAsia" w:ascii="宋体" w:hAnsi="宋体" w:eastAsia="宋体" w:cs="宋体"/>
                <w:color w:val="auto"/>
                <w:highlight w:val="none"/>
              </w:rPr>
            </w:pPr>
          </w:p>
        </w:tc>
        <w:tc>
          <w:tcPr>
            <w:tcW w:w="1092" w:type="dxa"/>
            <w:tcBorders>
              <w:top w:val="single" w:color="000000" w:sz="4" w:space="0"/>
              <w:left w:val="nil"/>
              <w:bottom w:val="single" w:color="000000" w:sz="4" w:space="0"/>
              <w:right w:val="single" w:color="000000" w:sz="4" w:space="0"/>
            </w:tcBorders>
            <w:noWrap w:val="0"/>
            <w:vAlign w:val="top"/>
          </w:tcPr>
          <w:p w14:paraId="46728438">
            <w:pPr>
              <w:pStyle w:val="36"/>
              <w:rPr>
                <w:rFonts w:hint="eastAsia" w:ascii="宋体" w:hAnsi="宋体" w:eastAsia="宋体" w:cs="宋体"/>
                <w:color w:val="auto"/>
                <w:highlight w:val="none"/>
              </w:rPr>
            </w:pPr>
          </w:p>
        </w:tc>
        <w:tc>
          <w:tcPr>
            <w:tcW w:w="741" w:type="dxa"/>
            <w:tcBorders>
              <w:top w:val="single" w:color="000000" w:sz="4" w:space="0"/>
              <w:left w:val="nil"/>
              <w:bottom w:val="single" w:color="000000" w:sz="4" w:space="0"/>
              <w:right w:val="single" w:color="000000" w:sz="4" w:space="0"/>
            </w:tcBorders>
            <w:noWrap w:val="0"/>
            <w:vAlign w:val="top"/>
          </w:tcPr>
          <w:p w14:paraId="641761B3">
            <w:pPr>
              <w:pStyle w:val="36"/>
              <w:rPr>
                <w:rFonts w:hint="eastAsia" w:ascii="宋体" w:hAnsi="宋体" w:eastAsia="宋体" w:cs="宋体"/>
                <w:color w:val="auto"/>
                <w:highlight w:val="none"/>
              </w:rPr>
            </w:pPr>
          </w:p>
        </w:tc>
        <w:tc>
          <w:tcPr>
            <w:tcW w:w="814" w:type="dxa"/>
            <w:tcBorders>
              <w:top w:val="single" w:color="000000" w:sz="4" w:space="0"/>
              <w:left w:val="nil"/>
              <w:bottom w:val="single" w:color="000000" w:sz="4" w:space="0"/>
              <w:right w:val="single" w:color="000000" w:sz="4" w:space="0"/>
            </w:tcBorders>
            <w:noWrap w:val="0"/>
            <w:vAlign w:val="top"/>
          </w:tcPr>
          <w:p w14:paraId="2DD0B87A">
            <w:pPr>
              <w:pStyle w:val="36"/>
              <w:rPr>
                <w:rFonts w:hint="eastAsia" w:ascii="宋体" w:hAnsi="宋体" w:eastAsia="宋体" w:cs="宋体"/>
                <w:color w:val="auto"/>
                <w:highlight w:val="none"/>
              </w:rPr>
            </w:pPr>
          </w:p>
        </w:tc>
        <w:tc>
          <w:tcPr>
            <w:tcW w:w="1337" w:type="dxa"/>
            <w:tcBorders>
              <w:top w:val="single" w:color="000000" w:sz="4" w:space="0"/>
              <w:left w:val="nil"/>
              <w:bottom w:val="single" w:color="000000" w:sz="4" w:space="0"/>
              <w:right w:val="single" w:color="000000" w:sz="4" w:space="0"/>
            </w:tcBorders>
            <w:noWrap w:val="0"/>
            <w:vAlign w:val="top"/>
          </w:tcPr>
          <w:p w14:paraId="14444A38">
            <w:pPr>
              <w:pStyle w:val="36"/>
              <w:rPr>
                <w:rFonts w:hint="eastAsia" w:ascii="宋体" w:hAnsi="宋体" w:eastAsia="宋体" w:cs="宋体"/>
                <w:color w:val="auto"/>
                <w:highlight w:val="none"/>
              </w:rPr>
            </w:pPr>
          </w:p>
        </w:tc>
        <w:tc>
          <w:tcPr>
            <w:tcW w:w="965" w:type="dxa"/>
            <w:tcBorders>
              <w:top w:val="single" w:color="000000" w:sz="4" w:space="0"/>
              <w:left w:val="nil"/>
              <w:bottom w:val="single" w:color="000000" w:sz="4" w:space="0"/>
              <w:right w:val="single" w:color="000000" w:sz="4" w:space="0"/>
            </w:tcBorders>
            <w:noWrap w:val="0"/>
            <w:vAlign w:val="top"/>
          </w:tcPr>
          <w:p w14:paraId="612803C1">
            <w:pPr>
              <w:pStyle w:val="36"/>
              <w:rPr>
                <w:rFonts w:hint="eastAsia" w:ascii="宋体" w:hAnsi="宋体" w:eastAsia="宋体" w:cs="宋体"/>
                <w:color w:val="auto"/>
                <w:highlight w:val="none"/>
              </w:rPr>
            </w:pPr>
          </w:p>
        </w:tc>
        <w:tc>
          <w:tcPr>
            <w:tcW w:w="1164" w:type="dxa"/>
            <w:tcBorders>
              <w:top w:val="single" w:color="000000" w:sz="4" w:space="0"/>
              <w:left w:val="nil"/>
              <w:bottom w:val="single" w:color="000000" w:sz="4" w:space="0"/>
              <w:right w:val="single" w:color="000000" w:sz="4" w:space="0"/>
            </w:tcBorders>
            <w:noWrap w:val="0"/>
            <w:vAlign w:val="top"/>
          </w:tcPr>
          <w:p w14:paraId="1F5F9AD0">
            <w:pPr>
              <w:pStyle w:val="36"/>
              <w:rPr>
                <w:rFonts w:hint="eastAsia" w:ascii="宋体" w:hAnsi="宋体" w:eastAsia="宋体" w:cs="宋体"/>
                <w:color w:val="auto"/>
                <w:highlight w:val="none"/>
              </w:rPr>
            </w:pPr>
          </w:p>
        </w:tc>
        <w:tc>
          <w:tcPr>
            <w:tcW w:w="764" w:type="dxa"/>
            <w:tcBorders>
              <w:top w:val="single" w:color="000000" w:sz="4" w:space="0"/>
              <w:left w:val="nil"/>
              <w:bottom w:val="single" w:color="000000" w:sz="4" w:space="0"/>
              <w:right w:val="single" w:color="000000" w:sz="4" w:space="0"/>
            </w:tcBorders>
            <w:noWrap w:val="0"/>
            <w:vAlign w:val="top"/>
          </w:tcPr>
          <w:p w14:paraId="31687AA3">
            <w:pPr>
              <w:pStyle w:val="36"/>
              <w:rPr>
                <w:rFonts w:hint="eastAsia" w:ascii="宋体" w:hAnsi="宋体" w:eastAsia="宋体" w:cs="宋体"/>
                <w:color w:val="auto"/>
                <w:highlight w:val="none"/>
              </w:rPr>
            </w:pPr>
          </w:p>
        </w:tc>
      </w:tr>
      <w:tr w14:paraId="3E834446">
        <w:tblPrEx>
          <w:tblCellMar>
            <w:top w:w="0" w:type="dxa"/>
            <w:left w:w="0" w:type="dxa"/>
            <w:bottom w:w="0" w:type="dxa"/>
            <w:right w:w="0" w:type="dxa"/>
          </w:tblCellMar>
        </w:tblPrEx>
        <w:trPr>
          <w:trHeight w:val="450" w:hRule="atLeast"/>
        </w:trPr>
        <w:tc>
          <w:tcPr>
            <w:tcW w:w="734" w:type="dxa"/>
            <w:tcBorders>
              <w:top w:val="single" w:color="000000" w:sz="4" w:space="0"/>
              <w:left w:val="single" w:color="000000" w:sz="4" w:space="0"/>
              <w:bottom w:val="single" w:color="000000" w:sz="4" w:space="0"/>
              <w:right w:val="single" w:color="000000" w:sz="4" w:space="0"/>
            </w:tcBorders>
            <w:noWrap w:val="0"/>
            <w:vAlign w:val="top"/>
          </w:tcPr>
          <w:p w14:paraId="6918B699">
            <w:pPr>
              <w:pStyle w:val="36"/>
              <w:rPr>
                <w:rFonts w:hint="eastAsia" w:ascii="宋体" w:hAnsi="宋体" w:eastAsia="宋体" w:cs="宋体"/>
                <w:color w:val="auto"/>
                <w:highlight w:val="none"/>
              </w:rPr>
            </w:pPr>
          </w:p>
        </w:tc>
        <w:tc>
          <w:tcPr>
            <w:tcW w:w="1198" w:type="dxa"/>
            <w:tcBorders>
              <w:top w:val="single" w:color="000000" w:sz="4" w:space="0"/>
              <w:left w:val="nil"/>
              <w:bottom w:val="single" w:color="000000" w:sz="4" w:space="0"/>
              <w:right w:val="single" w:color="000000" w:sz="4" w:space="0"/>
            </w:tcBorders>
            <w:noWrap w:val="0"/>
            <w:vAlign w:val="top"/>
          </w:tcPr>
          <w:p w14:paraId="271DC2FE">
            <w:pPr>
              <w:pStyle w:val="36"/>
              <w:rPr>
                <w:rFonts w:hint="eastAsia" w:ascii="宋体" w:hAnsi="宋体" w:eastAsia="宋体" w:cs="宋体"/>
                <w:color w:val="auto"/>
                <w:highlight w:val="none"/>
              </w:rPr>
            </w:pPr>
          </w:p>
        </w:tc>
        <w:tc>
          <w:tcPr>
            <w:tcW w:w="839" w:type="dxa"/>
            <w:tcBorders>
              <w:top w:val="single" w:color="000000" w:sz="4" w:space="0"/>
              <w:left w:val="nil"/>
              <w:bottom w:val="single" w:color="000000" w:sz="4" w:space="0"/>
              <w:right w:val="single" w:color="000000" w:sz="4" w:space="0"/>
            </w:tcBorders>
            <w:noWrap w:val="0"/>
            <w:vAlign w:val="top"/>
          </w:tcPr>
          <w:p w14:paraId="70BAA48B">
            <w:pPr>
              <w:pStyle w:val="36"/>
              <w:rPr>
                <w:rFonts w:hint="eastAsia" w:ascii="宋体" w:hAnsi="宋体" w:eastAsia="宋体" w:cs="宋体"/>
                <w:color w:val="auto"/>
                <w:highlight w:val="none"/>
              </w:rPr>
            </w:pPr>
          </w:p>
        </w:tc>
        <w:tc>
          <w:tcPr>
            <w:tcW w:w="1092" w:type="dxa"/>
            <w:tcBorders>
              <w:top w:val="single" w:color="000000" w:sz="4" w:space="0"/>
              <w:left w:val="nil"/>
              <w:bottom w:val="single" w:color="000000" w:sz="4" w:space="0"/>
              <w:right w:val="single" w:color="000000" w:sz="4" w:space="0"/>
            </w:tcBorders>
            <w:noWrap w:val="0"/>
            <w:vAlign w:val="top"/>
          </w:tcPr>
          <w:p w14:paraId="4FD6775C">
            <w:pPr>
              <w:pStyle w:val="36"/>
              <w:rPr>
                <w:rFonts w:hint="eastAsia" w:ascii="宋体" w:hAnsi="宋体" w:eastAsia="宋体" w:cs="宋体"/>
                <w:color w:val="auto"/>
                <w:highlight w:val="none"/>
              </w:rPr>
            </w:pPr>
          </w:p>
        </w:tc>
        <w:tc>
          <w:tcPr>
            <w:tcW w:w="741" w:type="dxa"/>
            <w:tcBorders>
              <w:top w:val="single" w:color="000000" w:sz="4" w:space="0"/>
              <w:left w:val="nil"/>
              <w:bottom w:val="single" w:color="000000" w:sz="4" w:space="0"/>
              <w:right w:val="single" w:color="000000" w:sz="4" w:space="0"/>
            </w:tcBorders>
            <w:noWrap w:val="0"/>
            <w:vAlign w:val="top"/>
          </w:tcPr>
          <w:p w14:paraId="3A6D84CD">
            <w:pPr>
              <w:pStyle w:val="36"/>
              <w:rPr>
                <w:rFonts w:hint="eastAsia" w:ascii="宋体" w:hAnsi="宋体" w:eastAsia="宋体" w:cs="宋体"/>
                <w:color w:val="auto"/>
                <w:highlight w:val="none"/>
              </w:rPr>
            </w:pPr>
          </w:p>
        </w:tc>
        <w:tc>
          <w:tcPr>
            <w:tcW w:w="814" w:type="dxa"/>
            <w:tcBorders>
              <w:top w:val="single" w:color="000000" w:sz="4" w:space="0"/>
              <w:left w:val="nil"/>
              <w:bottom w:val="single" w:color="000000" w:sz="4" w:space="0"/>
              <w:right w:val="single" w:color="000000" w:sz="4" w:space="0"/>
            </w:tcBorders>
            <w:noWrap w:val="0"/>
            <w:vAlign w:val="top"/>
          </w:tcPr>
          <w:p w14:paraId="60C9DB3B">
            <w:pPr>
              <w:pStyle w:val="36"/>
              <w:rPr>
                <w:rFonts w:hint="eastAsia" w:ascii="宋体" w:hAnsi="宋体" w:eastAsia="宋体" w:cs="宋体"/>
                <w:color w:val="auto"/>
                <w:highlight w:val="none"/>
              </w:rPr>
            </w:pPr>
          </w:p>
        </w:tc>
        <w:tc>
          <w:tcPr>
            <w:tcW w:w="1337" w:type="dxa"/>
            <w:tcBorders>
              <w:top w:val="single" w:color="000000" w:sz="4" w:space="0"/>
              <w:left w:val="nil"/>
              <w:bottom w:val="single" w:color="000000" w:sz="4" w:space="0"/>
              <w:right w:val="single" w:color="000000" w:sz="4" w:space="0"/>
            </w:tcBorders>
            <w:noWrap w:val="0"/>
            <w:vAlign w:val="top"/>
          </w:tcPr>
          <w:p w14:paraId="370D236D">
            <w:pPr>
              <w:pStyle w:val="36"/>
              <w:rPr>
                <w:rFonts w:hint="eastAsia" w:ascii="宋体" w:hAnsi="宋体" w:eastAsia="宋体" w:cs="宋体"/>
                <w:color w:val="auto"/>
                <w:highlight w:val="none"/>
              </w:rPr>
            </w:pPr>
          </w:p>
        </w:tc>
        <w:tc>
          <w:tcPr>
            <w:tcW w:w="965" w:type="dxa"/>
            <w:tcBorders>
              <w:top w:val="single" w:color="000000" w:sz="4" w:space="0"/>
              <w:left w:val="nil"/>
              <w:bottom w:val="single" w:color="000000" w:sz="4" w:space="0"/>
              <w:right w:val="single" w:color="000000" w:sz="4" w:space="0"/>
            </w:tcBorders>
            <w:noWrap w:val="0"/>
            <w:vAlign w:val="top"/>
          </w:tcPr>
          <w:p w14:paraId="20AB8898">
            <w:pPr>
              <w:pStyle w:val="36"/>
              <w:rPr>
                <w:rFonts w:hint="eastAsia" w:ascii="宋体" w:hAnsi="宋体" w:eastAsia="宋体" w:cs="宋体"/>
                <w:color w:val="auto"/>
                <w:highlight w:val="none"/>
              </w:rPr>
            </w:pPr>
          </w:p>
        </w:tc>
        <w:tc>
          <w:tcPr>
            <w:tcW w:w="1164" w:type="dxa"/>
            <w:tcBorders>
              <w:top w:val="single" w:color="000000" w:sz="4" w:space="0"/>
              <w:left w:val="nil"/>
              <w:bottom w:val="single" w:color="000000" w:sz="4" w:space="0"/>
              <w:right w:val="single" w:color="000000" w:sz="4" w:space="0"/>
            </w:tcBorders>
            <w:noWrap w:val="0"/>
            <w:vAlign w:val="top"/>
          </w:tcPr>
          <w:p w14:paraId="49999EDD">
            <w:pPr>
              <w:pStyle w:val="36"/>
              <w:rPr>
                <w:rFonts w:hint="eastAsia" w:ascii="宋体" w:hAnsi="宋体" w:eastAsia="宋体" w:cs="宋体"/>
                <w:color w:val="auto"/>
                <w:highlight w:val="none"/>
              </w:rPr>
            </w:pPr>
          </w:p>
        </w:tc>
        <w:tc>
          <w:tcPr>
            <w:tcW w:w="764" w:type="dxa"/>
            <w:tcBorders>
              <w:top w:val="single" w:color="000000" w:sz="4" w:space="0"/>
              <w:left w:val="nil"/>
              <w:bottom w:val="single" w:color="000000" w:sz="4" w:space="0"/>
              <w:right w:val="single" w:color="000000" w:sz="4" w:space="0"/>
            </w:tcBorders>
            <w:noWrap w:val="0"/>
            <w:vAlign w:val="top"/>
          </w:tcPr>
          <w:p w14:paraId="6F808437">
            <w:pPr>
              <w:pStyle w:val="36"/>
              <w:rPr>
                <w:rFonts w:hint="eastAsia" w:ascii="宋体" w:hAnsi="宋体" w:eastAsia="宋体" w:cs="宋体"/>
                <w:color w:val="auto"/>
                <w:highlight w:val="none"/>
              </w:rPr>
            </w:pPr>
          </w:p>
        </w:tc>
      </w:tr>
      <w:tr w14:paraId="13373361">
        <w:tblPrEx>
          <w:tblCellMar>
            <w:top w:w="0" w:type="dxa"/>
            <w:left w:w="0" w:type="dxa"/>
            <w:bottom w:w="0" w:type="dxa"/>
            <w:right w:w="0" w:type="dxa"/>
          </w:tblCellMar>
        </w:tblPrEx>
        <w:trPr>
          <w:trHeight w:val="450" w:hRule="atLeast"/>
        </w:trPr>
        <w:tc>
          <w:tcPr>
            <w:tcW w:w="734" w:type="dxa"/>
            <w:tcBorders>
              <w:top w:val="single" w:color="000000" w:sz="4" w:space="0"/>
              <w:left w:val="single" w:color="000000" w:sz="4" w:space="0"/>
              <w:bottom w:val="single" w:color="000000" w:sz="4" w:space="0"/>
              <w:right w:val="single" w:color="000000" w:sz="4" w:space="0"/>
            </w:tcBorders>
            <w:noWrap w:val="0"/>
            <w:vAlign w:val="top"/>
          </w:tcPr>
          <w:p w14:paraId="2379DB31">
            <w:pPr>
              <w:pStyle w:val="36"/>
              <w:rPr>
                <w:rFonts w:hint="eastAsia" w:ascii="宋体" w:hAnsi="宋体" w:eastAsia="宋体" w:cs="宋体"/>
                <w:color w:val="auto"/>
                <w:highlight w:val="none"/>
              </w:rPr>
            </w:pPr>
          </w:p>
        </w:tc>
        <w:tc>
          <w:tcPr>
            <w:tcW w:w="1198" w:type="dxa"/>
            <w:tcBorders>
              <w:top w:val="single" w:color="000000" w:sz="4" w:space="0"/>
              <w:left w:val="nil"/>
              <w:bottom w:val="single" w:color="000000" w:sz="4" w:space="0"/>
              <w:right w:val="single" w:color="000000" w:sz="4" w:space="0"/>
            </w:tcBorders>
            <w:noWrap w:val="0"/>
            <w:vAlign w:val="top"/>
          </w:tcPr>
          <w:p w14:paraId="5BE3AA1E">
            <w:pPr>
              <w:pStyle w:val="36"/>
              <w:rPr>
                <w:rFonts w:hint="eastAsia" w:ascii="宋体" w:hAnsi="宋体" w:eastAsia="宋体" w:cs="宋体"/>
                <w:color w:val="auto"/>
                <w:highlight w:val="none"/>
              </w:rPr>
            </w:pPr>
          </w:p>
        </w:tc>
        <w:tc>
          <w:tcPr>
            <w:tcW w:w="839" w:type="dxa"/>
            <w:tcBorders>
              <w:top w:val="single" w:color="000000" w:sz="4" w:space="0"/>
              <w:left w:val="nil"/>
              <w:bottom w:val="single" w:color="000000" w:sz="4" w:space="0"/>
              <w:right w:val="single" w:color="000000" w:sz="4" w:space="0"/>
            </w:tcBorders>
            <w:noWrap w:val="0"/>
            <w:vAlign w:val="top"/>
          </w:tcPr>
          <w:p w14:paraId="44FCD454">
            <w:pPr>
              <w:pStyle w:val="36"/>
              <w:rPr>
                <w:rFonts w:hint="eastAsia" w:ascii="宋体" w:hAnsi="宋体" w:eastAsia="宋体" w:cs="宋体"/>
                <w:color w:val="auto"/>
                <w:highlight w:val="none"/>
              </w:rPr>
            </w:pPr>
          </w:p>
        </w:tc>
        <w:tc>
          <w:tcPr>
            <w:tcW w:w="1092" w:type="dxa"/>
            <w:tcBorders>
              <w:top w:val="single" w:color="000000" w:sz="4" w:space="0"/>
              <w:left w:val="nil"/>
              <w:bottom w:val="single" w:color="000000" w:sz="4" w:space="0"/>
              <w:right w:val="single" w:color="000000" w:sz="4" w:space="0"/>
            </w:tcBorders>
            <w:noWrap w:val="0"/>
            <w:vAlign w:val="top"/>
          </w:tcPr>
          <w:p w14:paraId="1004C18A">
            <w:pPr>
              <w:pStyle w:val="36"/>
              <w:rPr>
                <w:rFonts w:hint="eastAsia" w:ascii="宋体" w:hAnsi="宋体" w:eastAsia="宋体" w:cs="宋体"/>
                <w:color w:val="auto"/>
                <w:highlight w:val="none"/>
              </w:rPr>
            </w:pPr>
          </w:p>
        </w:tc>
        <w:tc>
          <w:tcPr>
            <w:tcW w:w="741" w:type="dxa"/>
            <w:tcBorders>
              <w:top w:val="single" w:color="000000" w:sz="4" w:space="0"/>
              <w:left w:val="nil"/>
              <w:bottom w:val="single" w:color="000000" w:sz="4" w:space="0"/>
              <w:right w:val="single" w:color="000000" w:sz="4" w:space="0"/>
            </w:tcBorders>
            <w:noWrap w:val="0"/>
            <w:vAlign w:val="top"/>
          </w:tcPr>
          <w:p w14:paraId="6DEB3C8F">
            <w:pPr>
              <w:pStyle w:val="36"/>
              <w:rPr>
                <w:rFonts w:hint="eastAsia" w:ascii="宋体" w:hAnsi="宋体" w:eastAsia="宋体" w:cs="宋体"/>
                <w:color w:val="auto"/>
                <w:highlight w:val="none"/>
              </w:rPr>
            </w:pPr>
          </w:p>
        </w:tc>
        <w:tc>
          <w:tcPr>
            <w:tcW w:w="814" w:type="dxa"/>
            <w:tcBorders>
              <w:top w:val="single" w:color="000000" w:sz="4" w:space="0"/>
              <w:left w:val="nil"/>
              <w:bottom w:val="single" w:color="000000" w:sz="4" w:space="0"/>
              <w:right w:val="single" w:color="000000" w:sz="4" w:space="0"/>
            </w:tcBorders>
            <w:noWrap w:val="0"/>
            <w:vAlign w:val="top"/>
          </w:tcPr>
          <w:p w14:paraId="2EC4009F">
            <w:pPr>
              <w:pStyle w:val="36"/>
              <w:rPr>
                <w:rFonts w:hint="eastAsia" w:ascii="宋体" w:hAnsi="宋体" w:eastAsia="宋体" w:cs="宋体"/>
                <w:color w:val="auto"/>
                <w:highlight w:val="none"/>
              </w:rPr>
            </w:pPr>
          </w:p>
        </w:tc>
        <w:tc>
          <w:tcPr>
            <w:tcW w:w="1337" w:type="dxa"/>
            <w:tcBorders>
              <w:top w:val="single" w:color="000000" w:sz="4" w:space="0"/>
              <w:left w:val="nil"/>
              <w:bottom w:val="single" w:color="000000" w:sz="4" w:space="0"/>
              <w:right w:val="single" w:color="000000" w:sz="4" w:space="0"/>
            </w:tcBorders>
            <w:noWrap w:val="0"/>
            <w:vAlign w:val="top"/>
          </w:tcPr>
          <w:p w14:paraId="4BB802F4">
            <w:pPr>
              <w:pStyle w:val="36"/>
              <w:rPr>
                <w:rFonts w:hint="eastAsia" w:ascii="宋体" w:hAnsi="宋体" w:eastAsia="宋体" w:cs="宋体"/>
                <w:color w:val="auto"/>
                <w:highlight w:val="none"/>
              </w:rPr>
            </w:pPr>
          </w:p>
        </w:tc>
        <w:tc>
          <w:tcPr>
            <w:tcW w:w="965" w:type="dxa"/>
            <w:tcBorders>
              <w:top w:val="single" w:color="000000" w:sz="4" w:space="0"/>
              <w:left w:val="nil"/>
              <w:bottom w:val="single" w:color="000000" w:sz="4" w:space="0"/>
              <w:right w:val="single" w:color="000000" w:sz="4" w:space="0"/>
            </w:tcBorders>
            <w:noWrap w:val="0"/>
            <w:vAlign w:val="top"/>
          </w:tcPr>
          <w:p w14:paraId="7ACD0F98">
            <w:pPr>
              <w:pStyle w:val="36"/>
              <w:rPr>
                <w:rFonts w:hint="eastAsia" w:ascii="宋体" w:hAnsi="宋体" w:eastAsia="宋体" w:cs="宋体"/>
                <w:color w:val="auto"/>
                <w:highlight w:val="none"/>
              </w:rPr>
            </w:pPr>
          </w:p>
        </w:tc>
        <w:tc>
          <w:tcPr>
            <w:tcW w:w="1164" w:type="dxa"/>
            <w:tcBorders>
              <w:top w:val="single" w:color="000000" w:sz="4" w:space="0"/>
              <w:left w:val="nil"/>
              <w:bottom w:val="single" w:color="000000" w:sz="4" w:space="0"/>
              <w:right w:val="single" w:color="000000" w:sz="4" w:space="0"/>
            </w:tcBorders>
            <w:noWrap w:val="0"/>
            <w:vAlign w:val="top"/>
          </w:tcPr>
          <w:p w14:paraId="48A46058">
            <w:pPr>
              <w:pStyle w:val="36"/>
              <w:rPr>
                <w:rFonts w:hint="eastAsia" w:ascii="宋体" w:hAnsi="宋体" w:eastAsia="宋体" w:cs="宋体"/>
                <w:color w:val="auto"/>
                <w:highlight w:val="none"/>
              </w:rPr>
            </w:pPr>
          </w:p>
        </w:tc>
        <w:tc>
          <w:tcPr>
            <w:tcW w:w="764" w:type="dxa"/>
            <w:tcBorders>
              <w:top w:val="single" w:color="000000" w:sz="4" w:space="0"/>
              <w:left w:val="nil"/>
              <w:bottom w:val="single" w:color="000000" w:sz="4" w:space="0"/>
              <w:right w:val="single" w:color="000000" w:sz="4" w:space="0"/>
            </w:tcBorders>
            <w:noWrap w:val="0"/>
            <w:vAlign w:val="top"/>
          </w:tcPr>
          <w:p w14:paraId="02BDFDD7">
            <w:pPr>
              <w:pStyle w:val="36"/>
              <w:rPr>
                <w:rFonts w:hint="eastAsia" w:ascii="宋体" w:hAnsi="宋体" w:eastAsia="宋体" w:cs="宋体"/>
                <w:color w:val="auto"/>
                <w:highlight w:val="none"/>
              </w:rPr>
            </w:pPr>
          </w:p>
        </w:tc>
      </w:tr>
    </w:tbl>
    <w:p w14:paraId="0F70465A">
      <w:pPr>
        <w:pStyle w:val="36"/>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4C671247">
      <w:pPr>
        <w:rPr>
          <w:rFonts w:hint="eastAsia" w:ascii="宋体" w:hAnsi="宋体" w:eastAsia="宋体" w:cs="宋体"/>
          <w:b/>
          <w:color w:val="auto"/>
          <w:highlight w:val="none"/>
        </w:rPr>
      </w:pPr>
      <w:bookmarkStart w:id="2401" w:name="_Toc418752352"/>
      <w:bookmarkStart w:id="2402" w:name="_Toc483317225"/>
      <w:bookmarkStart w:id="2403" w:name="_Toc418751906"/>
      <w:r>
        <w:rPr>
          <w:rFonts w:hint="eastAsia" w:ascii="宋体" w:hAnsi="宋体" w:eastAsia="宋体" w:cs="宋体"/>
          <w:b/>
          <w:color w:val="auto"/>
          <w:highlight w:val="none"/>
        </w:rPr>
        <w:t>附表二：拟配备本项目的试验和检测仪器设备表</w:t>
      </w:r>
      <w:bookmarkEnd w:id="2401"/>
      <w:bookmarkEnd w:id="2402"/>
      <w:bookmarkEnd w:id="2403"/>
    </w:p>
    <w:tbl>
      <w:tblPr>
        <w:tblStyle w:val="29"/>
        <w:tblW w:w="9648" w:type="dxa"/>
        <w:tblInd w:w="-5" w:type="dxa"/>
        <w:tblLayout w:type="fixed"/>
        <w:tblCellMar>
          <w:top w:w="0" w:type="dxa"/>
          <w:left w:w="0" w:type="dxa"/>
          <w:bottom w:w="0" w:type="dxa"/>
          <w:right w:w="0" w:type="dxa"/>
        </w:tblCellMar>
      </w:tblPr>
      <w:tblGrid>
        <w:gridCol w:w="759"/>
        <w:gridCol w:w="1239"/>
        <w:gridCol w:w="866"/>
        <w:gridCol w:w="1129"/>
        <w:gridCol w:w="766"/>
        <w:gridCol w:w="841"/>
        <w:gridCol w:w="1382"/>
        <w:gridCol w:w="1885"/>
        <w:gridCol w:w="781"/>
      </w:tblGrid>
      <w:tr w14:paraId="0AD151FE">
        <w:tblPrEx>
          <w:tblCellMar>
            <w:top w:w="0" w:type="dxa"/>
            <w:left w:w="0" w:type="dxa"/>
            <w:bottom w:w="0" w:type="dxa"/>
            <w:right w:w="0" w:type="dxa"/>
          </w:tblCellMar>
        </w:tblPrEx>
        <w:trPr>
          <w:trHeight w:val="889" w:hRule="atLeast"/>
        </w:trPr>
        <w:tc>
          <w:tcPr>
            <w:tcW w:w="759" w:type="dxa"/>
            <w:tcBorders>
              <w:top w:val="single" w:color="000000" w:sz="4" w:space="0"/>
              <w:left w:val="single" w:color="000000" w:sz="4" w:space="0"/>
              <w:bottom w:val="single" w:color="000000" w:sz="4" w:space="0"/>
              <w:right w:val="single" w:color="000000" w:sz="4" w:space="0"/>
            </w:tcBorders>
            <w:noWrap w:val="0"/>
            <w:vAlign w:val="center"/>
          </w:tcPr>
          <w:p w14:paraId="22EA4E05">
            <w:pPr>
              <w:pStyle w:val="36"/>
              <w:jc w:val="center"/>
              <w:rPr>
                <w:rFonts w:hint="eastAsia" w:ascii="宋体" w:hAnsi="宋体" w:eastAsia="宋体" w:cs="宋体"/>
                <w:color w:val="auto"/>
                <w:sz w:val="24"/>
                <w:szCs w:val="24"/>
                <w:highlight w:val="none"/>
              </w:rPr>
            </w:pPr>
            <w:r>
              <w:rPr>
                <w:rFonts w:hint="eastAsia" w:ascii="宋体" w:hAnsi="宋体" w:eastAsia="宋体" w:cs="宋体"/>
                <w:color w:val="auto"/>
                <w:highlight w:val="none"/>
              </w:rPr>
              <w:t>序号</w:t>
            </w:r>
          </w:p>
        </w:tc>
        <w:tc>
          <w:tcPr>
            <w:tcW w:w="1239" w:type="dxa"/>
            <w:tcBorders>
              <w:top w:val="single" w:color="000000" w:sz="4" w:space="0"/>
              <w:left w:val="nil"/>
              <w:bottom w:val="single" w:color="000000" w:sz="4" w:space="0"/>
              <w:right w:val="single" w:color="000000" w:sz="4" w:space="0"/>
            </w:tcBorders>
            <w:noWrap w:val="0"/>
            <w:vAlign w:val="center"/>
          </w:tcPr>
          <w:p w14:paraId="0CDCF0F6">
            <w:pPr>
              <w:pStyle w:val="36"/>
              <w:jc w:val="center"/>
              <w:rPr>
                <w:rFonts w:hint="eastAsia" w:ascii="宋体" w:hAnsi="宋体" w:eastAsia="宋体" w:cs="宋体"/>
                <w:color w:val="auto"/>
                <w:highlight w:val="none"/>
              </w:rPr>
            </w:pPr>
            <w:r>
              <w:rPr>
                <w:rFonts w:hint="eastAsia" w:ascii="宋体" w:hAnsi="宋体" w:eastAsia="宋体" w:cs="宋体"/>
                <w:color w:val="auto"/>
                <w:highlight w:val="none"/>
              </w:rPr>
              <w:t>仪器设备</w:t>
            </w:r>
          </w:p>
          <w:p w14:paraId="2A43BDCE">
            <w:pPr>
              <w:pStyle w:val="36"/>
              <w:jc w:val="center"/>
              <w:rPr>
                <w:rFonts w:hint="eastAsia" w:ascii="宋体" w:hAnsi="宋体" w:eastAsia="宋体" w:cs="宋体"/>
                <w:color w:val="auto"/>
                <w:sz w:val="24"/>
                <w:szCs w:val="24"/>
                <w:highlight w:val="none"/>
              </w:rPr>
            </w:pPr>
            <w:r>
              <w:rPr>
                <w:rFonts w:hint="eastAsia" w:ascii="宋体" w:hAnsi="宋体" w:eastAsia="宋体" w:cs="宋体"/>
                <w:color w:val="auto"/>
                <w:highlight w:val="none"/>
              </w:rPr>
              <w:t>名称</w:t>
            </w:r>
          </w:p>
        </w:tc>
        <w:tc>
          <w:tcPr>
            <w:tcW w:w="866" w:type="dxa"/>
            <w:tcBorders>
              <w:top w:val="single" w:color="000000" w:sz="4" w:space="0"/>
              <w:left w:val="nil"/>
              <w:bottom w:val="single" w:color="000000" w:sz="4" w:space="0"/>
              <w:right w:val="single" w:color="000000" w:sz="4" w:space="0"/>
            </w:tcBorders>
            <w:noWrap w:val="0"/>
            <w:vAlign w:val="center"/>
          </w:tcPr>
          <w:p w14:paraId="20A5EECC">
            <w:pPr>
              <w:pStyle w:val="36"/>
              <w:jc w:val="center"/>
              <w:rPr>
                <w:rFonts w:hint="eastAsia" w:ascii="宋体" w:hAnsi="宋体" w:eastAsia="宋体" w:cs="宋体"/>
                <w:color w:val="auto"/>
                <w:highlight w:val="none"/>
              </w:rPr>
            </w:pPr>
            <w:r>
              <w:rPr>
                <w:rFonts w:hint="eastAsia" w:ascii="宋体" w:hAnsi="宋体" w:eastAsia="宋体" w:cs="宋体"/>
                <w:color w:val="auto"/>
                <w:highlight w:val="none"/>
              </w:rPr>
              <w:t>型号</w:t>
            </w:r>
          </w:p>
          <w:p w14:paraId="6D0123EB">
            <w:pPr>
              <w:pStyle w:val="36"/>
              <w:jc w:val="center"/>
              <w:rPr>
                <w:rFonts w:hint="eastAsia" w:ascii="宋体" w:hAnsi="宋体" w:eastAsia="宋体" w:cs="宋体"/>
                <w:color w:val="auto"/>
                <w:sz w:val="24"/>
                <w:szCs w:val="24"/>
                <w:highlight w:val="none"/>
              </w:rPr>
            </w:pPr>
            <w:r>
              <w:rPr>
                <w:rFonts w:hint="eastAsia" w:ascii="宋体" w:hAnsi="宋体" w:eastAsia="宋体" w:cs="宋体"/>
                <w:color w:val="auto"/>
                <w:highlight w:val="none"/>
              </w:rPr>
              <w:t>规格</w:t>
            </w:r>
          </w:p>
        </w:tc>
        <w:tc>
          <w:tcPr>
            <w:tcW w:w="1129" w:type="dxa"/>
            <w:tcBorders>
              <w:top w:val="single" w:color="000000" w:sz="4" w:space="0"/>
              <w:left w:val="nil"/>
              <w:bottom w:val="single" w:color="000000" w:sz="4" w:space="0"/>
              <w:right w:val="single" w:color="000000" w:sz="4" w:space="0"/>
            </w:tcBorders>
            <w:noWrap w:val="0"/>
            <w:vAlign w:val="center"/>
          </w:tcPr>
          <w:p w14:paraId="49F28568">
            <w:pPr>
              <w:pStyle w:val="36"/>
              <w:jc w:val="center"/>
              <w:rPr>
                <w:rFonts w:hint="eastAsia" w:ascii="宋体" w:hAnsi="宋体" w:eastAsia="宋体" w:cs="宋体"/>
                <w:color w:val="auto"/>
                <w:sz w:val="24"/>
                <w:szCs w:val="24"/>
                <w:highlight w:val="none"/>
              </w:rPr>
            </w:pPr>
            <w:r>
              <w:rPr>
                <w:rFonts w:hint="eastAsia" w:ascii="宋体" w:hAnsi="宋体" w:eastAsia="宋体" w:cs="宋体"/>
                <w:color w:val="auto"/>
                <w:highlight w:val="none"/>
              </w:rPr>
              <w:t>数量</w:t>
            </w:r>
          </w:p>
        </w:tc>
        <w:tc>
          <w:tcPr>
            <w:tcW w:w="766" w:type="dxa"/>
            <w:tcBorders>
              <w:top w:val="single" w:color="000000" w:sz="4" w:space="0"/>
              <w:left w:val="nil"/>
              <w:bottom w:val="single" w:color="000000" w:sz="4" w:space="0"/>
              <w:right w:val="single" w:color="000000" w:sz="4" w:space="0"/>
            </w:tcBorders>
            <w:noWrap w:val="0"/>
            <w:vAlign w:val="center"/>
          </w:tcPr>
          <w:p w14:paraId="0A4D7A39">
            <w:pPr>
              <w:pStyle w:val="36"/>
              <w:jc w:val="center"/>
              <w:rPr>
                <w:rFonts w:hint="eastAsia" w:ascii="宋体" w:hAnsi="宋体" w:eastAsia="宋体" w:cs="宋体"/>
                <w:color w:val="auto"/>
                <w:highlight w:val="none"/>
              </w:rPr>
            </w:pPr>
            <w:r>
              <w:rPr>
                <w:rFonts w:hint="eastAsia" w:ascii="宋体" w:hAnsi="宋体" w:eastAsia="宋体" w:cs="宋体"/>
                <w:color w:val="auto"/>
                <w:highlight w:val="none"/>
              </w:rPr>
              <w:t>国别</w:t>
            </w:r>
          </w:p>
          <w:p w14:paraId="076744D0">
            <w:pPr>
              <w:pStyle w:val="36"/>
              <w:jc w:val="center"/>
              <w:rPr>
                <w:rFonts w:hint="eastAsia" w:ascii="宋体" w:hAnsi="宋体" w:eastAsia="宋体" w:cs="宋体"/>
                <w:color w:val="auto"/>
                <w:sz w:val="24"/>
                <w:szCs w:val="24"/>
                <w:highlight w:val="none"/>
              </w:rPr>
            </w:pPr>
            <w:r>
              <w:rPr>
                <w:rFonts w:hint="eastAsia" w:ascii="宋体" w:hAnsi="宋体" w:eastAsia="宋体" w:cs="宋体"/>
                <w:color w:val="auto"/>
                <w:highlight w:val="none"/>
              </w:rPr>
              <w:t>产地</w:t>
            </w:r>
          </w:p>
        </w:tc>
        <w:tc>
          <w:tcPr>
            <w:tcW w:w="841" w:type="dxa"/>
            <w:tcBorders>
              <w:top w:val="single" w:color="000000" w:sz="4" w:space="0"/>
              <w:left w:val="nil"/>
              <w:bottom w:val="single" w:color="000000" w:sz="4" w:space="0"/>
              <w:right w:val="single" w:color="000000" w:sz="4" w:space="0"/>
            </w:tcBorders>
            <w:noWrap w:val="0"/>
            <w:vAlign w:val="center"/>
          </w:tcPr>
          <w:p w14:paraId="081BD117">
            <w:pPr>
              <w:pStyle w:val="36"/>
              <w:jc w:val="center"/>
              <w:rPr>
                <w:rFonts w:hint="eastAsia" w:ascii="宋体" w:hAnsi="宋体" w:eastAsia="宋体" w:cs="宋体"/>
                <w:color w:val="auto"/>
                <w:highlight w:val="none"/>
              </w:rPr>
            </w:pPr>
            <w:r>
              <w:rPr>
                <w:rFonts w:hint="eastAsia" w:ascii="宋体" w:hAnsi="宋体" w:eastAsia="宋体" w:cs="宋体"/>
                <w:color w:val="auto"/>
                <w:highlight w:val="none"/>
              </w:rPr>
              <w:t>制造</w:t>
            </w:r>
          </w:p>
          <w:p w14:paraId="7B5AB004">
            <w:pPr>
              <w:pStyle w:val="36"/>
              <w:jc w:val="center"/>
              <w:rPr>
                <w:rFonts w:hint="eastAsia" w:ascii="宋体" w:hAnsi="宋体" w:eastAsia="宋体" w:cs="宋体"/>
                <w:color w:val="auto"/>
                <w:sz w:val="24"/>
                <w:szCs w:val="24"/>
                <w:highlight w:val="none"/>
              </w:rPr>
            </w:pPr>
            <w:r>
              <w:rPr>
                <w:rFonts w:hint="eastAsia" w:ascii="宋体" w:hAnsi="宋体" w:eastAsia="宋体" w:cs="宋体"/>
                <w:color w:val="auto"/>
                <w:highlight w:val="none"/>
              </w:rPr>
              <w:t>年份</w:t>
            </w:r>
          </w:p>
        </w:tc>
        <w:tc>
          <w:tcPr>
            <w:tcW w:w="1382" w:type="dxa"/>
            <w:tcBorders>
              <w:top w:val="single" w:color="000000" w:sz="4" w:space="0"/>
              <w:left w:val="nil"/>
              <w:bottom w:val="single" w:color="000000" w:sz="4" w:space="0"/>
              <w:right w:val="single" w:color="000000" w:sz="4" w:space="0"/>
            </w:tcBorders>
            <w:noWrap w:val="0"/>
            <w:vAlign w:val="center"/>
          </w:tcPr>
          <w:p w14:paraId="47FC9DFF">
            <w:pPr>
              <w:pStyle w:val="36"/>
              <w:jc w:val="center"/>
              <w:rPr>
                <w:rFonts w:hint="eastAsia" w:ascii="宋体" w:hAnsi="宋体" w:eastAsia="宋体" w:cs="宋体"/>
                <w:color w:val="auto"/>
                <w:highlight w:val="none"/>
              </w:rPr>
            </w:pPr>
            <w:r>
              <w:rPr>
                <w:rFonts w:hint="eastAsia" w:ascii="宋体" w:hAnsi="宋体" w:eastAsia="宋体" w:cs="宋体"/>
                <w:color w:val="auto"/>
                <w:highlight w:val="none"/>
              </w:rPr>
              <w:t>已使用</w:t>
            </w:r>
          </w:p>
          <w:p w14:paraId="3FEC315B">
            <w:pPr>
              <w:pStyle w:val="36"/>
              <w:jc w:val="center"/>
              <w:rPr>
                <w:rFonts w:hint="eastAsia" w:ascii="宋体" w:hAnsi="宋体" w:eastAsia="宋体" w:cs="宋体"/>
                <w:color w:val="auto"/>
                <w:sz w:val="24"/>
                <w:szCs w:val="24"/>
                <w:highlight w:val="none"/>
              </w:rPr>
            </w:pPr>
            <w:r>
              <w:rPr>
                <w:rFonts w:hint="eastAsia" w:ascii="宋体" w:hAnsi="宋体" w:eastAsia="宋体" w:cs="宋体"/>
                <w:color w:val="auto"/>
                <w:highlight w:val="none"/>
              </w:rPr>
              <w:t>台时数</w:t>
            </w:r>
          </w:p>
        </w:tc>
        <w:tc>
          <w:tcPr>
            <w:tcW w:w="1885" w:type="dxa"/>
            <w:tcBorders>
              <w:top w:val="single" w:color="000000" w:sz="4" w:space="0"/>
              <w:left w:val="nil"/>
              <w:bottom w:val="single" w:color="000000" w:sz="4" w:space="0"/>
              <w:right w:val="single" w:color="000000" w:sz="4" w:space="0"/>
            </w:tcBorders>
            <w:noWrap w:val="0"/>
            <w:vAlign w:val="center"/>
          </w:tcPr>
          <w:p w14:paraId="2EB0E5B1">
            <w:pPr>
              <w:pStyle w:val="36"/>
              <w:jc w:val="center"/>
              <w:rPr>
                <w:rFonts w:hint="eastAsia" w:ascii="宋体" w:hAnsi="宋体" w:eastAsia="宋体" w:cs="宋体"/>
                <w:color w:val="auto"/>
                <w:sz w:val="24"/>
                <w:szCs w:val="24"/>
                <w:highlight w:val="none"/>
              </w:rPr>
            </w:pPr>
            <w:r>
              <w:rPr>
                <w:rFonts w:hint="eastAsia" w:ascii="宋体" w:hAnsi="宋体" w:eastAsia="宋体" w:cs="宋体"/>
                <w:color w:val="auto"/>
                <w:highlight w:val="none"/>
              </w:rPr>
              <w:t>用途</w:t>
            </w:r>
          </w:p>
        </w:tc>
        <w:tc>
          <w:tcPr>
            <w:tcW w:w="781" w:type="dxa"/>
            <w:tcBorders>
              <w:top w:val="single" w:color="000000" w:sz="4" w:space="0"/>
              <w:left w:val="nil"/>
              <w:bottom w:val="single" w:color="000000" w:sz="4" w:space="0"/>
              <w:right w:val="single" w:color="000000" w:sz="4" w:space="0"/>
            </w:tcBorders>
            <w:noWrap w:val="0"/>
            <w:vAlign w:val="center"/>
          </w:tcPr>
          <w:p w14:paraId="2EF3DB5D">
            <w:pPr>
              <w:pStyle w:val="36"/>
              <w:jc w:val="center"/>
              <w:rPr>
                <w:rFonts w:hint="eastAsia" w:ascii="宋体" w:hAnsi="宋体" w:eastAsia="宋体" w:cs="宋体"/>
                <w:color w:val="auto"/>
                <w:sz w:val="24"/>
                <w:szCs w:val="24"/>
                <w:highlight w:val="none"/>
              </w:rPr>
            </w:pPr>
            <w:r>
              <w:rPr>
                <w:rFonts w:hint="eastAsia" w:ascii="宋体" w:hAnsi="宋体" w:eastAsia="宋体" w:cs="宋体"/>
                <w:color w:val="auto"/>
                <w:highlight w:val="none"/>
              </w:rPr>
              <w:t>备注</w:t>
            </w:r>
          </w:p>
        </w:tc>
      </w:tr>
      <w:tr w14:paraId="1D28831E">
        <w:tblPrEx>
          <w:tblCellMar>
            <w:top w:w="0" w:type="dxa"/>
            <w:left w:w="0" w:type="dxa"/>
            <w:bottom w:w="0" w:type="dxa"/>
            <w:right w:w="0" w:type="dxa"/>
          </w:tblCellMar>
        </w:tblPrEx>
        <w:trPr>
          <w:trHeight w:val="450" w:hRule="atLeast"/>
        </w:trPr>
        <w:tc>
          <w:tcPr>
            <w:tcW w:w="759" w:type="dxa"/>
            <w:tcBorders>
              <w:top w:val="single" w:color="000000" w:sz="4" w:space="0"/>
              <w:left w:val="single" w:color="000000" w:sz="4" w:space="0"/>
              <w:bottom w:val="single" w:color="000000" w:sz="4" w:space="0"/>
              <w:right w:val="single" w:color="000000" w:sz="4" w:space="0"/>
            </w:tcBorders>
            <w:noWrap w:val="0"/>
            <w:vAlign w:val="top"/>
          </w:tcPr>
          <w:p w14:paraId="1E55768A">
            <w:pPr>
              <w:pStyle w:val="36"/>
              <w:rPr>
                <w:rFonts w:hint="eastAsia" w:ascii="宋体" w:hAnsi="宋体" w:eastAsia="宋体" w:cs="宋体"/>
                <w:color w:val="auto"/>
                <w:sz w:val="24"/>
                <w:szCs w:val="24"/>
                <w:highlight w:val="none"/>
              </w:rPr>
            </w:pPr>
          </w:p>
        </w:tc>
        <w:tc>
          <w:tcPr>
            <w:tcW w:w="1239" w:type="dxa"/>
            <w:tcBorders>
              <w:top w:val="single" w:color="000000" w:sz="4" w:space="0"/>
              <w:left w:val="nil"/>
              <w:bottom w:val="single" w:color="000000" w:sz="4" w:space="0"/>
              <w:right w:val="single" w:color="000000" w:sz="4" w:space="0"/>
            </w:tcBorders>
            <w:noWrap w:val="0"/>
            <w:vAlign w:val="top"/>
          </w:tcPr>
          <w:p w14:paraId="7DFBF1AD">
            <w:pPr>
              <w:pStyle w:val="36"/>
              <w:rPr>
                <w:rFonts w:hint="eastAsia" w:ascii="宋体" w:hAnsi="宋体" w:eastAsia="宋体" w:cs="宋体"/>
                <w:color w:val="auto"/>
                <w:sz w:val="24"/>
                <w:szCs w:val="24"/>
                <w:highlight w:val="none"/>
              </w:rPr>
            </w:pPr>
          </w:p>
        </w:tc>
        <w:tc>
          <w:tcPr>
            <w:tcW w:w="866" w:type="dxa"/>
            <w:tcBorders>
              <w:top w:val="single" w:color="000000" w:sz="4" w:space="0"/>
              <w:left w:val="nil"/>
              <w:bottom w:val="single" w:color="000000" w:sz="4" w:space="0"/>
              <w:right w:val="single" w:color="000000" w:sz="4" w:space="0"/>
            </w:tcBorders>
            <w:noWrap w:val="0"/>
            <w:vAlign w:val="top"/>
          </w:tcPr>
          <w:p w14:paraId="5D1AB31C">
            <w:pPr>
              <w:pStyle w:val="36"/>
              <w:rPr>
                <w:rFonts w:hint="eastAsia" w:ascii="宋体" w:hAnsi="宋体" w:eastAsia="宋体" w:cs="宋体"/>
                <w:color w:val="auto"/>
                <w:sz w:val="24"/>
                <w:szCs w:val="24"/>
                <w:highlight w:val="none"/>
              </w:rPr>
            </w:pPr>
          </w:p>
        </w:tc>
        <w:tc>
          <w:tcPr>
            <w:tcW w:w="1129" w:type="dxa"/>
            <w:tcBorders>
              <w:top w:val="single" w:color="000000" w:sz="4" w:space="0"/>
              <w:left w:val="nil"/>
              <w:bottom w:val="single" w:color="000000" w:sz="4" w:space="0"/>
              <w:right w:val="single" w:color="000000" w:sz="4" w:space="0"/>
            </w:tcBorders>
            <w:noWrap w:val="0"/>
            <w:vAlign w:val="top"/>
          </w:tcPr>
          <w:p w14:paraId="14320546">
            <w:pPr>
              <w:pStyle w:val="36"/>
              <w:rPr>
                <w:rFonts w:hint="eastAsia" w:ascii="宋体" w:hAnsi="宋体" w:eastAsia="宋体" w:cs="宋体"/>
                <w:color w:val="auto"/>
                <w:sz w:val="24"/>
                <w:szCs w:val="24"/>
                <w:highlight w:val="none"/>
              </w:rPr>
            </w:pPr>
          </w:p>
        </w:tc>
        <w:tc>
          <w:tcPr>
            <w:tcW w:w="766" w:type="dxa"/>
            <w:tcBorders>
              <w:top w:val="single" w:color="000000" w:sz="4" w:space="0"/>
              <w:left w:val="nil"/>
              <w:bottom w:val="single" w:color="000000" w:sz="4" w:space="0"/>
              <w:right w:val="single" w:color="000000" w:sz="4" w:space="0"/>
            </w:tcBorders>
            <w:noWrap w:val="0"/>
            <w:vAlign w:val="top"/>
          </w:tcPr>
          <w:p w14:paraId="64B90DC0">
            <w:pPr>
              <w:pStyle w:val="36"/>
              <w:rPr>
                <w:rFonts w:hint="eastAsia" w:ascii="宋体" w:hAnsi="宋体" w:eastAsia="宋体" w:cs="宋体"/>
                <w:color w:val="auto"/>
                <w:sz w:val="24"/>
                <w:szCs w:val="24"/>
                <w:highlight w:val="none"/>
              </w:rPr>
            </w:pPr>
          </w:p>
        </w:tc>
        <w:tc>
          <w:tcPr>
            <w:tcW w:w="841" w:type="dxa"/>
            <w:tcBorders>
              <w:top w:val="single" w:color="000000" w:sz="4" w:space="0"/>
              <w:left w:val="nil"/>
              <w:bottom w:val="single" w:color="000000" w:sz="4" w:space="0"/>
              <w:right w:val="single" w:color="000000" w:sz="4" w:space="0"/>
            </w:tcBorders>
            <w:noWrap w:val="0"/>
            <w:vAlign w:val="top"/>
          </w:tcPr>
          <w:p w14:paraId="0EA58A27">
            <w:pPr>
              <w:pStyle w:val="36"/>
              <w:rPr>
                <w:rFonts w:hint="eastAsia" w:ascii="宋体" w:hAnsi="宋体" w:eastAsia="宋体" w:cs="宋体"/>
                <w:color w:val="auto"/>
                <w:sz w:val="24"/>
                <w:szCs w:val="24"/>
                <w:highlight w:val="none"/>
              </w:rPr>
            </w:pPr>
          </w:p>
        </w:tc>
        <w:tc>
          <w:tcPr>
            <w:tcW w:w="1382" w:type="dxa"/>
            <w:tcBorders>
              <w:top w:val="single" w:color="000000" w:sz="4" w:space="0"/>
              <w:left w:val="nil"/>
              <w:bottom w:val="single" w:color="000000" w:sz="4" w:space="0"/>
              <w:right w:val="single" w:color="000000" w:sz="4" w:space="0"/>
            </w:tcBorders>
            <w:noWrap w:val="0"/>
            <w:vAlign w:val="top"/>
          </w:tcPr>
          <w:p w14:paraId="0BD7412C">
            <w:pPr>
              <w:pStyle w:val="36"/>
              <w:rPr>
                <w:rFonts w:hint="eastAsia" w:ascii="宋体" w:hAnsi="宋体" w:eastAsia="宋体" w:cs="宋体"/>
                <w:color w:val="auto"/>
                <w:sz w:val="24"/>
                <w:szCs w:val="24"/>
                <w:highlight w:val="none"/>
              </w:rPr>
            </w:pPr>
          </w:p>
        </w:tc>
        <w:tc>
          <w:tcPr>
            <w:tcW w:w="1885" w:type="dxa"/>
            <w:tcBorders>
              <w:top w:val="single" w:color="000000" w:sz="4" w:space="0"/>
              <w:left w:val="nil"/>
              <w:bottom w:val="single" w:color="000000" w:sz="4" w:space="0"/>
              <w:right w:val="single" w:color="000000" w:sz="4" w:space="0"/>
            </w:tcBorders>
            <w:noWrap w:val="0"/>
            <w:vAlign w:val="top"/>
          </w:tcPr>
          <w:p w14:paraId="5C031480">
            <w:pPr>
              <w:pStyle w:val="36"/>
              <w:rPr>
                <w:rFonts w:hint="eastAsia" w:ascii="宋体" w:hAnsi="宋体" w:eastAsia="宋体" w:cs="宋体"/>
                <w:color w:val="auto"/>
                <w:sz w:val="24"/>
                <w:szCs w:val="24"/>
                <w:highlight w:val="none"/>
              </w:rPr>
            </w:pPr>
          </w:p>
        </w:tc>
        <w:tc>
          <w:tcPr>
            <w:tcW w:w="781" w:type="dxa"/>
            <w:tcBorders>
              <w:top w:val="single" w:color="000000" w:sz="4" w:space="0"/>
              <w:left w:val="nil"/>
              <w:bottom w:val="single" w:color="000000" w:sz="4" w:space="0"/>
              <w:right w:val="single" w:color="000000" w:sz="4" w:space="0"/>
            </w:tcBorders>
            <w:noWrap w:val="0"/>
            <w:vAlign w:val="top"/>
          </w:tcPr>
          <w:p w14:paraId="3C91FD5F">
            <w:pPr>
              <w:pStyle w:val="36"/>
              <w:rPr>
                <w:rFonts w:hint="eastAsia" w:ascii="宋体" w:hAnsi="宋体" w:eastAsia="宋体" w:cs="宋体"/>
                <w:color w:val="auto"/>
                <w:sz w:val="24"/>
                <w:szCs w:val="24"/>
                <w:highlight w:val="none"/>
              </w:rPr>
            </w:pPr>
          </w:p>
        </w:tc>
      </w:tr>
      <w:tr w14:paraId="115850EB">
        <w:tblPrEx>
          <w:tblCellMar>
            <w:top w:w="0" w:type="dxa"/>
            <w:left w:w="0" w:type="dxa"/>
            <w:bottom w:w="0" w:type="dxa"/>
            <w:right w:w="0" w:type="dxa"/>
          </w:tblCellMar>
        </w:tblPrEx>
        <w:trPr>
          <w:trHeight w:val="450" w:hRule="atLeast"/>
        </w:trPr>
        <w:tc>
          <w:tcPr>
            <w:tcW w:w="759" w:type="dxa"/>
            <w:tcBorders>
              <w:top w:val="single" w:color="000000" w:sz="4" w:space="0"/>
              <w:left w:val="single" w:color="000000" w:sz="4" w:space="0"/>
              <w:bottom w:val="single" w:color="000000" w:sz="4" w:space="0"/>
              <w:right w:val="single" w:color="000000" w:sz="4" w:space="0"/>
            </w:tcBorders>
            <w:noWrap w:val="0"/>
            <w:vAlign w:val="top"/>
          </w:tcPr>
          <w:p w14:paraId="2F855395">
            <w:pPr>
              <w:pStyle w:val="36"/>
              <w:rPr>
                <w:rFonts w:hint="eastAsia" w:ascii="宋体" w:hAnsi="宋体" w:eastAsia="宋体" w:cs="宋体"/>
                <w:color w:val="auto"/>
                <w:sz w:val="24"/>
                <w:szCs w:val="24"/>
                <w:highlight w:val="none"/>
              </w:rPr>
            </w:pPr>
          </w:p>
        </w:tc>
        <w:tc>
          <w:tcPr>
            <w:tcW w:w="1239" w:type="dxa"/>
            <w:tcBorders>
              <w:top w:val="single" w:color="000000" w:sz="4" w:space="0"/>
              <w:left w:val="nil"/>
              <w:bottom w:val="single" w:color="000000" w:sz="4" w:space="0"/>
              <w:right w:val="single" w:color="000000" w:sz="4" w:space="0"/>
            </w:tcBorders>
            <w:noWrap w:val="0"/>
            <w:vAlign w:val="top"/>
          </w:tcPr>
          <w:p w14:paraId="0AFBD786">
            <w:pPr>
              <w:pStyle w:val="36"/>
              <w:rPr>
                <w:rFonts w:hint="eastAsia" w:ascii="宋体" w:hAnsi="宋体" w:eastAsia="宋体" w:cs="宋体"/>
                <w:color w:val="auto"/>
                <w:sz w:val="24"/>
                <w:szCs w:val="24"/>
                <w:highlight w:val="none"/>
              </w:rPr>
            </w:pPr>
          </w:p>
        </w:tc>
        <w:tc>
          <w:tcPr>
            <w:tcW w:w="866" w:type="dxa"/>
            <w:tcBorders>
              <w:top w:val="single" w:color="000000" w:sz="4" w:space="0"/>
              <w:left w:val="nil"/>
              <w:bottom w:val="single" w:color="000000" w:sz="4" w:space="0"/>
              <w:right w:val="single" w:color="000000" w:sz="4" w:space="0"/>
            </w:tcBorders>
            <w:noWrap w:val="0"/>
            <w:vAlign w:val="top"/>
          </w:tcPr>
          <w:p w14:paraId="3629DDFF">
            <w:pPr>
              <w:pStyle w:val="36"/>
              <w:rPr>
                <w:rFonts w:hint="eastAsia" w:ascii="宋体" w:hAnsi="宋体" w:eastAsia="宋体" w:cs="宋体"/>
                <w:color w:val="auto"/>
                <w:sz w:val="24"/>
                <w:szCs w:val="24"/>
                <w:highlight w:val="none"/>
              </w:rPr>
            </w:pPr>
          </w:p>
        </w:tc>
        <w:tc>
          <w:tcPr>
            <w:tcW w:w="1129" w:type="dxa"/>
            <w:tcBorders>
              <w:top w:val="single" w:color="000000" w:sz="4" w:space="0"/>
              <w:left w:val="nil"/>
              <w:bottom w:val="single" w:color="000000" w:sz="4" w:space="0"/>
              <w:right w:val="single" w:color="000000" w:sz="4" w:space="0"/>
            </w:tcBorders>
            <w:noWrap w:val="0"/>
            <w:vAlign w:val="top"/>
          </w:tcPr>
          <w:p w14:paraId="2FDA0B2E">
            <w:pPr>
              <w:pStyle w:val="36"/>
              <w:rPr>
                <w:rFonts w:hint="eastAsia" w:ascii="宋体" w:hAnsi="宋体" w:eastAsia="宋体" w:cs="宋体"/>
                <w:color w:val="auto"/>
                <w:sz w:val="24"/>
                <w:szCs w:val="24"/>
                <w:highlight w:val="none"/>
              </w:rPr>
            </w:pPr>
          </w:p>
        </w:tc>
        <w:tc>
          <w:tcPr>
            <w:tcW w:w="766" w:type="dxa"/>
            <w:tcBorders>
              <w:top w:val="single" w:color="000000" w:sz="4" w:space="0"/>
              <w:left w:val="nil"/>
              <w:bottom w:val="single" w:color="000000" w:sz="4" w:space="0"/>
              <w:right w:val="single" w:color="000000" w:sz="4" w:space="0"/>
            </w:tcBorders>
            <w:noWrap w:val="0"/>
            <w:vAlign w:val="top"/>
          </w:tcPr>
          <w:p w14:paraId="7A3306F5">
            <w:pPr>
              <w:pStyle w:val="36"/>
              <w:rPr>
                <w:rFonts w:hint="eastAsia" w:ascii="宋体" w:hAnsi="宋体" w:eastAsia="宋体" w:cs="宋体"/>
                <w:color w:val="auto"/>
                <w:sz w:val="24"/>
                <w:szCs w:val="24"/>
                <w:highlight w:val="none"/>
              </w:rPr>
            </w:pPr>
          </w:p>
        </w:tc>
        <w:tc>
          <w:tcPr>
            <w:tcW w:w="841" w:type="dxa"/>
            <w:tcBorders>
              <w:top w:val="single" w:color="000000" w:sz="4" w:space="0"/>
              <w:left w:val="nil"/>
              <w:bottom w:val="single" w:color="000000" w:sz="4" w:space="0"/>
              <w:right w:val="single" w:color="000000" w:sz="4" w:space="0"/>
            </w:tcBorders>
            <w:noWrap w:val="0"/>
            <w:vAlign w:val="top"/>
          </w:tcPr>
          <w:p w14:paraId="10120B40">
            <w:pPr>
              <w:pStyle w:val="36"/>
              <w:rPr>
                <w:rFonts w:hint="eastAsia" w:ascii="宋体" w:hAnsi="宋体" w:eastAsia="宋体" w:cs="宋体"/>
                <w:color w:val="auto"/>
                <w:sz w:val="24"/>
                <w:szCs w:val="24"/>
                <w:highlight w:val="none"/>
              </w:rPr>
            </w:pPr>
          </w:p>
        </w:tc>
        <w:tc>
          <w:tcPr>
            <w:tcW w:w="1382" w:type="dxa"/>
            <w:tcBorders>
              <w:top w:val="single" w:color="000000" w:sz="4" w:space="0"/>
              <w:left w:val="nil"/>
              <w:bottom w:val="single" w:color="000000" w:sz="4" w:space="0"/>
              <w:right w:val="single" w:color="000000" w:sz="4" w:space="0"/>
            </w:tcBorders>
            <w:noWrap w:val="0"/>
            <w:vAlign w:val="top"/>
          </w:tcPr>
          <w:p w14:paraId="1E7755CC">
            <w:pPr>
              <w:pStyle w:val="36"/>
              <w:rPr>
                <w:rFonts w:hint="eastAsia" w:ascii="宋体" w:hAnsi="宋体" w:eastAsia="宋体" w:cs="宋体"/>
                <w:color w:val="auto"/>
                <w:sz w:val="24"/>
                <w:szCs w:val="24"/>
                <w:highlight w:val="none"/>
              </w:rPr>
            </w:pPr>
          </w:p>
        </w:tc>
        <w:tc>
          <w:tcPr>
            <w:tcW w:w="1885" w:type="dxa"/>
            <w:tcBorders>
              <w:top w:val="single" w:color="000000" w:sz="4" w:space="0"/>
              <w:left w:val="nil"/>
              <w:bottom w:val="single" w:color="000000" w:sz="4" w:space="0"/>
              <w:right w:val="single" w:color="000000" w:sz="4" w:space="0"/>
            </w:tcBorders>
            <w:noWrap w:val="0"/>
            <w:vAlign w:val="top"/>
          </w:tcPr>
          <w:p w14:paraId="2E88D54C">
            <w:pPr>
              <w:pStyle w:val="36"/>
              <w:rPr>
                <w:rFonts w:hint="eastAsia" w:ascii="宋体" w:hAnsi="宋体" w:eastAsia="宋体" w:cs="宋体"/>
                <w:color w:val="auto"/>
                <w:sz w:val="24"/>
                <w:szCs w:val="24"/>
                <w:highlight w:val="none"/>
              </w:rPr>
            </w:pPr>
          </w:p>
        </w:tc>
        <w:tc>
          <w:tcPr>
            <w:tcW w:w="781" w:type="dxa"/>
            <w:tcBorders>
              <w:top w:val="single" w:color="000000" w:sz="4" w:space="0"/>
              <w:left w:val="nil"/>
              <w:bottom w:val="single" w:color="000000" w:sz="4" w:space="0"/>
              <w:right w:val="single" w:color="000000" w:sz="4" w:space="0"/>
            </w:tcBorders>
            <w:noWrap w:val="0"/>
            <w:vAlign w:val="top"/>
          </w:tcPr>
          <w:p w14:paraId="1E0FC9E8">
            <w:pPr>
              <w:pStyle w:val="36"/>
              <w:rPr>
                <w:rFonts w:hint="eastAsia" w:ascii="宋体" w:hAnsi="宋体" w:eastAsia="宋体" w:cs="宋体"/>
                <w:color w:val="auto"/>
                <w:sz w:val="24"/>
                <w:szCs w:val="24"/>
                <w:highlight w:val="none"/>
              </w:rPr>
            </w:pPr>
          </w:p>
        </w:tc>
      </w:tr>
      <w:tr w14:paraId="720F7AD6">
        <w:tblPrEx>
          <w:tblCellMar>
            <w:top w:w="0" w:type="dxa"/>
            <w:left w:w="0" w:type="dxa"/>
            <w:bottom w:w="0" w:type="dxa"/>
            <w:right w:w="0" w:type="dxa"/>
          </w:tblCellMar>
        </w:tblPrEx>
        <w:trPr>
          <w:trHeight w:val="450" w:hRule="atLeast"/>
        </w:trPr>
        <w:tc>
          <w:tcPr>
            <w:tcW w:w="759" w:type="dxa"/>
            <w:tcBorders>
              <w:top w:val="single" w:color="000000" w:sz="4" w:space="0"/>
              <w:left w:val="single" w:color="000000" w:sz="4" w:space="0"/>
              <w:bottom w:val="single" w:color="000000" w:sz="4" w:space="0"/>
              <w:right w:val="single" w:color="000000" w:sz="4" w:space="0"/>
            </w:tcBorders>
            <w:noWrap w:val="0"/>
            <w:vAlign w:val="top"/>
          </w:tcPr>
          <w:p w14:paraId="7AC0C9D0">
            <w:pPr>
              <w:pStyle w:val="36"/>
              <w:rPr>
                <w:rFonts w:hint="eastAsia" w:ascii="宋体" w:hAnsi="宋体" w:eastAsia="宋体" w:cs="宋体"/>
                <w:color w:val="auto"/>
                <w:sz w:val="24"/>
                <w:szCs w:val="24"/>
                <w:highlight w:val="none"/>
              </w:rPr>
            </w:pPr>
          </w:p>
        </w:tc>
        <w:tc>
          <w:tcPr>
            <w:tcW w:w="1239" w:type="dxa"/>
            <w:tcBorders>
              <w:top w:val="single" w:color="000000" w:sz="4" w:space="0"/>
              <w:left w:val="nil"/>
              <w:bottom w:val="single" w:color="000000" w:sz="4" w:space="0"/>
              <w:right w:val="single" w:color="000000" w:sz="4" w:space="0"/>
            </w:tcBorders>
            <w:noWrap w:val="0"/>
            <w:vAlign w:val="top"/>
          </w:tcPr>
          <w:p w14:paraId="108E4A90">
            <w:pPr>
              <w:pStyle w:val="36"/>
              <w:rPr>
                <w:rFonts w:hint="eastAsia" w:ascii="宋体" w:hAnsi="宋体" w:eastAsia="宋体" w:cs="宋体"/>
                <w:color w:val="auto"/>
                <w:sz w:val="24"/>
                <w:szCs w:val="24"/>
                <w:highlight w:val="none"/>
              </w:rPr>
            </w:pPr>
          </w:p>
        </w:tc>
        <w:tc>
          <w:tcPr>
            <w:tcW w:w="866" w:type="dxa"/>
            <w:tcBorders>
              <w:top w:val="single" w:color="000000" w:sz="4" w:space="0"/>
              <w:left w:val="nil"/>
              <w:bottom w:val="single" w:color="000000" w:sz="4" w:space="0"/>
              <w:right w:val="single" w:color="000000" w:sz="4" w:space="0"/>
            </w:tcBorders>
            <w:noWrap w:val="0"/>
            <w:vAlign w:val="top"/>
          </w:tcPr>
          <w:p w14:paraId="3ABEB793">
            <w:pPr>
              <w:pStyle w:val="36"/>
              <w:rPr>
                <w:rFonts w:hint="eastAsia" w:ascii="宋体" w:hAnsi="宋体" w:eastAsia="宋体" w:cs="宋体"/>
                <w:color w:val="auto"/>
                <w:sz w:val="24"/>
                <w:szCs w:val="24"/>
                <w:highlight w:val="none"/>
              </w:rPr>
            </w:pPr>
          </w:p>
        </w:tc>
        <w:tc>
          <w:tcPr>
            <w:tcW w:w="1129" w:type="dxa"/>
            <w:tcBorders>
              <w:top w:val="single" w:color="000000" w:sz="4" w:space="0"/>
              <w:left w:val="nil"/>
              <w:bottom w:val="single" w:color="000000" w:sz="4" w:space="0"/>
              <w:right w:val="single" w:color="000000" w:sz="4" w:space="0"/>
            </w:tcBorders>
            <w:noWrap w:val="0"/>
            <w:vAlign w:val="top"/>
          </w:tcPr>
          <w:p w14:paraId="6166D276">
            <w:pPr>
              <w:pStyle w:val="36"/>
              <w:rPr>
                <w:rFonts w:hint="eastAsia" w:ascii="宋体" w:hAnsi="宋体" w:eastAsia="宋体" w:cs="宋体"/>
                <w:color w:val="auto"/>
                <w:sz w:val="24"/>
                <w:szCs w:val="24"/>
                <w:highlight w:val="none"/>
              </w:rPr>
            </w:pPr>
          </w:p>
        </w:tc>
        <w:tc>
          <w:tcPr>
            <w:tcW w:w="766" w:type="dxa"/>
            <w:tcBorders>
              <w:top w:val="single" w:color="000000" w:sz="4" w:space="0"/>
              <w:left w:val="nil"/>
              <w:bottom w:val="single" w:color="000000" w:sz="4" w:space="0"/>
              <w:right w:val="single" w:color="000000" w:sz="4" w:space="0"/>
            </w:tcBorders>
            <w:noWrap w:val="0"/>
            <w:vAlign w:val="top"/>
          </w:tcPr>
          <w:p w14:paraId="2D81CACE">
            <w:pPr>
              <w:pStyle w:val="36"/>
              <w:rPr>
                <w:rFonts w:hint="eastAsia" w:ascii="宋体" w:hAnsi="宋体" w:eastAsia="宋体" w:cs="宋体"/>
                <w:color w:val="auto"/>
                <w:sz w:val="24"/>
                <w:szCs w:val="24"/>
                <w:highlight w:val="none"/>
              </w:rPr>
            </w:pPr>
          </w:p>
        </w:tc>
        <w:tc>
          <w:tcPr>
            <w:tcW w:w="841" w:type="dxa"/>
            <w:tcBorders>
              <w:top w:val="single" w:color="000000" w:sz="4" w:space="0"/>
              <w:left w:val="nil"/>
              <w:bottom w:val="single" w:color="000000" w:sz="4" w:space="0"/>
              <w:right w:val="single" w:color="000000" w:sz="4" w:space="0"/>
            </w:tcBorders>
            <w:noWrap w:val="0"/>
            <w:vAlign w:val="top"/>
          </w:tcPr>
          <w:p w14:paraId="52201FB7">
            <w:pPr>
              <w:pStyle w:val="36"/>
              <w:rPr>
                <w:rFonts w:hint="eastAsia" w:ascii="宋体" w:hAnsi="宋体" w:eastAsia="宋体" w:cs="宋体"/>
                <w:color w:val="auto"/>
                <w:sz w:val="24"/>
                <w:szCs w:val="24"/>
                <w:highlight w:val="none"/>
              </w:rPr>
            </w:pPr>
          </w:p>
        </w:tc>
        <w:tc>
          <w:tcPr>
            <w:tcW w:w="1382" w:type="dxa"/>
            <w:tcBorders>
              <w:top w:val="single" w:color="000000" w:sz="4" w:space="0"/>
              <w:left w:val="nil"/>
              <w:bottom w:val="single" w:color="000000" w:sz="4" w:space="0"/>
              <w:right w:val="single" w:color="000000" w:sz="4" w:space="0"/>
            </w:tcBorders>
            <w:noWrap w:val="0"/>
            <w:vAlign w:val="top"/>
          </w:tcPr>
          <w:p w14:paraId="504F9988">
            <w:pPr>
              <w:pStyle w:val="36"/>
              <w:rPr>
                <w:rFonts w:hint="eastAsia" w:ascii="宋体" w:hAnsi="宋体" w:eastAsia="宋体" w:cs="宋体"/>
                <w:color w:val="auto"/>
                <w:sz w:val="24"/>
                <w:szCs w:val="24"/>
                <w:highlight w:val="none"/>
              </w:rPr>
            </w:pPr>
          </w:p>
        </w:tc>
        <w:tc>
          <w:tcPr>
            <w:tcW w:w="1885" w:type="dxa"/>
            <w:tcBorders>
              <w:top w:val="single" w:color="000000" w:sz="4" w:space="0"/>
              <w:left w:val="nil"/>
              <w:bottom w:val="single" w:color="000000" w:sz="4" w:space="0"/>
              <w:right w:val="single" w:color="000000" w:sz="4" w:space="0"/>
            </w:tcBorders>
            <w:noWrap w:val="0"/>
            <w:vAlign w:val="top"/>
          </w:tcPr>
          <w:p w14:paraId="2A3EFD11">
            <w:pPr>
              <w:pStyle w:val="36"/>
              <w:rPr>
                <w:rFonts w:hint="eastAsia" w:ascii="宋体" w:hAnsi="宋体" w:eastAsia="宋体" w:cs="宋体"/>
                <w:color w:val="auto"/>
                <w:sz w:val="24"/>
                <w:szCs w:val="24"/>
                <w:highlight w:val="none"/>
              </w:rPr>
            </w:pPr>
          </w:p>
        </w:tc>
        <w:tc>
          <w:tcPr>
            <w:tcW w:w="781" w:type="dxa"/>
            <w:tcBorders>
              <w:top w:val="single" w:color="000000" w:sz="4" w:space="0"/>
              <w:left w:val="nil"/>
              <w:bottom w:val="single" w:color="000000" w:sz="4" w:space="0"/>
              <w:right w:val="single" w:color="000000" w:sz="4" w:space="0"/>
            </w:tcBorders>
            <w:noWrap w:val="0"/>
            <w:vAlign w:val="top"/>
          </w:tcPr>
          <w:p w14:paraId="301A5911">
            <w:pPr>
              <w:pStyle w:val="36"/>
              <w:rPr>
                <w:rFonts w:hint="eastAsia" w:ascii="宋体" w:hAnsi="宋体" w:eastAsia="宋体" w:cs="宋体"/>
                <w:color w:val="auto"/>
                <w:sz w:val="24"/>
                <w:szCs w:val="24"/>
                <w:highlight w:val="none"/>
              </w:rPr>
            </w:pPr>
          </w:p>
        </w:tc>
      </w:tr>
      <w:tr w14:paraId="2C61C53A">
        <w:tblPrEx>
          <w:tblCellMar>
            <w:top w:w="0" w:type="dxa"/>
            <w:left w:w="0" w:type="dxa"/>
            <w:bottom w:w="0" w:type="dxa"/>
            <w:right w:w="0" w:type="dxa"/>
          </w:tblCellMar>
        </w:tblPrEx>
        <w:trPr>
          <w:trHeight w:val="450" w:hRule="atLeast"/>
        </w:trPr>
        <w:tc>
          <w:tcPr>
            <w:tcW w:w="759" w:type="dxa"/>
            <w:tcBorders>
              <w:top w:val="single" w:color="000000" w:sz="4" w:space="0"/>
              <w:left w:val="single" w:color="000000" w:sz="4" w:space="0"/>
              <w:bottom w:val="single" w:color="000000" w:sz="4" w:space="0"/>
              <w:right w:val="single" w:color="000000" w:sz="4" w:space="0"/>
            </w:tcBorders>
            <w:noWrap w:val="0"/>
            <w:vAlign w:val="top"/>
          </w:tcPr>
          <w:p w14:paraId="6E921869">
            <w:pPr>
              <w:pStyle w:val="36"/>
              <w:rPr>
                <w:rFonts w:hint="eastAsia" w:ascii="宋体" w:hAnsi="宋体" w:eastAsia="宋体" w:cs="宋体"/>
                <w:color w:val="auto"/>
                <w:sz w:val="24"/>
                <w:szCs w:val="24"/>
                <w:highlight w:val="none"/>
              </w:rPr>
            </w:pPr>
          </w:p>
        </w:tc>
        <w:tc>
          <w:tcPr>
            <w:tcW w:w="1239" w:type="dxa"/>
            <w:tcBorders>
              <w:top w:val="single" w:color="000000" w:sz="4" w:space="0"/>
              <w:left w:val="nil"/>
              <w:bottom w:val="single" w:color="000000" w:sz="4" w:space="0"/>
              <w:right w:val="single" w:color="000000" w:sz="4" w:space="0"/>
            </w:tcBorders>
            <w:noWrap w:val="0"/>
            <w:vAlign w:val="top"/>
          </w:tcPr>
          <w:p w14:paraId="219D6E34">
            <w:pPr>
              <w:pStyle w:val="36"/>
              <w:rPr>
                <w:rFonts w:hint="eastAsia" w:ascii="宋体" w:hAnsi="宋体" w:eastAsia="宋体" w:cs="宋体"/>
                <w:color w:val="auto"/>
                <w:sz w:val="24"/>
                <w:szCs w:val="24"/>
                <w:highlight w:val="none"/>
              </w:rPr>
            </w:pPr>
          </w:p>
        </w:tc>
        <w:tc>
          <w:tcPr>
            <w:tcW w:w="866" w:type="dxa"/>
            <w:tcBorders>
              <w:top w:val="single" w:color="000000" w:sz="4" w:space="0"/>
              <w:left w:val="nil"/>
              <w:bottom w:val="single" w:color="000000" w:sz="4" w:space="0"/>
              <w:right w:val="single" w:color="000000" w:sz="4" w:space="0"/>
            </w:tcBorders>
            <w:noWrap w:val="0"/>
            <w:vAlign w:val="top"/>
          </w:tcPr>
          <w:p w14:paraId="096CCEA3">
            <w:pPr>
              <w:pStyle w:val="36"/>
              <w:rPr>
                <w:rFonts w:hint="eastAsia" w:ascii="宋体" w:hAnsi="宋体" w:eastAsia="宋体" w:cs="宋体"/>
                <w:color w:val="auto"/>
                <w:sz w:val="24"/>
                <w:szCs w:val="24"/>
                <w:highlight w:val="none"/>
              </w:rPr>
            </w:pPr>
          </w:p>
        </w:tc>
        <w:tc>
          <w:tcPr>
            <w:tcW w:w="1129" w:type="dxa"/>
            <w:tcBorders>
              <w:top w:val="single" w:color="000000" w:sz="4" w:space="0"/>
              <w:left w:val="nil"/>
              <w:bottom w:val="single" w:color="000000" w:sz="4" w:space="0"/>
              <w:right w:val="single" w:color="000000" w:sz="4" w:space="0"/>
            </w:tcBorders>
            <w:noWrap w:val="0"/>
            <w:vAlign w:val="top"/>
          </w:tcPr>
          <w:p w14:paraId="507D9ED2">
            <w:pPr>
              <w:pStyle w:val="36"/>
              <w:rPr>
                <w:rFonts w:hint="eastAsia" w:ascii="宋体" w:hAnsi="宋体" w:eastAsia="宋体" w:cs="宋体"/>
                <w:color w:val="auto"/>
                <w:sz w:val="24"/>
                <w:szCs w:val="24"/>
                <w:highlight w:val="none"/>
              </w:rPr>
            </w:pPr>
          </w:p>
        </w:tc>
        <w:tc>
          <w:tcPr>
            <w:tcW w:w="766" w:type="dxa"/>
            <w:tcBorders>
              <w:top w:val="single" w:color="000000" w:sz="4" w:space="0"/>
              <w:left w:val="nil"/>
              <w:bottom w:val="single" w:color="000000" w:sz="4" w:space="0"/>
              <w:right w:val="single" w:color="000000" w:sz="4" w:space="0"/>
            </w:tcBorders>
            <w:noWrap w:val="0"/>
            <w:vAlign w:val="top"/>
          </w:tcPr>
          <w:p w14:paraId="7FEE4B21">
            <w:pPr>
              <w:pStyle w:val="36"/>
              <w:rPr>
                <w:rFonts w:hint="eastAsia" w:ascii="宋体" w:hAnsi="宋体" w:eastAsia="宋体" w:cs="宋体"/>
                <w:color w:val="auto"/>
                <w:sz w:val="24"/>
                <w:szCs w:val="24"/>
                <w:highlight w:val="none"/>
              </w:rPr>
            </w:pPr>
          </w:p>
        </w:tc>
        <w:tc>
          <w:tcPr>
            <w:tcW w:w="841" w:type="dxa"/>
            <w:tcBorders>
              <w:top w:val="single" w:color="000000" w:sz="4" w:space="0"/>
              <w:left w:val="nil"/>
              <w:bottom w:val="single" w:color="000000" w:sz="4" w:space="0"/>
              <w:right w:val="single" w:color="000000" w:sz="4" w:space="0"/>
            </w:tcBorders>
            <w:noWrap w:val="0"/>
            <w:vAlign w:val="top"/>
          </w:tcPr>
          <w:p w14:paraId="72D80A2E">
            <w:pPr>
              <w:pStyle w:val="36"/>
              <w:rPr>
                <w:rFonts w:hint="eastAsia" w:ascii="宋体" w:hAnsi="宋体" w:eastAsia="宋体" w:cs="宋体"/>
                <w:color w:val="auto"/>
                <w:sz w:val="24"/>
                <w:szCs w:val="24"/>
                <w:highlight w:val="none"/>
              </w:rPr>
            </w:pPr>
          </w:p>
        </w:tc>
        <w:tc>
          <w:tcPr>
            <w:tcW w:w="1382" w:type="dxa"/>
            <w:tcBorders>
              <w:top w:val="single" w:color="000000" w:sz="4" w:space="0"/>
              <w:left w:val="nil"/>
              <w:bottom w:val="single" w:color="000000" w:sz="4" w:space="0"/>
              <w:right w:val="single" w:color="000000" w:sz="4" w:space="0"/>
            </w:tcBorders>
            <w:noWrap w:val="0"/>
            <w:vAlign w:val="top"/>
          </w:tcPr>
          <w:p w14:paraId="51B51F89">
            <w:pPr>
              <w:pStyle w:val="36"/>
              <w:rPr>
                <w:rFonts w:hint="eastAsia" w:ascii="宋体" w:hAnsi="宋体" w:eastAsia="宋体" w:cs="宋体"/>
                <w:color w:val="auto"/>
                <w:sz w:val="24"/>
                <w:szCs w:val="24"/>
                <w:highlight w:val="none"/>
              </w:rPr>
            </w:pPr>
          </w:p>
        </w:tc>
        <w:tc>
          <w:tcPr>
            <w:tcW w:w="1885" w:type="dxa"/>
            <w:tcBorders>
              <w:top w:val="single" w:color="000000" w:sz="4" w:space="0"/>
              <w:left w:val="nil"/>
              <w:bottom w:val="single" w:color="000000" w:sz="4" w:space="0"/>
              <w:right w:val="single" w:color="000000" w:sz="4" w:space="0"/>
            </w:tcBorders>
            <w:noWrap w:val="0"/>
            <w:vAlign w:val="top"/>
          </w:tcPr>
          <w:p w14:paraId="51F93073">
            <w:pPr>
              <w:pStyle w:val="36"/>
              <w:rPr>
                <w:rFonts w:hint="eastAsia" w:ascii="宋体" w:hAnsi="宋体" w:eastAsia="宋体" w:cs="宋体"/>
                <w:color w:val="auto"/>
                <w:sz w:val="24"/>
                <w:szCs w:val="24"/>
                <w:highlight w:val="none"/>
              </w:rPr>
            </w:pPr>
          </w:p>
        </w:tc>
        <w:tc>
          <w:tcPr>
            <w:tcW w:w="781" w:type="dxa"/>
            <w:tcBorders>
              <w:top w:val="single" w:color="000000" w:sz="4" w:space="0"/>
              <w:left w:val="nil"/>
              <w:bottom w:val="single" w:color="000000" w:sz="4" w:space="0"/>
              <w:right w:val="single" w:color="000000" w:sz="4" w:space="0"/>
            </w:tcBorders>
            <w:noWrap w:val="0"/>
            <w:vAlign w:val="top"/>
          </w:tcPr>
          <w:p w14:paraId="0080A862">
            <w:pPr>
              <w:pStyle w:val="36"/>
              <w:rPr>
                <w:rFonts w:hint="eastAsia" w:ascii="宋体" w:hAnsi="宋体" w:eastAsia="宋体" w:cs="宋体"/>
                <w:color w:val="auto"/>
                <w:sz w:val="24"/>
                <w:szCs w:val="24"/>
                <w:highlight w:val="none"/>
              </w:rPr>
            </w:pPr>
          </w:p>
        </w:tc>
      </w:tr>
    </w:tbl>
    <w:p w14:paraId="6C1A94D9">
      <w:pPr>
        <w:pStyle w:val="36"/>
        <w:rPr>
          <w:rFonts w:hint="eastAsia" w:ascii="宋体" w:hAnsi="宋体" w:eastAsia="宋体" w:cs="宋体"/>
          <w:b/>
          <w:color w:val="auto"/>
          <w:highlight w:val="none"/>
        </w:rPr>
      </w:pPr>
      <w:r>
        <w:rPr>
          <w:rFonts w:hint="eastAsia" w:ascii="宋体" w:hAnsi="宋体" w:eastAsia="宋体" w:cs="宋体"/>
          <w:color w:val="auto"/>
          <w:sz w:val="20"/>
          <w:szCs w:val="20"/>
          <w:highlight w:val="none"/>
        </w:rPr>
        <w:t xml:space="preserve"> </w:t>
      </w:r>
      <w:bookmarkStart w:id="2404" w:name="_Toc418752353"/>
      <w:bookmarkStart w:id="2405" w:name="_Toc483317226"/>
      <w:bookmarkStart w:id="2406" w:name="_Toc418751907"/>
      <w:r>
        <w:rPr>
          <w:rFonts w:hint="eastAsia" w:ascii="宋体" w:hAnsi="宋体" w:eastAsia="宋体" w:cs="宋体"/>
          <w:b/>
          <w:color w:val="auto"/>
          <w:highlight w:val="none"/>
        </w:rPr>
        <w:t>附表三：劳动力计划表</w:t>
      </w:r>
      <w:bookmarkEnd w:id="2404"/>
      <w:bookmarkEnd w:id="2405"/>
      <w:bookmarkEnd w:id="2406"/>
    </w:p>
    <w:p w14:paraId="16CB7D94">
      <w:pPr>
        <w:pStyle w:val="36"/>
        <w:jc w:val="right"/>
        <w:rPr>
          <w:rFonts w:hint="eastAsia" w:ascii="宋体" w:hAnsi="宋体" w:eastAsia="宋体" w:cs="宋体"/>
          <w:color w:val="auto"/>
          <w:highlight w:val="none"/>
        </w:rPr>
      </w:pPr>
      <w:r>
        <w:rPr>
          <w:rFonts w:hint="eastAsia" w:ascii="宋体" w:hAnsi="宋体" w:eastAsia="宋体" w:cs="宋体"/>
          <w:color w:val="auto"/>
          <w:highlight w:val="none"/>
        </w:rPr>
        <w:t>单位：人</w:t>
      </w:r>
    </w:p>
    <w:tbl>
      <w:tblPr>
        <w:tblStyle w:val="29"/>
        <w:tblW w:w="9648" w:type="dxa"/>
        <w:tblInd w:w="-5" w:type="dxa"/>
        <w:tblLayout w:type="fixed"/>
        <w:tblCellMar>
          <w:top w:w="0" w:type="dxa"/>
          <w:left w:w="0" w:type="dxa"/>
          <w:bottom w:w="0" w:type="dxa"/>
          <w:right w:w="0" w:type="dxa"/>
        </w:tblCellMar>
      </w:tblPr>
      <w:tblGrid>
        <w:gridCol w:w="938"/>
        <w:gridCol w:w="1478"/>
        <w:gridCol w:w="1204"/>
        <w:gridCol w:w="1206"/>
        <w:gridCol w:w="1204"/>
        <w:gridCol w:w="1206"/>
        <w:gridCol w:w="1204"/>
        <w:gridCol w:w="1208"/>
      </w:tblGrid>
      <w:tr w14:paraId="6CCE0D73">
        <w:tblPrEx>
          <w:tblCellMar>
            <w:top w:w="0" w:type="dxa"/>
            <w:left w:w="0" w:type="dxa"/>
            <w:bottom w:w="0" w:type="dxa"/>
            <w:right w:w="0" w:type="dxa"/>
          </w:tblCellMar>
        </w:tblPrEx>
        <w:trPr>
          <w:trHeight w:val="450" w:hRule="atLeast"/>
        </w:trPr>
        <w:tc>
          <w:tcPr>
            <w:tcW w:w="938" w:type="dxa"/>
            <w:tcBorders>
              <w:top w:val="single" w:color="000000" w:sz="4" w:space="0"/>
              <w:left w:val="single" w:color="000000" w:sz="4" w:space="0"/>
              <w:bottom w:val="single" w:color="000000" w:sz="4" w:space="0"/>
              <w:right w:val="single" w:color="000000" w:sz="4" w:space="0"/>
            </w:tcBorders>
            <w:noWrap w:val="0"/>
            <w:vAlign w:val="center"/>
          </w:tcPr>
          <w:p w14:paraId="5EAD1764">
            <w:pPr>
              <w:pStyle w:val="36"/>
              <w:jc w:val="center"/>
              <w:rPr>
                <w:rFonts w:hint="eastAsia" w:ascii="宋体" w:hAnsi="宋体" w:eastAsia="宋体" w:cs="宋体"/>
                <w:color w:val="auto"/>
                <w:sz w:val="24"/>
                <w:szCs w:val="24"/>
                <w:highlight w:val="none"/>
              </w:rPr>
            </w:pPr>
            <w:r>
              <w:rPr>
                <w:rFonts w:hint="eastAsia" w:ascii="宋体" w:hAnsi="宋体" w:eastAsia="宋体" w:cs="宋体"/>
                <w:color w:val="auto"/>
                <w:highlight w:val="none"/>
              </w:rPr>
              <w:t>工种</w:t>
            </w:r>
          </w:p>
        </w:tc>
        <w:tc>
          <w:tcPr>
            <w:tcW w:w="8710" w:type="dxa"/>
            <w:gridSpan w:val="7"/>
            <w:tcBorders>
              <w:top w:val="single" w:color="000000" w:sz="4" w:space="0"/>
              <w:left w:val="nil"/>
              <w:bottom w:val="single" w:color="000000" w:sz="4" w:space="0"/>
              <w:right w:val="single" w:color="000000" w:sz="4" w:space="0"/>
            </w:tcBorders>
            <w:noWrap w:val="0"/>
            <w:vAlign w:val="center"/>
          </w:tcPr>
          <w:p w14:paraId="09747A68">
            <w:pPr>
              <w:pStyle w:val="36"/>
              <w:jc w:val="center"/>
              <w:rPr>
                <w:rFonts w:hint="eastAsia" w:ascii="宋体" w:hAnsi="宋体" w:eastAsia="宋体" w:cs="宋体"/>
                <w:color w:val="auto"/>
                <w:sz w:val="24"/>
                <w:szCs w:val="24"/>
                <w:highlight w:val="none"/>
              </w:rPr>
            </w:pPr>
            <w:r>
              <w:rPr>
                <w:rFonts w:hint="eastAsia" w:ascii="宋体" w:hAnsi="宋体" w:eastAsia="宋体" w:cs="宋体"/>
                <w:color w:val="auto"/>
                <w:highlight w:val="none"/>
              </w:rPr>
              <w:t>按工程施工阶段投入劳动力情况</w:t>
            </w:r>
          </w:p>
        </w:tc>
      </w:tr>
      <w:tr w14:paraId="2E24DB4E">
        <w:tblPrEx>
          <w:tblCellMar>
            <w:top w:w="0" w:type="dxa"/>
            <w:left w:w="0" w:type="dxa"/>
            <w:bottom w:w="0" w:type="dxa"/>
            <w:right w:w="0" w:type="dxa"/>
          </w:tblCellMar>
        </w:tblPrEx>
        <w:trPr>
          <w:trHeight w:val="450" w:hRule="atLeast"/>
        </w:trPr>
        <w:tc>
          <w:tcPr>
            <w:tcW w:w="938" w:type="dxa"/>
            <w:tcBorders>
              <w:top w:val="single" w:color="000000" w:sz="4" w:space="0"/>
              <w:left w:val="single" w:color="000000" w:sz="4" w:space="0"/>
              <w:bottom w:val="single" w:color="000000" w:sz="4" w:space="0"/>
              <w:right w:val="single" w:color="000000" w:sz="4" w:space="0"/>
            </w:tcBorders>
            <w:noWrap w:val="0"/>
            <w:vAlign w:val="top"/>
          </w:tcPr>
          <w:p w14:paraId="7E64B9F9">
            <w:pPr>
              <w:pStyle w:val="36"/>
              <w:rPr>
                <w:rFonts w:hint="eastAsia" w:ascii="宋体" w:hAnsi="宋体" w:eastAsia="宋体" w:cs="宋体"/>
                <w:color w:val="auto"/>
                <w:sz w:val="24"/>
                <w:szCs w:val="24"/>
                <w:highlight w:val="none"/>
              </w:rPr>
            </w:pPr>
          </w:p>
        </w:tc>
        <w:tc>
          <w:tcPr>
            <w:tcW w:w="1478" w:type="dxa"/>
            <w:tcBorders>
              <w:top w:val="single" w:color="000000" w:sz="4" w:space="0"/>
              <w:left w:val="nil"/>
              <w:bottom w:val="single" w:color="000000" w:sz="4" w:space="0"/>
              <w:right w:val="single" w:color="000000" w:sz="4" w:space="0"/>
            </w:tcBorders>
            <w:noWrap w:val="0"/>
            <w:vAlign w:val="top"/>
          </w:tcPr>
          <w:p w14:paraId="4C1E2FAC">
            <w:pPr>
              <w:pStyle w:val="36"/>
              <w:rPr>
                <w:rFonts w:hint="eastAsia" w:ascii="宋体" w:hAnsi="宋体" w:eastAsia="宋体" w:cs="宋体"/>
                <w:color w:val="auto"/>
                <w:sz w:val="24"/>
                <w:szCs w:val="24"/>
                <w:highlight w:val="none"/>
              </w:rPr>
            </w:pPr>
          </w:p>
        </w:tc>
        <w:tc>
          <w:tcPr>
            <w:tcW w:w="1204" w:type="dxa"/>
            <w:tcBorders>
              <w:top w:val="single" w:color="000000" w:sz="4" w:space="0"/>
              <w:left w:val="nil"/>
              <w:bottom w:val="single" w:color="000000" w:sz="4" w:space="0"/>
              <w:right w:val="single" w:color="000000" w:sz="4" w:space="0"/>
            </w:tcBorders>
            <w:noWrap w:val="0"/>
            <w:vAlign w:val="top"/>
          </w:tcPr>
          <w:p w14:paraId="6EE9C57D">
            <w:pPr>
              <w:pStyle w:val="36"/>
              <w:rPr>
                <w:rFonts w:hint="eastAsia" w:ascii="宋体" w:hAnsi="宋体" w:eastAsia="宋体" w:cs="宋体"/>
                <w:color w:val="auto"/>
                <w:sz w:val="24"/>
                <w:szCs w:val="24"/>
                <w:highlight w:val="none"/>
              </w:rPr>
            </w:pPr>
          </w:p>
        </w:tc>
        <w:tc>
          <w:tcPr>
            <w:tcW w:w="1206" w:type="dxa"/>
            <w:tcBorders>
              <w:top w:val="single" w:color="000000" w:sz="4" w:space="0"/>
              <w:left w:val="nil"/>
              <w:bottom w:val="single" w:color="000000" w:sz="4" w:space="0"/>
              <w:right w:val="single" w:color="000000" w:sz="4" w:space="0"/>
            </w:tcBorders>
            <w:noWrap w:val="0"/>
            <w:vAlign w:val="top"/>
          </w:tcPr>
          <w:p w14:paraId="0ADF0C7E">
            <w:pPr>
              <w:pStyle w:val="36"/>
              <w:rPr>
                <w:rFonts w:hint="eastAsia" w:ascii="宋体" w:hAnsi="宋体" w:eastAsia="宋体" w:cs="宋体"/>
                <w:color w:val="auto"/>
                <w:sz w:val="24"/>
                <w:szCs w:val="24"/>
                <w:highlight w:val="none"/>
              </w:rPr>
            </w:pPr>
          </w:p>
        </w:tc>
        <w:tc>
          <w:tcPr>
            <w:tcW w:w="1204" w:type="dxa"/>
            <w:tcBorders>
              <w:top w:val="single" w:color="000000" w:sz="4" w:space="0"/>
              <w:left w:val="nil"/>
              <w:bottom w:val="single" w:color="000000" w:sz="4" w:space="0"/>
              <w:right w:val="single" w:color="000000" w:sz="4" w:space="0"/>
            </w:tcBorders>
            <w:noWrap w:val="0"/>
            <w:vAlign w:val="top"/>
          </w:tcPr>
          <w:p w14:paraId="534134B5">
            <w:pPr>
              <w:pStyle w:val="36"/>
              <w:rPr>
                <w:rFonts w:hint="eastAsia" w:ascii="宋体" w:hAnsi="宋体" w:eastAsia="宋体" w:cs="宋体"/>
                <w:color w:val="auto"/>
                <w:sz w:val="24"/>
                <w:szCs w:val="24"/>
                <w:highlight w:val="none"/>
              </w:rPr>
            </w:pPr>
          </w:p>
        </w:tc>
        <w:tc>
          <w:tcPr>
            <w:tcW w:w="1206" w:type="dxa"/>
            <w:tcBorders>
              <w:top w:val="single" w:color="000000" w:sz="4" w:space="0"/>
              <w:left w:val="nil"/>
              <w:bottom w:val="single" w:color="000000" w:sz="4" w:space="0"/>
              <w:right w:val="single" w:color="000000" w:sz="4" w:space="0"/>
            </w:tcBorders>
            <w:noWrap w:val="0"/>
            <w:vAlign w:val="top"/>
          </w:tcPr>
          <w:p w14:paraId="60E404D7">
            <w:pPr>
              <w:pStyle w:val="36"/>
              <w:rPr>
                <w:rFonts w:hint="eastAsia" w:ascii="宋体" w:hAnsi="宋体" w:eastAsia="宋体" w:cs="宋体"/>
                <w:color w:val="auto"/>
                <w:sz w:val="24"/>
                <w:szCs w:val="24"/>
                <w:highlight w:val="none"/>
              </w:rPr>
            </w:pPr>
          </w:p>
        </w:tc>
        <w:tc>
          <w:tcPr>
            <w:tcW w:w="1204" w:type="dxa"/>
            <w:tcBorders>
              <w:top w:val="single" w:color="000000" w:sz="4" w:space="0"/>
              <w:left w:val="nil"/>
              <w:bottom w:val="single" w:color="000000" w:sz="4" w:space="0"/>
              <w:right w:val="single" w:color="000000" w:sz="4" w:space="0"/>
            </w:tcBorders>
            <w:noWrap w:val="0"/>
            <w:vAlign w:val="top"/>
          </w:tcPr>
          <w:p w14:paraId="5A5B8B5E">
            <w:pPr>
              <w:pStyle w:val="36"/>
              <w:rPr>
                <w:rFonts w:hint="eastAsia" w:ascii="宋体" w:hAnsi="宋体" w:eastAsia="宋体" w:cs="宋体"/>
                <w:color w:val="auto"/>
                <w:sz w:val="24"/>
                <w:szCs w:val="24"/>
                <w:highlight w:val="none"/>
              </w:rPr>
            </w:pPr>
          </w:p>
        </w:tc>
        <w:tc>
          <w:tcPr>
            <w:tcW w:w="1208" w:type="dxa"/>
            <w:tcBorders>
              <w:top w:val="single" w:color="000000" w:sz="4" w:space="0"/>
              <w:left w:val="nil"/>
              <w:bottom w:val="single" w:color="000000" w:sz="4" w:space="0"/>
              <w:right w:val="single" w:color="000000" w:sz="4" w:space="0"/>
            </w:tcBorders>
            <w:noWrap w:val="0"/>
            <w:vAlign w:val="top"/>
          </w:tcPr>
          <w:p w14:paraId="312645F4">
            <w:pPr>
              <w:pStyle w:val="36"/>
              <w:rPr>
                <w:rFonts w:hint="eastAsia" w:ascii="宋体" w:hAnsi="宋体" w:eastAsia="宋体" w:cs="宋体"/>
                <w:color w:val="auto"/>
                <w:sz w:val="24"/>
                <w:szCs w:val="24"/>
                <w:highlight w:val="none"/>
              </w:rPr>
            </w:pPr>
          </w:p>
        </w:tc>
      </w:tr>
      <w:tr w14:paraId="4F44533F">
        <w:tblPrEx>
          <w:tblCellMar>
            <w:top w:w="0" w:type="dxa"/>
            <w:left w:w="0" w:type="dxa"/>
            <w:bottom w:w="0" w:type="dxa"/>
            <w:right w:w="0" w:type="dxa"/>
          </w:tblCellMar>
        </w:tblPrEx>
        <w:trPr>
          <w:trHeight w:val="450" w:hRule="atLeast"/>
        </w:trPr>
        <w:tc>
          <w:tcPr>
            <w:tcW w:w="938" w:type="dxa"/>
            <w:tcBorders>
              <w:top w:val="single" w:color="000000" w:sz="4" w:space="0"/>
              <w:left w:val="single" w:color="000000" w:sz="4" w:space="0"/>
              <w:bottom w:val="single" w:color="000000" w:sz="4" w:space="0"/>
              <w:right w:val="single" w:color="000000" w:sz="4" w:space="0"/>
            </w:tcBorders>
            <w:noWrap w:val="0"/>
            <w:vAlign w:val="top"/>
          </w:tcPr>
          <w:p w14:paraId="39E07FE6">
            <w:pPr>
              <w:pStyle w:val="36"/>
              <w:rPr>
                <w:rFonts w:hint="eastAsia" w:ascii="宋体" w:hAnsi="宋体" w:eastAsia="宋体" w:cs="宋体"/>
                <w:color w:val="auto"/>
                <w:sz w:val="24"/>
                <w:szCs w:val="24"/>
                <w:highlight w:val="none"/>
              </w:rPr>
            </w:pPr>
          </w:p>
        </w:tc>
        <w:tc>
          <w:tcPr>
            <w:tcW w:w="1478" w:type="dxa"/>
            <w:tcBorders>
              <w:top w:val="single" w:color="000000" w:sz="4" w:space="0"/>
              <w:left w:val="nil"/>
              <w:bottom w:val="single" w:color="000000" w:sz="4" w:space="0"/>
              <w:right w:val="single" w:color="000000" w:sz="4" w:space="0"/>
            </w:tcBorders>
            <w:noWrap w:val="0"/>
            <w:vAlign w:val="top"/>
          </w:tcPr>
          <w:p w14:paraId="41832E4B">
            <w:pPr>
              <w:pStyle w:val="36"/>
              <w:rPr>
                <w:rFonts w:hint="eastAsia" w:ascii="宋体" w:hAnsi="宋体" w:eastAsia="宋体" w:cs="宋体"/>
                <w:color w:val="auto"/>
                <w:sz w:val="24"/>
                <w:szCs w:val="24"/>
                <w:highlight w:val="none"/>
              </w:rPr>
            </w:pPr>
          </w:p>
        </w:tc>
        <w:tc>
          <w:tcPr>
            <w:tcW w:w="1204" w:type="dxa"/>
            <w:tcBorders>
              <w:top w:val="single" w:color="000000" w:sz="4" w:space="0"/>
              <w:left w:val="nil"/>
              <w:bottom w:val="single" w:color="000000" w:sz="4" w:space="0"/>
              <w:right w:val="single" w:color="000000" w:sz="4" w:space="0"/>
            </w:tcBorders>
            <w:noWrap w:val="0"/>
            <w:vAlign w:val="top"/>
          </w:tcPr>
          <w:p w14:paraId="17411D2E">
            <w:pPr>
              <w:pStyle w:val="36"/>
              <w:rPr>
                <w:rFonts w:hint="eastAsia" w:ascii="宋体" w:hAnsi="宋体" w:eastAsia="宋体" w:cs="宋体"/>
                <w:color w:val="auto"/>
                <w:sz w:val="24"/>
                <w:szCs w:val="24"/>
                <w:highlight w:val="none"/>
              </w:rPr>
            </w:pPr>
          </w:p>
        </w:tc>
        <w:tc>
          <w:tcPr>
            <w:tcW w:w="1206" w:type="dxa"/>
            <w:tcBorders>
              <w:top w:val="single" w:color="000000" w:sz="4" w:space="0"/>
              <w:left w:val="nil"/>
              <w:bottom w:val="single" w:color="000000" w:sz="4" w:space="0"/>
              <w:right w:val="single" w:color="000000" w:sz="4" w:space="0"/>
            </w:tcBorders>
            <w:noWrap w:val="0"/>
            <w:vAlign w:val="top"/>
          </w:tcPr>
          <w:p w14:paraId="58CA28D4">
            <w:pPr>
              <w:pStyle w:val="36"/>
              <w:rPr>
                <w:rFonts w:hint="eastAsia" w:ascii="宋体" w:hAnsi="宋体" w:eastAsia="宋体" w:cs="宋体"/>
                <w:color w:val="auto"/>
                <w:sz w:val="24"/>
                <w:szCs w:val="24"/>
                <w:highlight w:val="none"/>
              </w:rPr>
            </w:pPr>
          </w:p>
        </w:tc>
        <w:tc>
          <w:tcPr>
            <w:tcW w:w="1204" w:type="dxa"/>
            <w:tcBorders>
              <w:top w:val="single" w:color="000000" w:sz="4" w:space="0"/>
              <w:left w:val="nil"/>
              <w:bottom w:val="single" w:color="000000" w:sz="4" w:space="0"/>
              <w:right w:val="single" w:color="000000" w:sz="4" w:space="0"/>
            </w:tcBorders>
            <w:noWrap w:val="0"/>
            <w:vAlign w:val="top"/>
          </w:tcPr>
          <w:p w14:paraId="4600C4D4">
            <w:pPr>
              <w:pStyle w:val="36"/>
              <w:rPr>
                <w:rFonts w:hint="eastAsia" w:ascii="宋体" w:hAnsi="宋体" w:eastAsia="宋体" w:cs="宋体"/>
                <w:color w:val="auto"/>
                <w:sz w:val="24"/>
                <w:szCs w:val="24"/>
                <w:highlight w:val="none"/>
              </w:rPr>
            </w:pPr>
          </w:p>
        </w:tc>
        <w:tc>
          <w:tcPr>
            <w:tcW w:w="1206" w:type="dxa"/>
            <w:tcBorders>
              <w:top w:val="single" w:color="000000" w:sz="4" w:space="0"/>
              <w:left w:val="nil"/>
              <w:bottom w:val="single" w:color="000000" w:sz="4" w:space="0"/>
              <w:right w:val="single" w:color="000000" w:sz="4" w:space="0"/>
            </w:tcBorders>
            <w:noWrap w:val="0"/>
            <w:vAlign w:val="top"/>
          </w:tcPr>
          <w:p w14:paraId="761FB52D">
            <w:pPr>
              <w:pStyle w:val="36"/>
              <w:rPr>
                <w:rFonts w:hint="eastAsia" w:ascii="宋体" w:hAnsi="宋体" w:eastAsia="宋体" w:cs="宋体"/>
                <w:color w:val="auto"/>
                <w:sz w:val="24"/>
                <w:szCs w:val="24"/>
                <w:highlight w:val="none"/>
              </w:rPr>
            </w:pPr>
          </w:p>
        </w:tc>
        <w:tc>
          <w:tcPr>
            <w:tcW w:w="1204" w:type="dxa"/>
            <w:tcBorders>
              <w:top w:val="single" w:color="000000" w:sz="4" w:space="0"/>
              <w:left w:val="nil"/>
              <w:bottom w:val="single" w:color="000000" w:sz="4" w:space="0"/>
              <w:right w:val="single" w:color="000000" w:sz="4" w:space="0"/>
            </w:tcBorders>
            <w:noWrap w:val="0"/>
            <w:vAlign w:val="top"/>
          </w:tcPr>
          <w:p w14:paraId="541BE482">
            <w:pPr>
              <w:pStyle w:val="36"/>
              <w:rPr>
                <w:rFonts w:hint="eastAsia" w:ascii="宋体" w:hAnsi="宋体" w:eastAsia="宋体" w:cs="宋体"/>
                <w:color w:val="auto"/>
                <w:sz w:val="24"/>
                <w:szCs w:val="24"/>
                <w:highlight w:val="none"/>
              </w:rPr>
            </w:pPr>
          </w:p>
        </w:tc>
        <w:tc>
          <w:tcPr>
            <w:tcW w:w="1208" w:type="dxa"/>
            <w:tcBorders>
              <w:top w:val="single" w:color="000000" w:sz="4" w:space="0"/>
              <w:left w:val="nil"/>
              <w:bottom w:val="single" w:color="000000" w:sz="4" w:space="0"/>
              <w:right w:val="single" w:color="000000" w:sz="4" w:space="0"/>
            </w:tcBorders>
            <w:noWrap w:val="0"/>
            <w:vAlign w:val="top"/>
          </w:tcPr>
          <w:p w14:paraId="4C08CB70">
            <w:pPr>
              <w:pStyle w:val="36"/>
              <w:rPr>
                <w:rFonts w:hint="eastAsia" w:ascii="宋体" w:hAnsi="宋体" w:eastAsia="宋体" w:cs="宋体"/>
                <w:color w:val="auto"/>
                <w:sz w:val="24"/>
                <w:szCs w:val="24"/>
                <w:highlight w:val="none"/>
              </w:rPr>
            </w:pPr>
          </w:p>
        </w:tc>
      </w:tr>
      <w:tr w14:paraId="47A79550">
        <w:tblPrEx>
          <w:tblCellMar>
            <w:top w:w="0" w:type="dxa"/>
            <w:left w:w="0" w:type="dxa"/>
            <w:bottom w:w="0" w:type="dxa"/>
            <w:right w:w="0" w:type="dxa"/>
          </w:tblCellMar>
        </w:tblPrEx>
        <w:trPr>
          <w:trHeight w:val="450" w:hRule="atLeast"/>
        </w:trPr>
        <w:tc>
          <w:tcPr>
            <w:tcW w:w="938" w:type="dxa"/>
            <w:tcBorders>
              <w:top w:val="single" w:color="000000" w:sz="4" w:space="0"/>
              <w:left w:val="single" w:color="000000" w:sz="4" w:space="0"/>
              <w:bottom w:val="single" w:color="000000" w:sz="4" w:space="0"/>
              <w:right w:val="single" w:color="000000" w:sz="4" w:space="0"/>
            </w:tcBorders>
            <w:noWrap w:val="0"/>
            <w:vAlign w:val="top"/>
          </w:tcPr>
          <w:p w14:paraId="42307E05">
            <w:pPr>
              <w:pStyle w:val="36"/>
              <w:rPr>
                <w:rFonts w:hint="eastAsia" w:ascii="宋体" w:hAnsi="宋体" w:eastAsia="宋体" w:cs="宋体"/>
                <w:color w:val="auto"/>
                <w:sz w:val="24"/>
                <w:szCs w:val="24"/>
                <w:highlight w:val="none"/>
              </w:rPr>
            </w:pPr>
          </w:p>
        </w:tc>
        <w:tc>
          <w:tcPr>
            <w:tcW w:w="1478" w:type="dxa"/>
            <w:tcBorders>
              <w:top w:val="single" w:color="000000" w:sz="4" w:space="0"/>
              <w:left w:val="nil"/>
              <w:bottom w:val="single" w:color="000000" w:sz="4" w:space="0"/>
              <w:right w:val="single" w:color="000000" w:sz="4" w:space="0"/>
            </w:tcBorders>
            <w:noWrap w:val="0"/>
            <w:vAlign w:val="top"/>
          </w:tcPr>
          <w:p w14:paraId="3008EC8A">
            <w:pPr>
              <w:pStyle w:val="36"/>
              <w:rPr>
                <w:rFonts w:hint="eastAsia" w:ascii="宋体" w:hAnsi="宋体" w:eastAsia="宋体" w:cs="宋体"/>
                <w:color w:val="auto"/>
                <w:sz w:val="24"/>
                <w:szCs w:val="24"/>
                <w:highlight w:val="none"/>
              </w:rPr>
            </w:pPr>
          </w:p>
        </w:tc>
        <w:tc>
          <w:tcPr>
            <w:tcW w:w="1204" w:type="dxa"/>
            <w:tcBorders>
              <w:top w:val="single" w:color="000000" w:sz="4" w:space="0"/>
              <w:left w:val="nil"/>
              <w:bottom w:val="single" w:color="000000" w:sz="4" w:space="0"/>
              <w:right w:val="single" w:color="000000" w:sz="4" w:space="0"/>
            </w:tcBorders>
            <w:noWrap w:val="0"/>
            <w:vAlign w:val="top"/>
          </w:tcPr>
          <w:p w14:paraId="12F1F307">
            <w:pPr>
              <w:pStyle w:val="36"/>
              <w:rPr>
                <w:rFonts w:hint="eastAsia" w:ascii="宋体" w:hAnsi="宋体" w:eastAsia="宋体" w:cs="宋体"/>
                <w:color w:val="auto"/>
                <w:sz w:val="24"/>
                <w:szCs w:val="24"/>
                <w:highlight w:val="none"/>
              </w:rPr>
            </w:pPr>
          </w:p>
        </w:tc>
        <w:tc>
          <w:tcPr>
            <w:tcW w:w="1206" w:type="dxa"/>
            <w:tcBorders>
              <w:top w:val="single" w:color="000000" w:sz="4" w:space="0"/>
              <w:left w:val="nil"/>
              <w:bottom w:val="single" w:color="000000" w:sz="4" w:space="0"/>
              <w:right w:val="single" w:color="000000" w:sz="4" w:space="0"/>
            </w:tcBorders>
            <w:noWrap w:val="0"/>
            <w:vAlign w:val="top"/>
          </w:tcPr>
          <w:p w14:paraId="1368A275">
            <w:pPr>
              <w:pStyle w:val="36"/>
              <w:rPr>
                <w:rFonts w:hint="eastAsia" w:ascii="宋体" w:hAnsi="宋体" w:eastAsia="宋体" w:cs="宋体"/>
                <w:color w:val="auto"/>
                <w:sz w:val="24"/>
                <w:szCs w:val="24"/>
                <w:highlight w:val="none"/>
              </w:rPr>
            </w:pPr>
          </w:p>
        </w:tc>
        <w:tc>
          <w:tcPr>
            <w:tcW w:w="1204" w:type="dxa"/>
            <w:tcBorders>
              <w:top w:val="single" w:color="000000" w:sz="4" w:space="0"/>
              <w:left w:val="nil"/>
              <w:bottom w:val="single" w:color="000000" w:sz="4" w:space="0"/>
              <w:right w:val="single" w:color="000000" w:sz="4" w:space="0"/>
            </w:tcBorders>
            <w:noWrap w:val="0"/>
            <w:vAlign w:val="top"/>
          </w:tcPr>
          <w:p w14:paraId="262A68BD">
            <w:pPr>
              <w:pStyle w:val="36"/>
              <w:rPr>
                <w:rFonts w:hint="eastAsia" w:ascii="宋体" w:hAnsi="宋体" w:eastAsia="宋体" w:cs="宋体"/>
                <w:color w:val="auto"/>
                <w:sz w:val="24"/>
                <w:szCs w:val="24"/>
                <w:highlight w:val="none"/>
              </w:rPr>
            </w:pPr>
          </w:p>
        </w:tc>
        <w:tc>
          <w:tcPr>
            <w:tcW w:w="1206" w:type="dxa"/>
            <w:tcBorders>
              <w:top w:val="single" w:color="000000" w:sz="4" w:space="0"/>
              <w:left w:val="nil"/>
              <w:bottom w:val="single" w:color="000000" w:sz="4" w:space="0"/>
              <w:right w:val="single" w:color="000000" w:sz="4" w:space="0"/>
            </w:tcBorders>
            <w:noWrap w:val="0"/>
            <w:vAlign w:val="top"/>
          </w:tcPr>
          <w:p w14:paraId="507888AF">
            <w:pPr>
              <w:pStyle w:val="36"/>
              <w:rPr>
                <w:rFonts w:hint="eastAsia" w:ascii="宋体" w:hAnsi="宋体" w:eastAsia="宋体" w:cs="宋体"/>
                <w:color w:val="auto"/>
                <w:sz w:val="24"/>
                <w:szCs w:val="24"/>
                <w:highlight w:val="none"/>
              </w:rPr>
            </w:pPr>
          </w:p>
        </w:tc>
        <w:tc>
          <w:tcPr>
            <w:tcW w:w="1204" w:type="dxa"/>
            <w:tcBorders>
              <w:top w:val="single" w:color="000000" w:sz="4" w:space="0"/>
              <w:left w:val="nil"/>
              <w:bottom w:val="single" w:color="000000" w:sz="4" w:space="0"/>
              <w:right w:val="single" w:color="000000" w:sz="4" w:space="0"/>
            </w:tcBorders>
            <w:noWrap w:val="0"/>
            <w:vAlign w:val="top"/>
          </w:tcPr>
          <w:p w14:paraId="6F5E9FC4">
            <w:pPr>
              <w:pStyle w:val="36"/>
              <w:rPr>
                <w:rFonts w:hint="eastAsia" w:ascii="宋体" w:hAnsi="宋体" w:eastAsia="宋体" w:cs="宋体"/>
                <w:color w:val="auto"/>
                <w:sz w:val="24"/>
                <w:szCs w:val="24"/>
                <w:highlight w:val="none"/>
              </w:rPr>
            </w:pPr>
          </w:p>
        </w:tc>
        <w:tc>
          <w:tcPr>
            <w:tcW w:w="1208" w:type="dxa"/>
            <w:tcBorders>
              <w:top w:val="single" w:color="000000" w:sz="4" w:space="0"/>
              <w:left w:val="nil"/>
              <w:bottom w:val="single" w:color="000000" w:sz="4" w:space="0"/>
              <w:right w:val="single" w:color="000000" w:sz="4" w:space="0"/>
            </w:tcBorders>
            <w:noWrap w:val="0"/>
            <w:vAlign w:val="top"/>
          </w:tcPr>
          <w:p w14:paraId="08BAE7B7">
            <w:pPr>
              <w:pStyle w:val="36"/>
              <w:rPr>
                <w:rFonts w:hint="eastAsia" w:ascii="宋体" w:hAnsi="宋体" w:eastAsia="宋体" w:cs="宋体"/>
                <w:color w:val="auto"/>
                <w:sz w:val="24"/>
                <w:szCs w:val="24"/>
                <w:highlight w:val="none"/>
              </w:rPr>
            </w:pPr>
          </w:p>
        </w:tc>
      </w:tr>
      <w:tr w14:paraId="6BB578E9">
        <w:tblPrEx>
          <w:tblCellMar>
            <w:top w:w="0" w:type="dxa"/>
            <w:left w:w="0" w:type="dxa"/>
            <w:bottom w:w="0" w:type="dxa"/>
            <w:right w:w="0" w:type="dxa"/>
          </w:tblCellMar>
        </w:tblPrEx>
        <w:trPr>
          <w:trHeight w:val="450" w:hRule="atLeast"/>
        </w:trPr>
        <w:tc>
          <w:tcPr>
            <w:tcW w:w="938" w:type="dxa"/>
            <w:tcBorders>
              <w:top w:val="single" w:color="000000" w:sz="4" w:space="0"/>
              <w:left w:val="single" w:color="000000" w:sz="4" w:space="0"/>
              <w:bottom w:val="single" w:color="000000" w:sz="4" w:space="0"/>
              <w:right w:val="single" w:color="000000" w:sz="4" w:space="0"/>
            </w:tcBorders>
            <w:noWrap w:val="0"/>
            <w:vAlign w:val="top"/>
          </w:tcPr>
          <w:p w14:paraId="3761F3E0">
            <w:pPr>
              <w:pStyle w:val="36"/>
              <w:rPr>
                <w:rFonts w:hint="eastAsia" w:ascii="宋体" w:hAnsi="宋体" w:eastAsia="宋体" w:cs="宋体"/>
                <w:color w:val="auto"/>
                <w:sz w:val="24"/>
                <w:szCs w:val="24"/>
                <w:highlight w:val="none"/>
              </w:rPr>
            </w:pPr>
          </w:p>
        </w:tc>
        <w:tc>
          <w:tcPr>
            <w:tcW w:w="1478" w:type="dxa"/>
            <w:tcBorders>
              <w:top w:val="single" w:color="000000" w:sz="4" w:space="0"/>
              <w:left w:val="nil"/>
              <w:bottom w:val="single" w:color="000000" w:sz="4" w:space="0"/>
              <w:right w:val="single" w:color="000000" w:sz="4" w:space="0"/>
            </w:tcBorders>
            <w:noWrap w:val="0"/>
            <w:vAlign w:val="top"/>
          </w:tcPr>
          <w:p w14:paraId="088D3E3C">
            <w:pPr>
              <w:pStyle w:val="36"/>
              <w:rPr>
                <w:rFonts w:hint="eastAsia" w:ascii="宋体" w:hAnsi="宋体" w:eastAsia="宋体" w:cs="宋体"/>
                <w:color w:val="auto"/>
                <w:sz w:val="24"/>
                <w:szCs w:val="24"/>
                <w:highlight w:val="none"/>
              </w:rPr>
            </w:pPr>
          </w:p>
        </w:tc>
        <w:tc>
          <w:tcPr>
            <w:tcW w:w="1204" w:type="dxa"/>
            <w:tcBorders>
              <w:top w:val="single" w:color="000000" w:sz="4" w:space="0"/>
              <w:left w:val="nil"/>
              <w:bottom w:val="single" w:color="000000" w:sz="4" w:space="0"/>
              <w:right w:val="single" w:color="000000" w:sz="4" w:space="0"/>
            </w:tcBorders>
            <w:noWrap w:val="0"/>
            <w:vAlign w:val="top"/>
          </w:tcPr>
          <w:p w14:paraId="1D245879">
            <w:pPr>
              <w:pStyle w:val="36"/>
              <w:rPr>
                <w:rFonts w:hint="eastAsia" w:ascii="宋体" w:hAnsi="宋体" w:eastAsia="宋体" w:cs="宋体"/>
                <w:color w:val="auto"/>
                <w:sz w:val="24"/>
                <w:szCs w:val="24"/>
                <w:highlight w:val="none"/>
              </w:rPr>
            </w:pPr>
          </w:p>
        </w:tc>
        <w:tc>
          <w:tcPr>
            <w:tcW w:w="1206" w:type="dxa"/>
            <w:tcBorders>
              <w:top w:val="single" w:color="000000" w:sz="4" w:space="0"/>
              <w:left w:val="nil"/>
              <w:bottom w:val="single" w:color="000000" w:sz="4" w:space="0"/>
              <w:right w:val="single" w:color="000000" w:sz="4" w:space="0"/>
            </w:tcBorders>
            <w:noWrap w:val="0"/>
            <w:vAlign w:val="top"/>
          </w:tcPr>
          <w:p w14:paraId="21B09351">
            <w:pPr>
              <w:pStyle w:val="36"/>
              <w:rPr>
                <w:rFonts w:hint="eastAsia" w:ascii="宋体" w:hAnsi="宋体" w:eastAsia="宋体" w:cs="宋体"/>
                <w:color w:val="auto"/>
                <w:sz w:val="24"/>
                <w:szCs w:val="24"/>
                <w:highlight w:val="none"/>
              </w:rPr>
            </w:pPr>
          </w:p>
        </w:tc>
        <w:tc>
          <w:tcPr>
            <w:tcW w:w="1204" w:type="dxa"/>
            <w:tcBorders>
              <w:top w:val="single" w:color="000000" w:sz="4" w:space="0"/>
              <w:left w:val="nil"/>
              <w:bottom w:val="single" w:color="000000" w:sz="4" w:space="0"/>
              <w:right w:val="single" w:color="000000" w:sz="4" w:space="0"/>
            </w:tcBorders>
            <w:noWrap w:val="0"/>
            <w:vAlign w:val="top"/>
          </w:tcPr>
          <w:p w14:paraId="5C36DE13">
            <w:pPr>
              <w:pStyle w:val="36"/>
              <w:rPr>
                <w:rFonts w:hint="eastAsia" w:ascii="宋体" w:hAnsi="宋体" w:eastAsia="宋体" w:cs="宋体"/>
                <w:color w:val="auto"/>
                <w:sz w:val="24"/>
                <w:szCs w:val="24"/>
                <w:highlight w:val="none"/>
              </w:rPr>
            </w:pPr>
          </w:p>
        </w:tc>
        <w:tc>
          <w:tcPr>
            <w:tcW w:w="1206" w:type="dxa"/>
            <w:tcBorders>
              <w:top w:val="single" w:color="000000" w:sz="4" w:space="0"/>
              <w:left w:val="nil"/>
              <w:bottom w:val="single" w:color="000000" w:sz="4" w:space="0"/>
              <w:right w:val="single" w:color="000000" w:sz="4" w:space="0"/>
            </w:tcBorders>
            <w:noWrap w:val="0"/>
            <w:vAlign w:val="top"/>
          </w:tcPr>
          <w:p w14:paraId="5D8BCA3E">
            <w:pPr>
              <w:pStyle w:val="36"/>
              <w:rPr>
                <w:rFonts w:hint="eastAsia" w:ascii="宋体" w:hAnsi="宋体" w:eastAsia="宋体" w:cs="宋体"/>
                <w:color w:val="auto"/>
                <w:sz w:val="24"/>
                <w:szCs w:val="24"/>
                <w:highlight w:val="none"/>
              </w:rPr>
            </w:pPr>
          </w:p>
        </w:tc>
        <w:tc>
          <w:tcPr>
            <w:tcW w:w="1204" w:type="dxa"/>
            <w:tcBorders>
              <w:top w:val="single" w:color="000000" w:sz="4" w:space="0"/>
              <w:left w:val="nil"/>
              <w:bottom w:val="single" w:color="000000" w:sz="4" w:space="0"/>
              <w:right w:val="single" w:color="000000" w:sz="4" w:space="0"/>
            </w:tcBorders>
            <w:noWrap w:val="0"/>
            <w:vAlign w:val="top"/>
          </w:tcPr>
          <w:p w14:paraId="66575428">
            <w:pPr>
              <w:pStyle w:val="36"/>
              <w:rPr>
                <w:rFonts w:hint="eastAsia" w:ascii="宋体" w:hAnsi="宋体" w:eastAsia="宋体" w:cs="宋体"/>
                <w:color w:val="auto"/>
                <w:sz w:val="24"/>
                <w:szCs w:val="24"/>
                <w:highlight w:val="none"/>
              </w:rPr>
            </w:pPr>
          </w:p>
        </w:tc>
        <w:tc>
          <w:tcPr>
            <w:tcW w:w="1208" w:type="dxa"/>
            <w:tcBorders>
              <w:top w:val="single" w:color="000000" w:sz="4" w:space="0"/>
              <w:left w:val="nil"/>
              <w:bottom w:val="single" w:color="000000" w:sz="4" w:space="0"/>
              <w:right w:val="single" w:color="000000" w:sz="4" w:space="0"/>
            </w:tcBorders>
            <w:noWrap w:val="0"/>
            <w:vAlign w:val="top"/>
          </w:tcPr>
          <w:p w14:paraId="193A66DA">
            <w:pPr>
              <w:pStyle w:val="36"/>
              <w:rPr>
                <w:rFonts w:hint="eastAsia" w:ascii="宋体" w:hAnsi="宋体" w:eastAsia="宋体" w:cs="宋体"/>
                <w:color w:val="auto"/>
                <w:sz w:val="24"/>
                <w:szCs w:val="24"/>
                <w:highlight w:val="none"/>
              </w:rPr>
            </w:pPr>
          </w:p>
        </w:tc>
      </w:tr>
    </w:tbl>
    <w:p w14:paraId="3CCE7C43">
      <w:pPr>
        <w:pStyle w:val="36"/>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 xml:space="preserve"> </w:t>
      </w:r>
    </w:p>
    <w:p w14:paraId="1ABB20B9">
      <w:pPr>
        <w:rPr>
          <w:rFonts w:hint="eastAsia" w:ascii="宋体" w:hAnsi="宋体" w:eastAsia="宋体" w:cs="宋体"/>
          <w:b/>
          <w:color w:val="auto"/>
          <w:highlight w:val="none"/>
        </w:rPr>
      </w:pPr>
      <w:bookmarkStart w:id="2407" w:name="_Toc418751908"/>
      <w:bookmarkStart w:id="2408" w:name="_Toc483317227"/>
      <w:bookmarkStart w:id="2409" w:name="_Toc418752354"/>
      <w:r>
        <w:rPr>
          <w:rFonts w:hint="eastAsia" w:ascii="宋体" w:hAnsi="宋体" w:eastAsia="宋体" w:cs="宋体"/>
          <w:b/>
          <w:color w:val="auto"/>
          <w:highlight w:val="none"/>
        </w:rPr>
        <w:t>附表四：计划开、竣工日期和施工进度网络图</w:t>
      </w:r>
      <w:r>
        <w:rPr>
          <w:rFonts w:hint="eastAsia" w:ascii="宋体" w:hAnsi="宋体" w:eastAsia="宋体" w:cs="宋体"/>
          <w:b/>
          <w:color w:val="auto"/>
          <w:highlight w:val="none"/>
          <w:lang w:val="en-US" w:eastAsia="zh-CN"/>
        </w:rPr>
        <w:t>或</w:t>
      </w:r>
      <w:r>
        <w:rPr>
          <w:rFonts w:hint="eastAsia" w:ascii="宋体" w:hAnsi="宋体" w:eastAsia="宋体" w:cs="宋体"/>
          <w:b/>
          <w:color w:val="auto"/>
          <w:highlight w:val="none"/>
        </w:rPr>
        <w:t>横道图</w:t>
      </w:r>
      <w:bookmarkEnd w:id="2407"/>
      <w:bookmarkEnd w:id="2408"/>
      <w:bookmarkEnd w:id="2409"/>
    </w:p>
    <w:p w14:paraId="41967F45">
      <w:pPr>
        <w:pStyle w:val="36"/>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 xml:space="preserve"> </w:t>
      </w:r>
    </w:p>
    <w:p w14:paraId="4522586F">
      <w:pPr>
        <w:pStyle w:val="36"/>
        <w:ind w:firstLine="424"/>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供应商</w:t>
      </w:r>
      <w:r>
        <w:rPr>
          <w:rFonts w:hint="eastAsia" w:ascii="宋体" w:hAnsi="宋体" w:eastAsia="宋体" w:cs="宋体"/>
          <w:color w:val="auto"/>
          <w:highlight w:val="none"/>
        </w:rPr>
        <w:t>应递交施工进度网络图</w:t>
      </w:r>
      <w:r>
        <w:rPr>
          <w:rFonts w:hint="eastAsia" w:ascii="宋体" w:hAnsi="宋体" w:eastAsia="宋体" w:cs="宋体"/>
          <w:color w:val="auto"/>
          <w:highlight w:val="none"/>
          <w:lang w:eastAsia="zh-CN"/>
        </w:rPr>
        <w:t>或</w:t>
      </w:r>
      <w:r>
        <w:rPr>
          <w:rFonts w:hint="eastAsia" w:ascii="宋体" w:hAnsi="宋体" w:eastAsia="宋体" w:cs="宋体"/>
          <w:color w:val="auto"/>
          <w:highlight w:val="none"/>
        </w:rPr>
        <w:t>横道图</w:t>
      </w:r>
      <w:r>
        <w:rPr>
          <w:rFonts w:hint="eastAsia" w:ascii="宋体" w:hAnsi="宋体" w:eastAsia="宋体" w:cs="宋体"/>
          <w:color w:val="auto"/>
          <w:spacing w:val="1"/>
          <w:highlight w:val="none"/>
        </w:rPr>
        <w:t>，说</w:t>
      </w:r>
      <w:r>
        <w:rPr>
          <w:rFonts w:hint="eastAsia" w:ascii="宋体" w:hAnsi="宋体" w:eastAsia="宋体" w:cs="宋体"/>
          <w:color w:val="auto"/>
          <w:spacing w:val="2"/>
          <w:highlight w:val="none"/>
        </w:rPr>
        <w:t>明</w:t>
      </w:r>
      <w:r>
        <w:rPr>
          <w:rFonts w:hint="eastAsia" w:ascii="宋体" w:hAnsi="宋体" w:eastAsia="宋体" w:cs="宋体"/>
          <w:color w:val="auto"/>
          <w:spacing w:val="1"/>
          <w:highlight w:val="none"/>
        </w:rPr>
        <w:t>按</w:t>
      </w:r>
      <w:r>
        <w:rPr>
          <w:rFonts w:hint="eastAsia" w:ascii="宋体" w:hAnsi="宋体" w:eastAsia="宋体" w:cs="宋体"/>
          <w:color w:val="auto"/>
          <w:spacing w:val="2"/>
          <w:highlight w:val="none"/>
          <w:lang w:val="en-US" w:eastAsia="zh-CN"/>
        </w:rPr>
        <w:t>竞争性磋商</w:t>
      </w:r>
      <w:r>
        <w:rPr>
          <w:rFonts w:hint="eastAsia" w:ascii="宋体" w:hAnsi="宋体" w:eastAsia="宋体" w:cs="宋体"/>
          <w:color w:val="auto"/>
          <w:spacing w:val="1"/>
          <w:highlight w:val="none"/>
        </w:rPr>
        <w:t>文</w:t>
      </w:r>
      <w:r>
        <w:rPr>
          <w:rFonts w:hint="eastAsia" w:ascii="宋体" w:hAnsi="宋体" w:eastAsia="宋体" w:cs="宋体"/>
          <w:color w:val="auto"/>
          <w:spacing w:val="2"/>
          <w:highlight w:val="none"/>
        </w:rPr>
        <w:t>件</w:t>
      </w:r>
      <w:r>
        <w:rPr>
          <w:rFonts w:hint="eastAsia" w:ascii="宋体" w:hAnsi="宋体" w:eastAsia="宋体" w:cs="宋体"/>
          <w:color w:val="auto"/>
          <w:spacing w:val="1"/>
          <w:highlight w:val="none"/>
        </w:rPr>
        <w:t>要</w:t>
      </w:r>
      <w:r>
        <w:rPr>
          <w:rFonts w:hint="eastAsia" w:ascii="宋体" w:hAnsi="宋体" w:eastAsia="宋体" w:cs="宋体"/>
          <w:color w:val="auto"/>
          <w:spacing w:val="2"/>
          <w:highlight w:val="none"/>
        </w:rPr>
        <w:t>求</w:t>
      </w:r>
      <w:r>
        <w:rPr>
          <w:rFonts w:hint="eastAsia" w:ascii="宋体" w:hAnsi="宋体" w:eastAsia="宋体" w:cs="宋体"/>
          <w:color w:val="auto"/>
          <w:spacing w:val="1"/>
          <w:highlight w:val="none"/>
        </w:rPr>
        <w:t>的计</w:t>
      </w:r>
      <w:r>
        <w:rPr>
          <w:rFonts w:hint="eastAsia" w:ascii="宋体" w:hAnsi="宋体" w:eastAsia="宋体" w:cs="宋体"/>
          <w:color w:val="auto"/>
          <w:spacing w:val="2"/>
          <w:highlight w:val="none"/>
        </w:rPr>
        <w:t>划</w:t>
      </w:r>
      <w:r>
        <w:rPr>
          <w:rFonts w:hint="eastAsia" w:ascii="宋体" w:hAnsi="宋体" w:eastAsia="宋体" w:cs="宋体"/>
          <w:color w:val="auto"/>
          <w:spacing w:val="1"/>
          <w:highlight w:val="none"/>
        </w:rPr>
        <w:t>工</w:t>
      </w:r>
      <w:r>
        <w:rPr>
          <w:rFonts w:hint="eastAsia" w:ascii="宋体" w:hAnsi="宋体" w:eastAsia="宋体" w:cs="宋体"/>
          <w:color w:val="auto"/>
          <w:spacing w:val="4"/>
          <w:highlight w:val="none"/>
        </w:rPr>
        <w:t>期</w:t>
      </w:r>
      <w:r>
        <w:rPr>
          <w:rFonts w:hint="eastAsia" w:ascii="宋体" w:hAnsi="宋体" w:eastAsia="宋体" w:cs="宋体"/>
          <w:color w:val="auto"/>
          <w:spacing w:val="2"/>
          <w:highlight w:val="none"/>
        </w:rPr>
        <w:t>进</w:t>
      </w:r>
      <w:r>
        <w:rPr>
          <w:rFonts w:hint="eastAsia" w:ascii="宋体" w:hAnsi="宋体" w:eastAsia="宋体" w:cs="宋体"/>
          <w:color w:val="auto"/>
          <w:spacing w:val="1"/>
          <w:highlight w:val="none"/>
        </w:rPr>
        <w:t>行</w:t>
      </w:r>
      <w:r>
        <w:rPr>
          <w:rFonts w:hint="eastAsia" w:ascii="宋体" w:hAnsi="宋体" w:eastAsia="宋体" w:cs="宋体"/>
          <w:color w:val="auto"/>
          <w:highlight w:val="none"/>
        </w:rPr>
        <w:t>施工的各个关键日期。</w:t>
      </w:r>
    </w:p>
    <w:p w14:paraId="104402E8">
      <w:pPr>
        <w:pStyle w:val="36"/>
        <w:ind w:firstLine="424"/>
        <w:rPr>
          <w:rFonts w:hint="eastAsia" w:ascii="宋体" w:hAnsi="宋体" w:eastAsia="宋体" w:cs="宋体"/>
          <w:color w:val="auto"/>
          <w:highlight w:val="none"/>
        </w:rPr>
      </w:pPr>
      <w:r>
        <w:rPr>
          <w:rFonts w:hint="eastAsia" w:ascii="宋体" w:hAnsi="宋体" w:eastAsia="宋体" w:cs="宋体"/>
          <w:color w:val="auto"/>
          <w:highlight w:val="none"/>
        </w:rPr>
        <w:t>2.计划开工日期：</w:t>
      </w:r>
      <w:r>
        <w:rPr>
          <w:rFonts w:hint="eastAsia" w:ascii="宋体" w:hAnsi="宋体"/>
          <w:color w:val="auto"/>
          <w:szCs w:val="21"/>
          <w:highlight w:val="none"/>
          <w:lang w:val="en-US" w:eastAsia="zh-CN"/>
        </w:rPr>
        <w:t>自合同签订之日起至 年 月 日</w:t>
      </w:r>
      <w:r>
        <w:rPr>
          <w:rFonts w:hint="eastAsia" w:ascii="宋体" w:hAnsi="宋体" w:eastAsia="宋体" w:cs="宋体"/>
          <w:i w:val="0"/>
          <w:iCs w:val="0"/>
          <w:color w:val="auto"/>
          <w:sz w:val="21"/>
          <w:szCs w:val="21"/>
          <w:highlight w:val="none"/>
          <w:lang w:val="en-US" w:eastAsia="zh-CN"/>
        </w:rPr>
        <w:t>。</w:t>
      </w:r>
    </w:p>
    <w:p w14:paraId="50EB2C88">
      <w:pPr>
        <w:pStyle w:val="36"/>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 xml:space="preserve"> </w:t>
      </w:r>
    </w:p>
    <w:p w14:paraId="0C647BCB">
      <w:pPr>
        <w:rPr>
          <w:rFonts w:hint="eastAsia" w:ascii="宋体" w:hAnsi="宋体" w:eastAsia="宋体" w:cs="宋体"/>
          <w:b/>
          <w:color w:val="auto"/>
          <w:highlight w:val="none"/>
        </w:rPr>
      </w:pPr>
      <w:bookmarkStart w:id="2410" w:name="_Toc418751909"/>
      <w:bookmarkStart w:id="2411" w:name="_Toc483317228"/>
      <w:bookmarkStart w:id="2412" w:name="_Toc418752355"/>
      <w:r>
        <w:rPr>
          <w:rFonts w:hint="eastAsia" w:ascii="宋体" w:hAnsi="宋体" w:eastAsia="宋体" w:cs="宋体"/>
          <w:b/>
          <w:color w:val="auto"/>
          <w:highlight w:val="none"/>
        </w:rPr>
        <w:t>附表五：施工总平面图</w:t>
      </w:r>
      <w:bookmarkEnd w:id="2410"/>
      <w:bookmarkEnd w:id="2411"/>
      <w:bookmarkEnd w:id="2412"/>
    </w:p>
    <w:p w14:paraId="74A7127F">
      <w:pPr>
        <w:pStyle w:val="36"/>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 xml:space="preserve"> </w:t>
      </w:r>
    </w:p>
    <w:p w14:paraId="6D1FFD48">
      <w:pPr>
        <w:pStyle w:val="36"/>
        <w:ind w:firstLine="424"/>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供应商</w:t>
      </w:r>
      <w:r>
        <w:rPr>
          <w:rFonts w:hint="eastAsia" w:ascii="宋体" w:hAnsi="宋体" w:eastAsia="宋体" w:cs="宋体"/>
          <w:color w:val="auto"/>
          <w:highlight w:val="none"/>
        </w:rPr>
        <w:t>应递交一份施工总平面图</w:t>
      </w:r>
      <w:r>
        <w:rPr>
          <w:rFonts w:hint="eastAsia" w:ascii="宋体" w:hAnsi="宋体" w:eastAsia="宋体" w:cs="宋体"/>
          <w:color w:val="auto"/>
          <w:spacing w:val="-47"/>
          <w:highlight w:val="none"/>
        </w:rPr>
        <w:t>，</w:t>
      </w:r>
      <w:r>
        <w:rPr>
          <w:rFonts w:hint="eastAsia" w:ascii="宋体" w:hAnsi="宋体" w:eastAsia="宋体" w:cs="宋体"/>
          <w:color w:val="auto"/>
          <w:highlight w:val="none"/>
        </w:rPr>
        <w:t>绘出现场临时设施布置图表并附文字说明</w:t>
      </w:r>
      <w:r>
        <w:rPr>
          <w:rFonts w:hint="eastAsia" w:ascii="宋体" w:hAnsi="宋体" w:eastAsia="宋体" w:cs="宋体"/>
          <w:color w:val="auto"/>
          <w:spacing w:val="-47"/>
          <w:highlight w:val="none"/>
        </w:rPr>
        <w:t>，</w:t>
      </w:r>
      <w:r>
        <w:rPr>
          <w:rFonts w:hint="eastAsia" w:ascii="宋体" w:hAnsi="宋体" w:eastAsia="宋体" w:cs="宋体"/>
          <w:color w:val="auto"/>
          <w:highlight w:val="none"/>
        </w:rPr>
        <w:t>说明临时设施</w:t>
      </w:r>
      <w:r>
        <w:rPr>
          <w:rFonts w:hint="eastAsia" w:ascii="宋体" w:hAnsi="宋体" w:eastAsia="宋体" w:cs="宋体"/>
          <w:color w:val="auto"/>
          <w:spacing w:val="-11"/>
          <w:highlight w:val="none"/>
        </w:rPr>
        <w:t>、</w:t>
      </w:r>
      <w:r>
        <w:rPr>
          <w:rFonts w:hint="eastAsia" w:ascii="宋体" w:hAnsi="宋体" w:eastAsia="宋体" w:cs="宋体"/>
          <w:color w:val="auto"/>
          <w:highlight w:val="none"/>
        </w:rPr>
        <w:t>加工车间</w:t>
      </w:r>
      <w:r>
        <w:rPr>
          <w:rFonts w:hint="eastAsia" w:ascii="宋体" w:hAnsi="宋体" w:eastAsia="宋体" w:cs="宋体"/>
          <w:color w:val="auto"/>
          <w:spacing w:val="-11"/>
          <w:highlight w:val="none"/>
        </w:rPr>
        <w:t>、</w:t>
      </w:r>
      <w:r>
        <w:rPr>
          <w:rFonts w:hint="eastAsia" w:ascii="宋体" w:hAnsi="宋体" w:eastAsia="宋体" w:cs="宋体"/>
          <w:color w:val="auto"/>
          <w:highlight w:val="none"/>
        </w:rPr>
        <w:t>现场办公</w:t>
      </w:r>
      <w:r>
        <w:rPr>
          <w:rFonts w:hint="eastAsia" w:ascii="宋体" w:hAnsi="宋体" w:eastAsia="宋体" w:cs="宋体"/>
          <w:color w:val="auto"/>
          <w:spacing w:val="-11"/>
          <w:highlight w:val="none"/>
        </w:rPr>
        <w:t>、</w:t>
      </w:r>
      <w:r>
        <w:rPr>
          <w:rFonts w:hint="eastAsia" w:ascii="宋体" w:hAnsi="宋体" w:eastAsia="宋体" w:cs="宋体"/>
          <w:color w:val="auto"/>
          <w:highlight w:val="none"/>
        </w:rPr>
        <w:t>设备及仓储</w:t>
      </w:r>
      <w:r>
        <w:rPr>
          <w:rFonts w:hint="eastAsia" w:ascii="宋体" w:hAnsi="宋体" w:eastAsia="宋体" w:cs="宋体"/>
          <w:color w:val="auto"/>
          <w:spacing w:val="-11"/>
          <w:highlight w:val="none"/>
        </w:rPr>
        <w:t>、</w:t>
      </w:r>
      <w:r>
        <w:rPr>
          <w:rFonts w:hint="eastAsia" w:ascii="宋体" w:hAnsi="宋体" w:eastAsia="宋体" w:cs="宋体"/>
          <w:color w:val="auto"/>
          <w:highlight w:val="none"/>
        </w:rPr>
        <w:t>供电</w:t>
      </w:r>
      <w:r>
        <w:rPr>
          <w:rFonts w:hint="eastAsia" w:ascii="宋体" w:hAnsi="宋体" w:eastAsia="宋体" w:cs="宋体"/>
          <w:color w:val="auto"/>
          <w:spacing w:val="-11"/>
          <w:highlight w:val="none"/>
        </w:rPr>
        <w:t>、</w:t>
      </w:r>
      <w:r>
        <w:rPr>
          <w:rFonts w:hint="eastAsia" w:ascii="宋体" w:hAnsi="宋体" w:eastAsia="宋体" w:cs="宋体"/>
          <w:color w:val="auto"/>
          <w:highlight w:val="none"/>
        </w:rPr>
        <w:t>供水</w:t>
      </w:r>
      <w:r>
        <w:rPr>
          <w:rFonts w:hint="eastAsia" w:ascii="宋体" w:hAnsi="宋体" w:eastAsia="宋体" w:cs="宋体"/>
          <w:color w:val="auto"/>
          <w:spacing w:val="-10"/>
          <w:highlight w:val="none"/>
        </w:rPr>
        <w:t>、</w:t>
      </w:r>
      <w:r>
        <w:rPr>
          <w:rFonts w:hint="eastAsia" w:ascii="宋体" w:hAnsi="宋体" w:eastAsia="宋体" w:cs="宋体"/>
          <w:color w:val="auto"/>
          <w:highlight w:val="none"/>
        </w:rPr>
        <w:t>卫生</w:t>
      </w:r>
      <w:r>
        <w:rPr>
          <w:rFonts w:hint="eastAsia" w:ascii="宋体" w:hAnsi="宋体" w:eastAsia="宋体" w:cs="宋体"/>
          <w:color w:val="auto"/>
          <w:spacing w:val="-11"/>
          <w:highlight w:val="none"/>
        </w:rPr>
        <w:t>、</w:t>
      </w:r>
      <w:r>
        <w:rPr>
          <w:rFonts w:hint="eastAsia" w:ascii="宋体" w:hAnsi="宋体" w:eastAsia="宋体" w:cs="宋体"/>
          <w:color w:val="auto"/>
          <w:highlight w:val="none"/>
        </w:rPr>
        <w:t>生活</w:t>
      </w:r>
      <w:r>
        <w:rPr>
          <w:rFonts w:hint="eastAsia" w:ascii="宋体" w:hAnsi="宋体" w:eastAsia="宋体" w:cs="宋体"/>
          <w:color w:val="auto"/>
          <w:spacing w:val="-11"/>
          <w:highlight w:val="none"/>
        </w:rPr>
        <w:t>、</w:t>
      </w:r>
      <w:r>
        <w:rPr>
          <w:rFonts w:hint="eastAsia" w:ascii="宋体" w:hAnsi="宋体" w:eastAsia="宋体" w:cs="宋体"/>
          <w:color w:val="auto"/>
          <w:highlight w:val="none"/>
        </w:rPr>
        <w:t>道路</w:t>
      </w:r>
      <w:r>
        <w:rPr>
          <w:rFonts w:hint="eastAsia" w:ascii="宋体" w:hAnsi="宋体" w:eastAsia="宋体" w:cs="宋体"/>
          <w:color w:val="auto"/>
          <w:spacing w:val="-11"/>
          <w:highlight w:val="none"/>
        </w:rPr>
        <w:t>、</w:t>
      </w:r>
      <w:r>
        <w:rPr>
          <w:rFonts w:hint="eastAsia" w:ascii="宋体" w:hAnsi="宋体" w:eastAsia="宋体" w:cs="宋体"/>
          <w:color w:val="auto"/>
          <w:spacing w:val="1"/>
          <w:highlight w:val="none"/>
        </w:rPr>
        <w:t>消</w:t>
      </w:r>
      <w:r>
        <w:rPr>
          <w:rFonts w:hint="eastAsia" w:ascii="宋体" w:hAnsi="宋体" w:eastAsia="宋体" w:cs="宋体"/>
          <w:color w:val="auto"/>
          <w:highlight w:val="none"/>
        </w:rPr>
        <w:t>防等设施的情况和布置。</w:t>
      </w:r>
    </w:p>
    <w:p w14:paraId="48FE5677">
      <w:pPr>
        <w:pStyle w:val="36"/>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 xml:space="preserve"> </w:t>
      </w:r>
    </w:p>
    <w:p w14:paraId="60F8185F">
      <w:pPr>
        <w:rPr>
          <w:rFonts w:hint="eastAsia" w:ascii="宋体" w:hAnsi="宋体" w:eastAsia="宋体" w:cs="宋体"/>
          <w:b/>
          <w:color w:val="auto"/>
          <w:highlight w:val="none"/>
        </w:rPr>
      </w:pPr>
      <w:bookmarkStart w:id="2413" w:name="_Toc483317229"/>
      <w:bookmarkStart w:id="2414" w:name="_Toc418751910"/>
      <w:bookmarkStart w:id="2415" w:name="_Toc418752356"/>
      <w:r>
        <w:rPr>
          <w:rFonts w:hint="eastAsia" w:ascii="宋体" w:hAnsi="宋体" w:eastAsia="宋体" w:cs="宋体"/>
          <w:b/>
          <w:color w:val="auto"/>
          <w:highlight w:val="none"/>
        </w:rPr>
        <w:t>附表六：临时用地表</w:t>
      </w:r>
      <w:bookmarkEnd w:id="2413"/>
      <w:bookmarkEnd w:id="2414"/>
      <w:bookmarkEnd w:id="2415"/>
    </w:p>
    <w:tbl>
      <w:tblPr>
        <w:tblStyle w:val="29"/>
        <w:tblW w:w="9648" w:type="dxa"/>
        <w:tblInd w:w="-5" w:type="dxa"/>
        <w:tblLayout w:type="fixed"/>
        <w:tblCellMar>
          <w:top w:w="0" w:type="dxa"/>
          <w:left w:w="0" w:type="dxa"/>
          <w:bottom w:w="0" w:type="dxa"/>
          <w:right w:w="0" w:type="dxa"/>
        </w:tblCellMar>
      </w:tblPr>
      <w:tblGrid>
        <w:gridCol w:w="2412"/>
        <w:gridCol w:w="2412"/>
        <w:gridCol w:w="2412"/>
        <w:gridCol w:w="2412"/>
      </w:tblGrid>
      <w:tr w14:paraId="196663BF">
        <w:tblPrEx>
          <w:tblCellMar>
            <w:top w:w="0" w:type="dxa"/>
            <w:left w:w="0" w:type="dxa"/>
            <w:bottom w:w="0" w:type="dxa"/>
            <w:right w:w="0" w:type="dxa"/>
          </w:tblCellMar>
        </w:tblPrEx>
        <w:trPr>
          <w:trHeight w:val="450" w:hRule="atLeast"/>
        </w:trPr>
        <w:tc>
          <w:tcPr>
            <w:tcW w:w="2412" w:type="dxa"/>
            <w:tcBorders>
              <w:top w:val="single" w:color="000000" w:sz="4" w:space="0"/>
              <w:left w:val="single" w:color="000000" w:sz="4" w:space="0"/>
              <w:bottom w:val="single" w:color="000000" w:sz="4" w:space="0"/>
              <w:right w:val="single" w:color="000000" w:sz="4" w:space="0"/>
            </w:tcBorders>
            <w:noWrap w:val="0"/>
            <w:vAlign w:val="center"/>
          </w:tcPr>
          <w:p w14:paraId="501F3E1C">
            <w:pPr>
              <w:pStyle w:val="36"/>
              <w:jc w:val="center"/>
              <w:rPr>
                <w:rFonts w:hint="eastAsia" w:ascii="宋体" w:hAnsi="宋体" w:eastAsia="宋体" w:cs="宋体"/>
                <w:color w:val="auto"/>
                <w:sz w:val="24"/>
                <w:szCs w:val="24"/>
                <w:highlight w:val="none"/>
              </w:rPr>
            </w:pPr>
            <w:r>
              <w:rPr>
                <w:rFonts w:hint="eastAsia" w:ascii="宋体" w:hAnsi="宋体" w:eastAsia="宋体" w:cs="宋体"/>
                <w:color w:val="auto"/>
                <w:highlight w:val="none"/>
              </w:rPr>
              <w:t>用 </w:t>
            </w:r>
            <w:r>
              <w:rPr>
                <w:rFonts w:hint="eastAsia" w:ascii="宋体" w:hAnsi="宋体" w:eastAsia="宋体" w:cs="宋体"/>
                <w:color w:val="auto"/>
                <w:spacing w:val="1"/>
                <w:highlight w:val="none"/>
              </w:rPr>
              <w:t> </w:t>
            </w:r>
            <w:r>
              <w:rPr>
                <w:rFonts w:hint="eastAsia" w:ascii="宋体" w:hAnsi="宋体" w:eastAsia="宋体" w:cs="宋体"/>
                <w:color w:val="auto"/>
                <w:highlight w:val="none"/>
              </w:rPr>
              <w:t>途</w:t>
            </w:r>
          </w:p>
        </w:tc>
        <w:tc>
          <w:tcPr>
            <w:tcW w:w="2412" w:type="dxa"/>
            <w:tcBorders>
              <w:top w:val="single" w:color="000000" w:sz="4" w:space="0"/>
              <w:left w:val="nil"/>
              <w:bottom w:val="single" w:color="000000" w:sz="4" w:space="0"/>
              <w:right w:val="single" w:color="000000" w:sz="4" w:space="0"/>
            </w:tcBorders>
            <w:noWrap w:val="0"/>
            <w:vAlign w:val="center"/>
          </w:tcPr>
          <w:p w14:paraId="48559C59">
            <w:pPr>
              <w:pStyle w:val="36"/>
              <w:jc w:val="center"/>
              <w:rPr>
                <w:rFonts w:hint="eastAsia" w:ascii="宋体" w:hAnsi="宋体" w:eastAsia="宋体" w:cs="宋体"/>
                <w:color w:val="auto"/>
                <w:sz w:val="24"/>
                <w:szCs w:val="24"/>
                <w:highlight w:val="none"/>
              </w:rPr>
            </w:pPr>
            <w:r>
              <w:rPr>
                <w:rFonts w:hint="eastAsia" w:ascii="宋体" w:hAnsi="宋体" w:eastAsia="宋体" w:cs="宋体"/>
                <w:color w:val="auto"/>
                <w:highlight w:val="none"/>
              </w:rPr>
              <w:t>面 </w:t>
            </w:r>
            <w:r>
              <w:rPr>
                <w:rFonts w:hint="eastAsia" w:ascii="宋体" w:hAnsi="宋体" w:eastAsia="宋体" w:cs="宋体"/>
                <w:color w:val="auto"/>
                <w:spacing w:val="1"/>
                <w:highlight w:val="none"/>
              </w:rPr>
              <w:t> </w:t>
            </w:r>
            <w:r>
              <w:rPr>
                <w:rFonts w:hint="eastAsia" w:ascii="宋体" w:hAnsi="宋体" w:eastAsia="宋体" w:cs="宋体"/>
                <w:color w:val="auto"/>
                <w:highlight w:val="none"/>
              </w:rPr>
              <w:t>积（平</w:t>
            </w:r>
            <w:r>
              <w:rPr>
                <w:rFonts w:hint="eastAsia" w:ascii="宋体" w:hAnsi="宋体" w:eastAsia="宋体" w:cs="宋体"/>
                <w:color w:val="auto"/>
                <w:spacing w:val="-1"/>
                <w:highlight w:val="none"/>
              </w:rPr>
              <w:t>方</w:t>
            </w:r>
            <w:r>
              <w:rPr>
                <w:rFonts w:hint="eastAsia" w:ascii="宋体" w:hAnsi="宋体" w:eastAsia="宋体" w:cs="宋体"/>
                <w:color w:val="auto"/>
                <w:highlight w:val="none"/>
              </w:rPr>
              <w:t>米）</w:t>
            </w:r>
          </w:p>
        </w:tc>
        <w:tc>
          <w:tcPr>
            <w:tcW w:w="2412" w:type="dxa"/>
            <w:tcBorders>
              <w:top w:val="single" w:color="000000" w:sz="4" w:space="0"/>
              <w:left w:val="nil"/>
              <w:bottom w:val="single" w:color="000000" w:sz="4" w:space="0"/>
              <w:right w:val="single" w:color="000000" w:sz="4" w:space="0"/>
            </w:tcBorders>
            <w:noWrap w:val="0"/>
            <w:vAlign w:val="center"/>
          </w:tcPr>
          <w:p w14:paraId="66349501">
            <w:pPr>
              <w:pStyle w:val="36"/>
              <w:jc w:val="center"/>
              <w:rPr>
                <w:rFonts w:hint="eastAsia" w:ascii="宋体" w:hAnsi="宋体" w:eastAsia="宋体" w:cs="宋体"/>
                <w:color w:val="auto"/>
                <w:sz w:val="24"/>
                <w:szCs w:val="24"/>
                <w:highlight w:val="none"/>
              </w:rPr>
            </w:pPr>
            <w:r>
              <w:rPr>
                <w:rFonts w:hint="eastAsia" w:ascii="宋体" w:hAnsi="宋体" w:eastAsia="宋体" w:cs="宋体"/>
                <w:color w:val="auto"/>
                <w:highlight w:val="none"/>
              </w:rPr>
              <w:t>位 </w:t>
            </w:r>
            <w:r>
              <w:rPr>
                <w:rFonts w:hint="eastAsia" w:ascii="宋体" w:hAnsi="宋体" w:eastAsia="宋体" w:cs="宋体"/>
                <w:color w:val="auto"/>
                <w:spacing w:val="1"/>
                <w:highlight w:val="none"/>
              </w:rPr>
              <w:t> </w:t>
            </w:r>
            <w:r>
              <w:rPr>
                <w:rFonts w:hint="eastAsia" w:ascii="宋体" w:hAnsi="宋体" w:eastAsia="宋体" w:cs="宋体"/>
                <w:color w:val="auto"/>
                <w:highlight w:val="none"/>
              </w:rPr>
              <w:t>置</w:t>
            </w:r>
          </w:p>
        </w:tc>
        <w:tc>
          <w:tcPr>
            <w:tcW w:w="2412" w:type="dxa"/>
            <w:tcBorders>
              <w:top w:val="single" w:color="000000" w:sz="4" w:space="0"/>
              <w:left w:val="nil"/>
              <w:bottom w:val="single" w:color="000000" w:sz="4" w:space="0"/>
              <w:right w:val="single" w:color="000000" w:sz="4" w:space="0"/>
            </w:tcBorders>
            <w:noWrap w:val="0"/>
            <w:vAlign w:val="center"/>
          </w:tcPr>
          <w:p w14:paraId="0AC7C7D9">
            <w:pPr>
              <w:pStyle w:val="36"/>
              <w:jc w:val="center"/>
              <w:rPr>
                <w:rFonts w:hint="eastAsia" w:ascii="宋体" w:hAnsi="宋体" w:eastAsia="宋体" w:cs="宋体"/>
                <w:color w:val="auto"/>
                <w:sz w:val="24"/>
                <w:szCs w:val="24"/>
                <w:highlight w:val="none"/>
              </w:rPr>
            </w:pPr>
            <w:r>
              <w:rPr>
                <w:rFonts w:hint="eastAsia" w:ascii="宋体" w:hAnsi="宋体" w:eastAsia="宋体" w:cs="宋体"/>
                <w:color w:val="auto"/>
                <w:highlight w:val="none"/>
              </w:rPr>
              <w:t>需用时间</w:t>
            </w:r>
          </w:p>
        </w:tc>
      </w:tr>
      <w:tr w14:paraId="0BC7535C">
        <w:tblPrEx>
          <w:tblCellMar>
            <w:top w:w="0" w:type="dxa"/>
            <w:left w:w="0" w:type="dxa"/>
            <w:bottom w:w="0" w:type="dxa"/>
            <w:right w:w="0" w:type="dxa"/>
          </w:tblCellMar>
        </w:tblPrEx>
        <w:trPr>
          <w:trHeight w:val="450" w:hRule="atLeast"/>
        </w:trPr>
        <w:tc>
          <w:tcPr>
            <w:tcW w:w="2412" w:type="dxa"/>
            <w:tcBorders>
              <w:top w:val="single" w:color="000000" w:sz="4" w:space="0"/>
              <w:left w:val="single" w:color="000000" w:sz="4" w:space="0"/>
              <w:bottom w:val="single" w:color="000000" w:sz="4" w:space="0"/>
              <w:right w:val="single" w:color="000000" w:sz="4" w:space="0"/>
            </w:tcBorders>
            <w:noWrap w:val="0"/>
            <w:vAlign w:val="top"/>
          </w:tcPr>
          <w:p w14:paraId="5B081C4F">
            <w:pPr>
              <w:pStyle w:val="36"/>
              <w:rPr>
                <w:rFonts w:hint="eastAsia" w:ascii="宋体" w:hAnsi="宋体" w:eastAsia="宋体" w:cs="宋体"/>
                <w:color w:val="auto"/>
                <w:sz w:val="24"/>
                <w:szCs w:val="24"/>
                <w:highlight w:val="none"/>
              </w:rPr>
            </w:pPr>
          </w:p>
        </w:tc>
        <w:tc>
          <w:tcPr>
            <w:tcW w:w="2412" w:type="dxa"/>
            <w:tcBorders>
              <w:top w:val="single" w:color="000000" w:sz="4" w:space="0"/>
              <w:left w:val="nil"/>
              <w:bottom w:val="single" w:color="000000" w:sz="4" w:space="0"/>
              <w:right w:val="single" w:color="000000" w:sz="4" w:space="0"/>
            </w:tcBorders>
            <w:noWrap w:val="0"/>
            <w:vAlign w:val="top"/>
          </w:tcPr>
          <w:p w14:paraId="61C48C89">
            <w:pPr>
              <w:pStyle w:val="36"/>
              <w:rPr>
                <w:rFonts w:hint="eastAsia" w:ascii="宋体" w:hAnsi="宋体" w:eastAsia="宋体" w:cs="宋体"/>
                <w:color w:val="auto"/>
                <w:sz w:val="24"/>
                <w:szCs w:val="24"/>
                <w:highlight w:val="none"/>
              </w:rPr>
            </w:pPr>
          </w:p>
        </w:tc>
        <w:tc>
          <w:tcPr>
            <w:tcW w:w="2412" w:type="dxa"/>
            <w:tcBorders>
              <w:top w:val="single" w:color="000000" w:sz="4" w:space="0"/>
              <w:left w:val="nil"/>
              <w:bottom w:val="single" w:color="000000" w:sz="4" w:space="0"/>
              <w:right w:val="single" w:color="000000" w:sz="4" w:space="0"/>
            </w:tcBorders>
            <w:noWrap w:val="0"/>
            <w:vAlign w:val="top"/>
          </w:tcPr>
          <w:p w14:paraId="0AFF02DE">
            <w:pPr>
              <w:pStyle w:val="36"/>
              <w:rPr>
                <w:rFonts w:hint="eastAsia" w:ascii="宋体" w:hAnsi="宋体" w:eastAsia="宋体" w:cs="宋体"/>
                <w:color w:val="auto"/>
                <w:sz w:val="24"/>
                <w:szCs w:val="24"/>
                <w:highlight w:val="none"/>
              </w:rPr>
            </w:pPr>
          </w:p>
        </w:tc>
        <w:tc>
          <w:tcPr>
            <w:tcW w:w="2412" w:type="dxa"/>
            <w:tcBorders>
              <w:top w:val="single" w:color="000000" w:sz="4" w:space="0"/>
              <w:left w:val="nil"/>
              <w:bottom w:val="single" w:color="000000" w:sz="4" w:space="0"/>
              <w:right w:val="single" w:color="000000" w:sz="4" w:space="0"/>
            </w:tcBorders>
            <w:noWrap w:val="0"/>
            <w:vAlign w:val="top"/>
          </w:tcPr>
          <w:p w14:paraId="51FDEC95">
            <w:pPr>
              <w:pStyle w:val="36"/>
              <w:rPr>
                <w:rFonts w:hint="eastAsia" w:ascii="宋体" w:hAnsi="宋体" w:eastAsia="宋体" w:cs="宋体"/>
                <w:color w:val="auto"/>
                <w:sz w:val="24"/>
                <w:szCs w:val="24"/>
                <w:highlight w:val="none"/>
              </w:rPr>
            </w:pPr>
          </w:p>
        </w:tc>
      </w:tr>
      <w:tr w14:paraId="7A072824">
        <w:tblPrEx>
          <w:tblCellMar>
            <w:top w:w="0" w:type="dxa"/>
            <w:left w:w="0" w:type="dxa"/>
            <w:bottom w:w="0" w:type="dxa"/>
            <w:right w:w="0" w:type="dxa"/>
          </w:tblCellMar>
        </w:tblPrEx>
        <w:trPr>
          <w:trHeight w:val="450" w:hRule="atLeast"/>
        </w:trPr>
        <w:tc>
          <w:tcPr>
            <w:tcW w:w="2412" w:type="dxa"/>
            <w:tcBorders>
              <w:top w:val="single" w:color="000000" w:sz="4" w:space="0"/>
              <w:left w:val="single" w:color="000000" w:sz="4" w:space="0"/>
              <w:bottom w:val="single" w:color="000000" w:sz="4" w:space="0"/>
              <w:right w:val="single" w:color="000000" w:sz="4" w:space="0"/>
            </w:tcBorders>
            <w:noWrap w:val="0"/>
            <w:vAlign w:val="top"/>
          </w:tcPr>
          <w:p w14:paraId="20CB09FB">
            <w:pPr>
              <w:pStyle w:val="36"/>
              <w:rPr>
                <w:rFonts w:hint="eastAsia" w:ascii="宋体" w:hAnsi="宋体" w:eastAsia="宋体" w:cs="宋体"/>
                <w:color w:val="auto"/>
                <w:sz w:val="24"/>
                <w:szCs w:val="24"/>
                <w:highlight w:val="none"/>
              </w:rPr>
            </w:pPr>
          </w:p>
        </w:tc>
        <w:tc>
          <w:tcPr>
            <w:tcW w:w="2412" w:type="dxa"/>
            <w:tcBorders>
              <w:top w:val="single" w:color="000000" w:sz="4" w:space="0"/>
              <w:left w:val="nil"/>
              <w:bottom w:val="single" w:color="000000" w:sz="4" w:space="0"/>
              <w:right w:val="single" w:color="000000" w:sz="4" w:space="0"/>
            </w:tcBorders>
            <w:noWrap w:val="0"/>
            <w:vAlign w:val="top"/>
          </w:tcPr>
          <w:p w14:paraId="0EE50A16">
            <w:pPr>
              <w:pStyle w:val="36"/>
              <w:rPr>
                <w:rFonts w:hint="eastAsia" w:ascii="宋体" w:hAnsi="宋体" w:eastAsia="宋体" w:cs="宋体"/>
                <w:color w:val="auto"/>
                <w:sz w:val="24"/>
                <w:szCs w:val="24"/>
                <w:highlight w:val="none"/>
              </w:rPr>
            </w:pPr>
          </w:p>
        </w:tc>
        <w:tc>
          <w:tcPr>
            <w:tcW w:w="2412" w:type="dxa"/>
            <w:tcBorders>
              <w:top w:val="single" w:color="000000" w:sz="4" w:space="0"/>
              <w:left w:val="nil"/>
              <w:bottom w:val="single" w:color="000000" w:sz="4" w:space="0"/>
              <w:right w:val="single" w:color="000000" w:sz="4" w:space="0"/>
            </w:tcBorders>
            <w:noWrap w:val="0"/>
            <w:vAlign w:val="top"/>
          </w:tcPr>
          <w:p w14:paraId="33A91228">
            <w:pPr>
              <w:pStyle w:val="36"/>
              <w:rPr>
                <w:rFonts w:hint="eastAsia" w:ascii="宋体" w:hAnsi="宋体" w:eastAsia="宋体" w:cs="宋体"/>
                <w:color w:val="auto"/>
                <w:sz w:val="24"/>
                <w:szCs w:val="24"/>
                <w:highlight w:val="none"/>
              </w:rPr>
            </w:pPr>
          </w:p>
        </w:tc>
        <w:tc>
          <w:tcPr>
            <w:tcW w:w="2412" w:type="dxa"/>
            <w:tcBorders>
              <w:top w:val="single" w:color="000000" w:sz="4" w:space="0"/>
              <w:left w:val="nil"/>
              <w:bottom w:val="single" w:color="000000" w:sz="4" w:space="0"/>
              <w:right w:val="single" w:color="000000" w:sz="4" w:space="0"/>
            </w:tcBorders>
            <w:noWrap w:val="0"/>
            <w:vAlign w:val="top"/>
          </w:tcPr>
          <w:p w14:paraId="4ADA6628">
            <w:pPr>
              <w:pStyle w:val="36"/>
              <w:rPr>
                <w:rFonts w:hint="eastAsia" w:ascii="宋体" w:hAnsi="宋体" w:eastAsia="宋体" w:cs="宋体"/>
                <w:color w:val="auto"/>
                <w:sz w:val="24"/>
                <w:szCs w:val="24"/>
                <w:highlight w:val="none"/>
              </w:rPr>
            </w:pPr>
          </w:p>
        </w:tc>
      </w:tr>
      <w:tr w14:paraId="1FA3E124">
        <w:tblPrEx>
          <w:tblCellMar>
            <w:top w:w="0" w:type="dxa"/>
            <w:left w:w="0" w:type="dxa"/>
            <w:bottom w:w="0" w:type="dxa"/>
            <w:right w:w="0" w:type="dxa"/>
          </w:tblCellMar>
        </w:tblPrEx>
        <w:trPr>
          <w:trHeight w:val="450" w:hRule="atLeast"/>
        </w:trPr>
        <w:tc>
          <w:tcPr>
            <w:tcW w:w="2412" w:type="dxa"/>
            <w:tcBorders>
              <w:top w:val="single" w:color="000000" w:sz="4" w:space="0"/>
              <w:left w:val="single" w:color="000000" w:sz="4" w:space="0"/>
              <w:bottom w:val="single" w:color="000000" w:sz="4" w:space="0"/>
              <w:right w:val="single" w:color="000000" w:sz="4" w:space="0"/>
            </w:tcBorders>
            <w:noWrap w:val="0"/>
            <w:vAlign w:val="top"/>
          </w:tcPr>
          <w:p w14:paraId="0237E754">
            <w:pPr>
              <w:pStyle w:val="36"/>
              <w:rPr>
                <w:rFonts w:hint="eastAsia" w:ascii="宋体" w:hAnsi="宋体" w:eastAsia="宋体" w:cs="宋体"/>
                <w:color w:val="auto"/>
                <w:sz w:val="24"/>
                <w:szCs w:val="24"/>
                <w:highlight w:val="none"/>
              </w:rPr>
            </w:pPr>
          </w:p>
        </w:tc>
        <w:tc>
          <w:tcPr>
            <w:tcW w:w="2412" w:type="dxa"/>
            <w:tcBorders>
              <w:top w:val="single" w:color="000000" w:sz="4" w:space="0"/>
              <w:left w:val="nil"/>
              <w:bottom w:val="single" w:color="000000" w:sz="4" w:space="0"/>
              <w:right w:val="single" w:color="000000" w:sz="4" w:space="0"/>
            </w:tcBorders>
            <w:noWrap w:val="0"/>
            <w:vAlign w:val="top"/>
          </w:tcPr>
          <w:p w14:paraId="2A5243A3">
            <w:pPr>
              <w:pStyle w:val="36"/>
              <w:rPr>
                <w:rFonts w:hint="eastAsia" w:ascii="宋体" w:hAnsi="宋体" w:eastAsia="宋体" w:cs="宋体"/>
                <w:color w:val="auto"/>
                <w:sz w:val="24"/>
                <w:szCs w:val="24"/>
                <w:highlight w:val="none"/>
              </w:rPr>
            </w:pPr>
          </w:p>
        </w:tc>
        <w:tc>
          <w:tcPr>
            <w:tcW w:w="2412" w:type="dxa"/>
            <w:tcBorders>
              <w:top w:val="single" w:color="000000" w:sz="4" w:space="0"/>
              <w:left w:val="nil"/>
              <w:bottom w:val="single" w:color="000000" w:sz="4" w:space="0"/>
              <w:right w:val="single" w:color="000000" w:sz="4" w:space="0"/>
            </w:tcBorders>
            <w:noWrap w:val="0"/>
            <w:vAlign w:val="top"/>
          </w:tcPr>
          <w:p w14:paraId="47A974E9">
            <w:pPr>
              <w:pStyle w:val="36"/>
              <w:rPr>
                <w:rFonts w:hint="eastAsia" w:ascii="宋体" w:hAnsi="宋体" w:eastAsia="宋体" w:cs="宋体"/>
                <w:color w:val="auto"/>
                <w:sz w:val="24"/>
                <w:szCs w:val="24"/>
                <w:highlight w:val="none"/>
              </w:rPr>
            </w:pPr>
          </w:p>
        </w:tc>
        <w:tc>
          <w:tcPr>
            <w:tcW w:w="2412" w:type="dxa"/>
            <w:tcBorders>
              <w:top w:val="single" w:color="000000" w:sz="4" w:space="0"/>
              <w:left w:val="nil"/>
              <w:bottom w:val="single" w:color="000000" w:sz="4" w:space="0"/>
              <w:right w:val="single" w:color="000000" w:sz="4" w:space="0"/>
            </w:tcBorders>
            <w:noWrap w:val="0"/>
            <w:vAlign w:val="top"/>
          </w:tcPr>
          <w:p w14:paraId="1361B655">
            <w:pPr>
              <w:pStyle w:val="36"/>
              <w:rPr>
                <w:rFonts w:hint="eastAsia" w:ascii="宋体" w:hAnsi="宋体" w:eastAsia="宋体" w:cs="宋体"/>
                <w:color w:val="auto"/>
                <w:sz w:val="24"/>
                <w:szCs w:val="24"/>
                <w:highlight w:val="none"/>
              </w:rPr>
            </w:pPr>
          </w:p>
        </w:tc>
      </w:tr>
    </w:tbl>
    <w:p w14:paraId="372062C7">
      <w:pPr>
        <w:pStyle w:val="36"/>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 xml:space="preserve"> </w:t>
      </w:r>
    </w:p>
    <w:p w14:paraId="19B7D14C">
      <w:pPr>
        <w:pStyle w:val="36"/>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1806387E">
      <w:pPr>
        <w:pStyle w:val="36"/>
        <w:rPr>
          <w:rFonts w:hint="eastAsia" w:ascii="宋体" w:hAnsi="宋体" w:eastAsia="宋体" w:cs="宋体"/>
          <w:color w:val="auto"/>
          <w:highlight w:val="none"/>
        </w:rPr>
      </w:pPr>
    </w:p>
    <w:p w14:paraId="744D3D89">
      <w:pPr>
        <w:pStyle w:val="9"/>
        <w:widowControl w:val="0"/>
        <w:numPr>
          <w:ilvl w:val="0"/>
          <w:numId w:val="0"/>
        </w:numPr>
        <w:jc w:val="both"/>
        <w:rPr>
          <w:rFonts w:hint="eastAsia"/>
          <w:color w:val="auto"/>
          <w:highlight w:val="none"/>
        </w:rPr>
      </w:pPr>
    </w:p>
    <w:p w14:paraId="3C96BEE4">
      <w:pPr>
        <w:widowControl/>
        <w:ind w:firstLine="1470" w:firstLineChars="7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磋商供应商</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公章</w:t>
      </w:r>
      <w:r>
        <w:rPr>
          <w:rFonts w:hint="eastAsia" w:ascii="宋体" w:hAnsi="宋体" w:eastAsia="宋体" w:cs="宋体"/>
          <w:color w:val="auto"/>
          <w:szCs w:val="21"/>
          <w:highlight w:val="none"/>
          <w:lang w:val="en-US" w:eastAsia="zh-CN"/>
        </w:rPr>
        <w:t>(CA签章)</w:t>
      </w:r>
      <w:r>
        <w:rPr>
          <w:rFonts w:hint="eastAsia" w:ascii="宋体" w:hAnsi="宋体" w:eastAsia="宋体" w:cs="宋体"/>
          <w:color w:val="auto"/>
          <w:szCs w:val="21"/>
          <w:highlight w:val="none"/>
        </w:rPr>
        <w:t>，自然人</w:t>
      </w:r>
      <w:r>
        <w:rPr>
          <w:rFonts w:hint="eastAsia" w:ascii="宋体" w:hAnsi="宋体" w:eastAsia="宋体" w:cs="宋体"/>
          <w:color w:val="auto"/>
          <w:szCs w:val="21"/>
          <w:highlight w:val="none"/>
          <w:lang w:eastAsia="zh-CN"/>
        </w:rPr>
        <w:t>签字或个人</w:t>
      </w:r>
      <w:r>
        <w:rPr>
          <w:rFonts w:hint="eastAsia" w:ascii="宋体" w:hAnsi="宋体" w:eastAsia="宋体" w:cs="宋体"/>
          <w:color w:val="auto"/>
          <w:szCs w:val="21"/>
          <w:highlight w:val="none"/>
          <w:lang w:val="en-US" w:eastAsia="zh-CN"/>
        </w:rPr>
        <w:t>CA签章]</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p>
    <w:p w14:paraId="31FFB6DB">
      <w:pPr>
        <w:pStyle w:val="14"/>
        <w:spacing w:line="300" w:lineRule="exact"/>
        <w:ind w:left="2940" w:leftChars="1400" w:firstLine="630" w:firstLineChars="300"/>
        <w:rPr>
          <w:rFonts w:hint="eastAsia" w:ascii="宋体" w:hAnsi="宋体" w:eastAsia="宋体" w:cs="宋体"/>
          <w:color w:val="auto"/>
          <w:highlight w:val="none"/>
        </w:rPr>
      </w:pPr>
    </w:p>
    <w:p w14:paraId="1874834B">
      <w:pPr>
        <w:pStyle w:val="14"/>
        <w:spacing w:line="300" w:lineRule="exact"/>
        <w:ind w:firstLine="4638" w:firstLineChars="165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 xml:space="preserve"> </w:t>
      </w:r>
    </w:p>
    <w:p w14:paraId="3C7D51AF">
      <w:pPr>
        <w:pStyle w:val="14"/>
        <w:spacing w:line="300" w:lineRule="exact"/>
        <w:rPr>
          <w:rFonts w:hint="eastAsia" w:ascii="宋体" w:hAnsi="宋体" w:eastAsia="宋体" w:cs="宋体"/>
          <w:b/>
          <w:color w:val="auto"/>
          <w:sz w:val="28"/>
          <w:szCs w:val="28"/>
          <w:highlight w:val="none"/>
        </w:rPr>
      </w:pPr>
    </w:p>
    <w:p w14:paraId="5A36171E">
      <w:pPr>
        <w:ind w:firstLine="1470" w:firstLineChars="700"/>
        <w:rPr>
          <w:rFonts w:hint="eastAsia"/>
          <w:color w:val="auto"/>
          <w:highlight w:val="none"/>
        </w:rPr>
      </w:pPr>
      <w:r>
        <w:rPr>
          <w:rFonts w:hint="eastAsia" w:ascii="宋体" w:hAnsi="宋体" w:eastAsia="宋体" w:cs="宋体"/>
          <w:color w:val="auto"/>
          <w:highlight w:val="none"/>
        </w:rPr>
        <w:t>日          期：</w:t>
      </w:r>
      <w:r>
        <w:rPr>
          <w:rFonts w:hint="eastAsia" w:ascii="宋体" w:hAnsi="宋体" w:eastAsia="宋体" w:cs="宋体"/>
          <w:color w:val="auto"/>
          <w:highlight w:val="none"/>
          <w:u w:val="single"/>
        </w:rPr>
        <w:t xml:space="preserve">                         </w:t>
      </w:r>
    </w:p>
    <w:p w14:paraId="0C59D089">
      <w:pPr>
        <w:pStyle w:val="5"/>
        <w:rPr>
          <w:rFonts w:hint="eastAsia"/>
          <w:color w:val="auto"/>
          <w:highlight w:val="none"/>
        </w:rPr>
      </w:pPr>
    </w:p>
    <w:p w14:paraId="1684C76A">
      <w:pPr>
        <w:rPr>
          <w:rFonts w:hint="eastAsia"/>
          <w:color w:val="auto"/>
          <w:highlight w:val="none"/>
        </w:rPr>
      </w:pPr>
    </w:p>
    <w:p w14:paraId="3741D9E5">
      <w:pPr>
        <w:pStyle w:val="5"/>
        <w:rPr>
          <w:rFonts w:hint="eastAsia"/>
          <w:color w:val="auto"/>
          <w:highlight w:val="none"/>
        </w:rPr>
      </w:pPr>
    </w:p>
    <w:p w14:paraId="00FEA0BC">
      <w:pPr>
        <w:rPr>
          <w:rFonts w:hint="eastAsia"/>
          <w:color w:val="auto"/>
          <w:highlight w:val="none"/>
        </w:rPr>
      </w:pPr>
    </w:p>
    <w:p w14:paraId="360A4171">
      <w:pPr>
        <w:pStyle w:val="14"/>
        <w:numPr>
          <w:ilvl w:val="0"/>
          <w:numId w:val="0"/>
        </w:numPr>
        <w:spacing w:line="340" w:lineRule="exact"/>
        <w:rPr>
          <w:rFonts w:hint="eastAsia" w:ascii="宋体" w:hAnsi="宋体" w:eastAsia="宋体" w:cs="宋体"/>
          <w:b/>
          <w:color w:val="auto"/>
          <w:sz w:val="28"/>
          <w:szCs w:val="28"/>
          <w:highlight w:val="none"/>
          <w:lang w:val="en-US" w:eastAsia="zh-CN"/>
        </w:rPr>
      </w:pPr>
    </w:p>
    <w:p w14:paraId="03995D84">
      <w:pPr>
        <w:pStyle w:val="14"/>
        <w:numPr>
          <w:ilvl w:val="0"/>
          <w:numId w:val="0"/>
        </w:numPr>
        <w:spacing w:line="340" w:lineRule="exac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en-US" w:eastAsia="zh-CN"/>
        </w:rPr>
        <w:t>7.工程完工服务承诺书（必须提供）</w:t>
      </w:r>
      <w:r>
        <w:rPr>
          <w:rFonts w:hint="eastAsia" w:ascii="宋体" w:hAnsi="宋体" w:eastAsia="宋体" w:cs="宋体"/>
          <w:b/>
          <w:color w:val="auto"/>
          <w:sz w:val="28"/>
          <w:szCs w:val="28"/>
          <w:highlight w:val="none"/>
        </w:rPr>
        <w:t>；</w:t>
      </w:r>
    </w:p>
    <w:p w14:paraId="0C88C083">
      <w:pPr>
        <w:spacing w:line="360" w:lineRule="auto"/>
        <w:jc w:val="center"/>
        <w:rPr>
          <w:rFonts w:hint="eastAsia" w:ascii="宋体" w:hAnsi="宋体" w:cs="宋体"/>
          <w:b/>
          <w:color w:val="auto"/>
          <w:sz w:val="24"/>
          <w:szCs w:val="24"/>
          <w:highlight w:val="none"/>
        </w:rPr>
      </w:pPr>
    </w:p>
    <w:p w14:paraId="6BA4C1F1">
      <w:pPr>
        <w:spacing w:line="360" w:lineRule="auto"/>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工程完工服务承诺书（格式）</w:t>
      </w:r>
    </w:p>
    <w:p w14:paraId="2667465A">
      <w:pPr>
        <w:pStyle w:val="14"/>
        <w:jc w:val="center"/>
        <w:rPr>
          <w:rFonts w:hint="eastAsia" w:hAnsi="宋体" w:cs="宋体"/>
          <w:color w:val="auto"/>
          <w:highlight w:val="none"/>
        </w:rPr>
      </w:pPr>
      <w:r>
        <w:rPr>
          <w:rFonts w:hint="eastAsia" w:hAnsi="宋体" w:cs="宋体"/>
          <w:color w:val="auto"/>
          <w:highlight w:val="none"/>
        </w:rPr>
        <w:t>（由</w:t>
      </w:r>
      <w:r>
        <w:rPr>
          <w:rFonts w:hint="eastAsia" w:hAnsi="宋体" w:cs="宋体"/>
          <w:color w:val="auto"/>
          <w:szCs w:val="21"/>
          <w:highlight w:val="none"/>
        </w:rPr>
        <w:t>供应商</w:t>
      </w:r>
      <w:r>
        <w:rPr>
          <w:rFonts w:hint="eastAsia" w:hAnsi="宋体" w:cs="宋体"/>
          <w:color w:val="auto"/>
          <w:highlight w:val="none"/>
        </w:rPr>
        <w:t>按《工程量清单》中工程完工服务及要求自行分别填写）</w:t>
      </w:r>
    </w:p>
    <w:p w14:paraId="16675CBA">
      <w:pPr>
        <w:pStyle w:val="14"/>
        <w:rPr>
          <w:rFonts w:hint="eastAsia" w:hAnsi="宋体" w:cs="宋体"/>
          <w:color w:val="auto"/>
          <w:highlight w:val="none"/>
        </w:rPr>
      </w:pPr>
    </w:p>
    <w:p w14:paraId="5F340EB3">
      <w:pPr>
        <w:widowControl/>
        <w:ind w:firstLine="1470" w:firstLineChars="700"/>
        <w:jc w:val="left"/>
        <w:rPr>
          <w:rFonts w:hint="eastAsia" w:ascii="宋体" w:hAnsi="宋体" w:eastAsia="宋体" w:cs="宋体"/>
          <w:color w:val="auto"/>
          <w:szCs w:val="21"/>
          <w:highlight w:val="none"/>
          <w:lang w:eastAsia="zh-CN"/>
        </w:rPr>
      </w:pPr>
    </w:p>
    <w:p w14:paraId="24D65CB0">
      <w:pPr>
        <w:widowControl/>
        <w:ind w:firstLine="1470" w:firstLineChars="700"/>
        <w:jc w:val="left"/>
        <w:rPr>
          <w:rFonts w:hint="eastAsia" w:ascii="宋体" w:hAnsi="宋体" w:eastAsia="宋体" w:cs="宋体"/>
          <w:color w:val="auto"/>
          <w:szCs w:val="21"/>
          <w:highlight w:val="none"/>
          <w:lang w:eastAsia="zh-CN"/>
        </w:rPr>
      </w:pPr>
    </w:p>
    <w:p w14:paraId="45AC72C4">
      <w:pPr>
        <w:widowControl/>
        <w:ind w:firstLine="1470" w:firstLineChars="7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磋商供应商</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公章</w:t>
      </w:r>
      <w:r>
        <w:rPr>
          <w:rFonts w:hint="eastAsia" w:ascii="宋体" w:hAnsi="宋体" w:eastAsia="宋体" w:cs="宋体"/>
          <w:color w:val="auto"/>
          <w:szCs w:val="21"/>
          <w:highlight w:val="none"/>
          <w:lang w:val="en-US" w:eastAsia="zh-CN"/>
        </w:rPr>
        <w:t>(CA签章)</w:t>
      </w:r>
      <w:r>
        <w:rPr>
          <w:rFonts w:hint="eastAsia" w:ascii="宋体" w:hAnsi="宋体" w:eastAsia="宋体" w:cs="宋体"/>
          <w:color w:val="auto"/>
          <w:szCs w:val="21"/>
          <w:highlight w:val="none"/>
        </w:rPr>
        <w:t>，自然人</w:t>
      </w:r>
      <w:r>
        <w:rPr>
          <w:rFonts w:hint="eastAsia" w:ascii="宋体" w:hAnsi="宋体" w:eastAsia="宋体" w:cs="宋体"/>
          <w:color w:val="auto"/>
          <w:szCs w:val="21"/>
          <w:highlight w:val="none"/>
          <w:lang w:eastAsia="zh-CN"/>
        </w:rPr>
        <w:t>签字或个人</w:t>
      </w:r>
      <w:r>
        <w:rPr>
          <w:rFonts w:hint="eastAsia" w:ascii="宋体" w:hAnsi="宋体" w:eastAsia="宋体" w:cs="宋体"/>
          <w:color w:val="auto"/>
          <w:szCs w:val="21"/>
          <w:highlight w:val="none"/>
          <w:lang w:val="en-US" w:eastAsia="zh-CN"/>
        </w:rPr>
        <w:t>CA签章]</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p>
    <w:p w14:paraId="335DF6A3">
      <w:pPr>
        <w:pStyle w:val="14"/>
        <w:spacing w:line="300" w:lineRule="exact"/>
        <w:ind w:left="2940" w:leftChars="1400" w:firstLine="630" w:firstLineChars="300"/>
        <w:rPr>
          <w:rFonts w:hint="eastAsia" w:ascii="宋体" w:hAnsi="宋体" w:eastAsia="宋体" w:cs="宋体"/>
          <w:color w:val="auto"/>
          <w:highlight w:val="none"/>
        </w:rPr>
      </w:pPr>
    </w:p>
    <w:p w14:paraId="4CC85A62">
      <w:pPr>
        <w:ind w:firstLine="1470" w:firstLineChars="700"/>
        <w:rPr>
          <w:rFonts w:hint="eastAsia"/>
          <w:color w:val="auto"/>
          <w:highlight w:val="none"/>
        </w:rPr>
      </w:pPr>
      <w:r>
        <w:rPr>
          <w:rFonts w:hint="eastAsia" w:ascii="宋体" w:hAnsi="宋体" w:eastAsia="宋体" w:cs="宋体"/>
          <w:color w:val="auto"/>
          <w:highlight w:val="none"/>
        </w:rPr>
        <w:t>日          期：</w:t>
      </w:r>
      <w:r>
        <w:rPr>
          <w:rFonts w:hint="eastAsia" w:ascii="宋体" w:hAnsi="宋体" w:eastAsia="宋体" w:cs="宋体"/>
          <w:color w:val="auto"/>
          <w:highlight w:val="none"/>
          <w:u w:val="single"/>
        </w:rPr>
        <w:t xml:space="preserve">                         </w:t>
      </w:r>
    </w:p>
    <w:p w14:paraId="48D3F63F">
      <w:pPr>
        <w:pStyle w:val="5"/>
        <w:rPr>
          <w:rFonts w:hint="eastAsia" w:ascii="宋体" w:hAnsi="宋体" w:eastAsia="宋体" w:cs="宋体"/>
          <w:b/>
          <w:color w:val="auto"/>
          <w:sz w:val="28"/>
          <w:szCs w:val="28"/>
          <w:highlight w:val="none"/>
          <w:lang w:val="en-US" w:eastAsia="zh-CN"/>
        </w:rPr>
      </w:pPr>
    </w:p>
    <w:p w14:paraId="7E186B5F">
      <w:pPr>
        <w:pStyle w:val="5"/>
        <w:numPr>
          <w:ilvl w:val="0"/>
          <w:numId w:val="0"/>
        </w:numPr>
        <w:rPr>
          <w:rFonts w:hint="eastAsia" w:ascii="宋体" w:hAnsi="宋体" w:eastAsia="宋体" w:cs="宋体"/>
          <w:b/>
          <w:color w:val="auto"/>
          <w:sz w:val="28"/>
          <w:szCs w:val="28"/>
          <w:highlight w:val="none"/>
          <w:lang w:val="en-US" w:eastAsia="zh-CN"/>
        </w:rPr>
      </w:pPr>
      <w:bookmarkStart w:id="2416" w:name="_Toc32582"/>
      <w:bookmarkStart w:id="2417" w:name="_Toc24798"/>
      <w:bookmarkStart w:id="2418" w:name="_Toc21891"/>
      <w:r>
        <w:rPr>
          <w:rFonts w:hint="eastAsia" w:ascii="宋体" w:hAnsi="宋体" w:eastAsia="宋体" w:cs="宋体"/>
          <w:b/>
          <w:color w:val="auto"/>
          <w:sz w:val="28"/>
          <w:szCs w:val="28"/>
          <w:highlight w:val="none"/>
          <w:lang w:val="en-US" w:eastAsia="zh-CN"/>
        </w:rPr>
        <w:t>8.农民工工资保障金交纳与使用承诺书（必须提供）</w:t>
      </w:r>
      <w:bookmarkEnd w:id="2416"/>
      <w:bookmarkEnd w:id="2417"/>
      <w:r>
        <w:rPr>
          <w:rFonts w:hint="eastAsia" w:ascii="宋体" w:hAnsi="宋体" w:eastAsia="宋体" w:cs="宋体"/>
          <w:b/>
          <w:color w:val="auto"/>
          <w:sz w:val="28"/>
          <w:szCs w:val="28"/>
          <w:highlight w:val="none"/>
          <w:lang w:val="en-US" w:eastAsia="zh-CN"/>
        </w:rPr>
        <w:t>；</w:t>
      </w:r>
      <w:bookmarkEnd w:id="2418"/>
    </w:p>
    <w:p w14:paraId="0A172412">
      <w:pPr>
        <w:spacing w:line="420" w:lineRule="exact"/>
        <w:ind w:firstLine="482" w:firstLineChars="200"/>
        <w:jc w:val="center"/>
        <w:rPr>
          <w:rFonts w:hint="eastAsia" w:ascii="宋体" w:hAnsi="宋体" w:cs="宋体"/>
          <w:b/>
          <w:color w:val="auto"/>
          <w:kern w:val="0"/>
          <w:sz w:val="24"/>
          <w:szCs w:val="24"/>
          <w:highlight w:val="none"/>
        </w:rPr>
      </w:pPr>
      <w:r>
        <w:rPr>
          <w:rFonts w:hint="eastAsia" w:ascii="宋体" w:hAnsi="宋体" w:cs="宋体"/>
          <w:b/>
          <w:color w:val="auto"/>
          <w:kern w:val="0"/>
          <w:sz w:val="24"/>
          <w:szCs w:val="24"/>
          <w:highlight w:val="none"/>
        </w:rPr>
        <w:t>农民工工资保证金交纳与使用承诺书</w:t>
      </w:r>
      <w:r>
        <w:rPr>
          <w:rFonts w:hint="eastAsia" w:ascii="宋体" w:hAnsi="宋体" w:cs="宋体"/>
          <w:b/>
          <w:color w:val="auto"/>
          <w:kern w:val="0"/>
          <w:sz w:val="24"/>
          <w:szCs w:val="24"/>
          <w:highlight w:val="none"/>
          <w:lang w:val="en-US" w:eastAsia="zh-CN"/>
        </w:rPr>
        <w:t>（格式）</w:t>
      </w:r>
    </w:p>
    <w:p w14:paraId="32C05BD7">
      <w:pPr>
        <w:spacing w:line="420" w:lineRule="exact"/>
        <w:rPr>
          <w:rFonts w:hint="eastAsia" w:ascii="宋体" w:hAnsi="宋体" w:cs="宋体"/>
          <w:color w:val="auto"/>
          <w:kern w:val="0"/>
          <w:szCs w:val="21"/>
          <w:highlight w:val="none"/>
        </w:rPr>
      </w:pPr>
    </w:p>
    <w:p w14:paraId="58FBAFB0">
      <w:pPr>
        <w:spacing w:line="420" w:lineRule="exact"/>
        <w:rPr>
          <w:rFonts w:hint="eastAsia" w:ascii="宋体" w:hAnsi="宋体" w:cs="宋体"/>
          <w:b/>
          <w:color w:val="auto"/>
          <w:kern w:val="0"/>
          <w:szCs w:val="21"/>
          <w:highlight w:val="none"/>
          <w:u w:val="single"/>
        </w:rPr>
      </w:pPr>
      <w:r>
        <w:rPr>
          <w:rFonts w:hint="eastAsia" w:ascii="宋体" w:hAnsi="宋体" w:cs="宋体"/>
          <w:color w:val="auto"/>
          <w:kern w:val="0"/>
          <w:szCs w:val="21"/>
          <w:highlight w:val="none"/>
        </w:rPr>
        <w:t>致：</w:t>
      </w:r>
      <w:r>
        <w:rPr>
          <w:rFonts w:hint="eastAsia" w:ascii="宋体" w:hAnsi="宋体" w:cs="宋体"/>
          <w:color w:val="auto"/>
          <w:highlight w:val="none"/>
          <w:u w:val="single"/>
          <w:lang w:eastAsia="zh-CN"/>
        </w:rPr>
        <w:t xml:space="preserve">广西景钲工程咨询有限公司 </w:t>
      </w:r>
    </w:p>
    <w:p w14:paraId="7FE4AD42">
      <w:pPr>
        <w:spacing w:line="42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我方在此承诺：</w:t>
      </w:r>
    </w:p>
    <w:p w14:paraId="621B9C0F">
      <w:pPr>
        <w:spacing w:line="420" w:lineRule="exact"/>
        <w:ind w:firstLine="525" w:firstLineChars="250"/>
        <w:rPr>
          <w:rFonts w:hint="eastAsia" w:ascii="宋体" w:hAnsi="宋体" w:cs="宋体"/>
          <w:color w:val="auto"/>
          <w:kern w:val="0"/>
          <w:szCs w:val="21"/>
          <w:highlight w:val="none"/>
        </w:rPr>
      </w:pPr>
      <w:r>
        <w:rPr>
          <w:rFonts w:hint="eastAsia" w:ascii="宋体" w:hAnsi="宋体" w:cs="宋体"/>
          <w:color w:val="auto"/>
          <w:kern w:val="0"/>
          <w:szCs w:val="21"/>
          <w:highlight w:val="none"/>
        </w:rPr>
        <w:t>1.我方在本项目</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（项目名称及编号）响应文件递交截止之日前所承建工程中，无拖欠或克扣农民工工资的行为。</w:t>
      </w:r>
    </w:p>
    <w:p w14:paraId="6A270F7E">
      <w:pPr>
        <w:spacing w:line="420" w:lineRule="exact"/>
        <w:ind w:firstLine="495"/>
        <w:rPr>
          <w:rFonts w:hint="eastAsia" w:ascii="宋体" w:hAnsi="宋体" w:cs="宋体"/>
          <w:color w:val="auto"/>
          <w:kern w:val="0"/>
          <w:szCs w:val="21"/>
          <w:highlight w:val="none"/>
        </w:rPr>
      </w:pPr>
      <w:r>
        <w:rPr>
          <w:rFonts w:hint="eastAsia" w:ascii="宋体" w:hAnsi="宋体" w:cs="宋体"/>
          <w:color w:val="auto"/>
          <w:kern w:val="0"/>
          <w:szCs w:val="21"/>
          <w:highlight w:val="none"/>
        </w:rPr>
        <w:t>2. 我方参与</w:t>
      </w:r>
      <w:r>
        <w:rPr>
          <w:rFonts w:hint="eastAsia" w:ascii="宋体" w:hAnsi="宋体" w:cs="宋体"/>
          <w:color w:val="auto"/>
          <w:kern w:val="0"/>
          <w:szCs w:val="21"/>
          <w:highlight w:val="none"/>
          <w:lang w:val="en-US" w:eastAsia="zh-CN"/>
        </w:rPr>
        <w:t>磋商</w:t>
      </w:r>
      <w:r>
        <w:rPr>
          <w:rFonts w:hint="eastAsia" w:ascii="宋体" w:hAnsi="宋体" w:cs="宋体"/>
          <w:color w:val="auto"/>
          <w:kern w:val="0"/>
          <w:szCs w:val="21"/>
          <w:highlight w:val="none"/>
        </w:rPr>
        <w:t>的</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项目，一旦成交，我方保证在签订施工合同后，及时并足额将农民工工资保证金足额存入指定的账户，作为本项目农民工工资保证金。</w:t>
      </w:r>
    </w:p>
    <w:p w14:paraId="302E8B6E">
      <w:pPr>
        <w:spacing w:line="420" w:lineRule="exact"/>
        <w:ind w:firstLine="495"/>
        <w:rPr>
          <w:rFonts w:hint="eastAsia" w:ascii="宋体" w:hAnsi="宋体" w:cs="宋体"/>
          <w:color w:val="auto"/>
          <w:kern w:val="0"/>
          <w:szCs w:val="21"/>
          <w:highlight w:val="none"/>
        </w:rPr>
      </w:pPr>
      <w:r>
        <w:rPr>
          <w:rFonts w:hint="eastAsia" w:ascii="宋体" w:hAnsi="宋体" w:cs="宋体"/>
          <w:color w:val="auto"/>
          <w:kern w:val="0"/>
          <w:szCs w:val="21"/>
          <w:highlight w:val="none"/>
        </w:rPr>
        <w:t>3. 如我方在承包的</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项目中出现拖欠农民工和工人工资情况的，由相关部门从其农民工工资保证金中先予划支。</w:t>
      </w:r>
    </w:p>
    <w:p w14:paraId="7220BAB4">
      <w:pPr>
        <w:numPr>
          <w:ilvl w:val="0"/>
          <w:numId w:val="0"/>
        </w:numPr>
        <w:ind w:leftChars="200"/>
        <w:rPr>
          <w:rFonts w:hint="eastAsia"/>
          <w:color w:val="auto"/>
          <w:highlight w:val="none"/>
        </w:rPr>
      </w:pPr>
      <w:r>
        <w:rPr>
          <w:rFonts w:hint="eastAsia" w:ascii="宋体" w:hAnsi="宋体" w:cs="宋体"/>
          <w:color w:val="auto"/>
          <w:kern w:val="0"/>
          <w:szCs w:val="21"/>
          <w:highlight w:val="none"/>
        </w:rPr>
        <w:t>4. 如我方不按时、足额存入农民工工资保证金，采购人有权取消我方承包资格。</w:t>
      </w:r>
    </w:p>
    <w:p w14:paraId="0E1F9AC8">
      <w:pPr>
        <w:pStyle w:val="14"/>
        <w:spacing w:line="340" w:lineRule="exact"/>
        <w:rPr>
          <w:rFonts w:hint="eastAsia" w:ascii="宋体" w:hAnsi="宋体" w:eastAsia="宋体" w:cs="宋体"/>
          <w:b/>
          <w:color w:val="auto"/>
          <w:sz w:val="28"/>
          <w:szCs w:val="28"/>
          <w:highlight w:val="none"/>
        </w:rPr>
      </w:pPr>
    </w:p>
    <w:p w14:paraId="230D69AB">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420" w:leftChars="0"/>
        <w:jc w:val="center"/>
        <w:textAlignment w:val="auto"/>
        <w:rPr>
          <w:rFonts w:hint="eastAsia" w:ascii="宋体" w:hAnsi="宋体" w:eastAsia="宋体" w:cs="宋体"/>
          <w:b/>
          <w:bCs/>
          <w:color w:val="auto"/>
          <w:sz w:val="32"/>
          <w:szCs w:val="32"/>
          <w:highlight w:val="none"/>
        </w:rPr>
      </w:pPr>
      <w:bookmarkStart w:id="2419" w:name="_Toc28672"/>
      <w:bookmarkStart w:id="2420" w:name="_Toc497927084"/>
      <w:bookmarkStart w:id="2421" w:name="_Toc9339"/>
    </w:p>
    <w:p w14:paraId="273D803D">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420" w:leftChars="0"/>
        <w:jc w:val="center"/>
        <w:textAlignment w:val="auto"/>
        <w:rPr>
          <w:rFonts w:hint="eastAsia" w:ascii="宋体" w:hAnsi="宋体" w:eastAsia="宋体" w:cs="宋体"/>
          <w:b/>
          <w:bCs/>
          <w:color w:val="auto"/>
          <w:sz w:val="32"/>
          <w:szCs w:val="32"/>
          <w:highlight w:val="none"/>
        </w:rPr>
      </w:pPr>
    </w:p>
    <w:p w14:paraId="34C7720E">
      <w:pPr>
        <w:widowControl/>
        <w:ind w:firstLine="1470" w:firstLineChars="7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磋商供应商</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公章</w:t>
      </w:r>
      <w:r>
        <w:rPr>
          <w:rFonts w:hint="eastAsia" w:ascii="宋体" w:hAnsi="宋体" w:eastAsia="宋体" w:cs="宋体"/>
          <w:color w:val="auto"/>
          <w:szCs w:val="21"/>
          <w:highlight w:val="none"/>
          <w:lang w:val="en-US" w:eastAsia="zh-CN"/>
        </w:rPr>
        <w:t>(CA签章)</w:t>
      </w:r>
      <w:r>
        <w:rPr>
          <w:rFonts w:hint="eastAsia" w:ascii="宋体" w:hAnsi="宋体" w:eastAsia="宋体" w:cs="宋体"/>
          <w:color w:val="auto"/>
          <w:szCs w:val="21"/>
          <w:highlight w:val="none"/>
        </w:rPr>
        <w:t>，自然人</w:t>
      </w:r>
      <w:r>
        <w:rPr>
          <w:rFonts w:hint="eastAsia" w:ascii="宋体" w:hAnsi="宋体" w:eastAsia="宋体" w:cs="宋体"/>
          <w:color w:val="auto"/>
          <w:szCs w:val="21"/>
          <w:highlight w:val="none"/>
          <w:lang w:eastAsia="zh-CN"/>
        </w:rPr>
        <w:t>签字或个人</w:t>
      </w:r>
      <w:r>
        <w:rPr>
          <w:rFonts w:hint="eastAsia" w:ascii="宋体" w:hAnsi="宋体" w:eastAsia="宋体" w:cs="宋体"/>
          <w:color w:val="auto"/>
          <w:szCs w:val="21"/>
          <w:highlight w:val="none"/>
          <w:lang w:val="en-US" w:eastAsia="zh-CN"/>
        </w:rPr>
        <w:t>CA签章]</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p>
    <w:p w14:paraId="05F353C9">
      <w:pPr>
        <w:pStyle w:val="14"/>
        <w:spacing w:line="300" w:lineRule="exact"/>
        <w:ind w:left="2940" w:leftChars="1400" w:firstLine="630" w:firstLineChars="300"/>
        <w:rPr>
          <w:rFonts w:hint="eastAsia" w:ascii="宋体" w:hAnsi="宋体" w:eastAsia="宋体" w:cs="宋体"/>
          <w:color w:val="auto"/>
          <w:highlight w:val="none"/>
        </w:rPr>
      </w:pPr>
    </w:p>
    <w:p w14:paraId="53646D52">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420" w:leftChars="0"/>
        <w:jc w:val="center"/>
        <w:textAlignment w:val="auto"/>
        <w:rPr>
          <w:rFonts w:hint="eastAsia"/>
          <w:color w:val="auto"/>
          <w:highlight w:val="none"/>
        </w:rPr>
      </w:pPr>
      <w:r>
        <w:rPr>
          <w:rFonts w:hint="eastAsia" w:ascii="宋体" w:hAnsi="宋体" w:eastAsia="宋体" w:cs="宋体"/>
          <w:color w:val="auto"/>
          <w:highlight w:val="none"/>
        </w:rPr>
        <w:t>日          期：</w:t>
      </w:r>
      <w:r>
        <w:rPr>
          <w:rFonts w:hint="eastAsia" w:ascii="宋体" w:hAnsi="宋体" w:eastAsia="宋体" w:cs="宋体"/>
          <w:color w:val="auto"/>
          <w:highlight w:val="none"/>
          <w:u w:val="single"/>
        </w:rPr>
        <w:t xml:space="preserve">                         </w:t>
      </w:r>
    </w:p>
    <w:p w14:paraId="675ED35C">
      <w:pPr>
        <w:pStyle w:val="5"/>
        <w:numPr>
          <w:ilvl w:val="0"/>
          <w:numId w:val="0"/>
        </w:numPr>
        <w:rPr>
          <w:rFonts w:hint="eastAsia" w:ascii="宋体" w:hAnsi="宋体" w:eastAsia="宋体" w:cs="宋体"/>
          <w:b/>
          <w:color w:val="auto"/>
          <w:sz w:val="28"/>
          <w:szCs w:val="28"/>
          <w:highlight w:val="none"/>
          <w:lang w:val="en-US" w:eastAsia="zh-CN"/>
        </w:rPr>
      </w:pPr>
    </w:p>
    <w:p w14:paraId="654B1B37">
      <w:pPr>
        <w:pStyle w:val="5"/>
        <w:numPr>
          <w:ilvl w:val="0"/>
          <w:numId w:val="0"/>
        </w:numPr>
        <w:rPr>
          <w:rFonts w:hint="eastAsia" w:ascii="宋体" w:hAnsi="宋体" w:eastAsia="宋体" w:cs="宋体"/>
          <w:b/>
          <w:color w:val="auto"/>
          <w:sz w:val="28"/>
          <w:szCs w:val="28"/>
          <w:highlight w:val="none"/>
          <w:lang w:val="en-US" w:eastAsia="zh-CN"/>
        </w:rPr>
      </w:pPr>
      <w:bookmarkStart w:id="2422" w:name="_Toc21352"/>
      <w:bookmarkStart w:id="2423" w:name="_Toc10529"/>
      <w:bookmarkStart w:id="2424" w:name="_Toc297"/>
      <w:r>
        <w:rPr>
          <w:rFonts w:hint="eastAsia" w:ascii="宋体" w:hAnsi="宋体" w:eastAsia="宋体" w:cs="宋体"/>
          <w:b/>
          <w:color w:val="auto"/>
          <w:sz w:val="28"/>
          <w:szCs w:val="28"/>
          <w:highlight w:val="none"/>
          <w:lang w:val="en-US" w:eastAsia="zh-CN"/>
        </w:rPr>
        <w:t>9.城乡清洁工程渣土清运承诺书（必须提供）。</w:t>
      </w:r>
      <w:bookmarkEnd w:id="2422"/>
      <w:bookmarkEnd w:id="2423"/>
      <w:bookmarkEnd w:id="2424"/>
    </w:p>
    <w:p w14:paraId="594CE9D7">
      <w:pPr>
        <w:widowControl w:val="0"/>
        <w:numPr>
          <w:ilvl w:val="0"/>
          <w:numId w:val="0"/>
        </w:numPr>
        <w:jc w:val="both"/>
        <w:rPr>
          <w:rFonts w:hint="eastAsia"/>
          <w:color w:val="auto"/>
          <w:highlight w:val="none"/>
        </w:rPr>
      </w:pPr>
    </w:p>
    <w:p w14:paraId="526FB96A">
      <w:pPr>
        <w:rPr>
          <w:rFonts w:hint="eastAsia"/>
          <w:color w:val="auto"/>
          <w:highlight w:val="none"/>
        </w:rPr>
      </w:pPr>
    </w:p>
    <w:p w14:paraId="2E887F75">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420" w:leftChars="0"/>
        <w:jc w:val="center"/>
        <w:textAlignment w:val="auto"/>
        <w:rPr>
          <w:rFonts w:hint="eastAsia" w:ascii="宋体" w:hAnsi="宋体" w:eastAsia="宋体" w:cs="宋体"/>
          <w:color w:val="auto"/>
          <w:szCs w:val="21"/>
          <w:highlight w:val="none"/>
        </w:rPr>
      </w:pPr>
      <w:r>
        <w:rPr>
          <w:rFonts w:hint="eastAsia" w:ascii="宋体" w:hAnsi="宋体" w:eastAsia="宋体" w:cs="宋体"/>
          <w:b/>
          <w:bCs/>
          <w:color w:val="auto"/>
          <w:sz w:val="32"/>
          <w:szCs w:val="32"/>
          <w:highlight w:val="none"/>
        </w:rPr>
        <w:t>（</w:t>
      </w:r>
      <w:r>
        <w:rPr>
          <w:rFonts w:hint="eastAsia" w:ascii="宋体" w:hAnsi="宋体" w:cs="宋体"/>
          <w:b/>
          <w:bCs/>
          <w:color w:val="auto"/>
          <w:sz w:val="32"/>
          <w:szCs w:val="32"/>
          <w:highlight w:val="none"/>
          <w:lang w:eastAsia="zh-CN"/>
        </w:rPr>
        <w:t>三</w:t>
      </w:r>
      <w:r>
        <w:rPr>
          <w:rFonts w:hint="eastAsia" w:ascii="宋体" w:hAnsi="宋体" w:eastAsia="宋体" w:cs="宋体"/>
          <w:b/>
          <w:bCs/>
          <w:color w:val="auto"/>
          <w:sz w:val="32"/>
          <w:szCs w:val="32"/>
          <w:highlight w:val="none"/>
        </w:rPr>
        <w:t>）其</w:t>
      </w:r>
      <w:r>
        <w:rPr>
          <w:rFonts w:hint="eastAsia" w:ascii="宋体" w:hAnsi="宋体" w:eastAsia="宋体" w:cs="宋体"/>
          <w:b/>
          <w:bCs/>
          <w:color w:val="auto"/>
          <w:sz w:val="32"/>
          <w:szCs w:val="32"/>
          <w:highlight w:val="none"/>
          <w:lang w:eastAsia="zh-CN"/>
        </w:rPr>
        <w:t>他</w:t>
      </w:r>
      <w:r>
        <w:rPr>
          <w:rFonts w:hint="eastAsia" w:ascii="宋体" w:hAnsi="宋体" w:eastAsia="宋体" w:cs="宋体"/>
          <w:b/>
          <w:bCs/>
          <w:color w:val="auto"/>
          <w:sz w:val="32"/>
          <w:szCs w:val="32"/>
          <w:highlight w:val="none"/>
        </w:rPr>
        <w:t>有效证明材料目录</w:t>
      </w:r>
      <w:bookmarkEnd w:id="2419"/>
      <w:bookmarkEnd w:id="2420"/>
      <w:bookmarkEnd w:id="2421"/>
    </w:p>
    <w:p w14:paraId="5B179265">
      <w:pPr>
        <w:spacing w:line="360" w:lineRule="auto"/>
        <w:ind w:firstLine="420" w:firstLineChars="200"/>
        <w:rPr>
          <w:rFonts w:hint="eastAsia" w:ascii="宋体" w:hAnsi="宋体" w:cs="宋体"/>
          <w:color w:val="auto"/>
          <w:sz w:val="21"/>
          <w:szCs w:val="21"/>
          <w:highlight w:val="none"/>
          <w:lang w:val="en-US" w:eastAsia="zh-CN"/>
        </w:rPr>
      </w:pPr>
    </w:p>
    <w:p w14:paraId="10BDC437">
      <w:pPr>
        <w:spacing w:line="360" w:lineRule="auto"/>
        <w:rPr>
          <w:rFonts w:hint="eastAsia" w:ascii="宋体" w:hAnsi="宋体" w:cs="宋体"/>
          <w:color w:val="auto"/>
          <w:sz w:val="21"/>
          <w:szCs w:val="21"/>
          <w:highlight w:val="none"/>
          <w:lang w:val="en-US" w:eastAsia="zh-CN"/>
        </w:rPr>
      </w:pPr>
    </w:p>
    <w:p w14:paraId="436B9C26">
      <w:pPr>
        <w:spacing w:line="240" w:lineRule="auto"/>
        <w:rPr>
          <w:rFonts w:hint="eastAsia" w:ascii="宋体" w:hAnsi="宋体" w:eastAsia="宋体" w:cs="宋体"/>
          <w:b/>
          <w:bCs/>
          <w:iCs/>
          <w:color w:val="auto"/>
          <w:kern w:val="2"/>
          <w:sz w:val="28"/>
          <w:szCs w:val="28"/>
          <w:highlight w:val="none"/>
          <w:lang w:val="en-US" w:eastAsia="zh-CN" w:bidi="ar-SA"/>
        </w:rPr>
      </w:pPr>
      <w:r>
        <w:rPr>
          <w:rFonts w:hint="eastAsia" w:ascii="宋体" w:hAnsi="宋体" w:cs="宋体"/>
          <w:b/>
          <w:bCs/>
          <w:iCs/>
          <w:color w:val="auto"/>
          <w:kern w:val="2"/>
          <w:sz w:val="28"/>
          <w:szCs w:val="28"/>
          <w:highlight w:val="none"/>
          <w:lang w:val="en-US" w:eastAsia="zh-CN" w:bidi="ar-SA"/>
        </w:rPr>
        <w:t>1.供应商2020年1月1日以来具有类似工程的业绩</w:t>
      </w:r>
      <w:r>
        <w:rPr>
          <w:rFonts w:hint="eastAsia" w:ascii="宋体" w:hAnsi="宋体" w:eastAsia="宋体" w:cs="宋体"/>
          <w:b/>
          <w:bCs/>
          <w:iCs/>
          <w:color w:val="auto"/>
          <w:kern w:val="2"/>
          <w:sz w:val="28"/>
          <w:szCs w:val="28"/>
          <w:highlight w:val="none"/>
          <w:lang w:val="en-US" w:eastAsia="zh-CN" w:bidi="ar-SA"/>
        </w:rPr>
        <w:t>（无不良记录，以中标（成交）通知书或签订的合同</w:t>
      </w:r>
      <w:r>
        <w:rPr>
          <w:rFonts w:hint="eastAsia" w:ascii="宋体" w:hAnsi="宋体" w:cs="宋体"/>
          <w:b/>
          <w:bCs/>
          <w:iCs/>
          <w:color w:val="auto"/>
          <w:kern w:val="2"/>
          <w:sz w:val="28"/>
          <w:szCs w:val="28"/>
          <w:highlight w:val="none"/>
          <w:lang w:val="en-US" w:eastAsia="zh-CN" w:bidi="ar-SA"/>
        </w:rPr>
        <w:t>及</w:t>
      </w:r>
      <w:r>
        <w:rPr>
          <w:rFonts w:hint="eastAsia" w:ascii="宋体" w:hAnsi="宋体" w:eastAsia="宋体" w:cs="宋体"/>
          <w:b/>
          <w:bCs/>
          <w:iCs/>
          <w:color w:val="auto"/>
          <w:kern w:val="2"/>
          <w:sz w:val="28"/>
          <w:szCs w:val="28"/>
          <w:highlight w:val="none"/>
          <w:lang w:val="en-US" w:eastAsia="zh-CN" w:bidi="ar-SA"/>
        </w:rPr>
        <w:t>竣工证明文件为准，并能清晰反映项目的名称、采购内容、采购金额、采购时间）（如有）；</w:t>
      </w:r>
    </w:p>
    <w:p w14:paraId="17F739BD">
      <w:pPr>
        <w:spacing w:line="360" w:lineRule="auto"/>
        <w:ind w:firstLine="420" w:firstLineChars="200"/>
        <w:rPr>
          <w:rFonts w:hint="eastAsia" w:ascii="宋体" w:hAnsi="宋体" w:eastAsia="宋体" w:cs="宋体"/>
          <w:color w:val="auto"/>
          <w:sz w:val="21"/>
          <w:szCs w:val="21"/>
          <w:highlight w:val="none"/>
          <w:lang w:val="en-US" w:eastAsia="zh-CN"/>
        </w:rPr>
      </w:pPr>
    </w:p>
    <w:p w14:paraId="217F400E">
      <w:pPr>
        <w:pStyle w:val="11"/>
        <w:rPr>
          <w:rFonts w:hint="eastAsia" w:ascii="宋体" w:hAnsi="宋体" w:eastAsia="宋体" w:cs="宋体"/>
          <w:color w:val="auto"/>
          <w:sz w:val="21"/>
          <w:szCs w:val="21"/>
          <w:highlight w:val="none"/>
          <w:lang w:val="en-US" w:eastAsia="zh-CN"/>
        </w:rPr>
      </w:pPr>
    </w:p>
    <w:p w14:paraId="54360E5B">
      <w:pPr>
        <w:rPr>
          <w:rFonts w:hint="eastAsia" w:ascii="宋体" w:hAnsi="宋体" w:cs="宋体"/>
          <w:b/>
          <w:bCs/>
          <w:iCs/>
          <w:color w:val="auto"/>
          <w:sz w:val="28"/>
          <w:szCs w:val="28"/>
          <w:highlight w:val="none"/>
          <w:lang w:val="en-US" w:eastAsia="zh-CN"/>
        </w:rPr>
      </w:pPr>
      <w:r>
        <w:rPr>
          <w:rFonts w:hint="eastAsia" w:ascii="宋体" w:hAnsi="宋体" w:cs="宋体"/>
          <w:b/>
          <w:bCs/>
          <w:iCs/>
          <w:color w:val="auto"/>
          <w:sz w:val="28"/>
          <w:szCs w:val="28"/>
          <w:highlight w:val="none"/>
          <w:lang w:val="en-US" w:eastAsia="zh-CN"/>
        </w:rPr>
        <w:t>2.供应商</w:t>
      </w:r>
      <w:r>
        <w:rPr>
          <w:rFonts w:hint="eastAsia" w:ascii="宋体" w:hAnsi="宋体" w:cs="宋体"/>
          <w:b/>
          <w:bCs/>
          <w:iCs/>
          <w:color w:val="auto"/>
          <w:sz w:val="28"/>
          <w:szCs w:val="28"/>
          <w:highlight w:val="none"/>
        </w:rPr>
        <w:t>2020</w:t>
      </w:r>
      <w:r>
        <w:rPr>
          <w:rFonts w:hint="eastAsia" w:ascii="宋体" w:hAnsi="宋体" w:cs="宋体"/>
          <w:b/>
          <w:bCs/>
          <w:iCs/>
          <w:color w:val="auto"/>
          <w:sz w:val="28"/>
          <w:szCs w:val="28"/>
          <w:highlight w:val="none"/>
          <w:lang w:val="en-US" w:eastAsia="zh-CN"/>
        </w:rPr>
        <w:t>年1月1日以来</w:t>
      </w:r>
      <w:r>
        <w:rPr>
          <w:rFonts w:hint="eastAsia" w:ascii="宋体" w:hAnsi="宋体" w:cs="宋体"/>
          <w:b/>
          <w:bCs/>
          <w:iCs/>
          <w:color w:val="auto"/>
          <w:sz w:val="28"/>
          <w:szCs w:val="28"/>
          <w:highlight w:val="none"/>
        </w:rPr>
        <w:t>获奖情况</w:t>
      </w:r>
      <w:r>
        <w:rPr>
          <w:rFonts w:hint="eastAsia" w:ascii="宋体" w:hAnsi="宋体" w:cs="宋体"/>
          <w:b/>
          <w:bCs/>
          <w:iCs/>
          <w:color w:val="auto"/>
          <w:sz w:val="28"/>
          <w:szCs w:val="28"/>
          <w:highlight w:val="none"/>
          <w:lang w:eastAsia="zh-CN"/>
        </w:rPr>
        <w:t>（</w:t>
      </w:r>
      <w:r>
        <w:rPr>
          <w:rFonts w:hint="eastAsia" w:ascii="宋体" w:hAnsi="宋体" w:cs="宋体"/>
          <w:b/>
          <w:bCs/>
          <w:iCs/>
          <w:color w:val="auto"/>
          <w:sz w:val="28"/>
          <w:szCs w:val="28"/>
          <w:highlight w:val="none"/>
          <w:lang w:val="en-US" w:eastAsia="zh-CN"/>
        </w:rPr>
        <w:t>如有</w:t>
      </w:r>
      <w:r>
        <w:rPr>
          <w:rFonts w:hint="eastAsia" w:ascii="宋体" w:hAnsi="宋体" w:cs="宋体"/>
          <w:b/>
          <w:bCs/>
          <w:iCs/>
          <w:color w:val="auto"/>
          <w:sz w:val="28"/>
          <w:szCs w:val="28"/>
          <w:highlight w:val="none"/>
          <w:lang w:eastAsia="zh-CN"/>
        </w:rPr>
        <w:t>）</w:t>
      </w:r>
    </w:p>
    <w:p w14:paraId="05F69EF9">
      <w:pPr>
        <w:pStyle w:val="11"/>
        <w:rPr>
          <w:rFonts w:hint="eastAsia"/>
          <w:color w:val="auto"/>
          <w:highlight w:val="none"/>
          <w:lang w:val="en-US" w:eastAsia="zh-CN"/>
        </w:rPr>
      </w:pPr>
    </w:p>
    <w:p w14:paraId="6EC20AA5">
      <w:pPr>
        <w:spacing w:line="240" w:lineRule="auto"/>
        <w:rPr>
          <w:rFonts w:hint="default" w:ascii="宋体" w:hAnsi="宋体" w:cs="宋体"/>
          <w:b/>
          <w:bCs/>
          <w:iCs/>
          <w:color w:val="auto"/>
          <w:kern w:val="2"/>
          <w:sz w:val="28"/>
          <w:szCs w:val="28"/>
          <w:highlight w:val="none"/>
          <w:lang w:val="en-US" w:eastAsia="zh-CN" w:bidi="ar-SA"/>
        </w:rPr>
      </w:pPr>
    </w:p>
    <w:p w14:paraId="326E0753">
      <w:pPr>
        <w:spacing w:line="240" w:lineRule="auto"/>
        <w:rPr>
          <w:rFonts w:hint="default" w:ascii="宋体" w:hAnsi="宋体" w:cs="宋体"/>
          <w:b/>
          <w:bCs/>
          <w:iCs/>
          <w:color w:val="auto"/>
          <w:kern w:val="2"/>
          <w:sz w:val="28"/>
          <w:szCs w:val="28"/>
          <w:highlight w:val="none"/>
          <w:lang w:val="en-US" w:eastAsia="zh-CN" w:bidi="ar-SA"/>
        </w:rPr>
      </w:pPr>
    </w:p>
    <w:p w14:paraId="6086EC83">
      <w:pPr>
        <w:spacing w:line="240" w:lineRule="auto"/>
        <w:rPr>
          <w:rFonts w:hint="eastAsia" w:ascii="宋体" w:hAnsi="宋体" w:eastAsia="宋体" w:cs="宋体"/>
          <w:b/>
          <w:bCs/>
          <w:iCs/>
          <w:color w:val="auto"/>
          <w:kern w:val="2"/>
          <w:sz w:val="28"/>
          <w:szCs w:val="28"/>
          <w:highlight w:val="none"/>
          <w:lang w:val="en-US" w:eastAsia="zh-CN" w:bidi="ar-SA"/>
        </w:rPr>
      </w:pPr>
      <w:r>
        <w:rPr>
          <w:rFonts w:hint="eastAsia" w:ascii="宋体" w:hAnsi="宋体" w:cs="宋体"/>
          <w:b/>
          <w:bCs/>
          <w:iCs/>
          <w:color w:val="auto"/>
          <w:kern w:val="2"/>
          <w:sz w:val="28"/>
          <w:szCs w:val="28"/>
          <w:highlight w:val="none"/>
          <w:lang w:val="en-US" w:eastAsia="zh-CN" w:bidi="ar-SA"/>
        </w:rPr>
        <w:t>3</w:t>
      </w:r>
      <w:r>
        <w:rPr>
          <w:rFonts w:hint="eastAsia" w:ascii="宋体" w:hAnsi="宋体" w:eastAsia="宋体" w:cs="宋体"/>
          <w:b/>
          <w:bCs/>
          <w:iCs/>
          <w:color w:val="auto"/>
          <w:kern w:val="2"/>
          <w:sz w:val="28"/>
          <w:szCs w:val="28"/>
          <w:highlight w:val="none"/>
          <w:lang w:val="en-US" w:eastAsia="zh-CN" w:bidi="ar-SA"/>
        </w:rPr>
        <w:t>.供应商可结合本项目的评审办法视自身情况自行提交其它相关证明材料。</w:t>
      </w:r>
    </w:p>
    <w:p w14:paraId="50E2546B">
      <w:pPr>
        <w:spacing w:line="360" w:lineRule="auto"/>
        <w:ind w:firstLine="480" w:firstLineChars="200"/>
        <w:rPr>
          <w:rFonts w:hint="eastAsia" w:ascii="宋体" w:hAnsi="宋体" w:eastAsia="宋体" w:cs="宋体"/>
          <w:color w:val="auto"/>
          <w:sz w:val="24"/>
          <w:highlight w:val="none"/>
        </w:rPr>
      </w:pPr>
    </w:p>
    <w:p w14:paraId="2801FAA9">
      <w:pPr>
        <w:pStyle w:val="32"/>
        <w:rPr>
          <w:rFonts w:hint="eastAsia" w:ascii="宋体" w:hAnsi="宋体" w:eastAsia="宋体" w:cs="宋体"/>
          <w:b/>
          <w:bCs/>
          <w:color w:val="auto"/>
          <w:sz w:val="24"/>
          <w:highlight w:val="none"/>
        </w:rPr>
      </w:pPr>
    </w:p>
    <w:p w14:paraId="59E75DD5">
      <w:pPr>
        <w:rPr>
          <w:rFonts w:hint="eastAsia" w:ascii="宋体" w:hAnsi="宋体" w:cs="宋体"/>
          <w:b/>
          <w:bCs/>
          <w:iCs/>
          <w:color w:val="auto"/>
          <w:kern w:val="2"/>
          <w:sz w:val="28"/>
          <w:szCs w:val="28"/>
          <w:highlight w:val="none"/>
          <w:lang w:val="en-US" w:eastAsia="zh-CN" w:bidi="ar-SA"/>
        </w:rPr>
      </w:pPr>
    </w:p>
    <w:p w14:paraId="1A8C05D5">
      <w:pPr>
        <w:bidi w:val="0"/>
        <w:rPr>
          <w:rFonts w:hint="default"/>
          <w:color w:val="auto"/>
          <w:highlight w:val="none"/>
          <w:lang w:val="en-US" w:eastAsia="zh-CN"/>
        </w:rPr>
      </w:pPr>
    </w:p>
    <w:p w14:paraId="623B96D0">
      <w:pPr>
        <w:rPr>
          <w:rFonts w:hint="default"/>
          <w:color w:val="auto"/>
          <w:highlight w:val="none"/>
          <w:lang w:val="en-US" w:eastAsia="zh-CN"/>
        </w:rPr>
      </w:pPr>
    </w:p>
    <w:p w14:paraId="77F060D9">
      <w:pPr>
        <w:pStyle w:val="4"/>
        <w:spacing w:line="240" w:lineRule="auto"/>
        <w:jc w:val="center"/>
        <w:rPr>
          <w:rFonts w:hint="eastAsia"/>
          <w:color w:val="auto"/>
          <w:highlight w:val="none"/>
        </w:rPr>
      </w:pPr>
      <w:bookmarkStart w:id="2425" w:name="_Toc16390"/>
      <w:bookmarkStart w:id="2426" w:name="_Toc1637952"/>
      <w:bookmarkStart w:id="2427" w:name="_Toc2237"/>
      <w:bookmarkStart w:id="2428" w:name="_Toc12385"/>
      <w:bookmarkStart w:id="2429" w:name="_Toc6973"/>
      <w:bookmarkStart w:id="2430" w:name="_Toc22545"/>
      <w:bookmarkStart w:id="2431" w:name="_Toc18780"/>
    </w:p>
    <w:bookmarkEnd w:id="2425"/>
    <w:bookmarkEnd w:id="2426"/>
    <w:bookmarkEnd w:id="2427"/>
    <w:bookmarkEnd w:id="2428"/>
    <w:bookmarkEnd w:id="2429"/>
    <w:bookmarkEnd w:id="2430"/>
    <w:bookmarkEnd w:id="2431"/>
    <w:p w14:paraId="5DAC4491">
      <w:pPr>
        <w:jc w:val="center"/>
        <w:rPr>
          <w:rFonts w:hint="eastAsia"/>
          <w:color w:val="auto"/>
          <w:highlight w:val="none"/>
        </w:rPr>
      </w:pPr>
    </w:p>
    <w:p w14:paraId="5A24F0D1">
      <w:pPr>
        <w:jc w:val="center"/>
        <w:rPr>
          <w:rFonts w:hint="eastAsia"/>
          <w:color w:val="auto"/>
          <w:highlight w:val="none"/>
        </w:rPr>
      </w:pPr>
    </w:p>
    <w:p w14:paraId="6D292015">
      <w:pPr>
        <w:jc w:val="center"/>
        <w:rPr>
          <w:rFonts w:hint="eastAsia"/>
          <w:color w:val="auto"/>
          <w:highlight w:val="none"/>
        </w:rPr>
      </w:pPr>
    </w:p>
    <w:p w14:paraId="183D0CF6">
      <w:pPr>
        <w:jc w:val="center"/>
        <w:rPr>
          <w:rFonts w:hint="eastAsia"/>
          <w:color w:val="auto"/>
          <w:highlight w:val="none"/>
        </w:rPr>
      </w:pPr>
    </w:p>
    <w:p w14:paraId="7ACE69A3">
      <w:pPr>
        <w:rPr>
          <w:rFonts w:hint="eastAsia"/>
          <w:color w:val="auto"/>
          <w:highlight w:val="none"/>
        </w:rPr>
      </w:pPr>
      <w:r>
        <w:rPr>
          <w:rFonts w:hint="eastAsia"/>
          <w:color w:val="auto"/>
          <w:highlight w:val="none"/>
        </w:rPr>
        <w:br w:type="page"/>
      </w:r>
    </w:p>
    <w:p w14:paraId="2EF13E2E">
      <w:pPr>
        <w:pStyle w:val="4"/>
        <w:spacing w:line="240" w:lineRule="auto"/>
        <w:jc w:val="center"/>
        <w:rPr>
          <w:rFonts w:hint="eastAsia"/>
          <w:color w:val="auto"/>
          <w:highlight w:val="none"/>
        </w:rPr>
      </w:pPr>
      <w:bookmarkStart w:id="2432" w:name="_Toc6063"/>
      <w:r>
        <w:rPr>
          <w:rFonts w:hint="eastAsia"/>
          <w:color w:val="auto"/>
          <w:highlight w:val="none"/>
        </w:rPr>
        <w:t>第七章、图纸</w:t>
      </w:r>
      <w:bookmarkEnd w:id="2432"/>
    </w:p>
    <w:p w14:paraId="1426B4A5">
      <w:pPr>
        <w:jc w:val="center"/>
        <w:rPr>
          <w:rFonts w:hint="eastAsia"/>
          <w:color w:val="auto"/>
          <w:highlight w:val="none"/>
        </w:rPr>
      </w:pPr>
    </w:p>
    <w:p w14:paraId="733A76F9">
      <w:pPr>
        <w:jc w:val="center"/>
        <w:rPr>
          <w:rFonts w:hint="eastAsia" w:eastAsia="宋体"/>
          <w:color w:val="auto"/>
          <w:highlight w:val="none"/>
          <w:lang w:val="en-US" w:eastAsia="zh-CN"/>
        </w:rPr>
      </w:pPr>
      <w:r>
        <w:rPr>
          <w:rFonts w:hint="eastAsia"/>
          <w:color w:val="auto"/>
          <w:sz w:val="24"/>
          <w:highlight w:val="none"/>
          <w:lang w:val="en-US" w:eastAsia="zh-CN"/>
        </w:rPr>
        <w:t>/</w:t>
      </w:r>
    </w:p>
    <w:p w14:paraId="2523880A">
      <w:pPr>
        <w:jc w:val="center"/>
        <w:rPr>
          <w:color w:val="auto"/>
          <w:highlight w:val="none"/>
        </w:rPr>
      </w:pPr>
    </w:p>
    <w:p w14:paraId="5A23CEE7">
      <w:pPr>
        <w:rPr>
          <w:color w:val="auto"/>
          <w:highlight w:val="none"/>
        </w:rPr>
      </w:pPr>
    </w:p>
    <w:p w14:paraId="65F20120"/>
    <w:sectPr>
      <w:headerReference r:id="rId8" w:type="default"/>
      <w:footerReference r:id="rId9" w:type="default"/>
      <w:pgSz w:w="11910" w:h="16850"/>
      <w:pgMar w:top="1417" w:right="1417" w:bottom="1417" w:left="1417" w:header="876" w:footer="861" w:gutter="0"/>
      <w:pgNumType w:fmt="decimal"/>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auto"/>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新宋体">
    <w:panose1 w:val="02010609030101010101"/>
    <w:charset w:val="86"/>
    <w:family w:val="auto"/>
    <w:pitch w:val="default"/>
    <w:sig w:usb0="00000283" w:usb1="288F0000" w:usb2="00000006" w:usb3="00000000" w:csb0="00040001" w:csb1="00000000"/>
  </w:font>
  <w:font w:name="Cambria Math">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9A706D">
    <w:pPr>
      <w:pStyle w:val="15"/>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矩形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14:paraId="768A979E">
                          <w:pPr>
                            <w:pStyle w:val="15"/>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LOwMsfEAQAAmgMAAA4AAAAAAAAAAQAgAAAAHwEAAGRycy9lMm9Eb2MueG1s&#10;UEsFBgAAAAAGAAYAWQEAAFUFAAAAAA==&#10;">
              <v:fill on="f" focussize="0,0"/>
              <v:stroke on="f"/>
              <v:imagedata o:title=""/>
              <o:lock v:ext="edit" aspectratio="f"/>
              <v:textbox inset="0mm,0mm,0mm,0mm" style="mso-fit-shape-to-text:t;">
                <w:txbxContent>
                  <w:p w14:paraId="768A979E">
                    <w:pPr>
                      <w:pStyle w:val="15"/>
                    </w:pPr>
                    <w:r>
                      <w:fldChar w:fldCharType="begin"/>
                    </w:r>
                    <w:r>
                      <w:instrText xml:space="preserve"> PAGE  \* MERGEFORMAT </w:instrText>
                    </w:r>
                    <w:r>
                      <w:fldChar w:fldCharType="separate"/>
                    </w:r>
                    <w:r>
                      <w:t>2</w:t>
                    </w:r>
                    <w: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A83237">
    <w:pPr>
      <w:pStyle w:val="15"/>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矩形 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14:paraId="3A49BB74">
                          <w:pPr>
                            <w:pStyle w:val="15"/>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Bfqq+fEAQAAmgMAAA4AAAAAAAAAAQAgAAAAHwEAAGRycy9lMm9Eb2MueG1s&#10;UEsFBgAAAAAGAAYAWQEAAFUFAAAAAA==&#10;">
              <v:fill on="f" focussize="0,0"/>
              <v:stroke on="f"/>
              <v:imagedata o:title=""/>
              <o:lock v:ext="edit" aspectratio="f"/>
              <v:textbox inset="0mm,0mm,0mm,0mm" style="mso-fit-shape-to-text:t;">
                <w:txbxContent>
                  <w:p w14:paraId="3A49BB74">
                    <w:pPr>
                      <w:pStyle w:val="15"/>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F4F3D8">
    <w:pPr>
      <w:pStyle w:val="1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9" name="矩形 4099"/>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14:paraId="472BFCFC">
                          <w:pPr>
                            <w:pStyle w:val="15"/>
                          </w:pPr>
                          <w:r>
                            <w:fldChar w:fldCharType="begin"/>
                          </w:r>
                          <w:r>
                            <w:instrText xml:space="preserve"> PAGE  \* MERGEFORMAT </w:instrText>
                          </w:r>
                          <w:r>
                            <w:fldChar w:fldCharType="separate"/>
                          </w:r>
                          <w:r>
                            <w:t>4</w:t>
                          </w:r>
                          <w:r>
                            <w:fldChar w:fldCharType="end"/>
                          </w:r>
                        </w:p>
                      </w:txbxContent>
                    </wps:txbx>
                    <wps:bodyPr wrap="none" lIns="0" tIns="0" rIns="0" bIns="0" upright="0">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Ll1uVLQAAAABQEAAA8AAAAAAAAAAQAgAAAAIgAAAGRycy9kb3ducmV2Lnht&#10;bFBLAQIUABQAAAAIAIdO4kBsme5pyAEAAKADAAAOAAAAAAAAAAEAIAAAAB8BAABkcnMvZTJvRG9j&#10;LnhtbFBLBQYAAAAABgAGAFkBAABZBQAAAAA=&#10;">
              <v:fill on="f" focussize="0,0"/>
              <v:stroke on="f"/>
              <v:imagedata o:title=""/>
              <o:lock v:ext="edit" aspectratio="f"/>
              <v:textbox inset="0mm,0mm,0mm,0mm" style="mso-fit-shape-to-text:t;">
                <w:txbxContent>
                  <w:p w14:paraId="472BFCFC">
                    <w:pPr>
                      <w:pStyle w:val="15"/>
                    </w:pPr>
                    <w:r>
                      <w:fldChar w:fldCharType="begin"/>
                    </w:r>
                    <w:r>
                      <w:instrText xml:space="preserve"> PAGE  \* MERGEFORMAT </w:instrText>
                    </w:r>
                    <w:r>
                      <w:fldChar w:fldCharType="separate"/>
                    </w:r>
                    <w:r>
                      <w:t>4</w:t>
                    </w:r>
                    <w: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82E994">
    <w:pPr>
      <w:pStyle w:val="15"/>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0" name="矩形 4100"/>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14:paraId="5C07919E">
                          <w:pPr>
                            <w:pStyle w:val="15"/>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5dblS0AAAAAUBAAAPAAAAAAAAAAEAIAAAACIAAABkcnMvZG93bnJldi54bWxQ&#10;SwECFAAUAAAACACHTuJAvXcEWcYBAACgAwAADgAAAAAAAAABACAAAAAfAQAAZHJzL2Uyb0RvYy54&#10;bWxQSwUGAAAAAAYABgBZAQAAVwUAAAAA&#10;">
              <v:fill on="f" focussize="0,0"/>
              <v:stroke on="f"/>
              <v:imagedata o:title=""/>
              <o:lock v:ext="edit" aspectratio="f"/>
              <v:textbox inset="0mm,0mm,0mm,0mm" style="mso-fit-shape-to-text:t;">
                <w:txbxContent>
                  <w:p w14:paraId="5C07919E">
                    <w:pPr>
                      <w:pStyle w:val="15"/>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89D1B5">
    <w:pPr>
      <w:pStyle w:val="15"/>
      <w:jc w:val="cente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52FB00">
                          <w:pPr>
                            <w:pStyle w:val="15"/>
                            <w:jc w:val="center"/>
                          </w:pPr>
                          <w:r>
                            <w:fldChar w:fldCharType="begin"/>
                          </w:r>
                          <w:r>
                            <w:instrText xml:space="preserve">PAGE   \* MERGEFORMAT</w:instrText>
                          </w:r>
                          <w:r>
                            <w:fldChar w:fldCharType="separate"/>
                          </w:r>
                          <w:r>
                            <w:rPr>
                              <w:lang w:val="zh-CN"/>
                            </w:rPr>
                            <w:t>65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E52FB00">
                    <w:pPr>
                      <w:pStyle w:val="15"/>
                      <w:jc w:val="center"/>
                    </w:pPr>
                    <w:r>
                      <w:fldChar w:fldCharType="begin"/>
                    </w:r>
                    <w:r>
                      <w:instrText xml:space="preserve">PAGE   \* MERGEFORMAT</w:instrText>
                    </w:r>
                    <w:r>
                      <w:fldChar w:fldCharType="separate"/>
                    </w:r>
                    <w:r>
                      <w:rPr>
                        <w:lang w:val="zh-CN"/>
                      </w:rPr>
                      <w:t>65</w:t>
                    </w:r>
                    <w:r>
                      <w:fldChar w:fldCharType="end"/>
                    </w:r>
                  </w:p>
                </w:txbxContent>
              </v:textbox>
            </v:shape>
          </w:pict>
        </mc:Fallback>
      </mc:AlternateContent>
    </w:r>
  </w:p>
  <w:p w14:paraId="49A7B62F">
    <w:pPr>
      <w:pStyle w:val="1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1093D7">
    <w:pPr>
      <w:pStyle w:val="15"/>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1" name="矩形 410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14:paraId="64CCB5FC">
                          <w:pPr>
                            <w:pStyle w:val="15"/>
                          </w:pPr>
                          <w:r>
                            <w:fldChar w:fldCharType="begin"/>
                          </w:r>
                          <w:r>
                            <w:instrText xml:space="preserve"> PAGE  \* MERGEFORMAT </w:instrText>
                          </w:r>
                          <w:r>
                            <w:fldChar w:fldCharType="separate"/>
                          </w:r>
                          <w:r>
                            <w:t>64</w:t>
                          </w:r>
                          <w:r>
                            <w:fldChar w:fldCharType="end"/>
                          </w:r>
                        </w:p>
                      </w:txbxContent>
                    </wps:txbx>
                    <wps:bodyPr wrap="none" lIns="0" tIns="0" rIns="0" bIns="0" upright="0">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uXW5UtAAAAAFAQAADwAAAAAAAAABACAAAAAiAAAAZHJzL2Rvd25yZXYueG1s&#10;UEsBAhQAFAAAAAgAh07iQPhLAYDHAQAAoAMAAA4AAAAAAAAAAQAgAAAAHwEAAGRycy9lMm9Eb2Mu&#10;eG1sUEsFBgAAAAAGAAYAWQEAAFgFAAAAAA==&#10;">
              <v:fill on="f" focussize="0,0"/>
              <v:stroke on="f"/>
              <v:imagedata o:title=""/>
              <o:lock v:ext="edit" aspectratio="f"/>
              <v:textbox inset="0mm,0mm,0mm,0mm" style="mso-fit-shape-to-text:t;">
                <w:txbxContent>
                  <w:p w14:paraId="64CCB5FC">
                    <w:pPr>
                      <w:pStyle w:val="15"/>
                    </w:pPr>
                    <w:r>
                      <w:fldChar w:fldCharType="begin"/>
                    </w:r>
                    <w:r>
                      <w:instrText xml:space="preserve"> PAGE  \* MERGEFORMAT </w:instrText>
                    </w:r>
                    <w:r>
                      <w:fldChar w:fldCharType="separate"/>
                    </w:r>
                    <w:r>
                      <w:t>64</w:t>
                    </w:r>
                    <w:r>
                      <w:fldChar w:fldCharType="end"/>
                    </w:r>
                  </w:p>
                </w:txbxContent>
              </v:textbox>
            </v:rect>
          </w:pict>
        </mc:Fallback>
      </mc:AlternateContent>
    </w:r>
  </w:p>
  <w:p w14:paraId="1527B6F7">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15BA85">
    <w:pPr>
      <w:pStyle w:val="16"/>
      <w:pBdr>
        <w:top w:val="none" w:color="auto" w:sz="0" w:space="0"/>
        <w:left w:val="none" w:color="auto" w:sz="0" w:space="0"/>
        <w:bottom w:val="none" w:color="auto" w:sz="0" w:space="1"/>
        <w:right w:val="none" w:color="auto" w:sz="0" w:space="0"/>
        <w:between w:val="none" w:color="auto" w:sz="0" w:space="0"/>
      </w:pBdr>
      <w:ind w:firstLine="0" w:firstLineChars="0"/>
      <w:jc w:val="both"/>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7DB61E"/>
    <w:multiLevelType w:val="singleLevel"/>
    <w:tmpl w:val="CA7DB61E"/>
    <w:lvl w:ilvl="0" w:tentative="0">
      <w:start w:val="1"/>
      <w:numFmt w:val="decimal"/>
      <w:suff w:val="nothing"/>
      <w:lvlText w:val="（%1）"/>
      <w:lvlJc w:val="left"/>
    </w:lvl>
  </w:abstractNum>
  <w:abstractNum w:abstractNumId="1">
    <w:nsid w:val="00000001"/>
    <w:multiLevelType w:val="singleLevel"/>
    <w:tmpl w:val="00000001"/>
    <w:lvl w:ilvl="0" w:tentative="0">
      <w:start w:val="2"/>
      <w:numFmt w:val="chineseCounting"/>
      <w:suff w:val="nothing"/>
      <w:lvlText w:val="%1、"/>
      <w:lvlJc w:val="left"/>
      <w:rPr>
        <w:rFonts w:hint="eastAsia"/>
      </w:rPr>
    </w:lvl>
  </w:abstractNum>
  <w:abstractNum w:abstractNumId="2">
    <w:nsid w:val="00000002"/>
    <w:multiLevelType w:val="singleLevel"/>
    <w:tmpl w:val="00000002"/>
    <w:lvl w:ilvl="0" w:tentative="0">
      <w:start w:val="2"/>
      <w:numFmt w:val="decimal"/>
      <w:suff w:val="nothing"/>
      <w:lvlText w:val="（%1）"/>
      <w:lvlJc w:val="left"/>
    </w:lvl>
  </w:abstractNum>
  <w:abstractNum w:abstractNumId="3">
    <w:nsid w:val="00000003"/>
    <w:multiLevelType w:val="singleLevel"/>
    <w:tmpl w:val="00000003"/>
    <w:lvl w:ilvl="0" w:tentative="0">
      <w:start w:val="1"/>
      <w:numFmt w:val="chineseCounting"/>
      <w:suff w:val="space"/>
      <w:lvlText w:val="第%1部分"/>
      <w:lvlJc w:val="left"/>
      <w:rPr>
        <w:rFonts w:hint="eastAsia"/>
      </w:rPr>
    </w:lvl>
  </w:abstractNum>
  <w:abstractNum w:abstractNumId="4">
    <w:nsid w:val="00000004"/>
    <w:multiLevelType w:val="singleLevel"/>
    <w:tmpl w:val="00000004"/>
    <w:lvl w:ilvl="0" w:tentative="0">
      <w:start w:val="4"/>
      <w:numFmt w:val="decimal"/>
      <w:suff w:val="nothing"/>
      <w:lvlText w:val="（%1）"/>
      <w:lvlJc w:val="left"/>
      <w:pPr>
        <w:ind w:left="0"/>
      </w:pPr>
    </w:lvl>
  </w:abstractNum>
  <w:abstractNum w:abstractNumId="5">
    <w:nsid w:val="00000005"/>
    <w:multiLevelType w:val="multilevel"/>
    <w:tmpl w:val="00000005"/>
    <w:lvl w:ilvl="0" w:tentative="0">
      <w:start w:val="1"/>
      <w:numFmt w:val="chineseCounting"/>
      <w:suff w:val="nothing"/>
      <w:lvlText w:val="第%1章　"/>
      <w:lvlJc w:val="left"/>
      <w:pPr>
        <w:ind w:left="0" w:firstLine="402"/>
      </w:pPr>
      <w:rPr>
        <w:rFonts w:hint="eastAsia"/>
      </w:rPr>
    </w:lvl>
    <w:lvl w:ilvl="1" w:tentative="0">
      <w:start w:val="1"/>
      <w:numFmt w:val="chineseCounting"/>
      <w:suff w:val="nothing"/>
      <w:lvlText w:val="第%2节　"/>
      <w:lvlJc w:val="left"/>
      <w:pPr>
        <w:ind w:left="0" w:firstLine="402"/>
      </w:pPr>
      <w:rPr>
        <w:rFonts w:hint="eastAsia"/>
      </w:rPr>
    </w:lvl>
    <w:lvl w:ilvl="2" w:tentative="0">
      <w:start w:val="1"/>
      <w:numFmt w:val="chineseCounting"/>
      <w:suff w:val="nothing"/>
      <w:lvlText w:val="第%3条　"/>
      <w:lvlJc w:val="left"/>
      <w:pPr>
        <w:ind w:left="0" w:firstLine="402"/>
      </w:pPr>
      <w:rPr>
        <w:rFonts w:hint="eastAsia"/>
      </w:rPr>
    </w:lvl>
    <w:lvl w:ilvl="3" w:tentative="0">
      <w:start w:val="1"/>
      <w:numFmt w:val="chineseCounting"/>
      <w:suff w:val="nothing"/>
      <w:lvlText w:val="（%4）"/>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decimalEnclosedCircleChinese"/>
      <w:suff w:val="nothing"/>
      <w:lvlText w:val="%7 "/>
      <w:lvlJc w:val="left"/>
      <w:pPr>
        <w:ind w:left="0" w:firstLine="402"/>
      </w:pPr>
      <w:rPr>
        <w:rFonts w:hint="eastAsia"/>
      </w:rPr>
    </w:lvl>
    <w:lvl w:ilvl="7" w:tentative="0">
      <w:start w:val="1"/>
      <w:numFmt w:val="decimal"/>
      <w:suff w:val="nothing"/>
      <w:lvlText w:val="%8）"/>
      <w:lvlJc w:val="left"/>
      <w:pPr>
        <w:ind w:left="0" w:firstLine="402"/>
      </w:pPr>
      <w:rPr>
        <w:rFonts w:hint="eastAsia"/>
      </w:rPr>
    </w:lvl>
    <w:lvl w:ilvl="8" w:tentative="0">
      <w:start w:val="1"/>
      <w:numFmt w:val="lowerLetter"/>
      <w:suff w:val="nothing"/>
      <w:lvlText w:val="%9．"/>
      <w:lvlJc w:val="left"/>
      <w:pPr>
        <w:ind w:left="0" w:firstLine="402"/>
      </w:pPr>
      <w:rPr>
        <w:rFonts w:hint="eastAsia"/>
      </w:rPr>
    </w:lvl>
  </w:abstractNum>
  <w:abstractNum w:abstractNumId="6">
    <w:nsid w:val="00000006"/>
    <w:multiLevelType w:val="singleLevel"/>
    <w:tmpl w:val="00000006"/>
    <w:lvl w:ilvl="0" w:tentative="0">
      <w:start w:val="1"/>
      <w:numFmt w:val="chineseCounting"/>
      <w:suff w:val="nothing"/>
      <w:lvlText w:val="（%1）"/>
      <w:lvlJc w:val="left"/>
      <w:rPr>
        <w:rFonts w:hint="eastAsia"/>
      </w:rPr>
    </w:lvl>
  </w:abstractNum>
  <w:abstractNum w:abstractNumId="7">
    <w:nsid w:val="00000007"/>
    <w:multiLevelType w:val="singleLevel"/>
    <w:tmpl w:val="00000007"/>
    <w:lvl w:ilvl="0" w:tentative="0">
      <w:start w:val="1"/>
      <w:numFmt w:val="decimal"/>
      <w:lvlText w:val="%1."/>
      <w:lvlJc w:val="left"/>
      <w:pPr>
        <w:tabs>
          <w:tab w:val="left" w:pos="312"/>
        </w:tabs>
      </w:pPr>
    </w:lvl>
  </w:abstractNum>
  <w:abstractNum w:abstractNumId="8">
    <w:nsid w:val="00000008"/>
    <w:multiLevelType w:val="singleLevel"/>
    <w:tmpl w:val="00000008"/>
    <w:lvl w:ilvl="0" w:tentative="0">
      <w:start w:val="26"/>
      <w:numFmt w:val="decimal"/>
      <w:suff w:val="space"/>
      <w:lvlText w:val="%1."/>
      <w:lvlJc w:val="left"/>
    </w:lvl>
  </w:abstractNum>
  <w:abstractNum w:abstractNumId="9">
    <w:nsid w:val="00000009"/>
    <w:multiLevelType w:val="singleLevel"/>
    <w:tmpl w:val="00000009"/>
    <w:lvl w:ilvl="0" w:tentative="0">
      <w:start w:val="4"/>
      <w:numFmt w:val="decimal"/>
      <w:suff w:val="nothing"/>
      <w:lvlText w:val="（%1）"/>
      <w:lvlJc w:val="left"/>
    </w:lvl>
  </w:abstractNum>
  <w:abstractNum w:abstractNumId="10">
    <w:nsid w:val="0000000A"/>
    <w:multiLevelType w:val="singleLevel"/>
    <w:tmpl w:val="0000000A"/>
    <w:lvl w:ilvl="0" w:tentative="0">
      <w:start w:val="2"/>
      <w:numFmt w:val="decimal"/>
      <w:suff w:val="nothing"/>
      <w:lvlText w:val="（%1）"/>
      <w:lvlJc w:val="left"/>
    </w:lvl>
  </w:abstractNum>
  <w:abstractNum w:abstractNumId="11">
    <w:nsid w:val="0000000B"/>
    <w:multiLevelType w:val="singleLevel"/>
    <w:tmpl w:val="0000000B"/>
    <w:lvl w:ilvl="0" w:tentative="0">
      <w:start w:val="8"/>
      <w:numFmt w:val="decimal"/>
      <w:suff w:val="space"/>
      <w:lvlText w:val="%1."/>
      <w:lvlJc w:val="left"/>
    </w:lvl>
  </w:abstractNum>
  <w:abstractNum w:abstractNumId="12">
    <w:nsid w:val="0000000C"/>
    <w:multiLevelType w:val="singleLevel"/>
    <w:tmpl w:val="0000000C"/>
    <w:lvl w:ilvl="0" w:tentative="0">
      <w:start w:val="6"/>
      <w:numFmt w:val="chineseCounting"/>
      <w:suff w:val="nothing"/>
      <w:lvlText w:val="%1、"/>
      <w:lvlJc w:val="left"/>
      <w:rPr>
        <w:rFonts w:hint="eastAsia"/>
      </w:rPr>
    </w:lvl>
  </w:abstractNum>
  <w:abstractNum w:abstractNumId="13">
    <w:nsid w:val="0000000D"/>
    <w:multiLevelType w:val="singleLevel"/>
    <w:tmpl w:val="0000000D"/>
    <w:lvl w:ilvl="0" w:tentative="0">
      <w:start w:val="2"/>
      <w:numFmt w:val="decimal"/>
      <w:lvlText w:val="%1."/>
      <w:lvlJc w:val="left"/>
      <w:pPr>
        <w:tabs>
          <w:tab w:val="left" w:pos="312"/>
        </w:tabs>
      </w:pPr>
    </w:lvl>
  </w:abstractNum>
  <w:abstractNum w:abstractNumId="14">
    <w:nsid w:val="0000000F"/>
    <w:multiLevelType w:val="multilevel"/>
    <w:tmpl w:val="0000000F"/>
    <w:lvl w:ilvl="0" w:tentative="0">
      <w:start w:val="1"/>
      <w:numFmt w:val="chineseCounting"/>
      <w:suff w:val="space"/>
      <w:lvlText w:val="第%1章"/>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5">
    <w:nsid w:val="00000010"/>
    <w:multiLevelType w:val="singleLevel"/>
    <w:tmpl w:val="00000010"/>
    <w:lvl w:ilvl="0" w:tentative="0">
      <w:start w:val="5"/>
      <w:numFmt w:val="decimal"/>
      <w:suff w:val="space"/>
      <w:lvlText w:val="%1."/>
      <w:lvlJc w:val="left"/>
    </w:lvl>
  </w:abstractNum>
  <w:num w:numId="1">
    <w:abstractNumId w:val="5"/>
  </w:num>
  <w:num w:numId="2">
    <w:abstractNumId w:val="15"/>
  </w:num>
  <w:num w:numId="3">
    <w:abstractNumId w:val="4"/>
  </w:num>
  <w:num w:numId="4">
    <w:abstractNumId w:val="2"/>
  </w:num>
  <w:num w:numId="5">
    <w:abstractNumId w:val="8"/>
  </w:num>
  <w:num w:numId="6">
    <w:abstractNumId w:val="0"/>
  </w:num>
  <w:num w:numId="7">
    <w:abstractNumId w:val="3"/>
  </w:num>
  <w:num w:numId="8">
    <w:abstractNumId w:val="9"/>
  </w:num>
  <w:num w:numId="9">
    <w:abstractNumId w:val="6"/>
  </w:num>
  <w:num w:numId="10">
    <w:abstractNumId w:val="10"/>
  </w:num>
  <w:num w:numId="11">
    <w:abstractNumId w:val="11"/>
  </w:num>
  <w:num w:numId="12">
    <w:abstractNumId w:val="12"/>
  </w:num>
  <w:num w:numId="13">
    <w:abstractNumId w:val="13"/>
  </w:num>
  <w:num w:numId="14">
    <w:abstractNumId w:val="1"/>
  </w:num>
  <w:num w:numId="15">
    <w:abstractNumId w:val="7"/>
  </w:num>
  <w:num w:numId="16">
    <w:abstractNumId w:val="1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2MjQyYTJmYmM5NTgzZTk4ZWJkZDI2ZGM0YzQzYzIifQ=="/>
    <w:docVar w:name="KSO_WPS_MARK_KEY" w:val="a3adb148-270f-42ae-9ec3-2fe99b1ace6b"/>
  </w:docVars>
  <w:rsids>
    <w:rsidRoot w:val="23B209CE"/>
    <w:rsid w:val="022A4193"/>
    <w:rsid w:val="0348660A"/>
    <w:rsid w:val="06EF58B1"/>
    <w:rsid w:val="0C460860"/>
    <w:rsid w:val="0E7554F9"/>
    <w:rsid w:val="11EB3571"/>
    <w:rsid w:val="12A04F4F"/>
    <w:rsid w:val="13A6118C"/>
    <w:rsid w:val="14CA2983"/>
    <w:rsid w:val="191D7987"/>
    <w:rsid w:val="1E67458F"/>
    <w:rsid w:val="1EEC67B8"/>
    <w:rsid w:val="1F705FBB"/>
    <w:rsid w:val="21B4613A"/>
    <w:rsid w:val="21C76137"/>
    <w:rsid w:val="220A7CA8"/>
    <w:rsid w:val="23B209CE"/>
    <w:rsid w:val="26011993"/>
    <w:rsid w:val="37295215"/>
    <w:rsid w:val="40E45575"/>
    <w:rsid w:val="4387343D"/>
    <w:rsid w:val="4A25586A"/>
    <w:rsid w:val="4D3A65B5"/>
    <w:rsid w:val="51652BCA"/>
    <w:rsid w:val="650C41C4"/>
    <w:rsid w:val="67850A01"/>
    <w:rsid w:val="6F0F3D67"/>
    <w:rsid w:val="6FDB4A65"/>
    <w:rsid w:val="76393874"/>
    <w:rsid w:val="778C5D1F"/>
    <w:rsid w:val="7FF13F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36"/>
      <w:szCs w:val="44"/>
    </w:rPr>
  </w:style>
  <w:style w:type="paragraph" w:styleId="5">
    <w:name w:val="heading 2"/>
    <w:basedOn w:val="1"/>
    <w:next w:val="1"/>
    <w:qFormat/>
    <w:uiPriority w:val="0"/>
    <w:pPr>
      <w:keepNext/>
      <w:keepLines/>
      <w:spacing w:before="260" w:after="260" w:line="415" w:lineRule="auto"/>
      <w:outlineLvl w:val="1"/>
    </w:pPr>
    <w:rPr>
      <w:rFonts w:ascii="Cambria" w:hAnsi="Cambria"/>
      <w:b/>
      <w:bCs/>
      <w:sz w:val="32"/>
      <w:szCs w:val="32"/>
    </w:rPr>
  </w:style>
  <w:style w:type="paragraph" w:styleId="6">
    <w:name w:val="heading 3"/>
    <w:basedOn w:val="1"/>
    <w:next w:val="1"/>
    <w:link w:val="34"/>
    <w:qFormat/>
    <w:uiPriority w:val="0"/>
    <w:pPr>
      <w:keepNext/>
      <w:keepLines/>
      <w:widowControl/>
      <w:spacing w:before="260" w:after="260" w:line="416" w:lineRule="auto"/>
      <w:outlineLvl w:val="2"/>
    </w:pPr>
    <w:rPr>
      <w:b/>
      <w:bCs/>
      <w:sz w:val="24"/>
      <w:szCs w:val="32"/>
    </w:rPr>
  </w:style>
  <w:style w:type="paragraph" w:styleId="7">
    <w:name w:val="heading 4"/>
    <w:basedOn w:val="1"/>
    <w:next w:val="1"/>
    <w:qFormat/>
    <w:uiPriority w:val="0"/>
    <w:pPr>
      <w:keepNext/>
      <w:keepLines/>
      <w:widowControl/>
      <w:spacing w:before="200" w:line="276" w:lineRule="auto"/>
      <w:jc w:val="left"/>
      <w:outlineLvl w:val="3"/>
    </w:pPr>
    <w:rPr>
      <w:rFonts w:ascii="Calibri Light" w:hAnsi="Calibri Light" w:cs="Times New Roman"/>
      <w:b/>
      <w:bCs/>
      <w:iCs/>
      <w:szCs w:val="22"/>
    </w:rPr>
  </w:style>
  <w:style w:type="paragraph" w:styleId="8">
    <w:name w:val="heading 5"/>
    <w:basedOn w:val="1"/>
    <w:next w:val="1"/>
    <w:qFormat/>
    <w:uiPriority w:val="99"/>
    <w:pPr>
      <w:keepNext/>
      <w:keepLines/>
      <w:spacing w:before="280" w:after="290" w:line="376" w:lineRule="auto"/>
      <w:outlineLvl w:val="4"/>
    </w:pPr>
    <w:rPr>
      <w:b/>
      <w:bCs/>
      <w:sz w:val="28"/>
      <w:szCs w:val="28"/>
    </w:rPr>
  </w:style>
  <w:style w:type="character" w:default="1" w:styleId="31">
    <w:name w:val="Default Paragraph Font"/>
    <w:semiHidden/>
    <w:qFormat/>
    <w:uiPriority w:val="0"/>
  </w:style>
  <w:style w:type="table" w:default="1" w:styleId="29">
    <w:name w:val="Normal Table"/>
    <w:semiHidden/>
    <w:qFormat/>
    <w:uiPriority w:val="0"/>
    <w:tblPr>
      <w:tblCellMar>
        <w:top w:w="0" w:type="dxa"/>
        <w:left w:w="108" w:type="dxa"/>
        <w:bottom w:w="0" w:type="dxa"/>
        <w:right w:w="108" w:type="dxa"/>
      </w:tblCellMar>
    </w:tblPr>
  </w:style>
  <w:style w:type="paragraph" w:customStyle="1" w:styleId="2">
    <w:name w:val="BodyText"/>
    <w:basedOn w:val="1"/>
    <w:next w:val="3"/>
    <w:qFormat/>
    <w:uiPriority w:val="0"/>
    <w:pPr>
      <w:spacing w:after="60" w:line="360" w:lineRule="atLeast"/>
      <w:ind w:left="72" w:leftChars="30" w:right="30" w:rightChars="30"/>
      <w:jc w:val="center"/>
    </w:pPr>
    <w:rPr>
      <w:kern w:val="0"/>
      <w:sz w:val="20"/>
      <w:szCs w:val="20"/>
    </w:rPr>
  </w:style>
  <w:style w:type="paragraph" w:customStyle="1" w:styleId="3">
    <w:name w:val="181"/>
    <w:next w:val="1"/>
    <w:qFormat/>
    <w:uiPriority w:val="0"/>
    <w:pPr>
      <w:spacing w:before="360" w:after="360"/>
      <w:ind w:left="950" w:right="950"/>
      <w:jc w:val="center"/>
      <w:textAlignment w:val="baseline"/>
    </w:pPr>
    <w:rPr>
      <w:rFonts w:ascii="Times New Roman" w:hAnsi="Times New Roman" w:eastAsia="宋体" w:cs="Times New Roman"/>
      <w:i/>
      <w:kern w:val="2"/>
      <w:sz w:val="21"/>
      <w:szCs w:val="24"/>
      <w:lang w:val="en-US" w:eastAsia="zh-CN" w:bidi="ar-SA"/>
    </w:rPr>
  </w:style>
  <w:style w:type="paragraph" w:styleId="9">
    <w:name w:val="index 8"/>
    <w:basedOn w:val="1"/>
    <w:next w:val="1"/>
    <w:qFormat/>
    <w:uiPriority w:val="0"/>
    <w:pPr>
      <w:ind w:left="1400" w:leftChars="1400" w:firstLine="0"/>
    </w:pPr>
  </w:style>
  <w:style w:type="paragraph" w:styleId="10">
    <w:name w:val="annotation text"/>
    <w:basedOn w:val="1"/>
    <w:qFormat/>
    <w:uiPriority w:val="0"/>
    <w:pPr>
      <w:widowControl/>
      <w:jc w:val="left"/>
    </w:pPr>
    <w:rPr>
      <w:rFonts w:ascii="Calibri" w:hAnsi="Calibri" w:eastAsia="宋体" w:cs="Times New Roman"/>
    </w:rPr>
  </w:style>
  <w:style w:type="paragraph" w:styleId="11">
    <w:name w:val="Body Text"/>
    <w:basedOn w:val="1"/>
    <w:next w:val="1"/>
    <w:qFormat/>
    <w:uiPriority w:val="0"/>
    <w:pPr>
      <w:spacing w:after="120"/>
    </w:pPr>
  </w:style>
  <w:style w:type="paragraph" w:styleId="12">
    <w:name w:val="Body Text Indent"/>
    <w:basedOn w:val="1"/>
    <w:qFormat/>
    <w:uiPriority w:val="0"/>
    <w:pPr>
      <w:spacing w:after="120" w:line="360" w:lineRule="exact"/>
      <w:ind w:left="420" w:leftChars="200" w:firstLine="200" w:firstLineChars="200"/>
    </w:pPr>
  </w:style>
  <w:style w:type="paragraph" w:styleId="13">
    <w:name w:val="Block Text"/>
    <w:basedOn w:val="1"/>
    <w:qFormat/>
    <w:uiPriority w:val="0"/>
    <w:pPr>
      <w:widowControl/>
      <w:overflowPunct w:val="0"/>
      <w:autoSpaceDE w:val="0"/>
      <w:autoSpaceDN w:val="0"/>
      <w:adjustRightInd w:val="0"/>
      <w:snapToGrid w:val="0"/>
      <w:spacing w:line="360" w:lineRule="auto"/>
      <w:ind w:left="1440" w:right="-510" w:hanging="759"/>
      <w:textAlignment w:val="baseline"/>
    </w:pPr>
    <w:rPr>
      <w:kern w:val="0"/>
      <w:sz w:val="24"/>
      <w:szCs w:val="20"/>
    </w:rPr>
  </w:style>
  <w:style w:type="paragraph" w:styleId="14">
    <w:name w:val="Plain Text"/>
    <w:basedOn w:val="1"/>
    <w:next w:val="9"/>
    <w:qFormat/>
    <w:uiPriority w:val="0"/>
    <w:rPr>
      <w:rFonts w:ascii="宋体" w:hAnsi="Courier New" w:cs="Times New Roman"/>
      <w:szCs w:val="22"/>
    </w:rPr>
  </w:style>
  <w:style w:type="paragraph" w:styleId="15">
    <w:name w:val="footer"/>
    <w:basedOn w:val="1"/>
    <w:next w:val="1"/>
    <w:qFormat/>
    <w:uiPriority w:val="0"/>
    <w:pPr>
      <w:tabs>
        <w:tab w:val="center" w:pos="4153"/>
        <w:tab w:val="right" w:pos="8306"/>
      </w:tabs>
      <w:snapToGrid w:val="0"/>
      <w:jc w:val="left"/>
    </w:pPr>
    <w:rPr>
      <w:sz w:val="18"/>
      <w:szCs w:val="18"/>
    </w:rPr>
  </w:style>
  <w:style w:type="paragraph" w:styleId="1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style>
  <w:style w:type="paragraph" w:styleId="18">
    <w:name w:val="toc 2"/>
    <w:basedOn w:val="1"/>
    <w:next w:val="1"/>
    <w:qFormat/>
    <w:uiPriority w:val="39"/>
    <w:pPr>
      <w:ind w:left="420" w:leftChars="200"/>
    </w:pPr>
  </w:style>
  <w:style w:type="paragraph" w:styleId="19">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0">
    <w:name w:val="Title"/>
    <w:basedOn w:val="1"/>
    <w:next w:val="1"/>
    <w:qFormat/>
    <w:uiPriority w:val="99"/>
    <w:pPr>
      <w:jc w:val="center"/>
    </w:pPr>
    <w:rPr>
      <w:rFonts w:ascii="Arial" w:hAnsi="Arial" w:eastAsia="宋体" w:cs="Arial"/>
      <w:b/>
      <w:sz w:val="32"/>
      <w:u w:val="single"/>
    </w:rPr>
  </w:style>
  <w:style w:type="paragraph" w:styleId="21">
    <w:name w:val="Body Text First Indent"/>
    <w:basedOn w:val="22"/>
    <w:next w:val="25"/>
    <w:qFormat/>
    <w:uiPriority w:val="0"/>
    <w:pPr>
      <w:spacing w:after="120"/>
      <w:ind w:firstLine="420" w:firstLineChars="100"/>
    </w:pPr>
    <w:rPr>
      <w:rFonts w:ascii="Times New Roman" w:hAnsi="Times New Roman"/>
      <w:szCs w:val="24"/>
    </w:rPr>
  </w:style>
  <w:style w:type="paragraph" w:customStyle="1" w:styleId="22">
    <w:name w:val="正文文本_0"/>
    <w:basedOn w:val="23"/>
    <w:next w:val="24"/>
    <w:qFormat/>
    <w:uiPriority w:val="99"/>
    <w:pPr>
      <w:adjustRightInd w:val="0"/>
      <w:spacing w:after="60" w:line="360" w:lineRule="atLeast"/>
      <w:ind w:left="72" w:leftChars="30" w:right="30" w:rightChars="30"/>
      <w:jc w:val="center"/>
    </w:pPr>
    <w:rPr>
      <w:rFonts w:ascii="Calibri" w:hAnsi="Calibri"/>
      <w:kern w:val="0"/>
      <w:sz w:val="20"/>
      <w:szCs w:val="20"/>
      <w:lang w:val="zh-CN" w:eastAsia="zh-CN"/>
    </w:rPr>
  </w:style>
  <w:style w:type="paragraph" w:customStyle="1" w:styleId="23">
    <w:name w:val="正文_0"/>
    <w:next w:val="2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
    <w:name w:val="正文_2_0"/>
    <w:next w:val="2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5">
    <w:name w:val="正文缩进_0"/>
    <w:basedOn w:val="24"/>
    <w:next w:val="26"/>
    <w:qFormat/>
    <w:uiPriority w:val="99"/>
    <w:pPr>
      <w:ind w:firstLine="420"/>
    </w:pPr>
    <w:rPr>
      <w:rFonts w:ascii="Times New Roman" w:hAnsi="Times New Roman"/>
      <w:szCs w:val="20"/>
    </w:rPr>
  </w:style>
  <w:style w:type="paragraph" w:customStyle="1" w:styleId="26">
    <w:name w:val="_Style 50"/>
    <w:basedOn w:val="24"/>
    <w:next w:val="27"/>
    <w:qFormat/>
    <w:uiPriority w:val="0"/>
    <w:pPr>
      <w:widowControl/>
      <w:spacing w:before="100" w:beforeAutospacing="1" w:after="100" w:afterAutospacing="1"/>
    </w:pPr>
    <w:rPr>
      <w:rFonts w:ascii="宋体" w:hAnsi="宋体"/>
    </w:rPr>
  </w:style>
  <w:style w:type="paragraph" w:customStyle="1" w:styleId="27">
    <w:name w:val="普通(网站)_0"/>
    <w:basedOn w:val="24"/>
    <w:next w:val="24"/>
    <w:qFormat/>
    <w:uiPriority w:val="0"/>
    <w:pPr>
      <w:widowControl/>
      <w:spacing w:before="100" w:beforeAutospacing="1" w:after="100" w:afterAutospacing="1"/>
      <w:jc w:val="left"/>
    </w:pPr>
    <w:rPr>
      <w:rFonts w:ascii="宋体" w:hAnsi="宋体" w:cs="宋体"/>
      <w:kern w:val="0"/>
      <w:sz w:val="24"/>
      <w:szCs w:val="24"/>
    </w:rPr>
  </w:style>
  <w:style w:type="paragraph" w:styleId="28">
    <w:name w:val="Body Text First Indent 2"/>
    <w:basedOn w:val="12"/>
    <w:qFormat/>
    <w:uiPriority w:val="99"/>
    <w:pPr>
      <w:ind w:firstLine="420" w:firstLineChars="200"/>
    </w:pPr>
  </w:style>
  <w:style w:type="table" w:styleId="30">
    <w:name w:val="Table Grid"/>
    <w:basedOn w:val="2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32">
    <w:name w:val="Default"/>
    <w:basedOn w:val="20"/>
    <w:qFormat/>
    <w:uiPriority w:val="0"/>
    <w:pPr>
      <w:widowControl w:val="0"/>
      <w:autoSpaceDE w:val="0"/>
      <w:autoSpaceDN w:val="0"/>
      <w:adjustRightInd w:val="0"/>
    </w:pPr>
    <w:rPr>
      <w:rFonts w:ascii="Times New Roman" w:hAnsi="Times New Roman" w:eastAsia="宋体" w:cs="Calibri"/>
      <w:color w:val="000000"/>
      <w:sz w:val="24"/>
      <w:szCs w:val="24"/>
      <w:lang w:val="en-US" w:eastAsia="zh-CN" w:bidi="ar-SA"/>
    </w:rPr>
  </w:style>
  <w:style w:type="paragraph" w:styleId="33">
    <w:name w:val="List Paragraph"/>
    <w:basedOn w:val="1"/>
    <w:qFormat/>
    <w:uiPriority w:val="0"/>
    <w:pPr>
      <w:ind w:firstLine="420" w:firstLineChars="200"/>
    </w:pPr>
  </w:style>
  <w:style w:type="character" w:customStyle="1" w:styleId="34">
    <w:name w:val="标题 3 字符"/>
    <w:link w:val="6"/>
    <w:qFormat/>
    <w:uiPriority w:val="0"/>
    <w:rPr>
      <w:b/>
      <w:bCs/>
      <w:sz w:val="24"/>
      <w:szCs w:val="32"/>
    </w:rPr>
  </w:style>
  <w:style w:type="paragraph" w:customStyle="1" w:styleId="35">
    <w:name w:val="表格文字"/>
    <w:basedOn w:val="1"/>
    <w:qFormat/>
    <w:uiPriority w:val="0"/>
    <w:pPr>
      <w:spacing w:before="25" w:after="25" w:line="240" w:lineRule="auto"/>
      <w:ind w:firstLine="0"/>
      <w:jc w:val="left"/>
    </w:pPr>
    <w:rPr>
      <w:bCs/>
      <w:spacing w:val="10"/>
      <w:kern w:val="0"/>
      <w:sz w:val="24"/>
    </w:rPr>
  </w:style>
  <w:style w:type="paragraph" w:customStyle="1" w:styleId="36">
    <w:name w:val="p0"/>
    <w:basedOn w:val="1"/>
    <w:qFormat/>
    <w:uiPriority w:val="0"/>
    <w:pPr>
      <w:widowControl/>
    </w:pPr>
    <w:rPr>
      <w:rFonts w:ascii="Calibri" w:hAnsi="Calibri" w:cs="宋体"/>
      <w:kern w:val="0"/>
      <w:szCs w:val="21"/>
    </w:rPr>
  </w:style>
  <w:style w:type="paragraph" w:customStyle="1" w:styleId="37">
    <w:name w:val="首行缩进"/>
    <w:basedOn w:val="1"/>
    <w:qFormat/>
    <w:uiPriority w:val="0"/>
    <w:pPr>
      <w:spacing w:line="360" w:lineRule="auto"/>
      <w:ind w:firstLine="480" w:firstLineChars="200"/>
    </w:pPr>
    <w:rPr>
      <w:rFonts w:ascii="宋体" w:hAnsi="宋体"/>
      <w:kern w:val="0"/>
      <w:sz w:val="24"/>
    </w:rPr>
  </w:style>
  <w:style w:type="paragraph" w:customStyle="1" w:styleId="38">
    <w:name w:val="正文小标题_0"/>
    <w:basedOn w:val="39"/>
    <w:qFormat/>
    <w:uiPriority w:val="0"/>
    <w:pPr>
      <w:spacing w:line="420" w:lineRule="exact"/>
    </w:pPr>
    <w:rPr>
      <w:rFonts w:hAnsi="宋体" w:eastAsia="宋体"/>
      <w:sz w:val="21"/>
      <w:szCs w:val="21"/>
    </w:rPr>
  </w:style>
  <w:style w:type="paragraph" w:customStyle="1" w:styleId="39">
    <w:name w:val="标题 1_0"/>
    <w:basedOn w:val="23"/>
    <w:next w:val="23"/>
    <w:qFormat/>
    <w:uiPriority w:val="99"/>
    <w:pPr>
      <w:keepNext/>
      <w:keepLines/>
      <w:spacing w:line="360" w:lineRule="auto"/>
      <w:outlineLvl w:val="0"/>
    </w:pPr>
    <w:rPr>
      <w:rFonts w:eastAsia="黑体"/>
      <w:b/>
      <w:bCs/>
      <w:kern w:val="44"/>
      <w:sz w:val="32"/>
      <w:szCs w:val="44"/>
    </w:rPr>
  </w:style>
  <w:style w:type="paragraph" w:customStyle="1" w:styleId="40">
    <w:name w:val="正文_1_0"/>
    <w:qFormat/>
    <w:uiPriority w:val="99"/>
    <w:pPr>
      <w:widowControl w:val="0"/>
      <w:jc w:val="both"/>
    </w:pPr>
    <w:rPr>
      <w:rFonts w:ascii="Times New Roman" w:hAnsi="Times New Roman" w:eastAsia="宋体" w:cs="Times New Roman"/>
      <w:kern w:val="2"/>
      <w:sz w:val="21"/>
      <w:szCs w:val="20"/>
      <w:lang w:val="en-US" w:eastAsia="zh-CN" w:bidi="ar-SA"/>
    </w:rPr>
  </w:style>
  <w:style w:type="paragraph" w:customStyle="1" w:styleId="41">
    <w:name w:val="正文呀2_0"/>
    <w:basedOn w:val="42"/>
    <w:qFormat/>
    <w:uiPriority w:val="0"/>
    <w:rPr>
      <w:rFonts w:ascii="Times New Roman" w:hAnsi="Times New Roman"/>
    </w:rPr>
  </w:style>
  <w:style w:type="paragraph" w:customStyle="1" w:styleId="42">
    <w:name w:val="正文呀_0"/>
    <w:basedOn w:val="40"/>
    <w:qFormat/>
    <w:uiPriority w:val="0"/>
    <w:pPr>
      <w:spacing w:line="420" w:lineRule="exact"/>
      <w:ind w:firstLine="420" w:firstLineChars="200"/>
    </w:pPr>
    <w:rPr>
      <w:rFonts w:ascii="宋体" w:hAnsi="宋体"/>
      <w:szCs w:val="21"/>
    </w:rPr>
  </w:style>
  <w:style w:type="paragraph" w:customStyle="1" w:styleId="43">
    <w:name w:val="正文呀2_1"/>
    <w:basedOn w:val="44"/>
    <w:qFormat/>
    <w:uiPriority w:val="0"/>
    <w:rPr>
      <w:rFonts w:ascii="Times New Roman" w:hAnsi="Times New Roman" w:eastAsia="宋体" w:cs="Times New Roman"/>
      <w:kern w:val="2"/>
      <w:sz w:val="21"/>
      <w:lang w:val="en-US" w:eastAsia="zh-CN"/>
    </w:rPr>
  </w:style>
  <w:style w:type="paragraph" w:customStyle="1" w:styleId="44">
    <w:name w:val="正文呀_1"/>
    <w:basedOn w:val="23"/>
    <w:qFormat/>
    <w:uiPriority w:val="0"/>
    <w:pPr>
      <w:spacing w:line="420" w:lineRule="exact"/>
      <w:ind w:firstLine="420" w:firstLineChars="200"/>
    </w:pPr>
    <w:rPr>
      <w:rFonts w:ascii="宋体" w:hAnsi="宋体"/>
      <w:kern w:val="0"/>
      <w:sz w:val="20"/>
      <w:szCs w:val="21"/>
      <w:lang w:val="zh-CN" w:eastAsia="zh-CN"/>
    </w:rPr>
  </w:style>
  <w:style w:type="paragraph" w:customStyle="1" w:styleId="45">
    <w:name w:val="纯文本_0"/>
    <w:basedOn w:val="23"/>
    <w:qFormat/>
    <w:uiPriority w:val="0"/>
    <w:rPr>
      <w:rFonts w:ascii="宋体" w:hAnsi="Courier New"/>
      <w:szCs w:val="24"/>
    </w:rPr>
  </w:style>
  <w:style w:type="paragraph" w:customStyle="1" w:styleId="46">
    <w:name w:val="无间隔_0"/>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47">
    <w:name w:val="正文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48">
    <w:name w:val="正文_3"/>
    <w:qFormat/>
    <w:uiPriority w:val="0"/>
    <w:pPr>
      <w:widowControl w:val="0"/>
      <w:jc w:val="both"/>
    </w:pPr>
    <w:rPr>
      <w:rFonts w:ascii="Calibri" w:hAnsi="Calibri" w:eastAsia="宋体" w:cs="Times New Roman"/>
      <w:kern w:val="2"/>
      <w:sz w:val="21"/>
      <w:szCs w:val="22"/>
      <w:lang w:val="en-US" w:eastAsia="zh-CN" w:bidi="ar-SA"/>
    </w:rPr>
  </w:style>
  <w:style w:type="character" w:customStyle="1" w:styleId="49">
    <w:name w:val="NormalCharacter"/>
    <w:qFormat/>
    <w:uiPriority w:val="0"/>
  </w:style>
  <w:style w:type="paragraph" w:customStyle="1" w:styleId="50">
    <w:name w:val="PlainText"/>
    <w:basedOn w:val="1"/>
    <w:next w:val="51"/>
    <w:qFormat/>
    <w:uiPriority w:val="0"/>
    <w:rPr>
      <w:rFonts w:ascii="宋体" w:hAnsi="Courier New"/>
      <w:szCs w:val="20"/>
    </w:rPr>
  </w:style>
  <w:style w:type="paragraph" w:customStyle="1" w:styleId="51">
    <w:name w:val="Index8"/>
    <w:basedOn w:val="1"/>
    <w:next w:val="1"/>
    <w:qFormat/>
    <w:uiPriority w:val="0"/>
    <w:pPr>
      <w:ind w:left="2940"/>
    </w:pPr>
  </w:style>
  <w:style w:type="paragraph" w:customStyle="1" w:styleId="52">
    <w:name w:val="style4"/>
    <w:basedOn w:val="1"/>
    <w:next w:val="53"/>
    <w:qFormat/>
    <w:uiPriority w:val="0"/>
    <w:pPr>
      <w:widowControl/>
      <w:spacing w:before="280" w:after="280"/>
    </w:pPr>
    <w:rPr>
      <w:rFonts w:ascii="宋体"/>
      <w:sz w:val="18"/>
    </w:rPr>
  </w:style>
  <w:style w:type="paragraph" w:customStyle="1" w:styleId="53">
    <w:name w:val="2"/>
    <w:basedOn w:val="6"/>
    <w:next w:val="1"/>
    <w:qFormat/>
    <w:uiPriority w:val="0"/>
    <w:pPr>
      <w:widowControl w:val="0"/>
      <w:spacing w:before="120" w:beforeLines="50" w:after="120" w:afterLines="50" w:line="240" w:lineRule="auto"/>
      <w:jc w:val="center"/>
    </w:pPr>
    <w:rPr>
      <w:rFonts w:ascii="黑体" w:eastAsia="黑体"/>
      <w:sz w:val="44"/>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header" Target="header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5.wmf"/><Relationship Id="rId2" Type="http://schemas.openxmlformats.org/officeDocument/2006/relationships/settings" Target="settings.xml"/><Relationship Id="rId19" Type="http://schemas.openxmlformats.org/officeDocument/2006/relationships/oleObject" Target="embeddings/oleObject5.bin"/><Relationship Id="rId18" Type="http://schemas.openxmlformats.org/officeDocument/2006/relationships/image" Target="media/image4.wmf"/><Relationship Id="rId17" Type="http://schemas.openxmlformats.org/officeDocument/2006/relationships/oleObject" Target="embeddings/oleObject4.bin"/><Relationship Id="rId16" Type="http://schemas.openxmlformats.org/officeDocument/2006/relationships/image" Target="media/image3.wmf"/><Relationship Id="rId15" Type="http://schemas.openxmlformats.org/officeDocument/2006/relationships/oleObject" Target="embeddings/oleObject3.bin"/><Relationship Id="rId14" Type="http://schemas.openxmlformats.org/officeDocument/2006/relationships/image" Target="media/image2.wmf"/><Relationship Id="rId13" Type="http://schemas.openxmlformats.org/officeDocument/2006/relationships/oleObject" Target="embeddings/oleObject2.bin"/><Relationship Id="rId12" Type="http://schemas.openxmlformats.org/officeDocument/2006/relationships/image" Target="media/image1.wmf"/><Relationship Id="rId11" Type="http://schemas.openxmlformats.org/officeDocument/2006/relationships/oleObject" Target="embeddings/oleObject1.bin"/><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144</Pages>
  <Words>29175</Words>
  <Characters>31651</Characters>
  <Lines>0</Lines>
  <Paragraphs>0</Paragraphs>
  <TotalTime>5</TotalTime>
  <ScaleCrop>false</ScaleCrop>
  <LinksUpToDate>false</LinksUpToDate>
  <CharactersWithSpaces>32474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2024-06-03T12:38:00Z</dcterms:created>
  <dc:creator>歪歪</dc:creator>
  <cp:lastModifiedBy>哆啦A没有梦</cp:lastModifiedBy>
  <dcterms:modified xsi:type="dcterms:W3CDTF">2025-06-16T08:41:50Z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BB6D7CE1C7784A56B081AE4661F86623_13</vt:lpwstr>
  </property>
  <property fmtid="{D5CDD505-2E9C-101B-9397-08002B2CF9AE}" pid="4" name="KSOTemplateDocerSaveRecord">
    <vt:lpwstr>eyJoZGlkIjoiZTc2MjQyYTJmYmM5NTgzZTk4ZWJkZDI2ZGM0YzQzYzIiLCJ1c2VySWQiOiIzNjY4NzE3NjcifQ==</vt:lpwstr>
  </property>
</Properties>
</file>